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92E9">
      <w:pPr>
        <w:pStyle w:val="32"/>
        <w:spacing w:before="0" w:after="0"/>
        <w:ind w:firstLine="0" w:firstLineChars="0"/>
        <w:textAlignment w:val="baseline"/>
        <w:rPr>
          <w:rFonts w:ascii="仿宋" w:hAnsi="仿宋" w:eastAsia="仿宋" w:cs="仿宋"/>
          <w:b/>
          <w:bCs/>
          <w:sz w:val="84"/>
          <w:highlight w:val="none"/>
        </w:rPr>
      </w:pPr>
    </w:p>
    <w:p w14:paraId="23CAAFFB">
      <w:pPr>
        <w:pStyle w:val="32"/>
        <w:spacing w:before="0" w:after="0"/>
        <w:ind w:firstLine="0" w:firstLineChars="0"/>
        <w:textAlignment w:val="baseline"/>
        <w:rPr>
          <w:rFonts w:ascii="仿宋" w:hAnsi="仿宋" w:eastAsia="仿宋" w:cs="仿宋"/>
          <w:b/>
          <w:bCs/>
          <w:sz w:val="84"/>
          <w:highlight w:val="none"/>
        </w:rPr>
      </w:pPr>
    </w:p>
    <w:p w14:paraId="030A617D">
      <w:pPr>
        <w:pStyle w:val="32"/>
        <w:spacing w:before="0" w:after="0"/>
        <w:ind w:firstLine="0" w:firstLineChars="0"/>
        <w:jc w:val="center"/>
        <w:textAlignment w:val="baseline"/>
        <w:rPr>
          <w:rFonts w:ascii="仿宋" w:hAnsi="仿宋" w:eastAsia="仿宋" w:cs="仿宋"/>
          <w:b/>
          <w:bCs/>
          <w:sz w:val="84"/>
          <w:highlight w:val="none"/>
        </w:rPr>
      </w:pPr>
      <w:r>
        <w:rPr>
          <w:rFonts w:hint="eastAsia" w:ascii="仿宋" w:hAnsi="仿宋" w:eastAsia="仿宋" w:cs="仿宋"/>
          <w:b/>
          <w:bCs/>
          <w:sz w:val="84"/>
          <w:highlight w:val="none"/>
        </w:rPr>
        <w:t>竞争性磋商文件</w:t>
      </w:r>
    </w:p>
    <w:p w14:paraId="761355E5">
      <w:pPr>
        <w:pStyle w:val="32"/>
        <w:spacing w:before="0" w:after="0"/>
        <w:ind w:firstLine="0" w:firstLineChars="0"/>
        <w:textAlignment w:val="baseline"/>
        <w:rPr>
          <w:rFonts w:ascii="仿宋" w:hAnsi="仿宋" w:eastAsia="仿宋" w:cs="仿宋"/>
          <w:b/>
          <w:bCs/>
          <w:sz w:val="36"/>
          <w:szCs w:val="36"/>
          <w:highlight w:val="none"/>
        </w:rPr>
      </w:pPr>
    </w:p>
    <w:p w14:paraId="68E0431B">
      <w:pPr>
        <w:pStyle w:val="32"/>
        <w:spacing w:before="0" w:after="0"/>
        <w:ind w:firstLine="0" w:firstLineChars="0"/>
        <w:textAlignment w:val="baseline"/>
        <w:rPr>
          <w:rFonts w:ascii="仿宋" w:hAnsi="仿宋" w:eastAsia="仿宋" w:cs="仿宋"/>
          <w:b/>
          <w:bCs/>
          <w:sz w:val="36"/>
          <w:szCs w:val="36"/>
          <w:highlight w:val="none"/>
        </w:rPr>
      </w:pPr>
    </w:p>
    <w:p w14:paraId="7D36BD36">
      <w:pPr>
        <w:pStyle w:val="32"/>
        <w:spacing w:before="0" w:after="0"/>
        <w:ind w:firstLine="0" w:firstLineChars="0"/>
        <w:textAlignment w:val="baseline"/>
        <w:rPr>
          <w:rFonts w:ascii="仿宋" w:hAnsi="仿宋" w:eastAsia="仿宋" w:cs="仿宋"/>
          <w:b/>
          <w:bCs/>
          <w:sz w:val="36"/>
          <w:szCs w:val="36"/>
          <w:highlight w:val="none"/>
        </w:rPr>
      </w:pPr>
    </w:p>
    <w:p w14:paraId="2AC26D07">
      <w:pPr>
        <w:pStyle w:val="32"/>
        <w:spacing w:before="0" w:after="0"/>
        <w:ind w:firstLine="720"/>
        <w:textAlignment w:val="baseline"/>
        <w:rPr>
          <w:rFonts w:ascii="仿宋" w:hAnsi="仿宋" w:eastAsia="仿宋" w:cs="仿宋"/>
          <w:b/>
          <w:bCs/>
          <w:sz w:val="36"/>
          <w:szCs w:val="36"/>
          <w:highlight w:val="none"/>
        </w:rPr>
      </w:pPr>
    </w:p>
    <w:p w14:paraId="4E3BFFF0">
      <w:pPr>
        <w:pStyle w:val="32"/>
        <w:spacing w:before="0" w:after="0"/>
        <w:ind w:left="0" w:leftChars="0" w:firstLine="0" w:firstLineChars="0"/>
        <w:textAlignment w:val="baseline"/>
        <w:rPr>
          <w:rFonts w:ascii="仿宋" w:hAnsi="仿宋" w:eastAsia="仿宋" w:cs="仿宋"/>
          <w:b/>
          <w:bCs/>
          <w:sz w:val="36"/>
          <w:szCs w:val="36"/>
          <w:highlight w:val="none"/>
        </w:rPr>
      </w:pPr>
    </w:p>
    <w:p w14:paraId="4967521D">
      <w:pPr>
        <w:pStyle w:val="32"/>
        <w:spacing w:before="0" w:after="0"/>
        <w:ind w:firstLine="720"/>
        <w:textAlignment w:val="baseline"/>
        <w:rPr>
          <w:rFonts w:ascii="仿宋" w:hAnsi="仿宋" w:eastAsia="仿宋" w:cs="仿宋"/>
          <w:b/>
          <w:bCs/>
          <w:sz w:val="36"/>
          <w:szCs w:val="36"/>
          <w:highlight w:val="none"/>
        </w:rPr>
      </w:pPr>
    </w:p>
    <w:p w14:paraId="39C90920">
      <w:pPr>
        <w:pStyle w:val="32"/>
        <w:spacing w:before="0" w:after="0"/>
        <w:ind w:left="720" w:hanging="723" w:hangingChars="200"/>
        <w:jc w:val="both"/>
        <w:textAlignment w:val="baseline"/>
        <w:rPr>
          <w:rFonts w:ascii="仿宋" w:hAnsi="仿宋" w:eastAsia="仿宋" w:cs="仿宋"/>
          <w:b/>
          <w:bCs/>
          <w:sz w:val="28"/>
          <w:szCs w:val="28"/>
          <w:highlight w:val="none"/>
        </w:rPr>
      </w:pPr>
      <w:r>
        <w:rPr>
          <w:rFonts w:ascii="仿宋" w:hAnsi="仿宋" w:eastAsia="仿宋" w:cs="仿宋"/>
          <w:b/>
          <w:bCs/>
          <w:sz w:val="36"/>
          <w:szCs w:val="36"/>
          <w:highlight w:val="none"/>
        </w:rPr>
        <w:t xml:space="preserve">    </w:t>
      </w:r>
      <w:r>
        <w:rPr>
          <w:rFonts w:hint="eastAsia" w:ascii="仿宋" w:hAnsi="仿宋" w:eastAsia="仿宋" w:cs="仿宋"/>
          <w:b/>
          <w:bCs/>
          <w:sz w:val="36"/>
          <w:szCs w:val="36"/>
          <w:highlight w:val="none"/>
        </w:rPr>
        <w:t>项目名称:</w:t>
      </w:r>
      <w:r>
        <w:rPr>
          <w:rFonts w:hint="eastAsia" w:ascii="仿宋" w:hAnsi="仿宋" w:eastAsia="仿宋" w:cs="仿宋"/>
          <w:b/>
          <w:bCs/>
          <w:sz w:val="28"/>
          <w:szCs w:val="28"/>
          <w:highlight w:val="none"/>
          <w:u w:val="single"/>
        </w:rPr>
        <w:t>江苏省渔业技术推广中心扬中基地202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u w:val="single"/>
        </w:rPr>
        <w:t>年度运转维护项目</w:t>
      </w:r>
    </w:p>
    <w:p w14:paraId="6A9B3321">
      <w:pPr>
        <w:pStyle w:val="32"/>
        <w:spacing w:before="0" w:after="0"/>
        <w:ind w:left="722" w:leftChars="344" w:firstLine="0" w:firstLineChars="0"/>
        <w:jc w:val="both"/>
        <w:textAlignment w:val="baseline"/>
        <w:rPr>
          <w:rFonts w:hint="default" w:ascii="仿宋" w:hAnsi="仿宋" w:eastAsia="仿宋" w:cs="仿宋"/>
          <w:b/>
          <w:bCs/>
          <w:sz w:val="36"/>
          <w:szCs w:val="36"/>
          <w:highlight w:val="none"/>
          <w:lang w:val="en-US" w:eastAsia="zh-CN"/>
        </w:rPr>
      </w:pPr>
      <w:r>
        <w:rPr>
          <w:rFonts w:hint="eastAsia" w:ascii="仿宋" w:hAnsi="仿宋" w:eastAsia="仿宋" w:cs="仿宋"/>
          <w:b/>
          <w:bCs/>
          <w:sz w:val="36"/>
          <w:szCs w:val="36"/>
          <w:highlight w:val="none"/>
        </w:rPr>
        <w:t>项目编号：</w:t>
      </w:r>
      <w:r>
        <w:rPr>
          <w:rFonts w:ascii="仿宋" w:hAnsi="仿宋" w:eastAsia="仿宋" w:cs="仿宋"/>
          <w:b/>
          <w:bCs/>
          <w:sz w:val="36"/>
          <w:szCs w:val="36"/>
          <w:highlight w:val="none"/>
          <w:u w:val="single"/>
        </w:rPr>
        <w:t xml:space="preserve"> </w:t>
      </w:r>
      <w:r>
        <w:rPr>
          <w:rFonts w:hint="eastAsia" w:ascii="仿宋" w:hAnsi="仿宋" w:eastAsia="仿宋" w:cs="仿宋"/>
          <w:b/>
          <w:bCs/>
          <w:sz w:val="36"/>
          <w:szCs w:val="36"/>
          <w:highlight w:val="none"/>
          <w:u w:val="single"/>
        </w:rPr>
        <w:t>JSZC-320000-JSXX-C2026-0004</w:t>
      </w:r>
      <w:r>
        <w:rPr>
          <w:rFonts w:hint="eastAsia" w:ascii="仿宋" w:hAnsi="仿宋" w:eastAsia="仿宋" w:cs="仿宋"/>
          <w:b/>
          <w:bCs/>
          <w:sz w:val="36"/>
          <w:szCs w:val="36"/>
          <w:highlight w:val="none"/>
          <w:u w:val="single"/>
          <w:lang w:val="en-US" w:eastAsia="zh-CN"/>
        </w:rPr>
        <w:t xml:space="preserve">       </w:t>
      </w:r>
    </w:p>
    <w:p w14:paraId="40BC3F40">
      <w:pPr>
        <w:pStyle w:val="32"/>
        <w:spacing w:before="0" w:after="0"/>
        <w:ind w:firstLine="0" w:firstLineChars="0"/>
        <w:textAlignment w:val="baseline"/>
        <w:rPr>
          <w:rFonts w:ascii="仿宋" w:hAnsi="仿宋" w:eastAsia="仿宋" w:cs="仿宋"/>
          <w:b/>
          <w:bCs/>
          <w:sz w:val="36"/>
          <w:szCs w:val="36"/>
          <w:highlight w:val="none"/>
        </w:rPr>
      </w:pPr>
    </w:p>
    <w:p w14:paraId="54DD7409">
      <w:pPr>
        <w:pStyle w:val="32"/>
        <w:spacing w:before="0" w:after="0"/>
        <w:ind w:firstLine="0" w:firstLineChars="0"/>
        <w:textAlignment w:val="baseline"/>
        <w:rPr>
          <w:rFonts w:ascii="仿宋" w:hAnsi="仿宋" w:eastAsia="仿宋" w:cs="仿宋"/>
          <w:b/>
          <w:bCs/>
          <w:sz w:val="36"/>
          <w:szCs w:val="36"/>
          <w:highlight w:val="none"/>
        </w:rPr>
      </w:pPr>
    </w:p>
    <w:p w14:paraId="0FC97367">
      <w:pPr>
        <w:pStyle w:val="32"/>
        <w:spacing w:before="0" w:after="0"/>
        <w:ind w:firstLine="0" w:firstLineChars="0"/>
        <w:textAlignment w:val="baseline"/>
        <w:rPr>
          <w:rFonts w:ascii="仿宋" w:hAnsi="仿宋" w:eastAsia="仿宋" w:cs="仿宋"/>
          <w:b/>
          <w:bCs/>
          <w:sz w:val="36"/>
          <w:szCs w:val="36"/>
          <w:highlight w:val="none"/>
        </w:rPr>
      </w:pPr>
    </w:p>
    <w:p w14:paraId="31D8229D">
      <w:pPr>
        <w:pStyle w:val="32"/>
        <w:spacing w:before="0" w:after="0"/>
        <w:ind w:firstLine="1807" w:firstLineChars="500"/>
        <w:jc w:val="both"/>
        <w:textAlignment w:val="baseline"/>
        <w:rPr>
          <w:rFonts w:hint="default" w:ascii="仿宋" w:hAnsi="仿宋" w:eastAsia="仿宋" w:cs="仿宋"/>
          <w:b/>
          <w:bCs/>
          <w:sz w:val="36"/>
          <w:szCs w:val="36"/>
          <w:highlight w:val="none"/>
          <w:u w:val="single"/>
          <w:lang w:val="en-US" w:eastAsia="zh-CN"/>
        </w:rPr>
      </w:pPr>
      <w:r>
        <w:rPr>
          <w:rFonts w:hint="eastAsia" w:ascii="仿宋" w:hAnsi="仿宋" w:eastAsia="仿宋" w:cs="仿宋"/>
          <w:b/>
          <w:bCs/>
          <w:sz w:val="36"/>
          <w:szCs w:val="36"/>
          <w:highlight w:val="none"/>
        </w:rPr>
        <w:t>采 购 人：</w:t>
      </w:r>
      <w:r>
        <w:rPr>
          <w:rFonts w:hint="eastAsia" w:ascii="仿宋" w:hAnsi="仿宋" w:eastAsia="仿宋" w:cs="仿宋"/>
          <w:b/>
          <w:bCs/>
          <w:sz w:val="36"/>
          <w:szCs w:val="36"/>
          <w:highlight w:val="none"/>
          <w:u w:val="single"/>
        </w:rPr>
        <w:t xml:space="preserve">江苏省渔业技术推广中心 </w:t>
      </w:r>
      <w:r>
        <w:rPr>
          <w:rFonts w:hint="eastAsia" w:ascii="仿宋" w:hAnsi="仿宋" w:eastAsia="仿宋" w:cs="仿宋"/>
          <w:b/>
          <w:bCs/>
          <w:sz w:val="36"/>
          <w:szCs w:val="36"/>
          <w:highlight w:val="none"/>
          <w:u w:val="single"/>
          <w:lang w:val="en-US" w:eastAsia="zh-CN"/>
        </w:rPr>
        <w:t xml:space="preserve">  </w:t>
      </w:r>
    </w:p>
    <w:p w14:paraId="055CCEEB">
      <w:pPr>
        <w:autoSpaceDE w:val="0"/>
        <w:autoSpaceDN w:val="0"/>
        <w:adjustRightInd w:val="0"/>
        <w:spacing w:line="360" w:lineRule="auto"/>
        <w:jc w:val="center"/>
        <w:rPr>
          <w:rFonts w:ascii="黑体" w:hAnsi="黑体" w:eastAsia="黑体" w:cs="黑体"/>
          <w:sz w:val="36"/>
          <w:szCs w:val="36"/>
          <w:highlight w:val="none"/>
          <w:u w:val="single"/>
        </w:rPr>
      </w:pPr>
      <w:r>
        <w:rPr>
          <w:rFonts w:hint="eastAsia" w:ascii="仿宋" w:hAnsi="仿宋" w:eastAsia="仿宋" w:cs="仿宋"/>
          <w:b/>
          <w:bCs/>
          <w:sz w:val="36"/>
          <w:szCs w:val="36"/>
          <w:highlight w:val="none"/>
        </w:rPr>
        <w:t>代理机构</w:t>
      </w:r>
      <w:r>
        <w:rPr>
          <w:rFonts w:hint="eastAsia" w:ascii="仿宋" w:hAnsi="仿宋" w:eastAsia="仿宋" w:cs="仿宋"/>
          <w:b/>
          <w:bCs/>
          <w:kern w:val="0"/>
          <w:sz w:val="36"/>
          <w:szCs w:val="36"/>
          <w:highlight w:val="none"/>
        </w:rPr>
        <w:t>：</w:t>
      </w:r>
      <w:r>
        <w:rPr>
          <w:rFonts w:hint="eastAsia" w:ascii="仿宋" w:hAnsi="仿宋" w:eastAsia="仿宋" w:cs="仿宋"/>
          <w:b/>
          <w:bCs/>
          <w:kern w:val="0"/>
          <w:sz w:val="36"/>
          <w:szCs w:val="36"/>
          <w:highlight w:val="none"/>
          <w:u w:val="single"/>
        </w:rPr>
        <w:t>江苏星星工程咨询有限公司</w:t>
      </w:r>
    </w:p>
    <w:p w14:paraId="47991C5D">
      <w:pPr>
        <w:pStyle w:val="32"/>
        <w:spacing w:before="0" w:after="0"/>
        <w:ind w:firstLine="720"/>
        <w:jc w:val="center"/>
        <w:textAlignment w:val="baseline"/>
        <w:rPr>
          <w:rFonts w:ascii="仿宋" w:hAnsi="仿宋" w:eastAsia="仿宋" w:cs="仿宋"/>
          <w:b/>
          <w:bCs/>
          <w:sz w:val="36"/>
          <w:szCs w:val="36"/>
          <w:highlight w:val="none"/>
        </w:rPr>
      </w:pPr>
    </w:p>
    <w:p w14:paraId="14439A91">
      <w:pPr>
        <w:pStyle w:val="32"/>
        <w:spacing w:before="0" w:after="0"/>
        <w:ind w:firstLine="2891" w:firstLineChars="800"/>
        <w:jc w:val="both"/>
        <w:textAlignment w:val="baseline"/>
        <w:rPr>
          <w:rFonts w:ascii="仿宋" w:hAnsi="仿宋" w:eastAsia="仿宋" w:cs="仿宋"/>
          <w:kern w:val="2"/>
          <w:sz w:val="36"/>
          <w:szCs w:val="36"/>
          <w:highlight w:val="none"/>
        </w:rPr>
      </w:pPr>
      <w:r>
        <w:rPr>
          <w:rFonts w:hint="eastAsia" w:ascii="仿宋" w:hAnsi="仿宋" w:eastAsia="仿宋" w:cs="仿宋"/>
          <w:b/>
          <w:bCs/>
          <w:sz w:val="36"/>
          <w:szCs w:val="36"/>
          <w:highlight w:val="none"/>
        </w:rPr>
        <w:t xml:space="preserve">二 〇 二 </w:t>
      </w:r>
      <w:r>
        <w:rPr>
          <w:rFonts w:hint="eastAsia" w:ascii="仿宋" w:hAnsi="仿宋" w:eastAsia="仿宋" w:cs="仿宋"/>
          <w:b/>
          <w:bCs/>
          <w:sz w:val="36"/>
          <w:szCs w:val="36"/>
          <w:highlight w:val="none"/>
          <w:lang w:val="en-US" w:eastAsia="zh-CN"/>
        </w:rPr>
        <w:t>六</w:t>
      </w:r>
      <w:r>
        <w:rPr>
          <w:rFonts w:hint="eastAsia" w:ascii="仿宋" w:hAnsi="仿宋" w:eastAsia="仿宋" w:cs="仿宋"/>
          <w:b/>
          <w:bCs/>
          <w:sz w:val="36"/>
          <w:szCs w:val="36"/>
          <w:highlight w:val="none"/>
        </w:rPr>
        <w:t xml:space="preserve"> 年 </w:t>
      </w:r>
      <w:r>
        <w:rPr>
          <w:rFonts w:hint="eastAsia" w:ascii="仿宋" w:hAnsi="仿宋" w:eastAsia="仿宋" w:cs="仿宋"/>
          <w:b/>
          <w:bCs/>
          <w:sz w:val="36"/>
          <w:szCs w:val="36"/>
          <w:highlight w:val="none"/>
          <w:lang w:val="en-US" w:eastAsia="zh-CN"/>
        </w:rPr>
        <w:t xml:space="preserve">六 </w:t>
      </w:r>
      <w:r>
        <w:rPr>
          <w:rFonts w:hint="eastAsia" w:ascii="仿宋" w:hAnsi="仿宋" w:eastAsia="仿宋" w:cs="仿宋"/>
          <w:b/>
          <w:bCs/>
          <w:sz w:val="36"/>
          <w:szCs w:val="36"/>
          <w:highlight w:val="none"/>
        </w:rPr>
        <w:t>月</w:t>
      </w:r>
    </w:p>
    <w:p w14:paraId="6F55067F">
      <w:pPr>
        <w:spacing w:line="240" w:lineRule="atLeast"/>
        <w:jc w:val="center"/>
        <w:textAlignment w:val="baseline"/>
        <w:rPr>
          <w:rFonts w:ascii="仿宋" w:hAnsi="仿宋" w:eastAsia="仿宋" w:cs="仿宋"/>
          <w:b/>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856" w:bottom="1440" w:left="1140" w:header="624" w:footer="964" w:gutter="0"/>
          <w:cols w:space="0" w:num="1"/>
          <w:titlePg/>
          <w:docGrid w:type="lines" w:linePitch="312" w:charSpace="0"/>
        </w:sectPr>
      </w:pPr>
    </w:p>
    <w:p w14:paraId="5BCBC5FD">
      <w:pPr>
        <w:spacing w:line="240" w:lineRule="atLeast"/>
        <w:jc w:val="center"/>
        <w:textAlignment w:val="baseline"/>
        <w:rPr>
          <w:rFonts w:ascii="仿宋" w:hAnsi="仿宋" w:eastAsia="仿宋" w:cs="仿宋"/>
          <w:b/>
          <w:bCs/>
          <w:sz w:val="32"/>
          <w:szCs w:val="32"/>
          <w:highlight w:val="none"/>
        </w:rPr>
      </w:pPr>
      <w:r>
        <w:rPr>
          <w:rFonts w:hint="eastAsia" w:ascii="仿宋" w:hAnsi="仿宋" w:eastAsia="仿宋" w:cs="仿宋"/>
          <w:b/>
          <w:bCs/>
          <w:sz w:val="32"/>
          <w:szCs w:val="32"/>
          <w:highlight w:val="none"/>
        </w:rPr>
        <w:t>目录</w:t>
      </w:r>
    </w:p>
    <w:p w14:paraId="539098AF">
      <w:pPr>
        <w:pStyle w:val="19"/>
        <w:tabs>
          <w:tab w:val="right" w:leader="dot" w:pos="9174"/>
        </w:tabs>
        <w:ind w:left="240" w:hanging="240" w:hangingChars="100"/>
        <w:rPr>
          <w:rFonts w:ascii="宋体" w:hAnsi="宋体"/>
          <w:sz w:val="24"/>
          <w:szCs w:val="24"/>
          <w:highlight w:val="none"/>
        </w:rPr>
      </w:pPr>
      <w:r>
        <w:rPr>
          <w:rFonts w:hint="eastAsia" w:ascii="宋体" w:hAnsi="宋体" w:cs="仿宋"/>
          <w:b w:val="0"/>
          <w:caps w:val="0"/>
          <w:sz w:val="24"/>
          <w:szCs w:val="24"/>
          <w:highlight w:val="none"/>
        </w:rPr>
        <w:fldChar w:fldCharType="begin"/>
      </w:r>
      <w:r>
        <w:rPr>
          <w:rFonts w:hint="eastAsia" w:ascii="宋体" w:hAnsi="宋体" w:cs="仿宋"/>
          <w:b w:val="0"/>
          <w:caps w:val="0"/>
          <w:sz w:val="24"/>
          <w:szCs w:val="24"/>
          <w:highlight w:val="none"/>
        </w:rPr>
        <w:instrText xml:space="preserve">TOC \o "1-2" \h \u </w:instrText>
      </w:r>
      <w:r>
        <w:rPr>
          <w:rFonts w:hint="eastAsia" w:ascii="宋体" w:hAnsi="宋体" w:cs="仿宋"/>
          <w:b w:val="0"/>
          <w:caps w:val="0"/>
          <w:sz w:val="24"/>
          <w:szCs w:val="24"/>
          <w:highlight w:val="none"/>
        </w:rPr>
        <w:fldChar w:fldCharType="separate"/>
      </w:r>
      <w:r>
        <w:rPr>
          <w:highlight w:val="none"/>
        </w:rPr>
        <w:fldChar w:fldCharType="begin"/>
      </w:r>
      <w:r>
        <w:rPr>
          <w:highlight w:val="none"/>
        </w:rPr>
        <w:instrText xml:space="preserve"> HYPERLINK \l "_Toc13176" </w:instrText>
      </w:r>
      <w:r>
        <w:rPr>
          <w:highlight w:val="none"/>
        </w:rPr>
        <w:fldChar w:fldCharType="separate"/>
      </w:r>
      <w:r>
        <w:rPr>
          <w:rFonts w:hint="eastAsia" w:ascii="宋体" w:hAnsi="宋体" w:cs="仿宋"/>
          <w:sz w:val="24"/>
          <w:szCs w:val="24"/>
          <w:highlight w:val="none"/>
        </w:rPr>
        <w:t>第一章  采购邀请</w:t>
      </w:r>
      <w:r>
        <w:rPr>
          <w:rFonts w:hint="eastAsia" w:ascii="宋体" w:hAnsi="宋体"/>
          <w:sz w:val="24"/>
          <w:szCs w:val="24"/>
          <w:highlight w:val="none"/>
          <w:lang w:val="en-US" w:eastAsia="zh-CN"/>
        </w:rPr>
        <w:t>----------------------------------------------------------</w:t>
      </w:r>
      <w:r>
        <w:rPr>
          <w:rFonts w:ascii="宋体" w:hAnsi="宋体"/>
          <w:sz w:val="24"/>
          <w:szCs w:val="24"/>
          <w:highlight w:val="none"/>
        </w:rPr>
        <w:fldChar w:fldCharType="begin"/>
      </w:r>
      <w:r>
        <w:rPr>
          <w:rFonts w:ascii="宋体" w:hAnsi="宋体"/>
          <w:sz w:val="24"/>
          <w:szCs w:val="24"/>
          <w:highlight w:val="none"/>
        </w:rPr>
        <w:instrText xml:space="preserve"> PAGEREF _Toc13176 \h </w:instrText>
      </w:r>
      <w:r>
        <w:rPr>
          <w:rFonts w:ascii="宋体" w:hAnsi="宋体"/>
          <w:sz w:val="24"/>
          <w:szCs w:val="24"/>
          <w:highlight w:val="none"/>
        </w:rPr>
        <w:fldChar w:fldCharType="separate"/>
      </w:r>
      <w:r>
        <w:rPr>
          <w:rFonts w:ascii="宋体" w:hAnsi="宋体"/>
          <w:sz w:val="24"/>
          <w:szCs w:val="24"/>
          <w:highlight w:val="none"/>
        </w:rPr>
        <w:t>1</w:t>
      </w:r>
      <w:r>
        <w:rPr>
          <w:rFonts w:ascii="宋体" w:hAnsi="宋体"/>
          <w:sz w:val="24"/>
          <w:szCs w:val="24"/>
          <w:highlight w:val="none"/>
        </w:rPr>
        <w:fldChar w:fldCharType="end"/>
      </w:r>
      <w:r>
        <w:rPr>
          <w:rFonts w:ascii="宋体" w:hAnsi="宋体"/>
          <w:sz w:val="24"/>
          <w:szCs w:val="24"/>
          <w:highlight w:val="none"/>
        </w:rPr>
        <w:fldChar w:fldCharType="end"/>
      </w:r>
    </w:p>
    <w:p w14:paraId="0721AFC4">
      <w:pPr>
        <w:pStyle w:val="19"/>
        <w:tabs>
          <w:tab w:val="right" w:leader="dot" w:pos="9174"/>
        </w:tabs>
        <w:rPr>
          <w:rFonts w:ascii="宋体" w:hAnsi="宋体"/>
          <w:sz w:val="24"/>
          <w:szCs w:val="24"/>
          <w:highlight w:val="none"/>
        </w:rPr>
      </w:pPr>
      <w:r>
        <w:rPr>
          <w:highlight w:val="none"/>
        </w:rPr>
        <w:fldChar w:fldCharType="begin"/>
      </w:r>
      <w:r>
        <w:rPr>
          <w:highlight w:val="none"/>
        </w:rPr>
        <w:instrText xml:space="preserve"> HYPERLINK \l "_Toc24306" </w:instrText>
      </w:r>
      <w:r>
        <w:rPr>
          <w:highlight w:val="none"/>
        </w:rPr>
        <w:fldChar w:fldCharType="separate"/>
      </w:r>
      <w:r>
        <w:rPr>
          <w:rFonts w:hint="eastAsia" w:ascii="宋体" w:hAnsi="宋体" w:cs="仿宋"/>
          <w:sz w:val="24"/>
          <w:szCs w:val="24"/>
          <w:highlight w:val="none"/>
        </w:rPr>
        <w:t xml:space="preserve">第二章  </w:t>
      </w:r>
      <w:r>
        <w:rPr>
          <w:rFonts w:hint="eastAsia" w:ascii="宋体" w:hAnsi="宋体" w:cs="仿宋"/>
          <w:sz w:val="24"/>
          <w:szCs w:val="24"/>
          <w:highlight w:val="none"/>
          <w:lang w:val="en-US" w:eastAsia="zh-CN"/>
        </w:rPr>
        <w:t>供应商</w:t>
      </w:r>
      <w:r>
        <w:rPr>
          <w:rFonts w:hint="eastAsia" w:ascii="宋体" w:hAnsi="宋体" w:cs="仿宋"/>
          <w:sz w:val="24"/>
          <w:szCs w:val="24"/>
          <w:highlight w:val="none"/>
        </w:rPr>
        <w:t>须知</w:t>
      </w:r>
      <w:r>
        <w:rPr>
          <w:rFonts w:hint="eastAsia" w:ascii="宋体" w:hAnsi="宋体"/>
          <w:sz w:val="24"/>
          <w:szCs w:val="24"/>
          <w:highlight w:val="none"/>
          <w:lang w:val="en-US" w:eastAsia="zh-CN"/>
        </w:rPr>
        <w:t>--------------------------------------------------------5</w:t>
      </w:r>
      <w:r>
        <w:rPr>
          <w:rFonts w:ascii="宋体" w:hAnsi="宋体"/>
          <w:sz w:val="24"/>
          <w:szCs w:val="24"/>
          <w:highlight w:val="none"/>
        </w:rPr>
        <w:fldChar w:fldCharType="end"/>
      </w:r>
    </w:p>
    <w:p w14:paraId="6C31343C">
      <w:pPr>
        <w:pStyle w:val="20"/>
        <w:tabs>
          <w:tab w:val="right" w:leader="dot" w:pos="9174"/>
        </w:tabs>
        <w:rPr>
          <w:rFonts w:ascii="宋体" w:hAnsi="宋体"/>
          <w:sz w:val="24"/>
          <w:szCs w:val="24"/>
          <w:highlight w:val="none"/>
        </w:rPr>
      </w:pPr>
      <w:r>
        <w:rPr>
          <w:highlight w:val="none"/>
        </w:rPr>
        <w:fldChar w:fldCharType="begin"/>
      </w:r>
      <w:r>
        <w:rPr>
          <w:highlight w:val="none"/>
        </w:rPr>
        <w:instrText xml:space="preserve"> HYPERLINK \l "_Toc125" </w:instrText>
      </w:r>
      <w:r>
        <w:rPr>
          <w:highlight w:val="none"/>
        </w:rPr>
        <w:fldChar w:fldCharType="separate"/>
      </w:r>
      <w:r>
        <w:rPr>
          <w:rFonts w:hint="eastAsia" w:ascii="宋体" w:hAnsi="宋体" w:cs="仿宋"/>
          <w:sz w:val="24"/>
          <w:szCs w:val="24"/>
          <w:highlight w:val="none"/>
        </w:rPr>
        <w:t>一、总则</w:t>
      </w:r>
      <w:r>
        <w:rPr>
          <w:rFonts w:hint="eastAsia" w:ascii="宋体" w:hAnsi="宋体"/>
          <w:sz w:val="24"/>
          <w:szCs w:val="24"/>
          <w:highlight w:val="none"/>
          <w:lang w:val="en-US" w:eastAsia="zh-CN"/>
        </w:rPr>
        <w:t>-----------------------------------------------------------------5</w:t>
      </w:r>
      <w:r>
        <w:rPr>
          <w:rFonts w:ascii="宋体" w:hAnsi="宋体"/>
          <w:sz w:val="24"/>
          <w:szCs w:val="24"/>
          <w:highlight w:val="none"/>
        </w:rPr>
        <w:fldChar w:fldCharType="end"/>
      </w:r>
    </w:p>
    <w:p w14:paraId="24CFC93E">
      <w:pPr>
        <w:pStyle w:val="20"/>
        <w:tabs>
          <w:tab w:val="right" w:leader="dot" w:pos="9174"/>
        </w:tabs>
        <w:rPr>
          <w:rFonts w:ascii="宋体" w:hAnsi="宋体"/>
          <w:sz w:val="24"/>
          <w:szCs w:val="24"/>
          <w:highlight w:val="none"/>
        </w:rPr>
      </w:pPr>
      <w:r>
        <w:rPr>
          <w:highlight w:val="none"/>
        </w:rPr>
        <w:fldChar w:fldCharType="begin"/>
      </w:r>
      <w:r>
        <w:rPr>
          <w:highlight w:val="none"/>
        </w:rPr>
        <w:instrText xml:space="preserve"> HYPERLINK \l "_Toc28836" </w:instrText>
      </w:r>
      <w:r>
        <w:rPr>
          <w:highlight w:val="none"/>
        </w:rPr>
        <w:fldChar w:fldCharType="separate"/>
      </w:r>
      <w:r>
        <w:rPr>
          <w:rFonts w:hint="eastAsia" w:ascii="宋体" w:hAnsi="宋体" w:cs="仿宋"/>
          <w:sz w:val="24"/>
          <w:szCs w:val="24"/>
          <w:highlight w:val="none"/>
        </w:rPr>
        <w:t>二、磋商文件</w:t>
      </w:r>
      <w:r>
        <w:rPr>
          <w:rFonts w:hint="eastAsia" w:ascii="宋体" w:hAnsi="宋体"/>
          <w:sz w:val="24"/>
          <w:szCs w:val="24"/>
          <w:highlight w:val="none"/>
          <w:lang w:val="en-US" w:eastAsia="zh-CN"/>
        </w:rPr>
        <w:t>-------------------------------------------------------------5</w:t>
      </w:r>
      <w:r>
        <w:rPr>
          <w:rFonts w:ascii="宋体" w:hAnsi="宋体"/>
          <w:sz w:val="24"/>
          <w:szCs w:val="24"/>
          <w:highlight w:val="none"/>
        </w:rPr>
        <w:fldChar w:fldCharType="end"/>
      </w:r>
    </w:p>
    <w:p w14:paraId="6A93EA65">
      <w:pPr>
        <w:pStyle w:val="20"/>
        <w:tabs>
          <w:tab w:val="right" w:leader="dot" w:pos="9174"/>
        </w:tabs>
        <w:rPr>
          <w:rFonts w:ascii="宋体" w:hAnsi="宋体"/>
          <w:sz w:val="24"/>
          <w:szCs w:val="24"/>
          <w:highlight w:val="none"/>
        </w:rPr>
      </w:pPr>
      <w:r>
        <w:rPr>
          <w:highlight w:val="none"/>
        </w:rPr>
        <w:fldChar w:fldCharType="begin"/>
      </w:r>
      <w:r>
        <w:rPr>
          <w:highlight w:val="none"/>
        </w:rPr>
        <w:instrText xml:space="preserve"> HYPERLINK \l "_Toc8139" </w:instrText>
      </w:r>
      <w:r>
        <w:rPr>
          <w:highlight w:val="none"/>
        </w:rPr>
        <w:fldChar w:fldCharType="separate"/>
      </w:r>
      <w:r>
        <w:rPr>
          <w:rFonts w:hint="eastAsia" w:ascii="宋体" w:hAnsi="宋体" w:cs="仿宋"/>
          <w:sz w:val="24"/>
          <w:szCs w:val="24"/>
          <w:highlight w:val="none"/>
        </w:rPr>
        <w:t>三、响应文件的</w:t>
      </w:r>
      <w:r>
        <w:rPr>
          <w:rFonts w:hint="eastAsia" w:ascii="宋体" w:hAnsi="宋体" w:cs="仿宋"/>
          <w:sz w:val="24"/>
          <w:szCs w:val="24"/>
          <w:highlight w:val="none"/>
          <w:lang w:val="en-US" w:eastAsia="zh-CN"/>
        </w:rPr>
        <w:t>编制</w:t>
      </w:r>
      <w:r>
        <w:rPr>
          <w:rFonts w:hint="eastAsia" w:ascii="宋体" w:hAnsi="宋体"/>
          <w:sz w:val="24"/>
          <w:szCs w:val="24"/>
          <w:highlight w:val="none"/>
          <w:lang w:val="en-US" w:eastAsia="zh-CN"/>
        </w:rPr>
        <w:t>-------------------------------------------------------6</w:t>
      </w:r>
      <w:r>
        <w:rPr>
          <w:rFonts w:ascii="宋体" w:hAnsi="宋体"/>
          <w:sz w:val="24"/>
          <w:szCs w:val="24"/>
          <w:highlight w:val="none"/>
        </w:rPr>
        <w:fldChar w:fldCharType="end"/>
      </w:r>
    </w:p>
    <w:p w14:paraId="3CE123C2">
      <w:pPr>
        <w:pStyle w:val="20"/>
        <w:tabs>
          <w:tab w:val="right" w:leader="dot" w:pos="9174"/>
        </w:tabs>
        <w:rPr>
          <w:rFonts w:ascii="宋体" w:hAnsi="宋体"/>
          <w:sz w:val="24"/>
          <w:szCs w:val="24"/>
          <w:highlight w:val="none"/>
        </w:rPr>
      </w:pPr>
      <w:r>
        <w:rPr>
          <w:highlight w:val="none"/>
        </w:rPr>
        <w:fldChar w:fldCharType="begin"/>
      </w:r>
      <w:r>
        <w:rPr>
          <w:highlight w:val="none"/>
        </w:rPr>
        <w:instrText xml:space="preserve"> HYPERLINK \l "_Toc22961" </w:instrText>
      </w:r>
      <w:r>
        <w:rPr>
          <w:highlight w:val="none"/>
        </w:rPr>
        <w:fldChar w:fldCharType="separate"/>
      </w:r>
      <w:r>
        <w:rPr>
          <w:rFonts w:hint="eastAsia" w:ascii="宋体" w:hAnsi="宋体" w:cs="仿宋"/>
          <w:sz w:val="24"/>
          <w:szCs w:val="24"/>
          <w:highlight w:val="none"/>
        </w:rPr>
        <w:t>四、</w:t>
      </w:r>
      <w:r>
        <w:rPr>
          <w:rFonts w:hint="eastAsia" w:ascii="宋体" w:hAnsi="宋体"/>
          <w:b w:val="0"/>
          <w:bCs/>
          <w:color w:val="000000"/>
          <w:spacing w:val="8"/>
          <w:kern w:val="0"/>
          <w:sz w:val="24"/>
          <w:szCs w:val="24"/>
          <w:highlight w:val="none"/>
        </w:rPr>
        <w:t>响应文件的递交</w:t>
      </w:r>
      <w:r>
        <w:rPr>
          <w:rFonts w:hint="eastAsia" w:ascii="宋体" w:hAnsi="宋体"/>
          <w:sz w:val="24"/>
          <w:szCs w:val="24"/>
          <w:highlight w:val="none"/>
          <w:lang w:val="en-US" w:eastAsia="zh-CN"/>
        </w:rPr>
        <w:t>------------------------------------------------------8</w:t>
      </w:r>
      <w:r>
        <w:rPr>
          <w:rFonts w:ascii="宋体" w:hAnsi="宋体"/>
          <w:sz w:val="24"/>
          <w:szCs w:val="24"/>
          <w:highlight w:val="none"/>
        </w:rPr>
        <w:fldChar w:fldCharType="end"/>
      </w:r>
    </w:p>
    <w:p w14:paraId="1958D011">
      <w:pPr>
        <w:pStyle w:val="20"/>
        <w:tabs>
          <w:tab w:val="right" w:leader="dot" w:pos="9174"/>
        </w:tabs>
        <w:rPr>
          <w:rFonts w:ascii="宋体" w:hAnsi="宋体"/>
          <w:sz w:val="24"/>
          <w:szCs w:val="24"/>
          <w:highlight w:val="none"/>
        </w:rPr>
      </w:pPr>
      <w:r>
        <w:rPr>
          <w:highlight w:val="none"/>
        </w:rPr>
        <w:fldChar w:fldCharType="begin"/>
      </w:r>
      <w:r>
        <w:rPr>
          <w:highlight w:val="none"/>
        </w:rPr>
        <w:instrText xml:space="preserve"> HYPERLINK \l "_Toc17242" </w:instrText>
      </w:r>
      <w:r>
        <w:rPr>
          <w:highlight w:val="none"/>
        </w:rPr>
        <w:fldChar w:fldCharType="separate"/>
      </w:r>
      <w:r>
        <w:rPr>
          <w:rFonts w:hint="eastAsia" w:ascii="宋体" w:hAnsi="宋体" w:cs="仿宋"/>
          <w:sz w:val="24"/>
          <w:szCs w:val="24"/>
          <w:highlight w:val="none"/>
        </w:rPr>
        <w:t>五、</w:t>
      </w:r>
      <w:r>
        <w:rPr>
          <w:rFonts w:hint="eastAsia" w:ascii="宋体" w:hAnsi="宋体"/>
          <w:b/>
          <w:color w:val="000000"/>
          <w:spacing w:val="8"/>
          <w:kern w:val="0"/>
          <w:sz w:val="24"/>
          <w:szCs w:val="24"/>
          <w:highlight w:val="none"/>
        </w:rPr>
        <w:t>响应文件的评审</w:t>
      </w:r>
      <w:r>
        <w:rPr>
          <w:rFonts w:hint="eastAsia" w:ascii="宋体" w:hAnsi="宋体"/>
          <w:sz w:val="24"/>
          <w:szCs w:val="24"/>
          <w:highlight w:val="none"/>
          <w:lang w:val="en-US" w:eastAsia="zh-CN"/>
        </w:rPr>
        <w:t>------------------------------------------------------8</w:t>
      </w:r>
      <w:r>
        <w:rPr>
          <w:rFonts w:ascii="宋体" w:hAnsi="宋体"/>
          <w:sz w:val="24"/>
          <w:szCs w:val="24"/>
          <w:highlight w:val="none"/>
        </w:rPr>
        <w:fldChar w:fldCharType="end"/>
      </w:r>
    </w:p>
    <w:p w14:paraId="59DDC44C">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"_Toc14337" </w:instrText>
      </w:r>
      <w:r>
        <w:rPr>
          <w:highlight w:val="none"/>
        </w:rPr>
        <w:fldChar w:fldCharType="separate"/>
      </w:r>
      <w:r>
        <w:rPr>
          <w:rFonts w:hint="eastAsia" w:ascii="宋体" w:hAnsi="宋体" w:cs="仿宋"/>
          <w:sz w:val="24"/>
          <w:szCs w:val="24"/>
          <w:highlight w:val="none"/>
        </w:rPr>
        <w:t>六、</w:t>
      </w:r>
      <w:r>
        <w:rPr>
          <w:rFonts w:hint="eastAsia" w:ascii="宋体" w:hAnsi="宋体" w:cs="仿宋"/>
          <w:sz w:val="24"/>
          <w:szCs w:val="24"/>
          <w:highlight w:val="none"/>
          <w:lang w:val="en-US" w:eastAsia="zh-CN"/>
        </w:rPr>
        <w:t>成交</w:t>
      </w:r>
      <w:r>
        <w:rPr>
          <w:rFonts w:hint="eastAsia" w:ascii="宋体" w:hAnsi="宋体"/>
          <w:sz w:val="24"/>
          <w:szCs w:val="24"/>
          <w:highlight w:val="none"/>
          <w:lang w:val="en-US" w:eastAsia="zh-CN"/>
        </w:rPr>
        <w:t>----------------------------------------------------------------1</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1A626535">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"_Toc14337" </w:instrText>
      </w:r>
      <w:r>
        <w:rPr>
          <w:highlight w:val="none"/>
        </w:rPr>
        <w:fldChar w:fldCharType="separate"/>
      </w:r>
      <w:r>
        <w:rPr>
          <w:rFonts w:hint="eastAsia" w:ascii="宋体" w:hAnsi="宋体" w:cs="仿宋"/>
          <w:sz w:val="24"/>
          <w:szCs w:val="24"/>
          <w:highlight w:val="none"/>
          <w:lang w:val="en-US" w:eastAsia="zh-CN"/>
        </w:rPr>
        <w:t>七</w:t>
      </w:r>
      <w:r>
        <w:rPr>
          <w:rFonts w:hint="eastAsia" w:ascii="宋体" w:hAnsi="宋体" w:cs="仿宋"/>
          <w:sz w:val="24"/>
          <w:szCs w:val="24"/>
          <w:highlight w:val="none"/>
        </w:rPr>
        <w:t>、</w:t>
      </w:r>
      <w:r>
        <w:rPr>
          <w:rFonts w:hint="eastAsia" w:ascii="宋体" w:hAnsi="宋体"/>
          <w:b/>
          <w:color w:val="000000"/>
          <w:spacing w:val="8"/>
          <w:kern w:val="0"/>
          <w:sz w:val="24"/>
          <w:szCs w:val="24"/>
          <w:highlight w:val="none"/>
          <w:lang w:val="en-US" w:eastAsia="zh-CN"/>
        </w:rPr>
        <w:t>授予合同</w:t>
      </w:r>
      <w:r>
        <w:rPr>
          <w:highlight w:val="none"/>
        </w:rPr>
        <w:fldChar w:fldCharType="begin"/>
      </w:r>
      <w:r>
        <w:rPr>
          <w:highlight w:val="none"/>
        </w:rPr>
        <w:instrText xml:space="preserve"> HYPERLINK \l "_Toc14337" </w:instrText>
      </w:r>
      <w:r>
        <w:rPr>
          <w:highlight w:val="none"/>
        </w:rPr>
        <w:fldChar w:fldCharType="separate"/>
      </w:r>
      <w:r>
        <w:rPr>
          <w:rFonts w:hint="eastAsia" w:ascii="宋体" w:hAnsi="宋体"/>
          <w:sz w:val="24"/>
          <w:szCs w:val="24"/>
          <w:highlight w:val="none"/>
          <w:lang w:val="en-US" w:eastAsia="zh-CN"/>
        </w:rPr>
        <w:t>-----------------------------------------------------------1</w:t>
      </w:r>
      <w:r>
        <w:rPr>
          <w:rFonts w:ascii="宋体" w:hAnsi="宋体"/>
          <w:sz w:val="24"/>
          <w:szCs w:val="24"/>
          <w:highlight w:val="none"/>
        </w:rPr>
        <w:fldChar w:fldCharType="end"/>
      </w:r>
      <w:r>
        <w:rPr>
          <w:rFonts w:hint="eastAsia" w:ascii="宋体" w:hAnsi="宋体"/>
          <w:sz w:val="24"/>
          <w:szCs w:val="24"/>
          <w:highlight w:val="none"/>
          <w:lang w:val="en-US" w:eastAsia="zh-CN"/>
        </w:rPr>
        <w:t>5</w:t>
      </w:r>
    </w:p>
    <w:p w14:paraId="1F51FC49">
      <w:pPr>
        <w:rPr>
          <w:rFonts w:hint="eastAsia" w:eastAsia="宋体"/>
          <w:highlight w:val="none"/>
          <w:lang w:val="en-US" w:eastAsia="zh-CN"/>
        </w:rPr>
      </w:pPr>
      <w:r>
        <w:rPr>
          <w:rFonts w:hint="eastAsia"/>
          <w:highlight w:val="none"/>
          <w:lang w:val="en-US" w:eastAsia="zh-CN"/>
        </w:rPr>
        <w:t xml:space="preserve">  </w:t>
      </w:r>
      <w:r>
        <w:rPr>
          <w:rFonts w:hint="eastAsia" w:ascii="宋体" w:hAnsi="宋体" w:cs="仿宋"/>
          <w:sz w:val="24"/>
          <w:szCs w:val="24"/>
          <w:highlight w:val="none"/>
          <w:lang w:val="en-US" w:eastAsia="zh-CN"/>
        </w:rPr>
        <w:t>八</w:t>
      </w:r>
      <w:r>
        <w:rPr>
          <w:rFonts w:hint="eastAsia" w:ascii="宋体" w:hAnsi="宋体" w:cs="仿宋"/>
          <w:sz w:val="24"/>
          <w:szCs w:val="24"/>
          <w:highlight w:val="none"/>
        </w:rPr>
        <w:t>、</w:t>
      </w:r>
      <w:r>
        <w:rPr>
          <w:rFonts w:hint="eastAsia" w:ascii="宋体" w:hAnsi="宋体" w:eastAsia="宋体" w:cs="仿宋"/>
          <w:b w:val="0"/>
          <w:bCs w:val="0"/>
          <w:smallCaps/>
          <w:kern w:val="2"/>
          <w:sz w:val="24"/>
          <w:szCs w:val="24"/>
          <w:highlight w:val="none"/>
          <w:lang w:val="en-US" w:eastAsia="zh-CN" w:bidi="ar-SA"/>
        </w:rPr>
        <w:t>政策功能落实</w:t>
      </w:r>
      <w:r>
        <w:rPr>
          <w:highlight w:val="none"/>
        </w:rPr>
        <w:fldChar w:fldCharType="begin"/>
      </w:r>
      <w:r>
        <w:rPr>
          <w:highlight w:val="none"/>
        </w:rPr>
        <w:instrText xml:space="preserve"> HYPERLINK \l "_Toc14337" </w:instrText>
      </w:r>
      <w:r>
        <w:rPr>
          <w:highlight w:val="none"/>
        </w:rPr>
        <w:fldChar w:fldCharType="separate"/>
      </w:r>
      <w:r>
        <w:rPr>
          <w:rFonts w:hint="eastAsia" w:ascii="宋体" w:hAnsi="宋体"/>
          <w:sz w:val="24"/>
          <w:szCs w:val="24"/>
          <w:highlight w:val="none"/>
          <w:lang w:val="en-US" w:eastAsia="zh-CN"/>
        </w:rPr>
        <w:t>--------------------------------------------------------1</w:t>
      </w:r>
      <w:r>
        <w:rPr>
          <w:rFonts w:ascii="宋体" w:hAnsi="宋体"/>
          <w:sz w:val="24"/>
          <w:szCs w:val="24"/>
          <w:highlight w:val="none"/>
        </w:rPr>
        <w:fldChar w:fldCharType="end"/>
      </w:r>
      <w:r>
        <w:rPr>
          <w:rFonts w:hint="eastAsia" w:ascii="宋体" w:hAnsi="宋体"/>
          <w:sz w:val="24"/>
          <w:szCs w:val="24"/>
          <w:highlight w:val="none"/>
          <w:lang w:val="en-US" w:eastAsia="zh-CN"/>
        </w:rPr>
        <w:t>5</w:t>
      </w:r>
    </w:p>
    <w:p w14:paraId="491FCCEB">
      <w:pPr>
        <w:pStyle w:val="6"/>
        <w:spacing w:before="145" w:after="145" w:line="240" w:lineRule="auto"/>
        <w:rPr>
          <w:rFonts w:hint="eastAsia" w:ascii="宋体" w:hAnsi="宋体" w:eastAsia="宋体"/>
          <w:sz w:val="24"/>
          <w:szCs w:val="24"/>
          <w:highlight w:val="none"/>
          <w:lang w:val="en-US" w:eastAsia="zh-CN"/>
        </w:rPr>
      </w:pPr>
      <w:r>
        <w:rPr>
          <w:rFonts w:ascii="宋体" w:hAnsi="宋体"/>
          <w:sz w:val="24"/>
          <w:szCs w:val="24"/>
          <w:highlight w:val="none"/>
        </w:rPr>
        <w:fldChar w:fldCharType="end"/>
      </w:r>
      <w:r>
        <w:rPr>
          <w:highlight w:val="none"/>
        </w:rPr>
        <w:fldChar w:fldCharType="begin"/>
      </w:r>
      <w:r>
        <w:rPr>
          <w:highlight w:val="none"/>
        </w:rPr>
        <w:instrText xml:space="preserve"> HYPERLINK \l "_Toc7702" </w:instrText>
      </w:r>
      <w:r>
        <w:rPr>
          <w:highlight w:val="none"/>
        </w:rPr>
        <w:fldChar w:fldCharType="separate"/>
      </w:r>
      <w:r>
        <w:rPr>
          <w:rFonts w:hint="eastAsia" w:ascii="宋体" w:hAnsi="宋体" w:cs="仿宋"/>
          <w:sz w:val="24"/>
          <w:szCs w:val="24"/>
          <w:highlight w:val="none"/>
        </w:rPr>
        <w:t>第三章  合同文本</w:t>
      </w:r>
      <w:r>
        <w:rPr>
          <w:rFonts w:hint="eastAsia" w:ascii="宋体" w:hAnsi="宋体"/>
          <w:sz w:val="24"/>
          <w:szCs w:val="24"/>
          <w:highlight w:val="none"/>
          <w:lang w:val="en-US" w:eastAsia="zh-CN"/>
        </w:rPr>
        <w:t>---------------------------------------------------------1</w:t>
      </w:r>
      <w:r>
        <w:rPr>
          <w:rFonts w:ascii="宋体" w:hAnsi="宋体"/>
          <w:sz w:val="24"/>
          <w:szCs w:val="24"/>
          <w:highlight w:val="none"/>
        </w:rPr>
        <w:fldChar w:fldCharType="end"/>
      </w:r>
      <w:r>
        <w:rPr>
          <w:rFonts w:hint="eastAsia" w:ascii="宋体" w:hAnsi="宋体"/>
          <w:sz w:val="24"/>
          <w:szCs w:val="24"/>
          <w:highlight w:val="none"/>
          <w:lang w:val="en-US" w:eastAsia="zh-CN"/>
        </w:rPr>
        <w:t>9</w:t>
      </w:r>
    </w:p>
    <w:p w14:paraId="1C154868">
      <w:pPr>
        <w:pStyle w:val="19"/>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"_Toc21733" </w:instrText>
      </w:r>
      <w:r>
        <w:rPr>
          <w:highlight w:val="none"/>
        </w:rPr>
        <w:fldChar w:fldCharType="separate"/>
      </w:r>
      <w:r>
        <w:rPr>
          <w:rFonts w:hint="eastAsia" w:ascii="宋体" w:hAnsi="宋体" w:cs="仿宋"/>
          <w:sz w:val="24"/>
          <w:szCs w:val="24"/>
          <w:highlight w:val="none"/>
        </w:rPr>
        <w:t>第四章  项目需求</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35B7E359">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"_Toc5568" </w:instrText>
      </w:r>
      <w:r>
        <w:rPr>
          <w:highlight w:val="none"/>
        </w:rPr>
        <w:fldChar w:fldCharType="separate"/>
      </w:r>
      <w:r>
        <w:rPr>
          <w:rFonts w:hint="eastAsia" w:ascii="宋体" w:hAnsi="宋体" w:cs="仿宋"/>
          <w:sz w:val="24"/>
          <w:szCs w:val="24"/>
          <w:highlight w:val="none"/>
        </w:rPr>
        <w:t>一、项目概况</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26BE821D">
      <w:pPr>
        <w:pStyle w:val="20"/>
        <w:tabs>
          <w:tab w:val="right" w:leader="dot" w:pos="9174"/>
        </w:tabs>
        <w:rPr>
          <w:rFonts w:hint="eastAsia" w:eastAsia="宋体"/>
          <w:highlight w:val="none"/>
          <w:lang w:val="en-US" w:eastAsia="zh-CN"/>
        </w:rPr>
      </w:pPr>
      <w:r>
        <w:rPr>
          <w:highlight w:val="none"/>
        </w:rPr>
        <w:fldChar w:fldCharType="begin"/>
      </w:r>
      <w:r>
        <w:rPr>
          <w:highlight w:val="none"/>
        </w:rPr>
        <w:instrText xml:space="preserve"> HYPERLINK \l "_Toc519" </w:instrText>
      </w:r>
      <w:r>
        <w:rPr>
          <w:highlight w:val="none"/>
        </w:rPr>
        <w:fldChar w:fldCharType="separate"/>
      </w:r>
      <w:r>
        <w:rPr>
          <w:rFonts w:hint="eastAsia" w:ascii="宋体" w:hAnsi="宋体" w:cs="仿宋"/>
          <w:sz w:val="24"/>
          <w:szCs w:val="24"/>
          <w:highlight w:val="none"/>
          <w:lang w:val="en-US" w:eastAsia="zh-CN"/>
        </w:rPr>
        <w:t>1</w:t>
      </w:r>
      <w:r>
        <w:rPr>
          <w:rFonts w:hint="eastAsia" w:ascii="宋体" w:hAnsi="宋体" w:cs="仿宋"/>
          <w:sz w:val="24"/>
          <w:szCs w:val="24"/>
          <w:highlight w:val="none"/>
        </w:rPr>
        <w:t>、</w:t>
      </w:r>
      <w:r>
        <w:rPr>
          <w:rFonts w:hint="eastAsia" w:ascii="宋体" w:hAnsi="宋体" w:cs="仿宋"/>
          <w:sz w:val="24"/>
          <w:szCs w:val="24"/>
          <w:highlight w:val="none"/>
          <w:lang w:val="en-US" w:eastAsia="zh-CN"/>
        </w:rPr>
        <w:t>项目位置</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43F04993">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"_Toc519" </w:instrText>
      </w:r>
      <w:r>
        <w:rPr>
          <w:highlight w:val="none"/>
        </w:rPr>
        <w:fldChar w:fldCharType="separate"/>
      </w:r>
      <w:r>
        <w:rPr>
          <w:rFonts w:hint="eastAsia" w:ascii="宋体" w:hAnsi="宋体" w:cs="仿宋"/>
          <w:sz w:val="24"/>
          <w:szCs w:val="24"/>
          <w:highlight w:val="none"/>
          <w:lang w:val="en-US" w:eastAsia="zh-CN"/>
        </w:rPr>
        <w:t>2</w:t>
      </w:r>
      <w:r>
        <w:rPr>
          <w:rFonts w:hint="eastAsia" w:ascii="宋体" w:hAnsi="宋体" w:cs="仿宋"/>
          <w:sz w:val="24"/>
          <w:szCs w:val="24"/>
          <w:highlight w:val="none"/>
        </w:rPr>
        <w:t>、</w:t>
      </w:r>
      <w:r>
        <w:rPr>
          <w:rFonts w:hint="eastAsia" w:ascii="宋体" w:hAnsi="宋体" w:cs="仿宋"/>
          <w:sz w:val="24"/>
          <w:szCs w:val="24"/>
          <w:highlight w:val="none"/>
          <w:lang w:val="en-US" w:eastAsia="zh-CN"/>
        </w:rPr>
        <w:t>采购内容</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67F69991">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"_Toc21657" </w:instrText>
      </w:r>
      <w:r>
        <w:rPr>
          <w:highlight w:val="none"/>
        </w:rPr>
        <w:fldChar w:fldCharType="separate"/>
      </w:r>
      <w:r>
        <w:rPr>
          <w:rFonts w:hint="eastAsia" w:ascii="宋体" w:hAnsi="宋体" w:cs="仿宋"/>
          <w:sz w:val="24"/>
          <w:szCs w:val="24"/>
          <w:highlight w:val="none"/>
          <w:lang w:val="en-US" w:eastAsia="zh-CN"/>
        </w:rPr>
        <w:t>3</w:t>
      </w:r>
      <w:r>
        <w:rPr>
          <w:rFonts w:hint="eastAsia" w:ascii="宋体" w:hAnsi="宋体" w:cs="仿宋"/>
          <w:sz w:val="24"/>
          <w:szCs w:val="24"/>
          <w:highlight w:val="none"/>
        </w:rPr>
        <w:t>、</w:t>
      </w:r>
      <w:r>
        <w:rPr>
          <w:rFonts w:hint="eastAsia" w:ascii="宋体" w:hAnsi="宋体" w:cs="仿宋"/>
          <w:sz w:val="24"/>
          <w:szCs w:val="24"/>
          <w:highlight w:val="none"/>
          <w:lang w:val="en-US" w:eastAsia="zh-CN"/>
        </w:rPr>
        <w:t>采购数量</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1725224C">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"_Toc27358" </w:instrText>
      </w:r>
      <w:r>
        <w:rPr>
          <w:highlight w:val="none"/>
        </w:rPr>
        <w:fldChar w:fldCharType="separate"/>
      </w:r>
      <w:r>
        <w:rPr>
          <w:rFonts w:hint="eastAsia" w:ascii="宋体" w:hAnsi="宋体" w:cs="仿宋"/>
          <w:sz w:val="24"/>
          <w:szCs w:val="24"/>
          <w:highlight w:val="none"/>
          <w:lang w:val="en-US" w:eastAsia="zh-CN"/>
        </w:rPr>
        <w:t>4</w:t>
      </w:r>
      <w:r>
        <w:rPr>
          <w:rFonts w:hint="eastAsia" w:ascii="宋体" w:hAnsi="宋体" w:cs="仿宋"/>
          <w:sz w:val="24"/>
          <w:szCs w:val="24"/>
          <w:highlight w:val="none"/>
        </w:rPr>
        <w:t>、</w:t>
      </w:r>
      <w:r>
        <w:rPr>
          <w:rFonts w:hint="eastAsia" w:ascii="宋体" w:hAnsi="宋体" w:cs="仿宋"/>
          <w:sz w:val="24"/>
          <w:szCs w:val="24"/>
          <w:highlight w:val="none"/>
          <w:lang w:val="en-US" w:eastAsia="zh-CN"/>
        </w:rPr>
        <w:t>服务范围</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4035B2BC">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"_Toc16784" </w:instrText>
      </w:r>
      <w:r>
        <w:rPr>
          <w:highlight w:val="none"/>
        </w:rPr>
        <w:fldChar w:fldCharType="separate"/>
      </w:r>
      <w:r>
        <w:rPr>
          <w:rFonts w:hint="eastAsia" w:ascii="宋体" w:hAnsi="宋体" w:cs="仿宋"/>
          <w:sz w:val="24"/>
          <w:szCs w:val="24"/>
          <w:highlight w:val="none"/>
          <w:lang w:val="en-US" w:eastAsia="zh-CN"/>
        </w:rPr>
        <w:t>5</w:t>
      </w:r>
      <w:r>
        <w:rPr>
          <w:rFonts w:hint="eastAsia" w:ascii="宋体" w:hAnsi="宋体" w:cs="仿宋"/>
          <w:sz w:val="24"/>
          <w:szCs w:val="24"/>
          <w:highlight w:val="none"/>
        </w:rPr>
        <w:t>、</w:t>
      </w:r>
      <w:r>
        <w:rPr>
          <w:rFonts w:hint="eastAsia" w:ascii="宋体" w:hAnsi="宋体" w:cs="仿宋"/>
          <w:sz w:val="24"/>
          <w:szCs w:val="24"/>
          <w:highlight w:val="none"/>
          <w:lang w:val="en-US" w:eastAsia="zh-CN"/>
        </w:rPr>
        <w:t>质量标准</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6775A28A">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"_Toc26277" </w:instrText>
      </w:r>
      <w:r>
        <w:rPr>
          <w:highlight w:val="none"/>
        </w:rPr>
        <w:fldChar w:fldCharType="separate"/>
      </w:r>
      <w:r>
        <w:rPr>
          <w:rFonts w:hint="eastAsia" w:ascii="宋体" w:hAnsi="宋体" w:cs="仿宋"/>
          <w:bCs/>
          <w:sz w:val="24"/>
          <w:szCs w:val="24"/>
          <w:highlight w:val="none"/>
          <w:lang w:val="en-US" w:eastAsia="zh-CN"/>
        </w:rPr>
        <w:t>6</w:t>
      </w:r>
      <w:r>
        <w:rPr>
          <w:rFonts w:hint="eastAsia" w:ascii="宋体" w:hAnsi="宋体" w:cs="仿宋"/>
          <w:bCs/>
          <w:sz w:val="24"/>
          <w:szCs w:val="24"/>
          <w:highlight w:val="none"/>
        </w:rPr>
        <w:t>、</w:t>
      </w:r>
      <w:r>
        <w:rPr>
          <w:rFonts w:hint="eastAsia" w:ascii="宋体" w:hAnsi="宋体" w:cs="仿宋"/>
          <w:bCs/>
          <w:sz w:val="24"/>
          <w:szCs w:val="24"/>
          <w:highlight w:val="none"/>
          <w:lang w:val="en-US" w:eastAsia="zh-CN"/>
        </w:rPr>
        <w:t>服务时限</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64C6CAB1">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"_Toc23253" </w:instrText>
      </w:r>
      <w:r>
        <w:rPr>
          <w:highlight w:val="none"/>
        </w:rPr>
        <w:fldChar w:fldCharType="separate"/>
      </w:r>
      <w:r>
        <w:rPr>
          <w:rFonts w:hint="eastAsia" w:ascii="宋体" w:hAnsi="宋体" w:cs="仿宋"/>
          <w:bCs/>
          <w:sz w:val="24"/>
          <w:szCs w:val="24"/>
          <w:highlight w:val="none"/>
          <w:lang w:val="en-US" w:eastAsia="zh-CN"/>
        </w:rPr>
        <w:t>7</w:t>
      </w:r>
      <w:r>
        <w:rPr>
          <w:rFonts w:hint="eastAsia" w:ascii="宋体" w:hAnsi="宋体" w:cs="仿宋"/>
          <w:bCs/>
          <w:sz w:val="24"/>
          <w:szCs w:val="24"/>
          <w:highlight w:val="none"/>
        </w:rPr>
        <w:t>、</w:t>
      </w:r>
      <w:r>
        <w:rPr>
          <w:rFonts w:hint="eastAsia" w:ascii="宋体" w:hAnsi="宋体" w:cs="宋体"/>
          <w:b w:val="0"/>
          <w:bCs/>
          <w:sz w:val="24"/>
          <w:highlight w:val="none"/>
        </w:rPr>
        <w:t>主要技术参数及性能指标</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7C0E0AF7">
      <w:pPr>
        <w:pStyle w:val="20"/>
        <w:tabs>
          <w:tab w:val="right" w:leader="dot" w:pos="9174"/>
        </w:tabs>
        <w:ind w:left="0" w:leftChars="0" w:firstLine="200" w:firstLineChars="100"/>
        <w:rPr>
          <w:rFonts w:hint="eastAsia" w:ascii="宋体" w:hAnsi="宋体" w:eastAsia="宋体"/>
          <w:sz w:val="24"/>
          <w:szCs w:val="24"/>
          <w:highlight w:val="none"/>
          <w:lang w:val="en-US" w:eastAsia="zh-CN"/>
        </w:rPr>
      </w:pPr>
      <w:r>
        <w:rPr>
          <w:rFonts w:hint="eastAsia"/>
          <w:highlight w:val="none"/>
        </w:rPr>
        <w:t xml:space="preserve"> </w:t>
      </w:r>
      <w:r>
        <w:rPr>
          <w:highlight w:val="none"/>
        </w:rPr>
        <w:fldChar w:fldCharType="begin"/>
      </w:r>
      <w:r>
        <w:rPr>
          <w:highlight w:val="none"/>
        </w:rPr>
        <w:instrText xml:space="preserve"> HYPERLINK \l "_Toc23253" </w:instrText>
      </w:r>
      <w:r>
        <w:rPr>
          <w:highlight w:val="none"/>
        </w:rPr>
        <w:fldChar w:fldCharType="separate"/>
      </w:r>
      <w:r>
        <w:rPr>
          <w:rFonts w:hint="eastAsia" w:ascii="宋体" w:hAnsi="宋体" w:cs="仿宋"/>
          <w:bCs/>
          <w:sz w:val="24"/>
          <w:szCs w:val="24"/>
          <w:highlight w:val="none"/>
          <w:lang w:val="en-US" w:eastAsia="zh-CN"/>
        </w:rPr>
        <w:t>8</w:t>
      </w:r>
      <w:r>
        <w:rPr>
          <w:rFonts w:hint="eastAsia" w:ascii="宋体" w:hAnsi="宋体" w:cs="仿宋"/>
          <w:bCs/>
          <w:sz w:val="24"/>
          <w:szCs w:val="24"/>
          <w:highlight w:val="none"/>
        </w:rPr>
        <w:t>、</w:t>
      </w:r>
      <w:r>
        <w:rPr>
          <w:rFonts w:hint="eastAsia" w:ascii="宋体" w:hAnsi="宋体" w:cs="仿宋"/>
          <w:bCs/>
          <w:sz w:val="24"/>
          <w:szCs w:val="24"/>
          <w:highlight w:val="none"/>
          <w:lang w:val="en-US" w:eastAsia="zh-CN"/>
        </w:rPr>
        <w:t>商务要求</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2</w:t>
      </w:r>
    </w:p>
    <w:p w14:paraId="5E978BBA">
      <w:pPr>
        <w:ind w:firstLine="210" w:firstLineChars="100"/>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"_Toc23253" </w:instrText>
      </w:r>
      <w:r>
        <w:rPr>
          <w:highlight w:val="none"/>
        </w:rPr>
        <w:fldChar w:fldCharType="separate"/>
      </w:r>
      <w:r>
        <w:rPr>
          <w:rFonts w:hint="eastAsia" w:ascii="宋体" w:hAnsi="宋体" w:cs="仿宋"/>
          <w:bCs/>
          <w:sz w:val="24"/>
          <w:szCs w:val="24"/>
          <w:highlight w:val="none"/>
          <w:lang w:val="en-US" w:eastAsia="zh-CN"/>
        </w:rPr>
        <w:t>二</w:t>
      </w:r>
      <w:r>
        <w:rPr>
          <w:rFonts w:hint="eastAsia" w:ascii="宋体" w:hAnsi="宋体" w:cs="仿宋"/>
          <w:bCs/>
          <w:sz w:val="24"/>
          <w:szCs w:val="24"/>
          <w:highlight w:val="none"/>
        </w:rPr>
        <w:t>、</w:t>
      </w:r>
      <w:r>
        <w:rPr>
          <w:rFonts w:hint="eastAsia" w:ascii="宋体" w:hAnsi="宋体" w:cs="仿宋"/>
          <w:bCs/>
          <w:sz w:val="24"/>
          <w:szCs w:val="24"/>
          <w:highlight w:val="none"/>
          <w:lang w:val="en-US" w:eastAsia="zh-CN"/>
        </w:rPr>
        <w:t>其他</w:t>
      </w:r>
      <w:r>
        <w:rPr>
          <w:rFonts w:ascii="宋体" w:hAnsi="宋体" w:cs="仿宋"/>
          <w:bCs/>
          <w:sz w:val="24"/>
          <w:szCs w:val="24"/>
          <w:highlight w:val="none"/>
        </w:rPr>
        <w:t>要求</w:t>
      </w:r>
      <w:r>
        <w:rPr>
          <w:rFonts w:hint="eastAsia" w:ascii="宋体" w:hAnsi="宋体" w:cs="仿宋"/>
          <w:bCs/>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3</w:t>
      </w:r>
    </w:p>
    <w:p w14:paraId="1FF4F905">
      <w:pPr>
        <w:snapToGrid w:val="0"/>
        <w:spacing w:line="360" w:lineRule="auto"/>
        <w:outlineLvl w:val="2"/>
        <w:rPr>
          <w:rFonts w:hint="default" w:ascii="宋体" w:hAnsi="宋体" w:eastAsia="宋体" w:cs="仿宋"/>
          <w:bCs/>
          <w:sz w:val="24"/>
          <w:szCs w:val="24"/>
          <w:highlight w:val="none"/>
          <w:lang w:val="en-US" w:eastAsia="zh-CN"/>
        </w:rPr>
      </w:pPr>
      <w:r>
        <w:rPr>
          <w:rFonts w:hint="eastAsia" w:ascii="宋体" w:hAnsi="宋体" w:cs="仿宋"/>
          <w:bCs/>
          <w:sz w:val="24"/>
          <w:szCs w:val="24"/>
          <w:highlight w:val="none"/>
          <w:lang w:val="en-US" w:eastAsia="zh-CN"/>
        </w:rPr>
        <w:t>三</w:t>
      </w:r>
      <w:r>
        <w:rPr>
          <w:rFonts w:ascii="宋体" w:hAnsi="宋体" w:cs="仿宋"/>
          <w:bCs/>
          <w:sz w:val="24"/>
          <w:szCs w:val="24"/>
          <w:highlight w:val="none"/>
        </w:rPr>
        <w:t>、</w:t>
      </w:r>
      <w:r>
        <w:rPr>
          <w:rFonts w:hint="eastAsia" w:ascii="宋体" w:hAnsi="宋体" w:eastAsia="宋体" w:cs="仿宋"/>
          <w:bCs/>
          <w:smallCaps/>
          <w:kern w:val="2"/>
          <w:sz w:val="24"/>
          <w:szCs w:val="24"/>
          <w:highlight w:val="none"/>
          <w:lang w:val="en-US" w:eastAsia="zh-CN" w:bidi="ar-SA"/>
        </w:rPr>
        <w:t>工程量清单</w:t>
      </w:r>
      <w:r>
        <w:rPr>
          <w:rFonts w:hint="eastAsia" w:ascii="宋体" w:hAnsi="宋体" w:cs="仿宋"/>
          <w:bCs/>
          <w:smallCaps/>
          <w:kern w:val="2"/>
          <w:sz w:val="24"/>
          <w:szCs w:val="24"/>
          <w:highlight w:val="none"/>
          <w:lang w:val="en-US" w:eastAsia="zh-CN" w:bidi="ar-SA"/>
        </w:rPr>
        <w:t>------------------------------------------------------------</w:t>
      </w:r>
      <w:r>
        <w:rPr>
          <w:rFonts w:hint="eastAsia" w:ascii="宋体" w:hAnsi="宋体"/>
          <w:sz w:val="24"/>
          <w:szCs w:val="24"/>
          <w:highlight w:val="none"/>
          <w:lang w:val="en-US" w:eastAsia="zh-CN"/>
        </w:rPr>
        <w:t>53</w:t>
      </w:r>
    </w:p>
    <w:p w14:paraId="6E43176D">
      <w:pPr>
        <w:pStyle w:val="19"/>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"_Toc30505" </w:instrText>
      </w:r>
      <w:r>
        <w:rPr>
          <w:highlight w:val="none"/>
        </w:rPr>
        <w:fldChar w:fldCharType="separate"/>
      </w:r>
      <w:r>
        <w:rPr>
          <w:rFonts w:hint="eastAsia" w:ascii="宋体" w:hAnsi="宋体" w:cs="仿宋"/>
          <w:sz w:val="24"/>
          <w:szCs w:val="24"/>
          <w:highlight w:val="none"/>
        </w:rPr>
        <w:t>第五章  评审方法与评审标准</w:t>
      </w:r>
      <w:r>
        <w:rPr>
          <w:rFonts w:hint="eastAsia" w:ascii="宋体" w:hAnsi="宋体"/>
          <w:sz w:val="24"/>
          <w:szCs w:val="24"/>
          <w:highlight w:val="none"/>
          <w:lang w:val="en-US" w:eastAsia="zh-CN"/>
        </w:rPr>
        <w:t>-----------------------------------------------5</w:t>
      </w:r>
      <w:r>
        <w:rPr>
          <w:rFonts w:hint="eastAsia" w:ascii="宋体" w:hAnsi="宋体"/>
          <w:sz w:val="24"/>
          <w:szCs w:val="24"/>
          <w:highlight w:val="none"/>
        </w:rPr>
        <w:fldChar w:fldCharType="end"/>
      </w:r>
      <w:r>
        <w:rPr>
          <w:rFonts w:hint="eastAsia" w:ascii="宋体" w:hAnsi="宋体"/>
          <w:sz w:val="24"/>
          <w:szCs w:val="24"/>
          <w:highlight w:val="none"/>
          <w:lang w:val="en-US" w:eastAsia="zh-CN"/>
        </w:rPr>
        <w:t>4</w:t>
      </w:r>
    </w:p>
    <w:p w14:paraId="103D432F">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"_Toc3573" </w:instrText>
      </w:r>
      <w:r>
        <w:rPr>
          <w:highlight w:val="none"/>
        </w:rPr>
        <w:fldChar w:fldCharType="separate"/>
      </w:r>
      <w:r>
        <w:rPr>
          <w:rFonts w:hint="eastAsia" w:ascii="宋体" w:hAnsi="宋体" w:cs="仿宋"/>
          <w:kern w:val="0"/>
          <w:sz w:val="24"/>
          <w:szCs w:val="24"/>
          <w:highlight w:val="none"/>
        </w:rPr>
        <w:t>一、评审方法与评审原则</w:t>
      </w:r>
      <w:r>
        <w:rPr>
          <w:rFonts w:hint="eastAsia" w:ascii="宋体" w:hAnsi="宋体"/>
          <w:sz w:val="24"/>
          <w:szCs w:val="24"/>
          <w:highlight w:val="none"/>
          <w:lang w:val="en-US" w:eastAsia="zh-CN"/>
        </w:rPr>
        <w:t>--------------------------------------------------5</w:t>
      </w:r>
      <w:r>
        <w:rPr>
          <w:rFonts w:hint="eastAsia" w:ascii="宋体" w:hAnsi="宋体"/>
          <w:sz w:val="24"/>
          <w:szCs w:val="24"/>
          <w:highlight w:val="none"/>
        </w:rPr>
        <w:fldChar w:fldCharType="end"/>
      </w:r>
      <w:r>
        <w:rPr>
          <w:rFonts w:hint="eastAsia" w:ascii="宋体" w:hAnsi="宋体"/>
          <w:sz w:val="24"/>
          <w:szCs w:val="24"/>
          <w:highlight w:val="none"/>
          <w:lang w:val="en-US" w:eastAsia="zh-CN"/>
        </w:rPr>
        <w:t>4</w:t>
      </w:r>
    </w:p>
    <w:p w14:paraId="46854BA0">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"_Toc17129" </w:instrText>
      </w:r>
      <w:r>
        <w:rPr>
          <w:highlight w:val="none"/>
        </w:rPr>
        <w:fldChar w:fldCharType="separate"/>
      </w:r>
      <w:r>
        <w:rPr>
          <w:rFonts w:hint="eastAsia" w:ascii="宋体" w:hAnsi="宋体" w:cs="仿宋"/>
          <w:kern w:val="0"/>
          <w:sz w:val="24"/>
          <w:szCs w:val="24"/>
          <w:highlight w:val="none"/>
        </w:rPr>
        <w:t>二、 评审</w:t>
      </w:r>
      <w:r>
        <w:rPr>
          <w:rFonts w:hint="eastAsia" w:ascii="宋体" w:hAnsi="宋体" w:cs="仿宋"/>
          <w:kern w:val="0"/>
          <w:sz w:val="24"/>
          <w:szCs w:val="24"/>
          <w:highlight w:val="none"/>
          <w:lang w:val="en-US" w:eastAsia="zh-CN"/>
        </w:rPr>
        <w:t>细则</w:t>
      </w:r>
      <w:r>
        <w:rPr>
          <w:rFonts w:hint="eastAsia" w:ascii="宋体" w:hAnsi="宋体"/>
          <w:sz w:val="24"/>
          <w:szCs w:val="24"/>
          <w:highlight w:val="none"/>
          <w:lang w:val="en-US" w:eastAsia="zh-CN"/>
        </w:rPr>
        <w:t>-----------------------------------------------------------5</w:t>
      </w:r>
      <w:r>
        <w:rPr>
          <w:rFonts w:hint="eastAsia" w:ascii="宋体" w:hAnsi="宋体"/>
          <w:sz w:val="24"/>
          <w:szCs w:val="24"/>
          <w:highlight w:val="none"/>
        </w:rPr>
        <w:fldChar w:fldCharType="end"/>
      </w:r>
      <w:r>
        <w:rPr>
          <w:rFonts w:hint="eastAsia" w:ascii="宋体" w:hAnsi="宋体"/>
          <w:sz w:val="24"/>
          <w:szCs w:val="24"/>
          <w:highlight w:val="none"/>
          <w:lang w:val="en-US" w:eastAsia="zh-CN"/>
        </w:rPr>
        <w:t>4</w:t>
      </w:r>
    </w:p>
    <w:p w14:paraId="23B39876">
      <w:pPr>
        <w:pStyle w:val="19"/>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"_Toc16881" </w:instrText>
      </w:r>
      <w:r>
        <w:rPr>
          <w:highlight w:val="none"/>
        </w:rPr>
        <w:fldChar w:fldCharType="separate"/>
      </w:r>
      <w:r>
        <w:rPr>
          <w:rFonts w:hint="eastAsia" w:ascii="宋体" w:hAnsi="宋体" w:cs="仿宋"/>
          <w:sz w:val="24"/>
          <w:szCs w:val="24"/>
          <w:highlight w:val="none"/>
        </w:rPr>
        <w:t>第六章  响应文件格式</w:t>
      </w:r>
      <w:r>
        <w:rPr>
          <w:rFonts w:hint="eastAsia" w:ascii="宋体" w:hAnsi="宋体"/>
          <w:sz w:val="24"/>
          <w:szCs w:val="24"/>
          <w:highlight w:val="none"/>
          <w:lang w:val="en-US" w:eastAsia="zh-CN"/>
        </w:rPr>
        <w:t>-----------------------------------------------------5</w:t>
      </w:r>
      <w:r>
        <w:rPr>
          <w:rFonts w:ascii="宋体" w:hAnsi="宋体"/>
          <w:sz w:val="24"/>
          <w:szCs w:val="24"/>
          <w:highlight w:val="none"/>
        </w:rPr>
        <w:fldChar w:fldCharType="end"/>
      </w:r>
      <w:r>
        <w:rPr>
          <w:rFonts w:hint="eastAsia" w:ascii="宋体" w:hAnsi="宋体"/>
          <w:sz w:val="24"/>
          <w:szCs w:val="24"/>
          <w:highlight w:val="none"/>
          <w:lang w:val="en-US" w:eastAsia="zh-CN"/>
        </w:rPr>
        <w:t>7</w:t>
      </w:r>
    </w:p>
    <w:p w14:paraId="5396E5BB">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"_Toc3425" </w:instrText>
      </w:r>
      <w:r>
        <w:rPr>
          <w:highlight w:val="none"/>
        </w:rPr>
        <w:fldChar w:fldCharType="separate"/>
      </w:r>
      <w:r>
        <w:rPr>
          <w:rFonts w:hint="eastAsia" w:ascii="宋体" w:hAnsi="宋体" w:cs="仿宋"/>
          <w:sz w:val="24"/>
          <w:szCs w:val="24"/>
          <w:highlight w:val="none"/>
        </w:rPr>
        <w:t>一、磋商函</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1</w:t>
      </w:r>
    </w:p>
    <w:p w14:paraId="3367A9E6">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"_Toc10986" </w:instrText>
      </w:r>
      <w:r>
        <w:rPr>
          <w:highlight w:val="none"/>
        </w:rPr>
        <w:fldChar w:fldCharType="separate"/>
      </w:r>
      <w:r>
        <w:rPr>
          <w:rFonts w:hint="eastAsia" w:ascii="宋体" w:hAnsi="宋体" w:cs="仿宋"/>
          <w:sz w:val="24"/>
          <w:szCs w:val="24"/>
          <w:highlight w:val="none"/>
        </w:rPr>
        <w:t>二、报价一览表</w:t>
      </w:r>
      <w:r>
        <w:rPr>
          <w:rFonts w:hint="eastAsia" w:ascii="宋体" w:hAnsi="宋体"/>
          <w:sz w:val="24"/>
          <w:szCs w:val="24"/>
          <w:highlight w:val="none"/>
          <w:lang w:val="en-US" w:eastAsia="zh-CN"/>
        </w:rPr>
        <w:t>----------------------------------------------------------62</w:t>
      </w:r>
      <w:r>
        <w:rPr>
          <w:rFonts w:hint="eastAsia" w:ascii="宋体" w:hAnsi="宋体"/>
          <w:sz w:val="24"/>
          <w:szCs w:val="24"/>
          <w:highlight w:val="none"/>
        </w:rPr>
        <w:fldChar w:fldCharType="end"/>
      </w:r>
    </w:p>
    <w:p w14:paraId="73836F0E">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"_Toc1651" </w:instrText>
      </w:r>
      <w:r>
        <w:rPr>
          <w:highlight w:val="none"/>
        </w:rPr>
        <w:fldChar w:fldCharType="separate"/>
      </w:r>
      <w:r>
        <w:rPr>
          <w:rFonts w:hint="eastAsia" w:ascii="宋体" w:hAnsi="宋体" w:cs="仿宋"/>
          <w:sz w:val="24"/>
          <w:szCs w:val="24"/>
          <w:highlight w:val="none"/>
        </w:rPr>
        <w:t>三、报价明细表</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3</w:t>
      </w:r>
    </w:p>
    <w:p w14:paraId="7011813C">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"_Toc31836" </w:instrText>
      </w:r>
      <w:r>
        <w:rPr>
          <w:highlight w:val="none"/>
        </w:rPr>
        <w:fldChar w:fldCharType="separate"/>
      </w:r>
      <w:r>
        <w:rPr>
          <w:rFonts w:hint="eastAsia" w:ascii="宋体" w:hAnsi="宋体" w:cs="仿宋"/>
          <w:sz w:val="24"/>
          <w:szCs w:val="24"/>
          <w:highlight w:val="none"/>
        </w:rPr>
        <w:t>四、 商务要求响应表</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4</w:t>
      </w:r>
    </w:p>
    <w:p w14:paraId="6D4D6089">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"_Toc21063" </w:instrText>
      </w:r>
      <w:r>
        <w:rPr>
          <w:highlight w:val="none"/>
        </w:rPr>
        <w:fldChar w:fldCharType="separate"/>
      </w:r>
      <w:r>
        <w:rPr>
          <w:rFonts w:hint="eastAsia" w:ascii="宋体" w:hAnsi="宋体" w:cs="仿宋"/>
          <w:sz w:val="24"/>
          <w:szCs w:val="24"/>
          <w:highlight w:val="none"/>
        </w:rPr>
        <w:t>五、技术要求响应表</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5</w:t>
      </w:r>
    </w:p>
    <w:p w14:paraId="730D694D">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"_Toc30205" </w:instrText>
      </w:r>
      <w:r>
        <w:rPr>
          <w:highlight w:val="none"/>
        </w:rPr>
        <w:fldChar w:fldCharType="separate"/>
      </w:r>
      <w:r>
        <w:rPr>
          <w:rFonts w:hint="eastAsia" w:ascii="宋体" w:hAnsi="宋体" w:cs="仿宋"/>
          <w:sz w:val="24"/>
          <w:szCs w:val="24"/>
          <w:highlight w:val="none"/>
        </w:rPr>
        <w:t>六、项目实施方案</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6</w:t>
      </w:r>
    </w:p>
    <w:p w14:paraId="2B581C44">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"_Toc29992" </w:instrText>
      </w:r>
      <w:r>
        <w:rPr>
          <w:highlight w:val="none"/>
        </w:rPr>
        <w:fldChar w:fldCharType="separate"/>
      </w:r>
      <w:r>
        <w:rPr>
          <w:rFonts w:hint="eastAsia" w:ascii="宋体" w:hAnsi="宋体" w:cs="仿宋"/>
          <w:sz w:val="24"/>
          <w:szCs w:val="24"/>
          <w:highlight w:val="none"/>
        </w:rPr>
        <w:t>七、 服务方案与承诺</w:t>
      </w:r>
      <w:r>
        <w:rPr>
          <w:rFonts w:hint="eastAsia" w:ascii="宋体" w:hAnsi="宋体" w:cs="仿宋"/>
          <w:sz w:val="24"/>
          <w:szCs w:val="24"/>
          <w:highlight w:val="none"/>
          <w:lang w:val="en-US" w:eastAsia="zh-CN"/>
        </w:rPr>
        <w:t>书</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7</w:t>
      </w:r>
    </w:p>
    <w:p w14:paraId="0138642D">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"_Toc26804" </w:instrText>
      </w:r>
      <w:r>
        <w:rPr>
          <w:highlight w:val="none"/>
        </w:rPr>
        <w:fldChar w:fldCharType="separate"/>
      </w:r>
      <w:r>
        <w:rPr>
          <w:rFonts w:hint="eastAsia" w:ascii="宋体" w:hAnsi="宋体" w:cs="仿宋"/>
          <w:sz w:val="24"/>
          <w:szCs w:val="24"/>
          <w:highlight w:val="none"/>
        </w:rPr>
        <w:t>八、 拟投入项目人员一览表</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7</w:t>
      </w:r>
    </w:p>
    <w:p w14:paraId="07AB4EF2">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"_Toc27413" </w:instrText>
      </w:r>
      <w:r>
        <w:rPr>
          <w:highlight w:val="none"/>
        </w:rPr>
        <w:fldChar w:fldCharType="separate"/>
      </w:r>
      <w:r>
        <w:rPr>
          <w:rFonts w:hint="eastAsia" w:ascii="宋体" w:hAnsi="宋体" w:cs="仿宋"/>
          <w:sz w:val="24"/>
          <w:szCs w:val="24"/>
          <w:highlight w:val="none"/>
        </w:rPr>
        <w:t>九、相关附表格式</w:t>
      </w:r>
      <w:r>
        <w:rPr>
          <w:rFonts w:hint="eastAsia" w:ascii="宋体" w:hAnsi="宋体"/>
          <w:sz w:val="24"/>
          <w:szCs w:val="24"/>
          <w:highlight w:val="none"/>
          <w:lang w:val="en-US" w:eastAsia="zh-CN"/>
        </w:rPr>
        <w:t>--------------------------------------------------------6</w:t>
      </w:r>
      <w:r>
        <w:rPr>
          <w:rFonts w:ascii="宋体" w:hAnsi="宋体"/>
          <w:sz w:val="24"/>
          <w:szCs w:val="24"/>
          <w:highlight w:val="none"/>
        </w:rPr>
        <w:fldChar w:fldCharType="end"/>
      </w:r>
      <w:r>
        <w:rPr>
          <w:rFonts w:hint="eastAsia" w:ascii="宋体" w:hAnsi="宋体"/>
          <w:sz w:val="24"/>
          <w:szCs w:val="24"/>
          <w:highlight w:val="none"/>
          <w:lang w:val="en-US" w:eastAsia="zh-CN"/>
        </w:rPr>
        <w:t>8</w:t>
      </w:r>
    </w:p>
    <w:p w14:paraId="69964EB2">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"_Toc31826" </w:instrText>
      </w:r>
      <w:r>
        <w:rPr>
          <w:highlight w:val="none"/>
        </w:rPr>
        <w:fldChar w:fldCharType="separate"/>
      </w:r>
      <w:r>
        <w:rPr>
          <w:rFonts w:hint="eastAsia" w:ascii="宋体" w:hAnsi="宋体" w:cs="仿宋"/>
          <w:sz w:val="24"/>
          <w:szCs w:val="24"/>
          <w:highlight w:val="none"/>
        </w:rPr>
        <w:t>附 件1: 法人授权委托书</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8</w:t>
      </w:r>
    </w:p>
    <w:p w14:paraId="56359D5E">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"_Toc12587" </w:instrText>
      </w:r>
      <w:r>
        <w:rPr>
          <w:highlight w:val="none"/>
        </w:rPr>
        <w:fldChar w:fldCharType="separate"/>
      </w:r>
      <w:r>
        <w:rPr>
          <w:rFonts w:hint="eastAsia" w:ascii="宋体" w:hAnsi="宋体" w:cs="仿宋"/>
          <w:sz w:val="24"/>
          <w:szCs w:val="24"/>
          <w:highlight w:val="none"/>
        </w:rPr>
        <w:t>附 件2: 具备履行合同所必需的设备和专业技术能力的书面声明</w:t>
      </w:r>
      <w:r>
        <w:rPr>
          <w:rFonts w:hint="eastAsia" w:ascii="宋体" w:hAnsi="宋体"/>
          <w:sz w:val="24"/>
          <w:szCs w:val="24"/>
          <w:highlight w:val="none"/>
          <w:lang w:val="en-US" w:eastAsia="zh-CN"/>
        </w:rPr>
        <w:t>----------------6</w:t>
      </w:r>
      <w:r>
        <w:rPr>
          <w:rFonts w:hint="eastAsia" w:ascii="宋体" w:hAnsi="宋体"/>
          <w:sz w:val="24"/>
          <w:szCs w:val="24"/>
          <w:highlight w:val="none"/>
        </w:rPr>
        <w:fldChar w:fldCharType="end"/>
      </w:r>
      <w:r>
        <w:rPr>
          <w:rFonts w:hint="eastAsia" w:ascii="宋体" w:hAnsi="宋体"/>
          <w:sz w:val="24"/>
          <w:szCs w:val="24"/>
          <w:highlight w:val="none"/>
          <w:lang w:val="en-US" w:eastAsia="zh-CN"/>
        </w:rPr>
        <w:t>9</w:t>
      </w:r>
    </w:p>
    <w:p w14:paraId="6BE1F399">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"_Toc999" </w:instrText>
      </w:r>
      <w:r>
        <w:rPr>
          <w:highlight w:val="none"/>
        </w:rPr>
        <w:fldChar w:fldCharType="separate"/>
      </w:r>
      <w:r>
        <w:rPr>
          <w:rFonts w:hint="eastAsia" w:ascii="宋体" w:hAnsi="宋体" w:cs="仿宋"/>
          <w:sz w:val="24"/>
          <w:szCs w:val="24"/>
          <w:highlight w:val="none"/>
        </w:rPr>
        <w:t>附 件3：三年内无重大违纪声明</w:t>
      </w:r>
      <w:r>
        <w:rPr>
          <w:rFonts w:hint="eastAsia" w:ascii="宋体" w:hAnsi="宋体"/>
          <w:sz w:val="24"/>
          <w:szCs w:val="24"/>
          <w:highlight w:val="none"/>
          <w:lang w:val="en-US" w:eastAsia="zh-CN"/>
        </w:rPr>
        <w:t>---------------------------------------------7</w:t>
      </w:r>
      <w:r>
        <w:rPr>
          <w:rFonts w:hint="eastAsia" w:ascii="宋体" w:hAnsi="宋体"/>
          <w:sz w:val="24"/>
          <w:szCs w:val="24"/>
          <w:highlight w:val="none"/>
        </w:rPr>
        <w:fldChar w:fldCharType="end"/>
      </w:r>
      <w:r>
        <w:rPr>
          <w:rFonts w:hint="eastAsia" w:ascii="宋体" w:hAnsi="宋体"/>
          <w:sz w:val="24"/>
          <w:szCs w:val="24"/>
          <w:highlight w:val="none"/>
          <w:lang w:val="en-US" w:eastAsia="zh-CN"/>
        </w:rPr>
        <w:t>0</w:t>
      </w:r>
    </w:p>
    <w:p w14:paraId="7004DD01">
      <w:pPr>
        <w:pStyle w:val="20"/>
        <w:tabs>
          <w:tab w:val="right" w:leader="dot" w:pos="9174"/>
        </w:tabs>
        <w:rPr>
          <w:rFonts w:hint="eastAsia" w:ascii="宋体" w:hAnsi="宋体" w:eastAsia="宋体"/>
          <w:sz w:val="24"/>
          <w:szCs w:val="24"/>
          <w:highlight w:val="none"/>
          <w:lang w:val="en-US" w:eastAsia="zh-CN"/>
        </w:rPr>
      </w:pPr>
      <w:r>
        <w:rPr>
          <w:highlight w:val="none"/>
        </w:rPr>
        <w:fldChar w:fldCharType="begin"/>
      </w:r>
      <w:r>
        <w:rPr>
          <w:highlight w:val="none"/>
        </w:rPr>
        <w:instrText xml:space="preserve"> HYPERLINK \l "_Toc30480" </w:instrText>
      </w:r>
      <w:r>
        <w:rPr>
          <w:highlight w:val="none"/>
        </w:rPr>
        <w:fldChar w:fldCharType="separate"/>
      </w:r>
      <w:r>
        <w:rPr>
          <w:rFonts w:hint="eastAsia" w:ascii="宋体" w:hAnsi="宋体" w:cs="仿宋"/>
          <w:sz w:val="24"/>
          <w:szCs w:val="24"/>
          <w:highlight w:val="none"/>
        </w:rPr>
        <w:t>附 件4：中小企业声明函格式</w:t>
      </w:r>
      <w:r>
        <w:rPr>
          <w:rFonts w:hint="eastAsia" w:ascii="宋体" w:hAnsi="宋体"/>
          <w:sz w:val="24"/>
          <w:szCs w:val="24"/>
          <w:highlight w:val="none"/>
          <w:lang w:val="en-US" w:eastAsia="zh-CN"/>
        </w:rPr>
        <w:t>-----------------------------------------------7</w:t>
      </w:r>
      <w:r>
        <w:rPr>
          <w:rFonts w:hint="eastAsia" w:ascii="宋体" w:hAnsi="宋体"/>
          <w:sz w:val="24"/>
          <w:szCs w:val="24"/>
          <w:highlight w:val="none"/>
        </w:rPr>
        <w:fldChar w:fldCharType="end"/>
      </w:r>
      <w:r>
        <w:rPr>
          <w:rFonts w:hint="eastAsia" w:ascii="宋体" w:hAnsi="宋体"/>
          <w:sz w:val="24"/>
          <w:szCs w:val="24"/>
          <w:highlight w:val="none"/>
          <w:lang w:val="en-US" w:eastAsia="zh-CN"/>
        </w:rPr>
        <w:t>1</w:t>
      </w:r>
    </w:p>
    <w:p w14:paraId="68139EFA">
      <w:pPr>
        <w:pStyle w:val="20"/>
        <w:tabs>
          <w:tab w:val="right" w:leader="dot" w:pos="9174"/>
        </w:tabs>
        <w:rPr>
          <w:rFonts w:hint="default" w:ascii="宋体" w:hAnsi="宋体" w:eastAsia="宋体"/>
          <w:sz w:val="24"/>
          <w:szCs w:val="24"/>
          <w:highlight w:val="none"/>
          <w:lang w:val="en-US" w:eastAsia="zh-CN"/>
        </w:rPr>
      </w:pPr>
      <w:r>
        <w:rPr>
          <w:highlight w:val="none"/>
        </w:rPr>
        <w:fldChar w:fldCharType="begin"/>
      </w:r>
      <w:r>
        <w:rPr>
          <w:highlight w:val="none"/>
        </w:rPr>
        <w:instrText xml:space="preserve"> HYPERLINK \l "_Toc24042" </w:instrText>
      </w:r>
      <w:r>
        <w:rPr>
          <w:highlight w:val="none"/>
        </w:rPr>
        <w:fldChar w:fldCharType="separate"/>
      </w:r>
      <w:r>
        <w:rPr>
          <w:rFonts w:hint="eastAsia" w:ascii="宋体" w:hAnsi="宋体" w:cs="仿宋"/>
          <w:sz w:val="24"/>
          <w:szCs w:val="24"/>
          <w:highlight w:val="none"/>
        </w:rPr>
        <w:t>附 件5：残疾人福利性单位声明函</w:t>
      </w:r>
      <w:r>
        <w:rPr>
          <w:rFonts w:hint="eastAsia" w:ascii="宋体" w:hAnsi="宋体"/>
          <w:sz w:val="24"/>
          <w:szCs w:val="24"/>
          <w:highlight w:val="none"/>
          <w:lang w:val="en-US" w:eastAsia="zh-CN"/>
        </w:rPr>
        <w:t>-</w:t>
      </w:r>
      <w:r>
        <w:rPr>
          <w:rFonts w:hint="eastAsia" w:ascii="宋体" w:hAnsi="宋体"/>
          <w:sz w:val="24"/>
          <w:szCs w:val="24"/>
          <w:highlight w:val="none"/>
        </w:rPr>
        <w:fldChar w:fldCharType="end"/>
      </w:r>
      <w:r>
        <w:rPr>
          <w:rFonts w:hint="eastAsia" w:ascii="宋体" w:hAnsi="宋体"/>
          <w:sz w:val="24"/>
          <w:szCs w:val="24"/>
          <w:highlight w:val="none"/>
          <w:lang w:val="en-US" w:eastAsia="zh-CN"/>
        </w:rPr>
        <w:t>------------------------------------------72</w:t>
      </w:r>
    </w:p>
    <w:p w14:paraId="7C319A35">
      <w:pPr>
        <w:widowControl/>
        <w:ind w:left="630" w:leftChars="300" w:right="1050"/>
        <w:jc w:val="center"/>
        <w:textAlignment w:val="baseline"/>
        <w:rPr>
          <w:rFonts w:ascii="宋体" w:hAnsi="宋体" w:cs="仿宋"/>
          <w:sz w:val="24"/>
          <w:szCs w:val="24"/>
          <w:highlight w:val="none"/>
        </w:rPr>
      </w:pPr>
      <w:r>
        <w:rPr>
          <w:rFonts w:hint="eastAsia" w:ascii="宋体" w:hAnsi="宋体" w:cs="仿宋"/>
          <w:sz w:val="24"/>
          <w:szCs w:val="24"/>
          <w:highlight w:val="none"/>
        </w:rPr>
        <w:fldChar w:fldCharType="end"/>
      </w:r>
    </w:p>
    <w:p w14:paraId="7578CDA7">
      <w:pPr>
        <w:pStyle w:val="34"/>
        <w:pageBreakBefore/>
        <w:widowControl w:val="0"/>
        <w:spacing w:after="312" w:line="360" w:lineRule="auto"/>
        <w:textAlignment w:val="baseline"/>
        <w:rPr>
          <w:rFonts w:ascii="仿宋" w:hAnsi="仿宋" w:eastAsia="仿宋" w:cs="仿宋"/>
          <w:sz w:val="40"/>
          <w:highlight w:val="none"/>
        </w:rPr>
        <w:sectPr>
          <w:footerReference r:id="rId10" w:type="first"/>
          <w:footerReference r:id="rId9" w:type="default"/>
          <w:pgSz w:w="11906" w:h="16838"/>
          <w:pgMar w:top="1440" w:right="1366" w:bottom="1440" w:left="1366" w:header="624" w:footer="964" w:gutter="0"/>
          <w:cols w:space="0" w:num="1"/>
          <w:titlePg/>
          <w:docGrid w:type="lines" w:linePitch="312" w:charSpace="0"/>
        </w:sectPr>
      </w:pPr>
    </w:p>
    <w:p w14:paraId="2DD3CEF3">
      <w:pPr>
        <w:pStyle w:val="34"/>
        <w:pageBreakBefore/>
        <w:widowControl w:val="0"/>
        <w:spacing w:after="312" w:line="360" w:lineRule="auto"/>
        <w:textAlignment w:val="baseline"/>
        <w:rPr>
          <w:rFonts w:ascii="宋体" w:hAnsi="宋体" w:eastAsia="宋体" w:cs="仿宋"/>
          <w:sz w:val="40"/>
          <w:highlight w:val="none"/>
        </w:rPr>
      </w:pPr>
      <w:bookmarkStart w:id="0" w:name="_Toc13121"/>
      <w:bookmarkStart w:id="1" w:name="_Toc23020"/>
      <w:bookmarkStart w:id="2" w:name="_Toc13176"/>
      <w:bookmarkStart w:id="3" w:name="_Toc8183"/>
      <w:bookmarkStart w:id="4" w:name="_Toc18955"/>
      <w:r>
        <w:rPr>
          <w:rFonts w:hint="eastAsia" w:ascii="宋体" w:hAnsi="宋体" w:eastAsia="宋体" w:cs="仿宋"/>
          <w:sz w:val="40"/>
          <w:highlight w:val="none"/>
        </w:rPr>
        <w:t>第一章  采购邀请</w:t>
      </w:r>
      <w:bookmarkEnd w:id="0"/>
      <w:bookmarkEnd w:id="1"/>
      <w:bookmarkEnd w:id="2"/>
    </w:p>
    <w:p w14:paraId="0AAA4B3A">
      <w:pPr>
        <w:pBdr>
          <w:top w:val="single" w:color="auto" w:sz="4" w:space="1"/>
          <w:left w:val="single" w:color="auto" w:sz="4" w:space="4"/>
          <w:bottom w:val="single" w:color="auto" w:sz="4" w:space="1"/>
          <w:right w:val="single" w:color="auto" w:sz="4" w:space="13"/>
        </w:pBdr>
        <w:tabs>
          <w:tab w:val="left" w:pos="390"/>
          <w:tab w:val="center" w:pos="4404"/>
        </w:tabs>
        <w:jc w:val="left"/>
        <w:rPr>
          <w:rFonts w:ascii="宋体" w:hAnsi="宋体"/>
          <w:color w:val="000000"/>
          <w:spacing w:val="8"/>
          <w:kern w:val="0"/>
          <w:sz w:val="24"/>
          <w:szCs w:val="24"/>
          <w:highlight w:val="none"/>
        </w:rPr>
      </w:pPr>
      <w:r>
        <w:rPr>
          <w:rFonts w:hint="eastAsia"/>
          <w:color w:val="000000"/>
          <w:sz w:val="24"/>
          <w:highlight w:val="none"/>
          <w:u w:val="single"/>
        </w:rPr>
        <w:t>江苏省渔业技术推广中心扬中基地2026年度运转维护项目</w:t>
      </w:r>
      <w:r>
        <w:rPr>
          <w:color w:val="000000"/>
          <w:sz w:val="24"/>
          <w:highlight w:val="none"/>
        </w:rPr>
        <w:t>的</w:t>
      </w:r>
      <w:r>
        <w:rPr>
          <w:rFonts w:hint="eastAsia"/>
          <w:color w:val="000000"/>
          <w:sz w:val="24"/>
          <w:highlight w:val="none"/>
        </w:rPr>
        <w:t>潜在投标人应在</w:t>
      </w:r>
      <w:r>
        <w:rPr>
          <w:rFonts w:hint="eastAsia"/>
          <w:bCs/>
          <w:color w:val="000000"/>
          <w:sz w:val="24"/>
          <w:highlight w:val="none"/>
        </w:rPr>
        <w:t>苏采云系统注册登记成功后在系统内免费下载</w:t>
      </w:r>
      <w:r>
        <w:rPr>
          <w:color w:val="000000"/>
          <w:sz w:val="24"/>
          <w:highlight w:val="none"/>
        </w:rPr>
        <w:t>，并于2026</w:t>
      </w:r>
      <w:r>
        <w:rPr>
          <w:rFonts w:hint="eastAsia"/>
          <w:color w:val="000000"/>
          <w:sz w:val="24"/>
          <w:highlight w:val="none"/>
        </w:rPr>
        <w:t>年</w:t>
      </w:r>
      <w:r>
        <w:rPr>
          <w:rFonts w:hint="eastAsia"/>
          <w:color w:val="000000"/>
          <w:sz w:val="24"/>
          <w:highlight w:val="none"/>
          <w:lang w:val="en-US" w:eastAsia="zh-CN"/>
        </w:rPr>
        <w:t>07</w:t>
      </w:r>
      <w:r>
        <w:rPr>
          <w:color w:val="000000"/>
          <w:sz w:val="24"/>
          <w:highlight w:val="none"/>
        </w:rPr>
        <w:t>月</w:t>
      </w:r>
      <w:r>
        <w:rPr>
          <w:rFonts w:hint="eastAsia"/>
          <w:color w:val="000000"/>
          <w:sz w:val="24"/>
          <w:highlight w:val="none"/>
          <w:lang w:val="en-US" w:eastAsia="zh-CN"/>
        </w:rPr>
        <w:t>01</w:t>
      </w:r>
      <w:r>
        <w:rPr>
          <w:color w:val="000000"/>
          <w:sz w:val="24"/>
          <w:highlight w:val="none"/>
        </w:rPr>
        <w:t>日</w:t>
      </w:r>
      <w:r>
        <w:rPr>
          <w:rFonts w:hint="eastAsia"/>
          <w:color w:val="000000"/>
          <w:sz w:val="24"/>
          <w:highlight w:val="none"/>
          <w:lang w:val="en-US" w:eastAsia="zh-CN"/>
        </w:rPr>
        <w:t>14</w:t>
      </w:r>
      <w:r>
        <w:rPr>
          <w:rFonts w:hint="eastAsia"/>
          <w:color w:val="000000"/>
          <w:sz w:val="24"/>
          <w:highlight w:val="none"/>
          <w:lang w:eastAsia="zh-CN"/>
        </w:rPr>
        <w:t>：</w:t>
      </w:r>
      <w:r>
        <w:rPr>
          <w:rFonts w:hint="eastAsia"/>
          <w:color w:val="000000"/>
          <w:sz w:val="24"/>
          <w:highlight w:val="none"/>
          <w:lang w:val="en-US" w:eastAsia="zh-CN"/>
        </w:rPr>
        <w:t>30</w:t>
      </w:r>
      <w:r>
        <w:rPr>
          <w:color w:val="000000"/>
          <w:sz w:val="24"/>
          <w:highlight w:val="none"/>
        </w:rPr>
        <w:t>（北京时间）前提交响应文件。</w:t>
      </w:r>
    </w:p>
    <w:p w14:paraId="159879A0">
      <w:pPr>
        <w:snapToGrid w:val="0"/>
        <w:spacing w:line="360" w:lineRule="auto"/>
        <w:textAlignment w:val="baseline"/>
        <w:rPr>
          <w:rFonts w:hint="eastAsia" w:ascii="宋体" w:hAnsi="宋体" w:cs="仿宋"/>
          <w:b/>
          <w:bCs/>
          <w:sz w:val="24"/>
          <w:szCs w:val="24"/>
          <w:highlight w:val="none"/>
        </w:rPr>
      </w:pPr>
      <w:r>
        <w:rPr>
          <w:rFonts w:hint="eastAsia" w:ascii="宋体" w:hAnsi="宋体" w:cs="仿宋"/>
          <w:b/>
          <w:bCs/>
          <w:sz w:val="24"/>
          <w:szCs w:val="24"/>
          <w:highlight w:val="none"/>
        </w:rPr>
        <w:t>一、项目基本情况</w:t>
      </w:r>
    </w:p>
    <w:tbl>
      <w:tblPr>
        <w:tblStyle w:val="23"/>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12"/>
        <w:gridCol w:w="8382"/>
      </w:tblGrid>
      <w:tr w14:paraId="5326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714" w:type="dxa"/>
            <w:vAlign w:val="center"/>
          </w:tcPr>
          <w:p w14:paraId="094EB96C">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序号</w:t>
            </w:r>
          </w:p>
        </w:tc>
        <w:tc>
          <w:tcPr>
            <w:tcW w:w="1312" w:type="dxa"/>
            <w:vAlign w:val="center"/>
          </w:tcPr>
          <w:p w14:paraId="01A21E55">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项目</w:t>
            </w:r>
          </w:p>
        </w:tc>
        <w:tc>
          <w:tcPr>
            <w:tcW w:w="8382" w:type="dxa"/>
            <w:vAlign w:val="center"/>
          </w:tcPr>
          <w:p w14:paraId="7BA2C990">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具 体 内  容</w:t>
            </w:r>
          </w:p>
        </w:tc>
      </w:tr>
      <w:tr w14:paraId="08DC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15933FD8">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1</w:t>
            </w:r>
          </w:p>
        </w:tc>
        <w:tc>
          <w:tcPr>
            <w:tcW w:w="1312" w:type="dxa"/>
            <w:vAlign w:val="center"/>
          </w:tcPr>
          <w:p w14:paraId="431A916E">
            <w:pPr>
              <w:snapToGrid w:val="0"/>
              <w:spacing w:line="360" w:lineRule="auto"/>
              <w:textAlignment w:val="baseline"/>
              <w:rPr>
                <w:rFonts w:hint="eastAsia" w:ascii="宋体" w:hAnsi="宋体" w:cs="仿宋"/>
                <w:sz w:val="24"/>
                <w:szCs w:val="24"/>
                <w:highlight w:val="none"/>
              </w:rPr>
            </w:pPr>
            <w:r>
              <w:rPr>
                <w:rFonts w:hint="eastAsia" w:ascii="宋体" w:hAnsi="宋体" w:cs="仿宋"/>
                <w:sz w:val="24"/>
                <w:szCs w:val="24"/>
                <w:highlight w:val="none"/>
              </w:rPr>
              <w:t>项目名称</w:t>
            </w:r>
          </w:p>
        </w:tc>
        <w:tc>
          <w:tcPr>
            <w:tcW w:w="8382" w:type="dxa"/>
            <w:vAlign w:val="center"/>
          </w:tcPr>
          <w:p w14:paraId="0216C797">
            <w:pPr>
              <w:snapToGrid w:val="0"/>
              <w:spacing w:line="360" w:lineRule="auto"/>
              <w:textAlignment w:val="baseline"/>
              <w:rPr>
                <w:rFonts w:hint="eastAsia" w:ascii="宋体" w:hAnsi="宋体" w:eastAsia="宋体" w:cs="仿宋"/>
                <w:sz w:val="24"/>
                <w:szCs w:val="24"/>
                <w:highlight w:val="none"/>
                <w:lang w:eastAsia="zh-CN"/>
              </w:rPr>
            </w:pPr>
            <w:r>
              <w:rPr>
                <w:rFonts w:hint="eastAsia" w:ascii="宋体" w:hAnsi="宋体" w:cs="仿宋"/>
                <w:sz w:val="24"/>
                <w:szCs w:val="24"/>
                <w:highlight w:val="none"/>
              </w:rPr>
              <w:t>江苏省渔业技术推广中心扬中基地202</w:t>
            </w:r>
            <w:r>
              <w:rPr>
                <w:rFonts w:hint="eastAsia" w:ascii="宋体" w:hAnsi="宋体" w:cs="仿宋"/>
                <w:sz w:val="24"/>
                <w:szCs w:val="24"/>
                <w:highlight w:val="none"/>
                <w:lang w:val="en-US" w:eastAsia="zh-CN"/>
              </w:rPr>
              <w:t>6</w:t>
            </w:r>
            <w:r>
              <w:rPr>
                <w:rFonts w:hint="eastAsia" w:ascii="宋体" w:hAnsi="宋体" w:cs="仿宋"/>
                <w:sz w:val="24"/>
                <w:szCs w:val="24"/>
                <w:highlight w:val="none"/>
              </w:rPr>
              <w:t>年度运转维护项目</w:t>
            </w:r>
            <w:r>
              <w:rPr>
                <w:rFonts w:hint="eastAsia" w:ascii="宋体" w:hAnsi="宋体" w:cs="仿宋"/>
                <w:sz w:val="24"/>
                <w:szCs w:val="24"/>
                <w:highlight w:val="none"/>
                <w:lang w:val="en-US" w:eastAsia="zh-CN"/>
              </w:rPr>
              <w:t xml:space="preserve"> </w:t>
            </w:r>
          </w:p>
        </w:tc>
      </w:tr>
      <w:tr w14:paraId="3BDB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26BCF158">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2</w:t>
            </w:r>
          </w:p>
        </w:tc>
        <w:tc>
          <w:tcPr>
            <w:tcW w:w="1312" w:type="dxa"/>
            <w:vAlign w:val="center"/>
          </w:tcPr>
          <w:p w14:paraId="3C577B42">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采购方式</w:t>
            </w:r>
          </w:p>
        </w:tc>
        <w:tc>
          <w:tcPr>
            <w:tcW w:w="8382" w:type="dxa"/>
            <w:vAlign w:val="center"/>
          </w:tcPr>
          <w:p w14:paraId="32A3083C">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竞争性磋商</w:t>
            </w:r>
          </w:p>
        </w:tc>
      </w:tr>
      <w:tr w14:paraId="7CD9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14" w:type="dxa"/>
            <w:vAlign w:val="center"/>
          </w:tcPr>
          <w:p w14:paraId="5F5C7EFB">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3</w:t>
            </w:r>
          </w:p>
        </w:tc>
        <w:tc>
          <w:tcPr>
            <w:tcW w:w="1312" w:type="dxa"/>
            <w:vAlign w:val="center"/>
          </w:tcPr>
          <w:p w14:paraId="0807ED8F">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采购编号</w:t>
            </w:r>
          </w:p>
        </w:tc>
        <w:tc>
          <w:tcPr>
            <w:tcW w:w="8382" w:type="dxa"/>
            <w:vAlign w:val="center"/>
          </w:tcPr>
          <w:p w14:paraId="2783274C">
            <w:pPr>
              <w:snapToGrid w:val="0"/>
              <w:spacing w:line="360" w:lineRule="auto"/>
              <w:textAlignment w:val="baseline"/>
              <w:rPr>
                <w:rFonts w:hint="default" w:ascii="宋体" w:hAnsi="宋体" w:eastAsia="宋体" w:cs="仿宋"/>
                <w:sz w:val="24"/>
                <w:szCs w:val="24"/>
                <w:highlight w:val="none"/>
                <w:lang w:val="en-US" w:eastAsia="zh-CN"/>
              </w:rPr>
            </w:pPr>
            <w:r>
              <w:rPr>
                <w:rFonts w:hint="eastAsia" w:ascii="宋体" w:hAnsi="宋体" w:cs="仿宋"/>
                <w:sz w:val="24"/>
                <w:szCs w:val="24"/>
                <w:highlight w:val="none"/>
              </w:rPr>
              <w:t>JSZC-320000-JSXX-C2026-0004</w:t>
            </w:r>
          </w:p>
        </w:tc>
      </w:tr>
      <w:tr w14:paraId="7A5B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14" w:type="dxa"/>
            <w:vAlign w:val="center"/>
          </w:tcPr>
          <w:p w14:paraId="174646F1">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4</w:t>
            </w:r>
          </w:p>
        </w:tc>
        <w:tc>
          <w:tcPr>
            <w:tcW w:w="1312" w:type="dxa"/>
            <w:vAlign w:val="center"/>
          </w:tcPr>
          <w:p w14:paraId="30DA9EB0">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分包号</w:t>
            </w:r>
          </w:p>
        </w:tc>
        <w:tc>
          <w:tcPr>
            <w:tcW w:w="8382" w:type="dxa"/>
            <w:vAlign w:val="center"/>
          </w:tcPr>
          <w:p w14:paraId="24111856">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无</w:t>
            </w:r>
          </w:p>
        </w:tc>
      </w:tr>
      <w:tr w14:paraId="729D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14" w:type="dxa"/>
            <w:vAlign w:val="center"/>
          </w:tcPr>
          <w:p w14:paraId="58326606">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5</w:t>
            </w:r>
          </w:p>
        </w:tc>
        <w:tc>
          <w:tcPr>
            <w:tcW w:w="1312" w:type="dxa"/>
            <w:vAlign w:val="center"/>
          </w:tcPr>
          <w:p w14:paraId="4F19B23D">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代理机构</w:t>
            </w:r>
          </w:p>
        </w:tc>
        <w:tc>
          <w:tcPr>
            <w:tcW w:w="8382" w:type="dxa"/>
            <w:vAlign w:val="center"/>
          </w:tcPr>
          <w:p w14:paraId="1CF97471">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代理机构：江苏星星工程咨询有限公司</w:t>
            </w:r>
          </w:p>
          <w:p w14:paraId="03DEE1F9">
            <w:pPr>
              <w:snapToGrid w:val="0"/>
              <w:spacing w:line="360" w:lineRule="auto"/>
              <w:textAlignment w:val="baseline"/>
              <w:rPr>
                <w:rFonts w:hint="eastAsia" w:ascii="宋体" w:hAnsi="宋体" w:cs="仿宋"/>
                <w:sz w:val="24"/>
                <w:szCs w:val="24"/>
                <w:highlight w:val="none"/>
              </w:rPr>
            </w:pPr>
            <w:r>
              <w:rPr>
                <w:rFonts w:hint="eastAsia" w:ascii="宋体" w:hAnsi="宋体" w:cs="仿宋"/>
                <w:sz w:val="24"/>
                <w:szCs w:val="24"/>
                <w:highlight w:val="none"/>
              </w:rPr>
              <w:t>联系人：闵先生    电话：18168046339</w:t>
            </w:r>
          </w:p>
          <w:p w14:paraId="40EDDC84">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地址：</w:t>
            </w:r>
            <w:r>
              <w:rPr>
                <w:rFonts w:hint="eastAsia" w:ascii="宋体" w:hAnsi="宋体" w:eastAsia="宋体" w:cs="仿宋"/>
                <w:sz w:val="24"/>
                <w:szCs w:val="24"/>
                <w:highlight w:val="none"/>
                <w:lang w:eastAsia="zh-CN"/>
              </w:rPr>
              <w:t>南京市江宁区东山街道上元大街589号10幢301室</w:t>
            </w:r>
          </w:p>
        </w:tc>
      </w:tr>
      <w:tr w14:paraId="6202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6CD11CBD">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6</w:t>
            </w:r>
          </w:p>
        </w:tc>
        <w:tc>
          <w:tcPr>
            <w:tcW w:w="1312" w:type="dxa"/>
            <w:vAlign w:val="center"/>
          </w:tcPr>
          <w:p w14:paraId="696792CF">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采购人</w:t>
            </w:r>
          </w:p>
        </w:tc>
        <w:tc>
          <w:tcPr>
            <w:tcW w:w="8382" w:type="dxa"/>
            <w:vAlign w:val="center"/>
          </w:tcPr>
          <w:p w14:paraId="668E0A66">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采购人：江苏省渔业技术推广中心</w:t>
            </w:r>
          </w:p>
          <w:p w14:paraId="638DA901">
            <w:pPr>
              <w:snapToGrid w:val="0"/>
              <w:spacing w:line="360" w:lineRule="auto"/>
              <w:textAlignment w:val="baseline"/>
              <w:rPr>
                <w:rFonts w:hint="default" w:ascii="宋体" w:hAnsi="宋体" w:eastAsia="宋体" w:cs="仿宋"/>
                <w:sz w:val="24"/>
                <w:szCs w:val="24"/>
                <w:highlight w:val="none"/>
                <w:lang w:val="en-US" w:eastAsia="zh-CN"/>
              </w:rPr>
            </w:pPr>
            <w:r>
              <w:rPr>
                <w:rFonts w:hint="eastAsia" w:ascii="宋体" w:hAnsi="宋体" w:cs="仿宋"/>
                <w:sz w:val="24"/>
                <w:szCs w:val="24"/>
                <w:highlight w:val="none"/>
              </w:rPr>
              <w:t>联系人：</w:t>
            </w:r>
            <w:r>
              <w:rPr>
                <w:rFonts w:hint="eastAsia" w:ascii="宋体" w:hAnsi="宋体" w:cs="仿宋"/>
                <w:sz w:val="24"/>
                <w:szCs w:val="24"/>
                <w:highlight w:val="none"/>
                <w:lang w:val="en-US" w:eastAsia="zh-CN"/>
              </w:rPr>
              <w:t>芦主任</w:t>
            </w:r>
            <w:r>
              <w:rPr>
                <w:rFonts w:hint="eastAsia" w:ascii="宋体" w:hAnsi="宋体" w:cs="仿宋"/>
                <w:sz w:val="24"/>
                <w:szCs w:val="24"/>
                <w:highlight w:val="none"/>
              </w:rPr>
              <w:t xml:space="preserve">  </w:t>
            </w:r>
            <w:r>
              <w:rPr>
                <w:rFonts w:hint="eastAsia" w:ascii="宋体" w:hAnsi="宋体" w:cs="仿宋"/>
                <w:sz w:val="24"/>
                <w:szCs w:val="24"/>
                <w:highlight w:val="none"/>
                <w:lang w:val="en-US" w:eastAsia="zh-CN"/>
              </w:rPr>
              <w:t>0511-88435589</w:t>
            </w:r>
            <w:r>
              <w:rPr>
                <w:rFonts w:hint="eastAsia" w:ascii="宋体" w:hAnsi="宋体" w:cs="仿宋"/>
                <w:sz w:val="24"/>
                <w:szCs w:val="24"/>
                <w:highlight w:val="none"/>
              </w:rPr>
              <w:t>　</w:t>
            </w:r>
          </w:p>
          <w:p w14:paraId="770F85B4">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地址：南京市汉中门大街302号</w:t>
            </w:r>
          </w:p>
        </w:tc>
      </w:tr>
      <w:tr w14:paraId="15EB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28D744B3">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7</w:t>
            </w:r>
          </w:p>
        </w:tc>
        <w:tc>
          <w:tcPr>
            <w:tcW w:w="1312" w:type="dxa"/>
            <w:vAlign w:val="center"/>
          </w:tcPr>
          <w:p w14:paraId="7602FB10">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项目简介</w:t>
            </w:r>
          </w:p>
          <w:p w14:paraId="61F789AA">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预算金额</w:t>
            </w:r>
          </w:p>
        </w:tc>
        <w:tc>
          <w:tcPr>
            <w:tcW w:w="8382" w:type="dxa"/>
            <w:vAlign w:val="center"/>
          </w:tcPr>
          <w:p w14:paraId="3AAD21BA">
            <w:pPr>
              <w:numPr>
                <w:ilvl w:val="0"/>
                <w:numId w:val="2"/>
              </w:numPr>
              <w:snapToGrid w:val="0"/>
              <w:spacing w:line="360" w:lineRule="auto"/>
              <w:textAlignment w:val="baseline"/>
              <w:rPr>
                <w:rFonts w:ascii="宋体" w:hAnsi="宋体" w:cs="仿宋"/>
                <w:sz w:val="24"/>
                <w:szCs w:val="24"/>
                <w:highlight w:val="none"/>
              </w:rPr>
            </w:pPr>
            <w:r>
              <w:rPr>
                <w:rFonts w:hint="eastAsia" w:ascii="宋体" w:hAnsi="宋体" w:cs="仿宋"/>
                <w:b/>
                <w:sz w:val="24"/>
                <w:szCs w:val="24"/>
                <w:highlight w:val="none"/>
              </w:rPr>
              <w:t>项目简介</w:t>
            </w:r>
            <w:r>
              <w:rPr>
                <w:rFonts w:hint="eastAsia" w:ascii="宋体" w:hAnsi="宋体" w:cs="仿宋"/>
                <w:sz w:val="24"/>
                <w:szCs w:val="24"/>
                <w:highlight w:val="none"/>
              </w:rPr>
              <w:t>：江苏省渔业技术推广中心扬中基地202</w:t>
            </w:r>
            <w:r>
              <w:rPr>
                <w:rFonts w:hint="eastAsia" w:ascii="宋体" w:hAnsi="宋体" w:cs="仿宋"/>
                <w:sz w:val="24"/>
                <w:szCs w:val="24"/>
                <w:highlight w:val="none"/>
                <w:lang w:val="en-US" w:eastAsia="zh-CN"/>
              </w:rPr>
              <w:t>6</w:t>
            </w:r>
            <w:r>
              <w:rPr>
                <w:rFonts w:hint="eastAsia" w:ascii="宋体" w:hAnsi="宋体" w:cs="仿宋"/>
                <w:sz w:val="24"/>
                <w:szCs w:val="24"/>
                <w:highlight w:val="none"/>
              </w:rPr>
              <w:t>年度运转维护项目</w:t>
            </w:r>
          </w:p>
          <w:p w14:paraId="2E51B2A4">
            <w:pPr>
              <w:shd w:val="clear" w:color="auto" w:fill="FFFFFF"/>
              <w:snapToGrid w:val="0"/>
              <w:spacing w:line="360" w:lineRule="auto"/>
              <w:textAlignment w:val="baseline"/>
              <w:rPr>
                <w:rFonts w:ascii="宋体" w:hAnsi="宋体" w:cs="仿宋"/>
                <w:b/>
                <w:bCs/>
                <w:iCs/>
                <w:sz w:val="24"/>
                <w:szCs w:val="24"/>
                <w:highlight w:val="none"/>
                <w:u w:val="single" w:color="000000"/>
              </w:rPr>
            </w:pPr>
            <w:r>
              <w:rPr>
                <w:rFonts w:hint="eastAsia" w:ascii="宋体" w:hAnsi="宋体" w:cs="仿宋"/>
                <w:b/>
                <w:sz w:val="24"/>
                <w:szCs w:val="24"/>
                <w:highlight w:val="none"/>
              </w:rPr>
              <w:t>2、项目预算（</w:t>
            </w:r>
            <w:r>
              <w:rPr>
                <w:rFonts w:hint="eastAsia" w:ascii="宋体" w:hAnsi="宋体" w:cs="仿宋"/>
                <w:sz w:val="24"/>
                <w:szCs w:val="24"/>
                <w:highlight w:val="none"/>
              </w:rPr>
              <w:t>最高限价</w:t>
            </w:r>
            <w:r>
              <w:rPr>
                <w:rFonts w:hint="eastAsia" w:ascii="宋体" w:hAnsi="宋体" w:cs="仿宋"/>
                <w:b/>
                <w:sz w:val="24"/>
                <w:szCs w:val="24"/>
                <w:highlight w:val="none"/>
              </w:rPr>
              <w:t>）：</w:t>
            </w:r>
            <w:r>
              <w:rPr>
                <w:rFonts w:hint="eastAsia" w:ascii="宋体" w:hAnsi="宋体" w:cs="仿宋"/>
                <w:sz w:val="24"/>
                <w:szCs w:val="24"/>
                <w:highlight w:val="none"/>
              </w:rPr>
              <w:t>人民</w:t>
            </w:r>
            <w:r>
              <w:rPr>
                <w:rFonts w:hint="eastAsia" w:ascii="宋体" w:hAnsi="宋体" w:cs="仿宋"/>
                <w:sz w:val="24"/>
                <w:szCs w:val="24"/>
                <w:highlight w:val="none"/>
                <w:lang w:val="en-US" w:eastAsia="zh-CN"/>
              </w:rPr>
              <w:t>币168.32万元；</w:t>
            </w:r>
          </w:p>
          <w:p w14:paraId="405F8386">
            <w:pPr>
              <w:snapToGrid w:val="0"/>
              <w:spacing w:line="360" w:lineRule="auto"/>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磋商小组进行综合评分后按综合评分由高到低确定三名成交候选供应商，采购人在确定的成交候选供应商名单中按顺序确定1名成交供应商。</w:t>
            </w:r>
          </w:p>
          <w:p w14:paraId="69CE5D7F">
            <w:pPr>
              <w:shd w:val="clear" w:color="auto" w:fill="FFFFFF"/>
              <w:snapToGrid w:val="0"/>
              <w:spacing w:line="360" w:lineRule="auto"/>
              <w:ind w:firstLine="480" w:firstLineChars="200"/>
              <w:textAlignment w:val="baseline"/>
              <w:rPr>
                <w:rFonts w:ascii="宋体" w:hAnsi="宋体" w:cs="仿宋"/>
                <w:sz w:val="24"/>
                <w:szCs w:val="24"/>
                <w:highlight w:val="none"/>
              </w:rPr>
            </w:pPr>
            <w:r>
              <w:rPr>
                <w:rFonts w:hint="eastAsia" w:ascii="宋体" w:hAnsi="宋体" w:cs="仿宋"/>
                <w:b/>
                <w:bCs/>
                <w:iCs/>
                <w:sz w:val="24"/>
                <w:szCs w:val="24"/>
                <w:highlight w:val="none"/>
                <w:u w:val="single"/>
              </w:rPr>
              <w:t>报价超过最高限价的视为无效响应。</w:t>
            </w:r>
          </w:p>
        </w:tc>
      </w:tr>
      <w:tr w14:paraId="69E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14" w:type="dxa"/>
            <w:vAlign w:val="center"/>
          </w:tcPr>
          <w:p w14:paraId="2651D55A">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8</w:t>
            </w:r>
          </w:p>
        </w:tc>
        <w:tc>
          <w:tcPr>
            <w:tcW w:w="1312" w:type="dxa"/>
            <w:vAlign w:val="center"/>
          </w:tcPr>
          <w:p w14:paraId="165285AE">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磋商</w:t>
            </w:r>
          </w:p>
          <w:p w14:paraId="3D8BD75E">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保证金</w:t>
            </w:r>
          </w:p>
        </w:tc>
        <w:tc>
          <w:tcPr>
            <w:tcW w:w="8382" w:type="dxa"/>
            <w:vAlign w:val="center"/>
          </w:tcPr>
          <w:p w14:paraId="2C196DAA">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本项目不收取磋商保证金</w:t>
            </w:r>
          </w:p>
        </w:tc>
      </w:tr>
      <w:tr w14:paraId="19E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4" w:type="dxa"/>
            <w:vAlign w:val="center"/>
          </w:tcPr>
          <w:p w14:paraId="44569AA9">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9</w:t>
            </w:r>
          </w:p>
        </w:tc>
        <w:tc>
          <w:tcPr>
            <w:tcW w:w="1312" w:type="dxa"/>
            <w:vAlign w:val="center"/>
          </w:tcPr>
          <w:p w14:paraId="47DA788D">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答疑</w:t>
            </w:r>
          </w:p>
        </w:tc>
        <w:tc>
          <w:tcPr>
            <w:tcW w:w="8382" w:type="dxa"/>
            <w:vAlign w:val="center"/>
          </w:tcPr>
          <w:p w14:paraId="79A3EEA7">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本项目不进行答疑会</w:t>
            </w:r>
          </w:p>
        </w:tc>
      </w:tr>
      <w:tr w14:paraId="0969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14" w:type="dxa"/>
            <w:vAlign w:val="center"/>
          </w:tcPr>
          <w:p w14:paraId="0C558E80">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10</w:t>
            </w:r>
          </w:p>
        </w:tc>
        <w:tc>
          <w:tcPr>
            <w:tcW w:w="1312" w:type="dxa"/>
            <w:vAlign w:val="center"/>
          </w:tcPr>
          <w:p w14:paraId="2ABF4669">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勘察</w:t>
            </w:r>
          </w:p>
        </w:tc>
        <w:tc>
          <w:tcPr>
            <w:tcW w:w="8382" w:type="dxa"/>
            <w:vAlign w:val="center"/>
          </w:tcPr>
          <w:p w14:paraId="22949BDA">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本项目不组织</w:t>
            </w:r>
          </w:p>
        </w:tc>
      </w:tr>
      <w:tr w14:paraId="3FC8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4" w:type="dxa"/>
            <w:vAlign w:val="center"/>
          </w:tcPr>
          <w:p w14:paraId="7A726026">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11</w:t>
            </w:r>
          </w:p>
        </w:tc>
        <w:tc>
          <w:tcPr>
            <w:tcW w:w="1312" w:type="dxa"/>
            <w:vAlign w:val="center"/>
          </w:tcPr>
          <w:p w14:paraId="3AF9824A">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提交响应文件截止时间、地点</w:t>
            </w:r>
          </w:p>
        </w:tc>
        <w:tc>
          <w:tcPr>
            <w:tcW w:w="8382" w:type="dxa"/>
            <w:vAlign w:val="center"/>
          </w:tcPr>
          <w:p w14:paraId="3BBD7BB1">
            <w:pPr>
              <w:spacing w:line="264" w:lineRule="auto"/>
              <w:rPr>
                <w:rFonts w:hint="eastAsia" w:ascii="宋体" w:hAnsi="宋体"/>
                <w:bCs/>
                <w:color w:val="000000"/>
                <w:sz w:val="24"/>
                <w:szCs w:val="24"/>
                <w:highlight w:val="none"/>
              </w:rPr>
            </w:pPr>
            <w:r>
              <w:rPr>
                <w:rFonts w:hint="eastAsia" w:ascii="宋体" w:hAnsi="宋体"/>
                <w:bCs/>
                <w:color w:val="000000"/>
                <w:sz w:val="24"/>
                <w:szCs w:val="24"/>
                <w:highlight w:val="none"/>
              </w:rPr>
              <w:t>1.提交响应文件截止时间：</w:t>
            </w:r>
            <w:r>
              <w:rPr>
                <w:color w:val="000000"/>
                <w:sz w:val="24"/>
                <w:highlight w:val="none"/>
              </w:rPr>
              <w:t>2026</w:t>
            </w:r>
            <w:r>
              <w:rPr>
                <w:rFonts w:hint="eastAsia"/>
                <w:color w:val="000000"/>
                <w:sz w:val="24"/>
                <w:highlight w:val="none"/>
              </w:rPr>
              <w:t>年</w:t>
            </w:r>
            <w:r>
              <w:rPr>
                <w:rFonts w:hint="eastAsia"/>
                <w:color w:val="000000"/>
                <w:sz w:val="24"/>
                <w:highlight w:val="none"/>
                <w:lang w:val="en-US" w:eastAsia="zh-CN"/>
              </w:rPr>
              <w:t>07</w:t>
            </w:r>
            <w:r>
              <w:rPr>
                <w:color w:val="000000"/>
                <w:sz w:val="24"/>
                <w:highlight w:val="none"/>
              </w:rPr>
              <w:t>月</w:t>
            </w:r>
            <w:r>
              <w:rPr>
                <w:rFonts w:hint="eastAsia"/>
                <w:color w:val="000000"/>
                <w:sz w:val="24"/>
                <w:highlight w:val="none"/>
                <w:lang w:val="en-US" w:eastAsia="zh-CN"/>
              </w:rPr>
              <w:t>01</w:t>
            </w:r>
            <w:r>
              <w:rPr>
                <w:color w:val="000000"/>
                <w:sz w:val="24"/>
                <w:highlight w:val="none"/>
              </w:rPr>
              <w:t>日</w:t>
            </w:r>
            <w:r>
              <w:rPr>
                <w:rFonts w:hint="eastAsia"/>
                <w:color w:val="000000"/>
                <w:sz w:val="24"/>
                <w:highlight w:val="none"/>
                <w:lang w:val="en-US" w:eastAsia="zh-CN"/>
              </w:rPr>
              <w:t>14</w:t>
            </w:r>
            <w:r>
              <w:rPr>
                <w:rFonts w:hint="eastAsia"/>
                <w:color w:val="000000"/>
                <w:sz w:val="24"/>
                <w:highlight w:val="none"/>
                <w:lang w:eastAsia="zh-CN"/>
              </w:rPr>
              <w:t>：</w:t>
            </w:r>
            <w:r>
              <w:rPr>
                <w:rFonts w:hint="eastAsia"/>
                <w:color w:val="000000"/>
                <w:sz w:val="24"/>
                <w:highlight w:val="none"/>
                <w:lang w:val="en-US" w:eastAsia="zh-CN"/>
              </w:rPr>
              <w:t>30</w:t>
            </w:r>
            <w:r>
              <w:rPr>
                <w:rFonts w:hint="eastAsia" w:ascii="宋体" w:hAnsi="宋体"/>
                <w:bCs/>
                <w:color w:val="000000"/>
                <w:sz w:val="24"/>
                <w:szCs w:val="24"/>
                <w:highlight w:val="none"/>
              </w:rPr>
              <w:t>（北京时间）。</w:t>
            </w:r>
          </w:p>
          <w:p w14:paraId="7260832D">
            <w:pPr>
              <w:rPr>
                <w:rFonts w:ascii="宋体" w:hAnsi="宋体"/>
                <w:bCs/>
                <w:color w:val="000000"/>
                <w:sz w:val="24"/>
                <w:szCs w:val="24"/>
                <w:highlight w:val="none"/>
              </w:rPr>
            </w:pPr>
            <w:r>
              <w:rPr>
                <w:rFonts w:hint="eastAsia" w:ascii="宋体" w:hAnsi="宋体"/>
                <w:bCs/>
                <w:color w:val="000000"/>
                <w:sz w:val="24"/>
                <w:szCs w:val="24"/>
                <w:highlight w:val="none"/>
              </w:rPr>
              <w:t>2.地点：江苏省政府采购交易系统（以下简称“苏采云</w:t>
            </w:r>
            <w:r>
              <w:rPr>
                <w:rFonts w:hint="default" w:ascii="宋体" w:hAnsi="宋体"/>
                <w:bCs/>
                <w:color w:val="000000"/>
                <w:sz w:val="24"/>
                <w:szCs w:val="24"/>
                <w:highlight w:val="none"/>
                <w:lang w:val="en-US" w:eastAsia="zh-CN"/>
              </w:rPr>
              <w:t>”</w:t>
            </w:r>
            <w:r>
              <w:rPr>
                <w:rFonts w:hint="eastAsia" w:ascii="宋体" w:hAnsi="宋体"/>
                <w:bCs/>
                <w:color w:val="000000"/>
                <w:sz w:val="24"/>
                <w:szCs w:val="24"/>
                <w:highlight w:val="none"/>
              </w:rPr>
              <w:t>系）(网址:http://jszfcg.jsczt.cn/)网上开标大厅。</w:t>
            </w:r>
          </w:p>
          <w:p w14:paraId="3A33993D">
            <w:pPr>
              <w:snapToGrid w:val="0"/>
              <w:spacing w:line="360" w:lineRule="auto"/>
              <w:ind w:left="1200" w:hanging="1200" w:hangingChars="500"/>
              <w:textAlignment w:val="baseline"/>
              <w:rPr>
                <w:rFonts w:ascii="宋体" w:hAnsi="宋体" w:cs="仿宋"/>
                <w:sz w:val="24"/>
                <w:szCs w:val="24"/>
                <w:highlight w:val="none"/>
              </w:rPr>
            </w:pPr>
          </w:p>
          <w:p w14:paraId="778078C8">
            <w:pPr>
              <w:snapToGrid w:val="0"/>
              <w:spacing w:line="360" w:lineRule="auto"/>
              <w:ind w:left="1200" w:hanging="1200" w:hangingChars="500"/>
              <w:textAlignment w:val="baseline"/>
              <w:rPr>
                <w:rFonts w:ascii="宋体" w:hAnsi="宋体" w:cs="仿宋"/>
                <w:sz w:val="24"/>
                <w:szCs w:val="24"/>
                <w:highlight w:val="none"/>
              </w:rPr>
            </w:pPr>
          </w:p>
        </w:tc>
      </w:tr>
      <w:tr w14:paraId="01A1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vAlign w:val="center"/>
          </w:tcPr>
          <w:p w14:paraId="03912239">
            <w:pPr>
              <w:snapToGrid w:val="0"/>
              <w:spacing w:line="36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1312" w:type="dxa"/>
            <w:vAlign w:val="center"/>
          </w:tcPr>
          <w:p w14:paraId="614BA5E2">
            <w:pPr>
              <w:snapToGrid w:val="0"/>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响应文件有效期</w:t>
            </w:r>
          </w:p>
        </w:tc>
        <w:tc>
          <w:tcPr>
            <w:tcW w:w="8382" w:type="dxa"/>
            <w:vAlign w:val="center"/>
          </w:tcPr>
          <w:p w14:paraId="351E2811">
            <w:pPr>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响应截止时间后九十天</w:t>
            </w:r>
          </w:p>
        </w:tc>
      </w:tr>
    </w:tbl>
    <w:p w14:paraId="3265911D">
      <w:pPr>
        <w:snapToGrid w:val="0"/>
        <w:spacing w:line="360" w:lineRule="auto"/>
        <w:textAlignment w:val="baseline"/>
        <w:rPr>
          <w:rFonts w:ascii="宋体" w:hAnsi="宋体" w:cs="仿宋"/>
          <w:b/>
          <w:bCs/>
          <w:sz w:val="24"/>
          <w:szCs w:val="24"/>
          <w:highlight w:val="none"/>
        </w:rPr>
      </w:pPr>
      <w:r>
        <w:rPr>
          <w:rFonts w:hint="eastAsia" w:ascii="宋体" w:hAnsi="宋体" w:cs="仿宋"/>
          <w:b/>
          <w:bCs/>
          <w:sz w:val="24"/>
          <w:szCs w:val="24"/>
          <w:highlight w:val="none"/>
        </w:rPr>
        <w:t>二、申请人的资格要求</w:t>
      </w:r>
    </w:p>
    <w:p w14:paraId="70F3402C">
      <w:pPr>
        <w:snapToGrid w:val="0"/>
        <w:spacing w:line="360" w:lineRule="auto"/>
        <w:ind w:firstLine="360" w:firstLineChars="150"/>
        <w:textAlignment w:val="baseline"/>
        <w:rPr>
          <w:rFonts w:ascii="宋体" w:hAnsi="宋体" w:cs="仿宋"/>
          <w:sz w:val="24"/>
          <w:szCs w:val="24"/>
          <w:highlight w:val="none"/>
        </w:rPr>
      </w:pPr>
      <w:r>
        <w:rPr>
          <w:rFonts w:hint="eastAsia" w:ascii="宋体" w:hAnsi="宋体" w:cs="仿宋"/>
          <w:sz w:val="24"/>
          <w:szCs w:val="24"/>
          <w:highlight w:val="none"/>
        </w:rPr>
        <w:t>（一）符合政府采购法第二十二条规定的条件，并提供下列材料：</w:t>
      </w:r>
    </w:p>
    <w:p w14:paraId="3B5CC698">
      <w:pPr>
        <w:snapToGrid w:val="0"/>
        <w:spacing w:line="360" w:lineRule="auto"/>
        <w:ind w:firstLine="480" w:firstLineChars="200"/>
        <w:textAlignment w:val="baseline"/>
        <w:rPr>
          <w:rFonts w:ascii="宋体" w:hAnsi="宋体" w:cs="仿宋"/>
          <w:sz w:val="24"/>
          <w:szCs w:val="24"/>
          <w:highlight w:val="none"/>
          <w:u w:val="none"/>
        </w:rPr>
      </w:pPr>
      <w:r>
        <w:rPr>
          <w:rFonts w:hint="eastAsia" w:ascii="宋体" w:hAnsi="宋体" w:cs="仿宋"/>
          <w:sz w:val="24"/>
          <w:szCs w:val="24"/>
          <w:highlight w:val="none"/>
          <w:u w:val="none"/>
        </w:rPr>
        <w:t>1、具有独立承担民事责任的能力（提供法人或者其他组织的营业执照复印件并加盖公章，或者自然人的身份证明）；</w:t>
      </w:r>
    </w:p>
    <w:p w14:paraId="6E420A6B">
      <w:pPr>
        <w:snapToGrid w:val="0"/>
        <w:spacing w:line="360" w:lineRule="auto"/>
        <w:ind w:firstLine="480" w:firstLineChars="200"/>
        <w:textAlignment w:val="baseline"/>
        <w:rPr>
          <w:rFonts w:ascii="宋体" w:hAnsi="宋体" w:cs="仿宋"/>
          <w:sz w:val="24"/>
          <w:szCs w:val="24"/>
          <w:highlight w:val="none"/>
          <w:u w:val="none"/>
        </w:rPr>
      </w:pPr>
      <w:r>
        <w:rPr>
          <w:rFonts w:hint="eastAsia" w:ascii="宋体" w:hAnsi="宋体" w:cs="仿宋"/>
          <w:sz w:val="24"/>
          <w:szCs w:val="24"/>
          <w:highlight w:val="none"/>
          <w:u w:val="none"/>
        </w:rPr>
        <w:t>2、具有良好的商业信誉和健全的财务会计制度（提供2024年度或2025年度财务报告或银行出具的企业资信证明，法人或者其他组织成立未满一年的可提供近半年内任一月的资产负债和利润表）；</w:t>
      </w:r>
    </w:p>
    <w:p w14:paraId="51556804">
      <w:pPr>
        <w:snapToGrid w:val="0"/>
        <w:spacing w:line="360" w:lineRule="auto"/>
        <w:ind w:firstLine="480" w:firstLineChars="200"/>
        <w:textAlignment w:val="baseline"/>
        <w:rPr>
          <w:rFonts w:ascii="宋体" w:hAnsi="宋体" w:cs="仿宋"/>
          <w:sz w:val="24"/>
          <w:szCs w:val="24"/>
          <w:highlight w:val="none"/>
          <w:u w:val="none"/>
        </w:rPr>
      </w:pPr>
      <w:r>
        <w:rPr>
          <w:rFonts w:hint="eastAsia" w:ascii="宋体" w:hAnsi="宋体" w:cs="仿宋"/>
          <w:sz w:val="24"/>
          <w:szCs w:val="24"/>
          <w:highlight w:val="none"/>
          <w:u w:val="none"/>
        </w:rPr>
        <w:t>3、具有履行合同所必需的设备和专业技术能力（根据项目需求提供履行合同所必需的设备和专业技术能力的证明材料或声明函）；</w:t>
      </w:r>
    </w:p>
    <w:p w14:paraId="58D41BCC">
      <w:pPr>
        <w:snapToGrid w:val="0"/>
        <w:spacing w:line="360" w:lineRule="auto"/>
        <w:ind w:firstLine="480" w:firstLineChars="200"/>
        <w:textAlignment w:val="baseline"/>
        <w:rPr>
          <w:rFonts w:ascii="宋体" w:hAnsi="宋体" w:cs="仿宋"/>
          <w:sz w:val="24"/>
          <w:szCs w:val="24"/>
          <w:highlight w:val="none"/>
          <w:u w:val="none"/>
        </w:rPr>
      </w:pPr>
      <w:r>
        <w:rPr>
          <w:rFonts w:hint="eastAsia" w:ascii="宋体" w:hAnsi="宋体" w:cs="仿宋"/>
          <w:sz w:val="24"/>
          <w:szCs w:val="24"/>
          <w:highlight w:val="none"/>
          <w:u w:val="none"/>
        </w:rPr>
        <w:t>4、有依法缴纳税收和社会保障资金的良好记录（提供参加本次采购活动前近六个月内任一月份依法缴纳税收及社会保险的凭据。依法免缴、迟缴的应提供相应文件证明）；</w:t>
      </w:r>
    </w:p>
    <w:p w14:paraId="64004C34">
      <w:pPr>
        <w:snapToGrid w:val="0"/>
        <w:spacing w:line="360" w:lineRule="auto"/>
        <w:ind w:firstLine="480" w:firstLineChars="200"/>
        <w:textAlignment w:val="baseline"/>
        <w:rPr>
          <w:rFonts w:ascii="宋体" w:hAnsi="宋体" w:cs="仿宋"/>
          <w:sz w:val="24"/>
          <w:szCs w:val="24"/>
          <w:highlight w:val="none"/>
          <w:u w:val="none"/>
        </w:rPr>
      </w:pPr>
      <w:r>
        <w:rPr>
          <w:rFonts w:hint="eastAsia" w:ascii="宋体" w:hAnsi="宋体" w:cs="仿宋"/>
          <w:sz w:val="24"/>
          <w:szCs w:val="24"/>
          <w:highlight w:val="none"/>
          <w:u w:val="none"/>
        </w:rPr>
        <w:t>5、参加本次采购活动前3年内在经营活动中没有重大违法记录（提供参加本次采购活动前3年内在经营活动中没有重大违法记录的书面声明）；</w:t>
      </w:r>
    </w:p>
    <w:p w14:paraId="16761AC0">
      <w:pPr>
        <w:snapToGrid w:val="0"/>
        <w:spacing w:line="360" w:lineRule="auto"/>
        <w:ind w:firstLine="480" w:firstLineChars="200"/>
        <w:textAlignment w:val="baseline"/>
        <w:rPr>
          <w:rFonts w:ascii="宋体" w:hAnsi="宋体" w:cs="仿宋"/>
          <w:strike w:val="0"/>
          <w:dstrike w:val="0"/>
          <w:sz w:val="24"/>
          <w:szCs w:val="24"/>
          <w:highlight w:val="none"/>
          <w:u w:val="none"/>
        </w:rPr>
      </w:pPr>
      <w:r>
        <w:rPr>
          <w:rFonts w:hint="eastAsia" w:ascii="宋体" w:hAnsi="宋体" w:cs="仿宋"/>
          <w:strike w:val="0"/>
          <w:dstrike w:val="0"/>
          <w:sz w:val="24"/>
          <w:szCs w:val="24"/>
          <w:highlight w:val="none"/>
          <w:u w:val="none"/>
        </w:rPr>
        <w:t>6、法律、行政法规规定的其他条件。</w:t>
      </w:r>
    </w:p>
    <w:p w14:paraId="20F53465">
      <w:pPr>
        <w:pStyle w:val="10"/>
        <w:ind w:firstLine="480" w:firstLineChars="200"/>
        <w:rPr>
          <w:rFonts w:hint="eastAsia" w:ascii="宋体" w:hAnsi="宋体" w:eastAsia="宋体" w:cs="仿宋"/>
          <w:kern w:val="2"/>
          <w:sz w:val="24"/>
          <w:szCs w:val="24"/>
          <w:highlight w:val="none"/>
          <w:u w:val="none"/>
          <w:lang w:val="en-US" w:eastAsia="zh-CN" w:bidi="ar-SA"/>
        </w:rPr>
      </w:pPr>
      <w:r>
        <w:rPr>
          <w:rFonts w:hint="eastAsia" w:ascii="宋体" w:hAnsi="宋体" w:eastAsia="宋体" w:cs="仿宋"/>
          <w:kern w:val="2"/>
          <w:sz w:val="24"/>
          <w:szCs w:val="24"/>
          <w:highlight w:val="none"/>
          <w:u w:val="none"/>
          <w:lang w:val="en-US" w:eastAsia="zh-CN" w:bidi="ar-SA"/>
        </w:rPr>
        <w:t>7、在“信用中国”网站（www.creditchina.gov.cn）查询，无被列入失信被执行人、重大税收违法案件当事人名单、政府采购严重失信行为记录名单及其他不符合《中华人民共和国政府采购法》第二十二条规定条件的信用记录。（提供信用信息查询记录，以网站截图打印稿形式）</w:t>
      </w:r>
    </w:p>
    <w:p w14:paraId="2FF1EACE">
      <w:pPr>
        <w:snapToGrid w:val="0"/>
        <w:spacing w:line="360" w:lineRule="auto"/>
        <w:ind w:firstLine="480" w:firstLineChars="200"/>
        <w:textAlignment w:val="baseline"/>
        <w:rPr>
          <w:rFonts w:hint="eastAsia" w:ascii="宋体" w:hAnsi="宋体" w:eastAsia="宋体" w:cs="仿宋"/>
          <w:kern w:val="2"/>
          <w:sz w:val="24"/>
          <w:szCs w:val="24"/>
          <w:highlight w:val="none"/>
          <w:u w:val="none"/>
          <w:lang w:val="en-US" w:eastAsia="zh-CN" w:bidi="ar-SA"/>
        </w:rPr>
      </w:pPr>
      <w:r>
        <w:rPr>
          <w:rFonts w:hint="eastAsia" w:ascii="宋体" w:hAnsi="宋体" w:eastAsia="宋体" w:cs="仿宋"/>
          <w:kern w:val="2"/>
          <w:sz w:val="24"/>
          <w:szCs w:val="24"/>
          <w:highlight w:val="none"/>
          <w:u w:val="none"/>
          <w:lang w:val="en-US" w:eastAsia="zh-CN" w:bidi="ar-SA"/>
        </w:rPr>
        <w:t>（二）本项目不接受联合体参与磋商。</w:t>
      </w:r>
    </w:p>
    <w:p w14:paraId="5B512D21">
      <w:pPr>
        <w:snapToGrid w:val="0"/>
        <w:spacing w:line="360" w:lineRule="auto"/>
        <w:ind w:firstLine="480" w:firstLineChars="200"/>
        <w:textAlignment w:val="baseline"/>
        <w:rPr>
          <w:ins w:id="0" w:author="xbany" w:date="2022-09-14T12:54:00Z"/>
          <w:rFonts w:ascii="宋体" w:hAnsi="宋体" w:cs="仿宋"/>
          <w:sz w:val="24"/>
          <w:szCs w:val="24"/>
          <w:highlight w:val="none"/>
          <w:u w:val="none"/>
        </w:rPr>
      </w:pPr>
      <w:r>
        <w:rPr>
          <w:rFonts w:hint="eastAsia" w:ascii="宋体" w:hAnsi="宋体" w:cs="仿宋"/>
          <w:sz w:val="24"/>
          <w:szCs w:val="24"/>
          <w:highlight w:val="none"/>
          <w:u w:val="none"/>
        </w:rPr>
        <w:t>（三）其他资格条件：</w:t>
      </w:r>
    </w:p>
    <w:p w14:paraId="07E78F6A">
      <w:pPr>
        <w:snapToGrid w:val="0"/>
        <w:spacing w:line="360" w:lineRule="auto"/>
        <w:ind w:firstLine="480" w:firstLineChars="200"/>
        <w:textAlignment w:val="baseline"/>
        <w:rPr>
          <w:rFonts w:hint="eastAsia" w:ascii="宋体" w:hAnsi="宋体" w:cs="仿宋"/>
          <w:sz w:val="24"/>
          <w:szCs w:val="24"/>
          <w:highlight w:val="none"/>
          <w:u w:val="none"/>
        </w:rPr>
      </w:pPr>
      <w:r>
        <w:rPr>
          <w:rFonts w:hint="eastAsia" w:ascii="宋体" w:hAnsi="宋体" w:cs="仿宋"/>
          <w:sz w:val="24"/>
          <w:szCs w:val="24"/>
          <w:highlight w:val="none"/>
          <w:u w:val="none"/>
        </w:rPr>
        <w:t>1、供应商具有建筑工程施工总承包三级及以上资质（提供资质证书复印件加盖投标人公章）。</w:t>
      </w:r>
    </w:p>
    <w:p w14:paraId="4182BFE0">
      <w:pPr>
        <w:snapToGrid w:val="0"/>
        <w:spacing w:line="360" w:lineRule="auto"/>
        <w:ind w:firstLine="480" w:firstLineChars="200"/>
        <w:textAlignment w:val="baseline"/>
        <w:rPr>
          <w:rFonts w:hint="eastAsia" w:ascii="宋体" w:hAnsi="宋体" w:cs="仿宋"/>
          <w:sz w:val="24"/>
          <w:szCs w:val="24"/>
          <w:highlight w:val="none"/>
          <w:u w:val="none"/>
        </w:rPr>
      </w:pPr>
      <w:r>
        <w:rPr>
          <w:rFonts w:hint="eastAsia" w:ascii="宋体" w:hAnsi="宋体" w:cs="仿宋"/>
          <w:sz w:val="24"/>
          <w:szCs w:val="24"/>
          <w:highlight w:val="none"/>
          <w:u w:val="none"/>
        </w:rPr>
        <w:t>2、供应商具备有效的安全生产许可证且在有效期内（提供证书复印件加盖投标人公章）。</w:t>
      </w:r>
    </w:p>
    <w:p w14:paraId="3F0F7DB6">
      <w:pPr>
        <w:snapToGrid w:val="0"/>
        <w:spacing w:line="360" w:lineRule="auto"/>
        <w:ind w:firstLine="480" w:firstLineChars="200"/>
        <w:textAlignment w:val="baseline"/>
        <w:rPr>
          <w:rFonts w:hint="eastAsia" w:ascii="宋体" w:hAnsi="宋体" w:cs="仿宋"/>
          <w:sz w:val="24"/>
          <w:szCs w:val="24"/>
          <w:highlight w:val="none"/>
          <w:u w:val="none"/>
        </w:rPr>
      </w:pPr>
      <w:r>
        <w:rPr>
          <w:rFonts w:hint="eastAsia" w:ascii="宋体" w:hAnsi="宋体" w:cs="仿宋"/>
          <w:sz w:val="24"/>
          <w:szCs w:val="24"/>
          <w:highlight w:val="none"/>
          <w:u w:val="none"/>
        </w:rPr>
        <w:t>3、供应商针对本项目拟派的项目负责人必须具有建筑工程二级及以上注册建造师,并取得安全生产考核合格证书（B证），社保机构出具的任意连续近6个月及以上投标人申请人为其缴纳的养老保险缴费证明材料并加盖社保中心章或社保中心参保缴费证明电子专用章。</w:t>
      </w:r>
    </w:p>
    <w:p w14:paraId="6988D2B8">
      <w:pPr>
        <w:snapToGrid w:val="0"/>
        <w:spacing w:line="360" w:lineRule="auto"/>
        <w:ind w:firstLine="480" w:firstLineChars="200"/>
        <w:textAlignment w:val="baseline"/>
        <w:rPr>
          <w:rFonts w:ascii="宋体" w:hAnsi="宋体" w:cs="仿宋"/>
          <w:strike w:val="0"/>
          <w:dstrike w:val="0"/>
          <w:sz w:val="24"/>
          <w:szCs w:val="24"/>
          <w:highlight w:val="none"/>
          <w:u w:val="none"/>
        </w:rPr>
      </w:pPr>
      <w:r>
        <w:rPr>
          <w:rFonts w:hint="eastAsia" w:ascii="宋体" w:hAnsi="宋体" w:cs="仿宋"/>
          <w:strike w:val="0"/>
          <w:dstrike w:val="0"/>
          <w:sz w:val="24"/>
          <w:szCs w:val="24"/>
          <w:highlight w:val="none"/>
          <w:u w:val="none"/>
        </w:rPr>
        <w:t>（四）本项目不接受进口产品。</w:t>
      </w:r>
    </w:p>
    <w:p w14:paraId="350D477F">
      <w:pPr>
        <w:snapToGrid w:val="0"/>
        <w:spacing w:line="360" w:lineRule="auto"/>
        <w:ind w:firstLine="480" w:firstLineChars="200"/>
        <w:textAlignment w:val="baseline"/>
        <w:rPr>
          <w:rFonts w:ascii="宋体" w:hAnsi="宋体" w:cs="仿宋"/>
          <w:strike w:val="0"/>
          <w:dstrike w:val="0"/>
          <w:sz w:val="24"/>
          <w:szCs w:val="24"/>
          <w:highlight w:val="none"/>
          <w:u w:val="none"/>
        </w:rPr>
      </w:pPr>
      <w:r>
        <w:rPr>
          <w:rFonts w:hint="eastAsia" w:ascii="宋体" w:hAnsi="宋体" w:cs="仿宋"/>
          <w:strike w:val="0"/>
          <w:dstrike w:val="0"/>
          <w:sz w:val="24"/>
          <w:szCs w:val="24"/>
          <w:highlight w:val="none"/>
          <w:u w:val="none"/>
        </w:rPr>
        <w:t>（五）拒绝下述供应商参加本次采购活动：</w:t>
      </w:r>
    </w:p>
    <w:p w14:paraId="2225D896">
      <w:pPr>
        <w:snapToGrid w:val="0"/>
        <w:spacing w:line="360" w:lineRule="auto"/>
        <w:ind w:firstLine="480" w:firstLineChars="200"/>
        <w:textAlignment w:val="baseline"/>
        <w:rPr>
          <w:rFonts w:ascii="宋体" w:hAnsi="宋体" w:cs="仿宋"/>
          <w:strike w:val="0"/>
          <w:dstrike w:val="0"/>
          <w:sz w:val="24"/>
          <w:szCs w:val="32"/>
          <w:highlight w:val="none"/>
          <w:u w:val="none"/>
        </w:rPr>
      </w:pPr>
      <w:r>
        <w:rPr>
          <w:rFonts w:hint="eastAsia" w:ascii="宋体" w:hAnsi="宋体" w:cs="仿宋"/>
          <w:strike w:val="0"/>
          <w:dstrike w:val="0"/>
          <w:sz w:val="24"/>
          <w:szCs w:val="32"/>
          <w:highlight w:val="none"/>
          <w:u w:val="none"/>
        </w:rPr>
        <w:t>1、凡为采购项目提供整体设计、规范编制或者项目管理、监理、检测等服务的供应商。</w:t>
      </w:r>
      <w:r>
        <w:rPr>
          <w:rFonts w:hint="eastAsia" w:ascii="宋体" w:hAnsi="宋体" w:cs="仿宋"/>
          <w:strike w:val="0"/>
          <w:dstrike w:val="0"/>
          <w:sz w:val="24"/>
          <w:szCs w:val="32"/>
          <w:highlight w:val="none"/>
          <w:u w:val="none"/>
        </w:rPr>
        <w:br w:type="textWrapping"/>
      </w:r>
      <w:r>
        <w:rPr>
          <w:rFonts w:hint="eastAsia" w:ascii="宋体" w:hAnsi="宋体" w:cs="仿宋"/>
          <w:strike w:val="0"/>
          <w:dstrike w:val="0"/>
          <w:sz w:val="24"/>
          <w:szCs w:val="32"/>
          <w:highlight w:val="none"/>
          <w:u w:val="none"/>
        </w:rPr>
        <w:t xml:space="preserve">    2、供应商单位负责人为同一人或者存在直接控股、管理关系的不同供应商,不得参加同一合同项下的采购活动。</w:t>
      </w:r>
    </w:p>
    <w:p w14:paraId="3F71EEAF">
      <w:pPr>
        <w:snapToGrid w:val="0"/>
        <w:spacing w:line="360" w:lineRule="auto"/>
        <w:ind w:firstLine="480" w:firstLineChars="200"/>
        <w:textAlignment w:val="baseline"/>
        <w:rPr>
          <w:rFonts w:hint="eastAsia" w:ascii="宋体" w:hAnsi="宋体" w:cs="仿宋"/>
          <w:strike w:val="0"/>
          <w:dstrike w:val="0"/>
          <w:sz w:val="24"/>
          <w:szCs w:val="32"/>
          <w:highlight w:val="none"/>
          <w:u w:val="none"/>
        </w:rPr>
      </w:pPr>
      <w:r>
        <w:rPr>
          <w:rFonts w:hint="eastAsia" w:ascii="宋体" w:hAnsi="宋体" w:cs="仿宋"/>
          <w:strike w:val="0"/>
          <w:dstrike w:val="0"/>
          <w:sz w:val="24"/>
          <w:szCs w:val="32"/>
          <w:highlight w:val="none"/>
          <w:u w:val="none"/>
        </w:rPr>
        <w:t>3、在磋商截止日前被“信用中国”网站(www.creditchina.gov.cn)、中国政府采购网(www.ccgp.gov.cn) 列入失信被执行人、重大税收违法案件当事人、政府采购严重违法失信行为记录名单的供应商。</w:t>
      </w:r>
    </w:p>
    <w:p w14:paraId="1619DF37">
      <w:pPr>
        <w:snapToGrid w:val="0"/>
        <w:spacing w:line="360" w:lineRule="auto"/>
        <w:ind w:firstLine="480" w:firstLineChars="200"/>
        <w:textAlignment w:val="baseline"/>
        <w:rPr>
          <w:rFonts w:hint="eastAsia" w:ascii="宋体" w:hAnsi="宋体" w:eastAsia="宋体" w:cs="仿宋"/>
          <w:b w:val="0"/>
          <w:bCs w:val="0"/>
          <w:strike w:val="0"/>
          <w:dstrike w:val="0"/>
          <w:kern w:val="2"/>
          <w:sz w:val="24"/>
          <w:szCs w:val="32"/>
          <w:highlight w:val="none"/>
          <w:u w:val="none"/>
          <w:lang w:val="en-US" w:eastAsia="zh-CN" w:bidi="ar-SA"/>
        </w:rPr>
      </w:pPr>
      <w:r>
        <w:rPr>
          <w:rFonts w:hint="eastAsia" w:ascii="宋体" w:hAnsi="宋体" w:eastAsia="宋体" w:cs="仿宋"/>
          <w:b w:val="0"/>
          <w:bCs w:val="0"/>
          <w:strike w:val="0"/>
          <w:dstrike w:val="0"/>
          <w:kern w:val="2"/>
          <w:sz w:val="24"/>
          <w:szCs w:val="32"/>
          <w:highlight w:val="none"/>
          <w:u w:val="none"/>
          <w:lang w:val="en-US" w:eastAsia="zh-CN" w:bidi="ar-SA"/>
        </w:rPr>
        <w:t>（六）落实政府采购政策需满足的资格要求：本项目是否专门面向中小企业：否。供应商如为中小微企业、监狱企业、残疾人福利性单位、节能环保产品须提供相关证明材料。</w:t>
      </w:r>
    </w:p>
    <w:p w14:paraId="32A203A4">
      <w:pPr>
        <w:snapToGrid w:val="0"/>
        <w:spacing w:line="360" w:lineRule="auto"/>
        <w:ind w:firstLine="480" w:firstLineChars="200"/>
        <w:textAlignment w:val="baseline"/>
        <w:rPr>
          <w:rFonts w:hint="eastAsia" w:ascii="宋体" w:hAnsi="宋体" w:eastAsia="宋体" w:cs="仿宋"/>
          <w:b w:val="0"/>
          <w:bCs w:val="0"/>
          <w:strike w:val="0"/>
          <w:dstrike w:val="0"/>
          <w:kern w:val="2"/>
          <w:sz w:val="24"/>
          <w:szCs w:val="32"/>
          <w:highlight w:val="none"/>
          <w:u w:val="none"/>
          <w:lang w:val="en-US" w:eastAsia="zh-CN" w:bidi="ar-SA"/>
        </w:rPr>
      </w:pPr>
    </w:p>
    <w:p w14:paraId="77A98BE2">
      <w:pPr>
        <w:widowControl/>
        <w:numPr>
          <w:ilvl w:val="0"/>
          <w:numId w:val="0"/>
        </w:numPr>
        <w:shd w:val="clear" w:color="auto" w:fill="FFFFFF"/>
        <w:outlineLvl w:val="1"/>
        <w:rPr>
          <w:rFonts w:ascii="宋体" w:hAnsi="宋体"/>
          <w:b/>
          <w:color w:val="000000"/>
          <w:spacing w:val="8"/>
          <w:kern w:val="0"/>
          <w:sz w:val="24"/>
          <w:szCs w:val="24"/>
          <w:highlight w:val="none"/>
        </w:rPr>
      </w:pPr>
      <w:r>
        <w:rPr>
          <w:rFonts w:hint="eastAsia" w:ascii="宋体" w:hAnsi="宋体"/>
          <w:b/>
          <w:color w:val="000000"/>
          <w:spacing w:val="8"/>
          <w:kern w:val="0"/>
          <w:sz w:val="24"/>
          <w:szCs w:val="24"/>
          <w:highlight w:val="none"/>
        </w:rPr>
        <w:t>三、获取采购文件</w:t>
      </w:r>
    </w:p>
    <w:p w14:paraId="4804953A">
      <w:pPr>
        <w:snapToGrid w:val="0"/>
        <w:spacing w:line="360" w:lineRule="auto"/>
        <w:ind w:firstLine="480" w:firstLineChars="200"/>
        <w:textAlignment w:val="baseline"/>
        <w:rPr>
          <w:rFonts w:hint="eastAsia" w:ascii="宋体" w:hAnsi="宋体" w:cs="仿宋"/>
          <w:strike w:val="0"/>
          <w:dstrike w:val="0"/>
          <w:sz w:val="24"/>
          <w:szCs w:val="32"/>
          <w:highlight w:val="none"/>
          <w:u w:val="none"/>
        </w:rPr>
      </w:pPr>
      <w:r>
        <w:rPr>
          <w:rFonts w:hint="eastAsia" w:ascii="宋体" w:hAnsi="宋体" w:cs="仿宋"/>
          <w:strike w:val="0"/>
          <w:dstrike w:val="0"/>
          <w:sz w:val="24"/>
          <w:szCs w:val="32"/>
          <w:highlight w:val="none"/>
          <w:u w:val="none"/>
        </w:rPr>
        <w:t>1.时间：自采购文件公告发布之日起5个工作日</w:t>
      </w:r>
    </w:p>
    <w:p w14:paraId="568FC035">
      <w:pPr>
        <w:snapToGrid w:val="0"/>
        <w:spacing w:line="360" w:lineRule="auto"/>
        <w:ind w:firstLine="480" w:firstLineChars="200"/>
        <w:textAlignment w:val="baseline"/>
        <w:rPr>
          <w:rFonts w:hint="default" w:ascii="宋体" w:hAnsi="宋体" w:eastAsia="宋体" w:cs="仿宋"/>
          <w:strike w:val="0"/>
          <w:dstrike w:val="0"/>
          <w:sz w:val="24"/>
          <w:szCs w:val="32"/>
          <w:highlight w:val="none"/>
          <w:u w:val="none"/>
          <w:lang w:val="en-US" w:eastAsia="zh-CN"/>
        </w:rPr>
      </w:pPr>
      <w:r>
        <w:rPr>
          <w:rFonts w:hint="eastAsia" w:ascii="宋体" w:hAnsi="宋体" w:cs="仿宋"/>
          <w:strike w:val="0"/>
          <w:dstrike w:val="0"/>
          <w:sz w:val="24"/>
          <w:szCs w:val="32"/>
          <w:highlight w:val="none"/>
          <w:u w:val="none"/>
        </w:rPr>
        <w:t>2.地点：江苏政府采购网</w:t>
      </w:r>
      <w:r>
        <w:rPr>
          <w:rFonts w:hint="eastAsia" w:ascii="宋体" w:hAnsi="宋体" w:cs="仿宋"/>
          <w:strike w:val="0"/>
          <w:dstrike w:val="0"/>
          <w:sz w:val="24"/>
          <w:szCs w:val="32"/>
          <w:highlight w:val="none"/>
          <w:u w:val="none"/>
          <w:lang w:eastAsia="zh-CN"/>
        </w:rPr>
        <w:t>“</w:t>
      </w:r>
      <w:r>
        <w:rPr>
          <w:rFonts w:hint="eastAsia" w:ascii="宋体" w:hAnsi="宋体" w:cs="仿宋"/>
          <w:strike w:val="0"/>
          <w:dstrike w:val="0"/>
          <w:sz w:val="24"/>
          <w:szCs w:val="32"/>
          <w:highlight w:val="none"/>
          <w:u w:val="none"/>
          <w:lang w:val="en-US" w:eastAsia="zh-CN"/>
        </w:rPr>
        <w:t>苏采云</w:t>
      </w:r>
      <w:r>
        <w:rPr>
          <w:rFonts w:hint="eastAsia" w:ascii="宋体" w:hAnsi="宋体" w:cs="仿宋"/>
          <w:strike w:val="0"/>
          <w:dstrike w:val="0"/>
          <w:sz w:val="24"/>
          <w:szCs w:val="32"/>
          <w:highlight w:val="none"/>
          <w:u w:val="none"/>
          <w:lang w:eastAsia="zh-CN"/>
        </w:rPr>
        <w:t>”</w:t>
      </w:r>
      <w:r>
        <w:rPr>
          <w:rFonts w:hint="eastAsia" w:ascii="宋体" w:hAnsi="宋体" w:cs="仿宋"/>
          <w:strike w:val="0"/>
          <w:dstrike w:val="0"/>
          <w:sz w:val="24"/>
          <w:szCs w:val="32"/>
          <w:highlight w:val="none"/>
          <w:u w:val="none"/>
          <w:lang w:val="en-US" w:eastAsia="zh-CN"/>
        </w:rPr>
        <w:t>平台</w:t>
      </w:r>
    </w:p>
    <w:p w14:paraId="218F2756">
      <w:pPr>
        <w:snapToGrid w:val="0"/>
        <w:spacing w:line="360" w:lineRule="auto"/>
        <w:ind w:firstLine="480" w:firstLineChars="200"/>
        <w:textAlignment w:val="baseline"/>
        <w:rPr>
          <w:rFonts w:hint="eastAsia" w:ascii="宋体" w:hAnsi="宋体" w:cs="仿宋"/>
          <w:strike w:val="0"/>
          <w:dstrike w:val="0"/>
          <w:sz w:val="24"/>
          <w:szCs w:val="32"/>
          <w:highlight w:val="none"/>
          <w:u w:val="none"/>
        </w:rPr>
      </w:pPr>
      <w:r>
        <w:rPr>
          <w:rFonts w:hint="eastAsia" w:ascii="宋体" w:hAnsi="宋体" w:cs="仿宋"/>
          <w:strike w:val="0"/>
          <w:dstrike w:val="0"/>
          <w:sz w:val="24"/>
          <w:szCs w:val="32"/>
          <w:highlight w:val="none"/>
          <w:u w:val="none"/>
        </w:rPr>
        <w:t>3.方式:在“江苏政府采购网”自行免费下载采购文件</w:t>
      </w:r>
    </w:p>
    <w:p w14:paraId="55DC0378">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3.1.潜在供应商访问电子招标响应交易平台的网络地址和方法：</w:t>
      </w:r>
    </w:p>
    <w:p w14:paraId="7FD2B2B4">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4F0CA7D">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3.2.潜在供应商访问“苏采云”系统的网络地址和方法：“苏采云”系统的网址：http://jszfcg.jsczt.cn/。</w:t>
      </w:r>
    </w:p>
    <w:p w14:paraId="61D43FA3">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3.3.“CA数字证书”的获取：</w:t>
      </w:r>
    </w:p>
    <w:p w14:paraId="1201A60C">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响应供应商需办理“CA 数字证书”，CA办理指南及“苏采云”操作手册可至江苏省政府采购网―办事指南-资料下载中心下载。</w:t>
      </w:r>
    </w:p>
    <w:p w14:paraId="45D57F2C">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通过苏采云系统首页（http://jszfcg.jscz.gov.cn/）的“苏采云控件驱动下载”，选择“政务CA、方正签章控件驱动安装包及安装说明”下载安装，具体安装方法详见下载文件内的《安装说明》。</w:t>
      </w:r>
    </w:p>
    <w:p w14:paraId="736A20BD">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3.4.采购人或采购代理机构将数据电文形式的采购文件加载至“苏采云”系统，供潜在供应商下载或者查阅。</w:t>
      </w:r>
    </w:p>
    <w:p w14:paraId="2C84F838">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3.</w:t>
      </w:r>
      <w:r>
        <w:rPr>
          <w:rFonts w:hint="eastAsia" w:ascii="宋体" w:hAnsi="宋体" w:cs="仿宋"/>
          <w:strike w:val="0"/>
          <w:dstrike w:val="0"/>
          <w:sz w:val="24"/>
          <w:szCs w:val="32"/>
          <w:highlight w:val="none"/>
          <w:u w:val="single"/>
          <w:lang w:val="en-US" w:eastAsia="zh-CN"/>
        </w:rPr>
        <w:t>5</w:t>
      </w:r>
      <w:r>
        <w:rPr>
          <w:rFonts w:hint="eastAsia" w:ascii="宋体" w:hAnsi="宋体" w:cs="仿宋"/>
          <w:strike w:val="0"/>
          <w:dstrike w:val="0"/>
          <w:sz w:val="24"/>
          <w:szCs w:val="32"/>
          <w:highlight w:val="none"/>
          <w:u w:val="single"/>
        </w:rPr>
        <w:t>.请潜在供应商提前安装相应的控件（详见《江苏省政府采购管理交易系统（苏采云）供应商操作手册》）并使用谷歌浏览器登录“苏采云”系统参与不见面开评标。</w:t>
      </w:r>
    </w:p>
    <w:p w14:paraId="7FE76C12">
      <w:pPr>
        <w:snapToGrid w:val="0"/>
        <w:spacing w:line="360" w:lineRule="auto"/>
        <w:ind w:firstLine="480" w:firstLineChars="200"/>
        <w:textAlignment w:val="baseline"/>
        <w:rPr>
          <w:rFonts w:ascii="宋体" w:hAnsi="宋体" w:cs="仿宋"/>
          <w:bCs/>
          <w:sz w:val="24"/>
          <w:highlight w:val="none"/>
          <w:u w:val="single"/>
        </w:rPr>
      </w:pPr>
      <w:r>
        <w:rPr>
          <w:rFonts w:hint="eastAsia" w:ascii="宋体" w:hAnsi="宋体" w:cs="仿宋"/>
          <w:strike w:val="0"/>
          <w:dstrike w:val="0"/>
          <w:sz w:val="24"/>
          <w:szCs w:val="32"/>
          <w:highlight w:val="none"/>
          <w:u w:val="single"/>
        </w:rPr>
        <w:t>注：如潜在供应商未按上述要求操作，将自行承担所产生的风险。</w:t>
      </w:r>
    </w:p>
    <w:p w14:paraId="3E727ABF">
      <w:pPr>
        <w:widowControl/>
        <w:numPr>
          <w:ilvl w:val="0"/>
          <w:numId w:val="0"/>
        </w:numPr>
        <w:shd w:val="clear" w:color="auto" w:fill="FFFFFF"/>
        <w:ind w:leftChars="0"/>
        <w:outlineLvl w:val="1"/>
        <w:rPr>
          <w:rFonts w:ascii="宋体" w:hAnsi="宋体"/>
          <w:b/>
          <w:color w:val="000000"/>
          <w:spacing w:val="8"/>
          <w:kern w:val="0"/>
          <w:sz w:val="24"/>
          <w:szCs w:val="24"/>
          <w:highlight w:val="none"/>
        </w:rPr>
      </w:pPr>
      <w:r>
        <w:rPr>
          <w:rFonts w:hint="eastAsia" w:ascii="宋体" w:hAnsi="宋体"/>
          <w:b/>
          <w:color w:val="000000"/>
          <w:spacing w:val="8"/>
          <w:kern w:val="0"/>
          <w:sz w:val="24"/>
          <w:szCs w:val="24"/>
          <w:highlight w:val="none"/>
          <w:lang w:val="en-US" w:eastAsia="zh-CN"/>
        </w:rPr>
        <w:t>四、</w:t>
      </w:r>
      <w:r>
        <w:rPr>
          <w:rFonts w:ascii="宋体" w:hAnsi="宋体"/>
          <w:b/>
          <w:color w:val="000000"/>
          <w:spacing w:val="8"/>
          <w:kern w:val="0"/>
          <w:sz w:val="24"/>
          <w:szCs w:val="24"/>
          <w:highlight w:val="none"/>
        </w:rPr>
        <w:t>响应文件提交截止时间、地点</w:t>
      </w:r>
    </w:p>
    <w:p w14:paraId="4D94A022">
      <w:pPr>
        <w:widowControl/>
        <w:numPr>
          <w:ilvl w:val="0"/>
          <w:numId w:val="0"/>
        </w:numPr>
        <w:shd w:val="clear" w:color="auto" w:fill="FFFFFF"/>
        <w:ind w:leftChars="0"/>
        <w:outlineLvl w:val="1"/>
        <w:rPr>
          <w:rFonts w:ascii="宋体" w:hAnsi="宋体"/>
          <w:b/>
          <w:color w:val="000000"/>
          <w:spacing w:val="8"/>
          <w:kern w:val="0"/>
          <w:sz w:val="24"/>
          <w:szCs w:val="24"/>
          <w:highlight w:val="none"/>
        </w:rPr>
      </w:pPr>
    </w:p>
    <w:p w14:paraId="4A89A6E8">
      <w:pPr>
        <w:snapToGrid w:val="0"/>
        <w:spacing w:line="360" w:lineRule="auto"/>
        <w:ind w:firstLine="480" w:firstLineChars="200"/>
        <w:textAlignment w:val="baseline"/>
        <w:rPr>
          <w:rFonts w:hint="eastAsia" w:ascii="宋体" w:hAnsi="宋体" w:cs="仿宋"/>
          <w:strike w:val="0"/>
          <w:dstrike w:val="0"/>
          <w:sz w:val="24"/>
          <w:szCs w:val="32"/>
          <w:highlight w:val="none"/>
          <w:u w:val="none"/>
        </w:rPr>
      </w:pPr>
      <w:r>
        <w:rPr>
          <w:rFonts w:hint="eastAsia" w:ascii="宋体" w:hAnsi="宋体" w:cs="仿宋"/>
          <w:strike w:val="0"/>
          <w:dstrike w:val="0"/>
          <w:sz w:val="24"/>
          <w:szCs w:val="32"/>
          <w:highlight w:val="none"/>
          <w:u w:val="none"/>
        </w:rPr>
        <w:t>1.提交响应文件截止时间：</w:t>
      </w:r>
      <w:r>
        <w:rPr>
          <w:rFonts w:hint="eastAsia" w:ascii="宋体" w:hAnsi="宋体" w:cs="仿宋"/>
          <w:strike w:val="0"/>
          <w:dstrike w:val="0"/>
          <w:sz w:val="24"/>
          <w:szCs w:val="32"/>
          <w:highlight w:val="none"/>
          <w:u w:val="single"/>
        </w:rPr>
        <w:t>2026年</w:t>
      </w:r>
      <w:r>
        <w:rPr>
          <w:rFonts w:hint="eastAsia" w:ascii="宋体" w:hAnsi="宋体" w:cs="仿宋"/>
          <w:strike w:val="0"/>
          <w:dstrike w:val="0"/>
          <w:sz w:val="24"/>
          <w:szCs w:val="32"/>
          <w:highlight w:val="none"/>
          <w:u w:val="single"/>
          <w:lang w:val="en-US" w:eastAsia="zh-CN"/>
        </w:rPr>
        <w:t>07</w:t>
      </w:r>
      <w:r>
        <w:rPr>
          <w:rFonts w:hint="eastAsia" w:ascii="宋体" w:hAnsi="宋体" w:cs="仿宋"/>
          <w:strike w:val="0"/>
          <w:dstrike w:val="0"/>
          <w:sz w:val="24"/>
          <w:szCs w:val="32"/>
          <w:highlight w:val="none"/>
          <w:u w:val="single"/>
        </w:rPr>
        <w:t>月</w:t>
      </w:r>
      <w:r>
        <w:rPr>
          <w:rFonts w:hint="eastAsia" w:ascii="宋体" w:hAnsi="宋体" w:cs="仿宋"/>
          <w:strike w:val="0"/>
          <w:dstrike w:val="0"/>
          <w:sz w:val="24"/>
          <w:szCs w:val="32"/>
          <w:highlight w:val="none"/>
          <w:u w:val="single"/>
          <w:lang w:val="en-US" w:eastAsia="zh-CN"/>
        </w:rPr>
        <w:t>01</w:t>
      </w:r>
      <w:r>
        <w:rPr>
          <w:rFonts w:hint="eastAsia" w:ascii="宋体" w:hAnsi="宋体" w:cs="仿宋"/>
          <w:strike w:val="0"/>
          <w:dstrike w:val="0"/>
          <w:sz w:val="24"/>
          <w:szCs w:val="32"/>
          <w:highlight w:val="none"/>
          <w:u w:val="single"/>
        </w:rPr>
        <w:t>日</w:t>
      </w:r>
      <w:r>
        <w:rPr>
          <w:rFonts w:hint="eastAsia" w:ascii="宋体" w:hAnsi="宋体" w:cs="仿宋"/>
          <w:strike w:val="0"/>
          <w:dstrike w:val="0"/>
          <w:sz w:val="24"/>
          <w:szCs w:val="32"/>
          <w:highlight w:val="none"/>
          <w:u w:val="single"/>
          <w:lang w:val="en-US" w:eastAsia="zh-CN"/>
        </w:rPr>
        <w:t>14</w:t>
      </w:r>
      <w:r>
        <w:rPr>
          <w:rFonts w:hint="eastAsia" w:ascii="宋体" w:hAnsi="宋体" w:cs="仿宋"/>
          <w:strike w:val="0"/>
          <w:dstrike w:val="0"/>
          <w:sz w:val="24"/>
          <w:szCs w:val="32"/>
          <w:highlight w:val="none"/>
          <w:u w:val="single"/>
          <w:lang w:eastAsia="zh-CN"/>
        </w:rPr>
        <w:t>：</w:t>
      </w:r>
      <w:r>
        <w:rPr>
          <w:rFonts w:hint="eastAsia" w:ascii="宋体" w:hAnsi="宋体" w:cs="仿宋"/>
          <w:strike w:val="0"/>
          <w:dstrike w:val="0"/>
          <w:sz w:val="24"/>
          <w:szCs w:val="32"/>
          <w:highlight w:val="none"/>
          <w:u w:val="single"/>
          <w:lang w:val="en-US" w:eastAsia="zh-CN"/>
        </w:rPr>
        <w:t>30</w:t>
      </w:r>
      <w:r>
        <w:rPr>
          <w:rFonts w:hint="eastAsia" w:ascii="宋体" w:hAnsi="宋体" w:cs="仿宋"/>
          <w:strike w:val="0"/>
          <w:dstrike w:val="0"/>
          <w:sz w:val="24"/>
          <w:szCs w:val="32"/>
          <w:highlight w:val="none"/>
          <w:u w:val="single"/>
        </w:rPr>
        <w:t>（北京时间）</w:t>
      </w:r>
      <w:r>
        <w:rPr>
          <w:rFonts w:hint="eastAsia" w:ascii="宋体" w:hAnsi="宋体" w:cs="仿宋"/>
          <w:strike w:val="0"/>
          <w:dstrike w:val="0"/>
          <w:sz w:val="24"/>
          <w:szCs w:val="32"/>
          <w:highlight w:val="none"/>
          <w:u w:val="none"/>
        </w:rPr>
        <w:t>。</w:t>
      </w:r>
    </w:p>
    <w:p w14:paraId="43082F7C">
      <w:pPr>
        <w:snapToGrid w:val="0"/>
        <w:spacing w:line="360" w:lineRule="auto"/>
        <w:ind w:firstLine="480" w:firstLineChars="200"/>
        <w:textAlignment w:val="baseline"/>
        <w:rPr>
          <w:rFonts w:hint="eastAsia" w:ascii="宋体" w:hAnsi="宋体" w:cs="仿宋"/>
          <w:strike w:val="0"/>
          <w:dstrike w:val="0"/>
          <w:sz w:val="24"/>
          <w:szCs w:val="32"/>
          <w:highlight w:val="none"/>
          <w:u w:val="none"/>
        </w:rPr>
      </w:pPr>
      <w:r>
        <w:rPr>
          <w:rFonts w:hint="eastAsia" w:ascii="宋体" w:hAnsi="宋体" w:cs="仿宋"/>
          <w:strike w:val="0"/>
          <w:dstrike w:val="0"/>
          <w:sz w:val="24"/>
          <w:szCs w:val="32"/>
          <w:highlight w:val="none"/>
          <w:u w:val="none"/>
        </w:rPr>
        <w:t>2.地点：江苏省政府采购交易系统（以下简称“苏采云系统”）(网址:http://jszfcg.jsczt.cn/)网上开标大厅。</w:t>
      </w:r>
    </w:p>
    <w:p w14:paraId="3B8E8FF5">
      <w:pPr>
        <w:pStyle w:val="92"/>
        <w:ind w:left="0" w:leftChars="0" w:firstLine="0" w:firstLineChars="0"/>
        <w:rPr>
          <w:rFonts w:hint="eastAsia" w:eastAsia="宋体" w:cs="宋体"/>
          <w:b/>
          <w:bCs/>
          <w:color w:val="000000"/>
          <w:highlight w:val="none"/>
          <w:lang w:eastAsia="zh-CN"/>
        </w:rPr>
      </w:pPr>
      <w:bookmarkStart w:id="5" w:name="_Toc35393633"/>
      <w:bookmarkStart w:id="6" w:name="_Toc35393802"/>
      <w:bookmarkStart w:id="7" w:name="_Toc28359093"/>
      <w:bookmarkStart w:id="8" w:name="_Toc28359016"/>
      <w:r>
        <w:rPr>
          <w:rFonts w:hint="eastAsia" w:cs="宋体"/>
          <w:b/>
          <w:bCs/>
          <w:color w:val="000000"/>
          <w:highlight w:val="none"/>
          <w:lang w:val="en-US" w:eastAsia="zh-CN"/>
        </w:rPr>
        <w:t>五</w:t>
      </w:r>
      <w:r>
        <w:rPr>
          <w:rFonts w:hint="eastAsia" w:eastAsia="宋体" w:cs="宋体"/>
          <w:b/>
          <w:bCs/>
          <w:color w:val="000000"/>
          <w:highlight w:val="none"/>
          <w:lang w:eastAsia="zh-CN"/>
        </w:rPr>
        <w:t>、开启</w:t>
      </w:r>
      <w:bookmarkEnd w:id="5"/>
      <w:bookmarkEnd w:id="6"/>
      <w:bookmarkEnd w:id="7"/>
      <w:bookmarkEnd w:id="8"/>
    </w:p>
    <w:p w14:paraId="5466709F">
      <w:pPr>
        <w:snapToGrid w:val="0"/>
        <w:spacing w:line="360" w:lineRule="auto"/>
        <w:ind w:firstLine="480" w:firstLineChars="200"/>
        <w:textAlignment w:val="baseline"/>
        <w:rPr>
          <w:rFonts w:hint="eastAsia" w:ascii="宋体" w:hAnsi="宋体" w:cs="仿宋"/>
          <w:strike w:val="0"/>
          <w:dstrike w:val="0"/>
          <w:sz w:val="24"/>
          <w:szCs w:val="32"/>
          <w:highlight w:val="none"/>
          <w:u w:val="none"/>
          <w:lang w:eastAsia="zh-CN"/>
        </w:rPr>
      </w:pPr>
      <w:r>
        <w:rPr>
          <w:rFonts w:hint="eastAsia" w:ascii="宋体" w:hAnsi="宋体" w:cs="仿宋"/>
          <w:strike w:val="0"/>
          <w:dstrike w:val="0"/>
          <w:sz w:val="24"/>
          <w:szCs w:val="32"/>
          <w:highlight w:val="none"/>
          <w:u w:val="none"/>
          <w:lang w:eastAsia="zh-CN"/>
        </w:rPr>
        <w:t>时间：</w:t>
      </w:r>
      <w:r>
        <w:rPr>
          <w:rFonts w:hint="eastAsia" w:ascii="宋体" w:hAnsi="宋体" w:cs="仿宋"/>
          <w:strike w:val="0"/>
          <w:dstrike w:val="0"/>
          <w:sz w:val="24"/>
          <w:szCs w:val="32"/>
          <w:highlight w:val="none"/>
          <w:u w:val="single"/>
          <w:lang w:eastAsia="zh-CN"/>
        </w:rPr>
        <w:t>2026年0</w:t>
      </w:r>
      <w:r>
        <w:rPr>
          <w:rFonts w:hint="eastAsia" w:ascii="宋体" w:hAnsi="宋体" w:cs="仿宋"/>
          <w:strike w:val="0"/>
          <w:dstrike w:val="0"/>
          <w:sz w:val="24"/>
          <w:szCs w:val="32"/>
          <w:highlight w:val="none"/>
          <w:u w:val="single"/>
          <w:lang w:val="en-US" w:eastAsia="zh-CN"/>
        </w:rPr>
        <w:t>7</w:t>
      </w:r>
      <w:r>
        <w:rPr>
          <w:rFonts w:hint="eastAsia" w:ascii="宋体" w:hAnsi="宋体" w:cs="仿宋"/>
          <w:strike w:val="0"/>
          <w:dstrike w:val="0"/>
          <w:sz w:val="24"/>
          <w:szCs w:val="32"/>
          <w:highlight w:val="none"/>
          <w:u w:val="single"/>
          <w:lang w:eastAsia="zh-CN"/>
        </w:rPr>
        <w:t>月</w:t>
      </w:r>
      <w:r>
        <w:rPr>
          <w:rFonts w:hint="eastAsia" w:ascii="宋体" w:hAnsi="宋体" w:cs="仿宋"/>
          <w:strike w:val="0"/>
          <w:dstrike w:val="0"/>
          <w:sz w:val="24"/>
          <w:szCs w:val="32"/>
          <w:highlight w:val="none"/>
          <w:u w:val="single"/>
          <w:lang w:val="en-US" w:eastAsia="zh-CN"/>
        </w:rPr>
        <w:t>01</w:t>
      </w:r>
      <w:bookmarkStart w:id="653" w:name="_GoBack"/>
      <w:bookmarkEnd w:id="653"/>
      <w:r>
        <w:rPr>
          <w:rFonts w:hint="eastAsia" w:ascii="宋体" w:hAnsi="宋体" w:cs="仿宋"/>
          <w:strike w:val="0"/>
          <w:dstrike w:val="0"/>
          <w:sz w:val="24"/>
          <w:szCs w:val="32"/>
          <w:highlight w:val="none"/>
          <w:u w:val="single"/>
          <w:lang w:eastAsia="zh-CN"/>
        </w:rPr>
        <w:t>日14：</w:t>
      </w:r>
      <w:r>
        <w:rPr>
          <w:rFonts w:hint="eastAsia" w:ascii="宋体" w:hAnsi="宋体" w:cs="仿宋"/>
          <w:strike w:val="0"/>
          <w:dstrike w:val="0"/>
          <w:sz w:val="24"/>
          <w:szCs w:val="32"/>
          <w:highlight w:val="none"/>
          <w:u w:val="single"/>
          <w:lang w:val="en-US" w:eastAsia="zh-CN"/>
        </w:rPr>
        <w:t>3</w:t>
      </w:r>
      <w:r>
        <w:rPr>
          <w:rFonts w:hint="eastAsia" w:ascii="宋体" w:hAnsi="宋体" w:cs="仿宋"/>
          <w:strike w:val="0"/>
          <w:dstrike w:val="0"/>
          <w:sz w:val="24"/>
          <w:szCs w:val="32"/>
          <w:highlight w:val="none"/>
          <w:u w:val="single"/>
          <w:lang w:eastAsia="zh-CN"/>
        </w:rPr>
        <w:t>0（北京时间）</w:t>
      </w:r>
    </w:p>
    <w:p w14:paraId="4A0DDA1A">
      <w:pPr>
        <w:snapToGrid w:val="0"/>
        <w:spacing w:line="360" w:lineRule="auto"/>
        <w:ind w:firstLine="480" w:firstLineChars="200"/>
        <w:textAlignment w:val="baseline"/>
        <w:rPr>
          <w:rFonts w:hint="eastAsia" w:ascii="宋体" w:hAnsi="宋体" w:cs="仿宋"/>
          <w:strike w:val="0"/>
          <w:dstrike w:val="0"/>
          <w:sz w:val="24"/>
          <w:szCs w:val="32"/>
          <w:highlight w:val="none"/>
          <w:u w:val="none"/>
          <w:lang w:eastAsia="zh-CN"/>
        </w:rPr>
      </w:pPr>
      <w:r>
        <w:rPr>
          <w:rFonts w:hint="eastAsia" w:ascii="宋体" w:hAnsi="宋体" w:cs="仿宋"/>
          <w:strike w:val="0"/>
          <w:dstrike w:val="0"/>
          <w:sz w:val="24"/>
          <w:szCs w:val="32"/>
          <w:highlight w:val="none"/>
          <w:u w:val="none"/>
          <w:lang w:eastAsia="zh-CN"/>
        </w:rPr>
        <w:t>地点：</w:t>
      </w:r>
      <w:r>
        <w:rPr>
          <w:rFonts w:hint="eastAsia" w:ascii="宋体" w:hAnsi="宋体" w:cs="仿宋"/>
          <w:strike w:val="0"/>
          <w:dstrike w:val="0"/>
          <w:sz w:val="24"/>
          <w:szCs w:val="32"/>
          <w:highlight w:val="none"/>
          <w:u w:val="single"/>
          <w:lang w:eastAsia="zh-CN"/>
        </w:rPr>
        <w:t>“苏采云”政府采购交易系统网上开标大厅</w:t>
      </w:r>
    </w:p>
    <w:p w14:paraId="30D87128">
      <w:pPr>
        <w:snapToGrid w:val="0"/>
        <w:spacing w:line="360" w:lineRule="auto"/>
        <w:ind w:firstLine="480" w:firstLineChars="200"/>
        <w:textAlignment w:val="baseline"/>
        <w:rPr>
          <w:rFonts w:hint="eastAsia" w:ascii="宋体" w:hAnsi="宋体" w:cs="仿宋"/>
          <w:strike w:val="0"/>
          <w:dstrike w:val="0"/>
          <w:sz w:val="24"/>
          <w:szCs w:val="32"/>
          <w:highlight w:val="none"/>
          <w:u w:val="single"/>
        </w:rPr>
      </w:pPr>
      <w:r>
        <w:rPr>
          <w:rFonts w:hint="eastAsia" w:ascii="宋体" w:hAnsi="宋体" w:cs="仿宋"/>
          <w:strike w:val="0"/>
          <w:dstrike w:val="0"/>
          <w:sz w:val="24"/>
          <w:szCs w:val="32"/>
          <w:highlight w:val="none"/>
          <w:u w:val="single"/>
        </w:rPr>
        <w:t>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B141B68">
      <w:pPr>
        <w:rPr>
          <w:rFonts w:hint="eastAsia" w:ascii="宋体" w:hAnsi="宋体"/>
          <w:bCs/>
          <w:color w:val="000000"/>
          <w:sz w:val="24"/>
          <w:szCs w:val="24"/>
          <w:highlight w:val="none"/>
        </w:rPr>
      </w:pPr>
    </w:p>
    <w:p w14:paraId="39CA5EF0">
      <w:pPr>
        <w:pStyle w:val="92"/>
        <w:ind w:left="0" w:leftChars="0" w:firstLine="0" w:firstLineChars="0"/>
        <w:rPr>
          <w:rFonts w:hint="eastAsia" w:eastAsia="宋体" w:cs="宋体"/>
          <w:b/>
          <w:bCs/>
          <w:color w:val="000000"/>
          <w:highlight w:val="none"/>
          <w:lang w:eastAsia="zh-CN"/>
        </w:rPr>
      </w:pPr>
      <w:r>
        <w:rPr>
          <w:rFonts w:hint="eastAsia" w:cs="宋体"/>
          <w:b/>
          <w:bCs/>
          <w:color w:val="000000"/>
          <w:highlight w:val="none"/>
          <w:lang w:val="en-US" w:eastAsia="zh-CN"/>
        </w:rPr>
        <w:t>六</w:t>
      </w:r>
      <w:r>
        <w:rPr>
          <w:rFonts w:hint="eastAsia" w:eastAsia="宋体" w:cs="宋体"/>
          <w:b/>
          <w:bCs/>
          <w:color w:val="000000"/>
          <w:highlight w:val="none"/>
          <w:lang w:eastAsia="zh-CN"/>
        </w:rPr>
        <w:t>、公告期限</w:t>
      </w:r>
    </w:p>
    <w:p w14:paraId="674C4A10">
      <w:pPr>
        <w:pStyle w:val="92"/>
        <w:rPr>
          <w:rFonts w:hint="eastAsia" w:eastAsia="宋体" w:cs="宋体"/>
          <w:bCs/>
          <w:color w:val="000000"/>
          <w:highlight w:val="none"/>
          <w:lang w:eastAsia="zh-CN"/>
        </w:rPr>
      </w:pPr>
      <w:r>
        <w:rPr>
          <w:rFonts w:hint="eastAsia" w:eastAsia="宋体" w:cs="宋体"/>
          <w:bCs/>
          <w:color w:val="000000"/>
          <w:highlight w:val="none"/>
          <w:lang w:eastAsia="zh-CN"/>
        </w:rPr>
        <w:t>自公告发布之日起3个工作日。</w:t>
      </w:r>
    </w:p>
    <w:p w14:paraId="0EEABFAF">
      <w:pPr>
        <w:widowControl/>
        <w:shd w:val="clear" w:color="auto" w:fill="FFFFFF"/>
        <w:ind w:firstLine="370"/>
        <w:rPr>
          <w:rFonts w:hint="eastAsia" w:ascii="宋体" w:hAnsi="宋体"/>
          <w:bCs/>
          <w:color w:val="000000"/>
          <w:sz w:val="24"/>
          <w:szCs w:val="24"/>
          <w:highlight w:val="none"/>
        </w:rPr>
      </w:pPr>
    </w:p>
    <w:p w14:paraId="36879069">
      <w:pPr>
        <w:ind w:firstLine="480" w:firstLineChars="200"/>
        <w:rPr>
          <w:rFonts w:hint="eastAsia" w:ascii="宋体" w:hAnsi="宋体"/>
          <w:color w:val="000000"/>
          <w:kern w:val="0"/>
          <w:sz w:val="24"/>
          <w:szCs w:val="24"/>
          <w:highlight w:val="none"/>
        </w:rPr>
      </w:pPr>
      <w:bookmarkStart w:id="9" w:name="_Toc18053"/>
    </w:p>
    <w:bookmarkEnd w:id="9"/>
    <w:p w14:paraId="3D94D792">
      <w:pPr>
        <w:snapToGrid w:val="0"/>
        <w:spacing w:line="360" w:lineRule="auto"/>
        <w:ind w:firstLine="480"/>
        <w:textAlignment w:val="baseline"/>
        <w:rPr>
          <w:rFonts w:ascii="宋体" w:hAnsi="宋体" w:cs="仿宋"/>
          <w:sz w:val="24"/>
          <w:szCs w:val="24"/>
          <w:highlight w:val="none"/>
        </w:rPr>
      </w:pPr>
      <w:r>
        <w:rPr>
          <w:rFonts w:ascii="宋体" w:hAnsi="宋体"/>
          <w:sz w:val="20"/>
          <w:highlight w:val="none"/>
        </w:rPr>
        <w:br w:type="page"/>
      </w:r>
    </w:p>
    <w:p w14:paraId="7F68C0AA">
      <w:pPr>
        <w:pStyle w:val="34"/>
        <w:numPr>
          <w:ilvl w:val="0"/>
          <w:numId w:val="3"/>
        </w:numPr>
        <w:spacing w:after="312" w:line="360" w:lineRule="auto"/>
        <w:textAlignment w:val="baseline"/>
        <w:rPr>
          <w:rFonts w:hint="eastAsia" w:ascii="宋体" w:hAnsi="宋体" w:eastAsia="宋体" w:cs="仿宋"/>
          <w:sz w:val="40"/>
          <w:highlight w:val="none"/>
        </w:rPr>
      </w:pPr>
      <w:bookmarkStart w:id="10" w:name="_Toc24306"/>
      <w:r>
        <w:rPr>
          <w:rFonts w:hint="eastAsia" w:ascii="宋体" w:hAnsi="宋体" w:eastAsia="宋体" w:cs="仿宋"/>
          <w:sz w:val="40"/>
          <w:highlight w:val="none"/>
        </w:rPr>
        <w:t xml:space="preserve"> </w:t>
      </w:r>
      <w:r>
        <w:rPr>
          <w:rFonts w:hint="eastAsia" w:ascii="宋体" w:hAnsi="宋体" w:eastAsia="宋体" w:cs="仿宋"/>
          <w:sz w:val="40"/>
          <w:highlight w:val="none"/>
          <w:lang w:val="en-US" w:eastAsia="zh-CN"/>
        </w:rPr>
        <w:t>供应商</w:t>
      </w:r>
      <w:r>
        <w:rPr>
          <w:rFonts w:hint="eastAsia" w:ascii="宋体" w:hAnsi="宋体" w:eastAsia="宋体" w:cs="仿宋"/>
          <w:sz w:val="40"/>
          <w:highlight w:val="none"/>
        </w:rPr>
        <w:t>须知</w:t>
      </w:r>
      <w:bookmarkEnd w:id="3"/>
      <w:bookmarkEnd w:id="4"/>
      <w:bookmarkEnd w:id="10"/>
    </w:p>
    <w:p w14:paraId="27EAC258">
      <w:pPr>
        <w:widowControl/>
        <w:numPr>
          <w:ilvl w:val="0"/>
          <w:numId w:val="4"/>
        </w:numPr>
        <w:shd w:val="clear" w:color="auto" w:fill="FFFFFF"/>
        <w:outlineLvl w:val="1"/>
        <w:rPr>
          <w:rFonts w:hint="eastAsia" w:ascii="宋体" w:hAnsi="宋体"/>
          <w:b/>
          <w:color w:val="000000"/>
          <w:spacing w:val="8"/>
          <w:kern w:val="0"/>
          <w:sz w:val="24"/>
          <w:szCs w:val="24"/>
          <w:highlight w:val="none"/>
        </w:rPr>
      </w:pPr>
      <w:bookmarkStart w:id="11" w:name="_Toc120614214"/>
      <w:bookmarkStart w:id="12" w:name="_Toc16938519"/>
      <w:bookmarkStart w:id="13" w:name="_Toc513029203"/>
      <w:bookmarkStart w:id="14" w:name="_Toc20823275"/>
      <w:r>
        <w:rPr>
          <w:rFonts w:hint="eastAsia" w:ascii="宋体" w:hAnsi="宋体"/>
          <w:b/>
          <w:color w:val="000000"/>
          <w:spacing w:val="8"/>
          <w:kern w:val="0"/>
          <w:sz w:val="24"/>
          <w:szCs w:val="24"/>
          <w:highlight w:val="none"/>
        </w:rPr>
        <w:t>总则</w:t>
      </w:r>
      <w:bookmarkEnd w:id="11"/>
      <w:bookmarkEnd w:id="12"/>
      <w:bookmarkEnd w:id="13"/>
      <w:bookmarkEnd w:id="14"/>
    </w:p>
    <w:p w14:paraId="30150D10">
      <w:pPr>
        <w:widowControl/>
        <w:numPr>
          <w:ilvl w:val="0"/>
          <w:numId w:val="0"/>
        </w:numPr>
        <w:shd w:val="clear" w:color="auto" w:fill="FFFFFF"/>
        <w:outlineLvl w:val="1"/>
        <w:rPr>
          <w:rFonts w:hint="eastAsia" w:ascii="宋体" w:hAnsi="宋体"/>
          <w:b/>
          <w:color w:val="000000"/>
          <w:spacing w:val="8"/>
          <w:kern w:val="0"/>
          <w:sz w:val="24"/>
          <w:szCs w:val="24"/>
          <w:highlight w:val="none"/>
        </w:rPr>
      </w:pPr>
    </w:p>
    <w:p w14:paraId="1F974EEC">
      <w:pPr>
        <w:snapToGrid w:val="0"/>
        <w:spacing w:line="360" w:lineRule="auto"/>
        <w:ind w:firstLine="480" w:firstLineChars="200"/>
        <w:rPr>
          <w:rFonts w:hint="eastAsia" w:ascii="宋体" w:hAnsi="宋体" w:cs="仿宋"/>
          <w:bCs/>
          <w:sz w:val="24"/>
          <w:highlight w:val="none"/>
        </w:rPr>
      </w:pPr>
      <w:bookmarkStart w:id="15" w:name="_Hlt16619475"/>
      <w:bookmarkEnd w:id="15"/>
      <w:bookmarkStart w:id="16" w:name="_Toc458694821"/>
      <w:bookmarkStart w:id="17" w:name="_Toc16938520"/>
      <w:bookmarkStart w:id="18" w:name="_Toc513029204"/>
      <w:bookmarkStart w:id="19" w:name="_Toc20823276"/>
      <w:r>
        <w:rPr>
          <w:rFonts w:hint="eastAsia" w:ascii="宋体" w:hAnsi="宋体" w:cs="仿宋"/>
          <w:bCs/>
          <w:sz w:val="24"/>
          <w:highlight w:val="none"/>
        </w:rPr>
        <w:t>1</w:t>
      </w:r>
      <w:bookmarkEnd w:id="16"/>
      <w:r>
        <w:rPr>
          <w:rFonts w:hint="eastAsia" w:ascii="宋体" w:hAnsi="宋体" w:cs="仿宋"/>
          <w:bCs/>
          <w:sz w:val="24"/>
          <w:highlight w:val="none"/>
        </w:rPr>
        <w:t>、采购方式</w:t>
      </w:r>
      <w:bookmarkEnd w:id="17"/>
      <w:bookmarkEnd w:id="18"/>
      <w:bookmarkEnd w:id="19"/>
    </w:p>
    <w:p w14:paraId="2F764907">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本次政府采购活动采取竞争性磋商(以下简称磋商)方式，本磋商文件仅适用于磋商公告中所述项目。</w:t>
      </w:r>
    </w:p>
    <w:p w14:paraId="03E44ABE">
      <w:pPr>
        <w:snapToGrid w:val="0"/>
        <w:spacing w:line="360" w:lineRule="auto"/>
        <w:ind w:firstLine="480" w:firstLineChars="200"/>
        <w:rPr>
          <w:rFonts w:hint="eastAsia" w:ascii="宋体" w:hAnsi="宋体" w:cs="仿宋"/>
          <w:bCs/>
          <w:sz w:val="24"/>
          <w:highlight w:val="none"/>
        </w:rPr>
      </w:pPr>
      <w:bookmarkStart w:id="20" w:name="_Toc16938521"/>
      <w:bookmarkStart w:id="21" w:name="_Toc513029205"/>
      <w:bookmarkStart w:id="22" w:name="_Toc20823277"/>
      <w:r>
        <w:rPr>
          <w:rFonts w:hint="eastAsia" w:ascii="宋体" w:hAnsi="宋体" w:cs="仿宋"/>
          <w:bCs/>
          <w:sz w:val="24"/>
          <w:highlight w:val="none"/>
        </w:rPr>
        <w:t>2、合格的</w:t>
      </w:r>
      <w:bookmarkEnd w:id="20"/>
      <w:bookmarkEnd w:id="21"/>
      <w:bookmarkEnd w:id="22"/>
      <w:r>
        <w:rPr>
          <w:rFonts w:hint="eastAsia" w:ascii="宋体" w:hAnsi="宋体" w:cs="仿宋"/>
          <w:bCs/>
          <w:sz w:val="24"/>
          <w:highlight w:val="none"/>
        </w:rPr>
        <w:t>供应商</w:t>
      </w:r>
    </w:p>
    <w:p w14:paraId="57B6B15B">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2.1.满足磋商公告中供应商资格要求的规定。</w:t>
      </w:r>
    </w:p>
    <w:p w14:paraId="366C66D0">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2.2.满足本磋商文件实质性要求和条件的规定。</w:t>
      </w:r>
    </w:p>
    <w:p w14:paraId="4B8BF4C4">
      <w:pPr>
        <w:snapToGrid w:val="0"/>
        <w:spacing w:line="360" w:lineRule="auto"/>
        <w:ind w:firstLine="480" w:firstLineChars="200"/>
        <w:rPr>
          <w:rFonts w:hint="eastAsia" w:ascii="宋体" w:hAnsi="宋体" w:cs="仿宋"/>
          <w:bCs/>
          <w:sz w:val="24"/>
          <w:highlight w:val="none"/>
        </w:rPr>
      </w:pPr>
      <w:bookmarkStart w:id="23" w:name="_Toc20823278"/>
      <w:bookmarkStart w:id="24" w:name="_Toc513029206"/>
      <w:bookmarkStart w:id="25" w:name="_Toc16938522"/>
      <w:r>
        <w:rPr>
          <w:rFonts w:hint="eastAsia" w:ascii="宋体" w:hAnsi="宋体" w:cs="仿宋"/>
          <w:bCs/>
          <w:sz w:val="24"/>
          <w:highlight w:val="none"/>
        </w:rPr>
        <w:t>3、适用法律</w:t>
      </w:r>
      <w:bookmarkEnd w:id="23"/>
      <w:bookmarkEnd w:id="24"/>
      <w:bookmarkEnd w:id="25"/>
    </w:p>
    <w:p w14:paraId="0F495F86">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本次磋商及由此产生的合同受中华人民共和国政府采购有关的法律法规制约和保护。</w:t>
      </w:r>
    </w:p>
    <w:p w14:paraId="66916AF6">
      <w:pPr>
        <w:snapToGrid w:val="0"/>
        <w:spacing w:line="360" w:lineRule="auto"/>
        <w:ind w:firstLine="480" w:firstLineChars="200"/>
        <w:rPr>
          <w:rFonts w:hint="eastAsia" w:ascii="宋体" w:hAnsi="宋体" w:cs="仿宋"/>
          <w:bCs/>
          <w:sz w:val="24"/>
          <w:highlight w:val="none"/>
        </w:rPr>
      </w:pPr>
      <w:bookmarkStart w:id="26" w:name="_Toc462564067"/>
      <w:bookmarkStart w:id="27" w:name="_Toc20823279"/>
      <w:bookmarkStart w:id="28" w:name="_Toc16938523"/>
      <w:bookmarkStart w:id="29" w:name="_Toc513029207"/>
      <w:r>
        <w:rPr>
          <w:rFonts w:hint="eastAsia" w:ascii="宋体" w:hAnsi="宋体" w:cs="仿宋"/>
          <w:bCs/>
          <w:sz w:val="24"/>
          <w:highlight w:val="none"/>
        </w:rPr>
        <w:t>4、磋商费用</w:t>
      </w:r>
      <w:bookmarkEnd w:id="26"/>
      <w:bookmarkEnd w:id="27"/>
      <w:bookmarkEnd w:id="28"/>
      <w:bookmarkEnd w:id="29"/>
    </w:p>
    <w:p w14:paraId="2A722623">
      <w:pPr>
        <w:snapToGrid w:val="0"/>
        <w:spacing w:line="360" w:lineRule="auto"/>
        <w:ind w:firstLine="480" w:firstLineChars="200"/>
        <w:rPr>
          <w:rFonts w:hint="eastAsia" w:ascii="宋体" w:hAnsi="宋体" w:cs="仿宋"/>
          <w:b w:val="0"/>
          <w:bCs/>
          <w:sz w:val="24"/>
          <w:highlight w:val="none"/>
          <w:u w:val="single"/>
        </w:rPr>
      </w:pPr>
      <w:r>
        <w:rPr>
          <w:rFonts w:hint="eastAsia" w:ascii="宋体" w:hAnsi="宋体" w:cs="仿宋"/>
          <w:bCs/>
          <w:sz w:val="24"/>
          <w:highlight w:val="none"/>
          <w:lang w:val="en-US" w:eastAsia="zh-CN"/>
        </w:rPr>
        <w:t>4.1.</w:t>
      </w:r>
      <w:r>
        <w:rPr>
          <w:rFonts w:hint="eastAsia" w:ascii="宋体" w:hAnsi="宋体" w:cs="仿宋"/>
          <w:bCs/>
          <w:sz w:val="24"/>
          <w:highlight w:val="none"/>
        </w:rPr>
        <w:t>供应商应自行承担所有与参加本次磋商有关的费用，无论磋商过程中的做法和结果如何，江苏星星工程咨询有限公司（以下简称采购代理机构）在任何情况下均无义务和责任承担这些费</w:t>
      </w:r>
      <w:r>
        <w:rPr>
          <w:rFonts w:hint="eastAsia" w:ascii="宋体" w:hAnsi="宋体" w:cs="仿宋"/>
          <w:bCs/>
          <w:sz w:val="24"/>
          <w:highlight w:val="none"/>
          <w:u w:val="none"/>
        </w:rPr>
        <w:t>用</w:t>
      </w:r>
      <w:r>
        <w:rPr>
          <w:rFonts w:hint="eastAsia" w:ascii="宋体" w:hAnsi="宋体" w:cs="仿宋"/>
          <w:b w:val="0"/>
          <w:bCs/>
          <w:sz w:val="24"/>
          <w:highlight w:val="none"/>
          <w:u w:val="none"/>
        </w:rPr>
        <w:t>。</w:t>
      </w:r>
    </w:p>
    <w:p w14:paraId="04C53C8B">
      <w:pPr>
        <w:snapToGrid w:val="0"/>
        <w:spacing w:line="360" w:lineRule="auto"/>
        <w:ind w:firstLine="480" w:firstLineChars="200"/>
        <w:rPr>
          <w:rFonts w:hint="eastAsia" w:ascii="宋体" w:hAnsi="宋体" w:cs="仿宋"/>
          <w:b/>
          <w:bCs w:val="0"/>
          <w:sz w:val="24"/>
          <w:highlight w:val="none"/>
          <w:u w:val="single"/>
          <w:lang w:val="en-US" w:eastAsia="zh-CN"/>
        </w:rPr>
      </w:pPr>
      <w:r>
        <w:rPr>
          <w:rFonts w:hint="eastAsia" w:ascii="宋体" w:hAnsi="宋体" w:cs="仿宋"/>
          <w:b/>
          <w:bCs w:val="0"/>
          <w:sz w:val="24"/>
          <w:highlight w:val="none"/>
          <w:u w:val="single"/>
          <w:lang w:val="en-US" w:eastAsia="zh-CN"/>
        </w:rPr>
        <w:t>4.2.本项目的招标代理服务费、专家评审费由江苏省渔业技术推广中心支付。</w:t>
      </w:r>
    </w:p>
    <w:p w14:paraId="67D60B2A">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5、磋商文件的约束力</w:t>
      </w:r>
    </w:p>
    <w:p w14:paraId="17600664">
      <w:pPr>
        <w:snapToGrid w:val="0"/>
        <w:spacing w:line="360" w:lineRule="auto"/>
        <w:ind w:firstLine="480" w:firstLineChars="200"/>
        <w:rPr>
          <w:rFonts w:hint="eastAsia" w:ascii="宋体" w:hAnsi="宋体"/>
          <w:color w:val="000000"/>
          <w:sz w:val="24"/>
          <w:szCs w:val="24"/>
          <w:highlight w:val="none"/>
        </w:rPr>
      </w:pPr>
      <w:r>
        <w:rPr>
          <w:rFonts w:hint="eastAsia" w:ascii="宋体" w:hAnsi="宋体" w:cs="仿宋"/>
          <w:bCs/>
          <w:sz w:val="24"/>
          <w:highlight w:val="none"/>
        </w:rPr>
        <w:t>供应商一旦参加本项目采购活动，即被认为接受了本磋商文件的规定和约束。</w:t>
      </w:r>
    </w:p>
    <w:p w14:paraId="1831D544">
      <w:pPr>
        <w:widowControl/>
        <w:numPr>
          <w:ilvl w:val="0"/>
          <w:numId w:val="4"/>
        </w:numPr>
        <w:shd w:val="clear" w:color="auto" w:fill="FFFFFF"/>
        <w:ind w:left="0" w:leftChars="0" w:firstLine="0" w:firstLineChars="0"/>
        <w:outlineLvl w:val="1"/>
        <w:rPr>
          <w:rFonts w:hint="eastAsia" w:ascii="宋体" w:hAnsi="宋体"/>
          <w:b/>
          <w:color w:val="000000"/>
          <w:spacing w:val="8"/>
          <w:kern w:val="0"/>
          <w:sz w:val="24"/>
          <w:szCs w:val="24"/>
          <w:highlight w:val="none"/>
        </w:rPr>
      </w:pPr>
      <w:r>
        <w:rPr>
          <w:rFonts w:hint="eastAsia" w:ascii="宋体" w:hAnsi="宋体"/>
          <w:b/>
          <w:color w:val="000000"/>
          <w:spacing w:val="8"/>
          <w:kern w:val="0"/>
          <w:sz w:val="24"/>
          <w:szCs w:val="24"/>
          <w:highlight w:val="none"/>
        </w:rPr>
        <w:t>磋商文件</w:t>
      </w:r>
    </w:p>
    <w:p w14:paraId="1B899F2B">
      <w:pPr>
        <w:widowControl/>
        <w:numPr>
          <w:ilvl w:val="0"/>
          <w:numId w:val="0"/>
        </w:numPr>
        <w:shd w:val="clear" w:color="auto" w:fill="FFFFFF"/>
        <w:ind w:leftChars="0"/>
        <w:outlineLvl w:val="1"/>
        <w:rPr>
          <w:rFonts w:hint="eastAsia" w:ascii="宋体" w:hAnsi="宋体"/>
          <w:b/>
          <w:color w:val="000000"/>
          <w:spacing w:val="8"/>
          <w:kern w:val="0"/>
          <w:sz w:val="24"/>
          <w:szCs w:val="24"/>
          <w:highlight w:val="none"/>
        </w:rPr>
      </w:pPr>
    </w:p>
    <w:p w14:paraId="16C30029">
      <w:pPr>
        <w:snapToGrid w:val="0"/>
        <w:spacing w:line="360" w:lineRule="auto"/>
        <w:ind w:firstLine="480" w:firstLineChars="200"/>
        <w:rPr>
          <w:rFonts w:hint="eastAsia" w:ascii="宋体" w:hAnsi="宋体" w:cs="仿宋"/>
          <w:bCs/>
          <w:sz w:val="24"/>
          <w:highlight w:val="none"/>
        </w:rPr>
      </w:pPr>
      <w:bookmarkStart w:id="30" w:name="_Toc20823282"/>
      <w:bookmarkStart w:id="31" w:name="_Toc16938526"/>
      <w:bookmarkStart w:id="32" w:name="_Toc513029210"/>
      <w:r>
        <w:rPr>
          <w:rFonts w:hint="eastAsia" w:ascii="宋体" w:hAnsi="宋体" w:cs="仿宋"/>
          <w:bCs/>
          <w:sz w:val="24"/>
          <w:highlight w:val="none"/>
          <w:lang w:val="en-US" w:eastAsia="zh-CN"/>
        </w:rPr>
        <w:t>1</w:t>
      </w:r>
      <w:r>
        <w:rPr>
          <w:rFonts w:hint="eastAsia" w:ascii="宋体" w:hAnsi="宋体" w:cs="仿宋"/>
          <w:bCs/>
          <w:sz w:val="24"/>
          <w:highlight w:val="none"/>
        </w:rPr>
        <w:t>、磋商文件构成</w:t>
      </w:r>
      <w:bookmarkEnd w:id="30"/>
      <w:bookmarkEnd w:id="31"/>
      <w:bookmarkEnd w:id="32"/>
    </w:p>
    <w:p w14:paraId="07784126">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lang w:val="en-US" w:eastAsia="zh-CN"/>
        </w:rPr>
        <w:t>1</w:t>
      </w:r>
      <w:r>
        <w:rPr>
          <w:rFonts w:hint="eastAsia" w:ascii="宋体" w:hAnsi="宋体" w:cs="仿宋"/>
          <w:bCs/>
          <w:sz w:val="24"/>
          <w:highlight w:val="none"/>
        </w:rPr>
        <w:t>.1.磋商文件由以下部分组成：</w:t>
      </w:r>
    </w:p>
    <w:p w14:paraId="7097E585">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（1）磋商邀请</w:t>
      </w:r>
    </w:p>
    <w:p w14:paraId="647FC5BD">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（2）供应商须知</w:t>
      </w:r>
    </w:p>
    <w:p w14:paraId="16068742">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（3）合同文本</w:t>
      </w:r>
    </w:p>
    <w:p w14:paraId="71DF4D59">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（4）采购需求</w:t>
      </w:r>
    </w:p>
    <w:p w14:paraId="69F842F0">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（5）评审方法与评审标准</w:t>
      </w:r>
    </w:p>
    <w:p w14:paraId="178B4450">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（6）响应文件格式</w:t>
      </w:r>
    </w:p>
    <w:p w14:paraId="2D31F686">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rPr>
        <w:t>请仔细检查磋商文件是否齐全，如有缺漏请立即与采购代理机构联系解决。</w:t>
      </w:r>
    </w:p>
    <w:p w14:paraId="7824AD50">
      <w:pPr>
        <w:snapToGrid w:val="0"/>
        <w:spacing w:line="360" w:lineRule="auto"/>
        <w:ind w:firstLine="480" w:firstLineChars="200"/>
        <w:rPr>
          <w:rFonts w:hint="eastAsia" w:ascii="宋体" w:hAnsi="宋体" w:cs="仿宋"/>
          <w:bCs/>
          <w:sz w:val="24"/>
          <w:highlight w:val="none"/>
        </w:rPr>
      </w:pPr>
      <w:r>
        <w:rPr>
          <w:rFonts w:hint="eastAsia" w:ascii="宋体" w:hAnsi="宋体" w:cs="仿宋"/>
          <w:bCs/>
          <w:sz w:val="24"/>
          <w:highlight w:val="none"/>
          <w:lang w:val="en-US" w:eastAsia="zh-CN"/>
        </w:rPr>
        <w:t>2</w:t>
      </w:r>
      <w:r>
        <w:rPr>
          <w:rFonts w:hint="eastAsia" w:ascii="宋体" w:hAnsi="宋体" w:cs="仿宋"/>
          <w:bCs/>
          <w:sz w:val="24"/>
          <w:highlight w:val="none"/>
        </w:rPr>
        <w:t>.2.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154C5A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3、磋商文件的澄清</w:t>
      </w:r>
    </w:p>
    <w:p w14:paraId="49573EF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任何要求对磋商文件进行澄清的供应商，应在磋商截止期5日前按磋商公告中的通讯地址，以书面形式通知采购代理机构。</w:t>
      </w:r>
    </w:p>
    <w:p w14:paraId="73CF4B6D">
      <w:pPr>
        <w:snapToGrid w:val="0"/>
        <w:spacing w:line="360" w:lineRule="auto"/>
        <w:ind w:firstLine="480" w:firstLineChars="200"/>
        <w:rPr>
          <w:rFonts w:hint="eastAsia" w:ascii="宋体" w:hAnsi="宋体" w:cs="仿宋"/>
          <w:bCs/>
          <w:sz w:val="24"/>
          <w:highlight w:val="none"/>
          <w:lang w:val="en-US" w:eastAsia="zh-CN"/>
        </w:rPr>
      </w:pPr>
      <w:bookmarkStart w:id="33" w:name="_Toc462564071"/>
      <w:bookmarkStart w:id="34" w:name="_Toc20823284"/>
      <w:bookmarkStart w:id="35" w:name="_Toc513029212"/>
      <w:bookmarkStart w:id="36" w:name="_Toc16938528"/>
      <w:r>
        <w:rPr>
          <w:rFonts w:hint="eastAsia" w:ascii="宋体" w:hAnsi="宋体" w:cs="仿宋"/>
          <w:bCs/>
          <w:sz w:val="24"/>
          <w:highlight w:val="none"/>
          <w:lang w:val="en-US" w:eastAsia="zh-CN"/>
        </w:rPr>
        <w:t>4、磋商文件的澄清和修改</w:t>
      </w:r>
      <w:bookmarkEnd w:id="33"/>
      <w:bookmarkEnd w:id="34"/>
      <w:bookmarkEnd w:id="35"/>
      <w:bookmarkEnd w:id="36"/>
    </w:p>
    <w:p w14:paraId="24F8E8C7">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4.1.在响应文件提交截止时间前，采购代理机构可以对磋商文件进行澄清和修改, 澄清或者修改的内容作为磋商文件的组成部分。澄清或者修改的内容可能影响响应文件编制的，采购代理机构将在提交首次响应文件截止时间至少5日前，在原公告媒体上发布书面更正公告形式通知所有获取磋商文件的供应商, 更正公告内容将作为磋商文件的组成部分，并对供应商具有约束力。不足5日的，采购代理机构将顺延提交首次响应文件截止时间。</w:t>
      </w:r>
    </w:p>
    <w:p w14:paraId="6D613E60">
      <w:pPr>
        <w:snapToGrid w:val="0"/>
        <w:spacing w:line="360" w:lineRule="auto"/>
        <w:ind w:firstLine="480" w:firstLineChars="200"/>
        <w:rPr>
          <w:rFonts w:hint="eastAsia" w:ascii="宋体" w:hAnsi="宋体"/>
          <w:color w:val="000000"/>
          <w:sz w:val="24"/>
          <w:szCs w:val="21"/>
          <w:highlight w:val="none"/>
        </w:rPr>
      </w:pPr>
      <w:r>
        <w:rPr>
          <w:rFonts w:hint="eastAsia" w:ascii="宋体" w:hAnsi="宋体" w:cs="仿宋"/>
          <w:bCs/>
          <w:sz w:val="24"/>
          <w:highlight w:val="none"/>
          <w:lang w:val="en-US" w:eastAsia="zh-CN"/>
        </w:rPr>
        <w:t>4.2.采购代理机构可以视采购项目的具体情况，组织供应商进行现场考察或召开磋商前答疑会，但不单独或分别组织只有一个供应商参加的现场考察和答疑会。</w:t>
      </w:r>
    </w:p>
    <w:p w14:paraId="420999C7">
      <w:pPr>
        <w:ind w:firstLine="480" w:firstLineChars="200"/>
        <w:rPr>
          <w:rFonts w:hint="eastAsia" w:ascii="宋体" w:hAnsi="宋体"/>
          <w:color w:val="000000"/>
          <w:sz w:val="24"/>
          <w:szCs w:val="21"/>
          <w:highlight w:val="none"/>
        </w:rPr>
      </w:pPr>
    </w:p>
    <w:p w14:paraId="15A25A0C">
      <w:pPr>
        <w:widowControl/>
        <w:numPr>
          <w:ilvl w:val="0"/>
          <w:numId w:val="4"/>
        </w:numPr>
        <w:shd w:val="clear" w:color="auto" w:fill="FFFFFF"/>
        <w:ind w:left="0" w:leftChars="0" w:firstLine="0" w:firstLineChars="0"/>
        <w:outlineLvl w:val="1"/>
        <w:rPr>
          <w:rFonts w:hint="eastAsia" w:ascii="宋体" w:hAnsi="宋体"/>
          <w:b/>
          <w:color w:val="000000"/>
          <w:spacing w:val="8"/>
          <w:kern w:val="0"/>
          <w:sz w:val="24"/>
          <w:szCs w:val="24"/>
          <w:highlight w:val="none"/>
        </w:rPr>
      </w:pPr>
      <w:bookmarkStart w:id="37" w:name="_Toc16938529"/>
      <w:bookmarkStart w:id="38" w:name="_Toc120614216"/>
      <w:bookmarkStart w:id="39" w:name="_Toc20823285"/>
      <w:bookmarkStart w:id="40" w:name="_Toc462564072"/>
      <w:bookmarkStart w:id="41" w:name="_Toc513029213"/>
      <w:r>
        <w:rPr>
          <w:rFonts w:hint="eastAsia" w:ascii="宋体" w:hAnsi="宋体"/>
          <w:b/>
          <w:color w:val="000000"/>
          <w:spacing w:val="8"/>
          <w:kern w:val="0"/>
          <w:sz w:val="24"/>
          <w:szCs w:val="24"/>
          <w:highlight w:val="none"/>
        </w:rPr>
        <w:t>响应文件的编制</w:t>
      </w:r>
      <w:bookmarkEnd w:id="37"/>
      <w:bookmarkEnd w:id="38"/>
      <w:bookmarkEnd w:id="39"/>
      <w:bookmarkEnd w:id="40"/>
      <w:bookmarkEnd w:id="41"/>
    </w:p>
    <w:p w14:paraId="765369CA">
      <w:pPr>
        <w:widowControl/>
        <w:numPr>
          <w:ilvl w:val="0"/>
          <w:numId w:val="0"/>
        </w:numPr>
        <w:shd w:val="clear" w:color="auto" w:fill="FFFFFF"/>
        <w:ind w:leftChars="0"/>
        <w:outlineLvl w:val="1"/>
        <w:rPr>
          <w:rFonts w:hint="eastAsia" w:ascii="宋体" w:hAnsi="宋体"/>
          <w:b/>
          <w:color w:val="000000"/>
          <w:spacing w:val="8"/>
          <w:kern w:val="0"/>
          <w:sz w:val="24"/>
          <w:szCs w:val="24"/>
          <w:highlight w:val="none"/>
        </w:rPr>
      </w:pPr>
    </w:p>
    <w:p w14:paraId="73E753D1">
      <w:pPr>
        <w:snapToGrid w:val="0"/>
        <w:spacing w:line="360" w:lineRule="auto"/>
        <w:ind w:firstLine="480" w:firstLineChars="200"/>
        <w:rPr>
          <w:rFonts w:hint="eastAsia" w:ascii="宋体" w:hAnsi="宋体" w:cs="仿宋"/>
          <w:bCs/>
          <w:sz w:val="24"/>
          <w:highlight w:val="none"/>
        </w:rPr>
      </w:pPr>
      <w:bookmarkStart w:id="42" w:name="_Toc513029214"/>
      <w:bookmarkStart w:id="43" w:name="_Toc20823286"/>
      <w:bookmarkStart w:id="44" w:name="_Toc462564073"/>
      <w:bookmarkStart w:id="45" w:name="_Toc16938530"/>
      <w:r>
        <w:rPr>
          <w:rFonts w:hint="eastAsia" w:ascii="宋体" w:hAnsi="宋体" w:cs="仿宋"/>
          <w:bCs/>
          <w:sz w:val="24"/>
          <w:highlight w:val="none"/>
          <w:lang w:val="en-US" w:eastAsia="zh-CN"/>
        </w:rPr>
        <w:t>1</w:t>
      </w:r>
      <w:r>
        <w:rPr>
          <w:rFonts w:hint="eastAsia" w:ascii="宋体" w:hAnsi="宋体" w:cs="仿宋"/>
          <w:bCs/>
          <w:sz w:val="24"/>
          <w:highlight w:val="none"/>
        </w:rPr>
        <w:t>、响应文件的语言及度量衡单位</w:t>
      </w:r>
      <w:bookmarkEnd w:id="42"/>
      <w:bookmarkEnd w:id="43"/>
      <w:bookmarkEnd w:id="44"/>
      <w:bookmarkEnd w:id="45"/>
    </w:p>
    <w:p w14:paraId="45F14BD3">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1.1.供应商提交的响应文件以及供应商与采购代理机构就有关磋商的所有来往通知、函件和文件均应使用简体中文。</w:t>
      </w:r>
    </w:p>
    <w:p w14:paraId="0ACAAB7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1.2.除技术性能另有规定外，响应文件所使用的度量衡单位，均须采用国家法定计量单位。</w:t>
      </w:r>
    </w:p>
    <w:p w14:paraId="08A3DC81">
      <w:pPr>
        <w:snapToGrid w:val="0"/>
        <w:spacing w:line="360" w:lineRule="auto"/>
        <w:ind w:firstLine="480" w:firstLineChars="200"/>
        <w:rPr>
          <w:rFonts w:hint="eastAsia" w:ascii="宋体" w:hAnsi="宋体" w:cs="仿宋"/>
          <w:bCs/>
          <w:sz w:val="24"/>
          <w:highlight w:val="none"/>
          <w:lang w:val="en-US" w:eastAsia="zh-CN"/>
        </w:rPr>
      </w:pPr>
      <w:bookmarkStart w:id="46" w:name="_Toc513029215"/>
      <w:bookmarkStart w:id="47" w:name="_Toc20823287"/>
      <w:bookmarkStart w:id="48" w:name="_Toc16938531"/>
      <w:bookmarkStart w:id="49" w:name="_Toc462564074"/>
      <w:r>
        <w:rPr>
          <w:rFonts w:hint="eastAsia" w:ascii="宋体" w:hAnsi="宋体" w:cs="仿宋"/>
          <w:bCs/>
          <w:sz w:val="24"/>
          <w:highlight w:val="none"/>
          <w:lang w:val="en-US" w:eastAsia="zh-CN"/>
        </w:rPr>
        <w:t>2、响应文件构成</w:t>
      </w:r>
      <w:bookmarkEnd w:id="46"/>
      <w:bookmarkEnd w:id="47"/>
      <w:bookmarkEnd w:id="48"/>
      <w:bookmarkEnd w:id="49"/>
    </w:p>
    <w:p w14:paraId="22A1894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2.1.供应商编写的响应文件应包括资格证明文件、符合性证明文件、分项报价表、技术要求响应及偏离表、商务要求响应及偏离表、其他证明文件、磋商响应函等部分。</w:t>
      </w:r>
    </w:p>
    <w:p w14:paraId="26F603DB">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2.2 供应商如同时参与多个</w:t>
      </w:r>
      <w:bookmarkStart w:id="50" w:name="_Hlk142397944"/>
      <w:r>
        <w:rPr>
          <w:rFonts w:hint="eastAsia" w:ascii="宋体" w:hAnsi="宋体" w:cs="仿宋"/>
          <w:b/>
          <w:bCs w:val="0"/>
          <w:sz w:val="24"/>
          <w:highlight w:val="none"/>
          <w:lang w:val="en-US" w:eastAsia="zh-CN"/>
        </w:rPr>
        <w:t>标段（包段）</w:t>
      </w:r>
      <w:bookmarkEnd w:id="50"/>
      <w:r>
        <w:rPr>
          <w:rFonts w:hint="eastAsia" w:ascii="宋体" w:hAnsi="宋体" w:cs="仿宋"/>
          <w:b/>
          <w:bCs w:val="0"/>
          <w:sz w:val="24"/>
          <w:highlight w:val="none"/>
          <w:lang w:val="en-US" w:eastAsia="zh-CN"/>
        </w:rPr>
        <w:t>采购，则应按标段（包段）分别制作响应文件，否则将视为无效响应文件。</w:t>
      </w:r>
    </w:p>
    <w:p w14:paraId="72307FF2">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2.3如标书制作工具中格式和内容与“江苏政府采购网”发布的招标文件不一致，以“江苏政府采购网”发布的招标文件为准。</w:t>
      </w:r>
    </w:p>
    <w:p w14:paraId="29C3B134">
      <w:pPr>
        <w:snapToGrid w:val="0"/>
        <w:spacing w:line="360" w:lineRule="auto"/>
        <w:ind w:firstLine="480" w:firstLineChars="200"/>
        <w:rPr>
          <w:rFonts w:hint="eastAsia" w:ascii="宋体" w:hAnsi="宋体" w:cs="仿宋"/>
          <w:bCs/>
          <w:sz w:val="24"/>
          <w:highlight w:val="none"/>
          <w:lang w:val="en-US" w:eastAsia="zh-CN"/>
        </w:rPr>
      </w:pPr>
      <w:bookmarkStart w:id="51" w:name="_Hlt26668975"/>
      <w:bookmarkEnd w:id="51"/>
      <w:bookmarkStart w:id="52" w:name="_Hlt26954838"/>
      <w:bookmarkEnd w:id="52"/>
      <w:bookmarkStart w:id="53" w:name="_Hlt26670360"/>
      <w:bookmarkEnd w:id="53"/>
      <w:bookmarkStart w:id="54" w:name="_Toc14577357"/>
      <w:bookmarkStart w:id="55" w:name="_Toc513029219"/>
      <w:bookmarkStart w:id="56" w:name="_Toc49090509"/>
      <w:bookmarkStart w:id="57" w:name="_Toc513029216"/>
      <w:bookmarkStart w:id="58" w:name="_Toc49090507"/>
      <w:bookmarkStart w:id="59" w:name="_Toc14577354"/>
      <w:bookmarkStart w:id="60" w:name="_Toc14577355"/>
      <w:bookmarkStart w:id="61" w:name="_Toc49090508"/>
      <w:r>
        <w:rPr>
          <w:rFonts w:hint="eastAsia" w:ascii="宋体" w:hAnsi="宋体" w:cs="仿宋"/>
          <w:bCs/>
          <w:sz w:val="24"/>
          <w:highlight w:val="none"/>
          <w:lang w:val="en-US" w:eastAsia="zh-CN"/>
        </w:rPr>
        <w:t>3、证明磋商响应标的符合磋商文件规定的文件</w:t>
      </w:r>
      <w:bookmarkEnd w:id="54"/>
      <w:bookmarkEnd w:id="55"/>
      <w:bookmarkEnd w:id="56"/>
    </w:p>
    <w:bookmarkEnd w:id="57"/>
    <w:bookmarkEnd w:id="58"/>
    <w:bookmarkEnd w:id="59"/>
    <w:p w14:paraId="28B4CFF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3.1</w:t>
      </w:r>
      <w:bookmarkStart w:id="62" w:name="_Hlt26668999"/>
      <w:bookmarkEnd w:id="62"/>
      <w:r>
        <w:rPr>
          <w:rFonts w:hint="eastAsia" w:ascii="宋体" w:hAnsi="宋体" w:cs="仿宋"/>
          <w:bCs/>
          <w:sz w:val="24"/>
          <w:highlight w:val="none"/>
          <w:lang w:val="en-US" w:eastAsia="zh-CN"/>
        </w:rPr>
        <w:t>.供应商应按要求提交资格证明文件及符合磋商文件规定的文件。</w:t>
      </w:r>
    </w:p>
    <w:p w14:paraId="0B56306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3.2.供应商应提交证明其有资格参加竞争性磋商和成交后有能力独立履行合同的文件。</w:t>
      </w:r>
    </w:p>
    <w:p w14:paraId="1BD9BB1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3.3.供应商除必须具有履行合同所需提供的货物以及服务的能力外，还必须具备相应的财务、技术方面的能力。</w:t>
      </w:r>
    </w:p>
    <w:p w14:paraId="504C14C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3.4.供应商应提交根据合同要求提供的证明产品质量合格以及符合磋商文件规定的证明文件。</w:t>
      </w:r>
    </w:p>
    <w:bookmarkEnd w:id="60"/>
    <w:bookmarkEnd w:id="61"/>
    <w:p w14:paraId="4D23BCB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4、报价一览表及分项报价表</w:t>
      </w:r>
    </w:p>
    <w:p w14:paraId="62B539F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4.1.供应商应按照磋商文件规定格式填报报价一览表、配置与分项报价表</w:t>
      </w:r>
      <w:bookmarkStart w:id="63" w:name="_Hlt26670399"/>
      <w:bookmarkEnd w:id="63"/>
      <w:r>
        <w:rPr>
          <w:rFonts w:hint="eastAsia" w:ascii="宋体" w:hAnsi="宋体" w:cs="仿宋"/>
          <w:bCs/>
          <w:sz w:val="24"/>
          <w:highlight w:val="none"/>
          <w:lang w:val="en-US" w:eastAsia="zh-CN"/>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p>
    <w:p w14:paraId="69789D49">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4.2.磋商货币。响应文件中的单价和总价无特殊规定的采用人民币报价。磋商文件中另有规定的按规定执行。</w:t>
      </w:r>
    </w:p>
    <w:p w14:paraId="35003A3B">
      <w:pPr>
        <w:snapToGrid w:val="0"/>
        <w:spacing w:line="360" w:lineRule="auto"/>
        <w:ind w:firstLine="480" w:firstLineChars="200"/>
        <w:rPr>
          <w:rFonts w:hint="eastAsia" w:ascii="宋体" w:hAnsi="宋体" w:cs="仿宋"/>
          <w:bCs/>
          <w:sz w:val="24"/>
          <w:highlight w:val="none"/>
          <w:lang w:val="en-US" w:eastAsia="zh-CN"/>
        </w:rPr>
      </w:pPr>
      <w:bookmarkStart w:id="64" w:name="_Hlt26954846"/>
      <w:bookmarkEnd w:id="64"/>
      <w:bookmarkStart w:id="65" w:name="_Hlt26954848"/>
      <w:bookmarkEnd w:id="65"/>
      <w:bookmarkStart w:id="66" w:name="_Hlt26670482"/>
      <w:bookmarkEnd w:id="66"/>
      <w:bookmarkStart w:id="67" w:name="_Hlt26670486"/>
      <w:bookmarkEnd w:id="67"/>
      <w:bookmarkStart w:id="68" w:name="_Hlt26954731"/>
      <w:bookmarkEnd w:id="68"/>
      <w:r>
        <w:rPr>
          <w:rFonts w:hint="eastAsia" w:ascii="宋体" w:hAnsi="宋体" w:cs="仿宋"/>
          <w:bCs/>
          <w:sz w:val="24"/>
          <w:highlight w:val="none"/>
          <w:lang w:val="en-US" w:eastAsia="zh-CN"/>
        </w:rPr>
        <w:t>5、技术要求响应及偏离表、商务要求响应及偏离表</w:t>
      </w:r>
    </w:p>
    <w:p w14:paraId="6A066915">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5</w:t>
      </w:r>
      <w:r>
        <w:rPr>
          <w:rFonts w:hint="eastAsia" w:ascii="宋体" w:hAnsi="宋体" w:cs="仿宋"/>
          <w:bCs/>
          <w:sz w:val="24"/>
          <w:highlight w:val="none"/>
          <w:lang w:val="zh-CN" w:eastAsia="zh-CN"/>
        </w:rPr>
        <w:t>.1</w:t>
      </w:r>
      <w:r>
        <w:rPr>
          <w:rFonts w:hint="eastAsia" w:ascii="宋体" w:hAnsi="宋体" w:cs="仿宋"/>
          <w:bCs/>
          <w:sz w:val="24"/>
          <w:highlight w:val="none"/>
          <w:lang w:val="en-US" w:eastAsia="zh-CN"/>
        </w:rPr>
        <w:t>.</w:t>
      </w:r>
      <w:r>
        <w:rPr>
          <w:rFonts w:hint="eastAsia" w:ascii="宋体" w:hAnsi="宋体" w:cs="仿宋"/>
          <w:bCs/>
          <w:sz w:val="24"/>
          <w:highlight w:val="none"/>
          <w:lang w:val="zh-CN" w:eastAsia="zh-CN"/>
        </w:rPr>
        <w:t>供应商需对磋商文件中的技术要求与商务要求逐项作出响应或偏离，并说明原因。</w:t>
      </w:r>
    </w:p>
    <w:p w14:paraId="38E4F58B">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5</w:t>
      </w:r>
      <w:r>
        <w:rPr>
          <w:rFonts w:hint="eastAsia" w:ascii="宋体" w:hAnsi="宋体" w:cs="仿宋"/>
          <w:bCs/>
          <w:sz w:val="24"/>
          <w:highlight w:val="none"/>
          <w:lang w:val="zh-CN" w:eastAsia="zh-CN"/>
        </w:rPr>
        <w:t>.2</w:t>
      </w:r>
      <w:r>
        <w:rPr>
          <w:rFonts w:hint="eastAsia" w:ascii="宋体" w:hAnsi="宋体" w:cs="仿宋"/>
          <w:bCs/>
          <w:sz w:val="24"/>
          <w:highlight w:val="none"/>
          <w:lang w:val="en-US" w:eastAsia="zh-CN"/>
        </w:rPr>
        <w:t>.</w:t>
      </w:r>
      <w:r>
        <w:rPr>
          <w:rFonts w:hint="eastAsia" w:ascii="宋体" w:hAnsi="宋体" w:cs="仿宋"/>
          <w:bCs/>
          <w:sz w:val="24"/>
          <w:highlight w:val="none"/>
          <w:lang w:val="zh-CN" w:eastAsia="zh-CN"/>
        </w:rPr>
        <w:t>供应商可在响应文件中提供认为需要的其他技术文件或说明。</w:t>
      </w:r>
    </w:p>
    <w:p w14:paraId="06ED1324">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6、服务承诺、培训计划、人员安排及其他（货物项目适用）</w:t>
      </w:r>
    </w:p>
    <w:p w14:paraId="4D7172A6">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6.1.供应商需根据磋商文件要求提供有关售后服务的管理制度，售后服务机构的分布情况，售后服务人员的数量、素质、技术水平及售后服务的反应能力等。</w:t>
      </w:r>
    </w:p>
    <w:p w14:paraId="2CD6A2D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6.2.供应商需根据磋商文件要求提供培训计划。</w:t>
      </w:r>
    </w:p>
    <w:p w14:paraId="7034B55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6.3.供应商需根据磋商文件要求提供</w:t>
      </w:r>
      <w:r>
        <w:rPr>
          <w:rFonts w:hint="eastAsia" w:ascii="宋体" w:hAnsi="宋体" w:cs="仿宋"/>
          <w:bCs/>
          <w:sz w:val="24"/>
          <w:highlight w:val="none"/>
          <w:lang w:val="zh-CN" w:eastAsia="zh-CN"/>
        </w:rPr>
        <w:t>磋商响应标的的主要组成部分、功能设计、实现思路及关键技术等。</w:t>
      </w:r>
    </w:p>
    <w:p w14:paraId="5E3646E7">
      <w:pPr>
        <w:snapToGrid w:val="0"/>
        <w:spacing w:line="360" w:lineRule="auto"/>
        <w:ind w:firstLine="480" w:firstLineChars="200"/>
        <w:rPr>
          <w:rFonts w:hint="eastAsia" w:ascii="宋体" w:hAnsi="宋体" w:cs="仿宋"/>
          <w:bCs/>
          <w:sz w:val="24"/>
          <w:highlight w:val="none"/>
          <w:lang w:val="en-US" w:eastAsia="zh-CN"/>
        </w:rPr>
      </w:pPr>
      <w:bookmarkStart w:id="69" w:name="_Toc49090510"/>
      <w:bookmarkStart w:id="70" w:name="_Toc14577359"/>
      <w:r>
        <w:rPr>
          <w:rFonts w:hint="eastAsia" w:ascii="宋体" w:hAnsi="宋体" w:cs="仿宋"/>
          <w:bCs/>
          <w:sz w:val="24"/>
          <w:highlight w:val="none"/>
          <w:lang w:val="en-US" w:eastAsia="zh-CN"/>
        </w:rPr>
        <w:t>7、磋商响应函</w:t>
      </w:r>
    </w:p>
    <w:p w14:paraId="44653C4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供应商应按照磋商文件中提供的格式完整、正确填写磋商响应函。</w:t>
      </w:r>
    </w:p>
    <w:bookmarkEnd w:id="69"/>
    <w:bookmarkEnd w:id="70"/>
    <w:p w14:paraId="0D0510D7">
      <w:pPr>
        <w:snapToGrid w:val="0"/>
        <w:spacing w:line="360" w:lineRule="auto"/>
        <w:ind w:firstLine="480" w:firstLineChars="200"/>
        <w:rPr>
          <w:rFonts w:hint="eastAsia" w:ascii="宋体" w:hAnsi="宋体" w:cs="仿宋"/>
          <w:bCs/>
          <w:sz w:val="24"/>
          <w:highlight w:val="none"/>
          <w:lang w:val="en-US" w:eastAsia="zh-CN"/>
        </w:rPr>
      </w:pPr>
      <w:bookmarkStart w:id="71" w:name="_Toc14577360"/>
      <w:bookmarkStart w:id="72" w:name="_Toc49090511"/>
      <w:r>
        <w:rPr>
          <w:rFonts w:hint="eastAsia" w:ascii="宋体" w:hAnsi="宋体" w:cs="仿宋"/>
          <w:bCs/>
          <w:sz w:val="24"/>
          <w:highlight w:val="none"/>
          <w:lang w:val="en-US" w:eastAsia="zh-CN"/>
        </w:rPr>
        <w:t>8、磋商有效期</w:t>
      </w:r>
      <w:bookmarkEnd w:id="71"/>
      <w:bookmarkEnd w:id="72"/>
    </w:p>
    <w:p w14:paraId="064E0B9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磋商有效期为采购代理机构规定的提交响应文件截止之日后九十（90）天。磋商有效期比规定短的将被视为非实质性响应磋商文件而予以拒绝。</w:t>
      </w:r>
    </w:p>
    <w:p w14:paraId="36C8D687">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9、磋商有效期的延长</w:t>
      </w:r>
    </w:p>
    <w:p w14:paraId="4AE43566">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在特殊情况下，采购代理机构于原磋商有效期满之前，可向供应商提出延长磋商有效期的要求。这种要求与答复均应采用书面形式。供应商可以拒绝采购代理机构的这一要求而放弃磋商，同意延长磋商有效期的供应商既不能要求也不允许修改其响应文件。受磋商有效期约束的所有权利与义务均延长至新的有效期。</w:t>
      </w:r>
    </w:p>
    <w:p w14:paraId="2973F8DB">
      <w:pPr>
        <w:snapToGrid w:val="0"/>
        <w:spacing w:line="360" w:lineRule="auto"/>
        <w:ind w:firstLine="480" w:firstLineChars="200"/>
        <w:rPr>
          <w:rFonts w:hint="eastAsia" w:ascii="宋体" w:hAnsi="宋体" w:cs="仿宋"/>
          <w:bCs/>
          <w:sz w:val="24"/>
          <w:highlight w:val="none"/>
          <w:lang w:val="en-US" w:eastAsia="zh-CN"/>
        </w:rPr>
      </w:pPr>
      <w:bookmarkStart w:id="73" w:name="_Toc14577361"/>
      <w:bookmarkStart w:id="74" w:name="_Toc49090512"/>
      <w:r>
        <w:rPr>
          <w:rFonts w:hint="eastAsia" w:ascii="宋体" w:hAnsi="宋体" w:cs="仿宋"/>
          <w:bCs/>
          <w:sz w:val="24"/>
          <w:highlight w:val="none"/>
          <w:lang w:val="en-US" w:eastAsia="zh-CN"/>
        </w:rPr>
        <w:t>10、响应文件份数和签署</w:t>
      </w:r>
      <w:bookmarkEnd w:id="73"/>
      <w:bookmarkEnd w:id="74"/>
    </w:p>
    <w:p w14:paraId="0C578B31">
      <w:pPr>
        <w:snapToGrid w:val="0"/>
        <w:spacing w:line="360" w:lineRule="auto"/>
        <w:ind w:firstLine="480" w:firstLineChars="200"/>
        <w:rPr>
          <w:rFonts w:hint="eastAsia" w:ascii="宋体" w:hAnsi="宋体" w:cs="仿宋"/>
          <w:bCs/>
          <w:sz w:val="24"/>
          <w:highlight w:val="none"/>
          <w:lang w:val="en-US" w:eastAsia="zh-CN"/>
        </w:rPr>
      </w:pPr>
      <w:bookmarkStart w:id="75" w:name="_Hlt26954852"/>
      <w:bookmarkEnd w:id="75"/>
      <w:bookmarkStart w:id="76" w:name="_Hlt26954739"/>
      <w:bookmarkEnd w:id="76"/>
      <w:bookmarkStart w:id="77" w:name="_Hlk142335861"/>
      <w:bookmarkStart w:id="78" w:name="_Toc513029224"/>
      <w:bookmarkStart w:id="79" w:name="_Toc16938540"/>
      <w:bookmarkStart w:id="80" w:name="_Toc20823296"/>
      <w:bookmarkStart w:id="81" w:name="_Toc120614217"/>
      <w:r>
        <w:rPr>
          <w:rFonts w:hint="eastAsia" w:ascii="宋体" w:hAnsi="宋体" w:cs="仿宋"/>
          <w:bCs/>
          <w:sz w:val="24"/>
          <w:highlight w:val="none"/>
          <w:lang w:val="en-US" w:eastAsia="zh-CN"/>
        </w:rPr>
        <w:t>除投标人对错处做必要修改外，响应文件不得行间插字、涂改或增删。如有修改错漏处，必须由法定代表人或其授权代表签字或盖章。</w:t>
      </w:r>
    </w:p>
    <w:bookmarkEnd w:id="77"/>
    <w:p w14:paraId="0B22D490">
      <w:pPr>
        <w:widowControl/>
        <w:numPr>
          <w:ilvl w:val="0"/>
          <w:numId w:val="0"/>
        </w:numPr>
        <w:shd w:val="clear" w:color="auto" w:fill="FFFFFF"/>
        <w:ind w:leftChars="0"/>
        <w:outlineLvl w:val="1"/>
        <w:rPr>
          <w:rFonts w:hint="eastAsia" w:ascii="宋体" w:hAnsi="宋体"/>
          <w:b/>
          <w:color w:val="000000"/>
          <w:spacing w:val="8"/>
          <w:kern w:val="0"/>
          <w:sz w:val="24"/>
          <w:szCs w:val="24"/>
          <w:highlight w:val="none"/>
        </w:rPr>
      </w:pPr>
      <w:r>
        <w:rPr>
          <w:rFonts w:hint="eastAsia" w:ascii="宋体" w:hAnsi="宋体"/>
          <w:b/>
          <w:color w:val="000000"/>
          <w:spacing w:val="8"/>
          <w:kern w:val="0"/>
          <w:sz w:val="24"/>
          <w:szCs w:val="24"/>
          <w:highlight w:val="none"/>
        </w:rPr>
        <w:t>四、响应文件的递交</w:t>
      </w:r>
      <w:bookmarkEnd w:id="78"/>
      <w:bookmarkEnd w:id="79"/>
      <w:bookmarkEnd w:id="80"/>
      <w:bookmarkEnd w:id="81"/>
      <w:bookmarkStart w:id="82" w:name="_Toc20823297"/>
      <w:bookmarkStart w:id="83" w:name="_Toc513029225"/>
      <w:bookmarkStart w:id="84" w:name="_Toc462564084"/>
      <w:bookmarkStart w:id="85" w:name="_Toc16938541"/>
    </w:p>
    <w:p w14:paraId="75D1FD63">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1、磋商</w:t>
      </w:r>
      <w:bookmarkEnd w:id="82"/>
      <w:bookmarkEnd w:id="83"/>
      <w:bookmarkEnd w:id="84"/>
      <w:bookmarkEnd w:id="85"/>
      <w:r>
        <w:rPr>
          <w:rFonts w:hint="eastAsia" w:ascii="宋体" w:hAnsi="宋体" w:cs="仿宋"/>
          <w:b/>
          <w:bCs w:val="0"/>
          <w:sz w:val="24"/>
          <w:highlight w:val="none"/>
          <w:lang w:val="en-US" w:eastAsia="zh-CN"/>
        </w:rPr>
        <w:t>响应文件的递交</w:t>
      </w:r>
      <w:bookmarkStart w:id="86" w:name="_Toc20823298"/>
      <w:bookmarkStart w:id="87" w:name="_Toc16938542"/>
      <w:bookmarkStart w:id="88" w:name="_Toc513029226"/>
    </w:p>
    <w:p w14:paraId="492CA8D5">
      <w:pPr>
        <w:snapToGrid w:val="0"/>
        <w:spacing w:line="360" w:lineRule="auto"/>
        <w:ind w:firstLine="480" w:firstLineChars="200"/>
        <w:rPr>
          <w:rFonts w:hint="eastAsia" w:ascii="宋体" w:hAnsi="宋体" w:cs="仿宋"/>
          <w:b/>
          <w:bCs w:val="0"/>
          <w:sz w:val="24"/>
          <w:highlight w:val="none"/>
          <w:lang w:val="zh-CN" w:eastAsia="zh-CN"/>
        </w:rPr>
      </w:pPr>
      <w:r>
        <w:rPr>
          <w:rFonts w:hint="eastAsia" w:ascii="宋体" w:hAnsi="宋体" w:cs="仿宋"/>
          <w:b/>
          <w:bCs w:val="0"/>
          <w:sz w:val="24"/>
          <w:highlight w:val="none"/>
          <w:lang w:val="en-US" w:eastAsia="zh-CN"/>
        </w:rPr>
        <w:t>1</w:t>
      </w:r>
      <w:r>
        <w:rPr>
          <w:rFonts w:hint="eastAsia" w:ascii="宋体" w:hAnsi="宋体" w:cs="仿宋"/>
          <w:b/>
          <w:bCs w:val="0"/>
          <w:sz w:val="24"/>
          <w:highlight w:val="none"/>
          <w:lang w:val="zh-CN" w:eastAsia="zh-CN"/>
        </w:rPr>
        <w:t>.1</w:t>
      </w:r>
      <w:r>
        <w:rPr>
          <w:rFonts w:hint="eastAsia" w:ascii="宋体" w:hAnsi="宋体" w:cs="仿宋"/>
          <w:b/>
          <w:bCs w:val="0"/>
          <w:sz w:val="24"/>
          <w:highlight w:val="none"/>
          <w:lang w:val="en-US" w:eastAsia="zh-CN"/>
        </w:rPr>
        <w:t>.供应商</w:t>
      </w:r>
      <w:r>
        <w:rPr>
          <w:rFonts w:hint="eastAsia" w:ascii="宋体" w:hAnsi="宋体" w:cs="仿宋"/>
          <w:b/>
          <w:bCs w:val="0"/>
          <w:sz w:val="24"/>
          <w:highlight w:val="none"/>
          <w:lang w:val="zh-CN" w:eastAsia="zh-CN"/>
        </w:rPr>
        <w:t>应当按照《操作手册》规定，在公告规定的投标截止时间前制作并上传电子响应文件。</w:t>
      </w:r>
    </w:p>
    <w:p w14:paraId="60EC6D41">
      <w:pPr>
        <w:snapToGrid w:val="0"/>
        <w:spacing w:line="360" w:lineRule="auto"/>
        <w:ind w:firstLine="480" w:firstLineChars="200"/>
        <w:rPr>
          <w:rFonts w:hint="eastAsia" w:ascii="宋体" w:hAnsi="宋体" w:cs="仿宋"/>
          <w:b/>
          <w:bCs w:val="0"/>
          <w:sz w:val="24"/>
          <w:highlight w:val="none"/>
          <w:lang w:val="zh-CN" w:eastAsia="zh-CN"/>
        </w:rPr>
      </w:pPr>
      <w:r>
        <w:rPr>
          <w:rFonts w:hint="eastAsia" w:ascii="宋体" w:hAnsi="宋体" w:cs="仿宋"/>
          <w:b/>
          <w:bCs w:val="0"/>
          <w:sz w:val="24"/>
          <w:highlight w:val="none"/>
          <w:lang w:val="en-US" w:eastAsia="zh-CN"/>
        </w:rPr>
        <w:t>1</w:t>
      </w:r>
      <w:r>
        <w:rPr>
          <w:rFonts w:hint="eastAsia" w:ascii="宋体" w:hAnsi="宋体" w:cs="仿宋"/>
          <w:b/>
          <w:bCs w:val="0"/>
          <w:sz w:val="24"/>
          <w:highlight w:val="none"/>
          <w:lang w:val="zh-CN" w:eastAsia="zh-CN"/>
        </w:rPr>
        <w:t>.</w:t>
      </w:r>
      <w:r>
        <w:rPr>
          <w:rFonts w:hint="eastAsia" w:ascii="宋体" w:hAnsi="宋体" w:cs="仿宋"/>
          <w:b/>
          <w:bCs w:val="0"/>
          <w:sz w:val="24"/>
          <w:highlight w:val="none"/>
          <w:lang w:val="en-US" w:eastAsia="zh-CN"/>
        </w:rPr>
        <w:t>2.供应商</w:t>
      </w:r>
      <w:r>
        <w:rPr>
          <w:rFonts w:hint="eastAsia" w:ascii="宋体" w:hAnsi="宋体" w:cs="仿宋"/>
          <w:b/>
          <w:bCs w:val="0"/>
          <w:sz w:val="24"/>
          <w:highlight w:val="none"/>
          <w:lang w:val="zh-CN" w:eastAsia="zh-CN"/>
        </w:rPr>
        <w:t>应充分考虑网络环境、网络带宽等因素</w:t>
      </w:r>
      <w:r>
        <w:rPr>
          <w:rFonts w:hint="eastAsia" w:ascii="宋体" w:hAnsi="宋体" w:cs="仿宋"/>
          <w:b/>
          <w:bCs w:val="0"/>
          <w:sz w:val="24"/>
          <w:highlight w:val="none"/>
          <w:lang w:val="en-US" w:eastAsia="zh-CN"/>
        </w:rPr>
        <w:t>可能对投标产生的影响</w:t>
      </w:r>
      <w:r>
        <w:rPr>
          <w:rFonts w:hint="eastAsia" w:ascii="宋体" w:hAnsi="宋体" w:cs="仿宋"/>
          <w:b/>
          <w:bCs w:val="0"/>
          <w:sz w:val="24"/>
          <w:highlight w:val="none"/>
          <w:lang w:val="zh-CN" w:eastAsia="zh-CN"/>
        </w:rPr>
        <w:t>，如因</w:t>
      </w:r>
      <w:r>
        <w:rPr>
          <w:rFonts w:hint="eastAsia" w:ascii="宋体" w:hAnsi="宋体" w:cs="仿宋"/>
          <w:b/>
          <w:bCs w:val="0"/>
          <w:sz w:val="24"/>
          <w:highlight w:val="none"/>
          <w:lang w:val="en-US" w:eastAsia="zh-CN"/>
        </w:rPr>
        <w:t>供应商</w:t>
      </w:r>
      <w:r>
        <w:rPr>
          <w:rFonts w:hint="eastAsia" w:ascii="宋体" w:hAnsi="宋体" w:cs="仿宋"/>
          <w:b/>
          <w:bCs w:val="0"/>
          <w:sz w:val="24"/>
          <w:highlight w:val="none"/>
          <w:lang w:val="zh-CN" w:eastAsia="zh-CN"/>
        </w:rPr>
        <w:t>自身原因造成的电子响应文件上传不成功的，按照做无效投标处理。</w:t>
      </w:r>
    </w:p>
    <w:bookmarkEnd w:id="86"/>
    <w:bookmarkEnd w:id="87"/>
    <w:bookmarkEnd w:id="88"/>
    <w:p w14:paraId="29F6BA31">
      <w:pPr>
        <w:snapToGrid w:val="0"/>
        <w:spacing w:line="360" w:lineRule="auto"/>
        <w:ind w:firstLine="480" w:firstLineChars="200"/>
        <w:rPr>
          <w:rFonts w:hint="eastAsia" w:ascii="宋体" w:hAnsi="宋体" w:cs="仿宋"/>
          <w:bCs/>
          <w:sz w:val="24"/>
          <w:highlight w:val="none"/>
          <w:lang w:val="en-US" w:eastAsia="zh-CN"/>
        </w:rPr>
      </w:pPr>
      <w:bookmarkStart w:id="89" w:name="_Toc20823299"/>
      <w:bookmarkStart w:id="90" w:name="_Toc513029227"/>
      <w:bookmarkStart w:id="91" w:name="_Toc16938543"/>
      <w:r>
        <w:rPr>
          <w:rFonts w:hint="eastAsia" w:ascii="宋体" w:hAnsi="宋体" w:cs="仿宋"/>
          <w:bCs/>
          <w:sz w:val="24"/>
          <w:highlight w:val="none"/>
          <w:lang w:val="en-US" w:eastAsia="zh-CN"/>
        </w:rPr>
        <w:t>1</w:t>
      </w:r>
      <w:r>
        <w:rPr>
          <w:rFonts w:hint="eastAsia" w:ascii="宋体" w:hAnsi="宋体" w:cs="仿宋"/>
          <w:bCs/>
          <w:sz w:val="24"/>
          <w:highlight w:val="none"/>
          <w:lang w:val="zh-CN" w:eastAsia="zh-CN"/>
        </w:rPr>
        <w:t>.3</w:t>
      </w:r>
      <w:r>
        <w:rPr>
          <w:rFonts w:hint="eastAsia" w:ascii="宋体" w:hAnsi="宋体" w:cs="仿宋"/>
          <w:bCs/>
          <w:sz w:val="24"/>
          <w:highlight w:val="none"/>
          <w:lang w:val="en-US" w:eastAsia="zh-CN"/>
        </w:rPr>
        <w:t>.</w:t>
      </w:r>
      <w:r>
        <w:rPr>
          <w:rFonts w:hint="eastAsia" w:ascii="宋体" w:hAnsi="宋体" w:cs="仿宋"/>
          <w:bCs/>
          <w:sz w:val="24"/>
          <w:highlight w:val="none"/>
          <w:lang w:val="zh-CN" w:eastAsia="zh-CN"/>
        </w:rPr>
        <w:t>代理机构可以按照规定，通过修改磋商文件酌情延长投标截止时间，在此情况下，</w:t>
      </w:r>
      <w:r>
        <w:rPr>
          <w:rFonts w:hint="eastAsia" w:ascii="宋体" w:hAnsi="宋体" w:cs="仿宋"/>
          <w:bCs/>
          <w:sz w:val="24"/>
          <w:highlight w:val="none"/>
          <w:lang w:val="en-US" w:eastAsia="zh-CN"/>
        </w:rPr>
        <w:t>供应商</w:t>
      </w:r>
      <w:r>
        <w:rPr>
          <w:rFonts w:hint="eastAsia" w:ascii="宋体" w:hAnsi="宋体" w:cs="仿宋"/>
          <w:bCs/>
          <w:sz w:val="24"/>
          <w:highlight w:val="none"/>
          <w:lang w:val="zh-CN" w:eastAsia="zh-CN"/>
        </w:rPr>
        <w:t>的所有权利和义务均以延长后新的截止时间为准。</w:t>
      </w:r>
    </w:p>
    <w:p w14:paraId="42A72EC9">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2、响应文件</w:t>
      </w:r>
      <w:bookmarkEnd w:id="89"/>
      <w:bookmarkEnd w:id="90"/>
      <w:bookmarkEnd w:id="91"/>
      <w:r>
        <w:rPr>
          <w:rFonts w:hint="eastAsia" w:ascii="宋体" w:hAnsi="宋体" w:cs="仿宋"/>
          <w:bCs/>
          <w:sz w:val="24"/>
          <w:highlight w:val="none"/>
          <w:lang w:val="en-US" w:eastAsia="zh-CN"/>
        </w:rPr>
        <w:t>的拒收</w:t>
      </w:r>
    </w:p>
    <w:p w14:paraId="1CFB9AD9">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采购代理机构拒绝接收在其规定的提交响应文件截止时间后上传的任何响应文件。</w:t>
      </w:r>
    </w:p>
    <w:p w14:paraId="6DEF3D38">
      <w:pPr>
        <w:snapToGrid w:val="0"/>
        <w:spacing w:line="360" w:lineRule="auto"/>
        <w:ind w:firstLine="480" w:firstLineChars="200"/>
        <w:rPr>
          <w:rFonts w:hint="eastAsia" w:ascii="宋体" w:hAnsi="宋体" w:cs="仿宋"/>
          <w:bCs/>
          <w:sz w:val="24"/>
          <w:highlight w:val="none"/>
          <w:lang w:val="en-US" w:eastAsia="zh-CN"/>
        </w:rPr>
      </w:pPr>
      <w:bookmarkStart w:id="92" w:name="_Toc513029228"/>
      <w:bookmarkStart w:id="93" w:name="_Toc20823300"/>
      <w:bookmarkStart w:id="94" w:name="_Toc16938544"/>
      <w:r>
        <w:rPr>
          <w:rFonts w:hint="eastAsia" w:ascii="宋体" w:hAnsi="宋体" w:cs="仿宋"/>
          <w:bCs/>
          <w:sz w:val="24"/>
          <w:highlight w:val="none"/>
          <w:lang w:val="en-US" w:eastAsia="zh-CN"/>
        </w:rPr>
        <w:t>3、响应文件的撤回和修改</w:t>
      </w:r>
      <w:bookmarkEnd w:id="92"/>
      <w:bookmarkEnd w:id="93"/>
      <w:bookmarkEnd w:id="94"/>
    </w:p>
    <w:p w14:paraId="61730C78">
      <w:pPr>
        <w:snapToGrid w:val="0"/>
        <w:spacing w:line="360" w:lineRule="auto"/>
        <w:ind w:firstLine="480" w:firstLineChars="200"/>
        <w:rPr>
          <w:rFonts w:hint="eastAsia" w:ascii="宋体" w:hAnsi="宋体" w:cs="仿宋"/>
          <w:bCs/>
          <w:sz w:val="24"/>
          <w:highlight w:val="none"/>
          <w:lang w:val="en-US" w:eastAsia="zh-CN"/>
        </w:rPr>
      </w:pPr>
      <w:bookmarkStart w:id="95" w:name="_Hlk142337633"/>
      <w:r>
        <w:rPr>
          <w:rFonts w:hint="eastAsia" w:ascii="宋体" w:hAnsi="宋体" w:cs="仿宋"/>
          <w:bCs/>
          <w:sz w:val="24"/>
          <w:highlight w:val="none"/>
          <w:lang w:val="en-US" w:eastAsia="zh-CN"/>
        </w:rPr>
        <w:t>3.1.响应文件的撤回</w:t>
      </w:r>
    </w:p>
    <w:p w14:paraId="76F80004">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3.1.1.响应文件的撤回</w:t>
      </w:r>
    </w:p>
    <w:p w14:paraId="3B68F48C">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供应商可在提交响应文件截止时间前，撤回其</w:t>
      </w:r>
      <w:r>
        <w:rPr>
          <w:rFonts w:hint="eastAsia" w:ascii="宋体" w:hAnsi="宋体" w:cs="仿宋"/>
          <w:b/>
          <w:bCs w:val="0"/>
          <w:sz w:val="24"/>
          <w:highlight w:val="none"/>
          <w:lang w:val="zh-CN" w:eastAsia="zh-CN"/>
        </w:rPr>
        <w:t>电子</w:t>
      </w:r>
      <w:r>
        <w:rPr>
          <w:rFonts w:hint="eastAsia" w:ascii="宋体" w:hAnsi="宋体" w:cs="仿宋"/>
          <w:b/>
          <w:bCs w:val="0"/>
          <w:sz w:val="24"/>
          <w:highlight w:val="none"/>
          <w:lang w:val="en-US" w:eastAsia="zh-CN"/>
        </w:rPr>
        <w:t>响应文件。具体操作方法见《操作手册》。</w:t>
      </w:r>
    </w:p>
    <w:bookmarkEnd w:id="95"/>
    <w:p w14:paraId="5CED628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3.1.2.供应商撤回电子响应文件，则认为其不再参与本项目磋商活动。</w:t>
      </w:r>
    </w:p>
    <w:p w14:paraId="5D397B87">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3.2. 响应文件的修改</w:t>
      </w:r>
    </w:p>
    <w:p w14:paraId="5E159AEA">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3.2.1.供应商可在投标截止时间前对其电子响应文件进行修改，具体操作方法见《操作手册》。</w:t>
      </w:r>
    </w:p>
    <w:p w14:paraId="1A0F98AF">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3.2.2.投标截止时间之后，供应商不得对其电子响应文件作任何修改。</w:t>
      </w:r>
    </w:p>
    <w:p w14:paraId="290DF022">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3.3.在投标截止时间至磋商文件中规定的投标有效期满之间的这段时间内，供应商不得撤回其投标。</w:t>
      </w:r>
    </w:p>
    <w:p w14:paraId="79AE8C5D">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3.4.成交供应商需无偿提供纸质版响应文件一式叁份（壹份正本、贰份副本；加盖公章）；（电子版标书一份,U盘形式，响应文件电子版中必须包含响应文件的全部内容，不得加密，所有文档、图表等采用WORD格式)。</w:t>
      </w:r>
    </w:p>
    <w:p w14:paraId="65F9B9BB">
      <w:pPr>
        <w:widowControl/>
        <w:numPr>
          <w:ilvl w:val="0"/>
          <w:numId w:val="0"/>
        </w:numPr>
        <w:shd w:val="clear" w:color="auto" w:fill="FFFFFF"/>
        <w:ind w:leftChars="0"/>
        <w:outlineLvl w:val="1"/>
        <w:rPr>
          <w:rFonts w:hint="eastAsia" w:ascii="宋体" w:hAnsi="宋体"/>
          <w:b/>
          <w:color w:val="000000"/>
          <w:spacing w:val="8"/>
          <w:kern w:val="0"/>
          <w:sz w:val="24"/>
          <w:szCs w:val="24"/>
          <w:highlight w:val="none"/>
        </w:rPr>
      </w:pPr>
      <w:bookmarkStart w:id="96" w:name="_Toc20823301"/>
      <w:bookmarkStart w:id="97" w:name="_Toc120614218"/>
      <w:bookmarkStart w:id="98" w:name="_Toc16938545"/>
      <w:bookmarkStart w:id="99" w:name="_Toc513029229"/>
      <w:r>
        <w:rPr>
          <w:rFonts w:hint="eastAsia" w:ascii="宋体" w:hAnsi="宋体"/>
          <w:b/>
          <w:color w:val="000000"/>
          <w:spacing w:val="8"/>
          <w:kern w:val="0"/>
          <w:sz w:val="24"/>
          <w:szCs w:val="24"/>
          <w:highlight w:val="none"/>
          <w:lang w:val="en-US" w:eastAsia="zh-CN"/>
        </w:rPr>
        <w:t>五、</w:t>
      </w:r>
      <w:r>
        <w:rPr>
          <w:rFonts w:hint="eastAsia" w:ascii="宋体" w:hAnsi="宋体"/>
          <w:b/>
          <w:color w:val="000000"/>
          <w:spacing w:val="8"/>
          <w:kern w:val="0"/>
          <w:sz w:val="24"/>
          <w:szCs w:val="24"/>
          <w:highlight w:val="none"/>
        </w:rPr>
        <w:t>响应文件的评审</w:t>
      </w:r>
      <w:bookmarkEnd w:id="96"/>
      <w:bookmarkEnd w:id="97"/>
      <w:bookmarkEnd w:id="98"/>
      <w:bookmarkEnd w:id="99"/>
    </w:p>
    <w:p w14:paraId="36F66B9C">
      <w:pPr>
        <w:widowControl/>
        <w:numPr>
          <w:ilvl w:val="0"/>
          <w:numId w:val="0"/>
        </w:numPr>
        <w:shd w:val="clear" w:color="auto" w:fill="FFFFFF"/>
        <w:ind w:leftChars="0"/>
        <w:outlineLvl w:val="1"/>
        <w:rPr>
          <w:rFonts w:hint="eastAsia" w:ascii="宋体" w:hAnsi="宋体"/>
          <w:b/>
          <w:color w:val="000000"/>
          <w:spacing w:val="8"/>
          <w:kern w:val="0"/>
          <w:sz w:val="24"/>
          <w:szCs w:val="24"/>
          <w:highlight w:val="none"/>
        </w:rPr>
      </w:pPr>
    </w:p>
    <w:p w14:paraId="083B7C36">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1、响应文件解密</w:t>
      </w:r>
    </w:p>
    <w:p w14:paraId="2421EBCF">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供应商应当按照《操作手册》规定，在苏采云系统规定的时间内对磋商响应文件进行解密。</w:t>
      </w:r>
    </w:p>
    <w:p w14:paraId="001A202B">
      <w:pPr>
        <w:snapToGrid w:val="0"/>
        <w:spacing w:line="360" w:lineRule="auto"/>
        <w:ind w:firstLine="480" w:firstLineChars="200"/>
        <w:rPr>
          <w:rFonts w:hint="eastAsia" w:ascii="宋体" w:hAnsi="宋体" w:cs="仿宋"/>
          <w:bCs/>
          <w:sz w:val="24"/>
          <w:highlight w:val="none"/>
          <w:lang w:val="en-US" w:eastAsia="zh-CN"/>
        </w:rPr>
      </w:pPr>
      <w:bookmarkStart w:id="100" w:name="_Toc513029231"/>
      <w:bookmarkStart w:id="101" w:name="_Toc16938547"/>
      <w:bookmarkStart w:id="102" w:name="_Toc20823303"/>
      <w:r>
        <w:rPr>
          <w:rFonts w:hint="eastAsia" w:ascii="宋体" w:hAnsi="宋体" w:cs="仿宋"/>
          <w:bCs/>
          <w:sz w:val="24"/>
          <w:highlight w:val="none"/>
          <w:lang w:val="en-US" w:eastAsia="zh-CN"/>
        </w:rPr>
        <w:t>2、磋商小组</w:t>
      </w:r>
    </w:p>
    <w:p w14:paraId="517D046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2.1.采购代理机构将组织磋商小组对响应文件进行评审。磋商小组由采购人代表和有关技术、经济等方面的专家组成，且人员构成符合政府采购有关规定。</w:t>
      </w:r>
    </w:p>
    <w:p w14:paraId="409D5EA7">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2.2.磋商小组独立工作，负责评审所有响应文件并确定成交候选人。</w:t>
      </w:r>
    </w:p>
    <w:p w14:paraId="125F54A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3、评审过程的保密与公正</w:t>
      </w:r>
    </w:p>
    <w:bookmarkEnd w:id="100"/>
    <w:bookmarkEnd w:id="101"/>
    <w:bookmarkEnd w:id="102"/>
    <w:p w14:paraId="410E6BF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3.1.磋商小组、采购人和采购代理机构工作人员、相关监督人员等与评审工作有关的人员，对评审情况以及在评审过程中获悉的国家秘密、商业秘密负有保密责任。</w:t>
      </w:r>
    </w:p>
    <w:p w14:paraId="1C6D7BC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3.2.在评审过程中，供应商不得以任何行为影响磋商评审过程，否则其响应文件将被作为无效响应文件。</w:t>
      </w:r>
    </w:p>
    <w:p w14:paraId="2CA060F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3.3.在项目评审期间，采购代理机构将设专门人员与供应商联系。</w:t>
      </w:r>
    </w:p>
    <w:p w14:paraId="1255B31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3.4.采购代理机构和磋商小组不向未成交的供应商解释未成交原因，也不公布评审过程中的相关细节。</w:t>
      </w:r>
    </w:p>
    <w:p w14:paraId="37345D1D">
      <w:pPr>
        <w:snapToGrid w:val="0"/>
        <w:spacing w:line="360" w:lineRule="auto"/>
        <w:ind w:firstLine="480" w:firstLineChars="200"/>
        <w:rPr>
          <w:rFonts w:hint="eastAsia" w:ascii="宋体" w:hAnsi="宋体" w:cs="仿宋"/>
          <w:bCs/>
          <w:sz w:val="24"/>
          <w:highlight w:val="none"/>
          <w:lang w:val="en-US" w:eastAsia="zh-CN"/>
        </w:rPr>
      </w:pPr>
      <w:bookmarkStart w:id="103" w:name="_Toc16938548"/>
      <w:bookmarkStart w:id="104" w:name="_Toc513029232"/>
      <w:bookmarkStart w:id="105" w:name="_Toc20823304"/>
      <w:r>
        <w:rPr>
          <w:rFonts w:hint="eastAsia" w:ascii="宋体" w:hAnsi="宋体" w:cs="仿宋"/>
          <w:bCs/>
          <w:sz w:val="24"/>
          <w:highlight w:val="none"/>
          <w:lang w:val="en-US" w:eastAsia="zh-CN"/>
        </w:rPr>
        <w:t>4、评审过程中的澄清</w:t>
      </w:r>
      <w:bookmarkEnd w:id="103"/>
      <w:bookmarkEnd w:id="104"/>
      <w:bookmarkEnd w:id="105"/>
    </w:p>
    <w:p w14:paraId="035479D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4.1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AA54B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磋商小组并非对每个供应商都作澄清要求。</w:t>
      </w:r>
    </w:p>
    <w:p w14:paraId="1866E55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
          <w:bCs w:val="0"/>
          <w:sz w:val="24"/>
          <w:highlight w:val="none"/>
          <w:lang w:val="en-US" w:eastAsia="zh-CN"/>
        </w:rPr>
        <w:t>4.2.</w:t>
      </w:r>
      <w:r>
        <w:rPr>
          <w:rFonts w:hint="eastAsia" w:ascii="宋体" w:hAnsi="宋体" w:cs="仿宋"/>
          <w:b/>
          <w:bCs w:val="0"/>
          <w:sz w:val="24"/>
          <w:highlight w:val="none"/>
          <w:lang w:val="zh-CN" w:eastAsia="zh-CN"/>
        </w:rPr>
        <w:t>需要供应商进行澄清、说明和补正的，评委会将通过苏采云系统向投标人发出《澄清要求函》，接到《澄清要求函》的投标人应当按照要求在苏采云系统中提交《澄清响应函》并加盖电子公章。澄清、说明和补正的内容作为响应文件的补充部分，具体操作方式见《操作手册》。</w:t>
      </w:r>
    </w:p>
    <w:p w14:paraId="7A31D2D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4.3.接到磋商小组澄清、说明和更正要求的供应商如未按规定作出澄清、说明和更正，其风险由供应商自行承担。</w:t>
      </w:r>
    </w:p>
    <w:p w14:paraId="5C67171C">
      <w:pPr>
        <w:snapToGrid w:val="0"/>
        <w:spacing w:line="360" w:lineRule="auto"/>
        <w:ind w:firstLine="480" w:firstLineChars="200"/>
        <w:rPr>
          <w:rFonts w:hint="eastAsia" w:ascii="宋体" w:hAnsi="宋体" w:cs="仿宋"/>
          <w:b/>
          <w:bCs w:val="0"/>
          <w:sz w:val="24"/>
          <w:highlight w:val="none"/>
          <w:lang w:val="en-US" w:eastAsia="zh-CN"/>
        </w:rPr>
      </w:pPr>
      <w:bookmarkStart w:id="106" w:name="_Toc16938549"/>
      <w:bookmarkStart w:id="107" w:name="_Toc20823305"/>
      <w:bookmarkStart w:id="108" w:name="_Toc513029233"/>
      <w:r>
        <w:rPr>
          <w:rFonts w:hint="eastAsia" w:ascii="宋体" w:hAnsi="宋体" w:cs="仿宋"/>
          <w:b/>
          <w:bCs w:val="0"/>
          <w:sz w:val="24"/>
          <w:highlight w:val="none"/>
          <w:lang w:val="en-US" w:eastAsia="zh-CN"/>
        </w:rPr>
        <w:t>5、对响应文件的审</w:t>
      </w:r>
      <w:bookmarkEnd w:id="106"/>
      <w:bookmarkEnd w:id="107"/>
      <w:bookmarkEnd w:id="108"/>
      <w:r>
        <w:rPr>
          <w:rFonts w:hint="eastAsia" w:ascii="宋体" w:hAnsi="宋体" w:cs="仿宋"/>
          <w:b/>
          <w:bCs w:val="0"/>
          <w:sz w:val="24"/>
          <w:highlight w:val="none"/>
          <w:lang w:val="en-US" w:eastAsia="zh-CN"/>
        </w:rPr>
        <w:t>查</w:t>
      </w:r>
    </w:p>
    <w:p w14:paraId="57394CD9">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5.1.响应文件审查分为</w:t>
      </w:r>
      <w:r>
        <w:rPr>
          <w:rFonts w:hint="eastAsia" w:ascii="宋体" w:hAnsi="宋体" w:cs="仿宋"/>
          <w:b/>
          <w:bCs w:val="0"/>
          <w:sz w:val="24"/>
          <w:highlight w:val="none"/>
          <w:lang w:val="en-US" w:eastAsia="zh-CN"/>
        </w:rPr>
        <w:t>资格审查和符合性审查</w:t>
      </w:r>
      <w:r>
        <w:rPr>
          <w:rFonts w:hint="eastAsia" w:ascii="宋体" w:hAnsi="宋体" w:cs="仿宋"/>
          <w:bCs/>
          <w:sz w:val="24"/>
          <w:highlight w:val="none"/>
          <w:lang w:val="en-US" w:eastAsia="zh-CN"/>
        </w:rPr>
        <w:t>。</w:t>
      </w:r>
    </w:p>
    <w:p w14:paraId="5E96DCF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5.1.1.资格审查：由采购人或者采购代理机构依据法律法规和磋商文件的规定，对响应文件中的资格证明文件进行审查，以确定供应商是否具备参加磋商的资格。</w:t>
      </w:r>
    </w:p>
    <w:p w14:paraId="58DAE006">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采购人或者采购代理机构在进行资格审查的同时，将在“信用中国”网站（www.creditchina.gov.cn）查询供应商的信用记录，以确定供应商是否具备磋商资格,查询结果留存并归档。</w:t>
      </w:r>
    </w:p>
    <w:p w14:paraId="46EA5E9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接受联合体的项目，两个以上的自然人、法人或者其他组织组成一个联合体，以一个供应商的身份共同参加政府采购活动的，联合体成员中任何一方存在不良信用记录的，视同联合体存在不良信用记录。</w:t>
      </w:r>
    </w:p>
    <w:p w14:paraId="76D5E9B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5.1.2.</w:t>
      </w:r>
      <w:r>
        <w:rPr>
          <w:rFonts w:hint="eastAsia" w:ascii="宋体" w:hAnsi="宋体" w:cs="仿宋"/>
          <w:b/>
          <w:bCs w:val="0"/>
          <w:sz w:val="24"/>
          <w:highlight w:val="none"/>
          <w:lang w:val="en-US" w:eastAsia="zh-CN"/>
        </w:rPr>
        <w:t>符合性审查：</w:t>
      </w:r>
      <w:r>
        <w:rPr>
          <w:rFonts w:hint="eastAsia" w:ascii="宋体" w:hAnsi="宋体" w:cs="仿宋"/>
          <w:bCs/>
          <w:sz w:val="24"/>
          <w:highlight w:val="none"/>
          <w:lang w:val="en-US" w:eastAsia="zh-CN"/>
        </w:rPr>
        <w:t>依据磋商文件的规定，由磋商小组从响应文件的有效性、完整性和对磋商文件的响应程度进行审查，以确定是否对磋商文件的实质性要求作出响应。</w:t>
      </w:r>
    </w:p>
    <w:tbl>
      <w:tblPr>
        <w:tblStyle w:val="23"/>
        <w:tblW w:w="5000"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4881"/>
        <w:gridCol w:w="4881"/>
      </w:tblGrid>
      <w:tr w14:paraId="69BD696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500" w:type="pct"/>
            <w:tcBorders>
              <w:top w:val="outset" w:color="auto" w:sz="6" w:space="0"/>
              <w:left w:val="outset" w:color="auto" w:sz="6" w:space="0"/>
              <w:bottom w:val="outset" w:color="auto" w:sz="6" w:space="0"/>
              <w:right w:val="outset" w:color="auto" w:sz="6" w:space="0"/>
            </w:tcBorders>
            <w:noWrap w:val="0"/>
            <w:vAlign w:val="center"/>
          </w:tcPr>
          <w:p w14:paraId="030D5180">
            <w:pPr>
              <w:jc w:val="center"/>
              <w:rPr>
                <w:rFonts w:ascii="宋体" w:hAnsi="宋体"/>
                <w:color w:val="000000"/>
                <w:sz w:val="24"/>
                <w:szCs w:val="32"/>
                <w:highlight w:val="none"/>
              </w:rPr>
            </w:pPr>
            <w:r>
              <w:rPr>
                <w:rFonts w:ascii="宋体" w:hAnsi="宋体"/>
                <w:color w:val="000000"/>
                <w:sz w:val="24"/>
                <w:szCs w:val="32"/>
                <w:highlight w:val="none"/>
              </w:rPr>
              <w:t>符合性审查因素</w:t>
            </w:r>
          </w:p>
        </w:tc>
        <w:tc>
          <w:tcPr>
            <w:tcW w:w="2500" w:type="pct"/>
            <w:tcBorders>
              <w:top w:val="outset" w:color="auto" w:sz="6" w:space="0"/>
              <w:left w:val="outset" w:color="auto" w:sz="6" w:space="0"/>
              <w:bottom w:val="outset" w:color="auto" w:sz="6" w:space="0"/>
              <w:right w:val="outset" w:color="auto" w:sz="6" w:space="0"/>
            </w:tcBorders>
            <w:noWrap w:val="0"/>
            <w:vAlign w:val="center"/>
          </w:tcPr>
          <w:p w14:paraId="40372B3D">
            <w:pPr>
              <w:jc w:val="center"/>
              <w:rPr>
                <w:rFonts w:ascii="宋体" w:hAnsi="宋体"/>
                <w:b/>
                <w:color w:val="000000"/>
                <w:sz w:val="24"/>
                <w:szCs w:val="32"/>
                <w:highlight w:val="none"/>
              </w:rPr>
            </w:pPr>
            <w:r>
              <w:rPr>
                <w:rFonts w:ascii="宋体" w:hAnsi="宋体"/>
                <w:color w:val="000000"/>
                <w:sz w:val="24"/>
                <w:szCs w:val="32"/>
                <w:highlight w:val="none"/>
              </w:rPr>
              <w:t>审查标准</w:t>
            </w:r>
          </w:p>
        </w:tc>
      </w:tr>
      <w:tr w14:paraId="2C67EE9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6FE9B915">
            <w:pPr>
              <w:jc w:val="center"/>
              <w:rPr>
                <w:rFonts w:ascii="宋体" w:hAnsi="宋体"/>
                <w:b/>
                <w:color w:val="000000"/>
                <w:sz w:val="24"/>
                <w:szCs w:val="32"/>
                <w:highlight w:val="none"/>
              </w:rPr>
            </w:pPr>
            <w:r>
              <w:rPr>
                <w:rFonts w:ascii="宋体" w:hAnsi="宋体"/>
                <w:color w:val="000000"/>
                <w:sz w:val="24"/>
                <w:szCs w:val="32"/>
                <w:highlight w:val="none"/>
              </w:rPr>
              <w:t>法定代表人身份证明或授权委托书</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2061833">
            <w:pPr>
              <w:jc w:val="center"/>
              <w:rPr>
                <w:rFonts w:ascii="宋体" w:hAnsi="宋体"/>
                <w:b/>
                <w:color w:val="000000"/>
                <w:sz w:val="24"/>
                <w:szCs w:val="32"/>
                <w:highlight w:val="none"/>
              </w:rPr>
            </w:pPr>
            <w:r>
              <w:rPr>
                <w:rFonts w:ascii="宋体" w:hAnsi="宋体"/>
                <w:color w:val="000000"/>
                <w:sz w:val="24"/>
                <w:szCs w:val="32"/>
                <w:highlight w:val="none"/>
              </w:rPr>
              <w:t>符合</w:t>
            </w:r>
            <w:r>
              <w:rPr>
                <w:rFonts w:hint="eastAsia" w:ascii="宋体" w:hAnsi="宋体"/>
                <w:color w:val="000000"/>
                <w:sz w:val="24"/>
                <w:szCs w:val="32"/>
                <w:highlight w:val="none"/>
              </w:rPr>
              <w:t>磋商</w:t>
            </w:r>
            <w:r>
              <w:rPr>
                <w:rFonts w:ascii="宋体" w:hAnsi="宋体"/>
                <w:color w:val="000000"/>
                <w:sz w:val="24"/>
                <w:szCs w:val="32"/>
                <w:highlight w:val="none"/>
              </w:rPr>
              <w:t>文件要求</w:t>
            </w:r>
          </w:p>
        </w:tc>
      </w:tr>
      <w:tr w14:paraId="06CEB0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22088BBB">
            <w:pPr>
              <w:jc w:val="center"/>
              <w:rPr>
                <w:rFonts w:ascii="宋体" w:hAnsi="宋体"/>
                <w:b/>
                <w:color w:val="000000"/>
                <w:sz w:val="24"/>
                <w:szCs w:val="32"/>
                <w:highlight w:val="none"/>
              </w:rPr>
            </w:pPr>
            <w:r>
              <w:rPr>
                <w:rFonts w:hint="eastAsia" w:ascii="宋体" w:hAnsi="宋体"/>
                <w:color w:val="000000"/>
                <w:sz w:val="24"/>
                <w:szCs w:val="32"/>
                <w:highlight w:val="none"/>
              </w:rPr>
              <w:t>响应</w:t>
            </w:r>
            <w:r>
              <w:rPr>
                <w:rFonts w:ascii="宋体" w:hAnsi="宋体"/>
                <w:color w:val="000000"/>
                <w:sz w:val="24"/>
                <w:szCs w:val="32"/>
                <w:highlight w:val="none"/>
              </w:rPr>
              <w:t>文件签署、盖章齐全完整</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3A4382A">
            <w:pPr>
              <w:jc w:val="center"/>
              <w:rPr>
                <w:rFonts w:ascii="宋体" w:hAnsi="宋体"/>
                <w:b/>
                <w:color w:val="000000"/>
                <w:sz w:val="24"/>
                <w:szCs w:val="32"/>
                <w:highlight w:val="none"/>
              </w:rPr>
            </w:pPr>
            <w:r>
              <w:rPr>
                <w:rFonts w:ascii="宋体" w:hAnsi="宋体"/>
                <w:color w:val="000000"/>
                <w:sz w:val="24"/>
                <w:szCs w:val="32"/>
                <w:highlight w:val="none"/>
              </w:rPr>
              <w:t>符合</w:t>
            </w:r>
            <w:r>
              <w:rPr>
                <w:rFonts w:hint="eastAsia" w:ascii="宋体" w:hAnsi="宋体"/>
                <w:color w:val="000000"/>
                <w:sz w:val="24"/>
                <w:szCs w:val="32"/>
                <w:highlight w:val="none"/>
              </w:rPr>
              <w:t>磋商</w:t>
            </w:r>
            <w:r>
              <w:rPr>
                <w:rFonts w:ascii="宋体" w:hAnsi="宋体"/>
                <w:color w:val="000000"/>
                <w:sz w:val="24"/>
                <w:szCs w:val="32"/>
                <w:highlight w:val="none"/>
              </w:rPr>
              <w:t>文件要求</w:t>
            </w:r>
          </w:p>
        </w:tc>
      </w:tr>
      <w:tr w14:paraId="11DE48F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657FB055">
            <w:pPr>
              <w:jc w:val="center"/>
              <w:rPr>
                <w:rFonts w:ascii="宋体" w:hAnsi="宋体"/>
                <w:b/>
                <w:color w:val="000000"/>
                <w:sz w:val="24"/>
                <w:szCs w:val="32"/>
                <w:highlight w:val="none"/>
              </w:rPr>
            </w:pPr>
            <w:bookmarkStart w:id="109" w:name="OLE_LINK4"/>
            <w:r>
              <w:rPr>
                <w:rFonts w:hint="eastAsia" w:ascii="宋体" w:hAnsi="宋体"/>
                <w:color w:val="000000"/>
                <w:sz w:val="24"/>
                <w:szCs w:val="32"/>
                <w:highlight w:val="none"/>
              </w:rPr>
              <w:t>投标有效期</w:t>
            </w:r>
            <w:bookmarkEnd w:id="109"/>
          </w:p>
        </w:tc>
        <w:tc>
          <w:tcPr>
            <w:tcW w:w="0" w:type="auto"/>
            <w:tcBorders>
              <w:top w:val="outset" w:color="auto" w:sz="6" w:space="0"/>
              <w:left w:val="outset" w:color="auto" w:sz="6" w:space="0"/>
              <w:bottom w:val="outset" w:color="auto" w:sz="6" w:space="0"/>
              <w:right w:val="outset" w:color="auto" w:sz="6" w:space="0"/>
            </w:tcBorders>
            <w:noWrap w:val="0"/>
            <w:vAlign w:val="center"/>
          </w:tcPr>
          <w:p w14:paraId="72CD65F5">
            <w:pPr>
              <w:jc w:val="center"/>
              <w:rPr>
                <w:rFonts w:ascii="宋体" w:hAnsi="宋体"/>
                <w:b/>
                <w:color w:val="000000"/>
                <w:sz w:val="24"/>
                <w:szCs w:val="32"/>
                <w:highlight w:val="none"/>
              </w:rPr>
            </w:pPr>
            <w:r>
              <w:rPr>
                <w:rFonts w:ascii="宋体" w:hAnsi="宋体"/>
                <w:color w:val="000000"/>
                <w:sz w:val="24"/>
                <w:szCs w:val="32"/>
                <w:highlight w:val="none"/>
              </w:rPr>
              <w:t>符合</w:t>
            </w:r>
            <w:r>
              <w:rPr>
                <w:rFonts w:hint="eastAsia" w:ascii="宋体" w:hAnsi="宋体"/>
                <w:color w:val="000000"/>
                <w:sz w:val="24"/>
                <w:szCs w:val="32"/>
                <w:highlight w:val="none"/>
              </w:rPr>
              <w:t>磋商</w:t>
            </w:r>
            <w:r>
              <w:rPr>
                <w:rFonts w:ascii="宋体" w:hAnsi="宋体"/>
                <w:color w:val="000000"/>
                <w:sz w:val="24"/>
                <w:szCs w:val="32"/>
                <w:highlight w:val="none"/>
              </w:rPr>
              <w:t>文件要求</w:t>
            </w:r>
          </w:p>
        </w:tc>
      </w:tr>
      <w:tr w14:paraId="6B1BA7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17AE89CD">
            <w:pPr>
              <w:jc w:val="center"/>
              <w:rPr>
                <w:rFonts w:ascii="宋体" w:hAnsi="宋体"/>
                <w:b/>
                <w:color w:val="000000"/>
                <w:sz w:val="24"/>
                <w:szCs w:val="32"/>
                <w:highlight w:val="none"/>
              </w:rPr>
            </w:pPr>
            <w:r>
              <w:rPr>
                <w:rFonts w:hint="eastAsia" w:ascii="宋体" w:hAnsi="宋体"/>
                <w:color w:val="000000"/>
                <w:sz w:val="24"/>
                <w:szCs w:val="32"/>
                <w:highlight w:val="none"/>
              </w:rPr>
              <w:t>项目需求中的实质性要求</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4FCA01A">
            <w:pPr>
              <w:jc w:val="center"/>
              <w:rPr>
                <w:rFonts w:ascii="宋体" w:hAnsi="宋体"/>
                <w:b/>
                <w:color w:val="000000"/>
                <w:sz w:val="24"/>
                <w:szCs w:val="32"/>
                <w:highlight w:val="none"/>
              </w:rPr>
            </w:pPr>
            <w:r>
              <w:rPr>
                <w:rFonts w:ascii="宋体" w:hAnsi="宋体"/>
                <w:color w:val="000000"/>
                <w:sz w:val="24"/>
                <w:szCs w:val="32"/>
                <w:highlight w:val="none"/>
              </w:rPr>
              <w:t>符合</w:t>
            </w:r>
            <w:r>
              <w:rPr>
                <w:rFonts w:hint="eastAsia" w:ascii="宋体" w:hAnsi="宋体"/>
                <w:color w:val="000000"/>
                <w:sz w:val="24"/>
                <w:szCs w:val="32"/>
                <w:highlight w:val="none"/>
              </w:rPr>
              <w:t>磋商</w:t>
            </w:r>
            <w:r>
              <w:rPr>
                <w:rFonts w:ascii="宋体" w:hAnsi="宋体"/>
                <w:color w:val="000000"/>
                <w:sz w:val="24"/>
                <w:szCs w:val="32"/>
                <w:highlight w:val="none"/>
              </w:rPr>
              <w:t>文件要求</w:t>
            </w:r>
          </w:p>
        </w:tc>
      </w:tr>
      <w:tr w14:paraId="487402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noWrap w:val="0"/>
            <w:vAlign w:val="center"/>
          </w:tcPr>
          <w:p w14:paraId="6EC8BABC">
            <w:pPr>
              <w:jc w:val="center"/>
              <w:rPr>
                <w:rFonts w:ascii="宋体" w:hAnsi="宋体"/>
                <w:b/>
                <w:color w:val="000000"/>
                <w:sz w:val="24"/>
                <w:szCs w:val="32"/>
                <w:highlight w:val="none"/>
              </w:rPr>
            </w:pPr>
            <w:r>
              <w:rPr>
                <w:rFonts w:ascii="宋体" w:hAnsi="宋体"/>
                <w:color w:val="000000"/>
                <w:sz w:val="24"/>
                <w:szCs w:val="32"/>
                <w:highlight w:val="none"/>
              </w:rPr>
              <w:t>其他</w:t>
            </w:r>
            <w:r>
              <w:rPr>
                <w:rFonts w:hint="eastAsia" w:ascii="宋体" w:hAnsi="宋体"/>
                <w:color w:val="000000"/>
                <w:sz w:val="24"/>
                <w:szCs w:val="32"/>
                <w:highlight w:val="none"/>
              </w:rPr>
              <w:t>实质性要求</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44F4013">
            <w:pPr>
              <w:jc w:val="center"/>
              <w:rPr>
                <w:rFonts w:ascii="宋体" w:hAnsi="宋体"/>
                <w:b/>
                <w:color w:val="000000"/>
                <w:sz w:val="24"/>
                <w:szCs w:val="32"/>
                <w:highlight w:val="none"/>
              </w:rPr>
            </w:pPr>
            <w:r>
              <w:rPr>
                <w:rFonts w:ascii="宋体" w:hAnsi="宋体"/>
                <w:color w:val="000000"/>
                <w:sz w:val="24"/>
                <w:szCs w:val="32"/>
                <w:highlight w:val="none"/>
              </w:rPr>
              <w:t>符合</w:t>
            </w:r>
            <w:r>
              <w:rPr>
                <w:rFonts w:hint="eastAsia" w:ascii="宋体" w:hAnsi="宋体"/>
                <w:color w:val="000000"/>
                <w:sz w:val="24"/>
                <w:szCs w:val="32"/>
                <w:highlight w:val="none"/>
              </w:rPr>
              <w:t>磋商</w:t>
            </w:r>
            <w:r>
              <w:rPr>
                <w:rFonts w:ascii="宋体" w:hAnsi="宋体"/>
                <w:color w:val="000000"/>
                <w:sz w:val="24"/>
                <w:szCs w:val="32"/>
                <w:highlight w:val="none"/>
              </w:rPr>
              <w:t>文件要求</w:t>
            </w:r>
          </w:p>
        </w:tc>
      </w:tr>
    </w:tbl>
    <w:p w14:paraId="6D3BDF4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5.1.3.未通过资格审查或符合性审查的供应商，磋商小组将在苏采云系统中告知未通过资格审查或符合性审查的原因，评审结束后，磋商小组将不再告知未通过资格审查或符合性审查的原因。</w:t>
      </w:r>
    </w:p>
    <w:p w14:paraId="58F5C77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5.2.在详细评审之前，磋商小组将首先审查每份响应文件是否实质性响应了磋商文件的要求。实质性响应的响应文件应该是与磋商文件要求的条款、条件和规格相符，没有重大偏离或保留。</w:t>
      </w:r>
    </w:p>
    <w:p w14:paraId="2D1ED55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FFEC2B8">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5.3.未实质性响应磋商文件的情形</w:t>
      </w:r>
    </w:p>
    <w:p w14:paraId="7BD49D16">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5.3.1.供应商在苏采云系统规定的时间内未成功解密电子响应文件的。</w:t>
      </w:r>
    </w:p>
    <w:p w14:paraId="209D20E4">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5.3.2.供应商未按照磋商文件要求上传电子响应文件的。</w:t>
      </w:r>
    </w:p>
    <w:p w14:paraId="034E6CC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5.3.3.同一供应商提交两个（含两个）以上不同的响应文件或者最后报价的。</w:t>
      </w:r>
    </w:p>
    <w:p w14:paraId="0BBC1497">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5.3.4.供应商不具备磋商文件中规定资格要求的。</w:t>
      </w:r>
    </w:p>
    <w:p w14:paraId="76EC519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5.3.5.供应商的最后报价超过了采购预算。</w:t>
      </w:r>
    </w:p>
    <w:p w14:paraId="61C52CB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5.3.6.不符合磋商文件中规定的实质性要求和条件的。（本磋商文件中加注“*”或“★”为实质性要求和条件）；</w:t>
      </w:r>
    </w:p>
    <w:p w14:paraId="7E9D544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9046BF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5.3.8.响应文件含有采购人不能接受的附加条件的。</w:t>
      </w:r>
    </w:p>
    <w:p w14:paraId="73A33DAD">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5.3.9.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57451254">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5.3.10.响应文件未按照磋商文件要求加盖CA电子公章的。</w:t>
      </w:r>
    </w:p>
    <w:p w14:paraId="3AF8D45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5.4.未实质性响应磋商文件的响应文件按无效响应处理。</w:t>
      </w:r>
    </w:p>
    <w:p w14:paraId="45C236C2">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5.5.如果响应文件实质上没有响应磋商文件的要求，磋商小组将予以拒绝，供应商不得通过修改或撤销不合要求的偏离或保留而使其成为实质性响应的文件。</w:t>
      </w:r>
    </w:p>
    <w:p w14:paraId="06C7A951">
      <w:pPr>
        <w:snapToGrid w:val="0"/>
        <w:spacing w:line="360" w:lineRule="auto"/>
        <w:ind w:firstLine="480" w:firstLineChars="200"/>
        <w:rPr>
          <w:rFonts w:hint="eastAsia" w:ascii="宋体" w:hAnsi="宋体" w:cs="仿宋"/>
          <w:b/>
          <w:bCs w:val="0"/>
          <w:sz w:val="24"/>
          <w:highlight w:val="none"/>
          <w:lang w:val="en-US" w:eastAsia="zh-CN"/>
        </w:rPr>
      </w:pPr>
      <w:bookmarkStart w:id="110" w:name="_Toc513029234"/>
      <w:bookmarkStart w:id="111" w:name="_Toc20823306"/>
      <w:bookmarkStart w:id="112" w:name="_Toc16938550"/>
      <w:r>
        <w:rPr>
          <w:rFonts w:hint="eastAsia" w:ascii="宋体" w:hAnsi="宋体" w:cs="仿宋"/>
          <w:b/>
          <w:bCs w:val="0"/>
          <w:sz w:val="24"/>
          <w:highlight w:val="none"/>
          <w:lang w:val="en-US" w:eastAsia="zh-CN"/>
        </w:rPr>
        <w:t>5.6.供应商在项目评审全过程中应保持通信畅通，及时登录苏采云系统查阅、答复相关信息，并安排专人与代理机构及评委会联系。</w:t>
      </w:r>
    </w:p>
    <w:p w14:paraId="0EB93F7C">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6、</w:t>
      </w:r>
      <w:bookmarkEnd w:id="110"/>
      <w:bookmarkEnd w:id="111"/>
      <w:bookmarkEnd w:id="112"/>
      <w:r>
        <w:rPr>
          <w:rFonts w:hint="eastAsia" w:ascii="宋体" w:hAnsi="宋体" w:cs="仿宋"/>
          <w:b/>
          <w:bCs w:val="0"/>
          <w:sz w:val="24"/>
          <w:highlight w:val="none"/>
          <w:lang w:val="en-US" w:eastAsia="zh-CN"/>
        </w:rPr>
        <w:t>磋商程序及评审方法和评审标准</w:t>
      </w:r>
    </w:p>
    <w:p w14:paraId="3AF6521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6.1.磋商程序</w:t>
      </w:r>
    </w:p>
    <w:p w14:paraId="69784302">
      <w:pPr>
        <w:snapToGrid w:val="0"/>
        <w:spacing w:line="360" w:lineRule="auto"/>
        <w:ind w:firstLine="480" w:firstLineChars="200"/>
        <w:rPr>
          <w:rFonts w:ascii="宋体" w:hAnsi="宋体"/>
          <w:b/>
          <w:bCs/>
          <w:color w:val="000000"/>
          <w:sz w:val="24"/>
          <w:szCs w:val="24"/>
          <w:highlight w:val="none"/>
        </w:rPr>
      </w:pPr>
      <w:r>
        <w:rPr>
          <w:rFonts w:hint="eastAsia" w:ascii="宋体" w:hAnsi="宋体" w:cs="仿宋"/>
          <w:bCs/>
          <w:sz w:val="24"/>
          <w:highlight w:val="none"/>
          <w:lang w:val="en-US" w:eastAsia="zh-CN"/>
        </w:rPr>
        <w:t>6.1.1.对于通过资格审查和符合性审查的供应商，磋商小组所有成员集中与单一供应商分别就竞争性磋商采购项目的技术、商务和价格进行磋商。</w:t>
      </w:r>
      <w:r>
        <w:rPr>
          <w:rFonts w:hint="eastAsia" w:ascii="宋体" w:hAnsi="宋体" w:cs="仿宋"/>
          <w:b/>
          <w:bCs w:val="0"/>
          <w:sz w:val="24"/>
          <w:highlight w:val="none"/>
          <w:lang w:val="en-US" w:eastAsia="zh-CN"/>
        </w:rPr>
        <w:t>磋商小组通过苏采云系统向供应商发布《磋商函》，供应商应当按照要求在苏采云系统提交《磋商响应函》并加盖CA电子公章。</w:t>
      </w:r>
    </w:p>
    <w:p w14:paraId="15010B90">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6.1.2.磋商文件能够详细列明采购标的的技术、服务要求的，磋商结束后，磋商小组将在“苏采云”系统向所有实质性响应的供应商发布《最后报价要求函》及最后报价格式表，要求所有实质性响应的供应商在规定时间内提交最后报价。</w:t>
      </w:r>
    </w:p>
    <w:p w14:paraId="202E30A3">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12E5D7F6">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Cs/>
          <w:sz w:val="24"/>
          <w:highlight w:val="none"/>
          <w:lang w:val="en-US" w:eastAsia="zh-CN"/>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14:paraId="3D3A81B3">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
          <w:bCs w:val="0"/>
          <w:sz w:val="24"/>
          <w:highlight w:val="none"/>
          <w:lang w:val="en-US" w:eastAsia="zh-CN"/>
        </w:rPr>
        <w:t>6.1.3.供应商未在磋商小组规定的时间内在“苏采云”系统中提交最后报价的视为放弃磋商，其响应文件按无效响应处理，最后报价格式表须加盖CA电子公章，否则视为未提交最后报价。</w:t>
      </w:r>
      <w:r>
        <w:rPr>
          <w:rFonts w:hint="eastAsia" w:ascii="宋体" w:hAnsi="宋体" w:cs="仿宋"/>
          <w:bCs/>
          <w:sz w:val="24"/>
          <w:highlight w:val="none"/>
          <w:lang w:val="en-US" w:eastAsia="zh-CN"/>
        </w:rPr>
        <w:t>已提交响应文件的供应商，在提交最后报价之前，可以根据磋商情况退出磋商，并在“苏采云”系统中提交《退出磋商函》并加盖CA电子公章。</w:t>
      </w:r>
    </w:p>
    <w:p w14:paraId="41E51595">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6.1.4</w:t>
      </w:r>
      <w:bookmarkStart w:id="113" w:name="_Hlk142398229"/>
      <w:r>
        <w:rPr>
          <w:rFonts w:hint="eastAsia" w:ascii="宋体" w:hAnsi="宋体" w:cs="仿宋"/>
          <w:bCs/>
          <w:sz w:val="24"/>
          <w:highlight w:val="none"/>
          <w:lang w:val="en-US" w:eastAsia="zh-CN"/>
        </w:rPr>
        <w:t>.经磋商后，如果成交价低于供应商在磋商响应文件报价的话，除特别注明外，分项报价同比例调整。</w:t>
      </w:r>
      <w:bookmarkEnd w:id="113"/>
      <w:r>
        <w:rPr>
          <w:rFonts w:hint="eastAsia" w:ascii="宋体" w:hAnsi="宋体" w:cs="仿宋"/>
          <w:bCs/>
          <w:sz w:val="24"/>
          <w:highlight w:val="none"/>
          <w:lang w:val="en-US" w:eastAsia="zh-CN"/>
        </w:rPr>
        <w:t>（工程项目同比例调整不包括暂列金和暂估价）</w:t>
      </w:r>
    </w:p>
    <w:p w14:paraId="43A9348F">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6.2.评审方法和评审标准</w:t>
      </w:r>
    </w:p>
    <w:p w14:paraId="32677046">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6.2.1.评审方法。经磋商确定最终采购需求和提交最后报价的供应商后，由磋商小组采用综合评分法对提交最后报价的供应商的响应文件和最后报价进行综合评分。</w:t>
      </w:r>
    </w:p>
    <w:p w14:paraId="1CC2C60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1127C9D">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按照文件第五章规定的评分标准进行打分，并按得分由高到低顺序推荐中标候选人。</w:t>
      </w:r>
    </w:p>
    <w:p w14:paraId="56AD9E0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6.2.2.评审标准</w:t>
      </w:r>
    </w:p>
    <w:p w14:paraId="477E0452">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见本磋商文件第五章规定。</w:t>
      </w:r>
    </w:p>
    <w:p w14:paraId="12A62A7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6.3.采购活动终止的情况</w:t>
      </w:r>
    </w:p>
    <w:p w14:paraId="2EDDEF83">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出现下列情形之一的，本次竞争性磋商采购活动将被终止：</w:t>
      </w:r>
    </w:p>
    <w:p w14:paraId="5B33E1B4">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6.3.1.因情况变化，不再符合规定的竞争性磋商采购方式适用情形的。</w:t>
      </w:r>
    </w:p>
    <w:p w14:paraId="6766A53D">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6.3.2.出现影响采购公正的违法、违规行为的。</w:t>
      </w:r>
    </w:p>
    <w:p w14:paraId="6C886D5F">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6.3.3.除本磋商文件第二章第6.1.2条第三款规定的情形外，在采购过程中</w:t>
      </w:r>
      <w:r>
        <w:rPr>
          <w:rFonts w:hint="eastAsia" w:ascii="宋体" w:hAnsi="宋体" w:cs="仿宋"/>
          <w:b/>
          <w:bCs w:val="0"/>
          <w:sz w:val="24"/>
          <w:highlight w:val="none"/>
          <w:lang w:val="en-US" w:eastAsia="zh-CN"/>
        </w:rPr>
        <w:t>符合要求的供应商或者最后报价未超过采购预算的供应商不足3家的，项目流标，将重新组织招标。</w:t>
      </w:r>
    </w:p>
    <w:p w14:paraId="76E71E5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6.3.4.</w:t>
      </w:r>
      <w:r>
        <w:rPr>
          <w:rFonts w:hint="eastAsia" w:ascii="宋体" w:hAnsi="宋体" w:cs="仿宋"/>
          <w:b/>
          <w:bCs w:val="0"/>
          <w:sz w:val="24"/>
          <w:highlight w:val="none"/>
          <w:lang w:val="en-US" w:eastAsia="zh-CN"/>
        </w:rPr>
        <w:t>在“苏采云”系统规定时间内成功解密电子响应文件的供应商不足3家的。</w:t>
      </w:r>
    </w:p>
    <w:p w14:paraId="34ABB9FE">
      <w:pPr>
        <w:widowControl/>
        <w:numPr>
          <w:ilvl w:val="0"/>
          <w:numId w:val="0"/>
        </w:numPr>
        <w:shd w:val="clear" w:color="auto" w:fill="FFFFFF"/>
        <w:ind w:leftChars="0"/>
        <w:outlineLvl w:val="1"/>
        <w:rPr>
          <w:rFonts w:hint="eastAsia" w:ascii="宋体" w:hAnsi="宋体"/>
          <w:b/>
          <w:color w:val="000000"/>
          <w:spacing w:val="8"/>
          <w:kern w:val="0"/>
          <w:sz w:val="24"/>
          <w:szCs w:val="24"/>
          <w:highlight w:val="none"/>
          <w:lang w:val="en-US" w:eastAsia="zh-CN"/>
        </w:rPr>
      </w:pPr>
      <w:bookmarkStart w:id="114" w:name="_Toc20823307"/>
      <w:bookmarkStart w:id="115" w:name="_Toc120614219"/>
      <w:bookmarkStart w:id="116" w:name="_Toc513029235"/>
      <w:bookmarkStart w:id="117" w:name="_Toc16938551"/>
      <w:r>
        <w:rPr>
          <w:rFonts w:hint="eastAsia" w:ascii="宋体" w:hAnsi="宋体"/>
          <w:b/>
          <w:color w:val="000000"/>
          <w:spacing w:val="8"/>
          <w:kern w:val="0"/>
          <w:sz w:val="24"/>
          <w:szCs w:val="24"/>
          <w:highlight w:val="none"/>
          <w:lang w:val="en-US" w:eastAsia="zh-CN"/>
        </w:rPr>
        <w:t>六、</w:t>
      </w:r>
      <w:bookmarkEnd w:id="114"/>
      <w:bookmarkEnd w:id="115"/>
      <w:bookmarkEnd w:id="116"/>
      <w:bookmarkEnd w:id="117"/>
      <w:r>
        <w:rPr>
          <w:rFonts w:hint="eastAsia" w:ascii="宋体" w:hAnsi="宋体"/>
          <w:b/>
          <w:color w:val="000000"/>
          <w:spacing w:val="8"/>
          <w:kern w:val="0"/>
          <w:sz w:val="24"/>
          <w:szCs w:val="24"/>
          <w:highlight w:val="none"/>
          <w:lang w:val="en-US" w:eastAsia="zh-CN"/>
        </w:rPr>
        <w:t>成交</w:t>
      </w:r>
    </w:p>
    <w:p w14:paraId="3D7CDC63">
      <w:pPr>
        <w:widowControl/>
        <w:numPr>
          <w:ilvl w:val="0"/>
          <w:numId w:val="0"/>
        </w:numPr>
        <w:shd w:val="clear" w:color="auto" w:fill="FFFFFF"/>
        <w:ind w:leftChars="0"/>
        <w:outlineLvl w:val="1"/>
        <w:rPr>
          <w:rFonts w:hint="eastAsia" w:ascii="宋体" w:hAnsi="宋体"/>
          <w:b/>
          <w:color w:val="000000"/>
          <w:spacing w:val="8"/>
          <w:kern w:val="0"/>
          <w:sz w:val="24"/>
          <w:szCs w:val="24"/>
          <w:highlight w:val="none"/>
          <w:lang w:val="en-US" w:eastAsia="zh-CN"/>
        </w:rPr>
      </w:pPr>
    </w:p>
    <w:p w14:paraId="0F09CE84">
      <w:pPr>
        <w:snapToGrid w:val="0"/>
        <w:spacing w:line="360" w:lineRule="auto"/>
        <w:ind w:firstLine="480" w:firstLineChars="200"/>
        <w:rPr>
          <w:rFonts w:hint="eastAsia" w:ascii="宋体" w:hAnsi="宋体" w:cs="仿宋"/>
          <w:bCs/>
          <w:sz w:val="24"/>
          <w:highlight w:val="none"/>
          <w:lang w:val="en-US" w:eastAsia="zh-CN"/>
        </w:rPr>
      </w:pPr>
      <w:bookmarkStart w:id="118" w:name="_Toc513029238"/>
      <w:bookmarkStart w:id="119" w:name="_Toc20823310"/>
      <w:bookmarkStart w:id="120" w:name="_Toc16938554"/>
      <w:r>
        <w:rPr>
          <w:rFonts w:hint="eastAsia" w:ascii="宋体" w:hAnsi="宋体" w:cs="仿宋"/>
          <w:bCs/>
          <w:sz w:val="24"/>
          <w:highlight w:val="none"/>
          <w:lang w:val="en-US" w:eastAsia="zh-CN"/>
        </w:rPr>
        <w:t>1、</w:t>
      </w:r>
      <w:bookmarkEnd w:id="118"/>
      <w:r>
        <w:rPr>
          <w:rFonts w:hint="eastAsia" w:ascii="宋体" w:hAnsi="宋体" w:cs="仿宋"/>
          <w:bCs/>
          <w:sz w:val="24"/>
          <w:highlight w:val="none"/>
          <w:lang w:val="en-US" w:eastAsia="zh-CN"/>
        </w:rPr>
        <w:t>确定</w:t>
      </w:r>
      <w:bookmarkEnd w:id="119"/>
      <w:bookmarkEnd w:id="120"/>
      <w:r>
        <w:rPr>
          <w:rFonts w:hint="eastAsia" w:ascii="宋体" w:hAnsi="宋体" w:cs="仿宋"/>
          <w:bCs/>
          <w:sz w:val="24"/>
          <w:highlight w:val="none"/>
          <w:lang w:val="en-US" w:eastAsia="zh-CN"/>
        </w:rPr>
        <w:t>成交单位</w:t>
      </w:r>
    </w:p>
    <w:p w14:paraId="65E9D0E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1.1.磋商小组根据综合评分情况，按照评审得分由高到低顺序推荐3名以上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3B5CCE1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针对货物项目)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5636B35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1.2.采购人从评审报告提出的成交候选供应商中，按照排序由高到低的原则确定成交供应商。采购人确定成交供应商后，采购代理机构将在“江苏政府采购网”发布成交结果公告，公告期限为1个工作日。</w:t>
      </w:r>
    </w:p>
    <w:p w14:paraId="2E5A8831">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1.3.若有充分证据证明，成交供应商出现下列情况之一的，一经查实，将被取消成交资格：</w:t>
      </w:r>
    </w:p>
    <w:p w14:paraId="20A78C4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1.3.1.提供虚假材料谋取成交的。</w:t>
      </w:r>
    </w:p>
    <w:p w14:paraId="39706DB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1.3.2.与评审专家、采购人、其他供应商或者采购代理机构工作人员恶意串通的。</w:t>
      </w:r>
    </w:p>
    <w:p w14:paraId="71EAAA49">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1.3.3.向评审专家、采购人或采购代理机构工作人员行贿或者提供其他不正当利益的。</w:t>
      </w:r>
    </w:p>
    <w:p w14:paraId="54679F3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1.3.4.恶意竞争，最后报价明显低于其自身合理成本且又无法提供证明的。</w:t>
      </w:r>
    </w:p>
    <w:p w14:paraId="37004E68">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Cs/>
          <w:sz w:val="24"/>
          <w:highlight w:val="none"/>
          <w:lang w:val="en-US" w:eastAsia="zh-CN"/>
        </w:rPr>
        <w:t xml:space="preserve"> </w:t>
      </w:r>
      <w:r>
        <w:rPr>
          <w:rFonts w:hint="eastAsia" w:ascii="宋体" w:hAnsi="宋体" w:cs="仿宋"/>
          <w:b/>
          <w:bCs w:val="0"/>
          <w:sz w:val="24"/>
          <w:highlight w:val="none"/>
          <w:lang w:val="en-US" w:eastAsia="zh-CN"/>
        </w:rPr>
        <w:t>异常低价响应审查</w:t>
      </w:r>
    </w:p>
    <w:p w14:paraId="0DFF8F58">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（一）评审过程中出现下列情形之一的评审委员会应当启动异常低价投标（响应）审查程序</w:t>
      </w:r>
    </w:p>
    <w:p w14:paraId="21973443">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1.投标（响应）报价低于全部通过符合性审查供应商投标（响应）报价平均值50%的，即投标（响应）报价&lt;全部通过符合性审查供应商投标（响应）报价平均值×50%；</w:t>
      </w:r>
    </w:p>
    <w:p w14:paraId="76970209">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2.投标（响应）报价低于通过符合性审查的次低报价供应商投标（响应）报价50%的，即投标（响应）报价&lt;通过符合性审查的次低报价供应商投标（响应）报价×50%；</w:t>
      </w:r>
    </w:p>
    <w:p w14:paraId="29C0399B">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3.投标（响应）报价低于采购项目最高限价45%的，即投标（响应）报价&lt;采购项目最高限价×45%；</w:t>
      </w:r>
    </w:p>
    <w:p w14:paraId="6A9E2D9E">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4.评审委员会基于专业判断，认为供应商报价过低，有可能影响产品质量或者不能诚信履约的其他情形。</w:t>
      </w:r>
    </w:p>
    <w:p w14:paraId="6F6A7D57">
      <w:pPr>
        <w:snapToGrid w:val="0"/>
        <w:spacing w:line="360" w:lineRule="auto"/>
        <w:ind w:firstLine="480" w:firstLineChars="200"/>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E5B6B65">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1.3.5.不满足本磋商文件规定的实质性要求，但在评审过程中又未被磋商小组发现的。</w:t>
      </w:r>
    </w:p>
    <w:p w14:paraId="3C3B11C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1.3.6.成交后无正当理由拒不与采购人签订政府采购合同或者未按照磋商文件确定的事项签订政府采购合同的。</w:t>
      </w:r>
    </w:p>
    <w:p w14:paraId="660B761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1.3.7.将政府采购合同转包的。</w:t>
      </w:r>
    </w:p>
    <w:p w14:paraId="5EDE5868">
      <w:pPr>
        <w:snapToGrid w:val="0"/>
        <w:spacing w:line="360" w:lineRule="auto"/>
        <w:ind w:firstLine="480" w:firstLineChars="200"/>
        <w:rPr>
          <w:rFonts w:hint="eastAsia" w:ascii="宋体" w:hAnsi="宋体"/>
          <w:b/>
          <w:color w:val="000000"/>
          <w:spacing w:val="8"/>
          <w:kern w:val="0"/>
          <w:sz w:val="24"/>
          <w:szCs w:val="24"/>
          <w:highlight w:val="none"/>
          <w:lang w:val="en-US" w:eastAsia="zh-CN"/>
        </w:rPr>
      </w:pPr>
      <w:bookmarkStart w:id="121" w:name="_Toc200451960"/>
      <w:r>
        <w:rPr>
          <w:rFonts w:hint="eastAsia" w:ascii="宋体" w:hAnsi="宋体" w:cs="仿宋"/>
          <w:bCs/>
          <w:sz w:val="24"/>
          <w:highlight w:val="none"/>
          <w:lang w:val="en-US" w:eastAsia="zh-CN"/>
        </w:rPr>
        <w:t>2、质疑处理</w:t>
      </w:r>
      <w:bookmarkEnd w:id="121"/>
    </w:p>
    <w:p w14:paraId="1D1C4C54">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2.1.提出质疑的供应商应当是参与所质疑项目采购活动的供应商。潜在供应商依法获取其可质疑的磋商文件的，可以对磋商文件提出质疑。</w:t>
      </w:r>
    </w:p>
    <w:p w14:paraId="50E6B9A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2.2.供应商认为磋商文件、采购过程和采购结果使自己的权益受到损害的，可以在知道或应知其权益受到损害之日起七个工作日内，以书面形式根据规定向采购代理机构或采购人提出质疑。上述应知其权益受到损害之日，是指：</w:t>
      </w:r>
    </w:p>
    <w:p w14:paraId="1CA0E334">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2.2.1.对可以质疑的磋商文件提出质疑的，为收到磋商文件之日或者磋商文件公告期限届满之日。</w:t>
      </w:r>
      <w:r>
        <w:rPr>
          <w:rFonts w:hint="eastAsia" w:ascii="宋体" w:hAnsi="宋体" w:cs="仿宋"/>
          <w:bCs/>
          <w:sz w:val="24"/>
          <w:highlight w:val="none"/>
          <w:lang w:val="en-US" w:eastAsia="zh-CN"/>
        </w:rPr>
        <w:br w:type="textWrapping"/>
      </w:r>
      <w:r>
        <w:rPr>
          <w:rFonts w:hint="eastAsia" w:ascii="宋体" w:hAnsi="宋体" w:cs="仿宋"/>
          <w:bCs/>
          <w:sz w:val="24"/>
          <w:highlight w:val="none"/>
          <w:lang w:val="en-US" w:eastAsia="zh-CN"/>
        </w:rPr>
        <w:t>　　2.2.2.对采购过程提出质疑的，为各采购程序环节结束之日。</w:t>
      </w:r>
      <w:r>
        <w:rPr>
          <w:rFonts w:hint="eastAsia" w:ascii="宋体" w:hAnsi="宋体" w:cs="仿宋"/>
          <w:bCs/>
          <w:sz w:val="24"/>
          <w:highlight w:val="none"/>
          <w:lang w:val="en-US" w:eastAsia="zh-CN"/>
        </w:rPr>
        <w:br w:type="textWrapping"/>
      </w:r>
      <w:r>
        <w:rPr>
          <w:rFonts w:hint="eastAsia" w:ascii="宋体" w:hAnsi="宋体" w:cs="仿宋"/>
          <w:bCs/>
          <w:sz w:val="24"/>
          <w:highlight w:val="none"/>
          <w:lang w:val="en-US" w:eastAsia="zh-CN"/>
        </w:rPr>
        <w:t>　  2.2.3.对成交结果提出质疑的，为成交结果公告期限届满之日。</w:t>
      </w:r>
    </w:p>
    <w:p w14:paraId="24CA4DC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16F4DC4B">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2.3</w:t>
      </w:r>
      <w:bookmarkStart w:id="122" w:name="_Hlk142398436"/>
      <w:r>
        <w:rPr>
          <w:rFonts w:hint="eastAsia" w:ascii="宋体" w:hAnsi="宋体" w:cs="仿宋"/>
          <w:bCs/>
          <w:sz w:val="24"/>
          <w:highlight w:val="none"/>
          <w:lang w:val="en-US" w:eastAsia="zh-CN"/>
        </w:rPr>
        <w:t>.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403B9503">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投标人为自然人的，应当由本人签字；投标人为法人或者其他组织的，应当由法定代表人、主要负责人，或者其授权代表签字或者盖章，并加盖公章。</w:t>
      </w:r>
    </w:p>
    <w:bookmarkEnd w:id="122"/>
    <w:p w14:paraId="7AC58664">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2.4.以下情形的质疑不予受理</w:t>
      </w:r>
    </w:p>
    <w:p w14:paraId="2A7BCAF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2.4.1.内容不符合《政府采购质疑和投诉办法》第十二条规定的质疑。</w:t>
      </w:r>
    </w:p>
    <w:p w14:paraId="54B2AA9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2.4.2.超出政府采购法定期限的质疑。</w:t>
      </w:r>
    </w:p>
    <w:p w14:paraId="73D3486E">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2.4.3.未参加磋商活动的供应商或在磋商活动中自身权益未受到损害的供应商所提出的质疑。</w:t>
      </w:r>
    </w:p>
    <w:p w14:paraId="5618FCA2">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2.4.4.供应商组成联合体参加磋商，联合体中任何一方或多方未按要求签字、盖章、加盖公章的质疑。</w:t>
      </w:r>
    </w:p>
    <w:p w14:paraId="5CD53B8C">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2.5.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5524AD59">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3、成交通知书</w:t>
      </w:r>
    </w:p>
    <w:p w14:paraId="2812299F">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3.l.采购代理机构将在成交公告发布的同时向成交供应商发出成交通知书。</w:t>
      </w:r>
    </w:p>
    <w:p w14:paraId="5C89B02A">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3.2.成交通知书将是合同的一个组成部分。对采购人和成交供应商均具有法律效力。成交通知书发出后，采购人改变成交结果的，或者成交供应商放弃成交项目的，应当依法承担法律责任。</w:t>
      </w:r>
    </w:p>
    <w:p w14:paraId="639323B7">
      <w:pPr>
        <w:snapToGrid w:val="0"/>
        <w:ind w:firstLine="600" w:firstLineChars="250"/>
        <w:rPr>
          <w:rFonts w:ascii="宋体" w:hAnsi="宋体"/>
          <w:color w:val="000000"/>
          <w:sz w:val="24"/>
          <w:szCs w:val="24"/>
          <w:highlight w:val="none"/>
        </w:rPr>
      </w:pPr>
    </w:p>
    <w:p w14:paraId="162E7D7E">
      <w:pPr>
        <w:widowControl/>
        <w:numPr>
          <w:ilvl w:val="0"/>
          <w:numId w:val="5"/>
        </w:numPr>
        <w:shd w:val="clear" w:color="auto" w:fill="FFFFFF"/>
        <w:ind w:leftChars="0"/>
        <w:outlineLvl w:val="1"/>
        <w:rPr>
          <w:rFonts w:hint="eastAsia" w:ascii="宋体" w:hAnsi="宋体"/>
          <w:b/>
          <w:color w:val="000000"/>
          <w:spacing w:val="8"/>
          <w:kern w:val="0"/>
          <w:sz w:val="24"/>
          <w:szCs w:val="24"/>
          <w:highlight w:val="none"/>
          <w:lang w:val="en-US" w:eastAsia="zh-CN"/>
        </w:rPr>
      </w:pPr>
      <w:bookmarkStart w:id="123" w:name="_Toc120614220"/>
      <w:bookmarkStart w:id="124" w:name="_Toc16938552"/>
      <w:bookmarkStart w:id="125" w:name="_Toc513029236"/>
      <w:bookmarkStart w:id="126" w:name="_Toc20823308"/>
      <w:r>
        <w:rPr>
          <w:rFonts w:hint="eastAsia" w:ascii="宋体" w:hAnsi="宋体"/>
          <w:b/>
          <w:color w:val="000000"/>
          <w:spacing w:val="8"/>
          <w:kern w:val="0"/>
          <w:sz w:val="24"/>
          <w:szCs w:val="24"/>
          <w:highlight w:val="none"/>
          <w:lang w:val="en-US" w:eastAsia="zh-CN"/>
        </w:rPr>
        <w:t>授予合同</w:t>
      </w:r>
      <w:bookmarkEnd w:id="123"/>
    </w:p>
    <w:p w14:paraId="1FDF18AF">
      <w:pPr>
        <w:widowControl/>
        <w:numPr>
          <w:ilvl w:val="0"/>
          <w:numId w:val="0"/>
        </w:numPr>
        <w:shd w:val="clear" w:color="auto" w:fill="FFFFFF"/>
        <w:outlineLvl w:val="1"/>
        <w:rPr>
          <w:rFonts w:hint="eastAsia" w:ascii="宋体" w:hAnsi="宋体"/>
          <w:b/>
          <w:color w:val="000000"/>
          <w:spacing w:val="8"/>
          <w:kern w:val="0"/>
          <w:sz w:val="24"/>
          <w:szCs w:val="24"/>
          <w:highlight w:val="none"/>
          <w:lang w:val="en-US" w:eastAsia="zh-CN"/>
        </w:rPr>
      </w:pPr>
    </w:p>
    <w:bookmarkEnd w:id="124"/>
    <w:bookmarkEnd w:id="125"/>
    <w:bookmarkEnd w:id="126"/>
    <w:p w14:paraId="771E4D03">
      <w:pPr>
        <w:snapToGrid w:val="0"/>
        <w:spacing w:line="360" w:lineRule="auto"/>
        <w:ind w:firstLine="480" w:firstLineChars="200"/>
        <w:rPr>
          <w:rFonts w:hint="eastAsia" w:ascii="宋体" w:hAnsi="宋体" w:cs="仿宋"/>
          <w:bCs/>
          <w:sz w:val="24"/>
          <w:highlight w:val="none"/>
          <w:lang w:val="en-US" w:eastAsia="zh-CN"/>
        </w:rPr>
      </w:pPr>
      <w:bookmarkStart w:id="127" w:name="_Toc513029237"/>
      <w:bookmarkStart w:id="128" w:name="_Toc16938553"/>
      <w:bookmarkStart w:id="129" w:name="_Toc20823309"/>
      <w:r>
        <w:rPr>
          <w:rFonts w:hint="eastAsia" w:ascii="宋体" w:hAnsi="宋体" w:cs="仿宋"/>
          <w:bCs/>
          <w:sz w:val="24"/>
          <w:highlight w:val="none"/>
          <w:lang w:val="en-US" w:eastAsia="zh-CN"/>
        </w:rPr>
        <w:t>1. 签订合同</w:t>
      </w:r>
    </w:p>
    <w:p w14:paraId="27AE74B8">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1.l.成交供应商应当在成交通知书发出之日起三十日内，按照磋商文件确定的事项与采购人签订政府采购合同。</w:t>
      </w:r>
    </w:p>
    <w:p w14:paraId="5967A1B0">
      <w:pPr>
        <w:snapToGrid w:val="0"/>
        <w:spacing w:line="360" w:lineRule="auto"/>
        <w:ind w:firstLine="480" w:firstLineChars="200"/>
        <w:rPr>
          <w:rFonts w:hint="eastAsia" w:ascii="宋体" w:hAnsi="宋体" w:cs="仿宋"/>
          <w:bCs/>
          <w:sz w:val="24"/>
          <w:highlight w:val="none"/>
          <w:lang w:val="en-US" w:eastAsia="zh-CN"/>
        </w:rPr>
      </w:pPr>
      <w:r>
        <w:rPr>
          <w:rFonts w:hint="eastAsia" w:ascii="宋体" w:hAnsi="宋体" w:cs="仿宋"/>
          <w:bCs/>
          <w:sz w:val="24"/>
          <w:highlight w:val="none"/>
          <w:lang w:val="en-US" w:eastAsia="zh-CN"/>
        </w:rPr>
        <w:t>1.2.磋商文件、成交供应商的响应文件及磋商过程中有关澄清、承诺文件均应作为合同附件。</w:t>
      </w:r>
    </w:p>
    <w:p w14:paraId="49EF7346">
      <w:pPr>
        <w:snapToGrid w:val="0"/>
        <w:spacing w:line="360" w:lineRule="auto"/>
        <w:ind w:firstLine="480" w:firstLineChars="200"/>
        <w:rPr>
          <w:highlight w:val="none"/>
        </w:rPr>
      </w:pPr>
      <w:r>
        <w:rPr>
          <w:rFonts w:hint="eastAsia" w:ascii="宋体" w:hAnsi="宋体" w:cs="仿宋"/>
          <w:bCs/>
          <w:sz w:val="24"/>
          <w:highlight w:val="none"/>
          <w:lang w:val="en-US" w:eastAsia="zh-CN"/>
        </w:rPr>
        <w:t>1.3.签订合同后，成交供应商不得将合同标的进行转包。成交供应商也不得采用分包形式履行合同，否则采购人有权终止合同。转包或分包造成采购人损失的，成交供应商应承担相应赔偿责任。</w:t>
      </w:r>
      <w:bookmarkEnd w:id="127"/>
      <w:bookmarkEnd w:id="128"/>
      <w:bookmarkEnd w:id="129"/>
    </w:p>
    <w:p w14:paraId="60F03DB6">
      <w:pPr>
        <w:pStyle w:val="6"/>
        <w:spacing w:before="145" w:after="145" w:line="240" w:lineRule="auto"/>
        <w:rPr>
          <w:rFonts w:hint="eastAsia" w:ascii="宋体" w:hAnsi="宋体" w:eastAsia="宋体" w:cs="Calibri"/>
          <w:b/>
          <w:bCs w:val="0"/>
          <w:color w:val="000000"/>
          <w:spacing w:val="8"/>
          <w:kern w:val="0"/>
          <w:sz w:val="24"/>
          <w:szCs w:val="24"/>
          <w:highlight w:val="none"/>
          <w:lang w:val="en-US" w:eastAsia="zh-CN" w:bidi="ar-SA"/>
        </w:rPr>
      </w:pPr>
      <w:r>
        <w:rPr>
          <w:rFonts w:hint="eastAsia" w:ascii="宋体" w:hAnsi="宋体" w:cs="Calibri"/>
          <w:b/>
          <w:bCs w:val="0"/>
          <w:color w:val="000000"/>
          <w:spacing w:val="8"/>
          <w:kern w:val="0"/>
          <w:sz w:val="24"/>
          <w:szCs w:val="24"/>
          <w:highlight w:val="none"/>
          <w:lang w:val="en-US" w:eastAsia="zh-CN" w:bidi="ar-SA"/>
        </w:rPr>
        <w:t>八</w:t>
      </w:r>
      <w:r>
        <w:rPr>
          <w:rFonts w:hint="eastAsia" w:ascii="宋体" w:hAnsi="宋体" w:eastAsia="宋体" w:cs="Calibri"/>
          <w:b/>
          <w:bCs w:val="0"/>
          <w:color w:val="000000"/>
          <w:spacing w:val="8"/>
          <w:kern w:val="0"/>
          <w:sz w:val="24"/>
          <w:szCs w:val="24"/>
          <w:highlight w:val="none"/>
          <w:lang w:val="en-US" w:eastAsia="zh-CN" w:bidi="ar-SA"/>
        </w:rPr>
        <w:t>、政策功能落实</w:t>
      </w:r>
    </w:p>
    <w:p w14:paraId="0A3F4483">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1</w:t>
      </w:r>
      <w:r>
        <w:rPr>
          <w:rFonts w:hint="eastAsia" w:ascii="宋体" w:hAnsi="宋体" w:cs="仿宋"/>
          <w:bCs/>
          <w:sz w:val="24"/>
          <w:highlight w:val="none"/>
          <w:lang w:val="zh-CN" w:eastAsia="zh-CN"/>
        </w:rPr>
        <w:t>.促进中小企业发展</w:t>
      </w:r>
    </w:p>
    <w:p w14:paraId="02F484D5">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1.1 本项目</w:t>
      </w:r>
      <w:r>
        <w:rPr>
          <w:rFonts w:hint="eastAsia" w:ascii="宋体" w:hAnsi="宋体" w:cs="仿宋"/>
          <w:bCs/>
          <w:sz w:val="24"/>
          <w:highlight w:val="none"/>
          <w:lang w:val="zh-CN" w:eastAsia="zh-CN"/>
        </w:rPr>
        <w:t>服务由中小企业承接的，</w:t>
      </w:r>
      <w:r>
        <w:rPr>
          <w:rFonts w:hint="eastAsia" w:ascii="宋体" w:hAnsi="宋体" w:cs="仿宋"/>
          <w:bCs/>
          <w:sz w:val="24"/>
          <w:highlight w:val="none"/>
          <w:lang w:val="en-US" w:eastAsia="zh-CN"/>
        </w:rPr>
        <w:t>参与磋商的供应商</w:t>
      </w:r>
      <w:r>
        <w:rPr>
          <w:rFonts w:hint="eastAsia" w:ascii="宋体" w:hAnsi="宋体" w:cs="仿宋"/>
          <w:bCs/>
          <w:sz w:val="24"/>
          <w:highlight w:val="none"/>
          <w:lang w:val="zh-CN" w:eastAsia="zh-CN"/>
        </w:rPr>
        <w:t>享受中小企业扶持政策。</w:t>
      </w:r>
    </w:p>
    <w:p w14:paraId="134792DB">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 xml:space="preserve">1.2 </w:t>
      </w:r>
      <w:r>
        <w:rPr>
          <w:rFonts w:hint="eastAsia" w:ascii="宋体" w:hAnsi="宋体" w:cs="仿宋"/>
          <w:bCs/>
          <w:sz w:val="24"/>
          <w:highlight w:val="none"/>
          <w:lang w:val="zh-CN" w:eastAsia="zh-CN"/>
        </w:rPr>
        <w:t>中小企业是指在中华人民共和国境内依法设立，依据国务院批准的中小企业划分标准（详见《关于印发中小企业划型标准规定的通知》（工信部联企业〔2011〕300号）、《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06AEEC8F">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 xml:space="preserve">1.3 </w:t>
      </w:r>
      <w:r>
        <w:rPr>
          <w:rFonts w:hint="eastAsia" w:ascii="宋体" w:hAnsi="宋体" w:cs="仿宋"/>
          <w:bCs/>
          <w:sz w:val="24"/>
          <w:highlight w:val="none"/>
          <w:lang w:val="zh-CN" w:eastAsia="zh-CN"/>
        </w:rPr>
        <w:t>中小企业参加政府采购活动，应当出具《中小企业声明函》，否则不享受相关中小企业</w:t>
      </w:r>
      <w:r>
        <w:rPr>
          <w:rFonts w:hint="eastAsia" w:ascii="宋体" w:hAnsi="宋体" w:cs="仿宋"/>
          <w:bCs/>
          <w:sz w:val="24"/>
          <w:highlight w:val="none"/>
          <w:lang w:val="en-US" w:eastAsia="zh-CN"/>
        </w:rPr>
        <w:t>支持</w:t>
      </w:r>
      <w:r>
        <w:rPr>
          <w:rFonts w:hint="eastAsia" w:ascii="宋体" w:hAnsi="宋体" w:cs="仿宋"/>
          <w:bCs/>
          <w:sz w:val="24"/>
          <w:highlight w:val="none"/>
          <w:lang w:val="zh-CN" w:eastAsia="zh-CN"/>
        </w:rPr>
        <w:t>政策。</w:t>
      </w:r>
    </w:p>
    <w:p w14:paraId="10B7A8D7">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 xml:space="preserve">1.4 </w:t>
      </w:r>
      <w:r>
        <w:rPr>
          <w:rFonts w:hint="eastAsia" w:ascii="宋体" w:hAnsi="宋体" w:cs="仿宋"/>
          <w:bCs/>
          <w:sz w:val="24"/>
          <w:highlight w:val="none"/>
          <w:lang w:val="zh-CN" w:eastAsia="zh-CN"/>
        </w:rPr>
        <w:t>以联合体形式参加政府采购活动，联合体各方均为中小企业的，联合体视同中小企业。其中，联合体各方均为小微企业的，联合体视同小微企业。</w:t>
      </w:r>
    </w:p>
    <w:p w14:paraId="3BC0F16C">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1</w:t>
      </w:r>
      <w:r>
        <w:rPr>
          <w:rFonts w:hint="eastAsia" w:ascii="宋体" w:hAnsi="宋体" w:cs="仿宋"/>
          <w:bCs/>
          <w:sz w:val="24"/>
          <w:highlight w:val="none"/>
          <w:lang w:val="zh-CN" w:eastAsia="zh-CN"/>
        </w:rPr>
        <w:t>.</w:t>
      </w:r>
      <w:r>
        <w:rPr>
          <w:rFonts w:hint="eastAsia" w:ascii="宋体" w:hAnsi="宋体" w:cs="仿宋"/>
          <w:bCs/>
          <w:sz w:val="24"/>
          <w:highlight w:val="none"/>
          <w:lang w:val="en-US" w:eastAsia="zh-CN"/>
        </w:rPr>
        <w:t>5</w:t>
      </w:r>
      <w:r>
        <w:rPr>
          <w:rFonts w:hint="eastAsia" w:ascii="宋体" w:hAnsi="宋体" w:cs="仿宋"/>
          <w:bCs/>
          <w:sz w:val="24"/>
          <w:highlight w:val="none"/>
          <w:lang w:val="zh-CN" w:eastAsia="zh-CN"/>
        </w:rPr>
        <w:t xml:space="preserve"> </w:t>
      </w:r>
      <w:r>
        <w:rPr>
          <w:rFonts w:hint="eastAsia" w:ascii="宋体" w:hAnsi="宋体" w:cs="仿宋"/>
          <w:bCs/>
          <w:sz w:val="24"/>
          <w:highlight w:val="none"/>
          <w:lang w:val="en-US" w:eastAsia="zh-CN"/>
        </w:rPr>
        <w:t>监狱和戒毒企业（简称监狱企业）视同小型、微型企业</w:t>
      </w:r>
      <w:r>
        <w:rPr>
          <w:rFonts w:hint="eastAsia" w:ascii="宋体" w:hAnsi="宋体" w:cs="仿宋"/>
          <w:bCs/>
          <w:sz w:val="24"/>
          <w:highlight w:val="none"/>
          <w:lang w:val="zh-CN" w:eastAsia="zh-CN"/>
        </w:rPr>
        <w:t>。</w:t>
      </w:r>
      <w:r>
        <w:rPr>
          <w:rFonts w:hint="eastAsia" w:ascii="宋体" w:hAnsi="宋体" w:cs="仿宋"/>
          <w:bCs/>
          <w:sz w:val="24"/>
          <w:highlight w:val="none"/>
          <w:lang w:val="en-US" w:eastAsia="zh-CN"/>
        </w:rPr>
        <w:t>按照</w:t>
      </w:r>
      <w:r>
        <w:rPr>
          <w:rFonts w:hint="eastAsia" w:ascii="宋体" w:hAnsi="宋体" w:cs="仿宋"/>
          <w:bCs/>
          <w:sz w:val="24"/>
          <w:highlight w:val="none"/>
          <w:lang w:val="zh-CN" w:eastAsia="zh-CN"/>
        </w:rPr>
        <w:t>《关于政府采购支持监狱企业发展有关问题的通知》（财库〔2014〕68号）</w:t>
      </w:r>
      <w:r>
        <w:rPr>
          <w:rFonts w:hint="eastAsia" w:ascii="宋体" w:hAnsi="宋体" w:cs="仿宋"/>
          <w:bCs/>
          <w:sz w:val="24"/>
          <w:highlight w:val="none"/>
          <w:lang w:val="en-US" w:eastAsia="zh-CN"/>
        </w:rPr>
        <w:t>规定，</w:t>
      </w:r>
      <w:r>
        <w:rPr>
          <w:rFonts w:hint="eastAsia" w:ascii="宋体" w:hAnsi="宋体" w:cs="仿宋"/>
          <w:bCs/>
          <w:sz w:val="24"/>
          <w:highlight w:val="none"/>
          <w:lang w:val="zh-CN" w:eastAsia="zh-CN"/>
        </w:rPr>
        <w:t>监狱企业需提供由省级以上监狱管理局、戒毒管理局(含新疆生产建设兵团)出具的属于监狱企业的证明文件。</w:t>
      </w:r>
    </w:p>
    <w:p w14:paraId="4D07AF28">
      <w:pPr>
        <w:snapToGrid w:val="0"/>
        <w:spacing w:line="360" w:lineRule="auto"/>
        <w:ind w:firstLine="480" w:firstLineChars="200"/>
        <w:rPr>
          <w:rFonts w:hint="eastAsia" w:ascii="宋体" w:hAnsi="宋体" w:cs="仿宋"/>
          <w:bCs/>
          <w:sz w:val="24"/>
          <w:highlight w:val="none"/>
          <w:lang w:val="zh-CN" w:eastAsia="zh-CN"/>
        </w:rPr>
      </w:pPr>
      <w:r>
        <w:rPr>
          <w:rFonts w:hint="eastAsia" w:ascii="宋体" w:hAnsi="宋体" w:cs="仿宋"/>
          <w:bCs/>
          <w:sz w:val="24"/>
          <w:highlight w:val="none"/>
          <w:lang w:val="en-US" w:eastAsia="zh-CN"/>
        </w:rPr>
        <w:t>1</w:t>
      </w:r>
      <w:r>
        <w:rPr>
          <w:rFonts w:hint="eastAsia" w:ascii="宋体" w:hAnsi="宋体" w:cs="仿宋"/>
          <w:bCs/>
          <w:sz w:val="24"/>
          <w:highlight w:val="none"/>
          <w:lang w:val="zh-CN" w:eastAsia="zh-CN"/>
        </w:rPr>
        <w:t>.</w:t>
      </w:r>
      <w:r>
        <w:rPr>
          <w:rFonts w:hint="eastAsia" w:ascii="宋体" w:hAnsi="宋体" w:cs="仿宋"/>
          <w:bCs/>
          <w:sz w:val="24"/>
          <w:highlight w:val="none"/>
          <w:lang w:val="en-US" w:eastAsia="zh-CN"/>
        </w:rPr>
        <w:t>6</w:t>
      </w:r>
      <w:r>
        <w:rPr>
          <w:rFonts w:hint="eastAsia" w:ascii="宋体" w:hAnsi="宋体" w:cs="仿宋"/>
          <w:bCs/>
          <w:sz w:val="24"/>
          <w:highlight w:val="none"/>
          <w:lang w:val="zh-CN" w:eastAsia="zh-CN"/>
        </w:rPr>
        <w:t xml:space="preserve"> 残疾人福利性单位</w:t>
      </w:r>
      <w:r>
        <w:rPr>
          <w:rFonts w:hint="eastAsia" w:ascii="宋体" w:hAnsi="宋体" w:cs="仿宋"/>
          <w:bCs/>
          <w:sz w:val="24"/>
          <w:highlight w:val="none"/>
          <w:lang w:val="en-US" w:eastAsia="zh-CN"/>
        </w:rPr>
        <w:t>视同小型、微型企业</w:t>
      </w:r>
      <w:r>
        <w:rPr>
          <w:rFonts w:hint="eastAsia" w:ascii="宋体" w:hAnsi="宋体" w:cs="仿宋"/>
          <w:bCs/>
          <w:sz w:val="24"/>
          <w:highlight w:val="none"/>
          <w:lang w:val="zh-CN" w:eastAsia="zh-CN"/>
        </w:rPr>
        <w:t>。</w:t>
      </w:r>
      <w:r>
        <w:rPr>
          <w:rFonts w:hint="eastAsia" w:ascii="宋体" w:hAnsi="宋体" w:cs="仿宋"/>
          <w:bCs/>
          <w:sz w:val="24"/>
          <w:highlight w:val="none"/>
          <w:lang w:val="en-US" w:eastAsia="zh-CN"/>
        </w:rPr>
        <w:t>按照《关于促进残疾人就业政府采购政策的通知》（财库〔2017〕141号）规定，残疾人福利单位需</w:t>
      </w:r>
      <w:r>
        <w:rPr>
          <w:rFonts w:hint="eastAsia" w:ascii="宋体" w:hAnsi="宋体" w:cs="仿宋"/>
          <w:bCs/>
          <w:sz w:val="24"/>
          <w:highlight w:val="none"/>
          <w:lang w:val="zh-CN" w:eastAsia="zh-CN"/>
        </w:rPr>
        <w:t>提供《残疾人福利性单位声明函》。</w:t>
      </w:r>
    </w:p>
    <w:p w14:paraId="78947B2F">
      <w:pPr>
        <w:snapToGrid w:val="0"/>
        <w:spacing w:line="360" w:lineRule="auto"/>
        <w:ind w:firstLine="480" w:firstLineChars="200"/>
        <w:textAlignment w:val="baseline"/>
        <w:rPr>
          <w:rFonts w:ascii="宋体" w:hAnsi="宋体" w:cs="仿宋"/>
          <w:b/>
          <w:sz w:val="24"/>
          <w:highlight w:val="none"/>
        </w:rPr>
      </w:pPr>
      <w:r>
        <w:rPr>
          <w:rFonts w:hint="eastAsia" w:ascii="宋体" w:hAnsi="宋体" w:cs="仿宋"/>
          <w:b/>
          <w:sz w:val="24"/>
          <w:highlight w:val="none"/>
          <w:lang w:val="en-US" w:eastAsia="zh-CN"/>
        </w:rPr>
        <w:t>2</w:t>
      </w:r>
      <w:r>
        <w:rPr>
          <w:rFonts w:hint="eastAsia" w:ascii="宋体" w:hAnsi="宋体" w:cs="仿宋"/>
          <w:b/>
          <w:sz w:val="24"/>
          <w:highlight w:val="none"/>
        </w:rPr>
        <w:t>、政策功能</w:t>
      </w:r>
    </w:p>
    <w:p w14:paraId="1C06DC5C">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lang w:val="en-US" w:eastAsia="zh-CN"/>
        </w:rPr>
        <w:t>2</w:t>
      </w:r>
      <w:r>
        <w:rPr>
          <w:rFonts w:hint="eastAsia" w:ascii="宋体" w:hAnsi="宋体" w:cs="仿宋"/>
          <w:bCs/>
          <w:sz w:val="24"/>
          <w:highlight w:val="none"/>
        </w:rPr>
        <w:t>.1中小企业政策</w:t>
      </w:r>
    </w:p>
    <w:p w14:paraId="2B9EBADB">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1）中小企业（含中型、小型、微型企业）应当符合《政府采购促进中小企业发展管理办法》（财库〔2020〕46号,以下简称46号文）第二条、《关于政府采购支持监狱企业发展有关问题的通知》（财库〔2014〕68号）第一条或《关于促进残疾人就业政府采购政策的通知》（财库〔2017〕141号）第一条的规定。本项目对残疾人福利性单位、监狱和戒毒企业（简称监狱企业）视同小型、微型企业。残疾人福利单位、监狱企业属于小型、微型企业的，不重复享受政策。</w:t>
      </w:r>
    </w:p>
    <w:p w14:paraId="374B127B">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（2）对于专门面向中小企业或小型、微型企业的项目，只面向中小企业或小型、微型企业采购。对于非专门面向中小企业的项目，对小型和微型企业产品的价格给予10%的扣除，用扣除后的价格参与评审。</w:t>
      </w:r>
    </w:p>
    <w:p w14:paraId="223A1075">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供应商提供的货物、工程或者服务符合下列情形的，享受本办法规定的中小企业扶持政策：</w:t>
      </w:r>
    </w:p>
    <w:p w14:paraId="086FD85A">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（一）在货物采购项目中，货物由中小企业制造，即货物由中小企业生产且使用该中小企业商号或者注册商标；</w:t>
      </w:r>
    </w:p>
    <w:p w14:paraId="4E3049F7">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（二）在工程采购项目中，工程由中小企业承建，即工程施工单位为中小企业；</w:t>
      </w:r>
    </w:p>
    <w:p w14:paraId="2B2EAD53">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（三）在服务采购项目中，服务由中小企业承接，即提供服务的人员为中小企业依照《中华人民共和国劳动合同法》订立劳动合同的从业人员。</w:t>
      </w:r>
    </w:p>
    <w:p w14:paraId="330415FD">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在货物采购项目中，供应商提供的货物既有中小企业制造货物，也有大型企业制造货物的，不享受本办法规定的中小企业扶持政策。</w:t>
      </w:r>
    </w:p>
    <w:p w14:paraId="5742D9DB">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以联合体形式参加政府采购活动，联合体各方均为中小企业的，联合体视同中小企业。其中，联合体各方均为小微企业的，联合体视同小微企业。</w:t>
      </w:r>
    </w:p>
    <w:p w14:paraId="7798A6FF">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（3）参加政府采购活动的中小企业应当提供《中小企业声明函》、由省级以上监狱管理局戒毒管理局(含新疆生产建设兵团)出具的属于监狱企业的证明文件或《残疾人福利性单位声明函》。</w:t>
      </w:r>
    </w:p>
    <w:p w14:paraId="3F6EDB2A">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（4）根据46号文第九条，接受大中型企业与小微企业组成联合体或者允许大中型企业向一家或者多家小微企业分包的采购项目，对于联合协议或者分包意向协议约定小微企业的合同份额占到合同总金额 30%以上的，给予联合体2%的价格扣除，用扣除后的价格参加评审。</w:t>
      </w:r>
    </w:p>
    <w:p w14:paraId="54E3312E">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（5）中小企业依据46号文规定的政策获取政府采购合同后，小型、微型企业不得分包或转包给大型、中型企业，中型企业不得分包或转包给大型企业。</w:t>
      </w:r>
    </w:p>
    <w:p w14:paraId="034B0C95">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（6）政府采购监督检查、投诉处理及政府采购行政处罚中对中小企业的认定，由货物制造商或者工程、服务供应商注册登记所在地的县级以上人民政府中小企业主管部门负责。</w:t>
      </w:r>
    </w:p>
    <w:p w14:paraId="2E8EBA7C">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lang w:val="en-US" w:eastAsia="zh-CN"/>
        </w:rPr>
        <w:t>2</w:t>
      </w:r>
      <w:r>
        <w:rPr>
          <w:rFonts w:hint="eastAsia" w:ascii="宋体" w:hAnsi="宋体" w:cs="仿宋"/>
          <w:bCs/>
          <w:sz w:val="24"/>
          <w:highlight w:val="none"/>
        </w:rPr>
        <w:t>.2节能产品政策</w:t>
      </w:r>
    </w:p>
    <w:p w14:paraId="2B77949B">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1）根据《财政部、发展改革委、生态环境部、市场监管总局关于调整优化节能产品、环境标志产品政府采购执行机制的通知》（财库〔2019〕9号）和《财政部、发展改革委关于印发节能产品政府采购品目清单的通知》（财库〔2019〕19号）， 拟采购的产品属于节能产品品目清单范围内的，在技术、服务等指标同等条件下，采购人及其委托的采购代理机构将依据国家确定的认证机构出具的、处于有效期之内的节能产品认证证书，对获得证书的产品实施政府优先采购或强制采购。</w:t>
      </w:r>
    </w:p>
    <w:p w14:paraId="55626365">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（2）参加政府采购活动的节能产品供应商应当提供国家确定的认证机构出具的、处于有效期之内的节能产品产品认证证书。</w:t>
      </w:r>
    </w:p>
    <w:p w14:paraId="26742B49">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lang w:val="en-US" w:eastAsia="zh-CN"/>
        </w:rPr>
        <w:t>2</w:t>
      </w:r>
      <w:r>
        <w:rPr>
          <w:rFonts w:hint="eastAsia" w:ascii="宋体" w:hAnsi="宋体" w:cs="仿宋"/>
          <w:bCs/>
          <w:sz w:val="24"/>
          <w:highlight w:val="none"/>
        </w:rPr>
        <w:t>.3环境标志产品政策</w:t>
      </w:r>
    </w:p>
    <w:p w14:paraId="770E4A8F">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1）根据《财政部、发展改革委、生态环境部、市场监管总局关于调整优化节能产品、环境标志产品政府采购执行机制的通知》（财库〔2019〕9号）和《财政部、生态环境部关于印发环境标志产品政府采购品目清单的通知》（财库〔2019〕18号）， 拟采购的产品属于环境标志产品品目清单范围内的，在技术、服务等指标同等条件下，采购人及其委托的采购代理机构将依据国家确定的认证机构出具的、处于有效期之内的环境标志产品认证证书，对获得证书的产品实施政府优先采购或强制采购。</w:t>
      </w:r>
    </w:p>
    <w:p w14:paraId="5DD6FB0F">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（2）参加政府采购活动的环境标志产品供应商应当提供国家确定的认证机构出具的、处于有效期之内的环境标志产品认证证书。</w:t>
      </w:r>
    </w:p>
    <w:p w14:paraId="1E34EA43">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lang w:val="en-US" w:eastAsia="zh-CN"/>
        </w:rPr>
        <w:t>2</w:t>
      </w:r>
      <w:r>
        <w:rPr>
          <w:rFonts w:hint="eastAsia" w:ascii="宋体" w:hAnsi="宋体" w:cs="仿宋"/>
          <w:bCs/>
          <w:sz w:val="24"/>
          <w:highlight w:val="none"/>
        </w:rPr>
        <w:t>.4进口产品政策</w:t>
      </w:r>
    </w:p>
    <w:p w14:paraId="530796A9">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（1）除磋商公告载明接受进口产品参加外，不允许进口产品参加。进口产品认定依照《财政部关于政府采购进口产品管理有关问题的通知》（财办库〔2008〕248号）的规定。</w:t>
      </w:r>
    </w:p>
    <w:p w14:paraId="0D7E5E61">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（2）允许进口产品参加的，满足需求的国内产品可以参加。</w:t>
      </w:r>
    </w:p>
    <w:p w14:paraId="022B4147">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rPr>
        <w:t>（3）允许进口产品参加的，优先采购向我国企业转让技术、与我国企业签订消化吸收再创新方案的供应商的进口产品。</w:t>
      </w:r>
    </w:p>
    <w:p w14:paraId="60F040B2">
      <w:pPr>
        <w:snapToGrid w:val="0"/>
        <w:spacing w:line="360" w:lineRule="auto"/>
        <w:ind w:firstLine="480" w:firstLineChars="200"/>
        <w:rPr>
          <w:rFonts w:ascii="宋体" w:hAnsi="宋体" w:cs="仿宋"/>
          <w:bCs/>
          <w:sz w:val="24"/>
          <w:highlight w:val="none"/>
        </w:rPr>
      </w:pPr>
      <w:r>
        <w:rPr>
          <w:rFonts w:hint="eastAsia" w:ascii="宋体" w:hAnsi="宋体" w:cs="仿宋"/>
          <w:bCs/>
          <w:sz w:val="24"/>
          <w:highlight w:val="none"/>
          <w:lang w:val="en-US" w:eastAsia="zh-CN"/>
        </w:rPr>
        <w:t>2</w:t>
      </w:r>
      <w:r>
        <w:rPr>
          <w:rFonts w:hint="eastAsia" w:ascii="宋体" w:hAnsi="宋体" w:cs="仿宋"/>
          <w:bCs/>
          <w:sz w:val="24"/>
          <w:highlight w:val="none"/>
        </w:rPr>
        <w:t>.5未按要求提供相关材料的，不享受相关政策。</w:t>
      </w:r>
    </w:p>
    <w:p w14:paraId="47956901">
      <w:pPr>
        <w:snapToGrid w:val="0"/>
        <w:spacing w:line="360" w:lineRule="auto"/>
        <w:ind w:firstLine="480" w:firstLineChars="200"/>
        <w:rPr>
          <w:rFonts w:hint="eastAsia" w:ascii="宋体" w:hAnsi="宋体" w:cs="仿宋"/>
          <w:bCs/>
          <w:sz w:val="24"/>
          <w:highlight w:val="none"/>
          <w:lang w:val="zh-CN" w:eastAsia="zh-CN"/>
        </w:rPr>
      </w:pPr>
    </w:p>
    <w:p w14:paraId="71066B28">
      <w:pPr>
        <w:pStyle w:val="13"/>
        <w:rPr>
          <w:color w:val="000000" w:themeColor="text1"/>
          <w:highlight w:val="none"/>
          <w:lang w:val="zh-CN"/>
          <w14:textFill>
            <w14:solidFill>
              <w14:schemeClr w14:val="tx1"/>
            </w14:solidFill>
          </w14:textFill>
        </w:rPr>
      </w:pPr>
    </w:p>
    <w:p w14:paraId="2B387938">
      <w:pPr>
        <w:widowControl w:val="0"/>
        <w:numPr>
          <w:ilvl w:val="0"/>
          <w:numId w:val="0"/>
        </w:numPr>
        <w:jc w:val="both"/>
        <w:rPr>
          <w:highlight w:val="none"/>
        </w:rPr>
      </w:pPr>
    </w:p>
    <w:p w14:paraId="6F0A6407">
      <w:pPr>
        <w:widowControl w:val="0"/>
        <w:numPr>
          <w:ilvl w:val="0"/>
          <w:numId w:val="0"/>
        </w:numPr>
        <w:jc w:val="both"/>
        <w:rPr>
          <w:highlight w:val="none"/>
        </w:rPr>
      </w:pPr>
    </w:p>
    <w:p w14:paraId="1869DE8F">
      <w:pPr>
        <w:widowControl w:val="0"/>
        <w:numPr>
          <w:ilvl w:val="0"/>
          <w:numId w:val="0"/>
        </w:numPr>
        <w:jc w:val="both"/>
        <w:rPr>
          <w:highlight w:val="none"/>
        </w:rPr>
      </w:pPr>
    </w:p>
    <w:p w14:paraId="00C15F0D">
      <w:pPr>
        <w:widowControl w:val="0"/>
        <w:numPr>
          <w:ilvl w:val="0"/>
          <w:numId w:val="0"/>
        </w:numPr>
        <w:jc w:val="both"/>
        <w:rPr>
          <w:highlight w:val="none"/>
        </w:rPr>
      </w:pPr>
    </w:p>
    <w:p w14:paraId="11E03227">
      <w:pPr>
        <w:widowControl w:val="0"/>
        <w:numPr>
          <w:ilvl w:val="0"/>
          <w:numId w:val="0"/>
        </w:numPr>
        <w:jc w:val="both"/>
        <w:rPr>
          <w:highlight w:val="none"/>
        </w:rPr>
      </w:pPr>
    </w:p>
    <w:p w14:paraId="3C084F96">
      <w:pPr>
        <w:widowControl w:val="0"/>
        <w:numPr>
          <w:ilvl w:val="0"/>
          <w:numId w:val="0"/>
        </w:numPr>
        <w:jc w:val="both"/>
        <w:rPr>
          <w:highlight w:val="none"/>
        </w:rPr>
      </w:pPr>
    </w:p>
    <w:p w14:paraId="73EF93D4">
      <w:pPr>
        <w:widowControl w:val="0"/>
        <w:numPr>
          <w:ilvl w:val="0"/>
          <w:numId w:val="0"/>
        </w:numPr>
        <w:jc w:val="both"/>
        <w:rPr>
          <w:highlight w:val="none"/>
        </w:rPr>
      </w:pPr>
    </w:p>
    <w:p w14:paraId="4ED86C7C">
      <w:pPr>
        <w:widowControl w:val="0"/>
        <w:numPr>
          <w:ilvl w:val="0"/>
          <w:numId w:val="0"/>
        </w:numPr>
        <w:jc w:val="both"/>
        <w:rPr>
          <w:highlight w:val="none"/>
        </w:rPr>
      </w:pPr>
    </w:p>
    <w:p w14:paraId="61DA12F5">
      <w:pPr>
        <w:widowControl w:val="0"/>
        <w:numPr>
          <w:ilvl w:val="0"/>
          <w:numId w:val="0"/>
        </w:numPr>
        <w:jc w:val="both"/>
        <w:rPr>
          <w:highlight w:val="none"/>
        </w:rPr>
      </w:pPr>
    </w:p>
    <w:p w14:paraId="1E498B95">
      <w:pPr>
        <w:widowControl w:val="0"/>
        <w:numPr>
          <w:ilvl w:val="0"/>
          <w:numId w:val="0"/>
        </w:numPr>
        <w:jc w:val="both"/>
        <w:rPr>
          <w:highlight w:val="none"/>
        </w:rPr>
      </w:pPr>
    </w:p>
    <w:p w14:paraId="036E366C">
      <w:pPr>
        <w:widowControl w:val="0"/>
        <w:numPr>
          <w:ilvl w:val="0"/>
          <w:numId w:val="0"/>
        </w:numPr>
        <w:jc w:val="both"/>
        <w:rPr>
          <w:highlight w:val="none"/>
        </w:rPr>
      </w:pPr>
    </w:p>
    <w:p w14:paraId="0BFDC191">
      <w:pPr>
        <w:widowControl w:val="0"/>
        <w:numPr>
          <w:ilvl w:val="0"/>
          <w:numId w:val="0"/>
        </w:numPr>
        <w:jc w:val="both"/>
        <w:rPr>
          <w:highlight w:val="none"/>
        </w:rPr>
      </w:pPr>
    </w:p>
    <w:p w14:paraId="4E195EDE">
      <w:pPr>
        <w:widowControl w:val="0"/>
        <w:numPr>
          <w:ilvl w:val="0"/>
          <w:numId w:val="0"/>
        </w:numPr>
        <w:jc w:val="both"/>
        <w:rPr>
          <w:highlight w:val="none"/>
        </w:rPr>
      </w:pPr>
    </w:p>
    <w:p w14:paraId="23D553D5">
      <w:pPr>
        <w:widowControl w:val="0"/>
        <w:numPr>
          <w:ilvl w:val="0"/>
          <w:numId w:val="0"/>
        </w:numPr>
        <w:jc w:val="both"/>
        <w:rPr>
          <w:highlight w:val="none"/>
        </w:rPr>
      </w:pPr>
    </w:p>
    <w:p w14:paraId="303BFF7C">
      <w:pPr>
        <w:widowControl w:val="0"/>
        <w:numPr>
          <w:ilvl w:val="0"/>
          <w:numId w:val="0"/>
        </w:numPr>
        <w:jc w:val="both"/>
        <w:rPr>
          <w:highlight w:val="none"/>
        </w:rPr>
      </w:pPr>
    </w:p>
    <w:p w14:paraId="7F85F649">
      <w:pPr>
        <w:widowControl w:val="0"/>
        <w:numPr>
          <w:ilvl w:val="0"/>
          <w:numId w:val="0"/>
        </w:numPr>
        <w:jc w:val="both"/>
        <w:rPr>
          <w:highlight w:val="none"/>
        </w:rPr>
      </w:pPr>
    </w:p>
    <w:p w14:paraId="36C47B87">
      <w:pPr>
        <w:widowControl w:val="0"/>
        <w:numPr>
          <w:ilvl w:val="0"/>
          <w:numId w:val="0"/>
        </w:numPr>
        <w:jc w:val="both"/>
        <w:rPr>
          <w:highlight w:val="none"/>
        </w:rPr>
      </w:pPr>
    </w:p>
    <w:p w14:paraId="25B33BE5">
      <w:pPr>
        <w:widowControl w:val="0"/>
        <w:numPr>
          <w:ilvl w:val="0"/>
          <w:numId w:val="0"/>
        </w:numPr>
        <w:jc w:val="both"/>
        <w:rPr>
          <w:highlight w:val="none"/>
        </w:rPr>
      </w:pPr>
    </w:p>
    <w:p w14:paraId="0AB2C7C8">
      <w:pPr>
        <w:widowControl w:val="0"/>
        <w:numPr>
          <w:ilvl w:val="0"/>
          <w:numId w:val="0"/>
        </w:numPr>
        <w:jc w:val="both"/>
        <w:rPr>
          <w:highlight w:val="none"/>
        </w:rPr>
      </w:pPr>
    </w:p>
    <w:p w14:paraId="720AEE23">
      <w:pPr>
        <w:widowControl w:val="0"/>
        <w:numPr>
          <w:ilvl w:val="0"/>
          <w:numId w:val="0"/>
        </w:numPr>
        <w:jc w:val="both"/>
        <w:rPr>
          <w:highlight w:val="none"/>
        </w:rPr>
      </w:pPr>
    </w:p>
    <w:p w14:paraId="02777373">
      <w:pPr>
        <w:widowControl w:val="0"/>
        <w:numPr>
          <w:ilvl w:val="0"/>
          <w:numId w:val="0"/>
        </w:numPr>
        <w:jc w:val="both"/>
        <w:rPr>
          <w:highlight w:val="none"/>
        </w:rPr>
      </w:pPr>
    </w:p>
    <w:p w14:paraId="38BACFB5">
      <w:pPr>
        <w:pStyle w:val="2"/>
        <w:rPr>
          <w:highlight w:val="none"/>
        </w:rPr>
      </w:pPr>
    </w:p>
    <w:p w14:paraId="200412B3">
      <w:pPr>
        <w:pStyle w:val="3"/>
        <w:rPr>
          <w:highlight w:val="none"/>
        </w:rPr>
      </w:pPr>
    </w:p>
    <w:p w14:paraId="62B328F7">
      <w:pPr>
        <w:pStyle w:val="3"/>
        <w:rPr>
          <w:highlight w:val="none"/>
        </w:rPr>
      </w:pPr>
    </w:p>
    <w:p w14:paraId="7BE17C28">
      <w:pPr>
        <w:pStyle w:val="3"/>
        <w:rPr>
          <w:highlight w:val="none"/>
        </w:rPr>
      </w:pPr>
    </w:p>
    <w:p w14:paraId="23C65C5E">
      <w:pPr>
        <w:pStyle w:val="3"/>
        <w:rPr>
          <w:highlight w:val="none"/>
        </w:rPr>
      </w:pPr>
    </w:p>
    <w:p w14:paraId="6DA5E71C">
      <w:pPr>
        <w:pStyle w:val="3"/>
        <w:rPr>
          <w:highlight w:val="none"/>
        </w:rPr>
      </w:pPr>
    </w:p>
    <w:p w14:paraId="52576711">
      <w:pPr>
        <w:pStyle w:val="3"/>
        <w:rPr>
          <w:highlight w:val="none"/>
        </w:rPr>
      </w:pPr>
    </w:p>
    <w:p w14:paraId="22F8B614">
      <w:pPr>
        <w:pStyle w:val="3"/>
        <w:rPr>
          <w:highlight w:val="none"/>
        </w:rPr>
      </w:pPr>
    </w:p>
    <w:p w14:paraId="1C9B40E1">
      <w:pPr>
        <w:pStyle w:val="3"/>
        <w:rPr>
          <w:highlight w:val="none"/>
        </w:rPr>
      </w:pPr>
    </w:p>
    <w:p w14:paraId="575BD80D">
      <w:pPr>
        <w:pStyle w:val="3"/>
        <w:rPr>
          <w:highlight w:val="none"/>
        </w:rPr>
      </w:pPr>
    </w:p>
    <w:p w14:paraId="50F7A535">
      <w:pPr>
        <w:pStyle w:val="3"/>
        <w:rPr>
          <w:highlight w:val="none"/>
        </w:rPr>
      </w:pPr>
    </w:p>
    <w:p w14:paraId="5779A77B">
      <w:pPr>
        <w:pStyle w:val="3"/>
        <w:rPr>
          <w:highlight w:val="none"/>
        </w:rPr>
      </w:pPr>
    </w:p>
    <w:p w14:paraId="3D7F7DF8">
      <w:pPr>
        <w:pStyle w:val="3"/>
        <w:rPr>
          <w:highlight w:val="none"/>
        </w:rPr>
      </w:pPr>
    </w:p>
    <w:p w14:paraId="71BB435A">
      <w:pPr>
        <w:widowControl w:val="0"/>
        <w:numPr>
          <w:ilvl w:val="0"/>
          <w:numId w:val="0"/>
        </w:numPr>
        <w:jc w:val="both"/>
        <w:rPr>
          <w:highlight w:val="none"/>
        </w:rPr>
      </w:pPr>
    </w:p>
    <w:p w14:paraId="23F63D74">
      <w:pPr>
        <w:widowControl w:val="0"/>
        <w:numPr>
          <w:ilvl w:val="0"/>
          <w:numId w:val="0"/>
        </w:numPr>
        <w:jc w:val="both"/>
        <w:rPr>
          <w:highlight w:val="none"/>
        </w:rPr>
      </w:pPr>
    </w:p>
    <w:p w14:paraId="66B7C961">
      <w:pPr>
        <w:rPr>
          <w:highlight w:val="none"/>
        </w:rPr>
      </w:pPr>
    </w:p>
    <w:p w14:paraId="0F1A7B51">
      <w:pPr>
        <w:keepNext/>
        <w:jc w:val="center"/>
        <w:outlineLvl w:val="0"/>
        <w:rPr>
          <w:rFonts w:ascii="黑体" w:hAnsi="Times New Roman" w:eastAsia="黑体" w:cs="Times New Roman"/>
          <w:bCs/>
          <w:sz w:val="44"/>
          <w:szCs w:val="28"/>
          <w:highlight w:val="none"/>
        </w:rPr>
      </w:pPr>
      <w:r>
        <w:rPr>
          <w:rFonts w:hint="eastAsia" w:ascii="黑体" w:hAnsi="Times New Roman" w:eastAsia="黑体" w:cs="Times New Roman"/>
          <w:bCs/>
          <w:sz w:val="44"/>
          <w:szCs w:val="28"/>
          <w:highlight w:val="none"/>
        </w:rPr>
        <w:t>第三章  合同文本</w:t>
      </w:r>
    </w:p>
    <w:p w14:paraId="13E04954">
      <w:pPr>
        <w:spacing w:line="500" w:lineRule="exact"/>
        <w:ind w:firstLine="480" w:firstLineChars="200"/>
        <w:rPr>
          <w:rFonts w:ascii="宋体" w:hAnsi="宋体" w:cs="Times New Roman"/>
          <w:bCs/>
          <w:sz w:val="24"/>
          <w:highlight w:val="none"/>
        </w:rPr>
      </w:pPr>
      <w:bookmarkStart w:id="130" w:name="_Toc513029243"/>
      <w:bookmarkStart w:id="131" w:name="_Toc20823315"/>
      <w:bookmarkStart w:id="132" w:name="_Toc16938559"/>
      <w:r>
        <w:rPr>
          <w:rFonts w:hint="eastAsia" w:ascii="宋体" w:hAnsi="宋体" w:cs="Times New Roman"/>
          <w:bCs/>
          <w:sz w:val="24"/>
          <w:highlight w:val="none"/>
        </w:rPr>
        <w:t>以下为中标后签定本项目合同的通用条款，中标人不得提出实质性的修改，关于专用条款将由采购人与中标人结合本项目具体情况协商后签订。</w:t>
      </w:r>
    </w:p>
    <w:p w14:paraId="25B56C75">
      <w:pPr>
        <w:wordWrap w:val="0"/>
        <w:autoSpaceDE w:val="0"/>
        <w:autoSpaceDN w:val="0"/>
        <w:spacing w:line="360" w:lineRule="auto"/>
        <w:jc w:val="center"/>
        <w:rPr>
          <w:rFonts w:ascii="宋体" w:hAnsi="宋体" w:cs="宋体"/>
          <w:highlight w:val="none"/>
        </w:rPr>
      </w:pPr>
      <w:bookmarkStart w:id="133" w:name="_Toc21629"/>
      <w:bookmarkStart w:id="134" w:name="_Toc5711"/>
      <w:bookmarkStart w:id="135" w:name="_Toc18277"/>
      <w:bookmarkStart w:id="136" w:name="_Toc18171"/>
      <w:bookmarkStart w:id="137" w:name="_Toc20422"/>
      <w:bookmarkStart w:id="138" w:name="_Toc27709"/>
      <w:bookmarkStart w:id="139" w:name="_Toc14807"/>
    </w:p>
    <w:p w14:paraId="422C30DE">
      <w:pPr>
        <w:pStyle w:val="35"/>
        <w:wordWrap w:val="0"/>
        <w:autoSpaceDE w:val="0"/>
        <w:autoSpaceDN w:val="0"/>
        <w:adjustRightInd w:val="0"/>
        <w:snapToGrid w:val="0"/>
        <w:spacing w:line="360" w:lineRule="auto"/>
        <w:ind w:left="0" w:firstLine="0"/>
        <w:jc w:val="center"/>
        <w:rPr>
          <w:rFonts w:ascii="宋体" w:hAnsi="宋体" w:cs="宋体"/>
          <w:highlight w:val="none"/>
        </w:rPr>
      </w:pPr>
      <w:bookmarkStart w:id="140" w:name="_Toc23662"/>
      <w:r>
        <w:rPr>
          <w:rFonts w:hint="eastAsia" w:ascii="宋体" w:hAnsi="宋体" w:cs="宋体"/>
          <w:highlight w:val="none"/>
        </w:rPr>
        <w:t>第一部分  合同协议书</w:t>
      </w:r>
      <w:bookmarkEnd w:id="133"/>
      <w:bookmarkEnd w:id="134"/>
      <w:bookmarkEnd w:id="135"/>
      <w:bookmarkEnd w:id="136"/>
      <w:bookmarkEnd w:id="137"/>
      <w:bookmarkEnd w:id="138"/>
      <w:bookmarkEnd w:id="139"/>
      <w:bookmarkEnd w:id="140"/>
    </w:p>
    <w:p w14:paraId="5299B0DD">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b/>
          <w:bCs/>
          <w:sz w:val="24"/>
          <w:szCs w:val="24"/>
          <w:highlight w:val="none"/>
          <w:lang w:val="en-US" w:eastAsia="zh-CN"/>
        </w:rPr>
        <w:t>发包人</w:t>
      </w:r>
      <w:r>
        <w:rPr>
          <w:rFonts w:hint="eastAsia" w:ascii="宋体" w:hAnsi="宋体" w:cs="宋体"/>
          <w:b/>
          <w:bCs/>
          <w:sz w:val="24"/>
          <w:szCs w:val="24"/>
          <w:highlight w:val="none"/>
        </w:rPr>
        <w:t>（全称）：</w:t>
      </w:r>
      <w:r>
        <w:rPr>
          <w:rFonts w:hint="eastAsia" w:ascii="宋体" w:hAnsi="宋体" w:cs="宋体"/>
          <w:b/>
          <w:bCs/>
          <w:sz w:val="24"/>
          <w:szCs w:val="24"/>
          <w:highlight w:val="none"/>
          <w:u w:val="single"/>
        </w:rPr>
        <w:t>江苏省渔业技术推广中心</w:t>
      </w:r>
    </w:p>
    <w:p w14:paraId="4BBFEDDE">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b/>
          <w:bCs/>
          <w:sz w:val="24"/>
          <w:szCs w:val="24"/>
          <w:highlight w:val="none"/>
          <w:lang w:val="en-US" w:eastAsia="zh-CN"/>
        </w:rPr>
        <w:t>承包人</w:t>
      </w:r>
      <w:r>
        <w:rPr>
          <w:rFonts w:hint="eastAsia" w:ascii="宋体" w:hAnsi="宋体" w:cs="宋体"/>
          <w:b/>
          <w:bCs/>
          <w:sz w:val="24"/>
          <w:szCs w:val="24"/>
          <w:highlight w:val="none"/>
        </w:rPr>
        <w:t>（全称）：</w:t>
      </w:r>
      <w:r>
        <w:rPr>
          <w:rFonts w:hint="eastAsia" w:ascii="宋体" w:hAnsi="宋体" w:cs="宋体"/>
          <w:b/>
          <w:bCs/>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6BBB5BE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民法典》、《中华人民共和国建筑法》及有关法律规定，遵循平等、自愿、公平和诚实信用的原则，双方就江苏省渔业技术推广中心扬中基地运转维护有关事项协商一致，共同达成如下协议：</w:t>
      </w:r>
    </w:p>
    <w:p w14:paraId="3FD5FE2F">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一、工程概况</w:t>
      </w:r>
    </w:p>
    <w:p w14:paraId="604693DF">
      <w:p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1.工程名称：</w:t>
      </w:r>
      <w:r>
        <w:rPr>
          <w:rFonts w:hint="eastAsia" w:ascii="宋体" w:hAnsi="宋体" w:cs="宋体"/>
          <w:sz w:val="24"/>
          <w:szCs w:val="24"/>
          <w:highlight w:val="none"/>
          <w:u w:val="single"/>
        </w:rPr>
        <w:t>江苏省渔业技术推广中心扬中基地202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年度运转维护项目</w:t>
      </w:r>
    </w:p>
    <w:p w14:paraId="154F1C56">
      <w:pPr>
        <w:wordWrap w:val="0"/>
        <w:autoSpaceDE w:val="0"/>
        <w:autoSpaceDN w:val="0"/>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2.工程地点：</w:t>
      </w:r>
      <w:r>
        <w:rPr>
          <w:rFonts w:hint="eastAsia" w:ascii="宋体" w:hAnsi="宋体" w:cs="宋体"/>
          <w:sz w:val="24"/>
          <w:szCs w:val="24"/>
          <w:highlight w:val="none"/>
          <w:u w:val="single"/>
          <w:lang w:val="en-US" w:eastAsia="zh-CN"/>
        </w:rPr>
        <w:t xml:space="preserve">江苏省扬中市    </w:t>
      </w:r>
    </w:p>
    <w:p w14:paraId="0033B33E">
      <w:pPr>
        <w:wordWrap w:val="0"/>
        <w:autoSpaceDE w:val="0"/>
        <w:autoSpaceDN w:val="0"/>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3.资金来源：</w:t>
      </w:r>
      <w:r>
        <w:rPr>
          <w:rFonts w:hint="eastAsia" w:ascii="宋体" w:hAnsi="宋体" w:cs="宋体"/>
          <w:sz w:val="24"/>
          <w:szCs w:val="24"/>
          <w:highlight w:val="none"/>
          <w:u w:val="single"/>
        </w:rPr>
        <w:t>财政资金</w:t>
      </w:r>
      <w:r>
        <w:rPr>
          <w:rFonts w:hint="eastAsia" w:ascii="宋体" w:hAnsi="宋体" w:cs="宋体"/>
          <w:sz w:val="24"/>
          <w:szCs w:val="24"/>
          <w:highlight w:val="none"/>
          <w:u w:val="single"/>
          <w:lang w:val="en-US" w:eastAsia="zh-CN"/>
        </w:rPr>
        <w:t xml:space="preserve">        </w:t>
      </w:r>
    </w:p>
    <w:p w14:paraId="355D6272">
      <w:pPr>
        <w:wordWrap w:val="0"/>
        <w:autoSpaceDE w:val="0"/>
        <w:autoSpaceDN w:val="0"/>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4.工程内容：</w:t>
      </w:r>
      <w:r>
        <w:rPr>
          <w:rFonts w:hint="eastAsia" w:ascii="宋体" w:hAnsi="宋体" w:cs="宋体"/>
          <w:sz w:val="24"/>
          <w:szCs w:val="24"/>
          <w:highlight w:val="none"/>
          <w:u w:val="single"/>
        </w:rPr>
        <w:t>基地运转维护</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p>
    <w:p w14:paraId="3AB9D45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5.工程承包范围：</w:t>
      </w:r>
      <w:r>
        <w:rPr>
          <w:rFonts w:hint="eastAsia" w:ascii="宋体" w:hAnsi="宋体" w:cs="宋体"/>
          <w:sz w:val="24"/>
          <w:szCs w:val="24"/>
          <w:highlight w:val="none"/>
          <w:u w:val="single"/>
        </w:rPr>
        <w:t>基地运转维护</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（具体内容详见工程量清单与图纸）。</w:t>
      </w:r>
    </w:p>
    <w:p w14:paraId="26B971D5">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二、合同工期</w:t>
      </w:r>
    </w:p>
    <w:p w14:paraId="04841BED">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计划开工日期：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2026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日（具体以</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的书面通知日期为准）。</w:t>
      </w:r>
    </w:p>
    <w:p w14:paraId="166C0A9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计划竣工日期：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2026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p>
    <w:p w14:paraId="1C2FFC39">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工期总日历天数：</w:t>
      </w:r>
      <w:r>
        <w:rPr>
          <w:rFonts w:hint="eastAsia" w:ascii="宋体" w:hAnsi="宋体" w:cs="宋体"/>
          <w:sz w:val="24"/>
          <w:szCs w:val="24"/>
          <w:highlight w:val="none"/>
          <w:u w:val="none"/>
          <w:lang w:val="en-US" w:eastAsia="zh-CN"/>
        </w:rPr>
        <w:t>约</w:t>
      </w:r>
      <w:r>
        <w:rPr>
          <w:rFonts w:hint="eastAsia" w:ascii="宋体" w:hAnsi="宋体" w:cs="宋体"/>
          <w:sz w:val="24"/>
          <w:szCs w:val="24"/>
          <w:highlight w:val="none"/>
          <w:u w:val="single"/>
          <w:lang w:val="en-US" w:eastAsia="zh-CN"/>
        </w:rPr>
        <w:t xml:space="preserve">  120 </w:t>
      </w:r>
      <w:r>
        <w:rPr>
          <w:rFonts w:hint="eastAsia" w:ascii="宋体" w:hAnsi="宋体" w:cs="宋体"/>
          <w:sz w:val="24"/>
          <w:szCs w:val="24"/>
          <w:highlight w:val="none"/>
          <w:u w:val="none"/>
          <w:lang w:val="en-US" w:eastAsia="zh-CN"/>
        </w:rPr>
        <w:t>日历</w:t>
      </w:r>
      <w:r>
        <w:rPr>
          <w:rFonts w:hint="eastAsia" w:ascii="宋体" w:hAnsi="宋体" w:cs="宋体"/>
          <w:sz w:val="24"/>
          <w:szCs w:val="24"/>
          <w:highlight w:val="none"/>
          <w:u w:val="none"/>
        </w:rPr>
        <w:t>天</w:t>
      </w:r>
      <w:r>
        <w:rPr>
          <w:rFonts w:hint="eastAsia" w:ascii="宋体" w:hAnsi="宋体"/>
          <w:sz w:val="24"/>
          <w:highlight w:val="none"/>
          <w:lang w:val="en-US" w:eastAsia="zh-CN"/>
        </w:rPr>
        <w:t>。</w:t>
      </w:r>
    </w:p>
    <w:p w14:paraId="26E371C2">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三、质量标准</w:t>
      </w:r>
    </w:p>
    <w:p w14:paraId="5E0E083D">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w:t>
      </w:r>
    </w:p>
    <w:p w14:paraId="06BE7091">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四、签约合同价与合同价格形式</w:t>
      </w:r>
    </w:p>
    <w:p w14:paraId="39908E7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1.签约合同价为：</w:t>
      </w:r>
    </w:p>
    <w:p w14:paraId="6EBBF7A1">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68CCBE69">
      <w:pPr>
        <w:numPr>
          <w:ilvl w:val="0"/>
          <w:numId w:val="6"/>
        </w:num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合同价格形式：固定</w:t>
      </w:r>
      <w:r>
        <w:rPr>
          <w:rFonts w:hint="eastAsia" w:ascii="宋体" w:hAnsi="宋体" w:cs="宋体"/>
          <w:sz w:val="24"/>
          <w:szCs w:val="24"/>
          <w:highlight w:val="none"/>
          <w:lang w:val="en-US" w:eastAsia="zh-CN"/>
        </w:rPr>
        <w:t>综合</w:t>
      </w:r>
      <w:r>
        <w:rPr>
          <w:rFonts w:hint="eastAsia" w:ascii="宋体" w:hAnsi="宋体" w:cs="宋体"/>
          <w:sz w:val="24"/>
          <w:szCs w:val="24"/>
          <w:highlight w:val="none"/>
        </w:rPr>
        <w:t>单价合同。</w:t>
      </w:r>
    </w:p>
    <w:p w14:paraId="6C542ECB">
      <w:pPr>
        <w:wordWrap w:val="0"/>
        <w:autoSpaceDE w:val="0"/>
        <w:autoSpaceDN w:val="0"/>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3.付款方式：</w:t>
      </w:r>
    </w:p>
    <w:p w14:paraId="2F2B80AB">
      <w:pPr>
        <w:numPr>
          <w:ilvl w:val="0"/>
          <w:numId w:val="0"/>
        </w:numPr>
        <w:wordWrap w:val="0"/>
        <w:autoSpaceDE w:val="0"/>
        <w:autoSpaceDN w:val="0"/>
        <w:adjustRightInd w:val="0"/>
        <w:snapToGrid w:val="0"/>
        <w:spacing w:line="360" w:lineRule="auto"/>
        <w:ind w:leftChars="200"/>
        <w:rPr>
          <w:rFonts w:hint="eastAsia"/>
          <w:highlight w:val="none"/>
        </w:rPr>
      </w:pPr>
      <w:r>
        <w:rPr>
          <w:rFonts w:hint="eastAsia" w:ascii="宋体" w:hAnsi="宋体" w:eastAsia="宋体" w:cs="宋体"/>
          <w:bCs/>
          <w:sz w:val="24"/>
          <w:highlight w:val="none"/>
          <w:lang w:val="zh-CN" w:eastAsia="zh-CN"/>
        </w:rPr>
        <w:t>（</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val="zh-CN" w:eastAsia="zh-CN"/>
        </w:rPr>
        <w:t>）</w:t>
      </w:r>
      <w:r>
        <w:rPr>
          <w:rFonts w:hint="eastAsia" w:ascii="宋体" w:hAnsi="宋体" w:eastAsia="宋体" w:cs="宋体"/>
          <w:bCs/>
          <w:sz w:val="24"/>
          <w:highlight w:val="none"/>
          <w:u w:val="none"/>
          <w:lang w:val="zh-CN" w:eastAsia="zh-CN"/>
        </w:rPr>
        <w:t>合同签定生效后</w:t>
      </w:r>
      <w:r>
        <w:rPr>
          <w:rFonts w:hint="eastAsia" w:ascii="宋体" w:hAnsi="宋体" w:eastAsia="宋体" w:cs="宋体"/>
          <w:bCs/>
          <w:sz w:val="24"/>
          <w:highlight w:val="none"/>
          <w:u w:val="none"/>
          <w:lang w:val="en-US" w:eastAsia="zh-CN"/>
        </w:rPr>
        <w:t>7</w:t>
      </w:r>
      <w:r>
        <w:rPr>
          <w:rFonts w:hint="eastAsia" w:ascii="宋体" w:hAnsi="宋体" w:eastAsia="宋体" w:cs="宋体"/>
          <w:bCs/>
          <w:sz w:val="24"/>
          <w:highlight w:val="none"/>
          <w:u w:val="none"/>
          <w:lang w:val="zh-CN" w:eastAsia="zh-CN"/>
        </w:rPr>
        <w:t>日内预付合同</w:t>
      </w:r>
      <w:r>
        <w:rPr>
          <w:rFonts w:hint="eastAsia" w:ascii="宋体" w:hAnsi="宋体" w:eastAsia="宋体" w:cs="宋体"/>
          <w:bCs/>
          <w:sz w:val="24"/>
          <w:highlight w:val="none"/>
          <w:u w:val="none"/>
          <w:lang w:val="en-US" w:eastAsia="zh-CN"/>
        </w:rPr>
        <w:t>价款</w:t>
      </w:r>
      <w:r>
        <w:rPr>
          <w:rFonts w:hint="eastAsia" w:ascii="宋体" w:hAnsi="宋体" w:eastAsia="宋体" w:cs="宋体"/>
          <w:bCs/>
          <w:sz w:val="24"/>
          <w:highlight w:val="none"/>
          <w:u w:val="none"/>
          <w:lang w:val="zh-CN" w:eastAsia="zh-CN"/>
        </w:rPr>
        <w:t>的30%；</w:t>
      </w:r>
      <w:r>
        <w:rPr>
          <w:rFonts w:hint="eastAsia" w:ascii="宋体" w:hAnsi="宋体" w:cs="宋体"/>
          <w:bCs/>
          <w:sz w:val="24"/>
          <w:highlight w:val="none"/>
          <w:u w:val="none"/>
          <w:lang w:val="zh-CN"/>
        </w:rPr>
        <w:t>工程</w:t>
      </w:r>
      <w:r>
        <w:rPr>
          <w:rFonts w:hint="eastAsia" w:ascii="宋体" w:hAnsi="宋体" w:cs="宋体"/>
          <w:bCs/>
          <w:sz w:val="24"/>
          <w:highlight w:val="none"/>
          <w:u w:val="none"/>
          <w:lang w:val="en-US" w:eastAsia="zh-CN"/>
        </w:rPr>
        <w:t>竣工</w:t>
      </w:r>
      <w:r>
        <w:rPr>
          <w:rFonts w:hint="eastAsia" w:ascii="宋体" w:hAnsi="宋体" w:cs="宋体"/>
          <w:bCs/>
          <w:sz w:val="24"/>
          <w:highlight w:val="none"/>
          <w:u w:val="none"/>
          <w:lang w:val="zh-CN"/>
        </w:rPr>
        <w:t>并验收合格后</w:t>
      </w:r>
      <w:r>
        <w:rPr>
          <w:rFonts w:hint="eastAsia" w:ascii="宋体" w:hAnsi="宋体" w:eastAsia="宋体" w:cs="宋体"/>
          <w:bCs/>
          <w:sz w:val="24"/>
          <w:highlight w:val="none"/>
          <w:u w:val="none"/>
          <w:lang w:val="zh-CN"/>
        </w:rPr>
        <w:t>7日内</w:t>
      </w:r>
      <w:r>
        <w:rPr>
          <w:rFonts w:hint="eastAsia" w:ascii="宋体" w:hAnsi="宋体" w:cs="宋体"/>
          <w:bCs/>
          <w:sz w:val="24"/>
          <w:highlight w:val="none"/>
          <w:u w:val="none"/>
          <w:lang w:val="zh-CN"/>
        </w:rPr>
        <w:t>付至合同价款的70%；</w:t>
      </w:r>
      <w:r>
        <w:rPr>
          <w:rFonts w:hint="eastAsia" w:ascii="宋体" w:hAnsi="宋体" w:cs="宋体"/>
          <w:bCs/>
          <w:sz w:val="24"/>
          <w:highlight w:val="none"/>
          <w:u w:val="none"/>
          <w:lang w:val="en-US" w:eastAsia="zh-CN"/>
        </w:rPr>
        <w:t>余款在</w:t>
      </w:r>
      <w:r>
        <w:rPr>
          <w:rFonts w:hint="eastAsia" w:ascii="宋体" w:hAnsi="宋体" w:cs="宋体"/>
          <w:bCs/>
          <w:sz w:val="24"/>
          <w:highlight w:val="none"/>
          <w:u w:val="none"/>
          <w:lang w:val="zh-CN"/>
        </w:rPr>
        <w:t>本工程结算审计结束后，付</w:t>
      </w:r>
      <w:r>
        <w:rPr>
          <w:rFonts w:hint="eastAsia" w:ascii="宋体" w:hAnsi="宋体" w:cs="宋体"/>
          <w:bCs/>
          <w:sz w:val="24"/>
          <w:highlight w:val="none"/>
          <w:u w:val="none"/>
          <w:lang w:val="zh-CN" w:eastAsia="zh-CN"/>
        </w:rPr>
        <w:t>至</w:t>
      </w:r>
      <w:r>
        <w:rPr>
          <w:rFonts w:hint="eastAsia" w:ascii="宋体" w:hAnsi="宋体" w:cs="宋体"/>
          <w:bCs/>
          <w:sz w:val="24"/>
          <w:highlight w:val="none"/>
          <w:u w:val="none"/>
          <w:lang w:val="zh-CN"/>
        </w:rPr>
        <w:t>发包人最终审定价的</w:t>
      </w:r>
      <w:r>
        <w:rPr>
          <w:rFonts w:hint="eastAsia" w:ascii="宋体" w:hAnsi="宋体" w:cs="宋体"/>
          <w:bCs/>
          <w:sz w:val="24"/>
          <w:highlight w:val="none"/>
          <w:u w:val="none"/>
          <w:lang w:val="en-US" w:eastAsia="zh-CN"/>
        </w:rPr>
        <w:t>100</w:t>
      </w:r>
      <w:r>
        <w:rPr>
          <w:rFonts w:hint="eastAsia" w:ascii="宋体" w:hAnsi="宋体" w:cs="宋体"/>
          <w:bCs/>
          <w:sz w:val="24"/>
          <w:highlight w:val="none"/>
          <w:u w:val="none"/>
          <w:lang w:val="zh-CN"/>
        </w:rPr>
        <w:t>%。</w:t>
      </w:r>
    </w:p>
    <w:p w14:paraId="27D88BA3">
      <w:pPr>
        <w:numPr>
          <w:ilvl w:val="0"/>
          <w:numId w:val="0"/>
        </w:numPr>
        <w:wordWrap w:val="0"/>
        <w:autoSpaceDE w:val="0"/>
        <w:autoSpaceDN w:val="0"/>
        <w:adjustRightInd w:val="0"/>
        <w:snapToGrid w:val="0"/>
        <w:spacing w:line="360" w:lineRule="auto"/>
        <w:ind w:leftChars="200"/>
        <w:rPr>
          <w:rFonts w:hint="eastAsia" w:ascii="宋体" w:hAnsi="宋体" w:eastAsia="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2</w:t>
      </w:r>
      <w:r>
        <w:rPr>
          <w:rFonts w:hint="eastAsia" w:ascii="宋体" w:hAnsi="宋体" w:cs="宋体"/>
          <w:bCs/>
          <w:sz w:val="24"/>
          <w:highlight w:val="none"/>
          <w:lang w:eastAsia="zh-CN"/>
        </w:rPr>
        <w:t>）</w:t>
      </w:r>
      <w:r>
        <w:rPr>
          <w:rFonts w:hint="eastAsia" w:ascii="宋体" w:hAnsi="宋体" w:cs="宋体"/>
          <w:bCs/>
          <w:sz w:val="24"/>
          <w:highlight w:val="none"/>
        </w:rPr>
        <w:t>拨付方式为：由</w:t>
      </w:r>
      <w:r>
        <w:rPr>
          <w:rFonts w:hint="eastAsia" w:ascii="宋体" w:hAnsi="宋体" w:cs="宋体"/>
          <w:bCs/>
          <w:sz w:val="24"/>
          <w:highlight w:val="none"/>
          <w:lang w:val="en-US" w:eastAsia="zh-CN"/>
        </w:rPr>
        <w:t>发包人</w:t>
      </w:r>
      <w:r>
        <w:rPr>
          <w:rFonts w:hint="eastAsia" w:ascii="宋体" w:hAnsi="宋体" w:cs="宋体"/>
          <w:bCs/>
          <w:sz w:val="24"/>
          <w:highlight w:val="none"/>
        </w:rPr>
        <w:t>依照合同，</w:t>
      </w:r>
      <w:r>
        <w:rPr>
          <w:rFonts w:hint="eastAsia" w:ascii="宋体" w:hAnsi="宋体" w:cs="宋体"/>
          <w:bCs/>
          <w:sz w:val="24"/>
          <w:highlight w:val="none"/>
          <w:lang w:val="en-US" w:eastAsia="zh-CN"/>
        </w:rPr>
        <w:t>发包人</w:t>
      </w:r>
      <w:r>
        <w:rPr>
          <w:rFonts w:hint="eastAsia" w:ascii="宋体" w:hAnsi="宋体" w:cs="宋体"/>
          <w:bCs/>
          <w:sz w:val="24"/>
          <w:highlight w:val="none"/>
        </w:rPr>
        <w:t>在收到</w:t>
      </w:r>
      <w:r>
        <w:rPr>
          <w:rFonts w:hint="eastAsia" w:ascii="宋体" w:hAnsi="宋体" w:cs="宋体"/>
          <w:bCs/>
          <w:sz w:val="24"/>
          <w:highlight w:val="none"/>
          <w:lang w:val="en-US" w:eastAsia="zh-CN"/>
        </w:rPr>
        <w:t>承包人</w:t>
      </w:r>
      <w:r>
        <w:rPr>
          <w:rFonts w:hint="eastAsia" w:ascii="宋体" w:hAnsi="宋体" w:cs="宋体"/>
          <w:bCs/>
          <w:sz w:val="24"/>
          <w:highlight w:val="none"/>
        </w:rPr>
        <w:t>开具的每笔相应金额的增值税发票后进行付款，将约定款项拨付至</w:t>
      </w:r>
      <w:r>
        <w:rPr>
          <w:rFonts w:hint="eastAsia" w:ascii="宋体" w:hAnsi="宋体" w:cs="宋体"/>
          <w:bCs/>
          <w:sz w:val="24"/>
          <w:highlight w:val="none"/>
          <w:lang w:val="en-US" w:eastAsia="zh-CN"/>
        </w:rPr>
        <w:t>承包人</w:t>
      </w:r>
      <w:r>
        <w:rPr>
          <w:rFonts w:hint="eastAsia" w:ascii="宋体" w:hAnsi="宋体" w:cs="宋体"/>
          <w:bCs/>
          <w:sz w:val="24"/>
          <w:highlight w:val="none"/>
        </w:rPr>
        <w:t>账户上</w:t>
      </w:r>
      <w:r>
        <w:rPr>
          <w:rFonts w:hint="eastAsia" w:ascii="宋体" w:hAnsi="宋体" w:cs="宋体"/>
          <w:bCs/>
          <w:sz w:val="24"/>
          <w:highlight w:val="none"/>
          <w:lang w:eastAsia="zh-CN"/>
        </w:rPr>
        <w:t>。</w:t>
      </w:r>
    </w:p>
    <w:p w14:paraId="655D2992">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五、项目经理</w:t>
      </w:r>
    </w:p>
    <w:p w14:paraId="527ACEE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项目经理：</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6529E49">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六、合同文件构成</w:t>
      </w:r>
    </w:p>
    <w:p w14:paraId="4523167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本协议书与下列文件一起构成合同文件：</w:t>
      </w:r>
    </w:p>
    <w:p w14:paraId="09B53D1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（1）中标通知书；</w:t>
      </w:r>
    </w:p>
    <w:p w14:paraId="5993B3B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（2）投标函及其附录（如果有）；</w:t>
      </w:r>
    </w:p>
    <w:p w14:paraId="0ED9138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（3）专用合同条款及其附件；</w:t>
      </w:r>
    </w:p>
    <w:p w14:paraId="4B3FD0D1">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（4）通用合同条款；</w:t>
      </w:r>
    </w:p>
    <w:p w14:paraId="2E509C85">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（5）技术标准和要求；</w:t>
      </w:r>
    </w:p>
    <w:p w14:paraId="3F49CF4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（6）图纸；</w:t>
      </w:r>
    </w:p>
    <w:p w14:paraId="5FCF9E7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（7）已标价工程量清单或预算书；</w:t>
      </w:r>
    </w:p>
    <w:p w14:paraId="70A0A6E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（8）其他合同文件。</w:t>
      </w:r>
    </w:p>
    <w:p w14:paraId="4AC32CE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在合同订立及履行过程中形成的与合同有关的文件均构成合同文件组成部分。</w:t>
      </w:r>
    </w:p>
    <w:p w14:paraId="2C272A0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F063AD4">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七、承诺</w:t>
      </w:r>
    </w:p>
    <w:p w14:paraId="0B79CE1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承诺按照法律规定履行项目审批手续、筹集工程建设资金并按照合同约定的期限和方式支付合同价款。</w:t>
      </w:r>
    </w:p>
    <w:p w14:paraId="0CF7942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承包人</w:t>
      </w:r>
      <w:r>
        <w:rPr>
          <w:rFonts w:hint="eastAsia" w:ascii="宋体" w:hAnsi="宋体" w:cs="宋体"/>
          <w:sz w:val="24"/>
          <w:szCs w:val="24"/>
          <w:highlight w:val="none"/>
        </w:rPr>
        <w:t>承诺按照法律规定及合同约定组织完成工程施工，确保工程质量和安全，不进行转包及违法分包，并在缺陷责任期及保修期内承担相应的工程维修责任。</w:t>
      </w:r>
    </w:p>
    <w:p w14:paraId="5738715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和</w:t>
      </w:r>
      <w:r>
        <w:rPr>
          <w:rFonts w:hint="eastAsia" w:ascii="宋体" w:hAnsi="宋体" w:cs="宋体"/>
          <w:sz w:val="24"/>
          <w:szCs w:val="24"/>
          <w:highlight w:val="none"/>
          <w:lang w:eastAsia="zh-CN"/>
        </w:rPr>
        <w:t>承包人</w:t>
      </w:r>
      <w:r>
        <w:rPr>
          <w:rFonts w:hint="eastAsia" w:ascii="宋体" w:hAnsi="宋体" w:cs="宋体"/>
          <w:sz w:val="24"/>
          <w:szCs w:val="24"/>
          <w:highlight w:val="none"/>
        </w:rPr>
        <w:t>通过招投标形式签订合同的，双方理解并承诺不再就同一工程另行签订与合同实质性内容相背离的协议。</w:t>
      </w:r>
    </w:p>
    <w:p w14:paraId="2706239E">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八、词语含义</w:t>
      </w:r>
    </w:p>
    <w:p w14:paraId="52DABA5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本协议书中词语含义与第二部分通用合同条款中赋予的含义相同。</w:t>
      </w:r>
    </w:p>
    <w:p w14:paraId="0B406232">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九、签订地点</w:t>
      </w:r>
    </w:p>
    <w:p w14:paraId="718D7CF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本合同在江苏省渔业技术推广中心签订。</w:t>
      </w:r>
    </w:p>
    <w:p w14:paraId="5073FF89">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十、补充协议</w:t>
      </w:r>
    </w:p>
    <w:p w14:paraId="0FA85BE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合同未尽事宜，合同当事人另行签订补充协议，补充协议是合同的组成部分。</w:t>
      </w:r>
    </w:p>
    <w:p w14:paraId="29769665">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十一、合同生效</w:t>
      </w:r>
    </w:p>
    <w:p w14:paraId="70157A4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本合同自签字、盖章生效。</w:t>
      </w:r>
    </w:p>
    <w:p w14:paraId="43B7740C">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十二、合同份数</w:t>
      </w:r>
    </w:p>
    <w:p w14:paraId="66635FD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本合同一式</w:t>
      </w:r>
      <w:r>
        <w:rPr>
          <w:rFonts w:hint="eastAsia" w:ascii="宋体" w:hAnsi="宋体" w:cs="宋体"/>
          <w:sz w:val="24"/>
          <w:szCs w:val="24"/>
          <w:highlight w:val="none"/>
          <w:lang w:val="en-US" w:eastAsia="zh-CN"/>
        </w:rPr>
        <w:t>陆</w:t>
      </w:r>
      <w:r>
        <w:rPr>
          <w:rFonts w:hint="eastAsia" w:ascii="宋体" w:hAnsi="宋体" w:cs="宋体"/>
          <w:sz w:val="24"/>
          <w:szCs w:val="24"/>
          <w:highlight w:val="none"/>
        </w:rPr>
        <w:t>份，具有同等法律效力，</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w:t>
      </w:r>
      <w:r>
        <w:rPr>
          <w:rFonts w:hint="eastAsia" w:ascii="宋体" w:hAnsi="宋体" w:cs="宋体"/>
          <w:sz w:val="24"/>
          <w:szCs w:val="24"/>
          <w:highlight w:val="none"/>
          <w:lang w:eastAsia="zh-CN"/>
        </w:rPr>
        <w:t>承包人</w:t>
      </w:r>
      <w:r>
        <w:rPr>
          <w:rFonts w:hint="eastAsia" w:ascii="宋体" w:hAnsi="宋体" w:cs="宋体"/>
          <w:sz w:val="24"/>
          <w:szCs w:val="24"/>
          <w:highlight w:val="none"/>
        </w:rPr>
        <w:t>各执</w:t>
      </w:r>
      <w:r>
        <w:rPr>
          <w:rFonts w:hint="eastAsia" w:ascii="宋体" w:hAnsi="宋体" w:cs="宋体"/>
          <w:sz w:val="24"/>
          <w:szCs w:val="24"/>
          <w:highlight w:val="none"/>
          <w:lang w:val="en-US" w:eastAsia="zh-CN"/>
        </w:rPr>
        <w:t>叁</w:t>
      </w:r>
      <w:r>
        <w:rPr>
          <w:rFonts w:hint="eastAsia" w:ascii="宋体" w:hAnsi="宋体" w:cs="宋体"/>
          <w:sz w:val="24"/>
          <w:szCs w:val="24"/>
          <w:highlight w:val="none"/>
        </w:rPr>
        <w:t>份。</w:t>
      </w:r>
    </w:p>
    <w:p w14:paraId="56225206">
      <w:pPr>
        <w:wordWrap w:val="0"/>
        <w:autoSpaceDE w:val="0"/>
        <w:autoSpaceDN w:val="0"/>
        <w:adjustRightInd w:val="0"/>
        <w:snapToGrid w:val="0"/>
        <w:spacing w:line="360" w:lineRule="auto"/>
        <w:rPr>
          <w:rFonts w:ascii="宋体" w:hAnsi="宋体" w:cs="宋体"/>
          <w:sz w:val="24"/>
          <w:szCs w:val="24"/>
          <w:highlight w:val="none"/>
        </w:rPr>
      </w:pPr>
    </w:p>
    <w:p w14:paraId="221CD37F">
      <w:pPr>
        <w:wordWrap w:val="0"/>
        <w:autoSpaceDE w:val="0"/>
        <w:autoSpaceDN w:val="0"/>
        <w:adjustRightInd w:val="0"/>
        <w:snapToGrid w:val="0"/>
        <w:spacing w:line="360" w:lineRule="auto"/>
        <w:rPr>
          <w:rFonts w:ascii="宋体" w:hAnsi="宋体" w:cs="宋体"/>
          <w:sz w:val="24"/>
          <w:szCs w:val="24"/>
          <w:highlight w:val="none"/>
        </w:rPr>
      </w:pPr>
    </w:p>
    <w:p w14:paraId="5C91790A">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lang w:eastAsia="zh-CN"/>
        </w:rPr>
        <w:t>发包人</w:t>
      </w:r>
      <w:r>
        <w:rPr>
          <w:rFonts w:hint="eastAsia" w:ascii="宋体" w:hAnsi="宋体" w:cs="宋体"/>
          <w:sz w:val="24"/>
          <w:szCs w:val="24"/>
          <w:highlight w:val="none"/>
        </w:rPr>
        <w:t xml:space="preserve">：  (公章)                             </w:t>
      </w:r>
      <w:r>
        <w:rPr>
          <w:rFonts w:hint="eastAsia" w:ascii="宋体" w:hAnsi="宋体" w:cs="宋体"/>
          <w:sz w:val="24"/>
          <w:szCs w:val="24"/>
          <w:highlight w:val="none"/>
          <w:lang w:eastAsia="zh-CN"/>
        </w:rPr>
        <w:t>承包人</w:t>
      </w:r>
      <w:r>
        <w:rPr>
          <w:rFonts w:hint="eastAsia" w:ascii="宋体" w:hAnsi="宋体" w:cs="宋体"/>
          <w:sz w:val="24"/>
          <w:szCs w:val="24"/>
          <w:highlight w:val="none"/>
        </w:rPr>
        <w:t>：  (公章)</w:t>
      </w:r>
    </w:p>
    <w:p w14:paraId="5B5560DD">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法定代表人：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w:t>
      </w:r>
    </w:p>
    <w:p w14:paraId="7D79F065">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签字 ：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签字：                </w:t>
      </w:r>
    </w:p>
    <w:p w14:paraId="46B46EA4">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日期：      年    月    日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      年    月    日</w:t>
      </w:r>
    </w:p>
    <w:p w14:paraId="30ADDB2C">
      <w:pPr>
        <w:wordWrap w:val="0"/>
        <w:autoSpaceDE w:val="0"/>
        <w:autoSpaceDN w:val="0"/>
        <w:adjustRightInd w:val="0"/>
        <w:snapToGrid w:val="0"/>
        <w:spacing w:line="360" w:lineRule="auto"/>
        <w:ind w:firstLine="480" w:firstLineChars="200"/>
        <w:rPr>
          <w:rFonts w:ascii="宋体" w:hAnsi="宋体" w:cs="宋体"/>
          <w:b/>
          <w:sz w:val="24"/>
          <w:highlight w:val="none"/>
        </w:rPr>
      </w:pPr>
    </w:p>
    <w:p w14:paraId="519F2498">
      <w:pPr>
        <w:wordWrap w:val="0"/>
        <w:autoSpaceDE w:val="0"/>
        <w:autoSpaceDN w:val="0"/>
        <w:adjustRightInd w:val="0"/>
        <w:snapToGrid w:val="0"/>
        <w:spacing w:line="360" w:lineRule="auto"/>
        <w:ind w:firstLine="480" w:firstLineChars="200"/>
        <w:rPr>
          <w:rFonts w:ascii="宋体" w:hAnsi="宋体" w:cs="宋体"/>
          <w:b/>
          <w:sz w:val="24"/>
          <w:highlight w:val="none"/>
        </w:rPr>
      </w:pPr>
    </w:p>
    <w:p w14:paraId="34908F5E">
      <w:pPr>
        <w:wordWrap w:val="0"/>
        <w:autoSpaceDE w:val="0"/>
        <w:autoSpaceDN w:val="0"/>
        <w:adjustRightInd w:val="0"/>
        <w:snapToGrid w:val="0"/>
        <w:spacing w:line="360" w:lineRule="auto"/>
        <w:ind w:firstLine="480" w:firstLineChars="200"/>
        <w:rPr>
          <w:rFonts w:ascii="宋体" w:hAnsi="宋体" w:cs="宋体"/>
          <w:bCs/>
          <w:sz w:val="24"/>
          <w:highlight w:val="none"/>
        </w:rPr>
      </w:pPr>
    </w:p>
    <w:p w14:paraId="3513CA90">
      <w:pPr>
        <w:wordWrap w:val="0"/>
        <w:autoSpaceDE w:val="0"/>
        <w:autoSpaceDN w:val="0"/>
        <w:adjustRightInd w:val="0"/>
        <w:snapToGrid w:val="0"/>
        <w:spacing w:line="360" w:lineRule="auto"/>
        <w:rPr>
          <w:rFonts w:ascii="宋体" w:hAnsi="宋体" w:cs="宋体"/>
          <w:highlight w:val="none"/>
        </w:rPr>
      </w:pPr>
      <w:bookmarkStart w:id="141" w:name="_Toc12695"/>
      <w:bookmarkStart w:id="142" w:name="_Toc32386"/>
      <w:bookmarkStart w:id="143" w:name="_Toc29018"/>
      <w:bookmarkStart w:id="144" w:name="_Toc31029"/>
    </w:p>
    <w:p w14:paraId="2457CE96">
      <w:pPr>
        <w:pStyle w:val="35"/>
        <w:pageBreakBefore/>
        <w:wordWrap w:val="0"/>
        <w:autoSpaceDE w:val="0"/>
        <w:autoSpaceDN w:val="0"/>
        <w:adjustRightInd w:val="0"/>
        <w:snapToGrid w:val="0"/>
        <w:spacing w:line="360" w:lineRule="auto"/>
        <w:ind w:left="0" w:firstLine="0"/>
        <w:jc w:val="center"/>
        <w:rPr>
          <w:rFonts w:ascii="宋体" w:hAnsi="宋体" w:cs="宋体"/>
          <w:highlight w:val="none"/>
        </w:rPr>
      </w:pPr>
      <w:bookmarkStart w:id="145" w:name="_Toc22596"/>
      <w:bookmarkStart w:id="146" w:name="_Toc22011"/>
      <w:bookmarkStart w:id="147" w:name="_Toc6693"/>
      <w:bookmarkStart w:id="148" w:name="_Toc22927"/>
      <w:r>
        <w:rPr>
          <w:rFonts w:hint="eastAsia" w:ascii="宋体" w:hAnsi="宋体" w:cs="宋体"/>
          <w:highlight w:val="none"/>
        </w:rPr>
        <w:t>第二部分</w:t>
      </w:r>
      <w:bookmarkStart w:id="149" w:name="_Toc337558727"/>
      <w:r>
        <w:rPr>
          <w:rFonts w:hint="eastAsia" w:ascii="宋体" w:hAnsi="宋体" w:cs="宋体"/>
          <w:highlight w:val="none"/>
        </w:rPr>
        <w:t xml:space="preserve">  通用合同条款</w:t>
      </w:r>
      <w:bookmarkEnd w:id="141"/>
      <w:bookmarkEnd w:id="142"/>
      <w:bookmarkEnd w:id="143"/>
      <w:bookmarkEnd w:id="144"/>
      <w:bookmarkEnd w:id="145"/>
      <w:bookmarkEnd w:id="146"/>
      <w:bookmarkEnd w:id="147"/>
      <w:bookmarkEnd w:id="148"/>
    </w:p>
    <w:p w14:paraId="16EC537B">
      <w:pPr>
        <w:wordWrap w:val="0"/>
        <w:autoSpaceDE w:val="0"/>
        <w:autoSpaceDN w:val="0"/>
        <w:adjustRightInd w:val="0"/>
        <w:snapToGrid w:val="0"/>
        <w:spacing w:line="360" w:lineRule="auto"/>
        <w:jc w:val="left"/>
        <w:rPr>
          <w:rFonts w:ascii="宋体" w:hAnsi="宋体" w:cs="宋体"/>
          <w:b/>
          <w:sz w:val="24"/>
          <w:szCs w:val="24"/>
          <w:highlight w:val="none"/>
        </w:rPr>
      </w:pPr>
      <w:r>
        <w:rPr>
          <w:rFonts w:hint="eastAsia" w:ascii="宋体" w:hAnsi="宋体" w:cs="宋体"/>
          <w:sz w:val="24"/>
          <w:szCs w:val="24"/>
          <w:highlight w:val="none"/>
        </w:rPr>
        <w:t>此部分采用《建设工程施工合同》（示范文本）（GF-2013-0201）中《第二部分通用合同条款》。</w:t>
      </w:r>
    </w:p>
    <w:bookmarkEnd w:id="149"/>
    <w:p w14:paraId="0AA9D3B6">
      <w:pPr>
        <w:pStyle w:val="35"/>
        <w:wordWrap w:val="0"/>
        <w:autoSpaceDE w:val="0"/>
        <w:autoSpaceDN w:val="0"/>
        <w:adjustRightInd w:val="0"/>
        <w:snapToGrid w:val="0"/>
        <w:spacing w:line="360" w:lineRule="auto"/>
        <w:ind w:left="0" w:firstLine="0"/>
        <w:jc w:val="center"/>
        <w:rPr>
          <w:rFonts w:ascii="宋体" w:hAnsi="宋体" w:cs="宋体"/>
          <w:highlight w:val="none"/>
        </w:rPr>
      </w:pPr>
      <w:bookmarkStart w:id="150" w:name="_Toc4806"/>
      <w:bookmarkStart w:id="151" w:name="_Toc25884"/>
      <w:bookmarkStart w:id="152" w:name="_Toc3267"/>
      <w:bookmarkStart w:id="153" w:name="_Toc13497"/>
      <w:bookmarkStart w:id="154" w:name="_Toc28993"/>
      <w:bookmarkStart w:id="155" w:name="_Toc28486"/>
      <w:bookmarkStart w:id="156" w:name="_Toc351203632"/>
      <w:bookmarkStart w:id="157" w:name="_Toc20111"/>
      <w:bookmarkStart w:id="158" w:name="_Toc26463"/>
      <w:r>
        <w:rPr>
          <w:rFonts w:hint="eastAsia" w:ascii="宋体" w:hAnsi="宋体" w:cs="宋体"/>
          <w:highlight w:val="none"/>
        </w:rPr>
        <w:t>第三部分  专用合同条款</w:t>
      </w:r>
      <w:bookmarkEnd w:id="150"/>
      <w:bookmarkEnd w:id="151"/>
      <w:bookmarkEnd w:id="152"/>
      <w:bookmarkEnd w:id="153"/>
      <w:bookmarkEnd w:id="154"/>
      <w:bookmarkEnd w:id="155"/>
      <w:bookmarkEnd w:id="156"/>
      <w:bookmarkEnd w:id="157"/>
      <w:bookmarkEnd w:id="158"/>
    </w:p>
    <w:p w14:paraId="3D690C57">
      <w:pPr>
        <w:wordWrap w:val="0"/>
        <w:autoSpaceDE w:val="0"/>
        <w:autoSpaceDN w:val="0"/>
        <w:adjustRightInd w:val="0"/>
        <w:snapToGrid w:val="0"/>
        <w:spacing w:line="360" w:lineRule="auto"/>
        <w:ind w:firstLine="480" w:firstLineChars="200"/>
        <w:rPr>
          <w:rFonts w:ascii="宋体" w:hAnsi="宋体" w:cs="宋体"/>
          <w:sz w:val="24"/>
          <w:szCs w:val="24"/>
          <w:highlight w:val="none"/>
        </w:rPr>
      </w:pPr>
      <w:bookmarkStart w:id="159" w:name="_Toc351203633"/>
      <w:r>
        <w:rPr>
          <w:rFonts w:hint="eastAsia" w:ascii="宋体" w:hAnsi="宋体" w:cs="宋体"/>
          <w:sz w:val="24"/>
          <w:szCs w:val="24"/>
          <w:highlight w:val="none"/>
        </w:rPr>
        <w:t>1</w:t>
      </w:r>
      <w:bookmarkStart w:id="160" w:name="_Toc296890984"/>
      <w:bookmarkStart w:id="161" w:name="_Toc296891196"/>
      <w:bookmarkStart w:id="162" w:name="_Toc296346657"/>
      <w:bookmarkStart w:id="163" w:name="_Toc296347155"/>
      <w:bookmarkStart w:id="164" w:name="_Toc297120456"/>
      <w:bookmarkStart w:id="165" w:name="_Toc292559361"/>
      <w:bookmarkStart w:id="166" w:name="_Toc292559866"/>
      <w:bookmarkStart w:id="167" w:name="_Toc297048342"/>
      <w:bookmarkStart w:id="168" w:name="_Toc296944495"/>
      <w:bookmarkStart w:id="169" w:name="_Toc296503156"/>
      <w:r>
        <w:rPr>
          <w:rFonts w:hint="eastAsia" w:ascii="宋体" w:hAnsi="宋体" w:cs="宋体"/>
          <w:sz w:val="24"/>
          <w:szCs w:val="24"/>
          <w:highlight w:val="none"/>
        </w:rPr>
        <w:t>.一般约定</w:t>
      </w:r>
      <w:bookmarkEnd w:id="159"/>
      <w:bookmarkEnd w:id="160"/>
      <w:bookmarkEnd w:id="161"/>
      <w:bookmarkEnd w:id="162"/>
      <w:bookmarkEnd w:id="163"/>
      <w:bookmarkEnd w:id="164"/>
      <w:bookmarkEnd w:id="165"/>
      <w:bookmarkEnd w:id="166"/>
      <w:bookmarkEnd w:id="167"/>
      <w:bookmarkEnd w:id="168"/>
      <w:bookmarkEnd w:id="169"/>
    </w:p>
    <w:p w14:paraId="77716623">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1.1词语定义</w:t>
      </w:r>
    </w:p>
    <w:p w14:paraId="693169AE">
      <w:pPr>
        <w:wordWrap w:val="0"/>
        <w:autoSpaceDE w:val="0"/>
        <w:autoSpaceDN w:val="0"/>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1.1.1合同</w:t>
      </w:r>
    </w:p>
    <w:p w14:paraId="6811A3C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1.1.1.10其他合同文件包括：</w:t>
      </w:r>
      <w:r>
        <w:rPr>
          <w:rFonts w:hint="eastAsia" w:ascii="宋体" w:hAnsi="宋体" w:cs="宋体"/>
          <w:sz w:val="24"/>
          <w:szCs w:val="24"/>
          <w:highlight w:val="none"/>
          <w:u w:val="single"/>
        </w:rPr>
        <w:t>本合同履行过程中双方达成的补充协议、承诺书、会议纪要等；招标文件投标须知及招标文件修改澄清(含答疑)；明确双方权利、义务的纪要、协议；中标通知书；投标书及其附件；标准、规范及有关技术文件、技术要求；施工图纸；工程量清单及其总说明；工程报价单或预算书</w:t>
      </w:r>
      <w:r>
        <w:rPr>
          <w:rFonts w:hint="eastAsia" w:ascii="宋体" w:hAnsi="宋体" w:cs="宋体"/>
          <w:sz w:val="24"/>
          <w:szCs w:val="24"/>
          <w:highlight w:val="none"/>
        </w:rPr>
        <w:t>。</w:t>
      </w:r>
    </w:p>
    <w:p w14:paraId="22A3B2B0">
      <w:pPr>
        <w:spacing w:line="480" w:lineRule="exact"/>
        <w:ind w:firstLine="480" w:firstLineChars="200"/>
        <w:rPr>
          <w:rFonts w:ascii="宋体" w:hAnsi="宋体"/>
          <w:color w:val="000000"/>
          <w:sz w:val="24"/>
          <w:szCs w:val="24"/>
          <w:highlight w:val="none"/>
        </w:rPr>
      </w:pPr>
      <w:r>
        <w:rPr>
          <w:rFonts w:ascii="宋体" w:hAnsi="宋体"/>
          <w:color w:val="000000"/>
          <w:sz w:val="24"/>
          <w:szCs w:val="24"/>
          <w:highlight w:val="none"/>
        </w:rPr>
        <w:t>1.1.2 合同当事人及其他相关方</w:t>
      </w:r>
    </w:p>
    <w:p w14:paraId="3E4748AF">
      <w:pPr>
        <w:spacing w:line="480" w:lineRule="exact"/>
        <w:ind w:firstLine="480" w:firstLineChars="200"/>
        <w:rPr>
          <w:rFonts w:ascii="宋体" w:hAnsi="宋体"/>
          <w:color w:val="000000"/>
          <w:sz w:val="24"/>
          <w:szCs w:val="24"/>
          <w:highlight w:val="none"/>
        </w:rPr>
      </w:pPr>
      <w:r>
        <w:rPr>
          <w:rFonts w:ascii="宋体" w:hAnsi="宋体"/>
          <w:color w:val="000000"/>
          <w:sz w:val="24"/>
          <w:szCs w:val="24"/>
          <w:highlight w:val="none"/>
        </w:rPr>
        <w:t>1.1.2.</w:t>
      </w:r>
      <w:r>
        <w:rPr>
          <w:rFonts w:hint="eastAsia" w:ascii="宋体" w:hAnsi="宋体"/>
          <w:color w:val="000000"/>
          <w:sz w:val="24"/>
          <w:szCs w:val="24"/>
          <w:highlight w:val="none"/>
          <w:lang w:val="en-US" w:eastAsia="zh-CN"/>
        </w:rPr>
        <w:t>4</w:t>
      </w:r>
      <w:r>
        <w:rPr>
          <w:rFonts w:ascii="宋体" w:hAnsi="宋体"/>
          <w:color w:val="000000"/>
          <w:sz w:val="24"/>
          <w:szCs w:val="24"/>
          <w:highlight w:val="none"/>
        </w:rPr>
        <w:t>监理人：</w:t>
      </w:r>
    </w:p>
    <w:p w14:paraId="05585940">
      <w:pPr>
        <w:spacing w:line="480" w:lineRule="exact"/>
        <w:ind w:firstLine="480" w:firstLineChars="200"/>
        <w:rPr>
          <w:rFonts w:ascii="宋体" w:hAnsi="宋体"/>
          <w:color w:val="000000"/>
          <w:sz w:val="24"/>
          <w:szCs w:val="24"/>
          <w:highlight w:val="none"/>
        </w:rPr>
      </w:pPr>
      <w:r>
        <w:rPr>
          <w:rFonts w:ascii="宋体" w:hAnsi="宋体"/>
          <w:color w:val="000000"/>
          <w:sz w:val="24"/>
          <w:szCs w:val="24"/>
          <w:highlight w:val="none"/>
        </w:rPr>
        <w:t>名    称：</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14:paraId="226ED24B">
      <w:pPr>
        <w:spacing w:line="480" w:lineRule="exact"/>
        <w:ind w:firstLine="480" w:firstLineChars="200"/>
        <w:rPr>
          <w:rFonts w:ascii="宋体" w:hAnsi="宋体"/>
          <w:color w:val="000000"/>
          <w:sz w:val="24"/>
          <w:szCs w:val="24"/>
          <w:highlight w:val="none"/>
        </w:rPr>
      </w:pPr>
      <w:r>
        <w:rPr>
          <w:rFonts w:ascii="宋体" w:hAnsi="宋体"/>
          <w:color w:val="000000"/>
          <w:sz w:val="24"/>
          <w:szCs w:val="24"/>
          <w:highlight w:val="none"/>
        </w:rPr>
        <w:t>资质类别和等级：</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color w:val="000000"/>
          <w:sz w:val="24"/>
          <w:szCs w:val="24"/>
          <w:highlight w:val="none"/>
        </w:rPr>
        <w:t>；</w:t>
      </w:r>
    </w:p>
    <w:p w14:paraId="2EB9CE8A">
      <w:pPr>
        <w:spacing w:line="480" w:lineRule="exact"/>
        <w:ind w:firstLine="480" w:firstLineChars="200"/>
        <w:rPr>
          <w:rFonts w:ascii="宋体" w:hAnsi="宋体"/>
          <w:color w:val="000000"/>
          <w:sz w:val="24"/>
          <w:szCs w:val="24"/>
          <w:highlight w:val="none"/>
        </w:rPr>
      </w:pPr>
      <w:r>
        <w:rPr>
          <w:rFonts w:ascii="宋体" w:hAnsi="宋体"/>
          <w:color w:val="000000"/>
          <w:sz w:val="24"/>
          <w:szCs w:val="24"/>
          <w:highlight w:val="none"/>
        </w:rPr>
        <w:t>联系电话：</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w:t>
      </w:r>
    </w:p>
    <w:p w14:paraId="49FCCB89">
      <w:pPr>
        <w:spacing w:line="480" w:lineRule="exact"/>
        <w:ind w:firstLine="480" w:firstLineChars="200"/>
        <w:rPr>
          <w:highlight w:val="none"/>
        </w:rPr>
      </w:pPr>
      <w:r>
        <w:rPr>
          <w:rFonts w:ascii="宋体" w:hAnsi="宋体"/>
          <w:color w:val="000000"/>
          <w:sz w:val="24"/>
          <w:szCs w:val="24"/>
          <w:highlight w:val="none"/>
        </w:rPr>
        <w:t>通信地址：</w:t>
      </w:r>
      <w:r>
        <w:rPr>
          <w:rFonts w:ascii="宋体" w:hAnsi="宋体"/>
          <w:color w:val="000000"/>
          <w:sz w:val="24"/>
          <w:szCs w:val="24"/>
          <w:highlight w:val="none"/>
          <w:u w:val="single"/>
        </w:rPr>
        <w:t></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14:paraId="3E7A384D">
      <w:pPr>
        <w:wordWrap w:val="0"/>
        <w:autoSpaceDE w:val="0"/>
        <w:autoSpaceDN w:val="0"/>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1.1.3工程和设备</w:t>
      </w:r>
    </w:p>
    <w:p w14:paraId="505CB02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w:t>
      </w:r>
      <w:r>
        <w:rPr>
          <w:rFonts w:hint="eastAsia" w:ascii="宋体" w:hAnsi="宋体" w:cs="宋体"/>
          <w:sz w:val="24"/>
          <w:szCs w:val="24"/>
          <w:highlight w:val="none"/>
          <w:lang w:val="en-US" w:eastAsia="zh-CN"/>
        </w:rPr>
        <w:t>7</w:t>
      </w:r>
      <w:r>
        <w:rPr>
          <w:rFonts w:hint="eastAsia" w:ascii="宋体" w:hAnsi="宋体" w:cs="宋体"/>
          <w:sz w:val="24"/>
          <w:szCs w:val="24"/>
          <w:highlight w:val="none"/>
        </w:rPr>
        <w:t>作为施工现场组成部分的其他场所包括：</w:t>
      </w:r>
      <w:r>
        <w:rPr>
          <w:rFonts w:hint="eastAsia" w:ascii="宋体" w:hAnsi="宋体" w:cs="宋体"/>
          <w:sz w:val="24"/>
          <w:szCs w:val="24"/>
          <w:highlight w:val="none"/>
          <w:u w:val="single"/>
          <w:lang w:val="en-US" w:eastAsia="zh-CN"/>
        </w:rPr>
        <w:t xml:space="preserve"> 承包人施工现场的布置、材料存放、卫生设施、宿舍、食堂、办公室、仓库等临时设施的搭建，要服从发包人及监理的统一安排。承包人必须确保施工现场有条不紊、规范有序，达到安全文明的施工标准。建筑及生活垃圾必须及时清理，尽量减少对周边环境的影响。向发包人及监理方提供的办公和生活房屋及设施，费用由承包人承担 </w:t>
      </w:r>
      <w:r>
        <w:rPr>
          <w:rFonts w:hint="eastAsia" w:ascii="宋体" w:hAnsi="宋体" w:cs="宋体"/>
          <w:sz w:val="24"/>
          <w:szCs w:val="24"/>
          <w:highlight w:val="none"/>
          <w:u w:val="none"/>
        </w:rPr>
        <w:t>。</w:t>
      </w:r>
    </w:p>
    <w:p w14:paraId="36786ABD">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法律</w:t>
      </w:r>
    </w:p>
    <w:p w14:paraId="5C975A0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适用于合同的其他规范性文件：</w:t>
      </w:r>
      <w:r>
        <w:rPr>
          <w:rFonts w:hint="eastAsia" w:ascii="宋体" w:hAnsi="宋体" w:cs="宋体"/>
          <w:sz w:val="24"/>
          <w:szCs w:val="24"/>
          <w:highlight w:val="none"/>
          <w:u w:val="single"/>
        </w:rPr>
        <w:t>《中华人民共和国民法典》</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《中华人民共和国建筑法》、《中华人民共和国招标投标法》、《建设工程质量管理条例》及其他法律法规</w:t>
      </w:r>
      <w:r>
        <w:rPr>
          <w:rFonts w:hint="eastAsia" w:ascii="宋体" w:hAnsi="宋体" w:cs="宋体"/>
          <w:sz w:val="24"/>
          <w:szCs w:val="24"/>
          <w:highlight w:val="none"/>
        </w:rPr>
        <w:t>。</w:t>
      </w:r>
    </w:p>
    <w:p w14:paraId="4DCAF46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标准和规范</w:t>
      </w:r>
    </w:p>
    <w:p w14:paraId="48BF5C92">
      <w:pPr>
        <w:wordWrap w:val="0"/>
        <w:autoSpaceDE w:val="0"/>
        <w:autoSpaceDN w:val="0"/>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.1适用于工程的标准规范包括：</w:t>
      </w:r>
      <w:r>
        <w:rPr>
          <w:rFonts w:hint="eastAsia" w:ascii="宋体" w:hAnsi="宋体" w:cs="宋体"/>
          <w:sz w:val="24"/>
          <w:szCs w:val="24"/>
          <w:highlight w:val="none"/>
          <w:u w:val="single"/>
        </w:rPr>
        <w:t>按国家、省、市现行的标准、规范执行</w:t>
      </w:r>
      <w:r>
        <w:rPr>
          <w:rFonts w:hint="eastAsia" w:ascii="宋体" w:hAnsi="宋体" w:cs="宋体"/>
          <w:kern w:val="0"/>
          <w:sz w:val="24"/>
          <w:szCs w:val="24"/>
          <w:highlight w:val="none"/>
        </w:rPr>
        <w:t>。</w:t>
      </w:r>
    </w:p>
    <w:p w14:paraId="1E3D57A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合同文件的优先顺序</w:t>
      </w:r>
    </w:p>
    <w:p w14:paraId="5AEA568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合同文件组成及优先顺序为：</w:t>
      </w:r>
      <w:r>
        <w:rPr>
          <w:rFonts w:hint="eastAsia" w:ascii="宋体" w:hAnsi="宋体" w:cs="宋体"/>
          <w:sz w:val="24"/>
          <w:szCs w:val="24"/>
          <w:highlight w:val="none"/>
          <w:u w:val="single"/>
        </w:rPr>
        <w:t>1、本协议书；2、中标通知书；3、投标函及其附件；4、专用合同条款；5、通用合同条款；6、技术标准和要求；7、图纸；8、已标价工程量清单；9、其他合同文件</w:t>
      </w:r>
      <w:r>
        <w:rPr>
          <w:rFonts w:hint="eastAsia" w:ascii="宋体" w:hAnsi="宋体" w:cs="宋体"/>
          <w:sz w:val="24"/>
          <w:szCs w:val="24"/>
          <w:highlight w:val="none"/>
        </w:rPr>
        <w:t>。</w:t>
      </w:r>
    </w:p>
    <w:p w14:paraId="783EC7D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1.6图纸和</w:t>
      </w:r>
      <w:r>
        <w:rPr>
          <w:rFonts w:hint="eastAsia" w:ascii="宋体" w:hAnsi="宋体" w:cs="宋体"/>
          <w:sz w:val="24"/>
          <w:szCs w:val="24"/>
          <w:highlight w:val="none"/>
          <w:lang w:eastAsia="zh-CN"/>
        </w:rPr>
        <w:t>承包人</w:t>
      </w:r>
      <w:r>
        <w:rPr>
          <w:rFonts w:hint="eastAsia" w:ascii="宋体" w:hAnsi="宋体" w:cs="宋体"/>
          <w:sz w:val="24"/>
          <w:szCs w:val="24"/>
          <w:highlight w:val="none"/>
        </w:rPr>
        <w:t>文件</w:t>
      </w:r>
    </w:p>
    <w:p w14:paraId="01CC4833">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1.6.1图纸的提供</w:t>
      </w:r>
    </w:p>
    <w:p w14:paraId="6EB8348D">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发包人向承包人提供图纸的期限：</w:t>
      </w:r>
      <w:r>
        <w:rPr>
          <w:rFonts w:hint="eastAsia" w:ascii="宋体" w:hAnsi="宋体" w:cs="宋体"/>
          <w:sz w:val="24"/>
          <w:szCs w:val="24"/>
          <w:highlight w:val="none"/>
          <w:u w:val="single"/>
        </w:rPr>
        <w:t>项目开工7天前提供</w:t>
      </w:r>
      <w:r>
        <w:rPr>
          <w:rFonts w:hint="eastAsia" w:ascii="宋体" w:hAnsi="宋体" w:cs="宋体"/>
          <w:sz w:val="24"/>
          <w:szCs w:val="24"/>
          <w:highlight w:val="none"/>
        </w:rPr>
        <w:t>；</w:t>
      </w:r>
    </w:p>
    <w:p w14:paraId="0C684A0E">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发包人向承包人提供图纸的数量：</w:t>
      </w:r>
      <w:r>
        <w:rPr>
          <w:rFonts w:hint="eastAsia" w:ascii="宋体" w:hAnsi="宋体" w:cs="宋体"/>
          <w:sz w:val="24"/>
          <w:szCs w:val="24"/>
          <w:highlight w:val="none"/>
          <w:u w:val="single"/>
        </w:rPr>
        <w:t>提供全套施工图</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套</w:t>
      </w:r>
      <w:r>
        <w:rPr>
          <w:rFonts w:hint="eastAsia" w:ascii="宋体" w:hAnsi="宋体" w:cs="宋体"/>
          <w:sz w:val="24"/>
          <w:szCs w:val="24"/>
          <w:highlight w:val="none"/>
        </w:rPr>
        <w:t>；</w:t>
      </w:r>
    </w:p>
    <w:p w14:paraId="3A73C90E">
      <w:pPr>
        <w:wordWrap w:val="0"/>
        <w:autoSpaceDE w:val="0"/>
        <w:autoSpaceDN w:val="0"/>
        <w:adjustRightInd w:val="0"/>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发包人向承包人提供图纸的内容：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全套施工图</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4F31FF31">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w:t>
      </w:r>
      <w:r>
        <w:rPr>
          <w:rFonts w:hint="eastAsia" w:ascii="宋体" w:hAnsi="宋体" w:cs="宋体"/>
          <w:sz w:val="24"/>
          <w:szCs w:val="24"/>
          <w:highlight w:val="none"/>
          <w:lang w:val="en-US" w:eastAsia="zh-CN"/>
        </w:rPr>
        <w:t>4</w:t>
      </w:r>
      <w:r>
        <w:rPr>
          <w:rFonts w:hint="eastAsia" w:ascii="宋体" w:hAnsi="宋体" w:cs="宋体"/>
          <w:sz w:val="24"/>
          <w:szCs w:val="24"/>
          <w:highlight w:val="none"/>
        </w:rPr>
        <w:t>承包人文件</w:t>
      </w:r>
    </w:p>
    <w:p w14:paraId="10B427E3">
      <w:p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none"/>
          <w:lang w:eastAsia="zh-CN"/>
        </w:rPr>
      </w:pPr>
      <w:r>
        <w:rPr>
          <w:rFonts w:hint="eastAsia" w:ascii="宋体" w:hAnsi="宋体" w:cs="宋体"/>
          <w:sz w:val="24"/>
          <w:szCs w:val="24"/>
          <w:highlight w:val="none"/>
        </w:rPr>
        <w:t>需要由承包人提供的文件，包括：</w:t>
      </w:r>
      <w:r>
        <w:rPr>
          <w:rFonts w:hint="eastAsia" w:ascii="宋体" w:hAnsi="宋体" w:cs="宋体"/>
          <w:sz w:val="24"/>
          <w:szCs w:val="24"/>
          <w:highlight w:val="none"/>
          <w:u w:val="single"/>
        </w:rPr>
        <w:t xml:space="preserve">  公司营业执照、资质</w:t>
      </w:r>
      <w:r>
        <w:rPr>
          <w:rFonts w:hint="eastAsia" w:ascii="宋体" w:hAnsi="宋体" w:cs="宋体"/>
          <w:sz w:val="24"/>
          <w:szCs w:val="24"/>
          <w:highlight w:val="none"/>
          <w:u w:val="single"/>
          <w:lang w:val="en-US" w:eastAsia="zh-CN"/>
        </w:rPr>
        <w:t>证书</w:t>
      </w:r>
      <w:r>
        <w:rPr>
          <w:rFonts w:hint="eastAsia" w:ascii="宋体" w:hAnsi="宋体" w:cs="宋体"/>
          <w:sz w:val="24"/>
          <w:szCs w:val="24"/>
          <w:highlight w:val="none"/>
          <w:u w:val="single"/>
        </w:rPr>
        <w:t>、安全许可证</w:t>
      </w:r>
      <w:r>
        <w:rPr>
          <w:rFonts w:hint="eastAsia" w:ascii="宋体" w:hAnsi="宋体" w:cs="宋体"/>
          <w:sz w:val="24"/>
          <w:szCs w:val="24"/>
          <w:highlight w:val="none"/>
          <w:u w:val="single"/>
          <w:lang w:eastAsia="zh-CN"/>
        </w:rPr>
        <w:t>、每</w:t>
      </w:r>
      <w:r>
        <w:rPr>
          <w:rFonts w:hint="eastAsia" w:ascii="宋体" w:hAnsi="宋体" w:cs="宋体"/>
          <w:sz w:val="24"/>
          <w:szCs w:val="24"/>
          <w:highlight w:val="none"/>
          <w:u w:val="single"/>
          <w:lang w:val="en-US" w:eastAsia="zh-CN"/>
        </w:rPr>
        <w:t>月</w:t>
      </w:r>
      <w:r>
        <w:rPr>
          <w:rFonts w:hint="eastAsia" w:ascii="宋体" w:hAnsi="宋体" w:cs="宋体"/>
          <w:sz w:val="24"/>
          <w:szCs w:val="24"/>
          <w:highlight w:val="none"/>
          <w:u w:val="single"/>
          <w:lang w:eastAsia="zh-CN"/>
        </w:rPr>
        <w:t>分别向发包人及监理方提供详细的施工进度计划、已完工程量报表（含工程变更及签证算）等资料。施工组织设计在开工</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lang w:eastAsia="zh-CN"/>
        </w:rPr>
        <w:t>日内向发包人提供。需要由承包人提供的文件还包括：（1）设计变更、签证申请报告；（2）隐蔽工程和中间验收通知；（3）竣工验收申请报告；（4）竣工资料；（5）竣工结算申请单及结算资料；（6）最终结清申请单；其他应监理人或发包人要求提交的其他报告、报表：承包人应在正式施工前向发包人提供详细施工技术方案及未来清单报价表（含综合单价分析表等）并附光盘，经发包人审核书面同意后方可进场施工</w:t>
      </w:r>
      <w:r>
        <w:rPr>
          <w:rFonts w:hint="eastAsia" w:ascii="宋体" w:hAnsi="宋体" w:cs="宋体"/>
          <w:sz w:val="24"/>
          <w:szCs w:val="24"/>
          <w:highlight w:val="none"/>
          <w:u w:val="none"/>
          <w:lang w:eastAsia="zh-CN"/>
        </w:rPr>
        <w:t>。</w:t>
      </w:r>
    </w:p>
    <w:p w14:paraId="0F7795D4">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承包人提供的文件的期限为：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除了上述第1.6.2条款规定的文件提交期限外，其他文件提交时间为相关事件发生之日起3天内</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5C15791">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承包人提供的文件的数量为：</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 xml:space="preserve">一式叁份，交发包人和监理各一份，承包人留存一份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2A3832B">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承包人提供的文件的形式为：</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 xml:space="preserve">书面形式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F5723A0">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发包人审批承包人文件的期限：</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发包人收到文件后14天内</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9D8B91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w:t>
      </w:r>
      <w:r>
        <w:rPr>
          <w:rFonts w:hint="eastAsia" w:ascii="宋体" w:hAnsi="宋体" w:cs="宋体"/>
          <w:sz w:val="24"/>
          <w:szCs w:val="24"/>
          <w:highlight w:val="none"/>
          <w:lang w:val="en-US" w:eastAsia="zh-CN"/>
        </w:rPr>
        <w:t>5</w:t>
      </w:r>
      <w:r>
        <w:rPr>
          <w:rFonts w:hint="eastAsia" w:ascii="宋体" w:hAnsi="宋体" w:cs="宋体"/>
          <w:sz w:val="24"/>
          <w:szCs w:val="24"/>
          <w:highlight w:val="none"/>
        </w:rPr>
        <w:t>现场图纸准备</w:t>
      </w:r>
    </w:p>
    <w:p w14:paraId="35A4B9E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关于现场图纸准备的约定：</w:t>
      </w:r>
      <w:r>
        <w:rPr>
          <w:rFonts w:hint="eastAsia" w:ascii="宋体" w:hAnsi="宋体" w:cs="宋体"/>
          <w:sz w:val="24"/>
          <w:szCs w:val="24"/>
          <w:highlight w:val="none"/>
          <w:u w:val="single"/>
          <w:lang w:val="en-US" w:eastAsia="zh-CN"/>
        </w:rPr>
        <w:t xml:space="preserve">   3份   </w:t>
      </w:r>
      <w:r>
        <w:rPr>
          <w:rFonts w:hint="eastAsia" w:ascii="宋体" w:hAnsi="宋体" w:cs="宋体"/>
          <w:sz w:val="24"/>
          <w:szCs w:val="24"/>
          <w:highlight w:val="none"/>
        </w:rPr>
        <w:t>。</w:t>
      </w:r>
    </w:p>
    <w:p w14:paraId="565B047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1.7联络</w:t>
      </w:r>
    </w:p>
    <w:p w14:paraId="7F06CA71">
      <w:pPr>
        <w:wordWrap w:val="0"/>
        <w:autoSpaceDE w:val="0"/>
        <w:autoSpaceDN w:val="0"/>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1.7.1</w:t>
      </w:r>
      <w:r>
        <w:rPr>
          <w:rFonts w:hint="eastAsia" w:ascii="宋体" w:hAnsi="宋体" w:cs="宋体"/>
          <w:kern w:val="0"/>
          <w:sz w:val="24"/>
          <w:szCs w:val="24"/>
          <w:highlight w:val="none"/>
          <w:lang w:val="en-US" w:eastAsia="zh-CN"/>
        </w:rPr>
        <w:t>发包人</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承包人</w:t>
      </w:r>
      <w:r>
        <w:rPr>
          <w:rFonts w:hint="eastAsia" w:ascii="宋体" w:hAnsi="宋体" w:cs="宋体"/>
          <w:kern w:val="0"/>
          <w:sz w:val="24"/>
          <w:szCs w:val="24"/>
          <w:highlight w:val="none"/>
        </w:rPr>
        <w:t>及监理方应当在</w:t>
      </w:r>
      <w:r>
        <w:rPr>
          <w:rFonts w:hint="eastAsia" w:ascii="宋体" w:hAnsi="宋体" w:cs="宋体"/>
          <w:kern w:val="0"/>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3  </w:t>
      </w:r>
      <w:r>
        <w:rPr>
          <w:rFonts w:hint="eastAsia" w:ascii="宋体" w:hAnsi="宋体" w:cs="宋体"/>
          <w:kern w:val="0"/>
          <w:sz w:val="24"/>
          <w:szCs w:val="24"/>
          <w:highlight w:val="none"/>
        </w:rPr>
        <w:t>天内将与合同有关的通知、批准、证明、证书、指示、指 令、要求、请求、同意、意见、确定和决定等书面函件送达对方当事人。</w:t>
      </w:r>
    </w:p>
    <w:p w14:paraId="0898CFA4">
      <w:pPr>
        <w:wordWrap w:val="0"/>
        <w:autoSpaceDE w:val="0"/>
        <w:autoSpaceDN w:val="0"/>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1.7.2 发包人接收文件的地点：</w:t>
      </w:r>
      <w:r>
        <w:rPr>
          <w:rFonts w:hint="eastAsia" w:ascii="宋体" w:hAnsi="宋体" w:cs="宋体"/>
          <w:kern w:val="0"/>
          <w:sz w:val="24"/>
          <w:szCs w:val="24"/>
          <w:highlight w:val="none"/>
          <w:u w:val="single"/>
        </w:rPr>
        <w:t>                       </w:t>
      </w:r>
      <w:r>
        <w:rPr>
          <w:rFonts w:hint="eastAsia" w:ascii="宋体" w:hAnsi="宋体" w:cs="宋体"/>
          <w:kern w:val="0"/>
          <w:sz w:val="24"/>
          <w:szCs w:val="24"/>
          <w:highlight w:val="none"/>
        </w:rPr>
        <w:t>；</w:t>
      </w:r>
    </w:p>
    <w:p w14:paraId="107A8BB0">
      <w:pPr>
        <w:wordWrap w:val="0"/>
        <w:autoSpaceDE w:val="0"/>
        <w:autoSpaceDN w:val="0"/>
        <w:adjustRightInd w:val="0"/>
        <w:snapToGrid w:val="0"/>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发包人指定的接收人为：</w:t>
      </w:r>
      <w:r>
        <w:rPr>
          <w:rFonts w:hint="eastAsia" w:ascii="宋体" w:hAnsi="宋体" w:cs="宋体"/>
          <w:kern w:val="0"/>
          <w:sz w:val="24"/>
          <w:szCs w:val="24"/>
          <w:highlight w:val="none"/>
          <w:u w:val="single"/>
        </w:rPr>
        <w:t>                     </w:t>
      </w:r>
      <w:r>
        <w:rPr>
          <w:rFonts w:hint="eastAsia" w:ascii="宋体" w:hAnsi="宋体" w:cs="宋体"/>
          <w:kern w:val="0"/>
          <w:sz w:val="24"/>
          <w:szCs w:val="24"/>
          <w:highlight w:val="none"/>
          <w:lang w:eastAsia="zh-CN"/>
        </w:rPr>
        <w:t>；</w:t>
      </w:r>
    </w:p>
    <w:p w14:paraId="0A034DAF">
      <w:pPr>
        <w:wordWrap w:val="0"/>
        <w:autoSpaceDE w:val="0"/>
        <w:autoSpaceDN w:val="0"/>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承包人接收文件的地点：</w:t>
      </w:r>
      <w:r>
        <w:rPr>
          <w:rFonts w:hint="eastAsia" w:ascii="宋体" w:hAnsi="宋体" w:cs="宋体"/>
          <w:kern w:val="0"/>
          <w:sz w:val="24"/>
          <w:szCs w:val="24"/>
          <w:highlight w:val="none"/>
          <w:u w:val="single"/>
        </w:rPr>
        <w:t>                         </w:t>
      </w:r>
      <w:r>
        <w:rPr>
          <w:rFonts w:hint="eastAsia" w:ascii="宋体" w:hAnsi="宋体" w:cs="宋体"/>
          <w:kern w:val="0"/>
          <w:sz w:val="24"/>
          <w:szCs w:val="24"/>
          <w:highlight w:val="none"/>
        </w:rPr>
        <w:t>；</w:t>
      </w:r>
    </w:p>
    <w:p w14:paraId="7C99D3C7">
      <w:pPr>
        <w:wordWrap w:val="0"/>
        <w:autoSpaceDE w:val="0"/>
        <w:autoSpaceDN w:val="0"/>
        <w:adjustRightInd w:val="0"/>
        <w:snapToGrid w:val="0"/>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承包人指定的接收人为：</w:t>
      </w:r>
      <w:r>
        <w:rPr>
          <w:rFonts w:hint="eastAsia" w:ascii="宋体" w:hAnsi="宋体" w:cs="宋体"/>
          <w:kern w:val="0"/>
          <w:sz w:val="24"/>
          <w:szCs w:val="24"/>
          <w:highlight w:val="none"/>
          <w:u w:val="single"/>
        </w:rPr>
        <w:t>                   </w:t>
      </w:r>
      <w:r>
        <w:rPr>
          <w:rFonts w:hint="eastAsia" w:ascii="宋体" w:hAnsi="宋体" w:cs="宋体"/>
          <w:kern w:val="0"/>
          <w:sz w:val="24"/>
          <w:szCs w:val="24"/>
          <w:highlight w:val="none"/>
          <w:lang w:eastAsia="zh-CN"/>
        </w:rPr>
        <w:t>；</w:t>
      </w:r>
    </w:p>
    <w:p w14:paraId="6AA5D6EF">
      <w:pPr>
        <w:wordWrap w:val="0"/>
        <w:autoSpaceDE w:val="0"/>
        <w:autoSpaceDN w:val="0"/>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监理人接收文件的地点：</w:t>
      </w:r>
      <w:r>
        <w:rPr>
          <w:rFonts w:hint="eastAsia" w:ascii="宋体" w:hAnsi="宋体" w:cs="宋体"/>
          <w:kern w:val="0"/>
          <w:sz w:val="24"/>
          <w:szCs w:val="24"/>
          <w:highlight w:val="none"/>
          <w:u w:val="single"/>
        </w:rPr>
        <w:t>                         </w:t>
      </w:r>
      <w:r>
        <w:rPr>
          <w:rFonts w:hint="eastAsia" w:ascii="宋体" w:hAnsi="宋体" w:cs="宋体"/>
          <w:kern w:val="0"/>
          <w:sz w:val="24"/>
          <w:szCs w:val="24"/>
          <w:highlight w:val="none"/>
        </w:rPr>
        <w:t>；</w:t>
      </w:r>
    </w:p>
    <w:p w14:paraId="5069DB2E">
      <w:pPr>
        <w:wordWrap w:val="0"/>
        <w:autoSpaceDE w:val="0"/>
        <w:autoSpaceDN w:val="0"/>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监理人指定的接收人为：</w:t>
      </w:r>
      <w:r>
        <w:rPr>
          <w:rFonts w:hint="eastAsia" w:ascii="宋体" w:hAnsi="宋体" w:cs="宋体"/>
          <w:kern w:val="0"/>
          <w:sz w:val="24"/>
          <w:szCs w:val="24"/>
          <w:highlight w:val="none"/>
          <w:u w:val="single"/>
        </w:rPr>
        <w:t>                     </w:t>
      </w:r>
      <w:r>
        <w:rPr>
          <w:rFonts w:hint="eastAsia" w:ascii="宋体" w:hAnsi="宋体" w:cs="宋体"/>
          <w:kern w:val="0"/>
          <w:sz w:val="24"/>
          <w:szCs w:val="24"/>
          <w:highlight w:val="none"/>
        </w:rPr>
        <w:t>。</w:t>
      </w:r>
    </w:p>
    <w:p w14:paraId="514DF0B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10</w:t>
      </w:r>
      <w:r>
        <w:rPr>
          <w:rFonts w:hint="eastAsia" w:ascii="宋体" w:hAnsi="宋体" w:cs="宋体"/>
          <w:sz w:val="24"/>
          <w:szCs w:val="24"/>
          <w:highlight w:val="none"/>
        </w:rPr>
        <w:t>交通运输</w:t>
      </w:r>
    </w:p>
    <w:p w14:paraId="2968591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bookmarkStart w:id="170" w:name="_Toc300934943"/>
      <w:bookmarkStart w:id="171" w:name="_Toc304295521"/>
      <w:bookmarkStart w:id="172" w:name="_Toc303539100"/>
      <w:bookmarkStart w:id="173" w:name="_Toc318581155"/>
      <w:bookmarkStart w:id="174" w:name="_Toc312677986"/>
      <w:r>
        <w:rPr>
          <w:rFonts w:hint="eastAsia" w:ascii="宋体" w:hAnsi="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cs="宋体"/>
          <w:sz w:val="24"/>
          <w:szCs w:val="24"/>
          <w:highlight w:val="none"/>
        </w:rPr>
        <w:t>.1出入现场的权利</w:t>
      </w:r>
    </w:p>
    <w:p w14:paraId="442D183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关于出入现场的权利的约定：</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必须服从</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及监理方管理，同时还需协助</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承担施工安全保卫的责任,禁止外单位施工车辆、人员出入工地。履约期间</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应满足现场施工管理的需要，达到有关规定的要求及承诺。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照规定负责施工现场的安全保卫工作及施工照明，负责施工人员的治安教育和施工安全教育工作，建立健全行之有效的管理制度。施工现场的临时用电安全参照现行规范执行，以确保施工阶段的一切安全工作，因措施不力、管理不善而由此发生的一切事故均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负责承担</w:t>
      </w:r>
      <w:r>
        <w:rPr>
          <w:rFonts w:hint="eastAsia" w:ascii="宋体" w:hAnsi="宋体" w:cs="宋体"/>
          <w:sz w:val="24"/>
          <w:szCs w:val="24"/>
          <w:highlight w:val="none"/>
        </w:rPr>
        <w:t>。</w:t>
      </w:r>
      <w:bookmarkEnd w:id="170"/>
      <w:bookmarkEnd w:id="171"/>
      <w:bookmarkEnd w:id="172"/>
      <w:bookmarkEnd w:id="173"/>
      <w:bookmarkEnd w:id="174"/>
    </w:p>
    <w:p w14:paraId="1796C061">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bookmarkStart w:id="175" w:name="_Toc318581156"/>
      <w:bookmarkStart w:id="176" w:name="_Toc303539101"/>
      <w:bookmarkStart w:id="177" w:name="_Toc304295522"/>
      <w:bookmarkStart w:id="178" w:name="_Toc312677987"/>
      <w:bookmarkStart w:id="179" w:name="_Toc300934944"/>
      <w:r>
        <w:rPr>
          <w:rFonts w:hint="eastAsia" w:ascii="宋体" w:hAnsi="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cs="宋体"/>
          <w:sz w:val="24"/>
          <w:szCs w:val="24"/>
          <w:highlight w:val="none"/>
        </w:rPr>
        <w:t>.3场内交通</w:t>
      </w:r>
    </w:p>
    <w:p w14:paraId="3FBE2A6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关于场外交通和场内交通的边界的约定：</w:t>
      </w:r>
      <w:r>
        <w:rPr>
          <w:rFonts w:hint="eastAsia" w:ascii="宋体" w:hAnsi="宋体" w:cs="宋体"/>
          <w:kern w:val="0"/>
          <w:sz w:val="24"/>
          <w:szCs w:val="24"/>
          <w:highlight w:val="none"/>
          <w:u w:val="single"/>
          <w:lang w:val="en-US" w:eastAsia="zh-CN"/>
        </w:rPr>
        <w:t xml:space="preserve">  根据现场实际情况约定 </w:t>
      </w:r>
      <w:r>
        <w:rPr>
          <w:rFonts w:hint="eastAsia" w:ascii="宋体" w:hAnsi="宋体" w:cs="宋体"/>
          <w:sz w:val="24"/>
          <w:szCs w:val="24"/>
          <w:highlight w:val="none"/>
        </w:rPr>
        <w:t>。</w:t>
      </w:r>
    </w:p>
    <w:p w14:paraId="21DE70D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向</w:t>
      </w:r>
      <w:r>
        <w:rPr>
          <w:rFonts w:hint="eastAsia" w:ascii="宋体" w:hAnsi="宋体" w:cs="宋体"/>
          <w:sz w:val="24"/>
          <w:szCs w:val="24"/>
          <w:highlight w:val="none"/>
          <w:lang w:eastAsia="zh-CN"/>
        </w:rPr>
        <w:t>承包人</w:t>
      </w:r>
      <w:r>
        <w:rPr>
          <w:rFonts w:hint="eastAsia" w:ascii="宋体" w:hAnsi="宋体" w:cs="宋体"/>
          <w:sz w:val="24"/>
          <w:szCs w:val="24"/>
          <w:highlight w:val="none"/>
        </w:rPr>
        <w:t>免费提供满足工程施工需要的场内道路和交通设施的约定：</w:t>
      </w:r>
      <w:r>
        <w:rPr>
          <w:rFonts w:hint="eastAsia" w:ascii="宋体" w:hAnsi="宋体" w:cs="宋体"/>
          <w:sz w:val="24"/>
          <w:szCs w:val="24"/>
          <w:highlight w:val="none"/>
          <w:u w:val="single"/>
        </w:rPr>
        <w:t>以现有交通条件为准</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bookmarkEnd w:id="175"/>
      <w:bookmarkEnd w:id="176"/>
      <w:bookmarkEnd w:id="177"/>
      <w:bookmarkEnd w:id="178"/>
      <w:bookmarkEnd w:id="179"/>
      <w:bookmarkStart w:id="180" w:name="_Toc318581157"/>
    </w:p>
    <w:p w14:paraId="2D90360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10</w:t>
      </w:r>
      <w:r>
        <w:rPr>
          <w:rFonts w:hint="eastAsia" w:ascii="宋体" w:hAnsi="宋体" w:cs="宋体"/>
          <w:sz w:val="24"/>
          <w:szCs w:val="24"/>
          <w:highlight w:val="none"/>
        </w:rPr>
        <w:t>.4超大件和超重件的运输</w:t>
      </w:r>
    </w:p>
    <w:p w14:paraId="5EF72FE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rPr>
        <w:t>承担。</w:t>
      </w:r>
      <w:bookmarkEnd w:id="180"/>
    </w:p>
    <w:p w14:paraId="65ABEAF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13</w:t>
      </w:r>
      <w:r>
        <w:rPr>
          <w:rFonts w:hint="eastAsia" w:ascii="宋体" w:hAnsi="宋体" w:cs="宋体"/>
          <w:sz w:val="24"/>
          <w:szCs w:val="24"/>
          <w:highlight w:val="none"/>
        </w:rPr>
        <w:t>工程量清单错误的修正</w:t>
      </w:r>
    </w:p>
    <w:p w14:paraId="692F2E86">
      <w:pPr>
        <w:wordWrap w:val="0"/>
        <w:autoSpaceDE w:val="0"/>
        <w:autoSpaceDN w:val="0"/>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出现工程量清单错误时，是否调整合同价格：</w:t>
      </w:r>
      <w:r>
        <w:rPr>
          <w:rFonts w:hint="eastAsia" w:ascii="宋体" w:hAnsi="宋体" w:cs="宋体"/>
          <w:sz w:val="24"/>
          <w:szCs w:val="24"/>
          <w:highlight w:val="none"/>
          <w:u w:val="single"/>
          <w:lang w:val="en-US" w:eastAsia="zh-CN"/>
        </w:rPr>
        <w:t xml:space="preserve"> 按照通用条款执行 </w:t>
      </w:r>
      <w:r>
        <w:rPr>
          <w:rFonts w:hint="eastAsia" w:ascii="宋体" w:hAnsi="宋体" w:cs="宋体"/>
          <w:kern w:val="0"/>
          <w:sz w:val="24"/>
          <w:szCs w:val="24"/>
          <w:highlight w:val="none"/>
        </w:rPr>
        <w:t>。</w:t>
      </w:r>
    </w:p>
    <w:p w14:paraId="6B3A88E2">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允许调整合同价格的工程量偏差范围：</w:t>
      </w:r>
      <w:bookmarkStart w:id="181" w:name="_Toc351203634"/>
    </w:p>
    <w:p w14:paraId="1CD1BE25">
      <w:pPr>
        <w:numPr>
          <w:ilvl w:val="0"/>
          <w:numId w:val="7"/>
        </w:num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single"/>
        </w:rPr>
        <w:t>已标价工程量清单有相同项目的，按照相同项目单价认定</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16847C68">
      <w:pPr>
        <w:numPr>
          <w:ilvl w:val="0"/>
          <w:numId w:val="7"/>
        </w:num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single"/>
        </w:rPr>
        <w:t>已标价工程量清单中无相同项目，但有类似项目的，参照类似项目的单价认定</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34062F7B">
      <w:pPr>
        <w:numPr>
          <w:ilvl w:val="0"/>
          <w:numId w:val="7"/>
        </w:num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none"/>
        </w:rPr>
      </w:pPr>
      <w:r>
        <w:rPr>
          <w:rFonts w:hint="eastAsia" w:ascii="宋体" w:hAnsi="宋体" w:cs="宋体"/>
          <w:sz w:val="24"/>
          <w:szCs w:val="24"/>
          <w:highlight w:val="none"/>
          <w:u w:val="single"/>
        </w:rPr>
        <w:t>已标价工程量清单中没有适用也没有类似于变更工程项目的，由承包人根据变更工程资料（施工图变更文件和项目监理人批复的工程变更施工方案）、计量规则和计价办法、工程造价管理的信息价格（变更当月）和承包人报价浮动率提出变更工程项目的单价，报发包人及项目造价咨询人（跟踪审计单位）确认后调整乘以L为结算综合单价。承包人报价浮动率按下列公式计算：承包人报价浮动率 L=[1-（中标造价/采购控制价）]× 100%</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eastAsia="zh-CN"/>
        </w:rPr>
        <w:t>；</w:t>
      </w:r>
    </w:p>
    <w:p w14:paraId="5404F4B7">
      <w:pPr>
        <w:numPr>
          <w:ilvl w:val="0"/>
          <w:numId w:val="8"/>
        </w:num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已标价工程量清单中没有适用也没有类似于变更工程项目，且工程造价管理机构发布的信息价格缺失的，材料价格由发包人、承包人、项目造价咨询人（跟踪审计单位）共同询价确认材料价后，按上条款办法确认单价。承包人不得以任何理由拒绝询价结果，否则认为承包人违约，发包人有权将涉及到此材料的分部分项工程量以不高于询价结果的材料价按本条目组价后指定分包给有能力承担此项工程的其他承包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 xml:space="preserve">。 </w:t>
      </w:r>
    </w:p>
    <w:p w14:paraId="51E96A4B">
      <w:pPr>
        <w:numPr>
          <w:ilvl w:val="0"/>
          <w:numId w:val="0"/>
        </w:numPr>
        <w:wordWrap w:val="0"/>
        <w:autoSpaceDE w:val="0"/>
        <w:autoSpaceDN w:val="0"/>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w:t>
      </w:r>
      <w:bookmarkStart w:id="182" w:name="_Toc296890985"/>
      <w:bookmarkStart w:id="183" w:name="_Toc296891197"/>
      <w:bookmarkStart w:id="184" w:name="_Toc296347156"/>
      <w:bookmarkStart w:id="185" w:name="_Toc292559867"/>
      <w:bookmarkStart w:id="186" w:name="_Toc296503157"/>
      <w:bookmarkStart w:id="187" w:name="_Toc297048343"/>
      <w:bookmarkStart w:id="188" w:name="_Toc292559362"/>
      <w:bookmarkStart w:id="189" w:name="_Toc296346658"/>
      <w:bookmarkStart w:id="190" w:name="_Toc297120457"/>
      <w:bookmarkStart w:id="191" w:name="_Toc296944496"/>
      <w:r>
        <w:rPr>
          <w:rFonts w:hint="eastAsia" w:ascii="宋体" w:hAnsi="宋体" w:cs="宋体"/>
          <w:sz w:val="24"/>
          <w:szCs w:val="24"/>
          <w:highlight w:val="none"/>
        </w:rPr>
        <w:t>.</w:t>
      </w:r>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sz w:val="24"/>
          <w:szCs w:val="24"/>
          <w:highlight w:val="none"/>
          <w:lang w:val="en-US" w:eastAsia="zh-CN"/>
        </w:rPr>
        <w:t>发包人</w:t>
      </w:r>
    </w:p>
    <w:p w14:paraId="58965C5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2发包人</w:t>
      </w:r>
      <w:r>
        <w:rPr>
          <w:rFonts w:hint="eastAsia" w:ascii="宋体" w:hAnsi="宋体" w:cs="宋体"/>
          <w:sz w:val="24"/>
          <w:szCs w:val="24"/>
          <w:highlight w:val="none"/>
        </w:rPr>
        <w:t>代表</w:t>
      </w:r>
    </w:p>
    <w:p w14:paraId="1984C85C">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现场代表：</w:t>
      </w:r>
    </w:p>
    <w:p w14:paraId="59D276BF">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 </w:t>
      </w:r>
      <w:r>
        <w:rPr>
          <w:rFonts w:hint="eastAsia" w:ascii="宋体" w:hAnsi="宋体" w:cs="宋体"/>
          <w:sz w:val="24"/>
          <w:szCs w:val="24"/>
          <w:highlight w:val="none"/>
        </w:rPr>
        <w:t>；</w:t>
      </w:r>
    </w:p>
    <w:p w14:paraId="38A26D30">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身份证号：</w:t>
      </w:r>
      <w:r>
        <w:rPr>
          <w:rFonts w:hint="eastAsia" w:ascii="宋体" w:hAnsi="宋体" w:cs="宋体"/>
          <w:sz w:val="24"/>
          <w:szCs w:val="24"/>
          <w:highlight w:val="none"/>
          <w:u w:val="single"/>
        </w:rPr>
        <w:t> 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49C3C302">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职    务：</w:t>
      </w:r>
      <w:r>
        <w:rPr>
          <w:rFonts w:hint="eastAsia" w:ascii="宋体" w:hAnsi="宋体" w:cs="宋体"/>
          <w:sz w:val="24"/>
          <w:szCs w:val="24"/>
          <w:highlight w:val="none"/>
          <w:u w:val="single"/>
        </w:rPr>
        <w:t xml:space="preserve">   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3305929">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  </w:t>
      </w:r>
      <w:r>
        <w:rPr>
          <w:rFonts w:hint="eastAsia" w:ascii="宋体" w:hAnsi="宋体" w:cs="宋体"/>
          <w:sz w:val="24"/>
          <w:szCs w:val="24"/>
          <w:highlight w:val="none"/>
        </w:rPr>
        <w:t>；</w:t>
      </w:r>
    </w:p>
    <w:p w14:paraId="53FFB1D4">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电子信箱：</w:t>
      </w:r>
      <w:r>
        <w:rPr>
          <w:rFonts w:hint="eastAsia" w:ascii="宋体" w:hAnsi="宋体" w:cs="宋体"/>
          <w:sz w:val="24"/>
          <w:szCs w:val="24"/>
          <w:highlight w:val="none"/>
          <w:u w:val="single"/>
        </w:rPr>
        <w:t xml:space="preserve">  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w:t>
      </w:r>
      <w:r>
        <w:rPr>
          <w:rFonts w:hint="eastAsia" w:ascii="宋体" w:hAnsi="宋体" w:cs="宋体"/>
          <w:sz w:val="24"/>
          <w:szCs w:val="24"/>
          <w:highlight w:val="none"/>
        </w:rPr>
        <w:t>；</w:t>
      </w:r>
    </w:p>
    <w:p w14:paraId="03254126">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通信地址：</w:t>
      </w:r>
      <w:r>
        <w:rPr>
          <w:rFonts w:hint="eastAsia" w:ascii="宋体" w:hAnsi="宋体" w:cs="宋体"/>
          <w:sz w:val="24"/>
          <w:szCs w:val="24"/>
          <w:highlight w:val="none"/>
          <w:u w:val="single"/>
        </w:rPr>
        <w:t>     </w:t>
      </w:r>
      <w:r>
        <w:rPr>
          <w:rFonts w:hint="eastAsia" w:ascii="宋体" w:hAnsi="宋体" w:cs="宋体"/>
          <w:sz w:val="24"/>
          <w:szCs w:val="24"/>
          <w:highlight w:val="none"/>
        </w:rPr>
        <w:t>。</w:t>
      </w:r>
    </w:p>
    <w:p w14:paraId="0E108CB0">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对</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代表的授权范围如下：</w:t>
      </w:r>
      <w:r>
        <w:rPr>
          <w:rFonts w:hint="eastAsia" w:ascii="宋体" w:hAnsi="宋体" w:cs="宋体"/>
          <w:sz w:val="24"/>
          <w:szCs w:val="24"/>
          <w:highlight w:val="none"/>
          <w:u w:val="single"/>
        </w:rPr>
        <w:t>负责整个工程施工过程中的协调工作，主持施工现场</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的工作；督促工程施工进度、质量、安全等</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对施工过程中的合同执行情况进行检查监督，包括工程量、新增项目变更等签证；工程进度款的确定；分包单位的确认；工程竣工验收报告的确认等</w:t>
      </w:r>
      <w:r>
        <w:rPr>
          <w:rFonts w:hint="eastAsia" w:ascii="宋体" w:hAnsi="宋体" w:cs="宋体"/>
          <w:sz w:val="24"/>
          <w:szCs w:val="24"/>
          <w:highlight w:val="none"/>
        </w:rPr>
        <w:t>。</w:t>
      </w:r>
    </w:p>
    <w:p w14:paraId="2B025AD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4</w:t>
      </w:r>
      <w:r>
        <w:rPr>
          <w:rFonts w:hint="eastAsia" w:ascii="宋体" w:hAnsi="宋体" w:cs="宋体"/>
          <w:sz w:val="24"/>
          <w:szCs w:val="24"/>
          <w:highlight w:val="none"/>
        </w:rPr>
        <w:t>施工现场、施工条件和基础资料的提供</w:t>
      </w:r>
    </w:p>
    <w:p w14:paraId="498E6B1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4</w:t>
      </w:r>
      <w:r>
        <w:rPr>
          <w:rFonts w:hint="eastAsia" w:ascii="宋体" w:hAnsi="宋体" w:cs="宋体"/>
          <w:sz w:val="24"/>
          <w:szCs w:val="24"/>
          <w:highlight w:val="none"/>
        </w:rPr>
        <w:t>.1提供施工现场</w:t>
      </w:r>
    </w:p>
    <w:p w14:paraId="6947061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移交施工现场的期限要求：</w:t>
      </w:r>
      <w:r>
        <w:rPr>
          <w:rFonts w:hint="eastAsia" w:ascii="宋体" w:hAnsi="宋体" w:cs="宋体"/>
          <w:sz w:val="24"/>
          <w:szCs w:val="24"/>
          <w:highlight w:val="none"/>
          <w:u w:val="single"/>
        </w:rPr>
        <w:t>合同签订后 3天内</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272D664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4</w:t>
      </w:r>
      <w:r>
        <w:rPr>
          <w:rFonts w:hint="eastAsia" w:ascii="宋体" w:hAnsi="宋体" w:cs="宋体"/>
          <w:sz w:val="24"/>
          <w:szCs w:val="24"/>
          <w:highlight w:val="none"/>
        </w:rPr>
        <w:t>.2提供施工条件</w:t>
      </w:r>
    </w:p>
    <w:p w14:paraId="438F00B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w:t>
      </w:r>
      <w:r>
        <w:rPr>
          <w:rFonts w:hint="eastAsia" w:ascii="宋体" w:hAnsi="宋体" w:cs="宋体"/>
          <w:sz w:val="24"/>
          <w:szCs w:val="24"/>
          <w:highlight w:val="none"/>
          <w:lang w:val="en-US" w:eastAsia="zh-CN"/>
        </w:rPr>
        <w:t>发包人</w:t>
      </w:r>
      <w:r>
        <w:rPr>
          <w:rFonts w:hint="eastAsia" w:ascii="宋体" w:hAnsi="宋体" w:cs="宋体"/>
          <w:sz w:val="24"/>
          <w:szCs w:val="24"/>
          <w:highlight w:val="none"/>
        </w:rPr>
        <w:t>应负责提供施工所需要的条件，包括：</w:t>
      </w:r>
      <w:r>
        <w:rPr>
          <w:rFonts w:hint="eastAsia" w:ascii="宋体" w:hAnsi="宋体" w:cs="宋体"/>
          <w:sz w:val="24"/>
          <w:szCs w:val="24"/>
          <w:highlight w:val="none"/>
          <w:u w:val="single"/>
        </w:rPr>
        <w:t>以现状为准</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bookmarkStart w:id="192" w:name="_Toc351203635"/>
    </w:p>
    <w:p w14:paraId="08A3E366">
      <w:pPr>
        <w:wordWrap w:val="0"/>
        <w:autoSpaceDE w:val="0"/>
        <w:autoSpaceDN w:val="0"/>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w:t>
      </w:r>
      <w:bookmarkStart w:id="193" w:name="_Toc297120458"/>
      <w:bookmarkStart w:id="194" w:name="_Toc296347157"/>
      <w:bookmarkStart w:id="195" w:name="_Toc297048344"/>
      <w:bookmarkStart w:id="196" w:name="_Toc292559363"/>
      <w:bookmarkStart w:id="197" w:name="_Toc296503158"/>
      <w:bookmarkStart w:id="198" w:name="_Toc296346659"/>
      <w:bookmarkStart w:id="199" w:name="_Toc296891198"/>
      <w:bookmarkStart w:id="200" w:name="_Toc292559868"/>
      <w:bookmarkStart w:id="201" w:name="_Toc296944497"/>
      <w:bookmarkStart w:id="202" w:name="_Toc296890986"/>
      <w:r>
        <w:rPr>
          <w:rFonts w:hint="eastAsia" w:ascii="宋体" w:hAnsi="宋体" w:cs="宋体"/>
          <w:sz w:val="24"/>
          <w:szCs w:val="24"/>
          <w:highlight w:val="none"/>
        </w:rPr>
        <w:t>.</w:t>
      </w:r>
      <w:bookmarkEnd w:id="192"/>
      <w:bookmarkEnd w:id="193"/>
      <w:bookmarkEnd w:id="194"/>
      <w:bookmarkEnd w:id="195"/>
      <w:bookmarkEnd w:id="196"/>
      <w:bookmarkEnd w:id="197"/>
      <w:bookmarkEnd w:id="198"/>
      <w:bookmarkEnd w:id="199"/>
      <w:bookmarkEnd w:id="200"/>
      <w:bookmarkEnd w:id="201"/>
      <w:bookmarkEnd w:id="202"/>
      <w:r>
        <w:rPr>
          <w:rFonts w:hint="eastAsia" w:ascii="宋体" w:hAnsi="宋体" w:cs="宋体"/>
          <w:sz w:val="24"/>
          <w:szCs w:val="24"/>
          <w:highlight w:val="none"/>
          <w:lang w:eastAsia="zh-CN"/>
        </w:rPr>
        <w:t>承包人</w:t>
      </w:r>
    </w:p>
    <w:p w14:paraId="55AD42D1">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eastAsia="zh-CN"/>
        </w:rPr>
        <w:t>承包人</w:t>
      </w:r>
      <w:r>
        <w:rPr>
          <w:rFonts w:hint="eastAsia" w:ascii="宋体" w:hAnsi="宋体" w:cs="宋体"/>
          <w:sz w:val="24"/>
          <w:szCs w:val="24"/>
          <w:highlight w:val="none"/>
        </w:rPr>
        <w:t>的一般义务</w:t>
      </w:r>
    </w:p>
    <w:p w14:paraId="61DB95C7">
      <w:pPr>
        <w:wordWrap w:val="0"/>
        <w:autoSpaceDE w:val="0"/>
        <w:autoSpaceDN w:val="0"/>
        <w:adjustRightInd w:val="0"/>
        <w:snapToGrid w:val="0"/>
        <w:spacing w:line="360" w:lineRule="auto"/>
        <w:ind w:firstLine="480" w:firstLineChars="200"/>
        <w:rPr>
          <w:rFonts w:hint="default" w:ascii="宋体" w:hAnsi="宋体" w:eastAsia="宋体" w:cs="宋体"/>
          <w:sz w:val="24"/>
          <w:szCs w:val="24"/>
          <w:highlight w:val="none"/>
          <w:u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）承包人</w:t>
      </w:r>
      <w:r>
        <w:rPr>
          <w:rFonts w:hint="eastAsia" w:ascii="宋体" w:hAnsi="宋体" w:cs="宋体"/>
          <w:sz w:val="24"/>
          <w:szCs w:val="24"/>
          <w:highlight w:val="none"/>
        </w:rPr>
        <w:t>提交的竣工资料的内容：</w:t>
      </w:r>
      <w:r>
        <w:rPr>
          <w:rFonts w:hint="eastAsia" w:ascii="宋体" w:hAnsi="宋体" w:cs="宋体"/>
          <w:sz w:val="24"/>
          <w:szCs w:val="24"/>
          <w:highlight w:val="none"/>
          <w:u w:val="single"/>
        </w:rPr>
        <w:t>按规范要求</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0D9267B5">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需要提交的竣工资料套数：</w:t>
      </w:r>
      <w:r>
        <w:rPr>
          <w:rFonts w:hint="eastAsia" w:ascii="宋体" w:hAnsi="宋体" w:cs="宋体"/>
          <w:sz w:val="24"/>
          <w:szCs w:val="24"/>
          <w:highlight w:val="none"/>
          <w:u w:val="single"/>
          <w:lang w:val="en-US" w:eastAsia="zh-CN"/>
        </w:rPr>
        <w:t>贰</w:t>
      </w:r>
      <w:r>
        <w:rPr>
          <w:rFonts w:hint="eastAsia" w:ascii="宋体" w:hAnsi="宋体" w:cs="宋体"/>
          <w:sz w:val="24"/>
          <w:szCs w:val="24"/>
          <w:highlight w:val="none"/>
          <w:u w:val="single"/>
        </w:rPr>
        <w:t>套</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5BE53DB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提交的竣工资料的费用承担：</w:t>
      </w:r>
      <w:r>
        <w:rPr>
          <w:rFonts w:hint="eastAsia" w:ascii="宋体" w:hAnsi="宋体" w:cs="宋体"/>
          <w:sz w:val="24"/>
          <w:szCs w:val="24"/>
          <w:highlight w:val="none"/>
          <w:u w:val="single"/>
        </w:rPr>
        <w:t>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09AECD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提交的竣工资料移交时间：</w:t>
      </w:r>
      <w:r>
        <w:rPr>
          <w:rFonts w:hint="eastAsia" w:ascii="宋体" w:hAnsi="宋体" w:cs="宋体"/>
          <w:sz w:val="24"/>
          <w:szCs w:val="24"/>
          <w:highlight w:val="none"/>
          <w:u w:val="single"/>
        </w:rPr>
        <w:t>竣工验收后十日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5C53E86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提交的竣工资料形式要求：</w:t>
      </w:r>
      <w:r>
        <w:rPr>
          <w:rFonts w:hint="eastAsia" w:ascii="宋体" w:hAnsi="宋体" w:cs="宋体"/>
          <w:sz w:val="24"/>
          <w:szCs w:val="24"/>
          <w:highlight w:val="none"/>
          <w:u w:val="single"/>
        </w:rPr>
        <w:t>纸质和电子档</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0B544E0C">
      <w:pPr>
        <w:wordWrap w:val="0"/>
        <w:autoSpaceDE w:val="0"/>
        <w:autoSpaceDN w:val="0"/>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应履行的其他义务：</w:t>
      </w:r>
    </w:p>
    <w:p w14:paraId="510DEC70">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应按</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的指令，完成</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要求的对工程内容任何的增加和删减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3A6C7CF4">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应积极主动核对图纸中的标高、轴线、预埋件的尺寸等技术数据，充分理解设计意图。若由于图纸问题（例如尺寸标注不闭合、文字标识相互矛盾等）和</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不正确的指令，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发现后有口头或书面告知义务，否则造成工程质量、安全、进度损失，也不能免除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的责任</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381DCB52">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应按照政府相关规定，建立有健全的雇员工资发放和劳动保障制度。</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首先确保施工一线工人的工资发放，不得拖欠施工一线工人的工资情况出现，如因施工雇员的工资发放而引发纠纷或者因为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与建材供应商以及</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自身纠纷，引起</w:t>
      </w:r>
      <w:r>
        <w:rPr>
          <w:rFonts w:hint="eastAsia" w:ascii="宋体" w:hAnsi="宋体" w:cs="宋体"/>
          <w:sz w:val="24"/>
          <w:szCs w:val="24"/>
          <w:highlight w:val="none"/>
          <w:u w:val="single"/>
          <w:lang w:val="en-US" w:eastAsia="zh-CN"/>
        </w:rPr>
        <w:t>不良影响</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按贰万元/次处罚</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，直至</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妥善处理该事件；如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未妥善处理该事件，</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有权终止与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解除施工合同，并保留进一步追究</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法律责任的权利</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6876E865">
      <w:pPr>
        <w:wordWrap w:val="0"/>
        <w:autoSpaceDE w:val="0"/>
        <w:autoSpaceDN w:val="0"/>
        <w:adjustRightInd w:val="0"/>
        <w:snapToGrid w:val="0"/>
        <w:spacing w:line="360" w:lineRule="auto"/>
        <w:ind w:firstLine="480" w:firstLineChars="200"/>
        <w:rPr>
          <w:rFonts w:ascii="宋体" w:hAnsi="宋体" w:cs="宋体"/>
          <w:sz w:val="24"/>
          <w:szCs w:val="24"/>
          <w:highlight w:val="none"/>
          <w:u w:val="none"/>
        </w:rPr>
      </w:pP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进场及施工过程中注意与居民及周边相邻单位搞好关系，文明施工；施工中遇到有关问题自行协调解决，费用自理；</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应配合协调处理扰民与民扰问题，因场地管理不善引发的一切纠纷由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自行解决，</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不承担任何责任</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1C6569C1">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val="en-US" w:eastAsia="zh-CN"/>
        </w:rPr>
        <w:t>5</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工程完工后，在</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要求退场的时间内，做好退场工作，不得在场地留有任何工料具、垃圾、临时设施等。如有遗留物作无主处理。清理标准需要征得</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同意，否则发生再清理费用由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承担，造成的损失在</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的工程款中扣除</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0BA146EF">
      <w:pPr>
        <w:wordWrap w:val="0"/>
        <w:autoSpaceDE w:val="0"/>
        <w:autoSpaceDN w:val="0"/>
        <w:adjustRightInd w:val="0"/>
        <w:snapToGrid w:val="0"/>
        <w:spacing w:line="360" w:lineRule="auto"/>
        <w:ind w:firstLine="480" w:firstLineChars="200"/>
        <w:rPr>
          <w:rFonts w:ascii="宋体" w:hAnsi="宋体" w:cs="宋体"/>
          <w:sz w:val="24"/>
          <w:szCs w:val="24"/>
          <w:highlight w:val="none"/>
          <w:u w:val="none"/>
        </w:rPr>
      </w:pP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在施工过程中以及工程移交的质量保修期内，由于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原因出现的质量问题、安全事故或者其他原因，引起不良影响，</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具有不少于人民币贰万元/次处罚的权利，并在当期工程款中扣除</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65199717">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val="en-US" w:eastAsia="zh-CN"/>
        </w:rPr>
        <w:t>7</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本工程的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必须接受</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的管理。同时</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有义务协助</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办理在施工中遇到的相关事宜</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540BCAD5">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val="en-US" w:eastAsia="zh-CN"/>
        </w:rPr>
        <w:t>8</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在施工过程中切实做好半成品保护及成品保护等</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5274DE0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3.2项目经理</w:t>
      </w:r>
    </w:p>
    <w:p w14:paraId="0707FC1D">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3.2.1项目经理：</w:t>
      </w:r>
    </w:p>
    <w:p w14:paraId="5D25D113">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AA45D35">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8876C3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建造师执业资格等级：</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5C1387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建造师注册证书号：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6435D14">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建造师执业印章号：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C2FE24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对项目经理的授权范围如下：</w:t>
      </w:r>
    </w:p>
    <w:p w14:paraId="717792F2">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rPr>
        <w:t>（1）</w:t>
      </w:r>
      <w:r>
        <w:rPr>
          <w:rFonts w:hint="eastAsia" w:ascii="宋体" w:hAnsi="宋体" w:cs="宋体"/>
          <w:sz w:val="24"/>
          <w:szCs w:val="24"/>
          <w:highlight w:val="none"/>
          <w:u w:val="single"/>
        </w:rPr>
        <w:t>负责本工程全过程施工管理，保证施工安全、保证工程质量、保证施工进度、保证工程竣工验收合格。代表</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行使合同约定的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权利和义务，履行合同约定的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职责</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4D5DE0ED">
      <w:p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none"/>
        </w:rPr>
        <w:t>（2）</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在投标时承诺派本工程的项目经理不得擅自更换，本工程投标的主要技术管理人员</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不得单方面更换，特殊情况经同意后方可更换，且更换后的项目经理及主要技术管理人员执业资格和管理水平不得低于原项目经理及主要技术管理人员执业资格和管理水平要求</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76AC85D2">
      <w:p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none"/>
        </w:rPr>
        <w:t>（3）</w:t>
      </w:r>
      <w:r>
        <w:rPr>
          <w:rFonts w:hint="eastAsia" w:ascii="宋体" w:hAnsi="宋体" w:cs="宋体"/>
          <w:sz w:val="24"/>
          <w:szCs w:val="24"/>
          <w:highlight w:val="none"/>
          <w:u w:val="single"/>
        </w:rPr>
        <w:t>当该项目经理的管理能力、业务水平和服务意识等方面不能令</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满意，</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有权要求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更换项目经理，且更换后的项目经理执业资格和管理水平不得低于原项目经理执业资格和管理水平要求，直到</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满意为止。</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需按照投标文件的承诺，组建现场项目部。项目部的人员应与投标文件一致，如果更换应征得</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的同意</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p>
    <w:p w14:paraId="6402100F">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none"/>
        </w:rPr>
        <w:t>（4）</w:t>
      </w:r>
      <w:r>
        <w:rPr>
          <w:rFonts w:hint="eastAsia" w:ascii="宋体" w:hAnsi="宋体" w:cs="宋体"/>
          <w:sz w:val="24"/>
          <w:szCs w:val="24"/>
          <w:highlight w:val="none"/>
          <w:u w:val="single"/>
        </w:rPr>
        <w:t>项目经理在整个工程施工过程中必须采取积极有效措施保证施工现场有足够的劳力、材料、设备，以确保工程顺利实施</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4E3982F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关于项目经理每月在施工现场的时间要求：</w:t>
      </w:r>
      <w:r>
        <w:rPr>
          <w:rFonts w:hint="eastAsia" w:ascii="宋体" w:hAnsi="宋体" w:cs="宋体"/>
          <w:sz w:val="24"/>
          <w:szCs w:val="24"/>
          <w:highlight w:val="none"/>
          <w:u w:val="single"/>
        </w:rPr>
        <w:t>开工之日起到竣工结束，项目经理或执行项目经理每周至少5日，每天必须不少于8小时在现场组织施工，且必须参加每周召开的例会，并随时接受发包人代表、监理</w:t>
      </w:r>
      <w:r>
        <w:rPr>
          <w:rFonts w:hint="eastAsia" w:ascii="宋体" w:hAnsi="宋体" w:cs="宋体"/>
          <w:sz w:val="24"/>
          <w:szCs w:val="24"/>
          <w:highlight w:val="none"/>
          <w:u w:val="single"/>
          <w:lang w:val="en-US" w:eastAsia="zh-CN"/>
        </w:rPr>
        <w:t>工程师</w:t>
      </w:r>
      <w:r>
        <w:rPr>
          <w:rFonts w:hint="eastAsia" w:ascii="宋体" w:hAnsi="宋体" w:cs="宋体"/>
          <w:sz w:val="24"/>
          <w:szCs w:val="24"/>
          <w:highlight w:val="none"/>
          <w:u w:val="single"/>
        </w:rPr>
        <w:t>的考勤和监督检查。如项目经理、有特殊原因不能保证上述在岗时间的，需征得发包人代表、监理工程师书面同意后，授权发包人代表、监理工程师认可的现场技术负责人全权处理现场事务。离开现场需征得</w:t>
      </w:r>
      <w:r>
        <w:rPr>
          <w:rFonts w:hint="eastAsia" w:ascii="宋体" w:hAnsi="宋体" w:cs="宋体"/>
          <w:sz w:val="24"/>
          <w:szCs w:val="24"/>
          <w:highlight w:val="none"/>
          <w:u w:val="single"/>
          <w:lang w:val="en-US" w:eastAsia="zh-CN"/>
        </w:rPr>
        <w:t>发包人代表、监理工程师</w:t>
      </w:r>
      <w:r>
        <w:rPr>
          <w:rFonts w:hint="eastAsia" w:ascii="宋体" w:hAnsi="宋体" w:cs="宋体"/>
          <w:sz w:val="24"/>
          <w:szCs w:val="24"/>
          <w:highlight w:val="none"/>
          <w:u w:val="single"/>
        </w:rPr>
        <w:t>同意</w:t>
      </w:r>
      <w:r>
        <w:rPr>
          <w:rFonts w:hint="eastAsia" w:ascii="宋体" w:hAnsi="宋体" w:cs="宋体"/>
          <w:sz w:val="24"/>
          <w:szCs w:val="24"/>
          <w:highlight w:val="none"/>
        </w:rPr>
        <w:t>。</w:t>
      </w:r>
    </w:p>
    <w:p w14:paraId="4708D41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未提交劳动合同，以及没有为项目经理缴纳社会保险证明的违约责任：</w:t>
      </w:r>
      <w:r>
        <w:rPr>
          <w:rFonts w:hint="eastAsia" w:ascii="宋体" w:hAnsi="宋体" w:cs="宋体"/>
          <w:sz w:val="24"/>
          <w:szCs w:val="24"/>
          <w:highlight w:val="none"/>
          <w:u w:val="single"/>
          <w:lang w:val="en-US" w:eastAsia="zh-CN"/>
        </w:rPr>
        <w:t>按照通用条款执行</w:t>
      </w:r>
      <w:r>
        <w:rPr>
          <w:rFonts w:hint="eastAsia" w:ascii="宋体" w:hAnsi="宋体" w:cs="宋体"/>
          <w:sz w:val="24"/>
          <w:szCs w:val="24"/>
          <w:highlight w:val="none"/>
        </w:rPr>
        <w:t>。</w:t>
      </w:r>
    </w:p>
    <w:p w14:paraId="72761823">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项目经理未经批准，擅自离开施工现场的违约责任：</w:t>
      </w:r>
      <w:r>
        <w:rPr>
          <w:rFonts w:hint="eastAsia" w:ascii="宋体" w:hAnsi="宋体" w:cs="宋体"/>
          <w:sz w:val="24"/>
          <w:szCs w:val="24"/>
          <w:highlight w:val="none"/>
          <w:u w:val="single"/>
          <w:lang w:eastAsia="zh-CN"/>
        </w:rPr>
        <w:t>发包人发现项目经理未经批准不在本工程现场工作，</w:t>
      </w:r>
      <w:r>
        <w:rPr>
          <w:rFonts w:hint="eastAsia" w:ascii="宋体" w:hAnsi="宋体" w:cs="宋体"/>
          <w:sz w:val="24"/>
          <w:szCs w:val="24"/>
          <w:highlight w:val="none"/>
          <w:u w:val="single"/>
        </w:rPr>
        <w:t>有权要求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u w:val="single"/>
        </w:rPr>
        <w:t>00元/天的违约金（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可从工程款中扣抵），并保留解除合同的权利</w:t>
      </w:r>
      <w:r>
        <w:rPr>
          <w:rFonts w:hint="eastAsia" w:ascii="宋体" w:hAnsi="宋体" w:cs="宋体"/>
          <w:sz w:val="24"/>
          <w:szCs w:val="24"/>
          <w:highlight w:val="none"/>
          <w:u w:val="single"/>
          <w:lang w:eastAsia="zh-CN"/>
        </w:rPr>
        <w:t>；项目经理无故不参加每周、</w:t>
      </w:r>
      <w:r>
        <w:rPr>
          <w:rFonts w:hint="eastAsia" w:ascii="宋体" w:hAnsi="宋体" w:cs="宋体"/>
          <w:sz w:val="24"/>
          <w:szCs w:val="24"/>
          <w:highlight w:val="none"/>
          <w:u w:val="single"/>
          <w:lang w:val="en-US" w:eastAsia="zh-CN"/>
        </w:rPr>
        <w:t>月</w:t>
      </w:r>
      <w:r>
        <w:rPr>
          <w:rFonts w:hint="eastAsia" w:ascii="宋体" w:hAnsi="宋体" w:cs="宋体"/>
          <w:sz w:val="24"/>
          <w:szCs w:val="24"/>
          <w:highlight w:val="none"/>
          <w:u w:val="single"/>
          <w:lang w:eastAsia="zh-CN"/>
        </w:rPr>
        <w:t>例会的，发包人有权向承包人收取违约金</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u w:val="single"/>
          <w:lang w:eastAsia="zh-CN"/>
        </w:rPr>
        <w:t>00元/次（发包人可从工程款中扣抵）；如项目经理</w:t>
      </w:r>
      <w:r>
        <w:rPr>
          <w:rFonts w:hint="eastAsia" w:ascii="宋体" w:hAnsi="宋体" w:cs="宋体"/>
          <w:sz w:val="24"/>
          <w:szCs w:val="24"/>
          <w:highlight w:val="none"/>
          <w:u w:val="single"/>
          <w:lang w:val="en-US" w:eastAsia="zh-CN"/>
        </w:rPr>
        <w:t>未经发包人代表、监理工程师允许</w:t>
      </w:r>
      <w:r>
        <w:rPr>
          <w:rFonts w:hint="eastAsia" w:ascii="宋体" w:hAnsi="宋体" w:cs="宋体"/>
          <w:sz w:val="24"/>
          <w:szCs w:val="24"/>
          <w:highlight w:val="none"/>
          <w:u w:val="single"/>
          <w:lang w:eastAsia="zh-CN"/>
        </w:rPr>
        <w:t>连续两天或累计5天不在现场，视为承包人严重违约，发包人除有权按前述约定追索承包人违约金之外，还有权要求承包人更换项目经理（更换的新项目经理资质条件须不低于原项目经理、资质条件）或单方面解除合同、追究承包人违约责任，</w:t>
      </w:r>
      <w:r>
        <w:rPr>
          <w:rFonts w:hint="eastAsia" w:ascii="宋体" w:hAnsi="宋体" w:cs="宋体"/>
          <w:sz w:val="24"/>
          <w:szCs w:val="24"/>
          <w:highlight w:val="none"/>
          <w:u w:val="single"/>
          <w:lang w:val="en-US" w:eastAsia="zh-CN"/>
        </w:rPr>
        <w:t>发包人有权向承包人收取违约金10000元</w:t>
      </w:r>
      <w:r>
        <w:rPr>
          <w:rFonts w:hint="eastAsia" w:ascii="宋体" w:hAnsi="宋体" w:cs="宋体"/>
          <w:sz w:val="24"/>
          <w:szCs w:val="24"/>
          <w:highlight w:val="none"/>
        </w:rPr>
        <w:t>。</w:t>
      </w:r>
    </w:p>
    <w:p w14:paraId="5EFA3AF0">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w:t>
      </w:r>
      <w:r>
        <w:rPr>
          <w:rFonts w:hint="eastAsia" w:ascii="宋体" w:hAnsi="宋体" w:cs="宋体"/>
          <w:sz w:val="24"/>
          <w:szCs w:val="24"/>
          <w:highlight w:val="none"/>
          <w:lang w:eastAsia="zh-CN"/>
        </w:rPr>
        <w:t>承包人</w:t>
      </w:r>
      <w:r>
        <w:rPr>
          <w:rFonts w:hint="eastAsia" w:ascii="宋体" w:hAnsi="宋体" w:cs="宋体"/>
          <w:sz w:val="24"/>
          <w:szCs w:val="24"/>
          <w:highlight w:val="none"/>
        </w:rPr>
        <w:t>擅自更换项目经理的违约责任：</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00元/天向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支付违约金，直到中止合同，且对由此产生的一切损失、费用由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w:t>
      </w:r>
      <w:r>
        <w:rPr>
          <w:rFonts w:hint="eastAsia" w:ascii="宋体" w:hAnsi="宋体" w:cs="宋体"/>
          <w:sz w:val="24"/>
          <w:szCs w:val="24"/>
          <w:highlight w:val="none"/>
        </w:rPr>
        <w:t>。</w:t>
      </w:r>
    </w:p>
    <w:p w14:paraId="3D701F8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3.2.4</w:t>
      </w:r>
      <w:r>
        <w:rPr>
          <w:rFonts w:hint="eastAsia" w:ascii="宋体" w:hAnsi="宋体" w:cs="宋体"/>
          <w:sz w:val="24"/>
          <w:szCs w:val="24"/>
          <w:highlight w:val="none"/>
          <w:lang w:eastAsia="zh-CN"/>
        </w:rPr>
        <w:t>承包人</w:t>
      </w:r>
      <w:r>
        <w:rPr>
          <w:rFonts w:hint="eastAsia" w:ascii="宋体" w:hAnsi="宋体" w:cs="宋体"/>
          <w:sz w:val="24"/>
          <w:szCs w:val="24"/>
          <w:highlight w:val="none"/>
        </w:rPr>
        <w:t>无正当理由拒绝更换项目经理的违约责任：</w:t>
      </w:r>
      <w:r>
        <w:rPr>
          <w:rFonts w:hint="eastAsia" w:ascii="宋体" w:hAnsi="宋体" w:cs="宋体"/>
          <w:sz w:val="24"/>
          <w:szCs w:val="24"/>
          <w:highlight w:val="none"/>
          <w:u w:val="single"/>
        </w:rPr>
        <w:t>未经</w:t>
      </w:r>
      <w:r>
        <w:rPr>
          <w:rFonts w:hint="eastAsia" w:ascii="宋体" w:hAnsi="宋体" w:cs="宋体"/>
          <w:sz w:val="24"/>
          <w:szCs w:val="24"/>
          <w:highlight w:val="none"/>
          <w:u w:val="single"/>
          <w:lang w:val="en-US" w:eastAsia="zh-CN"/>
        </w:rPr>
        <w:t>允许</w:t>
      </w:r>
      <w:r>
        <w:rPr>
          <w:rFonts w:hint="eastAsia" w:ascii="宋体" w:hAnsi="宋体" w:cs="宋体"/>
          <w:sz w:val="24"/>
          <w:szCs w:val="24"/>
          <w:highlight w:val="none"/>
          <w:u w:val="single"/>
        </w:rPr>
        <w:t>擅自更换项目经理的，属于订立背离合同实质性内容的协议行为，发包人有权向承包人收取违约金</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0000元</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有权</w:t>
      </w:r>
      <w:r>
        <w:rPr>
          <w:rFonts w:hint="eastAsia" w:ascii="宋体" w:hAnsi="宋体" w:cs="宋体"/>
          <w:sz w:val="24"/>
          <w:szCs w:val="24"/>
          <w:highlight w:val="none"/>
          <w:u w:val="single"/>
          <w:lang w:val="en-US" w:eastAsia="zh-CN"/>
        </w:rPr>
        <w:t>单方面</w:t>
      </w:r>
      <w:r>
        <w:rPr>
          <w:rFonts w:hint="eastAsia" w:ascii="宋体" w:hAnsi="宋体" w:cs="宋体"/>
          <w:sz w:val="24"/>
          <w:szCs w:val="24"/>
          <w:highlight w:val="none"/>
          <w:u w:val="single"/>
        </w:rPr>
        <w:t>解除合同并追究</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违约责任</w:t>
      </w:r>
      <w:r>
        <w:rPr>
          <w:rFonts w:hint="eastAsia" w:ascii="宋体" w:hAnsi="宋体" w:cs="宋体"/>
          <w:sz w:val="24"/>
          <w:szCs w:val="24"/>
          <w:highlight w:val="none"/>
        </w:rPr>
        <w:t>。</w:t>
      </w:r>
    </w:p>
    <w:p w14:paraId="68B76C2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eastAsia="zh-CN"/>
        </w:rPr>
        <w:t>承包人</w:t>
      </w:r>
      <w:r>
        <w:rPr>
          <w:rFonts w:hint="eastAsia" w:ascii="宋体" w:hAnsi="宋体" w:cs="宋体"/>
          <w:sz w:val="24"/>
          <w:szCs w:val="24"/>
          <w:highlight w:val="none"/>
        </w:rPr>
        <w:t>人员</w:t>
      </w:r>
    </w:p>
    <w:p w14:paraId="7F502460">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3.3.1</w:t>
      </w:r>
      <w:r>
        <w:rPr>
          <w:rFonts w:hint="eastAsia" w:ascii="宋体" w:hAnsi="宋体" w:cs="宋体"/>
          <w:sz w:val="24"/>
          <w:szCs w:val="24"/>
          <w:highlight w:val="none"/>
          <w:lang w:eastAsia="zh-CN"/>
        </w:rPr>
        <w:t>承包人</w:t>
      </w:r>
      <w:r>
        <w:rPr>
          <w:rFonts w:hint="eastAsia" w:ascii="宋体" w:hAnsi="宋体" w:cs="宋体"/>
          <w:sz w:val="24"/>
          <w:szCs w:val="24"/>
          <w:highlight w:val="none"/>
        </w:rPr>
        <w:t>提交项目管理机构及施工现场管理人员安排报告的期限：</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必须按</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和监理的要求完成开工前的申请报告以及所要求的各类报表，有针对性的施工组织设计。合同签订后</w:t>
      </w:r>
      <w:r>
        <w:rPr>
          <w:rFonts w:hint="eastAsia" w:ascii="宋体" w:hAnsi="宋体" w:cs="宋体"/>
          <w:sz w:val="24"/>
          <w:szCs w:val="24"/>
          <w:highlight w:val="none"/>
          <w:u w:val="single"/>
          <w:lang w:val="en-US" w:eastAsia="zh-CN"/>
        </w:rPr>
        <w:t>七</w:t>
      </w:r>
      <w:r>
        <w:rPr>
          <w:rFonts w:hint="eastAsia" w:ascii="宋体" w:hAnsi="宋体" w:cs="宋体"/>
          <w:sz w:val="24"/>
          <w:szCs w:val="24"/>
          <w:highlight w:val="none"/>
          <w:u w:val="single"/>
        </w:rPr>
        <w:t>天内提供施工组织设计和进度总计划，</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供应材料（如有）清单及时间要求、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自购材料清单、材料进场计划、劳动力及用款计划等资料；进场开工后每周例会前应分别向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、监理方提交详细的施工进度计划，已完工作量报表（含因设计变更引起的工程量及价款调整的申请）及下周施工计划表。</w:t>
      </w:r>
    </w:p>
    <w:p w14:paraId="64D801D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3.3.3</w:t>
      </w:r>
      <w:r>
        <w:rPr>
          <w:rFonts w:hint="eastAsia" w:ascii="宋体" w:hAnsi="宋体" w:cs="宋体"/>
          <w:sz w:val="24"/>
          <w:szCs w:val="24"/>
          <w:highlight w:val="none"/>
          <w:lang w:eastAsia="zh-CN"/>
        </w:rPr>
        <w:t>承包人</w:t>
      </w:r>
      <w:r>
        <w:rPr>
          <w:rFonts w:hint="eastAsia" w:ascii="宋体" w:hAnsi="宋体" w:cs="宋体"/>
          <w:sz w:val="24"/>
          <w:szCs w:val="24"/>
          <w:highlight w:val="none"/>
        </w:rPr>
        <w:t>无正当理由拒绝撤换主要施工管理人员的违约责任：</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有权就不到位的项目部组成人员进行处罚，处罚标准为500元/天·</w:t>
      </w:r>
      <w:r>
        <w:rPr>
          <w:rFonts w:hint="eastAsia" w:ascii="宋体" w:hAnsi="宋体" w:cs="宋体"/>
          <w:sz w:val="24"/>
          <w:szCs w:val="24"/>
          <w:highlight w:val="none"/>
          <w:u w:val="single"/>
          <w:lang w:val="en-US" w:eastAsia="zh-CN"/>
        </w:rPr>
        <w:t>人</w:t>
      </w:r>
      <w:r>
        <w:rPr>
          <w:rFonts w:hint="eastAsia" w:ascii="宋体" w:hAnsi="宋体" w:cs="宋体"/>
          <w:sz w:val="24"/>
          <w:szCs w:val="24"/>
          <w:highlight w:val="none"/>
          <w:u w:val="single"/>
        </w:rPr>
        <w:t>。</w:t>
      </w:r>
    </w:p>
    <w:p w14:paraId="4304C03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3.3.4</w:t>
      </w:r>
      <w:r>
        <w:rPr>
          <w:rFonts w:hint="eastAsia" w:ascii="宋体" w:hAnsi="宋体" w:cs="宋体"/>
          <w:sz w:val="24"/>
          <w:szCs w:val="24"/>
          <w:highlight w:val="none"/>
          <w:lang w:eastAsia="zh-CN"/>
        </w:rPr>
        <w:t>承包人</w:t>
      </w:r>
      <w:r>
        <w:rPr>
          <w:rFonts w:hint="eastAsia" w:ascii="宋体" w:hAnsi="宋体" w:cs="宋体"/>
          <w:sz w:val="24"/>
          <w:szCs w:val="24"/>
          <w:highlight w:val="none"/>
        </w:rPr>
        <w:t>主要施工管理人员离开施工现场的批准要求：</w:t>
      </w:r>
      <w:r>
        <w:rPr>
          <w:rFonts w:hint="eastAsia" w:ascii="宋体" w:hAnsi="宋体" w:cs="宋体"/>
          <w:sz w:val="24"/>
          <w:szCs w:val="24"/>
          <w:highlight w:val="none"/>
          <w:u w:val="single"/>
        </w:rPr>
        <w:t>离开现场需征得</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的现场负责人同意</w:t>
      </w:r>
      <w:r>
        <w:rPr>
          <w:rFonts w:hint="eastAsia" w:ascii="宋体" w:hAnsi="宋体" w:cs="宋体"/>
          <w:sz w:val="24"/>
          <w:szCs w:val="24"/>
          <w:highlight w:val="none"/>
        </w:rPr>
        <w:t>。</w:t>
      </w:r>
    </w:p>
    <w:p w14:paraId="56D22EB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3.3.5</w:t>
      </w:r>
      <w:r>
        <w:rPr>
          <w:rFonts w:hint="eastAsia" w:ascii="宋体" w:hAnsi="宋体" w:cs="宋体"/>
          <w:sz w:val="24"/>
          <w:szCs w:val="24"/>
          <w:highlight w:val="none"/>
          <w:lang w:eastAsia="zh-CN"/>
        </w:rPr>
        <w:t>承包人</w:t>
      </w:r>
      <w:r>
        <w:rPr>
          <w:rFonts w:hint="eastAsia" w:ascii="宋体" w:hAnsi="宋体" w:cs="宋体"/>
          <w:sz w:val="24"/>
          <w:szCs w:val="24"/>
          <w:highlight w:val="none"/>
        </w:rPr>
        <w:t>擅自更换主要施工管理人员的违约责任：</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按500元/天·人向</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支付违约金，直到中止合同，且对由此产生的一切损失、费用由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rPr>
        <w:t>。</w:t>
      </w:r>
    </w:p>
    <w:p w14:paraId="5C67B43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主要施工管理人员擅自离开施工现场的违约责任：</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按500元/天·人向</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支付违约金，直到中止合同，且对由此产生的一切损失、费用由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rPr>
        <w:t>。</w:t>
      </w:r>
    </w:p>
    <w:p w14:paraId="555D345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bookmarkStart w:id="203" w:name="_Toc292559364"/>
      <w:bookmarkStart w:id="204" w:name="_Toc304295523"/>
      <w:bookmarkStart w:id="205" w:name="_Toc296347158"/>
      <w:bookmarkStart w:id="206" w:name="_Toc297048345"/>
      <w:bookmarkStart w:id="207" w:name="_Toc296503159"/>
      <w:bookmarkStart w:id="208" w:name="_Toc297216151"/>
      <w:bookmarkStart w:id="209" w:name="_Toc296891199"/>
      <w:bookmarkStart w:id="210" w:name="_Toc296346660"/>
      <w:bookmarkStart w:id="211" w:name="_Toc292559869"/>
      <w:bookmarkStart w:id="212" w:name="_Toc297123492"/>
      <w:bookmarkStart w:id="213" w:name="_Toc296890987"/>
      <w:bookmarkStart w:id="214" w:name="_Toc297120459"/>
      <w:bookmarkStart w:id="215" w:name="_Toc303539102"/>
      <w:bookmarkStart w:id="216" w:name="_Toc312677988"/>
      <w:bookmarkStart w:id="217" w:name="_Toc300934945"/>
      <w:bookmarkStart w:id="218" w:name="_Toc296944498"/>
      <w:r>
        <w:rPr>
          <w:rFonts w:hint="eastAsia" w:ascii="宋体" w:hAnsi="宋体" w:cs="宋体"/>
          <w:sz w:val="24"/>
          <w:szCs w:val="24"/>
          <w:highlight w:val="none"/>
        </w:rPr>
        <w:t>.5分包</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2208D4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bookmarkStart w:id="219" w:name="_Toc296891200"/>
      <w:bookmarkStart w:id="220" w:name="_Toc292559365"/>
      <w:bookmarkStart w:id="221" w:name="_Toc297216152"/>
      <w:bookmarkStart w:id="222" w:name="_Toc304295524"/>
      <w:bookmarkStart w:id="223" w:name="_Toc296347159"/>
      <w:bookmarkStart w:id="224" w:name="_Toc312677989"/>
      <w:bookmarkStart w:id="225" w:name="_Toc297123493"/>
      <w:bookmarkStart w:id="226" w:name="_Toc296890988"/>
      <w:bookmarkStart w:id="227" w:name="_Toc303539103"/>
      <w:bookmarkStart w:id="228" w:name="_Toc292559870"/>
      <w:bookmarkStart w:id="229" w:name="_Toc297120460"/>
      <w:bookmarkStart w:id="230" w:name="_Toc318581158"/>
      <w:bookmarkStart w:id="231" w:name="_Toc296503160"/>
      <w:bookmarkStart w:id="232" w:name="_Toc300934946"/>
      <w:bookmarkStart w:id="233" w:name="_Toc296944499"/>
      <w:bookmarkStart w:id="234" w:name="_Toc296346661"/>
      <w:bookmarkStart w:id="235" w:name="_Toc297048346"/>
      <w:r>
        <w:rPr>
          <w:rFonts w:hint="eastAsia" w:ascii="宋体" w:hAnsi="宋体" w:cs="宋体"/>
          <w:sz w:val="24"/>
          <w:szCs w:val="24"/>
          <w:highlight w:val="none"/>
        </w:rPr>
        <w:t>.5.1分包的一般约定</w:t>
      </w:r>
    </w:p>
    <w:p w14:paraId="32AC3B3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禁止分包的工程包括：</w:t>
      </w:r>
      <w:r>
        <w:rPr>
          <w:rFonts w:hint="eastAsia" w:ascii="宋体" w:hAnsi="宋体" w:cs="宋体"/>
          <w:sz w:val="24"/>
          <w:szCs w:val="24"/>
          <w:highlight w:val="none"/>
          <w:u w:val="single"/>
        </w:rPr>
        <w:t>本工程主体内容不得分包</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1ECDCF6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主体结构、关键性工作的范围：</w:t>
      </w:r>
      <w:r>
        <w:rPr>
          <w:rFonts w:hint="eastAsia" w:ascii="宋体" w:hAnsi="宋体" w:cs="宋体"/>
          <w:sz w:val="24"/>
          <w:szCs w:val="24"/>
          <w:highlight w:val="none"/>
          <w:u w:val="single"/>
        </w:rPr>
        <w:t>/</w:t>
      </w:r>
      <w:r>
        <w:rPr>
          <w:rFonts w:hint="eastAsia" w:ascii="宋体" w:hAnsi="宋体" w:cs="宋体"/>
          <w:sz w:val="24"/>
          <w:szCs w:val="24"/>
          <w:highlight w:val="none"/>
        </w:rPr>
        <w: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93B2CC3">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bookmarkStart w:id="236" w:name="_Toc312677990"/>
      <w:bookmarkStart w:id="237" w:name="_Toc318581159"/>
      <w:r>
        <w:rPr>
          <w:rFonts w:hint="eastAsia" w:ascii="宋体" w:hAnsi="宋体" w:cs="宋体"/>
          <w:sz w:val="24"/>
          <w:szCs w:val="24"/>
          <w:highlight w:val="none"/>
        </w:rPr>
        <w:t>.5.2分包的确定</w:t>
      </w:r>
    </w:p>
    <w:p w14:paraId="6FE3AA2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允许分包的专业工程包括：</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6995F3E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其他关于分包的约定：</w:t>
      </w:r>
      <w:r>
        <w:rPr>
          <w:rFonts w:hint="eastAsia" w:ascii="宋体" w:hAnsi="宋体" w:cs="宋体"/>
          <w:sz w:val="24"/>
          <w:szCs w:val="24"/>
          <w:highlight w:val="none"/>
          <w:u w:val="single"/>
        </w:rPr>
        <w:t>本工程应由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自行完成，不准转包或擅自分包，若发现擅自分包，</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有权要求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退场，一切损失和后果均由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承担。对确实需要分包的工程，必须征得</w:t>
      </w:r>
      <w:r>
        <w:rPr>
          <w:rFonts w:hint="eastAsia" w:ascii="宋体" w:hAnsi="宋体" w:cs="宋体"/>
          <w:sz w:val="24"/>
          <w:szCs w:val="24"/>
          <w:highlight w:val="none"/>
          <w:u w:val="single"/>
          <w:lang w:val="en-US" w:eastAsia="zh-CN"/>
        </w:rPr>
        <w:t>发包人和监理工程师</w:t>
      </w:r>
      <w:r>
        <w:rPr>
          <w:rFonts w:hint="eastAsia" w:ascii="宋体" w:hAnsi="宋体" w:cs="宋体"/>
          <w:sz w:val="24"/>
          <w:szCs w:val="24"/>
          <w:highlight w:val="none"/>
          <w:u w:val="single"/>
        </w:rPr>
        <w:t>书面同意和确认，向具有专业承包资质的施工单位进行分包，同时应向</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提供分包单位资质证书、分包合同、进退场时间、分包工程施工方案。本合同规定的工程项目，如确认有未经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批准的第三方施工单位进场，</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有权中止该分包合同，同时由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向</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支付违约金5万元；</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的实际损失高于此违约金的，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赔偿</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实际损失；分包合同不得与本合同发生抵触。分包合同不解除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对该分包工程的任何义务与责任，</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在分包现场派驻监督管理人员，保证合同的履行。分包单位的任何违约行为，均视为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违约。分包单位对所分包的项目和</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一样负有连带责任。</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保留非主体结构工程分包的权利</w:t>
      </w:r>
      <w:r>
        <w:rPr>
          <w:rFonts w:hint="eastAsia" w:ascii="宋体" w:hAnsi="宋体" w:cs="宋体"/>
          <w:sz w:val="24"/>
          <w:szCs w:val="24"/>
          <w:highlight w:val="none"/>
        </w:rPr>
        <w:t>。</w:t>
      </w:r>
    </w:p>
    <w:p w14:paraId="4EF8999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3.5.4分包合同价款</w:t>
      </w:r>
    </w:p>
    <w:p w14:paraId="537BA320">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关于分包合同价款支付的约定：</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bookmarkEnd w:id="236"/>
      <w:bookmarkEnd w:id="237"/>
    </w:p>
    <w:p w14:paraId="47CAD53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3.6工程照管与成品、半成品保护</w:t>
      </w:r>
    </w:p>
    <w:p w14:paraId="3560B6D3">
      <w:pPr>
        <w:wordWrap w:val="0"/>
        <w:autoSpaceDE w:val="0"/>
        <w:autoSpaceDN w:val="0"/>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负责照管工程及工程相关的材料、工程设备的起始时间：</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应无条件做好自身承包范围内成品保护工作，直至正式竣工验收后交付使用，该费用已考虑在投标报价中。承包范围内的成品在保护期间发生损坏，</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自费予以修复。如交付后，</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继续保护，费用另行商定</w:t>
      </w:r>
      <w:r>
        <w:rPr>
          <w:rFonts w:hint="eastAsia" w:ascii="宋体" w:hAnsi="宋体" w:cs="宋体"/>
          <w:sz w:val="24"/>
          <w:szCs w:val="24"/>
          <w:highlight w:val="none"/>
          <w:u w:val="single"/>
          <w:lang w:val="en-US" w:eastAsia="zh-CN"/>
        </w:rPr>
        <w:t xml:space="preserve">  </w:t>
      </w:r>
      <w:r>
        <w:rPr>
          <w:rFonts w:hint="eastAsia" w:ascii="宋体" w:hAnsi="宋体" w:cs="宋体"/>
          <w:kern w:val="0"/>
          <w:sz w:val="24"/>
          <w:szCs w:val="24"/>
          <w:highlight w:val="none"/>
        </w:rPr>
        <w:t>。</w:t>
      </w:r>
      <w:bookmarkStart w:id="238" w:name="_Toc351203638"/>
      <w:bookmarkStart w:id="239" w:name="_Toc312677997"/>
      <w:bookmarkStart w:id="240" w:name="_Toc318581164"/>
      <w:bookmarkStart w:id="241" w:name="_Toc300934949"/>
      <w:bookmarkStart w:id="242" w:name="_Toc303539106"/>
      <w:bookmarkStart w:id="243" w:name="_Toc297123496"/>
      <w:bookmarkStart w:id="244" w:name="_Toc304295527"/>
      <w:bookmarkStart w:id="245" w:name="_Toc297216155"/>
      <w:bookmarkStart w:id="246" w:name="_Toc296944502"/>
      <w:bookmarkStart w:id="247" w:name="_Toc296891203"/>
      <w:bookmarkStart w:id="248" w:name="_Toc296346664"/>
      <w:bookmarkStart w:id="249" w:name="_Toc292559872"/>
      <w:bookmarkStart w:id="250" w:name="_Toc292559367"/>
      <w:bookmarkStart w:id="251" w:name="_Toc296347162"/>
      <w:bookmarkStart w:id="252" w:name="_Toc297048349"/>
      <w:bookmarkStart w:id="253" w:name="_Toc296890991"/>
      <w:bookmarkStart w:id="254" w:name="_Toc297120463"/>
      <w:bookmarkStart w:id="255" w:name="_Toc296503163"/>
    </w:p>
    <w:p w14:paraId="54AC6237">
      <w:pPr>
        <w:pStyle w:val="2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r>
        <w:rPr>
          <w:rFonts w:hint="eastAsia"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履约担保</w:t>
      </w:r>
    </w:p>
    <w:p w14:paraId="11D27C83">
      <w:pPr>
        <w:pStyle w:val="2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承包人是否提供履约担保：</w:t>
      </w:r>
      <w:r>
        <w:rPr>
          <w:rFonts w:hint="eastAsia" w:ascii="宋体" w:hAnsi="宋体" w:eastAsia="宋体" w:cs="宋体"/>
          <w:kern w:val="0"/>
          <w:sz w:val="24"/>
          <w:szCs w:val="24"/>
          <w:highlight w:val="none"/>
          <w:u w:val="single"/>
          <w:lang w:val="en-US" w:eastAsia="zh-CN" w:bidi="ar-SA"/>
        </w:rPr>
        <w:t xml:space="preserve">    是   </w:t>
      </w:r>
      <w:r>
        <w:rPr>
          <w:rFonts w:hint="eastAsia" w:ascii="宋体" w:hAnsi="宋体" w:eastAsia="宋体" w:cs="宋体"/>
          <w:kern w:val="0"/>
          <w:sz w:val="24"/>
          <w:szCs w:val="24"/>
          <w:highlight w:val="none"/>
          <w:lang w:val="en-US" w:eastAsia="zh-CN" w:bidi="ar-SA"/>
        </w:rPr>
        <w:t xml:space="preserve"> 。</w:t>
      </w:r>
    </w:p>
    <w:p w14:paraId="2861119B">
      <w:pPr>
        <w:pStyle w:val="22"/>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lang w:val="en-US" w:eastAsia="zh-CN" w:bidi="ar-SA"/>
        </w:rPr>
        <w:t>承包人提供履约担保的形式、金额及期限的：</w:t>
      </w:r>
      <w:r>
        <w:rPr>
          <w:rFonts w:hint="eastAsia" w:ascii="宋体" w:hAnsi="宋体" w:eastAsia="宋体" w:cs="宋体"/>
          <w:kern w:val="0"/>
          <w:sz w:val="24"/>
          <w:szCs w:val="24"/>
          <w:highlight w:val="none"/>
          <w:u w:val="single"/>
          <w:lang w:val="en-US" w:eastAsia="zh-CN" w:bidi="ar-SA"/>
        </w:rPr>
        <w:t>合同签订后</w:t>
      </w:r>
      <w:r>
        <w:rPr>
          <w:rFonts w:hint="eastAsia" w:cs="宋体"/>
          <w:strike w:val="0"/>
          <w:dstrike w:val="0"/>
          <w:kern w:val="0"/>
          <w:sz w:val="24"/>
          <w:szCs w:val="24"/>
          <w:highlight w:val="none"/>
          <w:u w:val="single"/>
          <w:lang w:val="en-US" w:eastAsia="zh-CN" w:bidi="ar-SA"/>
        </w:rPr>
        <w:t>承包人以</w:t>
      </w:r>
      <w:r>
        <w:rPr>
          <w:rFonts w:hint="eastAsia" w:ascii="宋体" w:hAnsi="宋体" w:eastAsia="宋体" w:cs="宋体"/>
          <w:strike w:val="0"/>
          <w:kern w:val="0"/>
          <w:sz w:val="24"/>
          <w:szCs w:val="24"/>
          <w:highlight w:val="none"/>
          <w:u w:val="single"/>
          <w:lang w:val="en-US" w:eastAsia="zh-CN" w:bidi="ar-SA"/>
        </w:rPr>
        <w:t>电汇、汇票、本票、转账支票、保函等</w:t>
      </w:r>
      <w:r>
        <w:rPr>
          <w:rFonts w:hint="eastAsia" w:cs="宋体"/>
          <w:strike w:val="0"/>
          <w:kern w:val="0"/>
          <w:sz w:val="24"/>
          <w:szCs w:val="24"/>
          <w:highlight w:val="none"/>
          <w:u w:val="single"/>
          <w:lang w:val="en-US" w:eastAsia="zh-CN" w:bidi="ar-SA"/>
        </w:rPr>
        <w:t>形式</w:t>
      </w:r>
      <w:r>
        <w:rPr>
          <w:rFonts w:hint="eastAsia" w:ascii="宋体" w:hAnsi="宋体" w:eastAsia="宋体" w:cs="宋体"/>
          <w:strike w:val="0"/>
          <w:kern w:val="0"/>
          <w:sz w:val="24"/>
          <w:szCs w:val="24"/>
          <w:highlight w:val="none"/>
          <w:u w:val="single"/>
          <w:lang w:val="en-US" w:eastAsia="zh-CN" w:bidi="ar-SA"/>
        </w:rPr>
        <w:t>作为履约担保</w:t>
      </w:r>
      <w:r>
        <w:rPr>
          <w:rFonts w:hint="eastAsia" w:cs="宋体"/>
          <w:strike w:val="0"/>
          <w:kern w:val="0"/>
          <w:sz w:val="24"/>
          <w:szCs w:val="24"/>
          <w:highlight w:val="none"/>
          <w:u w:val="single"/>
          <w:lang w:val="en-US" w:eastAsia="zh-CN" w:bidi="ar-SA"/>
        </w:rPr>
        <w:t>。</w:t>
      </w:r>
      <w:r>
        <w:rPr>
          <w:rFonts w:hint="eastAsia" w:cs="宋体"/>
          <w:strike w:val="0"/>
          <w:dstrike w:val="0"/>
          <w:kern w:val="0"/>
          <w:sz w:val="24"/>
          <w:szCs w:val="24"/>
          <w:highlight w:val="none"/>
          <w:u w:val="single"/>
          <w:lang w:val="en-US" w:eastAsia="zh-CN" w:bidi="ar-SA"/>
        </w:rPr>
        <w:t>承包</w:t>
      </w:r>
      <w:r>
        <w:rPr>
          <w:rFonts w:hint="eastAsia" w:ascii="宋体" w:hAnsi="宋体" w:eastAsia="宋体" w:cs="宋体"/>
          <w:strike w:val="0"/>
          <w:dstrike w:val="0"/>
          <w:kern w:val="0"/>
          <w:sz w:val="24"/>
          <w:szCs w:val="24"/>
          <w:highlight w:val="none"/>
          <w:u w:val="single"/>
          <w:lang w:val="en-US" w:eastAsia="zh-CN" w:bidi="ar-SA"/>
        </w:rPr>
        <w:t>人向发包人缴纳中标价的</w:t>
      </w:r>
      <w:r>
        <w:rPr>
          <w:rFonts w:hint="eastAsia" w:cs="宋体"/>
          <w:strike w:val="0"/>
          <w:dstrike w:val="0"/>
          <w:kern w:val="0"/>
          <w:sz w:val="24"/>
          <w:szCs w:val="24"/>
          <w:highlight w:val="none"/>
          <w:u w:val="single"/>
          <w:lang w:val="en-US" w:eastAsia="zh-CN" w:bidi="ar-SA"/>
        </w:rPr>
        <w:t>3</w:t>
      </w:r>
      <w:r>
        <w:rPr>
          <w:rFonts w:hint="eastAsia" w:ascii="宋体" w:hAnsi="宋体" w:eastAsia="宋体" w:cs="宋体"/>
          <w:strike w:val="0"/>
          <w:dstrike w:val="0"/>
          <w:kern w:val="0"/>
          <w:sz w:val="24"/>
          <w:szCs w:val="24"/>
          <w:highlight w:val="none"/>
          <w:u w:val="single"/>
          <w:lang w:val="en-US" w:eastAsia="zh-CN" w:bidi="ar-SA"/>
        </w:rPr>
        <w:t>%履约保证</w:t>
      </w:r>
      <w:r>
        <w:rPr>
          <w:rFonts w:hint="eastAsia" w:cs="宋体"/>
          <w:strike w:val="0"/>
          <w:dstrike w:val="0"/>
          <w:kern w:val="0"/>
          <w:sz w:val="24"/>
          <w:szCs w:val="24"/>
          <w:highlight w:val="none"/>
          <w:u w:val="single"/>
          <w:lang w:val="en-US" w:eastAsia="zh-CN" w:bidi="ar-SA"/>
        </w:rPr>
        <w:t>金</w:t>
      </w:r>
      <w:r>
        <w:rPr>
          <w:rFonts w:hint="eastAsia" w:ascii="宋体" w:hAnsi="宋体" w:eastAsia="宋体" w:cs="宋体"/>
          <w:strike w:val="0"/>
          <w:dstrike w:val="0"/>
          <w:kern w:val="0"/>
          <w:sz w:val="24"/>
          <w:szCs w:val="24"/>
          <w:highlight w:val="none"/>
          <w:u w:val="single"/>
          <w:lang w:val="en-US" w:eastAsia="zh-CN" w:bidi="ar-SA"/>
        </w:rPr>
        <w:t>。</w:t>
      </w:r>
      <w:r>
        <w:rPr>
          <w:rFonts w:hint="eastAsia" w:ascii="宋体" w:hAnsi="宋体" w:eastAsia="宋体" w:cs="宋体"/>
          <w:kern w:val="0"/>
          <w:sz w:val="24"/>
          <w:szCs w:val="24"/>
          <w:highlight w:val="none"/>
          <w:u w:val="single"/>
          <w:lang w:val="en-US" w:eastAsia="zh-CN" w:bidi="ar-SA"/>
        </w:rPr>
        <w:t>工程竣工验收合格报告签署之日起自动转为质量保证金；保证金3%第一年质保期结束后无息退还质保金的50%，质保期满2年后无息退还全部剩余质保金；如为保函担保，工程竣工验收合格后，</w:t>
      </w:r>
      <w:r>
        <w:rPr>
          <w:rFonts w:hint="eastAsia" w:cs="宋体"/>
          <w:kern w:val="0"/>
          <w:sz w:val="24"/>
          <w:szCs w:val="24"/>
          <w:highlight w:val="none"/>
          <w:u w:val="single"/>
          <w:lang w:val="en-US" w:eastAsia="zh-CN" w:bidi="ar-SA"/>
        </w:rPr>
        <w:t>向承包人缴纳保证金或再延保两年，至保修期结束，</w:t>
      </w:r>
      <w:r>
        <w:rPr>
          <w:rFonts w:hint="eastAsia" w:ascii="宋体" w:hAnsi="宋体" w:eastAsia="宋体" w:cs="宋体"/>
          <w:kern w:val="0"/>
          <w:sz w:val="24"/>
          <w:szCs w:val="24"/>
          <w:highlight w:val="none"/>
          <w:u w:val="single"/>
          <w:lang w:val="en-US" w:eastAsia="zh-CN" w:bidi="ar-SA"/>
        </w:rPr>
        <w:t>担保责任解除</w:t>
      </w:r>
      <w:r>
        <w:rPr>
          <w:rFonts w:hint="eastAsia" w:ascii="宋体" w:hAnsi="宋体" w:eastAsia="宋体" w:cs="宋体"/>
          <w:kern w:val="0"/>
          <w:sz w:val="24"/>
          <w:szCs w:val="24"/>
          <w:highlight w:val="none"/>
          <w:u w:val="none"/>
          <w:lang w:val="en-US" w:eastAsia="zh-CN" w:bidi="ar-SA"/>
        </w:rPr>
        <w:t xml:space="preserve">。 </w:t>
      </w:r>
    </w:p>
    <w:p w14:paraId="530FCCE6">
      <w:pPr>
        <w:ind w:firstLine="480" w:firstLineChars="200"/>
        <w:rPr>
          <w:rFonts w:hint="eastAsia" w:ascii="宋体" w:hAnsi="宋体" w:eastAsia="宋体" w:cs="宋体"/>
          <w:kern w:val="0"/>
          <w:sz w:val="24"/>
          <w:szCs w:val="24"/>
          <w:highlight w:val="none"/>
          <w:lang w:val="en-US" w:eastAsia="zh-CN" w:bidi="ar-SA"/>
        </w:rPr>
      </w:pPr>
      <w:bookmarkStart w:id="256" w:name="_Toc351203636"/>
      <w:r>
        <w:rPr>
          <w:rFonts w:hint="eastAsia" w:ascii="宋体" w:hAnsi="宋体" w:eastAsia="宋体" w:cs="宋体"/>
          <w:kern w:val="0"/>
          <w:sz w:val="24"/>
          <w:szCs w:val="24"/>
          <w:highlight w:val="none"/>
          <w:lang w:val="en-US" w:eastAsia="zh-CN" w:bidi="ar-SA"/>
        </w:rPr>
        <w:t>4</w:t>
      </w:r>
      <w:bookmarkStart w:id="257" w:name="_Toc296891202"/>
      <w:bookmarkStart w:id="258" w:name="_Toc292559366"/>
      <w:bookmarkStart w:id="259" w:name="_Toc296944501"/>
      <w:bookmarkStart w:id="260" w:name="_Toc267251413"/>
      <w:bookmarkStart w:id="261" w:name="_Toc292559871"/>
      <w:bookmarkStart w:id="262" w:name="_Toc296890990"/>
      <w:bookmarkStart w:id="263" w:name="_Toc297120462"/>
      <w:bookmarkStart w:id="264" w:name="_Toc297048348"/>
      <w:bookmarkStart w:id="265" w:name="_Toc296347161"/>
      <w:bookmarkStart w:id="266" w:name="_Toc296503162"/>
      <w:bookmarkStart w:id="267" w:name="_Toc296346663"/>
      <w:r>
        <w:rPr>
          <w:rFonts w:hint="eastAsia" w:ascii="宋体" w:hAnsi="宋体" w:eastAsia="宋体" w:cs="宋体"/>
          <w:kern w:val="0"/>
          <w:sz w:val="24"/>
          <w:szCs w:val="24"/>
          <w:highlight w:val="none"/>
          <w:lang w:val="en-US" w:eastAsia="zh-CN" w:bidi="ar-SA"/>
        </w:rPr>
        <w:t>. 监</w:t>
      </w:r>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kern w:val="0"/>
          <w:sz w:val="24"/>
          <w:szCs w:val="24"/>
          <w:highlight w:val="none"/>
          <w:lang w:val="en-US" w:eastAsia="zh-CN" w:bidi="ar-SA"/>
        </w:rPr>
        <w:t>理人</w:t>
      </w:r>
      <w:bookmarkEnd w:id="256"/>
    </w:p>
    <w:p w14:paraId="3D398869">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4.1监理人的一般规定</w:t>
      </w:r>
    </w:p>
    <w:p w14:paraId="137F6BF0">
      <w:pPr>
        <w:ind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关于监理人的监理内容：</w:t>
      </w:r>
      <w:r>
        <w:rPr>
          <w:rFonts w:hint="eastAsia" w:ascii="宋体" w:hAnsi="宋体" w:eastAsia="宋体" w:cs="宋体"/>
          <w:kern w:val="0"/>
          <w:sz w:val="24"/>
          <w:szCs w:val="24"/>
          <w:highlight w:val="none"/>
          <w:u w:val="single"/>
          <w:lang w:val="en-US" w:eastAsia="zh-CN" w:bidi="ar-SA"/>
        </w:rPr>
        <w:t>工程质量控制、进度控制、造价控制、合同管理、工程相关资料管理、安全监督、现场协调</w:t>
      </w:r>
      <w:r>
        <w:rPr>
          <w:rFonts w:hint="eastAsia" w:ascii="宋体" w:hAnsi="宋体" w:eastAsia="宋体" w:cs="宋体"/>
          <w:kern w:val="0"/>
          <w:sz w:val="24"/>
          <w:szCs w:val="24"/>
          <w:highlight w:val="none"/>
          <w:lang w:val="en-US" w:eastAsia="zh-CN" w:bidi="ar-SA"/>
        </w:rPr>
        <w:t>。</w:t>
      </w:r>
    </w:p>
    <w:p w14:paraId="213D42C2">
      <w:pPr>
        <w:ind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关于监理人的监理权限：</w:t>
      </w:r>
      <w:r>
        <w:rPr>
          <w:rFonts w:hint="eastAsia" w:ascii="宋体" w:hAnsi="宋体" w:eastAsia="宋体" w:cs="宋体"/>
          <w:kern w:val="0"/>
          <w:sz w:val="24"/>
          <w:szCs w:val="24"/>
          <w:highlight w:val="none"/>
          <w:u w:val="single"/>
          <w:lang w:val="en-US" w:eastAsia="zh-CN" w:bidi="ar-SA"/>
        </w:rPr>
        <w:t>监理人需要取得发包人批准才能行使的职权：涉及工程造价、费用变化的设计变更、其他工程变更及签证的确认；标准的确认；开工令、停工令、复工令的签发</w:t>
      </w:r>
      <w:r>
        <w:rPr>
          <w:rFonts w:hint="eastAsia" w:ascii="宋体" w:hAnsi="宋体" w:eastAsia="宋体" w:cs="宋体"/>
          <w:kern w:val="0"/>
          <w:sz w:val="24"/>
          <w:szCs w:val="24"/>
          <w:highlight w:val="none"/>
          <w:lang w:val="en-US" w:eastAsia="zh-CN" w:bidi="ar-SA"/>
        </w:rPr>
        <w:t>。</w:t>
      </w:r>
    </w:p>
    <w:p w14:paraId="35286616">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关于监理人在施工现场的办公场所、生活场所的提供和费用承担的约定：</w:t>
      </w:r>
      <w:r>
        <w:rPr>
          <w:rFonts w:hint="eastAsia" w:ascii="宋体" w:hAnsi="宋体" w:eastAsia="宋体" w:cs="宋体"/>
          <w:kern w:val="0"/>
          <w:sz w:val="24"/>
          <w:szCs w:val="24"/>
          <w:highlight w:val="none"/>
          <w:u w:val="single"/>
          <w:lang w:val="en-US" w:eastAsia="zh-CN" w:bidi="ar-SA"/>
        </w:rPr>
        <w:t xml:space="preserve"> 由承包人负责提供办公场所、生活场所及设施， 费用由承包方承担 </w:t>
      </w:r>
      <w:r>
        <w:rPr>
          <w:rFonts w:hint="eastAsia" w:ascii="宋体" w:hAnsi="宋体" w:eastAsia="宋体" w:cs="宋体"/>
          <w:kern w:val="0"/>
          <w:sz w:val="24"/>
          <w:szCs w:val="24"/>
          <w:highlight w:val="none"/>
          <w:lang w:val="en-US" w:eastAsia="zh-CN" w:bidi="ar-SA"/>
        </w:rPr>
        <w:t>。</w:t>
      </w:r>
    </w:p>
    <w:p w14:paraId="0B6429A1">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4.2 监理人员</w:t>
      </w:r>
    </w:p>
    <w:p w14:paraId="37E43C91">
      <w:pPr>
        <w:ind w:firstLine="480" w:firstLineChars="200"/>
        <w:rPr>
          <w:rFonts w:hint="default" w:ascii="宋体" w:hAnsi="宋体" w:cs="宋体"/>
          <w:kern w:val="0"/>
          <w:sz w:val="24"/>
          <w:szCs w:val="24"/>
          <w:highlight w:val="none"/>
          <w:u w:val="single"/>
          <w:lang w:val="en-US" w:eastAsia="zh-CN" w:bidi="ar-SA"/>
        </w:rPr>
      </w:pPr>
      <w:r>
        <w:rPr>
          <w:rFonts w:hint="eastAsia" w:ascii="宋体" w:hAnsi="宋体" w:eastAsia="宋体" w:cs="宋体"/>
          <w:kern w:val="0"/>
          <w:sz w:val="24"/>
          <w:szCs w:val="24"/>
          <w:highlight w:val="none"/>
          <w:lang w:val="en-US" w:eastAsia="zh-CN" w:bidi="ar-SA"/>
        </w:rPr>
        <w:t>总监理工程师：</w:t>
      </w:r>
      <w:r>
        <w:rPr>
          <w:rFonts w:hint="eastAsia" w:ascii="宋体" w:hAnsi="宋体" w:cs="宋体"/>
          <w:kern w:val="0"/>
          <w:sz w:val="24"/>
          <w:szCs w:val="24"/>
          <w:highlight w:val="none"/>
          <w:u w:val="single"/>
          <w:lang w:val="en-US" w:eastAsia="zh-CN" w:bidi="ar-SA"/>
        </w:rPr>
        <w:t xml:space="preserve">                                 </w:t>
      </w:r>
      <w:r>
        <w:rPr>
          <w:rFonts w:hint="eastAsia" w:ascii="宋体" w:hAnsi="宋体" w:cs="宋体"/>
          <w:kern w:val="0"/>
          <w:sz w:val="24"/>
          <w:szCs w:val="24"/>
          <w:highlight w:val="none"/>
          <w:u w:val="none"/>
          <w:lang w:val="en-US" w:eastAsia="zh-CN" w:bidi="ar-SA"/>
        </w:rPr>
        <w:t>；</w:t>
      </w:r>
    </w:p>
    <w:p w14:paraId="4BA02EEB">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姓    名：</w:t>
      </w:r>
      <w:r>
        <w:rPr>
          <w:rFonts w:hint="eastAsia" w:ascii="宋体" w:hAnsi="宋体" w:eastAsia="宋体" w:cs="宋体"/>
          <w:kern w:val="0"/>
          <w:sz w:val="24"/>
          <w:szCs w:val="24"/>
          <w:highlight w:val="none"/>
          <w:u w:val="single"/>
          <w:lang w:val="en-US" w:eastAsia="zh-CN" w:bidi="ar-SA"/>
        </w:rPr>
        <w:t>           </w:t>
      </w:r>
      <w:r>
        <w:rPr>
          <w:rFonts w:hint="eastAsia" w:ascii="宋体" w:hAnsi="宋体" w:eastAsia="宋体" w:cs="宋体"/>
          <w:kern w:val="0"/>
          <w:sz w:val="24"/>
          <w:szCs w:val="24"/>
          <w:highlight w:val="none"/>
          <w:lang w:val="en-US" w:eastAsia="zh-CN" w:bidi="ar-SA"/>
        </w:rPr>
        <w:t>；</w:t>
      </w:r>
    </w:p>
    <w:p w14:paraId="23903FF0">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职    务：</w:t>
      </w:r>
      <w:r>
        <w:rPr>
          <w:rFonts w:hint="eastAsia" w:ascii="宋体" w:hAnsi="宋体" w:eastAsia="宋体" w:cs="宋体"/>
          <w:kern w:val="0"/>
          <w:sz w:val="24"/>
          <w:szCs w:val="24"/>
          <w:highlight w:val="none"/>
          <w:u w:val="single"/>
          <w:lang w:val="en-US" w:eastAsia="zh-CN" w:bidi="ar-SA"/>
        </w:rPr>
        <w:t>                     </w:t>
      </w:r>
      <w:r>
        <w:rPr>
          <w:rFonts w:hint="eastAsia" w:ascii="宋体" w:hAnsi="宋体" w:eastAsia="宋体" w:cs="宋体"/>
          <w:kern w:val="0"/>
          <w:sz w:val="24"/>
          <w:szCs w:val="24"/>
          <w:highlight w:val="none"/>
          <w:lang w:val="en-US" w:eastAsia="zh-CN" w:bidi="ar-SA"/>
        </w:rPr>
        <w:t>；</w:t>
      </w:r>
    </w:p>
    <w:p w14:paraId="382ECBC9">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监理工程师执业资格证书号：</w:t>
      </w:r>
      <w:r>
        <w:rPr>
          <w:rFonts w:hint="eastAsia" w:ascii="宋体" w:hAnsi="宋体" w:eastAsia="宋体" w:cs="宋体"/>
          <w:kern w:val="0"/>
          <w:sz w:val="24"/>
          <w:szCs w:val="24"/>
          <w:highlight w:val="none"/>
          <w:u w:val="single"/>
          <w:lang w:val="en-US" w:eastAsia="zh-CN" w:bidi="ar-SA"/>
        </w:rPr>
        <w:t>               </w:t>
      </w:r>
      <w:r>
        <w:rPr>
          <w:rFonts w:hint="eastAsia" w:ascii="宋体" w:hAnsi="宋体" w:eastAsia="宋体" w:cs="宋体"/>
          <w:kern w:val="0"/>
          <w:sz w:val="24"/>
          <w:szCs w:val="24"/>
          <w:highlight w:val="none"/>
          <w:lang w:val="en-US" w:eastAsia="zh-CN" w:bidi="ar-SA"/>
        </w:rPr>
        <w:t>；</w:t>
      </w:r>
    </w:p>
    <w:p w14:paraId="17E6C216">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联系电话：</w:t>
      </w:r>
      <w:r>
        <w:rPr>
          <w:rFonts w:hint="eastAsia" w:ascii="宋体" w:hAnsi="宋体" w:eastAsia="宋体" w:cs="宋体"/>
          <w:kern w:val="0"/>
          <w:sz w:val="24"/>
          <w:szCs w:val="24"/>
          <w:highlight w:val="none"/>
          <w:u w:val="single"/>
          <w:lang w:val="en-US" w:eastAsia="zh-CN" w:bidi="ar-SA"/>
        </w:rPr>
        <w:t>             </w:t>
      </w:r>
      <w:r>
        <w:rPr>
          <w:rFonts w:hint="eastAsia" w:ascii="宋体" w:hAnsi="宋体" w:eastAsia="宋体" w:cs="宋体"/>
          <w:kern w:val="0"/>
          <w:sz w:val="24"/>
          <w:szCs w:val="24"/>
          <w:highlight w:val="none"/>
          <w:lang w:val="en-US" w:eastAsia="zh-CN" w:bidi="ar-SA"/>
        </w:rPr>
        <w:t>；</w:t>
      </w:r>
    </w:p>
    <w:p w14:paraId="0B366F86">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电子信箱：</w:t>
      </w:r>
      <w:r>
        <w:rPr>
          <w:rFonts w:hint="eastAsia" w:ascii="宋体" w:hAnsi="宋体" w:eastAsia="宋体" w:cs="宋体"/>
          <w:kern w:val="0"/>
          <w:sz w:val="24"/>
          <w:szCs w:val="24"/>
          <w:highlight w:val="none"/>
          <w:u w:val="single"/>
          <w:lang w:val="en-US" w:eastAsia="zh-CN" w:bidi="ar-SA"/>
        </w:rPr>
        <w:t>                   </w:t>
      </w:r>
      <w:r>
        <w:rPr>
          <w:rFonts w:hint="eastAsia" w:ascii="宋体" w:hAnsi="宋体" w:eastAsia="宋体" w:cs="宋体"/>
          <w:kern w:val="0"/>
          <w:sz w:val="24"/>
          <w:szCs w:val="24"/>
          <w:highlight w:val="none"/>
          <w:lang w:val="en-US" w:eastAsia="zh-CN" w:bidi="ar-SA"/>
        </w:rPr>
        <w:t>；</w:t>
      </w:r>
    </w:p>
    <w:p w14:paraId="5582D9DF">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通信地址：</w:t>
      </w:r>
      <w:r>
        <w:rPr>
          <w:rFonts w:hint="eastAsia" w:ascii="宋体" w:hAnsi="宋体" w:eastAsia="宋体" w:cs="宋体"/>
          <w:kern w:val="0"/>
          <w:sz w:val="24"/>
          <w:szCs w:val="24"/>
          <w:highlight w:val="none"/>
          <w:u w:val="single"/>
          <w:lang w:val="en-US" w:eastAsia="zh-CN" w:bidi="ar-SA"/>
        </w:rPr>
        <w:t>                           </w:t>
      </w:r>
      <w:r>
        <w:rPr>
          <w:rFonts w:hint="eastAsia" w:ascii="宋体" w:hAnsi="宋体" w:eastAsia="宋体" w:cs="宋体"/>
          <w:kern w:val="0"/>
          <w:sz w:val="24"/>
          <w:szCs w:val="24"/>
          <w:highlight w:val="none"/>
          <w:lang w:val="en-US" w:eastAsia="zh-CN" w:bidi="ar-SA"/>
        </w:rPr>
        <w:t>；</w:t>
      </w:r>
    </w:p>
    <w:p w14:paraId="65A68D4A">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关于监理人的其他约定：</w:t>
      </w:r>
      <w:r>
        <w:rPr>
          <w:rFonts w:hint="eastAsia" w:ascii="宋体" w:hAnsi="宋体" w:eastAsia="宋体" w:cs="宋体"/>
          <w:kern w:val="0"/>
          <w:sz w:val="24"/>
          <w:szCs w:val="24"/>
          <w:highlight w:val="none"/>
          <w:u w:val="single"/>
          <w:lang w:val="en-US" w:eastAsia="zh-CN" w:bidi="ar-SA"/>
        </w:rPr>
        <w:t></w:t>
      </w:r>
      <w:r>
        <w:rPr>
          <w:rFonts w:hint="eastAsia" w:ascii="宋体"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u w:val="single"/>
          <w:lang w:val="en-US" w:eastAsia="zh-CN" w:bidi="ar-SA"/>
        </w:rPr>
        <w:t>/   </w:t>
      </w:r>
      <w:r>
        <w:rPr>
          <w:rFonts w:hint="eastAsia" w:ascii="宋体" w:hAnsi="宋体" w:eastAsia="宋体" w:cs="宋体"/>
          <w:kern w:val="0"/>
          <w:sz w:val="24"/>
          <w:szCs w:val="24"/>
          <w:highlight w:val="none"/>
          <w:lang w:val="en-US" w:eastAsia="zh-CN" w:bidi="ar-SA"/>
        </w:rPr>
        <w:t>。</w:t>
      </w:r>
    </w:p>
    <w:p w14:paraId="6E23CF7E">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w:t>
      </w: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 xml:space="preserve"> 商定或确定</w:t>
      </w:r>
    </w:p>
    <w:p w14:paraId="7305F09D">
      <w:pPr>
        <w:ind w:firstLine="480" w:firstLineChars="200"/>
        <w:rPr>
          <w:rFonts w:hint="eastAsia" w:ascii="宋体" w:hAnsi="宋体" w:eastAsia="宋体" w:cs="宋体"/>
          <w:kern w:val="0"/>
          <w:sz w:val="24"/>
          <w:szCs w:val="24"/>
          <w:highlight w:val="none"/>
          <w:lang w:val="en-US" w:eastAsia="zh-CN" w:bidi="ar-SA"/>
        </w:rPr>
      </w:pPr>
      <w:bookmarkStart w:id="268" w:name="_Toc267251418"/>
      <w:r>
        <w:rPr>
          <w:rFonts w:hint="eastAsia" w:ascii="宋体" w:hAnsi="宋体" w:eastAsia="宋体" w:cs="宋体"/>
          <w:kern w:val="0"/>
          <w:sz w:val="24"/>
          <w:szCs w:val="24"/>
          <w:highlight w:val="none"/>
          <w:lang w:val="en-US" w:eastAsia="zh-CN" w:bidi="ar-SA"/>
        </w:rPr>
        <w:t>在发包人和承包人不能通过协商达成一致意见时，发包人授权监理人对以下事项进行确定：</w:t>
      </w:r>
    </w:p>
    <w:p w14:paraId="4FCCA01D">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u w:val="single"/>
          <w:lang w:val="en-US" w:eastAsia="zh-CN" w:bidi="ar-SA"/>
        </w:rPr>
        <w:t xml:space="preserve"> /                    </w:t>
      </w:r>
      <w:r>
        <w:rPr>
          <w:rFonts w:hint="eastAsia" w:ascii="宋体" w:hAnsi="宋体" w:eastAsia="宋体" w:cs="宋体"/>
          <w:kern w:val="0"/>
          <w:sz w:val="24"/>
          <w:szCs w:val="24"/>
          <w:highlight w:val="none"/>
          <w:lang w:val="en-US" w:eastAsia="zh-CN" w:bidi="ar-SA"/>
        </w:rPr>
        <w:t>；</w:t>
      </w:r>
    </w:p>
    <w:p w14:paraId="4CE3B537">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u w:val="single"/>
          <w:lang w:val="en-US" w:eastAsia="zh-CN" w:bidi="ar-SA"/>
        </w:rPr>
        <w:t xml:space="preserve"> /                    </w:t>
      </w:r>
      <w:r>
        <w:rPr>
          <w:rFonts w:hint="eastAsia" w:ascii="宋体" w:hAnsi="宋体" w:eastAsia="宋体" w:cs="宋体"/>
          <w:kern w:val="0"/>
          <w:sz w:val="24"/>
          <w:szCs w:val="24"/>
          <w:highlight w:val="none"/>
          <w:lang w:val="en-US" w:eastAsia="zh-CN" w:bidi="ar-SA"/>
        </w:rPr>
        <w:t xml:space="preserve">； </w:t>
      </w:r>
      <w:r>
        <w:rPr>
          <w:rFonts w:hint="eastAsia" w:ascii="宋体" w:hAnsi="宋体" w:cs="宋体"/>
          <w:kern w:val="0"/>
          <w:sz w:val="24"/>
          <w:szCs w:val="24"/>
          <w:highlight w:val="none"/>
          <w:lang w:val="en-US" w:eastAsia="zh-CN" w:bidi="ar-SA"/>
        </w:rPr>
        <w:t xml:space="preserve"> </w:t>
      </w:r>
    </w:p>
    <w:p w14:paraId="10D20C01">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r>
        <w:rPr>
          <w:rFonts w:hint="eastAsia" w:ascii="宋体" w:hAnsi="宋体" w:eastAsia="宋体" w:cs="宋体"/>
          <w:kern w:val="0"/>
          <w:sz w:val="24"/>
          <w:szCs w:val="24"/>
          <w:highlight w:val="none"/>
          <w:u w:val="single"/>
          <w:lang w:val="en-US" w:eastAsia="zh-CN" w:bidi="ar-SA"/>
        </w:rPr>
        <w:t xml:space="preserve">    </w:t>
      </w:r>
      <w:r>
        <w:rPr>
          <w:rFonts w:hint="eastAsia" w:ascii="宋体" w:hAnsi="宋体" w:cs="宋体"/>
          <w:kern w:val="0"/>
          <w:sz w:val="24"/>
          <w:szCs w:val="24"/>
          <w:highlight w:val="none"/>
          <w:u w:val="single"/>
          <w:lang w:val="en-US" w:eastAsia="zh-CN" w:bidi="ar-SA"/>
        </w:rPr>
        <w:t xml:space="preserve">    </w:t>
      </w:r>
      <w:r>
        <w:rPr>
          <w:rFonts w:hint="eastAsia" w:ascii="宋体" w:hAnsi="宋体" w:eastAsia="宋体" w:cs="宋体"/>
          <w:kern w:val="0"/>
          <w:sz w:val="24"/>
          <w:szCs w:val="24"/>
          <w:highlight w:val="none"/>
          <w:u w:val="single"/>
          <w:lang w:val="en-US" w:eastAsia="zh-CN" w:bidi="ar-SA"/>
        </w:rPr>
        <w:t xml:space="preserve"> /                    </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 xml:space="preserve">  </w:t>
      </w:r>
      <w:r>
        <w:rPr>
          <w:rFonts w:hint="eastAsia" w:ascii="宋体" w:hAnsi="宋体" w:cs="宋体"/>
          <w:kern w:val="0"/>
          <w:sz w:val="24"/>
          <w:szCs w:val="24"/>
          <w:highlight w:val="none"/>
          <w:lang w:val="en-US" w:eastAsia="zh-CN" w:bidi="ar-SA"/>
        </w:rPr>
        <w:t xml:space="preserve"> </w:t>
      </w:r>
    </w:p>
    <w:p w14:paraId="5DA55C09">
      <w:pPr>
        <w:pStyle w:val="8"/>
        <w:spacing w:before="0" w:after="0" w:line="240" w:lineRule="auto"/>
        <w:ind w:firstLine="480" w:firstLineChars="200"/>
        <w:rPr>
          <w:rFonts w:ascii="宋体" w:hAnsi="宋体" w:eastAsia="宋体" w:cs="宋体"/>
          <w:bCs w:val="0"/>
          <w:color w:val="000000"/>
          <w:sz w:val="24"/>
          <w:szCs w:val="24"/>
          <w:highlight w:val="none"/>
        </w:rPr>
      </w:pPr>
      <w:bookmarkStart w:id="269" w:name="_Toc351203637"/>
      <w:r>
        <w:rPr>
          <w:rFonts w:hint="eastAsia" w:ascii="宋体" w:hAnsi="宋体" w:eastAsia="宋体" w:cs="宋体"/>
          <w:b w:val="0"/>
          <w:bCs w:val="0"/>
          <w:color w:val="000000"/>
          <w:sz w:val="24"/>
          <w:szCs w:val="24"/>
          <w:highlight w:val="none"/>
        </w:rPr>
        <w:t>5</w:t>
      </w:r>
      <w:bookmarkEnd w:id="268"/>
      <w:r>
        <w:rPr>
          <w:rFonts w:hint="eastAsia" w:ascii="宋体" w:hAnsi="宋体" w:eastAsia="宋体" w:cs="宋体"/>
          <w:b w:val="0"/>
          <w:bCs w:val="0"/>
          <w:color w:val="000000"/>
          <w:sz w:val="24"/>
          <w:szCs w:val="24"/>
          <w:highlight w:val="none"/>
        </w:rPr>
        <w:t>.</w:t>
      </w: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bCs w:val="0"/>
          <w:color w:val="000000"/>
          <w:sz w:val="24"/>
          <w:szCs w:val="24"/>
          <w:highlight w:val="none"/>
        </w:rPr>
        <w:t>工程质量</w:t>
      </w:r>
      <w:bookmarkEnd w:id="269"/>
    </w:p>
    <w:p w14:paraId="14191FBE">
      <w:pPr>
        <w:pStyle w:val="8"/>
        <w:spacing w:before="0" w:after="0" w:line="240" w:lineRule="auto"/>
        <w:ind w:firstLine="480" w:firstLineChars="200"/>
        <w:rPr>
          <w:rFonts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5.1 质量要求</w:t>
      </w:r>
    </w:p>
    <w:p w14:paraId="08EB3977">
      <w:pPr>
        <w:pStyle w:val="90"/>
        <w:ind w:firstLine="105" w:firstLineChars="50"/>
        <w:rPr>
          <w:rFonts w:hint="default" w:ascii="宋体" w:hAnsi="宋体" w:eastAsia="宋体" w:cs="宋体"/>
          <w:b w:val="0"/>
          <w:bCs w:val="0"/>
          <w:color w:val="000000"/>
          <w:kern w:val="0"/>
          <w:sz w:val="24"/>
          <w:szCs w:val="24"/>
          <w:highlight w:val="none"/>
          <w:lang w:val="en-US" w:eastAsia="zh-CN" w:bidi="ar-SA"/>
        </w:rPr>
      </w:pPr>
      <w:r>
        <w:rPr>
          <w:rFonts w:hint="eastAsia"/>
          <w:highlight w:val="none"/>
        </w:rPr>
        <w:t xml:space="preserve"> </w:t>
      </w:r>
      <w:r>
        <w:rPr>
          <w:rFonts w:hint="eastAsia"/>
          <w:highlight w:val="none"/>
          <w:lang w:val="en-US" w:eastAsia="zh-CN"/>
        </w:rPr>
        <w:t xml:space="preserve">  </w:t>
      </w:r>
      <w:r>
        <w:rPr>
          <w:rFonts w:hint="eastAsia" w:ascii="宋体" w:hAnsi="宋体" w:eastAsia="宋体" w:cs="宋体"/>
          <w:b w:val="0"/>
          <w:bCs w:val="0"/>
          <w:color w:val="000000"/>
          <w:kern w:val="0"/>
          <w:sz w:val="24"/>
          <w:szCs w:val="24"/>
          <w:highlight w:val="none"/>
          <w:lang w:val="en-US" w:eastAsia="zh-CN" w:bidi="ar-SA"/>
        </w:rPr>
        <w:t>质量标准和要求：</w:t>
      </w:r>
      <w:r>
        <w:rPr>
          <w:rFonts w:hint="eastAsia" w:ascii="宋体" w:hAnsi="宋体" w:eastAsia="宋体" w:cs="宋体"/>
          <w:b w:val="0"/>
          <w:bCs w:val="0"/>
          <w:color w:val="000000"/>
          <w:kern w:val="0"/>
          <w:sz w:val="24"/>
          <w:szCs w:val="24"/>
          <w:highlight w:val="none"/>
          <w:u w:val="single"/>
          <w:lang w:val="en-US" w:eastAsia="zh-CN" w:bidi="ar-SA"/>
        </w:rPr>
        <w:t xml:space="preserve">  符合现行国家有关工程施工质量验收规范和标准的要求</w:t>
      </w:r>
      <w:r>
        <w:rPr>
          <w:rFonts w:hint="eastAsia" w:ascii="宋体" w:hAnsi="宋体" w:cs="宋体"/>
          <w:b w:val="0"/>
          <w:bCs w:val="0"/>
          <w:color w:val="000000"/>
          <w:kern w:val="0"/>
          <w:sz w:val="24"/>
          <w:szCs w:val="24"/>
          <w:highlight w:val="none"/>
          <w:u w:val="none"/>
          <w:lang w:val="en-US" w:eastAsia="zh-CN" w:bidi="ar-SA"/>
        </w:rPr>
        <w:t>。</w:t>
      </w:r>
    </w:p>
    <w:p w14:paraId="0FE5EBD8">
      <w:pPr>
        <w:pStyle w:val="90"/>
        <w:ind w:firstLine="480" w:firstLineChars="200"/>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eastAsia" w:ascii="宋体" w:hAnsi="宋体" w:cs="宋体"/>
          <w:b w:val="0"/>
          <w:bCs w:val="0"/>
          <w:color w:val="000000"/>
          <w:kern w:val="0"/>
          <w:sz w:val="24"/>
          <w:szCs w:val="24"/>
          <w:highlight w:val="none"/>
          <w:lang w:val="en-US" w:eastAsia="zh-CN" w:bidi="ar-SA"/>
        </w:rPr>
        <w:t>3</w:t>
      </w:r>
      <w:r>
        <w:rPr>
          <w:rFonts w:hint="eastAsia" w:ascii="宋体" w:hAnsi="宋体" w:eastAsia="宋体" w:cs="宋体"/>
          <w:b w:val="0"/>
          <w:bCs w:val="0"/>
          <w:color w:val="000000"/>
          <w:kern w:val="0"/>
          <w:sz w:val="24"/>
          <w:szCs w:val="24"/>
          <w:highlight w:val="none"/>
          <w:lang w:val="en-US" w:eastAsia="zh-CN" w:bidi="ar-SA"/>
        </w:rPr>
        <w:t xml:space="preserve"> 隐蔽工程检查</w:t>
      </w:r>
    </w:p>
    <w:p w14:paraId="1DC36AA0">
      <w:pPr>
        <w:pStyle w:val="90"/>
        <w:ind w:firstLine="480" w:firstLineChars="200"/>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5.3.2承包人提前通知监理人隐蔽工程检查的期限的约定：</w:t>
      </w:r>
      <w:r>
        <w:rPr>
          <w:rFonts w:hint="eastAsia" w:ascii="宋体" w:hAnsi="宋体" w:eastAsia="宋体" w:cs="宋体"/>
          <w:b w:val="0"/>
          <w:bCs w:val="0"/>
          <w:color w:val="000000"/>
          <w:kern w:val="0"/>
          <w:sz w:val="24"/>
          <w:szCs w:val="24"/>
          <w:highlight w:val="none"/>
          <w:u w:val="single"/>
          <w:lang w:val="en-US" w:eastAsia="zh-CN" w:bidi="ar-SA"/>
        </w:rPr>
        <w:t>隐蔽工程验收，承包人应48小时前填好申请单报送监理，验收前提供有关资料和自检资料，由发包人和监理及有关部门共同组织验收，验收合格签证后，方可进行隐蔽工程施工，否则所造成的损失由承包人承担。隐蔽工程、主体工程，按质监部门的有关规定要求及通用条款规定执行。 工程初验前，严格按照有关规范规定进行各种相关项目的试验，检测合格后，方可填报初验单。擅自隐蔽每次罚款</w:t>
      </w:r>
      <w:r>
        <w:rPr>
          <w:rFonts w:hint="eastAsia" w:ascii="宋体" w:hAnsi="宋体" w:cs="宋体"/>
          <w:b w:val="0"/>
          <w:bCs w:val="0"/>
          <w:color w:val="000000"/>
          <w:kern w:val="0"/>
          <w:sz w:val="24"/>
          <w:szCs w:val="24"/>
          <w:highlight w:val="none"/>
          <w:u w:val="single"/>
          <w:lang w:val="en-US" w:eastAsia="zh-CN" w:bidi="ar-SA"/>
        </w:rPr>
        <w:t>5</w:t>
      </w:r>
      <w:r>
        <w:rPr>
          <w:rFonts w:hint="eastAsia" w:ascii="宋体" w:hAnsi="宋体" w:eastAsia="宋体" w:cs="宋体"/>
          <w:b w:val="0"/>
          <w:bCs w:val="0"/>
          <w:color w:val="000000"/>
          <w:kern w:val="0"/>
          <w:sz w:val="24"/>
          <w:szCs w:val="24"/>
          <w:highlight w:val="none"/>
          <w:u w:val="single"/>
          <w:lang w:val="en-US" w:eastAsia="zh-CN" w:bidi="ar-SA"/>
        </w:rPr>
        <w:t>000元，并在工程款中扣除</w:t>
      </w:r>
      <w:r>
        <w:rPr>
          <w:rFonts w:hint="eastAsia" w:ascii="宋体" w:hAnsi="宋体" w:eastAsia="宋体" w:cs="宋体"/>
          <w:b w:val="0"/>
          <w:bCs w:val="0"/>
          <w:color w:val="000000"/>
          <w:kern w:val="0"/>
          <w:sz w:val="24"/>
          <w:szCs w:val="24"/>
          <w:highlight w:val="none"/>
          <w:u w:val="none"/>
          <w:lang w:val="en-US" w:eastAsia="zh-CN" w:bidi="ar-SA"/>
        </w:rPr>
        <w:t xml:space="preserve">。 </w:t>
      </w:r>
    </w:p>
    <w:p w14:paraId="764BA9A3">
      <w:pPr>
        <w:ind w:firstLine="480" w:firstLineChars="200"/>
        <w:jc w:val="left"/>
        <w:rPr>
          <w:rFonts w:hint="eastAsia" w:ascii="宋体" w:hAnsi="宋体" w:eastAsia="宋体" w:cs="宋体"/>
          <w:color w:val="000000"/>
          <w:szCs w:val="21"/>
          <w:highlight w:val="none"/>
          <w:lang w:eastAsia="zh-CN"/>
        </w:rPr>
      </w:pPr>
      <w:r>
        <w:rPr>
          <w:rFonts w:hint="eastAsia" w:ascii="宋体" w:hAnsi="宋体" w:eastAsia="宋体" w:cs="宋体"/>
          <w:b w:val="0"/>
          <w:bCs w:val="0"/>
          <w:color w:val="000000"/>
          <w:kern w:val="0"/>
          <w:sz w:val="24"/>
          <w:szCs w:val="24"/>
          <w:highlight w:val="none"/>
          <w:lang w:val="en-US" w:eastAsia="zh-CN" w:bidi="ar-SA"/>
        </w:rPr>
        <w:t>监理人不能按时进行检查时，应提前</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cs="宋体"/>
          <w:b w:val="0"/>
          <w:bCs w:val="0"/>
          <w:color w:val="000000"/>
          <w:kern w:val="0"/>
          <w:sz w:val="24"/>
          <w:szCs w:val="24"/>
          <w:highlight w:val="none"/>
          <w:u w:val="single"/>
          <w:lang w:val="en-US" w:eastAsia="zh-CN" w:bidi="ar-SA"/>
        </w:rPr>
        <w:t>24</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小时提交书面延期要求</w:t>
      </w:r>
      <w:r>
        <w:rPr>
          <w:rFonts w:hint="eastAsia" w:ascii="宋体" w:hAnsi="宋体" w:cs="宋体"/>
          <w:color w:val="000000"/>
          <w:szCs w:val="21"/>
          <w:highlight w:val="none"/>
          <w:lang w:eastAsia="zh-CN"/>
        </w:rPr>
        <w:t>。</w:t>
      </w:r>
    </w:p>
    <w:p w14:paraId="624A9BBD">
      <w:pPr>
        <w:ind w:firstLine="480" w:firstLineChars="200"/>
        <w:jc w:val="left"/>
        <w:rPr>
          <w:rFonts w:hint="eastAsia" w:ascii="宋体" w:hAnsi="宋体" w:eastAsia="宋体" w:cs="宋体"/>
          <w:color w:val="000000"/>
          <w:szCs w:val="21"/>
          <w:highlight w:val="none"/>
          <w:lang w:eastAsia="zh-CN"/>
        </w:rPr>
      </w:pPr>
      <w:r>
        <w:rPr>
          <w:rFonts w:hint="eastAsia" w:ascii="宋体" w:hAnsi="宋体" w:eastAsia="宋体" w:cs="宋体"/>
          <w:b w:val="0"/>
          <w:bCs w:val="0"/>
          <w:color w:val="000000"/>
          <w:kern w:val="0"/>
          <w:sz w:val="24"/>
          <w:szCs w:val="24"/>
          <w:highlight w:val="none"/>
          <w:lang w:val="en-US" w:eastAsia="zh-CN" w:bidi="ar-SA"/>
        </w:rPr>
        <w:t>关于延期最长不得超过：</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cs="宋体"/>
          <w:b w:val="0"/>
          <w:bCs w:val="0"/>
          <w:color w:val="000000"/>
          <w:kern w:val="0"/>
          <w:sz w:val="24"/>
          <w:szCs w:val="24"/>
          <w:highlight w:val="none"/>
          <w:u w:val="single"/>
          <w:lang w:val="en-US" w:eastAsia="zh-CN" w:bidi="ar-SA"/>
        </w:rPr>
        <w:t>48</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小时</w:t>
      </w:r>
      <w:r>
        <w:rPr>
          <w:rFonts w:hint="eastAsia" w:ascii="宋体" w:hAnsi="宋体" w:cs="宋体"/>
          <w:color w:val="000000"/>
          <w:szCs w:val="21"/>
          <w:highlight w:val="none"/>
          <w:lang w:eastAsia="zh-CN"/>
        </w:rPr>
        <w:t>。</w:t>
      </w:r>
    </w:p>
    <w:p w14:paraId="1E89DC3B">
      <w:pPr>
        <w:spacing w:line="460" w:lineRule="exact"/>
        <w:ind w:firstLine="480" w:firstLineChars="200"/>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5.3</w:t>
      </w:r>
      <w:r>
        <w:rPr>
          <w:rFonts w:hint="eastAsia" w:ascii="宋体" w:hAnsi="宋体" w:cs="宋体"/>
          <w:b w:val="0"/>
          <w:bCs w:val="0"/>
          <w:color w:val="000000"/>
          <w:kern w:val="0"/>
          <w:sz w:val="24"/>
          <w:szCs w:val="24"/>
          <w:highlight w:val="none"/>
          <w:lang w:val="en-US" w:eastAsia="zh-CN" w:bidi="ar-SA"/>
        </w:rPr>
        <w:t>.3</w:t>
      </w:r>
      <w:r>
        <w:rPr>
          <w:rFonts w:hint="eastAsia" w:ascii="宋体" w:hAnsi="宋体" w:eastAsia="宋体" w:cs="宋体"/>
          <w:b w:val="0"/>
          <w:bCs w:val="0"/>
          <w:color w:val="000000"/>
          <w:kern w:val="0"/>
          <w:sz w:val="24"/>
          <w:szCs w:val="24"/>
          <w:highlight w:val="none"/>
          <w:lang w:val="en-US" w:eastAsia="zh-CN" w:bidi="ar-SA"/>
        </w:rPr>
        <w:t>重新检验</w:t>
      </w:r>
    </w:p>
    <w:p w14:paraId="23E1960B">
      <w:pPr>
        <w:spacing w:line="460" w:lineRule="exact"/>
        <w:ind w:firstLine="480" w:firstLineChars="200"/>
        <w:rPr>
          <w:rFonts w:hint="eastAsia" w:ascii="仿宋" w:hAnsi="仿宋" w:eastAsia="仿宋" w:cs="仿宋"/>
          <w:color w:val="000000"/>
          <w:sz w:val="24"/>
          <w:szCs w:val="24"/>
          <w:highlight w:val="none"/>
          <w:u w:val="single"/>
        </w:rPr>
      </w:pPr>
      <w:r>
        <w:rPr>
          <w:rFonts w:hint="eastAsia" w:ascii="宋体" w:hAnsi="宋体" w:eastAsia="宋体" w:cs="宋体"/>
          <w:b w:val="0"/>
          <w:bCs w:val="0"/>
          <w:color w:val="000000"/>
          <w:kern w:val="0"/>
          <w:sz w:val="24"/>
          <w:szCs w:val="24"/>
          <w:highlight w:val="none"/>
          <w:u w:val="single"/>
          <w:lang w:val="en-US" w:eastAsia="zh-CN" w:bidi="ar-SA"/>
        </w:rPr>
        <w:t>无论发包人、监理人员是否进行过验收，当其要求已经隐蔽的工程重新检验时，承包人应按要求进行剥离或开孔，并在检验后重新覆盖或修复。检验不合格时，承包人承担发生的全部费用，工期不顺延</w:t>
      </w:r>
      <w:r>
        <w:rPr>
          <w:rFonts w:hint="eastAsia" w:ascii="宋体" w:hAnsi="宋体" w:eastAsia="宋体" w:cs="宋体"/>
          <w:b w:val="0"/>
          <w:bCs w:val="0"/>
          <w:color w:val="000000"/>
          <w:kern w:val="0"/>
          <w:sz w:val="24"/>
          <w:szCs w:val="24"/>
          <w:highlight w:val="none"/>
          <w:lang w:val="en-US" w:eastAsia="zh-CN" w:bidi="ar-SA"/>
        </w:rPr>
        <w:t>。</w:t>
      </w:r>
    </w:p>
    <w:p w14:paraId="7ADD65C1">
      <w:pPr>
        <w:spacing w:line="460" w:lineRule="exact"/>
        <w:ind w:firstLine="480" w:firstLineChars="200"/>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5.3.</w:t>
      </w:r>
      <w:r>
        <w:rPr>
          <w:rFonts w:hint="eastAsia" w:ascii="宋体" w:hAnsi="宋体" w:cs="宋体"/>
          <w:b w:val="0"/>
          <w:bCs w:val="0"/>
          <w:color w:val="000000"/>
          <w:kern w:val="0"/>
          <w:sz w:val="24"/>
          <w:szCs w:val="24"/>
          <w:highlight w:val="none"/>
          <w:lang w:val="en-US" w:eastAsia="zh-CN" w:bidi="ar-SA"/>
        </w:rPr>
        <w:t>4</w:t>
      </w:r>
      <w:r>
        <w:rPr>
          <w:rFonts w:hint="eastAsia" w:ascii="宋体" w:hAnsi="宋体" w:eastAsia="宋体" w:cs="宋体"/>
          <w:b w:val="0"/>
          <w:bCs w:val="0"/>
          <w:color w:val="000000"/>
          <w:kern w:val="0"/>
          <w:sz w:val="24"/>
          <w:szCs w:val="24"/>
          <w:highlight w:val="none"/>
          <w:lang w:val="en-US" w:eastAsia="zh-CN" w:bidi="ar-SA"/>
        </w:rPr>
        <w:t>工程质量</w:t>
      </w:r>
    </w:p>
    <w:p w14:paraId="79652BF4">
      <w:pPr>
        <w:spacing w:line="460" w:lineRule="exact"/>
        <w:ind w:firstLine="480" w:firstLineChars="200"/>
        <w:rPr>
          <w:rFonts w:hint="eastAsia" w:ascii="仿宋" w:hAnsi="仿宋" w:eastAsia="仿宋" w:cs="仿宋"/>
          <w:color w:val="000000"/>
          <w:sz w:val="24"/>
          <w:szCs w:val="24"/>
          <w:highlight w:val="none"/>
          <w:u w:val="single"/>
        </w:rPr>
      </w:pPr>
      <w:r>
        <w:rPr>
          <w:rFonts w:hint="eastAsia" w:ascii="宋体" w:hAnsi="宋体" w:eastAsia="宋体" w:cs="宋体"/>
          <w:b w:val="0"/>
          <w:bCs w:val="0"/>
          <w:color w:val="000000"/>
          <w:kern w:val="0"/>
          <w:sz w:val="24"/>
          <w:szCs w:val="24"/>
          <w:highlight w:val="none"/>
          <w:u w:val="single"/>
          <w:lang w:val="en-US" w:eastAsia="zh-CN" w:bidi="ar-SA"/>
        </w:rPr>
        <w:t>按专用条款和采购文件要求执行</w:t>
      </w:r>
      <w:r>
        <w:rPr>
          <w:rFonts w:hint="eastAsia" w:ascii="宋体" w:hAnsi="宋体" w:eastAsia="宋体" w:cs="宋体"/>
          <w:b w:val="0"/>
          <w:bCs w:val="0"/>
          <w:color w:val="000000"/>
          <w:kern w:val="0"/>
          <w:sz w:val="24"/>
          <w:szCs w:val="24"/>
          <w:highlight w:val="none"/>
          <w:u w:val="none"/>
          <w:lang w:val="en-US" w:eastAsia="zh-CN" w:bidi="ar-SA"/>
        </w:rPr>
        <w:t>。</w:t>
      </w:r>
    </w:p>
    <w:p w14:paraId="57B12901">
      <w:pPr>
        <w:spacing w:line="460" w:lineRule="exact"/>
        <w:ind w:firstLine="480" w:firstLineChars="200"/>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5.3.</w:t>
      </w:r>
      <w:r>
        <w:rPr>
          <w:rFonts w:hint="eastAsia" w:ascii="宋体" w:hAnsi="宋体" w:cs="宋体"/>
          <w:b w:val="0"/>
          <w:bCs w:val="0"/>
          <w:color w:val="000000"/>
          <w:kern w:val="0"/>
          <w:sz w:val="24"/>
          <w:szCs w:val="24"/>
          <w:highlight w:val="none"/>
          <w:lang w:val="en-US" w:eastAsia="zh-CN" w:bidi="ar-SA"/>
        </w:rPr>
        <w:t>5</w:t>
      </w:r>
      <w:r>
        <w:rPr>
          <w:rFonts w:hint="eastAsia" w:ascii="宋体" w:hAnsi="宋体" w:eastAsia="宋体" w:cs="宋体"/>
          <w:b w:val="0"/>
          <w:bCs w:val="0"/>
          <w:color w:val="000000"/>
          <w:kern w:val="0"/>
          <w:sz w:val="24"/>
          <w:szCs w:val="24"/>
          <w:highlight w:val="none"/>
          <w:lang w:val="en-US" w:eastAsia="zh-CN" w:bidi="ar-SA"/>
        </w:rPr>
        <w:t>检查和返工</w:t>
      </w:r>
    </w:p>
    <w:p w14:paraId="362834A7">
      <w:pPr>
        <w:numPr>
          <w:ilvl w:val="0"/>
          <w:numId w:val="9"/>
        </w:numPr>
        <w:spacing w:line="460" w:lineRule="exact"/>
        <w:ind w:firstLine="480" w:firstLineChars="200"/>
        <w:rPr>
          <w:rFonts w:hint="eastAsia" w:ascii="宋体" w:hAnsi="宋体" w:eastAsia="宋体" w:cs="宋体"/>
          <w:b w:val="0"/>
          <w:bCs w:val="0"/>
          <w:color w:val="000000"/>
          <w:kern w:val="0"/>
          <w:sz w:val="24"/>
          <w:szCs w:val="24"/>
          <w:highlight w:val="none"/>
          <w:u w:val="single"/>
          <w:lang w:val="en-US" w:eastAsia="zh-CN" w:bidi="ar-SA"/>
        </w:rPr>
      </w:pPr>
      <w:r>
        <w:rPr>
          <w:rFonts w:hint="eastAsia" w:ascii="宋体" w:hAnsi="宋体" w:eastAsia="宋体" w:cs="宋体"/>
          <w:b w:val="0"/>
          <w:bCs w:val="0"/>
          <w:color w:val="000000"/>
          <w:kern w:val="0"/>
          <w:sz w:val="24"/>
          <w:szCs w:val="24"/>
          <w:highlight w:val="none"/>
          <w:u w:val="single"/>
          <w:lang w:val="en-US" w:eastAsia="zh-CN" w:bidi="ar-SA"/>
        </w:rPr>
        <w:t>承包人应严格按照施工规范、技术规程以及经监理工程师和发包人审核批复的实施性施工组织设计精心组织施工，确保工程进度及质量。在工序验收中，如检查发现质量不合格，承包人除必须返工至达标外，还应向发包人支付每项</w:t>
      </w:r>
      <w:r>
        <w:rPr>
          <w:rFonts w:hint="eastAsia" w:ascii="宋体" w:hAnsi="宋体" w:cs="宋体"/>
          <w:b w:val="0"/>
          <w:bCs w:val="0"/>
          <w:color w:val="000000"/>
          <w:kern w:val="0"/>
          <w:sz w:val="24"/>
          <w:szCs w:val="24"/>
          <w:highlight w:val="none"/>
          <w:u w:val="single"/>
          <w:lang w:val="en-US" w:eastAsia="zh-CN" w:bidi="ar-SA"/>
        </w:rPr>
        <w:t>2</w:t>
      </w:r>
      <w:r>
        <w:rPr>
          <w:rFonts w:hint="eastAsia" w:ascii="宋体" w:hAnsi="宋体" w:eastAsia="宋体" w:cs="宋体"/>
          <w:b w:val="0"/>
          <w:bCs w:val="0"/>
          <w:color w:val="000000"/>
          <w:kern w:val="0"/>
          <w:sz w:val="24"/>
          <w:szCs w:val="24"/>
          <w:highlight w:val="none"/>
          <w:u w:val="single"/>
          <w:lang w:val="en-US" w:eastAsia="zh-CN" w:bidi="ar-SA"/>
        </w:rPr>
        <w:t>000元/次的违约金。在分项工程验收中，如在各类抽测、抽检、抽查中发现质量不合格，承包人除必须返工达标外，还应向发包人支付每项</w:t>
      </w:r>
      <w:r>
        <w:rPr>
          <w:rFonts w:hint="eastAsia" w:ascii="宋体" w:hAnsi="宋体" w:cs="宋体"/>
          <w:b w:val="0"/>
          <w:bCs w:val="0"/>
          <w:color w:val="000000"/>
          <w:kern w:val="0"/>
          <w:sz w:val="24"/>
          <w:szCs w:val="24"/>
          <w:highlight w:val="none"/>
          <w:u w:val="single"/>
          <w:lang w:val="en-US" w:eastAsia="zh-CN" w:bidi="ar-SA"/>
        </w:rPr>
        <w:t>5</w:t>
      </w:r>
      <w:r>
        <w:rPr>
          <w:rFonts w:hint="eastAsia" w:ascii="宋体" w:hAnsi="宋体" w:eastAsia="宋体" w:cs="宋体"/>
          <w:b w:val="0"/>
          <w:bCs w:val="0"/>
          <w:color w:val="000000"/>
          <w:kern w:val="0"/>
          <w:sz w:val="24"/>
          <w:szCs w:val="24"/>
          <w:highlight w:val="none"/>
          <w:u w:val="single"/>
          <w:lang w:val="en-US" w:eastAsia="zh-CN" w:bidi="ar-SA"/>
        </w:rPr>
        <w:t>000元/次的违约金，并承担全部检测费用。</w:t>
      </w:r>
    </w:p>
    <w:p w14:paraId="7C20D285">
      <w:pPr>
        <w:numPr>
          <w:ilvl w:val="0"/>
          <w:numId w:val="0"/>
        </w:numPr>
        <w:spacing w:line="460" w:lineRule="exact"/>
        <w:ind w:firstLine="480" w:firstLineChars="200"/>
        <w:rPr>
          <w:rFonts w:hint="eastAsia" w:ascii="宋体" w:hAnsi="宋体" w:eastAsia="宋体" w:cs="宋体"/>
          <w:b w:val="0"/>
          <w:bCs w:val="0"/>
          <w:color w:val="000000"/>
          <w:kern w:val="0"/>
          <w:sz w:val="24"/>
          <w:szCs w:val="24"/>
          <w:highlight w:val="none"/>
          <w:u w:val="single"/>
          <w:lang w:val="en-US" w:eastAsia="zh-CN" w:bidi="ar-SA"/>
        </w:rPr>
      </w:pPr>
      <w:r>
        <w:rPr>
          <w:rFonts w:hint="eastAsia" w:ascii="宋体" w:hAnsi="宋体" w:eastAsia="宋体" w:cs="宋体"/>
          <w:b w:val="0"/>
          <w:bCs w:val="0"/>
          <w:color w:val="000000"/>
          <w:kern w:val="0"/>
          <w:sz w:val="24"/>
          <w:szCs w:val="24"/>
          <w:highlight w:val="none"/>
          <w:u w:val="none"/>
          <w:lang w:val="en-US" w:eastAsia="zh-CN" w:bidi="ar-SA"/>
        </w:rPr>
        <w:t>（2）</w:t>
      </w:r>
      <w:r>
        <w:rPr>
          <w:rFonts w:hint="eastAsia" w:ascii="宋体" w:hAnsi="宋体" w:eastAsia="宋体" w:cs="宋体"/>
          <w:b w:val="0"/>
          <w:bCs w:val="0"/>
          <w:color w:val="000000"/>
          <w:kern w:val="0"/>
          <w:sz w:val="24"/>
          <w:szCs w:val="24"/>
          <w:highlight w:val="none"/>
          <w:u w:val="single"/>
          <w:lang w:val="en-US" w:eastAsia="zh-CN" w:bidi="ar-SA"/>
        </w:rPr>
        <w:t>承包人在发生工程质量问题时隐瞒监理工程师及发包人，或有偷工减料行为、使用假冒伪劣产品行为，除及时进行整改外另需向发包人支付</w:t>
      </w:r>
      <w:r>
        <w:rPr>
          <w:rFonts w:hint="eastAsia" w:ascii="宋体" w:hAnsi="宋体" w:cs="宋体"/>
          <w:b w:val="0"/>
          <w:bCs w:val="0"/>
          <w:color w:val="000000"/>
          <w:kern w:val="0"/>
          <w:sz w:val="24"/>
          <w:szCs w:val="24"/>
          <w:highlight w:val="none"/>
          <w:u w:val="single"/>
          <w:lang w:val="en-US" w:eastAsia="zh-CN" w:bidi="ar-SA"/>
        </w:rPr>
        <w:t>2</w:t>
      </w:r>
      <w:r>
        <w:rPr>
          <w:rFonts w:hint="eastAsia" w:ascii="宋体" w:hAnsi="宋体" w:eastAsia="宋体" w:cs="宋体"/>
          <w:b w:val="0"/>
          <w:bCs w:val="0"/>
          <w:color w:val="000000"/>
          <w:kern w:val="0"/>
          <w:sz w:val="24"/>
          <w:szCs w:val="24"/>
          <w:highlight w:val="none"/>
          <w:u w:val="single"/>
          <w:lang w:val="en-US" w:eastAsia="zh-CN" w:bidi="ar-SA"/>
        </w:rPr>
        <w:t>0000元/次的质量违约金</w:t>
      </w:r>
      <w:r>
        <w:rPr>
          <w:rFonts w:hint="eastAsia" w:ascii="宋体" w:hAnsi="宋体" w:eastAsia="宋体" w:cs="宋体"/>
          <w:b w:val="0"/>
          <w:bCs w:val="0"/>
          <w:color w:val="000000"/>
          <w:kern w:val="0"/>
          <w:sz w:val="24"/>
          <w:szCs w:val="24"/>
          <w:highlight w:val="none"/>
          <w:u w:val="none"/>
          <w:lang w:val="en-US" w:eastAsia="zh-CN" w:bidi="ar-SA"/>
        </w:rPr>
        <w:t>。</w:t>
      </w:r>
    </w:p>
    <w:p w14:paraId="38713CC9">
      <w:pPr>
        <w:rPr>
          <w:rFonts w:hint="eastAsia"/>
          <w:highlight w:val="none"/>
          <w:lang w:val="en-US" w:eastAsia="zh-CN"/>
        </w:rPr>
      </w:pPr>
    </w:p>
    <w:p w14:paraId="3C7AF6B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6.安全文明施工与环境保护</w:t>
      </w:r>
      <w:bookmarkEnd w:id="238"/>
    </w:p>
    <w:p w14:paraId="5394600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6.1安全文明施工</w:t>
      </w:r>
    </w:p>
    <w:p w14:paraId="1C281906">
      <w:p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6.1.1项目安全生产的达标目标及相应事项的约定：</w:t>
      </w:r>
    </w:p>
    <w:p w14:paraId="1A5A3F3D">
      <w:pPr>
        <w:numPr>
          <w:ilvl w:val="0"/>
          <w:numId w:val="10"/>
        </w:numPr>
        <w:wordWrap w:val="0"/>
        <w:autoSpaceDE w:val="0"/>
        <w:autoSpaceDN w:val="0"/>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必须承担施工安全保卫的责任,禁止外单位施工车辆、人员出入工地。履约期间</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应满足现场施工管理的需要，达到有关规定的要求及承诺。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照规定负责施工现场的安全保卫工作及施工照明，负责施工人员的治安教育和施工安全教育工作，建立健全行之有效的管理制度。以确保施工阶段的一切安全工作，因措施不力、管理不善而由此发生的一切事故均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负责承担</w:t>
      </w:r>
      <w:r>
        <w:rPr>
          <w:rFonts w:hint="eastAsia" w:ascii="宋体" w:hAnsi="宋体" w:cs="宋体"/>
          <w:sz w:val="24"/>
          <w:szCs w:val="24"/>
          <w:highlight w:val="none"/>
          <w:u w:val="none"/>
        </w:rPr>
        <w:t>。</w:t>
      </w:r>
    </w:p>
    <w:p w14:paraId="06D61ADB">
      <w:pPr>
        <w:numPr>
          <w:ilvl w:val="0"/>
          <w:numId w:val="10"/>
        </w:num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除执行通用条款的相关规定外，</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按规范施工并严格按照施工组织设计组织施工，在安全管理方面除正常进行安全学习、安全教育外，同时应高度重视工程施工时的安全工作，安全措施要落实到位，应急措施必须跟上，对于不重视安全工作，措施不到位，发生安全事故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将承担全部责任，并承担所有赔偿费用</w:t>
      </w:r>
      <w:r>
        <w:rPr>
          <w:rFonts w:hint="eastAsia" w:ascii="宋体" w:hAnsi="宋体" w:cs="宋体"/>
          <w:sz w:val="24"/>
          <w:szCs w:val="24"/>
          <w:highlight w:val="none"/>
          <w:u w:val="none"/>
        </w:rPr>
        <w:t>。</w:t>
      </w:r>
    </w:p>
    <w:p w14:paraId="0A62803D">
      <w:pPr>
        <w:numPr>
          <w:ilvl w:val="0"/>
          <w:numId w:val="10"/>
        </w:num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负责施工现场的第三方人身安全</w:t>
      </w:r>
      <w:r>
        <w:rPr>
          <w:rFonts w:hint="eastAsia" w:ascii="宋体" w:hAnsi="宋体" w:cs="宋体"/>
          <w:sz w:val="24"/>
          <w:szCs w:val="24"/>
          <w:highlight w:val="none"/>
          <w:u w:val="none"/>
        </w:rPr>
        <w:t>。</w:t>
      </w:r>
    </w:p>
    <w:p w14:paraId="1471F59C">
      <w:pPr>
        <w:numPr>
          <w:ilvl w:val="0"/>
          <w:numId w:val="10"/>
        </w:num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原因造成人员伤亡或机具损坏而导致停工，工期不予顺延，同时</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还保留进一步索赔的权利</w:t>
      </w:r>
      <w:r>
        <w:rPr>
          <w:rFonts w:hint="eastAsia" w:ascii="宋体" w:hAnsi="宋体" w:cs="宋体"/>
          <w:sz w:val="24"/>
          <w:szCs w:val="24"/>
          <w:highlight w:val="none"/>
        </w:rPr>
        <w:t>。</w:t>
      </w:r>
    </w:p>
    <w:p w14:paraId="29DFCC2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w:t>
      </w:r>
      <w:r>
        <w:rPr>
          <w:rFonts w:hint="eastAsia" w:ascii="宋体" w:hAnsi="宋体" w:cs="宋体"/>
          <w:sz w:val="24"/>
          <w:szCs w:val="24"/>
          <w:highlight w:val="none"/>
          <w:lang w:val="en-US" w:eastAsia="zh-CN"/>
        </w:rPr>
        <w:t>4</w:t>
      </w:r>
      <w:r>
        <w:rPr>
          <w:rFonts w:hint="eastAsia" w:ascii="宋体" w:hAnsi="宋体" w:cs="宋体"/>
          <w:sz w:val="24"/>
          <w:szCs w:val="24"/>
          <w:highlight w:val="none"/>
        </w:rPr>
        <w:t>关于治安保卫的特别约定：</w:t>
      </w:r>
      <w:r>
        <w:rPr>
          <w:rFonts w:hint="eastAsia" w:ascii="宋体" w:hAnsi="宋体" w:cs="宋体"/>
          <w:sz w:val="24"/>
          <w:szCs w:val="24"/>
          <w:highlight w:val="none"/>
          <w:u w:val="single"/>
        </w:rPr>
        <w:t>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w:t>
      </w:r>
      <w:r>
        <w:rPr>
          <w:rFonts w:hint="eastAsia" w:ascii="宋体" w:hAnsi="宋体" w:cs="宋体"/>
          <w:sz w:val="24"/>
          <w:szCs w:val="24"/>
          <w:highlight w:val="none"/>
        </w:rPr>
        <w:t>。</w:t>
      </w:r>
    </w:p>
    <w:p w14:paraId="6F96391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w:t>
      </w:r>
      <w:r>
        <w:rPr>
          <w:rFonts w:hint="eastAsia" w:ascii="宋体" w:hAnsi="宋体" w:cs="宋体"/>
          <w:sz w:val="24"/>
          <w:szCs w:val="24"/>
          <w:highlight w:val="none"/>
          <w:lang w:val="en-US" w:eastAsia="zh-CN"/>
        </w:rPr>
        <w:t>5</w:t>
      </w:r>
      <w:r>
        <w:rPr>
          <w:rFonts w:hint="eastAsia" w:ascii="宋体" w:hAnsi="宋体" w:cs="宋体"/>
          <w:sz w:val="24"/>
          <w:szCs w:val="24"/>
          <w:highlight w:val="none"/>
        </w:rPr>
        <w:t>文明施工</w:t>
      </w:r>
    </w:p>
    <w:p w14:paraId="6A1B018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合同当事人对文明施工的要求：</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本工程</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须按文明工地要求组织施工。</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符合</w:t>
      </w:r>
      <w:r>
        <w:rPr>
          <w:rFonts w:hint="eastAsia" w:ascii="宋体" w:hAnsi="宋体" w:cs="宋体"/>
          <w:sz w:val="24"/>
          <w:szCs w:val="24"/>
          <w:highlight w:val="none"/>
          <w:u w:val="single"/>
          <w:lang w:val="en-US" w:eastAsia="zh-CN"/>
        </w:rPr>
        <w:t>有关</w:t>
      </w:r>
      <w:r>
        <w:rPr>
          <w:rFonts w:hint="eastAsia" w:ascii="宋体" w:hAnsi="宋体" w:cs="宋体"/>
          <w:sz w:val="24"/>
          <w:szCs w:val="24"/>
          <w:highlight w:val="none"/>
          <w:u w:val="single"/>
        </w:rPr>
        <w:t>部门文明施工的有关规定</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违反规定造成的损失和罚款由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负责。工程完工后的建筑垃圾及时清理出施工现场。如有罚款，由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施工现场应悬挂</w:t>
      </w:r>
      <w:r>
        <w:rPr>
          <w:rFonts w:hint="eastAsia" w:ascii="宋体" w:hAnsi="宋体" w:cs="宋体"/>
          <w:sz w:val="24"/>
          <w:szCs w:val="24"/>
          <w:highlight w:val="none"/>
          <w:u w:val="single"/>
          <w:lang w:val="en-US" w:eastAsia="zh-CN"/>
        </w:rPr>
        <w:t>安全标牌</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保持场地整洁卫生，</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须制定环境卫生管理制度。施工场地临时搭建须经</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批准，且应整齐美观</w:t>
      </w:r>
      <w:r>
        <w:rPr>
          <w:rFonts w:hint="eastAsia" w:ascii="宋体" w:hAnsi="宋体" w:cs="宋体"/>
          <w:sz w:val="24"/>
          <w:szCs w:val="24"/>
          <w:highlight w:val="none"/>
        </w:rPr>
        <w:t>。</w:t>
      </w:r>
    </w:p>
    <w:p w14:paraId="33BC7F26">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w:t>
      </w:r>
      <w:r>
        <w:rPr>
          <w:rFonts w:hint="eastAsia" w:ascii="宋体" w:hAnsi="宋体" w:cs="宋体"/>
          <w:sz w:val="24"/>
          <w:szCs w:val="24"/>
          <w:highlight w:val="none"/>
          <w:lang w:val="en-US" w:eastAsia="zh-CN"/>
        </w:rPr>
        <w:t>6</w:t>
      </w:r>
      <w:r>
        <w:rPr>
          <w:rFonts w:hint="eastAsia" w:ascii="宋体" w:hAnsi="宋体" w:cs="宋体"/>
          <w:sz w:val="24"/>
          <w:szCs w:val="24"/>
          <w:highlight w:val="none"/>
        </w:rPr>
        <w:t>关于安全文明施工费支付比例和支付期限的约定：</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bookmarkEnd w:id="239"/>
      <w:bookmarkEnd w:id="240"/>
      <w:bookmarkEnd w:id="241"/>
      <w:bookmarkEnd w:id="242"/>
      <w:bookmarkEnd w:id="243"/>
      <w:bookmarkEnd w:id="244"/>
      <w:bookmarkEnd w:id="245"/>
      <w:bookmarkStart w:id="270" w:name="_Toc351203639"/>
    </w:p>
    <w:p w14:paraId="620D5944">
      <w:pPr>
        <w:numPr>
          <w:ilvl w:val="0"/>
          <w:numId w:val="11"/>
        </w:numPr>
        <w:wordWrap w:val="0"/>
        <w:autoSpaceDE w:val="0"/>
        <w:autoSpaceDN w:val="0"/>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工期和进度</w:t>
      </w:r>
      <w:bookmarkEnd w:id="270"/>
    </w:p>
    <w:p w14:paraId="24DB257F">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 施工组织设计</w:t>
      </w:r>
    </w:p>
    <w:p w14:paraId="71E92257">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7.1.1 合同当事人约定的施工组织设计应包括的其他内容：</w:t>
      </w:r>
      <w:r>
        <w:rPr>
          <w:rFonts w:hint="eastAsia" w:cs="宋体"/>
          <w:kern w:val="2"/>
          <w:sz w:val="24"/>
          <w:szCs w:val="24"/>
          <w:highlight w:val="none"/>
          <w:u w:val="single"/>
          <w:lang w:val="en-US" w:eastAsia="zh-CN" w:bidi="ar-SA"/>
        </w:rPr>
        <w:t xml:space="preserve"> 满足招标文件要求 </w:t>
      </w:r>
      <w:r>
        <w:rPr>
          <w:rFonts w:hint="eastAsia" w:ascii="宋体" w:hAnsi="宋体" w:eastAsia="宋体" w:cs="宋体"/>
          <w:kern w:val="2"/>
          <w:sz w:val="24"/>
          <w:szCs w:val="24"/>
          <w:highlight w:val="none"/>
          <w:lang w:val="en-US" w:eastAsia="zh-CN" w:bidi="ar-SA"/>
        </w:rPr>
        <w:t>。</w:t>
      </w:r>
    </w:p>
    <w:p w14:paraId="4006437F">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7.1.2 施工组织设计的提交和修改</w:t>
      </w:r>
    </w:p>
    <w:p w14:paraId="401EDAF2">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承包人提交详细施工组织设计的期限的约定</w:t>
      </w:r>
      <w:r>
        <w:rPr>
          <w:rFonts w:hint="eastAsia" w:cs="宋体"/>
          <w:kern w:val="2"/>
          <w:sz w:val="24"/>
          <w:szCs w:val="24"/>
          <w:highlight w:val="none"/>
          <w:u w:val="single"/>
          <w:lang w:val="en-US" w:eastAsia="zh-CN" w:bidi="ar-SA"/>
        </w:rPr>
        <w:t xml:space="preserve"> 合同签订后7日内，向监理人提交详细的施工组织设计，并由监理人报送发包人 </w:t>
      </w:r>
      <w:r>
        <w:rPr>
          <w:rFonts w:hint="eastAsia" w:ascii="宋体" w:hAnsi="宋体" w:eastAsia="宋体" w:cs="宋体"/>
          <w:kern w:val="2"/>
          <w:sz w:val="24"/>
          <w:szCs w:val="24"/>
          <w:highlight w:val="none"/>
          <w:lang w:val="en-US" w:eastAsia="zh-CN" w:bidi="ar-SA"/>
        </w:rPr>
        <w:t>。</w:t>
      </w:r>
    </w:p>
    <w:p w14:paraId="706C3B6F">
      <w:pPr>
        <w:pStyle w:val="22"/>
        <w:widowControl w:val="0"/>
        <w:numPr>
          <w:ilvl w:val="0"/>
          <w:numId w:val="0"/>
        </w:numPr>
        <w:spacing w:line="440" w:lineRule="exact"/>
        <w:ind w:left="478" w:leftChars="228"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发包人和监理人在收到详细的施工组织设计后确认或提出修改意见的期限：</w:t>
      </w:r>
      <w:r>
        <w:rPr>
          <w:rFonts w:hint="eastAsia" w:cs="宋体"/>
          <w:kern w:val="2"/>
          <w:sz w:val="24"/>
          <w:szCs w:val="24"/>
          <w:highlight w:val="none"/>
          <w:u w:val="single"/>
          <w:lang w:val="en-US" w:eastAsia="zh-CN" w:bidi="ar-SA"/>
        </w:rPr>
        <w:t xml:space="preserve"> 发包人和监理人应在监理人收到施工组织设计后3日内确认或提出修改意见 </w:t>
      </w:r>
      <w:r>
        <w:rPr>
          <w:rFonts w:hint="eastAsia" w:ascii="宋体" w:hAnsi="宋体" w:eastAsia="宋体" w:cs="宋体"/>
          <w:kern w:val="2"/>
          <w:sz w:val="24"/>
          <w:szCs w:val="24"/>
          <w:highlight w:val="none"/>
          <w:lang w:val="en-US" w:eastAsia="zh-CN" w:bidi="ar-SA"/>
        </w:rPr>
        <w:t xml:space="preserve">。      </w:t>
      </w:r>
    </w:p>
    <w:p w14:paraId="24933F6C">
      <w:pPr>
        <w:pStyle w:val="22"/>
        <w:widowControl w:val="0"/>
        <w:numPr>
          <w:ilvl w:val="0"/>
          <w:numId w:val="0"/>
        </w:numPr>
        <w:spacing w:line="440" w:lineRule="exact"/>
        <w:ind w:left="478" w:leftChars="228"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 施工进度计划</w:t>
      </w:r>
    </w:p>
    <w:p w14:paraId="288E7363">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7.2.2 施工进度计划的修订</w:t>
      </w:r>
    </w:p>
    <w:p w14:paraId="4C671605">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发包人和监理人在收到修订的施工进度计划后确认或提出修改意见的期限：</w:t>
      </w:r>
      <w:r>
        <w:rPr>
          <w:rFonts w:hint="eastAsia" w:cs="宋体"/>
          <w:kern w:val="2"/>
          <w:sz w:val="24"/>
          <w:szCs w:val="24"/>
          <w:highlight w:val="none"/>
          <w:u w:val="single"/>
          <w:lang w:val="en-US" w:eastAsia="zh-CN" w:bidi="ar-SA"/>
        </w:rPr>
        <w:t xml:space="preserve">发包人和监理人应在收到修订的施工进度计划后 7日内完成审核和批准或提出修改意见 </w:t>
      </w:r>
      <w:r>
        <w:rPr>
          <w:rFonts w:hint="eastAsia" w:ascii="宋体" w:hAnsi="宋体" w:eastAsia="宋体" w:cs="宋体"/>
          <w:kern w:val="2"/>
          <w:sz w:val="24"/>
          <w:szCs w:val="24"/>
          <w:highlight w:val="none"/>
          <w:lang w:val="en-US" w:eastAsia="zh-CN" w:bidi="ar-SA"/>
        </w:rPr>
        <w:t>。</w:t>
      </w:r>
    </w:p>
    <w:p w14:paraId="6FDAEA6B">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7.3 开工</w:t>
      </w:r>
    </w:p>
    <w:p w14:paraId="0F81761B">
      <w:pPr>
        <w:pStyle w:val="22"/>
        <w:widowControl w:val="0"/>
        <w:numPr>
          <w:ilvl w:val="0"/>
          <w:numId w:val="0"/>
        </w:numPr>
        <w:spacing w:line="440" w:lineRule="exact"/>
        <w:jc w:val="both"/>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3.1</w:t>
      </w:r>
      <w:r>
        <w:rPr>
          <w:rFonts w:hint="eastAsia" w:ascii="宋体" w:hAnsi="宋体" w:eastAsia="宋体" w:cs="宋体"/>
          <w:kern w:val="2"/>
          <w:sz w:val="24"/>
          <w:szCs w:val="24"/>
          <w:highlight w:val="none"/>
          <w:lang w:val="en-US" w:eastAsia="zh-CN" w:bidi="ar-SA"/>
        </w:rPr>
        <w:t>开工准备</w:t>
      </w:r>
    </w:p>
    <w:p w14:paraId="452B780B">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关于发包人应完成的开工准备工作及期限：</w:t>
      </w:r>
      <w:r>
        <w:rPr>
          <w:rFonts w:hint="eastAsia" w:ascii="宋体" w:hAnsi="宋体" w:eastAsia="宋体" w:cs="宋体"/>
          <w:kern w:val="2"/>
          <w:sz w:val="24"/>
          <w:szCs w:val="24"/>
          <w:highlight w:val="none"/>
          <w:u w:val="single"/>
          <w:lang w:val="en-US" w:eastAsia="zh-CN" w:bidi="ar-SA"/>
        </w:rPr>
        <w:t>开工前</w:t>
      </w:r>
      <w:r>
        <w:rPr>
          <w:rFonts w:hint="eastAsia" w:cs="宋体"/>
          <w:kern w:val="2"/>
          <w:sz w:val="24"/>
          <w:szCs w:val="24"/>
          <w:highlight w:val="none"/>
          <w:u w:val="single"/>
          <w:lang w:val="en-US" w:eastAsia="zh-CN" w:bidi="ar-SA"/>
        </w:rPr>
        <w:t>7日</w:t>
      </w:r>
      <w:r>
        <w:rPr>
          <w:rFonts w:hint="eastAsia" w:ascii="宋体" w:hAnsi="宋体" w:eastAsia="宋体" w:cs="宋体"/>
          <w:kern w:val="2"/>
          <w:sz w:val="24"/>
          <w:szCs w:val="24"/>
          <w:highlight w:val="none"/>
          <w:u w:val="single"/>
          <w:lang w:val="en-US" w:eastAsia="zh-CN" w:bidi="ar-SA"/>
        </w:rPr>
        <w:t>内提供材料及施工进度计划</w:t>
      </w:r>
      <w:r>
        <w:rPr>
          <w:rFonts w:hint="eastAsia" w:ascii="宋体" w:hAnsi="宋体" w:eastAsia="宋体" w:cs="宋体"/>
          <w:kern w:val="2"/>
          <w:sz w:val="24"/>
          <w:szCs w:val="24"/>
          <w:highlight w:val="none"/>
          <w:lang w:val="en-US" w:eastAsia="zh-CN" w:bidi="ar-SA"/>
        </w:rPr>
        <w:t>。</w:t>
      </w:r>
    </w:p>
    <w:p w14:paraId="2A0EB988">
      <w:pPr>
        <w:pStyle w:val="22"/>
        <w:widowControl w:val="0"/>
        <w:numPr>
          <w:ilvl w:val="0"/>
          <w:numId w:val="0"/>
        </w:numPr>
        <w:spacing w:line="440" w:lineRule="exact"/>
        <w:jc w:val="both"/>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.2开工通知</w:t>
      </w:r>
    </w:p>
    <w:p w14:paraId="56953C02">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因发包人原因造成监理人未能在计划开工日期之日起</w:t>
      </w:r>
      <w:r>
        <w:rPr>
          <w:rFonts w:hint="eastAsia" w:ascii="宋体" w:hAnsi="宋体" w:eastAsia="宋体" w:cs="宋体"/>
          <w:kern w:val="2"/>
          <w:sz w:val="24"/>
          <w:szCs w:val="24"/>
          <w:highlight w:val="none"/>
          <w:u w:val="single"/>
          <w:lang w:val="en-US" w:eastAsia="zh-CN" w:bidi="ar-SA"/>
        </w:rPr>
        <w:t xml:space="preserve"> 30 </w:t>
      </w:r>
      <w:r>
        <w:rPr>
          <w:rFonts w:hint="eastAsia" w:ascii="宋体" w:hAnsi="宋体" w:eastAsia="宋体" w:cs="宋体"/>
          <w:kern w:val="2"/>
          <w:sz w:val="24"/>
          <w:szCs w:val="24"/>
          <w:highlight w:val="none"/>
          <w:lang w:val="en-US" w:eastAsia="zh-CN" w:bidi="ar-SA"/>
        </w:rPr>
        <w:t>天内发出开工通知的，承包人有权提出价格调整要求，或者解除合同。</w:t>
      </w:r>
    </w:p>
    <w:p w14:paraId="0E456876">
      <w:pPr>
        <w:pStyle w:val="22"/>
        <w:widowControl w:val="0"/>
        <w:numPr>
          <w:ilvl w:val="0"/>
          <w:numId w:val="0"/>
        </w:numPr>
        <w:spacing w:line="440" w:lineRule="exact"/>
        <w:jc w:val="both"/>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测量放线</w:t>
      </w:r>
    </w:p>
    <w:p w14:paraId="292679B9">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发包人通过监理人向承包人提供测量基准点、基准线和水准点及其书面资料的期限：</w:t>
      </w:r>
      <w:r>
        <w:rPr>
          <w:rFonts w:hint="eastAsia" w:ascii="宋体" w:hAnsi="宋体" w:eastAsia="宋体" w:cs="宋体"/>
          <w:kern w:val="2"/>
          <w:sz w:val="24"/>
          <w:szCs w:val="24"/>
          <w:highlight w:val="none"/>
          <w:u w:val="single"/>
          <w:lang w:val="en-US" w:eastAsia="zh-CN" w:bidi="ar-SA"/>
        </w:rPr>
        <w:t xml:space="preserve">  开工前一周内  </w:t>
      </w:r>
      <w:r>
        <w:rPr>
          <w:rFonts w:hint="eastAsia" w:ascii="宋体" w:hAnsi="宋体" w:eastAsia="宋体" w:cs="宋体"/>
          <w:kern w:val="2"/>
          <w:sz w:val="24"/>
          <w:szCs w:val="24"/>
          <w:highlight w:val="none"/>
          <w:lang w:val="en-US" w:eastAsia="zh-CN" w:bidi="ar-SA"/>
        </w:rPr>
        <w:t>。</w:t>
      </w:r>
    </w:p>
    <w:p w14:paraId="2A079094">
      <w:pPr>
        <w:pStyle w:val="22"/>
        <w:widowControl w:val="0"/>
        <w:numPr>
          <w:ilvl w:val="0"/>
          <w:numId w:val="0"/>
        </w:numPr>
        <w:spacing w:line="440" w:lineRule="exact"/>
        <w:jc w:val="both"/>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 xml:space="preserve"> 工期延误</w:t>
      </w:r>
    </w:p>
    <w:p w14:paraId="425B4A98">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.1 因发包人原因导致工期延误</w:t>
      </w:r>
    </w:p>
    <w:p w14:paraId="5EC19BF1">
      <w:pPr>
        <w:pStyle w:val="22"/>
        <w:widowControl w:val="0"/>
        <w:numPr>
          <w:ilvl w:val="0"/>
          <w:numId w:val="0"/>
        </w:numPr>
        <w:spacing w:line="440" w:lineRule="exact"/>
        <w:ind w:firstLine="480" w:firstLineChars="200"/>
        <w:jc w:val="both"/>
        <w:rPr>
          <w:rFonts w:hint="default"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（7）因发包人原因导致工期延误的其他情形：</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工期顺延</w:t>
      </w:r>
      <w:r>
        <w:rPr>
          <w:rFonts w:hint="eastAsia" w:cs="宋体"/>
          <w:kern w:val="2"/>
          <w:sz w:val="24"/>
          <w:szCs w:val="24"/>
          <w:highlight w:val="none"/>
          <w:u w:val="single"/>
          <w:lang w:val="en-US" w:eastAsia="zh-CN" w:bidi="ar-SA"/>
        </w:rPr>
        <w:t xml:space="preserve">  </w:t>
      </w:r>
      <w:r>
        <w:rPr>
          <w:rFonts w:hint="eastAsia" w:cs="宋体"/>
          <w:kern w:val="2"/>
          <w:sz w:val="24"/>
          <w:szCs w:val="24"/>
          <w:highlight w:val="none"/>
          <w:u w:val="none"/>
          <w:lang w:val="en-US" w:eastAsia="zh-CN" w:bidi="ar-SA"/>
        </w:rPr>
        <w:t>。</w:t>
      </w:r>
    </w:p>
    <w:p w14:paraId="08B58DFE">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.2 因承包人原因导致工期延误</w:t>
      </w:r>
    </w:p>
    <w:p w14:paraId="23F746EE">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因承包人原因造成工期延误，逾期竣工违约金的计算方法为：</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逾期竣工总天数*</w:t>
      </w:r>
      <w:r>
        <w:rPr>
          <w:rFonts w:hint="eastAsia" w:cs="宋体"/>
          <w:kern w:val="2"/>
          <w:sz w:val="24"/>
          <w:szCs w:val="24"/>
          <w:highlight w:val="none"/>
          <w:u w:val="single"/>
          <w:lang w:val="en-US" w:eastAsia="zh-CN" w:bidi="ar-SA"/>
        </w:rPr>
        <w:t>5‰</w:t>
      </w:r>
      <w:r>
        <w:rPr>
          <w:rFonts w:hint="eastAsia" w:ascii="宋体" w:hAnsi="宋体" w:eastAsia="宋体" w:cs="宋体"/>
          <w:kern w:val="2"/>
          <w:sz w:val="24"/>
          <w:szCs w:val="24"/>
          <w:highlight w:val="none"/>
          <w:u w:val="single"/>
          <w:lang w:val="en-US" w:eastAsia="zh-CN" w:bidi="ar-SA"/>
        </w:rPr>
        <w:t>*合同价格，违约金直接从工程款中扣除</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5EED296A">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因承包人原因造成工期延误，逾期竣工扣除违约金的上限：</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合同价的</w:t>
      </w:r>
      <w:r>
        <w:rPr>
          <w:rFonts w:hint="eastAsia" w:cs="宋体"/>
          <w:kern w:val="2"/>
          <w:sz w:val="24"/>
          <w:szCs w:val="24"/>
          <w:highlight w:val="none"/>
          <w:u w:val="single"/>
          <w:lang w:val="en-US" w:eastAsia="zh-CN" w:bidi="ar-SA"/>
        </w:rPr>
        <w:t>30</w:t>
      </w:r>
      <w:r>
        <w:rPr>
          <w:rFonts w:hint="eastAsia" w:ascii="宋体" w:hAnsi="宋体" w:eastAsia="宋体" w:cs="宋体"/>
          <w:kern w:val="2"/>
          <w:sz w:val="24"/>
          <w:szCs w:val="24"/>
          <w:highlight w:val="none"/>
          <w:u w:val="single"/>
          <w:lang w:val="en-US" w:eastAsia="zh-CN" w:bidi="ar-SA"/>
        </w:rPr>
        <w:t>%</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2C0789D4">
      <w:pPr>
        <w:pStyle w:val="22"/>
        <w:widowControl w:val="0"/>
        <w:numPr>
          <w:ilvl w:val="0"/>
          <w:numId w:val="0"/>
        </w:numPr>
        <w:spacing w:line="440" w:lineRule="exact"/>
        <w:jc w:val="both"/>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 xml:space="preserve"> 不利物质条件</w:t>
      </w:r>
    </w:p>
    <w:p w14:paraId="11E07A25">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不利物质条件的其他情形和有关约定：</w:t>
      </w:r>
      <w:r>
        <w:rPr>
          <w:rFonts w:hint="eastAsia" w:ascii="宋体" w:hAnsi="宋体" w:eastAsia="宋体" w:cs="宋体"/>
          <w:kern w:val="2"/>
          <w:sz w:val="24"/>
          <w:szCs w:val="24"/>
          <w:highlight w:val="none"/>
          <w:u w:val="single"/>
          <w:lang w:val="en-US" w:eastAsia="zh-CN" w:bidi="ar-SA"/>
        </w:rPr>
        <w:t xml:space="preserve"> </w:t>
      </w:r>
      <w:r>
        <w:rPr>
          <w:rFonts w:hint="eastAsia" w:cs="宋体"/>
          <w:kern w:val="2"/>
          <w:sz w:val="24"/>
          <w:szCs w:val="24"/>
          <w:highlight w:val="none"/>
          <w:u w:val="single"/>
          <w:lang w:val="en-US" w:eastAsia="zh-CN" w:bidi="ar-SA"/>
        </w:rPr>
        <w:t xml:space="preserve">执行通用合同条款中相应条款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348DB072">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异常恶劣的气候条件</w:t>
      </w:r>
    </w:p>
    <w:p w14:paraId="12B3576C">
      <w:pPr>
        <w:pStyle w:val="22"/>
        <w:widowControl w:val="0"/>
        <w:numPr>
          <w:ilvl w:val="0"/>
          <w:numId w:val="0"/>
        </w:numPr>
        <w:spacing w:line="440" w:lineRule="exact"/>
        <w:ind w:firstLine="480" w:firstLineChars="200"/>
        <w:jc w:val="both"/>
        <w:rPr>
          <w:rFonts w:hint="eastAsia"/>
          <w:highlight w:val="none"/>
        </w:rPr>
      </w:pPr>
      <w:r>
        <w:rPr>
          <w:rFonts w:hint="eastAsia" w:ascii="宋体" w:hAnsi="宋体" w:eastAsia="宋体" w:cs="宋体"/>
          <w:kern w:val="2"/>
          <w:sz w:val="24"/>
          <w:szCs w:val="24"/>
          <w:highlight w:val="none"/>
          <w:lang w:val="en-US" w:eastAsia="zh-CN" w:bidi="ar-SA"/>
        </w:rPr>
        <w:t>发包人和承包人同意以下情形视为异常恶劣的气候条件：</w:t>
      </w:r>
      <w:r>
        <w:rPr>
          <w:rFonts w:hint="eastAsia" w:ascii="宋体" w:hAnsi="宋体" w:eastAsia="宋体" w:cs="宋体"/>
          <w:kern w:val="2"/>
          <w:sz w:val="24"/>
          <w:szCs w:val="24"/>
          <w:highlight w:val="none"/>
          <w:u w:val="single"/>
          <w:lang w:val="en-US" w:eastAsia="zh-CN" w:bidi="ar-SA"/>
        </w:rPr>
        <w:t xml:space="preserve"> 执行通用合同条款中相应条款</w:t>
      </w:r>
      <w:r>
        <w:rPr>
          <w:rFonts w:hint="eastAsia" w:ascii="宋体" w:hAnsi="宋体" w:eastAsia="宋体" w:cs="宋体"/>
          <w:kern w:val="2"/>
          <w:sz w:val="24"/>
          <w:szCs w:val="24"/>
          <w:highlight w:val="none"/>
          <w:lang w:val="en-US" w:eastAsia="zh-CN" w:bidi="ar-SA"/>
        </w:rPr>
        <w:t xml:space="preserve">。  </w:t>
      </w:r>
      <w:r>
        <w:rPr>
          <w:rFonts w:hint="eastAsia"/>
          <w:highlight w:val="none"/>
        </w:rPr>
        <w:t xml:space="preserve">                             </w:t>
      </w:r>
    </w:p>
    <w:p w14:paraId="569C7EA5">
      <w:pPr>
        <w:pStyle w:val="22"/>
        <w:widowControl w:val="0"/>
        <w:numPr>
          <w:ilvl w:val="0"/>
          <w:numId w:val="0"/>
        </w:numPr>
        <w:spacing w:line="44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r>
        <w:rPr>
          <w:rFonts w:hint="eastAsia"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提前竣工的奖励</w:t>
      </w:r>
    </w:p>
    <w:p w14:paraId="4EFEE386">
      <w:pPr>
        <w:pStyle w:val="22"/>
        <w:widowControl w:val="0"/>
        <w:numPr>
          <w:ilvl w:val="0"/>
          <w:numId w:val="0"/>
        </w:numPr>
        <w:spacing w:line="440" w:lineRule="exact"/>
        <w:ind w:firstLine="480" w:firstLineChars="200"/>
        <w:jc w:val="both"/>
        <w:rPr>
          <w:rFonts w:hint="eastAsia" w:ascii="宋体" w:hAnsi="宋体" w:cs="宋体"/>
          <w:sz w:val="24"/>
          <w:szCs w:val="24"/>
          <w:highlight w:val="none"/>
        </w:rPr>
      </w:pPr>
      <w:r>
        <w:rPr>
          <w:rFonts w:hint="eastAsia" w:ascii="宋体" w:hAnsi="宋体" w:eastAsia="宋体" w:cs="宋体"/>
          <w:kern w:val="2"/>
          <w:sz w:val="24"/>
          <w:szCs w:val="24"/>
          <w:highlight w:val="none"/>
          <w:lang w:val="en-US" w:eastAsia="zh-CN" w:bidi="ar-SA"/>
        </w:rPr>
        <w:t>7.9.2提前竣工的奖励：</w:t>
      </w:r>
      <w:r>
        <w:rPr>
          <w:rFonts w:hint="eastAsia" w:ascii="宋体" w:hAnsi="宋体" w:eastAsia="宋体" w:cs="宋体"/>
          <w:kern w:val="2"/>
          <w:sz w:val="24"/>
          <w:szCs w:val="24"/>
          <w:highlight w:val="none"/>
          <w:u w:val="single"/>
          <w:lang w:val="en-US" w:eastAsia="zh-CN" w:bidi="ar-SA"/>
        </w:rPr>
        <w:t xml:space="preserve">      /     </w:t>
      </w:r>
      <w:r>
        <w:rPr>
          <w:rFonts w:hint="eastAsia" w:cs="宋体"/>
          <w:kern w:val="2"/>
          <w:sz w:val="24"/>
          <w:szCs w:val="24"/>
          <w:highlight w:val="none"/>
          <w:u w:val="none"/>
          <w:lang w:val="en-US" w:eastAsia="zh-CN" w:bidi="ar-SA"/>
        </w:rPr>
        <w:t>。</w:t>
      </w:r>
      <w:r>
        <w:rPr>
          <w:rFonts w:hint="eastAsia"/>
          <w:highlight w:val="none"/>
        </w:rPr>
        <w:t xml:space="preserve">                </w:t>
      </w:r>
    </w:p>
    <w:p w14:paraId="41BFE0F6">
      <w:pPr>
        <w:wordWrap w:val="0"/>
        <w:autoSpaceDE w:val="0"/>
        <w:autoSpaceDN w:val="0"/>
        <w:adjustRightInd w:val="0"/>
        <w:snapToGrid w:val="0"/>
        <w:spacing w:line="360" w:lineRule="auto"/>
        <w:ind w:firstLine="480" w:firstLineChars="200"/>
        <w:rPr>
          <w:rFonts w:ascii="宋体" w:hAnsi="宋体" w:cs="宋体"/>
          <w:sz w:val="24"/>
          <w:szCs w:val="24"/>
          <w:highlight w:val="none"/>
        </w:rPr>
      </w:pPr>
      <w:bookmarkStart w:id="271" w:name="_Toc351203640"/>
      <w:r>
        <w:rPr>
          <w:rFonts w:hint="eastAsia" w:ascii="宋体" w:hAnsi="宋体" w:cs="宋体"/>
          <w:sz w:val="24"/>
          <w:szCs w:val="24"/>
          <w:highlight w:val="none"/>
        </w:rPr>
        <w:t>8.材料与设备</w:t>
      </w:r>
      <w:bookmarkEnd w:id="271"/>
    </w:p>
    <w:bookmarkEnd w:id="246"/>
    <w:bookmarkEnd w:id="247"/>
    <w:bookmarkEnd w:id="248"/>
    <w:bookmarkEnd w:id="249"/>
    <w:bookmarkEnd w:id="250"/>
    <w:bookmarkEnd w:id="251"/>
    <w:bookmarkEnd w:id="252"/>
    <w:bookmarkEnd w:id="253"/>
    <w:bookmarkEnd w:id="254"/>
    <w:bookmarkEnd w:id="255"/>
    <w:p w14:paraId="7771DAE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w:t>
      </w:r>
      <w:bookmarkStart w:id="272" w:name="_Toc280868654"/>
      <w:bookmarkStart w:id="273" w:name="_Toc303539136"/>
      <w:bookmarkStart w:id="274" w:name="_Toc296503167"/>
      <w:bookmarkStart w:id="275" w:name="_Toc292559372"/>
      <w:bookmarkStart w:id="276" w:name="_Toc297123527"/>
      <w:bookmarkStart w:id="277" w:name="_Toc312677493"/>
      <w:bookmarkStart w:id="278" w:name="_Toc312678019"/>
      <w:bookmarkStart w:id="279" w:name="_Toc296347166"/>
      <w:bookmarkStart w:id="280" w:name="_Toc296891207"/>
      <w:bookmarkStart w:id="281" w:name="_Toc296890995"/>
      <w:bookmarkStart w:id="282" w:name="_Toc297048353"/>
      <w:bookmarkStart w:id="283" w:name="_Toc300934979"/>
      <w:bookmarkStart w:id="284" w:name="_Toc292559877"/>
      <w:bookmarkStart w:id="285" w:name="_Toc297216186"/>
      <w:bookmarkStart w:id="286" w:name="_Toc296346668"/>
      <w:bookmarkStart w:id="287" w:name="_Toc296944506"/>
      <w:bookmarkStart w:id="288" w:name="_Toc304295556"/>
      <w:bookmarkStart w:id="289" w:name="_Toc297120467"/>
      <w:bookmarkStart w:id="290" w:name="_Toc267251424"/>
      <w:bookmarkStart w:id="291" w:name="_Toc280868656"/>
      <w:bookmarkStart w:id="292" w:name="_Toc280868655"/>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材料与工程设备的保管与使用</w:t>
      </w: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14:paraId="3C394E74">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bookmarkStart w:id="293" w:name="_Toc292559878"/>
      <w:bookmarkStart w:id="294" w:name="_Toc292559373"/>
      <w:bookmarkStart w:id="295" w:name="_Toc300934980"/>
      <w:bookmarkStart w:id="296" w:name="_Toc297123528"/>
      <w:bookmarkStart w:id="297" w:name="_Toc296503168"/>
      <w:bookmarkStart w:id="298" w:name="_Toc297216187"/>
      <w:bookmarkStart w:id="299" w:name="_Toc296891208"/>
      <w:bookmarkStart w:id="300" w:name="_Toc303539137"/>
      <w:bookmarkStart w:id="301" w:name="_Toc312677494"/>
      <w:bookmarkStart w:id="302" w:name="_Toc296347167"/>
      <w:bookmarkStart w:id="303" w:name="_Toc304295557"/>
      <w:bookmarkStart w:id="304" w:name="_Toc296890996"/>
      <w:bookmarkStart w:id="305" w:name="_Toc296944507"/>
      <w:bookmarkStart w:id="306" w:name="_Toc297120468"/>
      <w:bookmarkStart w:id="307" w:name="_Toc296346669"/>
      <w:bookmarkStart w:id="308" w:name="_Toc297048354"/>
      <w:bookmarkStart w:id="309" w:name="_Toc318581173"/>
      <w:bookmarkStart w:id="310" w:name="_Toc312678020"/>
      <w:r>
        <w:rPr>
          <w:rFonts w:hint="eastAsia" w:ascii="宋体" w:hAnsi="宋体" w:cs="宋体"/>
          <w:sz w:val="24"/>
          <w:szCs w:val="24"/>
          <w:highlight w:val="none"/>
          <w:lang w:val="en-US" w:eastAsia="zh-CN"/>
        </w:rPr>
        <w:t>8.4.1发包人</w:t>
      </w:r>
      <w:r>
        <w:rPr>
          <w:rFonts w:hint="eastAsia" w:ascii="宋体" w:hAnsi="宋体" w:cs="宋体"/>
          <w:sz w:val="24"/>
          <w:szCs w:val="24"/>
          <w:highlight w:val="none"/>
        </w:rPr>
        <w:t>供应的材料设备的保管费用的承担：</w:t>
      </w:r>
    </w:p>
    <w:p w14:paraId="51B34D9B">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应按</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提供的工程清单编制说明要求提供准确的材料设备的品种、规格、型号和质量等级，如因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应提供的具体资料不准确而导致的一切损失由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承担。反之，由</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负责。</w:t>
      </w:r>
    </w:p>
    <w:p w14:paraId="694318E5">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供应数量由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按设计要求提供，如因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应提供的数量不准确而导致的一切损失由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p>
    <w:p w14:paraId="6147C275">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对如有甲供材或暂定价材料的项目，</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在合同价中的甲供材或暂定价材料含量，不得超过计价定额中该项目的材料含量（如材料含量超过计价定额中的材料含量，则按计价定额中的材料含量执行），若</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合同价中的甲供材或暂定价材料含量满足不了施工要求，则由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自行补足。施工过程中，</w:t>
      </w:r>
      <w:r>
        <w:rPr>
          <w:rFonts w:hint="eastAsia" w:ascii="宋体" w:hAnsi="宋体" w:cs="宋体"/>
          <w:sz w:val="24"/>
          <w:szCs w:val="24"/>
          <w:highlight w:val="none"/>
          <w:u w:val="single"/>
          <w:lang w:val="en-US" w:eastAsia="zh-CN"/>
        </w:rPr>
        <w:t>发包人</w:t>
      </w:r>
      <w:r>
        <w:rPr>
          <w:rFonts w:hint="eastAsia" w:ascii="宋体" w:hAnsi="宋体" w:cs="宋体"/>
          <w:sz w:val="24"/>
          <w:szCs w:val="24"/>
          <w:highlight w:val="none"/>
          <w:u w:val="single"/>
        </w:rPr>
        <w:t>按</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投标报价中的材料含量进行甲供材或暂定价材料的供应。结算时，</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按照</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投标报价中的材料含量扣回甲供材或暂定价材料款。凡</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供应的材料设备，投标时和竣工结算时均按照</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招标文件中给定的暂定价计入并取费，建设单位完成了采购和运输并将材料运至施工工地仓库（或</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指定地点）交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保管的，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退还甲供材料设备价款时，按暂定价退给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。领料量超出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在投标文件中所报含量时，超出部分的材料设备价款由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按照</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购买材料的市场价格支付给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；领料量少于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在投标文件中所报含量时，节余部分的材料设备归</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。在支付进度款时，应扣除其中的甲供材款和暂定价材料价款，在审计后按审计数量一次结清。</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委托第三方代购材料，不参照上述条款结算，其具体结算方法从其约定</w:t>
      </w:r>
      <w:r>
        <w:rPr>
          <w:rFonts w:hint="eastAsia" w:ascii="宋体" w:hAnsi="宋体" w:cs="宋体"/>
          <w:sz w:val="24"/>
          <w:szCs w:val="24"/>
          <w:highlight w:val="none"/>
        </w:rPr>
        <w:t>。</w:t>
      </w:r>
      <w:bookmarkEnd w:id="293"/>
      <w:bookmarkEnd w:id="294"/>
    </w:p>
    <w:p w14:paraId="07580BAB">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6</w:t>
      </w:r>
      <w:r>
        <w:rPr>
          <w:rFonts w:hint="eastAsia" w:ascii="宋体" w:hAnsi="宋体" w:cs="宋体"/>
          <w:sz w:val="24"/>
          <w:szCs w:val="24"/>
          <w:highlight w:val="none"/>
        </w:rPr>
        <w:t>样品</w:t>
      </w:r>
    </w:p>
    <w:p w14:paraId="2281625C">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.1样品的报送与封存</w:t>
      </w:r>
    </w:p>
    <w:p w14:paraId="70E768DA">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需要</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报送样品的材料或工程设备，样品的种类、名称、规格、数量要求：</w:t>
      </w:r>
    </w:p>
    <w:p w14:paraId="7B319E66">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采购材料、设备前须提供样品送至现场，得到</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及监理方的认可后方可采购，双方约定由投标人自购的材料、设备，其规格、技术指标、质量等级详见施工图，同时应满足相关技术规范要求；未经认可的材料、设备一律不得使用，否则后果自负</w:t>
      </w:r>
      <w:r>
        <w:rPr>
          <w:rFonts w:hint="eastAsia" w:ascii="宋体" w:hAnsi="宋体" w:cs="宋体"/>
          <w:sz w:val="24"/>
          <w:szCs w:val="24"/>
          <w:highlight w:val="none"/>
          <w:u w:val="none"/>
        </w:rPr>
        <w:t>。</w:t>
      </w:r>
    </w:p>
    <w:p w14:paraId="07630590">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有权参加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负责的设备、材料采购的工作，</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可以要求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按照招标文件的规定向其指定供货商采购设备、材料，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应要求其指定供货商出具其供应设备材料证明和产品合格证书。</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需严格检查向指定供货商采购的设备材料质量，其对指定供货商采购的材料设备所应承担的责任等同于其自行购买材料设备所负担的责任。</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对材料的指定并不免除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本应承担的任何责任，也不增加</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的责任。</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如发现材料有问题，应立即通知</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未及时通知</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而擅自使用有质量问题的材料，有此产生的一切损失与费用由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自行承担</w:t>
      </w:r>
      <w:r>
        <w:rPr>
          <w:rFonts w:hint="eastAsia" w:ascii="宋体" w:hAnsi="宋体" w:cs="宋体"/>
          <w:sz w:val="24"/>
          <w:szCs w:val="24"/>
          <w:highlight w:val="none"/>
          <w:u w:val="none"/>
        </w:rPr>
        <w:t>。</w:t>
      </w:r>
    </w:p>
    <w:p w14:paraId="6FE27CD8">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对设备材料的检查和检验:</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及监理方对所有设备、材料的质量有权进行监督和抽查，凡是不合格的设备、材料严禁在工程中使用，并立即清出现场，由此引起的所有损失由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及其委派的检验人员，应能进入</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采购的设备或材料的制造、加工或制配的车间和场所，包括不属于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的车间或场所进行检查或检验，</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应为此提供便利和协助。</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检查和检验并不替代、减少或解除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根据合同所应承担的任何责任</w:t>
      </w:r>
      <w:r>
        <w:rPr>
          <w:rFonts w:hint="eastAsia" w:ascii="宋体" w:hAnsi="宋体" w:cs="宋体"/>
          <w:sz w:val="24"/>
          <w:szCs w:val="24"/>
          <w:highlight w:val="none"/>
          <w:u w:val="none"/>
        </w:rPr>
        <w:t>。</w:t>
      </w:r>
    </w:p>
    <w:p w14:paraId="60BA73A5">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对材料设备的检查和检验:</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应对所有的（包括</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供应或指定采购的）设备材料进行检验和交货验收，以保证设备材料符合质量标准和国家和地方法律法规关于质量、环保等方面的要求。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验货时应同时检验其材料证明和产品合格证书，并应按技术规范的规定进行材料的抽样试验和设备的开箱检查或检验测试，并将检验结果提交工程师及</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应对检验结果负责。对存在缺陷而</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未能检测出问题的设备材料，</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应承担因此设备材料的使用而造成的一切直接和间接损失</w:t>
      </w:r>
      <w:r>
        <w:rPr>
          <w:rFonts w:hint="eastAsia" w:ascii="宋体" w:hAnsi="宋体" w:cs="宋体"/>
          <w:sz w:val="24"/>
          <w:szCs w:val="24"/>
          <w:highlight w:val="none"/>
          <w:u w:val="none"/>
        </w:rPr>
        <w:t>。</w:t>
      </w:r>
    </w:p>
    <w:p w14:paraId="3BC6721C">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5</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设备材料的所有权:</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采购的设备材料在设备材料运至工程场地后即应被视为专供本合同工程使用，未经监理单位同意</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不得将上述设备材料运出工程场地或用于其它工程。</w:t>
      </w:r>
    </w:p>
    <w:p w14:paraId="6112D699">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缺陷和不符合要求设备材料的处理:如果设备或材料经检查或检验被确定有缺陷或不符合合同要求，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不得在工程中使用，并应及时修复该设备或材料的缺陷，或替换该设备或材料使用其符合合同的规定，因此发生的费用由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承担，延误的工期不予顺延</w:t>
      </w:r>
      <w:r>
        <w:rPr>
          <w:rFonts w:hint="eastAsia" w:ascii="宋体" w:hAnsi="宋体" w:cs="宋体"/>
          <w:sz w:val="24"/>
          <w:szCs w:val="24"/>
          <w:highlight w:val="none"/>
        </w:rPr>
        <w:t>。</w:t>
      </w:r>
    </w:p>
    <w:p w14:paraId="1C11C282">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8</w:t>
      </w:r>
      <w:r>
        <w:rPr>
          <w:rFonts w:hint="eastAsia" w:ascii="宋体" w:hAnsi="宋体" w:cs="宋体"/>
          <w:sz w:val="24"/>
          <w:szCs w:val="24"/>
          <w:highlight w:val="none"/>
        </w:rPr>
        <w:t>施工设备和临时设施</w:t>
      </w:r>
    </w:p>
    <w:p w14:paraId="207E030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8</w:t>
      </w:r>
      <w:r>
        <w:rPr>
          <w:rFonts w:hint="eastAsia" w:ascii="宋体" w:hAnsi="宋体" w:cs="宋体"/>
          <w:sz w:val="24"/>
          <w:szCs w:val="24"/>
          <w:highlight w:val="none"/>
        </w:rPr>
        <w:t>.1</w:t>
      </w:r>
      <w:r>
        <w:rPr>
          <w:rFonts w:hint="eastAsia" w:ascii="宋体" w:hAnsi="宋体" w:cs="宋体"/>
          <w:sz w:val="24"/>
          <w:szCs w:val="24"/>
          <w:highlight w:val="none"/>
          <w:lang w:eastAsia="zh-CN"/>
        </w:rPr>
        <w:t>承包人</w:t>
      </w:r>
      <w:r>
        <w:rPr>
          <w:rFonts w:hint="eastAsia" w:ascii="宋体" w:hAnsi="宋体" w:cs="宋体"/>
          <w:sz w:val="24"/>
          <w:szCs w:val="24"/>
          <w:highlight w:val="none"/>
        </w:rPr>
        <w:t>提供的施工设备和临时设施</w:t>
      </w:r>
    </w:p>
    <w:p w14:paraId="4A0FEAA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关于修建临时设施费用承担的约定：</w:t>
      </w:r>
      <w:r>
        <w:rPr>
          <w:rFonts w:hint="eastAsia" w:ascii="宋体" w:hAnsi="宋体" w:cs="宋体"/>
          <w:sz w:val="24"/>
          <w:szCs w:val="24"/>
          <w:highlight w:val="none"/>
          <w:u w:val="single"/>
        </w:rPr>
        <w:t>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承担，已包含在合同价内</w:t>
      </w:r>
      <w:r>
        <w:rPr>
          <w:rFonts w:hint="eastAsia" w:ascii="宋体" w:hAnsi="宋体" w:cs="宋体"/>
          <w:sz w:val="24"/>
          <w:szCs w:val="24"/>
          <w:highlight w:val="none"/>
        </w:rPr>
        <w:t>。</w:t>
      </w:r>
      <w:bookmarkEnd w:id="290"/>
      <w:bookmarkEnd w:id="291"/>
      <w:bookmarkEnd w:id="292"/>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Start w:id="311" w:name="_Toc267251433"/>
      <w:bookmarkStart w:id="312" w:name="_Toc267251437"/>
      <w:bookmarkStart w:id="313" w:name="_Toc267251439"/>
      <w:bookmarkStart w:id="314" w:name="_Toc267251441"/>
      <w:bookmarkStart w:id="315" w:name="_Toc267251435"/>
      <w:bookmarkStart w:id="316" w:name="_Toc267251440"/>
      <w:bookmarkStart w:id="317" w:name="_Toc267251442"/>
    </w:p>
    <w:p w14:paraId="36965CF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bookmarkStart w:id="318" w:name="_Toc351203641"/>
      <w:r>
        <w:rPr>
          <w:rFonts w:hint="eastAsia" w:ascii="宋体" w:hAnsi="宋体" w:cs="宋体"/>
          <w:sz w:val="24"/>
          <w:szCs w:val="24"/>
          <w:highlight w:val="none"/>
        </w:rPr>
        <w:t>9</w:t>
      </w:r>
      <w:bookmarkStart w:id="319" w:name="_Toc303539139"/>
      <w:bookmarkStart w:id="320" w:name="_Toc300934982"/>
      <w:bookmarkStart w:id="321" w:name="_Toc297216192"/>
      <w:bookmarkStart w:id="322" w:name="_Toc312678021"/>
      <w:bookmarkStart w:id="323" w:name="_Toc312677495"/>
      <w:bookmarkStart w:id="324" w:name="_Toc297123533"/>
      <w:bookmarkStart w:id="325" w:name="_Toc304295559"/>
      <w:r>
        <w:rPr>
          <w:rFonts w:hint="eastAsia" w:ascii="宋体" w:hAnsi="宋体" w:cs="宋体"/>
          <w:sz w:val="24"/>
          <w:szCs w:val="24"/>
          <w:highlight w:val="none"/>
        </w:rPr>
        <w:t>. 试验与检验</w:t>
      </w:r>
      <w:bookmarkEnd w:id="318"/>
    </w:p>
    <w:bookmarkEnd w:id="319"/>
    <w:bookmarkEnd w:id="320"/>
    <w:bookmarkEnd w:id="321"/>
    <w:bookmarkEnd w:id="322"/>
    <w:bookmarkEnd w:id="323"/>
    <w:bookmarkEnd w:id="324"/>
    <w:bookmarkEnd w:id="325"/>
    <w:p w14:paraId="57C184A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9</w:t>
      </w:r>
      <w:bookmarkStart w:id="326" w:name="_Toc304295560"/>
      <w:bookmarkStart w:id="327" w:name="_Toc312678022"/>
      <w:bookmarkStart w:id="328" w:name="_Toc312677496"/>
      <w:bookmarkStart w:id="329" w:name="_Toc297123534"/>
      <w:bookmarkStart w:id="330" w:name="_Toc297216193"/>
      <w:bookmarkStart w:id="331" w:name="_Toc300934983"/>
      <w:bookmarkStart w:id="332" w:name="_Toc303539140"/>
      <w:r>
        <w:rPr>
          <w:rFonts w:hint="eastAsia" w:ascii="宋体" w:hAnsi="宋体" w:cs="宋体"/>
          <w:sz w:val="24"/>
          <w:szCs w:val="24"/>
          <w:highlight w:val="none"/>
        </w:rPr>
        <w:t>.1试验设备与试验人员</w:t>
      </w:r>
      <w:bookmarkEnd w:id="326"/>
      <w:bookmarkEnd w:id="327"/>
      <w:bookmarkEnd w:id="328"/>
      <w:bookmarkEnd w:id="329"/>
      <w:bookmarkEnd w:id="330"/>
      <w:bookmarkEnd w:id="331"/>
      <w:bookmarkEnd w:id="332"/>
      <w:bookmarkStart w:id="333" w:name="_Toc304295561"/>
      <w:bookmarkStart w:id="334" w:name="_Toc300934984"/>
      <w:bookmarkStart w:id="335" w:name="_Toc312678023"/>
      <w:bookmarkStart w:id="336" w:name="_Toc312677497"/>
      <w:bookmarkStart w:id="337" w:name="_Toc318581174"/>
      <w:bookmarkStart w:id="338" w:name="_Toc303539141"/>
      <w:bookmarkStart w:id="339" w:name="_Toc297123535"/>
      <w:bookmarkStart w:id="340" w:name="_Toc297216194"/>
    </w:p>
    <w:p w14:paraId="5BD00E93">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9.1.2 试验设备</w:t>
      </w:r>
    </w:p>
    <w:p w14:paraId="6B1C12C1">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施工现场需要配置的试验场所：</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p>
    <w:p w14:paraId="0334BE5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施工现场需要配备的试验设备：</w:t>
      </w:r>
      <w:r>
        <w:rPr>
          <w:rFonts w:hint="eastAsia" w:ascii="宋体" w:hAnsi="宋体" w:cs="宋体"/>
          <w:sz w:val="24"/>
          <w:szCs w:val="24"/>
          <w:highlight w:val="none"/>
          <w:u w:val="single"/>
        </w:rPr>
        <w:t>承包人自行配备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p>
    <w:p w14:paraId="3ED691B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施工现场需要具备的其他试验条件：</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394845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z w:val="24"/>
          <w:szCs w:val="24"/>
          <w:highlight w:val="none"/>
          <w:lang w:val="en-US" w:eastAsia="zh-CN"/>
        </w:rPr>
        <w:t>4</w:t>
      </w:r>
      <w:r>
        <w:rPr>
          <w:rFonts w:hint="eastAsia" w:ascii="宋体" w:hAnsi="宋体" w:cs="宋体"/>
          <w:sz w:val="24"/>
          <w:szCs w:val="24"/>
          <w:highlight w:val="none"/>
        </w:rPr>
        <w:t>现场工艺试验</w:t>
      </w:r>
    </w:p>
    <w:p w14:paraId="399AC85B">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现场工艺试验的有关约定：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bookmarkEnd w:id="333"/>
    <w:bookmarkEnd w:id="334"/>
    <w:bookmarkEnd w:id="335"/>
    <w:bookmarkEnd w:id="336"/>
    <w:bookmarkEnd w:id="337"/>
    <w:bookmarkEnd w:id="338"/>
    <w:bookmarkEnd w:id="339"/>
    <w:bookmarkEnd w:id="340"/>
    <w:p w14:paraId="2B1100ED">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bookmarkStart w:id="341" w:name="_Toc312678026"/>
      <w:bookmarkStart w:id="342" w:name="_Toc312677500"/>
      <w:bookmarkStart w:id="343" w:name="_Toc304295567"/>
      <w:bookmarkStart w:id="344" w:name="_Toc292559399"/>
      <w:bookmarkStart w:id="345" w:name="_Toc297048380"/>
      <w:bookmarkStart w:id="346" w:name="_Toc297120494"/>
      <w:bookmarkStart w:id="347" w:name="_Toc292559904"/>
      <w:bookmarkStart w:id="348" w:name="_Toc296891022"/>
      <w:bookmarkStart w:id="349" w:name="_Toc303539147"/>
      <w:bookmarkStart w:id="350" w:name="_Toc300934990"/>
      <w:bookmarkStart w:id="351" w:name="_Toc296346695"/>
      <w:bookmarkStart w:id="352" w:name="_Toc296891234"/>
      <w:bookmarkStart w:id="353" w:name="_Toc296944533"/>
      <w:bookmarkStart w:id="354" w:name="_Toc297123541"/>
      <w:bookmarkStart w:id="355" w:name="_Toc297216200"/>
      <w:bookmarkStart w:id="356" w:name="_Toc296347193"/>
      <w:bookmarkStart w:id="357" w:name="_Toc296503194"/>
      <w:r>
        <w:rPr>
          <w:rFonts w:hint="eastAsia" w:ascii="宋体" w:hAnsi="宋体" w:cs="宋体"/>
          <w:sz w:val="24"/>
          <w:szCs w:val="24"/>
          <w:highlight w:val="none"/>
          <w:lang w:val="en-US" w:eastAsia="zh-CN"/>
        </w:rPr>
        <w:t>10</w:t>
      </w:r>
      <w:r>
        <w:rPr>
          <w:rFonts w:hint="eastAsia" w:ascii="宋体" w:hAnsi="宋体" w:cs="宋体"/>
          <w:sz w:val="24"/>
          <w:szCs w:val="24"/>
          <w:highlight w:val="none"/>
        </w:rPr>
        <w:t>.变更</w:t>
      </w:r>
    </w:p>
    <w:p w14:paraId="36EC21FE">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变更的范围</w:t>
      </w:r>
    </w:p>
    <w:p w14:paraId="60B3AD1C">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关于变更的范围的约定：</w:t>
      </w:r>
      <w:r>
        <w:rPr>
          <w:rFonts w:hint="eastAsia" w:ascii="宋体" w:hAnsi="宋体" w:cs="宋体"/>
          <w:sz w:val="24"/>
          <w:szCs w:val="24"/>
          <w:highlight w:val="none"/>
          <w:u w:val="single"/>
        </w:rPr>
        <w:t>设计图纸以外增加的工程量为变更工程量</w:t>
      </w:r>
      <w:r>
        <w:rPr>
          <w:rFonts w:hint="eastAsia" w:ascii="宋体" w:hAnsi="宋体" w:cs="宋体"/>
          <w:sz w:val="24"/>
          <w:szCs w:val="24"/>
          <w:highlight w:val="none"/>
        </w:rPr>
        <w:t>。</w:t>
      </w:r>
    </w:p>
    <w:p w14:paraId="227F3372">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包括各类建材的市场价格波动风险，其中主要材料涨跌超过有经验的承包商可以预见的范围，按照文件规定调整和施工期间内各类政策性调整文件进行调整。主要材料的品种签订合同前由双方可商议确定</w:t>
      </w:r>
      <w:r>
        <w:rPr>
          <w:rFonts w:hint="eastAsia" w:ascii="宋体" w:hAnsi="宋体" w:cs="宋体"/>
          <w:sz w:val="24"/>
          <w:szCs w:val="24"/>
          <w:highlight w:val="none"/>
          <w:u w:val="none"/>
        </w:rPr>
        <w:t>。</w:t>
      </w:r>
    </w:p>
    <w:p w14:paraId="000E69B4">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的投标报价是依据本工程招标文件所规定的工作要求及所附工程量清单结合</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的施工组织设计，根据投标企业的自身实力和管理水平进行投标报价的。同时，</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的投标报价中，已将施工期间机械费用、与施工过程中所有相关单位的协调、配合服务费用的风险考虑到报价内。除文明施工措施外，上述风险因素今后不导致价格调整</w:t>
      </w:r>
      <w:r>
        <w:rPr>
          <w:rFonts w:hint="eastAsia" w:ascii="宋体" w:hAnsi="宋体" w:cs="宋体"/>
          <w:sz w:val="24"/>
          <w:szCs w:val="24"/>
          <w:highlight w:val="none"/>
          <w:u w:val="none"/>
        </w:rPr>
        <w:t>。</w:t>
      </w:r>
    </w:p>
    <w:p w14:paraId="5097E383">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措施项目费的调整：措施项目以费率报价的，其费率标准不得调整，结算时按分部分项工程直接费作为相应措施费的结算依据；如以项或非费率报价的则包干，结算时不再调整。</w:t>
      </w:r>
    </w:p>
    <w:p w14:paraId="5ABAFF7E">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原因引起的工期延误所造成的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费用增加的风险等风险均已包含在投标报价中，今后不做调整</w:t>
      </w:r>
      <w:r>
        <w:rPr>
          <w:rFonts w:hint="eastAsia" w:ascii="宋体" w:hAnsi="宋体" w:cs="宋体"/>
          <w:sz w:val="24"/>
          <w:szCs w:val="24"/>
          <w:highlight w:val="none"/>
          <w:u w:val="none"/>
        </w:rPr>
        <w:t>。</w:t>
      </w:r>
    </w:p>
    <w:p w14:paraId="3AEB370D">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5</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投标人在投标报价时，要结合场地踏勘情况，充分考虑施工现场处于主城区及居民集中区等限制原因，对材料进场、堆场、加工点及各类临时设施的搭建等进行合理布置和安排，费用在投标报价中综合考虑，结算时与此相关项均不作调整。如需</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协调，由此产生的相关协调费用亦由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支付</w:t>
      </w:r>
      <w:r>
        <w:rPr>
          <w:rFonts w:hint="eastAsia" w:ascii="宋体" w:hAnsi="宋体" w:cs="宋体"/>
          <w:sz w:val="24"/>
          <w:szCs w:val="24"/>
          <w:highlight w:val="none"/>
          <w:u w:val="none"/>
        </w:rPr>
        <w:t>。</w:t>
      </w:r>
    </w:p>
    <w:p w14:paraId="516D5BB2">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10.4</w:t>
      </w:r>
      <w:r>
        <w:rPr>
          <w:rFonts w:hint="eastAsia" w:ascii="宋体" w:hAnsi="宋体" w:cs="宋体"/>
          <w:sz w:val="24"/>
          <w:szCs w:val="24"/>
          <w:highlight w:val="none"/>
        </w:rPr>
        <w:t>变更估价</w:t>
      </w:r>
    </w:p>
    <w:p w14:paraId="26AD476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10.4.1</w:t>
      </w:r>
      <w:r>
        <w:rPr>
          <w:rFonts w:hint="eastAsia" w:ascii="宋体" w:hAnsi="宋体" w:cs="宋体"/>
          <w:sz w:val="24"/>
          <w:szCs w:val="24"/>
          <w:highlight w:val="none"/>
        </w:rPr>
        <w:t>变更估价原则</w:t>
      </w:r>
    </w:p>
    <w:p w14:paraId="78DD13AC">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关于变更估价的约定:</w:t>
      </w:r>
    </w:p>
    <w:p w14:paraId="60D40205">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u w:val="none"/>
        </w:rPr>
        <w:t>（1）</w:t>
      </w:r>
      <w:r>
        <w:rPr>
          <w:rFonts w:hint="eastAsia" w:ascii="宋体" w:hAnsi="宋体" w:cs="宋体"/>
          <w:sz w:val="24"/>
          <w:szCs w:val="24"/>
          <w:highlight w:val="none"/>
          <w:u w:val="single"/>
        </w:rPr>
        <w:t>合同中有适用于变更工程项目的，按照该项目的单价或总价调整</w:t>
      </w:r>
      <w:r>
        <w:rPr>
          <w:rFonts w:hint="eastAsia" w:ascii="宋体" w:hAnsi="宋体" w:cs="宋体"/>
          <w:sz w:val="24"/>
          <w:szCs w:val="24"/>
          <w:highlight w:val="none"/>
          <w:u w:val="none"/>
        </w:rPr>
        <w:t>。</w:t>
      </w:r>
    </w:p>
    <w:p w14:paraId="740DAD2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u w:val="none"/>
        </w:rPr>
        <w:t>（2）</w:t>
      </w:r>
      <w:r>
        <w:rPr>
          <w:rFonts w:hint="eastAsia" w:ascii="宋体" w:hAnsi="宋体" w:cs="宋体"/>
          <w:sz w:val="24"/>
          <w:szCs w:val="24"/>
          <w:highlight w:val="none"/>
          <w:u w:val="single"/>
        </w:rPr>
        <w:t>合同中没有适用、只有类似于变更工程项目的，可在合理范围内参照类似项目的单价或总价调整</w:t>
      </w:r>
      <w:r>
        <w:rPr>
          <w:rFonts w:hint="eastAsia" w:ascii="宋体" w:hAnsi="宋体" w:cs="宋体"/>
          <w:sz w:val="24"/>
          <w:szCs w:val="24"/>
          <w:highlight w:val="none"/>
          <w:u w:val="none"/>
        </w:rPr>
        <w:t>。</w:t>
      </w:r>
    </w:p>
    <w:p w14:paraId="203188F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u w:val="none"/>
        </w:rPr>
        <w:t>（3）</w:t>
      </w:r>
      <w:r>
        <w:rPr>
          <w:rFonts w:hint="eastAsia" w:ascii="宋体" w:hAnsi="宋体" w:cs="宋体"/>
          <w:sz w:val="24"/>
          <w:szCs w:val="24"/>
          <w:highlight w:val="none"/>
          <w:u w:val="single"/>
        </w:rPr>
        <w:t>合同中没有适用也没有类似于变更工程项目的，根据变更工程资料、计量规则和计价办法、工程造价管理机构发布的信息（参考）价格和承包人报价浮动率提出变更工程项目的单价或总价，经合同双方当事人确认后调整</w:t>
      </w:r>
      <w:r>
        <w:rPr>
          <w:rFonts w:hint="eastAsia" w:ascii="宋体" w:hAnsi="宋体" w:cs="宋体"/>
          <w:sz w:val="24"/>
          <w:szCs w:val="24"/>
          <w:highlight w:val="none"/>
          <w:u w:val="none"/>
        </w:rPr>
        <w:t>。</w:t>
      </w:r>
    </w:p>
    <w:p w14:paraId="5A33C8C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none"/>
          <w:lang w:eastAsia="zh-CN"/>
        </w:rPr>
      </w:pPr>
      <w:r>
        <w:rPr>
          <w:rFonts w:hint="eastAsia" w:ascii="宋体" w:hAnsi="宋体" w:cs="宋体"/>
          <w:sz w:val="24"/>
          <w:szCs w:val="24"/>
          <w:highlight w:val="none"/>
          <w:u w:val="none"/>
        </w:rPr>
        <w:t>（4）</w:t>
      </w:r>
      <w:r>
        <w:rPr>
          <w:rFonts w:hint="eastAsia" w:ascii="宋体" w:hAnsi="宋体" w:cs="宋体"/>
          <w:sz w:val="24"/>
          <w:szCs w:val="24"/>
          <w:highlight w:val="none"/>
          <w:u w:val="single"/>
        </w:rPr>
        <w:t>工程中所有的增加和减少的工程量及价格均需在隐蔽前办理变更、计价手续</w:t>
      </w:r>
      <w:r>
        <w:rPr>
          <w:rFonts w:hint="eastAsia" w:ascii="宋体" w:hAnsi="宋体" w:cs="宋体"/>
          <w:sz w:val="24"/>
          <w:szCs w:val="24"/>
          <w:highlight w:val="none"/>
          <w:u w:val="none"/>
          <w:lang w:eastAsia="zh-CN"/>
        </w:rPr>
        <w:t>。</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14001E51">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bookmarkStart w:id="358" w:name="_Toc303539150"/>
      <w:bookmarkStart w:id="359" w:name="_Toc297216203"/>
      <w:bookmarkStart w:id="360" w:name="_Toc296891237"/>
      <w:bookmarkStart w:id="361" w:name="_Toc296347196"/>
      <w:bookmarkStart w:id="362" w:name="_Toc297048383"/>
      <w:bookmarkStart w:id="363" w:name="_Toc296503197"/>
      <w:bookmarkStart w:id="364" w:name="_Toc296891025"/>
      <w:bookmarkStart w:id="365" w:name="_Toc297123544"/>
      <w:bookmarkStart w:id="366" w:name="_Toc297120497"/>
      <w:bookmarkStart w:id="367" w:name="_Toc296346698"/>
      <w:bookmarkStart w:id="368" w:name="_Toc300934993"/>
      <w:bookmarkStart w:id="369" w:name="_Toc292559907"/>
      <w:bookmarkStart w:id="370" w:name="_Toc296944536"/>
      <w:bookmarkStart w:id="371" w:name="_Toc292559402"/>
      <w:bookmarkStart w:id="372" w:name="_Toc312677503"/>
      <w:bookmarkStart w:id="373" w:name="_Toc312678029"/>
      <w:bookmarkStart w:id="374" w:name="_Toc304295570"/>
      <w:r>
        <w:rPr>
          <w:rFonts w:hint="eastAsia" w:ascii="宋体" w:hAnsi="宋体" w:cs="宋体"/>
          <w:sz w:val="24"/>
          <w:szCs w:val="24"/>
          <w:highlight w:val="none"/>
          <w:lang w:val="en-US" w:eastAsia="zh-CN"/>
        </w:rPr>
        <w:t>10.</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6503203"/>
      <w:bookmarkStart w:id="376" w:name="_Toc292559408"/>
      <w:bookmarkStart w:id="377" w:name="_Toc296891031"/>
      <w:bookmarkStart w:id="378" w:name="_Toc297048389"/>
      <w:bookmarkStart w:id="379" w:name="_Toc292559913"/>
      <w:bookmarkStart w:id="380" w:name="_Toc296346704"/>
      <w:bookmarkStart w:id="381" w:name="_Toc297123545"/>
      <w:bookmarkStart w:id="382" w:name="_Toc296347202"/>
      <w:bookmarkStart w:id="383" w:name="_Toc297216204"/>
      <w:bookmarkStart w:id="384" w:name="_Toc297120503"/>
      <w:bookmarkStart w:id="385" w:name="_Toc303539151"/>
      <w:bookmarkStart w:id="386" w:name="_Toc300934994"/>
      <w:bookmarkStart w:id="387" w:name="_Toc296891243"/>
      <w:bookmarkStart w:id="388" w:name="_Toc296944542"/>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承包人</w:t>
      </w:r>
      <w:r>
        <w:rPr>
          <w:rFonts w:hint="eastAsia" w:ascii="宋体" w:hAnsi="宋体" w:cs="宋体"/>
          <w:sz w:val="24"/>
          <w:szCs w:val="24"/>
          <w:highlight w:val="none"/>
        </w:rPr>
        <w:t>的合理化建议</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2FCCB3B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监理人审查承包人合理化建议的期限：</w:t>
      </w:r>
      <w:r>
        <w:rPr>
          <w:rFonts w:hint="eastAsia" w:ascii="宋体" w:hAnsi="宋体" w:cs="宋体"/>
          <w:sz w:val="24"/>
          <w:szCs w:val="24"/>
          <w:highlight w:val="none"/>
          <w:u w:val="single"/>
        </w:rPr>
        <w:t>按通用条款执行</w:t>
      </w:r>
      <w:r>
        <w:rPr>
          <w:rFonts w:hint="eastAsia" w:ascii="宋体" w:hAnsi="宋体" w:cs="宋体"/>
          <w:sz w:val="24"/>
          <w:szCs w:val="24"/>
          <w:highlight w:val="none"/>
        </w:rPr>
        <w:t>。</w:t>
      </w:r>
      <w:r>
        <w:rPr>
          <w:rFonts w:hint="eastAsia" w:ascii="宋体" w:hAnsi="宋体" w:cs="宋体"/>
          <w:sz w:val="24"/>
          <w:szCs w:val="24"/>
          <w:highlight w:val="none"/>
          <w:lang w:eastAsia="zh-CN"/>
        </w:rPr>
        <w:t xml:space="preserve">  </w:t>
      </w:r>
    </w:p>
    <w:p w14:paraId="1C7472F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发包人</w:t>
      </w:r>
      <w:r>
        <w:rPr>
          <w:rFonts w:hint="eastAsia" w:ascii="宋体" w:hAnsi="宋体" w:cs="宋体"/>
          <w:sz w:val="24"/>
          <w:szCs w:val="24"/>
          <w:highlight w:val="none"/>
        </w:rPr>
        <w:t>审批</w:t>
      </w:r>
      <w:r>
        <w:rPr>
          <w:rFonts w:hint="eastAsia" w:ascii="宋体" w:hAnsi="宋体" w:cs="宋体"/>
          <w:sz w:val="24"/>
          <w:szCs w:val="24"/>
          <w:highlight w:val="none"/>
          <w:lang w:eastAsia="zh-CN"/>
        </w:rPr>
        <w:t>承包人</w:t>
      </w:r>
      <w:r>
        <w:rPr>
          <w:rFonts w:hint="eastAsia" w:ascii="宋体" w:hAnsi="宋体" w:cs="宋体"/>
          <w:sz w:val="24"/>
          <w:szCs w:val="24"/>
          <w:highlight w:val="none"/>
        </w:rPr>
        <w:t>合理化建议的期限：</w:t>
      </w:r>
      <w:r>
        <w:rPr>
          <w:rFonts w:hint="eastAsia" w:ascii="宋体" w:hAnsi="宋体" w:cs="宋体"/>
          <w:sz w:val="24"/>
          <w:szCs w:val="24"/>
          <w:highlight w:val="none"/>
          <w:u w:val="single"/>
        </w:rPr>
        <w:t>按通用条款执行</w:t>
      </w:r>
      <w:r>
        <w:rPr>
          <w:rFonts w:hint="eastAsia" w:ascii="宋体" w:hAnsi="宋体" w:cs="宋体"/>
          <w:sz w:val="24"/>
          <w:szCs w:val="24"/>
          <w:highlight w:val="none"/>
        </w:rPr>
        <w:t>。</w:t>
      </w:r>
    </w:p>
    <w:p w14:paraId="215B37A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承包人提出的合理化建议降低了合同价格或者提高了工程经济效益的奖励的方法和金额为：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B1F6F6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bookmarkStart w:id="389" w:name="_Toc300934997"/>
      <w:bookmarkStart w:id="390" w:name="_Toc296944538"/>
      <w:bookmarkStart w:id="391" w:name="_Toc292559404"/>
      <w:bookmarkStart w:id="392" w:name="_Toc297120499"/>
      <w:bookmarkStart w:id="393" w:name="_Toc296347198"/>
      <w:bookmarkStart w:id="394" w:name="_Toc297123548"/>
      <w:bookmarkStart w:id="395" w:name="_Toc297048385"/>
      <w:bookmarkStart w:id="396" w:name="_Toc296503199"/>
      <w:bookmarkStart w:id="397" w:name="_Toc297216207"/>
      <w:bookmarkStart w:id="398" w:name="_Toc312678033"/>
      <w:bookmarkStart w:id="399" w:name="_Toc292559909"/>
      <w:bookmarkStart w:id="400" w:name="_Toc303539154"/>
      <w:bookmarkStart w:id="401" w:name="_Toc296891239"/>
      <w:bookmarkStart w:id="402" w:name="_Toc296346700"/>
      <w:bookmarkStart w:id="403" w:name="_Toc304295574"/>
      <w:bookmarkStart w:id="404" w:name="_Toc312677507"/>
      <w:bookmarkStart w:id="405" w:name="_Toc296891027"/>
      <w:r>
        <w:rPr>
          <w:rFonts w:hint="eastAsia" w:ascii="宋体" w:hAnsi="宋体" w:cs="宋体"/>
          <w:sz w:val="24"/>
          <w:szCs w:val="24"/>
          <w:highlight w:val="none"/>
          <w:lang w:val="en-US" w:eastAsia="zh-CN"/>
        </w:rPr>
        <w:t>10.7</w:t>
      </w:r>
      <w:r>
        <w:rPr>
          <w:rFonts w:hint="eastAsia" w:ascii="宋体" w:hAnsi="宋体" w:cs="宋体"/>
          <w:sz w:val="24"/>
          <w:szCs w:val="24"/>
          <w:highlight w:val="none"/>
        </w:rPr>
        <w:t>暂估价</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113950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暂估价材料和工程设备的明细详见附件11：《暂估价一览表》。</w:t>
      </w:r>
    </w:p>
    <w:p w14:paraId="2D7FF42F">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10.7.1 依法必须招标的暂估价项目</w:t>
      </w:r>
    </w:p>
    <w:p w14:paraId="4F31E97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对于依法必须招标的暂估价项目的确认和批准采取第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种方式确定。</w:t>
      </w:r>
    </w:p>
    <w:p w14:paraId="48BD6F4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10.7.2 不属于依法必须招标的暂估价项目</w:t>
      </w:r>
    </w:p>
    <w:p w14:paraId="35A5943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对于不属于依法必须招标的暂估价项目的确认和批准采取第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种方式确定。</w:t>
      </w:r>
    </w:p>
    <w:p w14:paraId="3C941AE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第3种方式：承包人直接实施的暂估价项目</w:t>
      </w:r>
    </w:p>
    <w:p w14:paraId="41CECE0C">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承包人直接实施的暂估价项目的约定：</w:t>
      </w:r>
    </w:p>
    <w:p w14:paraId="780A3F21">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双方认可的项目新增变更</w:t>
      </w:r>
      <w:r>
        <w:rPr>
          <w:rFonts w:hint="eastAsia" w:ascii="宋体" w:hAnsi="宋体" w:cs="宋体"/>
          <w:sz w:val="24"/>
          <w:szCs w:val="24"/>
          <w:highlight w:val="none"/>
          <w:u w:val="none"/>
        </w:rPr>
        <w:t>。</w:t>
      </w:r>
    </w:p>
    <w:p w14:paraId="567ECCD9">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认可经审核后的签证</w:t>
      </w:r>
      <w:r>
        <w:rPr>
          <w:rFonts w:hint="eastAsia" w:ascii="宋体" w:hAnsi="宋体" w:cs="宋体"/>
          <w:sz w:val="24"/>
          <w:szCs w:val="24"/>
          <w:highlight w:val="none"/>
          <w:u w:val="none"/>
        </w:rPr>
        <w:t>。</w:t>
      </w:r>
    </w:p>
    <w:p w14:paraId="7FF13C37">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对于变更、签证计价及结算的约定：①有效工程变更签证的认定原则：签证单上必须有</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代表、</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项目部）双方的签字和盖章，方可作为竣工结算的依据；签证单上必须明确签证的原因、位置、尺寸、数量、材料、人工、机械台班、价格等和签证时间；②关于临时用工的签证事项，双方应在签证通知单上协商确定以下问题：工作内容及工作量、工作时间、工作人数、取定的人工单价（须为综合单价，已含管理费和利润）；③当变更的工作内容完成之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要及时督促</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工地代表签字确认，对于隐蔽工程的签证，必须在覆盖前完成验收手续、工程量的确认和费用的报送，否则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可以不予确认及支付；对于其他签证，</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要及时督促</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工地代表必须在完工后10日内签字确认；所有变更签证均应同时报送审计单位代表，最终审计时对未能及时报送，事后补报的一律不予认可；</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每周五前报送符合本条款a和b范围的变更签证预算；结算时最终以决算审核为准</w:t>
      </w:r>
      <w:r>
        <w:rPr>
          <w:rFonts w:hint="eastAsia" w:ascii="宋体" w:hAnsi="宋体" w:cs="宋体"/>
          <w:sz w:val="24"/>
          <w:szCs w:val="24"/>
          <w:highlight w:val="none"/>
          <w:u w:val="none"/>
        </w:rPr>
        <w:t>。</w:t>
      </w:r>
    </w:p>
    <w:p w14:paraId="46CC488D">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rPr>
        <w:t xml:space="preserve"> </w:t>
      </w:r>
      <w:r>
        <w:rPr>
          <w:rFonts w:hint="eastAsia" w:ascii="宋体" w:hAnsi="宋体" w:cs="宋体"/>
          <w:sz w:val="24"/>
          <w:szCs w:val="24"/>
          <w:highlight w:val="none"/>
          <w:u w:val="single"/>
        </w:rPr>
        <w:t>材料变更时材料价格的确定：①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投标报价中材料价格明细表已有的材料，根据</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材料价格明细表所列的材料单价计算；如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投标文件分部分项工程综合单价分析表中的材料价格与乙供材料表中单价不一致，以有利于</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的原则确定该材料价格；②</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材料价格明细表中没有的材料，由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 xml:space="preserve">呈报价格, </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批准后的价格为准；③如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材料价格明细表中已有的材料，在建设过程中因市场原因无法采购，而发生材料代用时，必须经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同意后方可代用，并由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呈报价格，经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批准后的价格为准，超出原材料价款的费用由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承担，节省的费用由</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扣回；④因</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原因造成材料代换时，必须由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呈报价格经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批准确定该材料价格</w:t>
      </w:r>
      <w:r>
        <w:rPr>
          <w:rFonts w:hint="eastAsia" w:ascii="宋体" w:hAnsi="宋体" w:cs="宋体"/>
          <w:sz w:val="24"/>
          <w:szCs w:val="24"/>
          <w:highlight w:val="none"/>
          <w:u w:val="none"/>
        </w:rPr>
        <w:t>。</w:t>
      </w:r>
    </w:p>
    <w:p w14:paraId="1DF3E19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10.8</w:t>
      </w:r>
      <w:r>
        <w:rPr>
          <w:rFonts w:hint="eastAsia" w:ascii="宋体" w:hAnsi="宋体" w:cs="宋体"/>
          <w:sz w:val="24"/>
          <w:szCs w:val="24"/>
          <w:highlight w:val="none"/>
        </w:rPr>
        <w:t>暂列金额</w:t>
      </w:r>
    </w:p>
    <w:p w14:paraId="7D855AB2">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合同当事人关于暂列金额使用的约定：</w:t>
      </w:r>
      <w:r>
        <w:rPr>
          <w:rFonts w:hint="eastAsia" w:ascii="宋体" w:hAnsi="宋体" w:cs="宋体"/>
          <w:sz w:val="24"/>
          <w:szCs w:val="24"/>
          <w:highlight w:val="none"/>
          <w:u w:val="single"/>
        </w:rPr>
        <w:t>按通用条款执行</w:t>
      </w:r>
      <w:r>
        <w:rPr>
          <w:rFonts w:hint="eastAsia" w:ascii="宋体" w:hAnsi="宋体" w:cs="宋体"/>
          <w:kern w:val="0"/>
          <w:sz w:val="24"/>
          <w:szCs w:val="24"/>
          <w:highlight w:val="none"/>
        </w:rPr>
        <w:t>。</w:t>
      </w:r>
      <w:bookmarkStart w:id="406" w:name="_Toc351203643"/>
    </w:p>
    <w:p w14:paraId="7D5D5500">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.价格调整</w:t>
      </w:r>
      <w:bookmarkEnd w:id="406"/>
      <w:bookmarkStart w:id="407" w:name="_Toc312678039"/>
      <w:bookmarkStart w:id="408" w:name="_Toc296944540"/>
      <w:bookmarkStart w:id="409" w:name="_Toc296891241"/>
      <w:bookmarkStart w:id="410" w:name="_Toc297048387"/>
      <w:bookmarkStart w:id="411" w:name="_Toc296503201"/>
      <w:bookmarkStart w:id="412" w:name="_Toc296347200"/>
      <w:bookmarkStart w:id="413" w:name="_Toc297216209"/>
      <w:bookmarkStart w:id="414" w:name="_Toc292559406"/>
      <w:bookmarkStart w:id="415" w:name="_Toc304295577"/>
      <w:bookmarkStart w:id="416" w:name="_Toc297120501"/>
      <w:bookmarkStart w:id="417" w:name="_Toc297123550"/>
      <w:bookmarkStart w:id="418" w:name="_Toc296891029"/>
      <w:bookmarkStart w:id="419" w:name="_Toc303539157"/>
      <w:bookmarkStart w:id="420" w:name="_Toc292559911"/>
      <w:bookmarkStart w:id="421" w:name="_Toc300935000"/>
      <w:bookmarkStart w:id="422" w:name="_Toc296346702"/>
    </w:p>
    <w:p w14:paraId="29D25B5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.1市场价格波动引起的调整</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A3B2E53">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市场价格波动是否调整合同价格的约定：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4D0C9B8">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因市场价格波动调整合同价格，采用以下第</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种方式对合同价格进行调整：</w:t>
      </w:r>
    </w:p>
    <w:p w14:paraId="49E51A8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第1种方式：采用价格指数进行价格调整。</w:t>
      </w:r>
    </w:p>
    <w:p w14:paraId="3784E3E5">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关于各可调因子、定值和变值权重，以及基本价格指数及其来源的约定：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 </w:t>
      </w:r>
    </w:p>
    <w:p w14:paraId="5DDCEC1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第2种方式：采用造价信息进行价格调整。</w:t>
      </w:r>
    </w:p>
    <w:p w14:paraId="2600E7DF">
      <w:pPr>
        <w:numPr>
          <w:ilvl w:val="0"/>
          <w:numId w:val="9"/>
        </w:numPr>
        <w:wordWrap w:val="0"/>
        <w:autoSpaceDE w:val="0"/>
        <w:autoSpaceDN w:val="0"/>
        <w:adjustRightInd w:val="0"/>
        <w:snapToGrid w:val="0"/>
        <w:spacing w:line="360" w:lineRule="auto"/>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关于基准价格的约定：</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bookmarkEnd w:id="311"/>
      <w:bookmarkEnd w:id="312"/>
      <w:bookmarkEnd w:id="313"/>
      <w:bookmarkEnd w:id="314"/>
      <w:bookmarkEnd w:id="315"/>
      <w:bookmarkEnd w:id="316"/>
      <w:bookmarkStart w:id="423" w:name="_Toc296347204"/>
      <w:bookmarkStart w:id="424" w:name="_Toc296503205"/>
      <w:bookmarkStart w:id="425" w:name="_Toc297048391"/>
      <w:bookmarkStart w:id="426" w:name="_Toc296944544"/>
      <w:bookmarkStart w:id="427" w:name="_Toc296346706"/>
      <w:bookmarkStart w:id="428" w:name="_Toc292559410"/>
      <w:bookmarkStart w:id="429" w:name="_Toc296891245"/>
      <w:bookmarkStart w:id="430" w:name="_Toc292559915"/>
      <w:bookmarkStart w:id="431" w:name="_Toc297120505"/>
      <w:bookmarkStart w:id="432" w:name="_Toc296891033"/>
      <w:bookmarkStart w:id="433" w:name="_Toc304295579"/>
      <w:bookmarkStart w:id="434" w:name="_Toc297216211"/>
      <w:bookmarkStart w:id="435" w:name="_Toc303539159"/>
      <w:bookmarkStart w:id="436" w:name="_Toc300935002"/>
      <w:bookmarkStart w:id="437" w:name="_Toc351203644"/>
      <w:bookmarkStart w:id="438" w:name="_Toc297123552"/>
      <w:bookmarkStart w:id="439" w:name="_Toc312678040"/>
    </w:p>
    <w:p w14:paraId="5555EFAD">
      <w:pPr>
        <w:numPr>
          <w:ilvl w:val="0"/>
          <w:numId w:val="0"/>
        </w:numPr>
        <w:wordWrap w:val="0"/>
        <w:autoSpaceDE w:val="0"/>
        <w:autoSpaceDN w:val="0"/>
        <w:adjustRightInd w:val="0"/>
        <w:snapToGrid w:val="0"/>
        <w:spacing w:line="360" w:lineRule="auto"/>
        <w:ind w:leftChars="200"/>
        <w:jc w:val="left"/>
        <w:rPr>
          <w:rFonts w:hint="eastAsia" w:ascii="宋体" w:hAnsi="宋体" w:cs="宋体"/>
          <w:sz w:val="24"/>
          <w:szCs w:val="24"/>
          <w:highlight w:val="none"/>
        </w:rPr>
      </w:pPr>
      <w:r>
        <w:rPr>
          <w:rFonts w:hint="eastAsia" w:ascii="宋体" w:hAnsi="宋体" w:cs="宋体"/>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%时，或材料单价跌幅以已标价工程量清单或预算书中载明材料单价为基础超过</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%时，其超过部分据实调整。</w:t>
      </w:r>
    </w:p>
    <w:p w14:paraId="2FCB8D55">
      <w:pPr>
        <w:numPr>
          <w:ilvl w:val="0"/>
          <w:numId w:val="0"/>
        </w:numPr>
        <w:wordWrap w:val="0"/>
        <w:autoSpaceDE w:val="0"/>
        <w:autoSpaceDN w:val="0"/>
        <w:adjustRightInd w:val="0"/>
        <w:snapToGrid w:val="0"/>
        <w:spacing w:line="360" w:lineRule="auto"/>
        <w:ind w:leftChars="200"/>
        <w:jc w:val="left"/>
        <w:rPr>
          <w:rFonts w:hint="eastAsia" w:ascii="宋体" w:hAnsi="宋体" w:cs="宋体"/>
          <w:sz w:val="24"/>
          <w:szCs w:val="24"/>
          <w:highlight w:val="none"/>
        </w:rPr>
      </w:pPr>
      <w:r>
        <w:rPr>
          <w:rFonts w:hint="eastAsia" w:ascii="宋体" w:hAnsi="宋体" w:cs="宋体"/>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%时，材料单价涨幅以已标价工程量清单或预算书中载明材料单价为基础超过</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%时，其超过部分据实调整。</w:t>
      </w:r>
    </w:p>
    <w:p w14:paraId="59BD9C02">
      <w:pPr>
        <w:numPr>
          <w:ilvl w:val="0"/>
          <w:numId w:val="0"/>
        </w:numPr>
        <w:wordWrap w:val="0"/>
        <w:autoSpaceDE w:val="0"/>
        <w:autoSpaceDN w:val="0"/>
        <w:adjustRightInd w:val="0"/>
        <w:snapToGrid w:val="0"/>
        <w:spacing w:line="360" w:lineRule="auto"/>
        <w:ind w:leftChars="200"/>
        <w:jc w:val="left"/>
        <w:rPr>
          <w:rFonts w:hint="eastAsia" w:ascii="宋体" w:hAnsi="宋体" w:cs="宋体"/>
          <w:sz w:val="24"/>
          <w:szCs w:val="24"/>
          <w:highlight w:val="none"/>
        </w:rPr>
      </w:pPr>
      <w:r>
        <w:rPr>
          <w:rFonts w:hint="eastAsia" w:ascii="宋体" w:hAnsi="宋体" w:cs="宋体"/>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 xml:space="preserve"> %时，其超过部分据实调整。</w:t>
      </w:r>
    </w:p>
    <w:p w14:paraId="116D4DF4">
      <w:pPr>
        <w:numPr>
          <w:ilvl w:val="0"/>
          <w:numId w:val="0"/>
        </w:numPr>
        <w:wordWrap w:val="0"/>
        <w:autoSpaceDE w:val="0"/>
        <w:autoSpaceDN w:val="0"/>
        <w:adjustRightInd w:val="0"/>
        <w:snapToGrid w:val="0"/>
        <w:spacing w:line="360" w:lineRule="auto"/>
        <w:ind w:leftChars="200"/>
        <w:jc w:val="left"/>
        <w:rPr>
          <w:rFonts w:hint="eastAsia" w:ascii="宋体" w:hAnsi="宋体" w:cs="宋体"/>
          <w:sz w:val="24"/>
          <w:szCs w:val="24"/>
          <w:highlight w:val="none"/>
        </w:rPr>
      </w:pPr>
      <w:r>
        <w:rPr>
          <w:rFonts w:hint="eastAsia" w:ascii="宋体" w:hAnsi="宋体" w:cs="宋体"/>
          <w:sz w:val="24"/>
          <w:szCs w:val="24"/>
          <w:highlight w:val="none"/>
        </w:rPr>
        <w:t>第3种方式：其他价格调整方式：</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 xml:space="preserve"> 。</w:t>
      </w:r>
    </w:p>
    <w:p w14:paraId="59B87CC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bookmarkEnd w:id="423"/>
      <w:bookmarkEnd w:id="424"/>
      <w:bookmarkEnd w:id="425"/>
      <w:bookmarkEnd w:id="426"/>
      <w:bookmarkEnd w:id="427"/>
      <w:bookmarkEnd w:id="428"/>
      <w:bookmarkEnd w:id="429"/>
      <w:bookmarkEnd w:id="430"/>
      <w:bookmarkEnd w:id="431"/>
      <w:bookmarkEnd w:id="432"/>
      <w:r>
        <w:rPr>
          <w:rFonts w:hint="eastAsia" w:ascii="宋体" w:hAnsi="宋体" w:cs="宋体"/>
          <w:sz w:val="24"/>
          <w:szCs w:val="24"/>
          <w:highlight w:val="none"/>
        </w:rPr>
        <w:t>合同价格、计量与支付</w:t>
      </w:r>
      <w:bookmarkEnd w:id="433"/>
      <w:bookmarkEnd w:id="434"/>
      <w:bookmarkEnd w:id="435"/>
      <w:bookmarkEnd w:id="436"/>
      <w:bookmarkEnd w:id="437"/>
      <w:bookmarkEnd w:id="438"/>
      <w:bookmarkEnd w:id="439"/>
      <w:bookmarkStart w:id="440" w:name="_Toc267251461"/>
      <w:bookmarkStart w:id="441" w:name="_Toc292559916"/>
      <w:bookmarkStart w:id="442" w:name="_Toc292559411"/>
      <w:bookmarkStart w:id="443" w:name="_Toc297048392"/>
      <w:bookmarkStart w:id="444" w:name="_Toc296891034"/>
      <w:bookmarkStart w:id="445" w:name="_Toc296503206"/>
      <w:bookmarkStart w:id="446" w:name="_Toc296944545"/>
      <w:bookmarkStart w:id="447" w:name="_Toc297120506"/>
      <w:bookmarkStart w:id="448" w:name="_Toc296347205"/>
      <w:bookmarkStart w:id="449" w:name="_Toc296891246"/>
      <w:bookmarkStart w:id="450" w:name="_Toc296346707"/>
      <w:bookmarkStart w:id="451" w:name="_Toc303539160"/>
      <w:bookmarkStart w:id="452" w:name="_Toc297216212"/>
      <w:bookmarkStart w:id="453" w:name="_Toc300935003"/>
      <w:bookmarkStart w:id="454" w:name="_Toc304295580"/>
      <w:bookmarkStart w:id="455" w:name="_Toc297123553"/>
      <w:bookmarkStart w:id="456" w:name="_Toc312678041"/>
    </w:p>
    <w:p w14:paraId="2951F25C">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.1合</w:t>
      </w:r>
      <w:bookmarkEnd w:id="440"/>
      <w:bookmarkEnd w:id="441"/>
      <w:bookmarkEnd w:id="442"/>
      <w:r>
        <w:rPr>
          <w:rFonts w:hint="eastAsia" w:ascii="宋体" w:hAnsi="宋体" w:cs="宋体"/>
          <w:sz w:val="24"/>
          <w:szCs w:val="24"/>
          <w:highlight w:val="none"/>
        </w:rPr>
        <w:t>同价</w:t>
      </w:r>
      <w:bookmarkEnd w:id="443"/>
      <w:bookmarkEnd w:id="444"/>
      <w:bookmarkEnd w:id="445"/>
      <w:bookmarkEnd w:id="446"/>
      <w:bookmarkEnd w:id="447"/>
      <w:bookmarkEnd w:id="448"/>
      <w:bookmarkEnd w:id="449"/>
      <w:bookmarkEnd w:id="450"/>
      <w:r>
        <w:rPr>
          <w:rFonts w:hint="eastAsia" w:ascii="宋体" w:hAnsi="宋体" w:cs="宋体"/>
          <w:sz w:val="24"/>
          <w:szCs w:val="24"/>
          <w:highlight w:val="none"/>
        </w:rPr>
        <w:t>格形式</w:t>
      </w:r>
      <w:bookmarkEnd w:id="451"/>
      <w:bookmarkEnd w:id="452"/>
      <w:bookmarkEnd w:id="453"/>
      <w:bookmarkEnd w:id="454"/>
      <w:bookmarkEnd w:id="455"/>
      <w:bookmarkEnd w:id="456"/>
    </w:p>
    <w:p w14:paraId="2ECFAE30">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none"/>
        </w:rPr>
      </w:pPr>
      <w:r>
        <w:rPr>
          <w:rFonts w:hint="eastAsia" w:ascii="宋体" w:hAnsi="宋体" w:cs="宋体"/>
          <w:sz w:val="24"/>
          <w:szCs w:val="24"/>
          <w:highlight w:val="none"/>
          <w:u w:val="none"/>
        </w:rPr>
        <w:t>1、单价合同。</w:t>
      </w:r>
    </w:p>
    <w:p w14:paraId="7460394D">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综合单价包含的风险范围：</w:t>
      </w:r>
      <w:r>
        <w:rPr>
          <w:rFonts w:hint="eastAsia" w:ascii="宋体" w:hAnsi="宋体" w:cs="宋体"/>
          <w:sz w:val="24"/>
          <w:szCs w:val="24"/>
          <w:highlight w:val="none"/>
          <w:u w:val="single"/>
        </w:rPr>
        <w:t>除文件规定以及施工期间内各类政策性调整文件进行调整外的，其余均不调整</w:t>
      </w:r>
      <w:r>
        <w:rPr>
          <w:rFonts w:hint="eastAsia" w:ascii="宋体" w:hAnsi="宋体" w:cs="宋体"/>
          <w:sz w:val="24"/>
          <w:szCs w:val="24"/>
          <w:highlight w:val="none"/>
        </w:rPr>
        <w:t>。</w:t>
      </w:r>
    </w:p>
    <w:p w14:paraId="446EFC9D">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风险费用的计算方法：</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 xml:space="preserve"> </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rPr>
        <w:t xml:space="preserve"> </w:t>
      </w:r>
      <w:r>
        <w:rPr>
          <w:rFonts w:hint="eastAsia" w:ascii="宋体" w:hAnsi="宋体" w:cs="宋体"/>
          <w:sz w:val="24"/>
          <w:szCs w:val="24"/>
          <w:highlight w:val="none"/>
        </w:rPr>
        <w:t xml:space="preserve">             </w:t>
      </w:r>
    </w:p>
    <w:p w14:paraId="0F87C2F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风险范围以外合同价格的调整方法：</w:t>
      </w:r>
    </w:p>
    <w:p w14:paraId="2D5B5CE6">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工程量清单项目的项目特征与投标报价中项目相同的，按投标报价的综合单价计算</w:t>
      </w:r>
      <w:r>
        <w:rPr>
          <w:rFonts w:hint="eastAsia" w:ascii="宋体" w:hAnsi="宋体" w:cs="宋体"/>
          <w:strike w:val="0"/>
          <w:dstrike w:val="0"/>
          <w:sz w:val="24"/>
          <w:szCs w:val="24"/>
          <w:highlight w:val="none"/>
          <w:u w:val="none"/>
        </w:rPr>
        <w:t>。</w:t>
      </w:r>
    </w:p>
    <w:p w14:paraId="62FF12FE">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新增工程量清单项目的项目特征与投标报价中项目类似的，综合单价按类似项目投标报价时的人工、材料、机械台班耗用量、类似项目投标报价时的人工、机械台班单价、管理费、利润等费用标准及材料价格（无投标价的材料按施工时期的市场价）计算，作为结算单价</w:t>
      </w:r>
      <w:r>
        <w:rPr>
          <w:rFonts w:hint="eastAsia" w:ascii="宋体" w:hAnsi="宋体" w:cs="宋体"/>
          <w:sz w:val="24"/>
          <w:szCs w:val="24"/>
          <w:highlight w:val="none"/>
          <w:u w:val="none"/>
        </w:rPr>
        <w:t>。</w:t>
      </w:r>
    </w:p>
    <w:p w14:paraId="2FCC4298">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投标报价中没有综合单价的新的工程量清单项目， 新增综合单价按清单计价规范</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工程计价定额、计价表中的人工、材料、机械台班耗用量、投标报价时的人工、机械台班单价、材料价格（无投标价的材料按施工时期的市场价），按照投标时相应的管理费和利润标准取费后，综合单价优惠按中标价和招标控制价比例幅度下浮作为结算单价</w:t>
      </w:r>
      <w:r>
        <w:rPr>
          <w:rFonts w:hint="eastAsia" w:ascii="宋体" w:hAnsi="宋体" w:cs="宋体"/>
          <w:sz w:val="24"/>
          <w:szCs w:val="24"/>
          <w:highlight w:val="none"/>
          <w:u w:val="none"/>
        </w:rPr>
        <w:t>。</w:t>
      </w:r>
    </w:p>
    <w:p w14:paraId="1790E2E7">
      <w:pPr>
        <w:wordWrap w:val="0"/>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新增综合单价及材料市场价由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提出，经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审核后报审计，以审</w:t>
      </w:r>
      <w:bookmarkStart w:id="457" w:name="_Toc300935004"/>
      <w:bookmarkStart w:id="458" w:name="_Toc304295581"/>
      <w:bookmarkStart w:id="459" w:name="_Toc297123554"/>
      <w:bookmarkStart w:id="460" w:name="_Toc303539161"/>
      <w:bookmarkStart w:id="461" w:name="_Toc297216213"/>
      <w:bookmarkStart w:id="462" w:name="_Toc312678042"/>
      <w:bookmarkStart w:id="463" w:name="_Toc296944546"/>
      <w:bookmarkStart w:id="464" w:name="_Toc296503207"/>
      <w:bookmarkStart w:id="465" w:name="_Toc296891035"/>
      <w:bookmarkStart w:id="466" w:name="_Toc297048393"/>
      <w:bookmarkStart w:id="467" w:name="_Toc296346708"/>
      <w:bookmarkStart w:id="468" w:name="_Toc292559412"/>
      <w:bookmarkStart w:id="469" w:name="_Toc296347206"/>
      <w:bookmarkStart w:id="470" w:name="_Toc296891247"/>
      <w:bookmarkStart w:id="471" w:name="_Toc297120507"/>
      <w:bookmarkStart w:id="472" w:name="_Toc292559917"/>
      <w:r>
        <w:rPr>
          <w:rFonts w:hint="eastAsia" w:ascii="宋体" w:hAnsi="宋体" w:cs="宋体"/>
          <w:sz w:val="24"/>
          <w:szCs w:val="24"/>
          <w:highlight w:val="none"/>
          <w:u w:val="single"/>
        </w:rPr>
        <w:t>计为准</w:t>
      </w:r>
      <w:r>
        <w:rPr>
          <w:rFonts w:hint="eastAsia" w:ascii="宋体" w:hAnsi="宋体" w:cs="宋体"/>
          <w:sz w:val="24"/>
          <w:szCs w:val="24"/>
          <w:highlight w:val="none"/>
          <w:u w:val="none"/>
          <w:lang w:val="en-US" w:eastAsia="zh-CN"/>
        </w:rPr>
        <w:t>。</w:t>
      </w:r>
    </w:p>
    <w:p w14:paraId="5BC1FB9B">
      <w:pPr>
        <w:pStyle w:val="2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2、总价合同。</w:t>
      </w:r>
    </w:p>
    <w:p w14:paraId="76FB52C8">
      <w:pPr>
        <w:pStyle w:val="2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总价包含的风险范围：</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2899CB9A">
      <w:pPr>
        <w:pStyle w:val="2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风险费用的计算方法：</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1C7AF9E1">
      <w:pPr>
        <w:pStyle w:val="2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风险范围以外合同价格的调整方法：</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p w14:paraId="3838BD80">
      <w:pPr>
        <w:pStyle w:val="2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3、其他价格方式：</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w:t>
      </w:r>
      <w:r>
        <w:rPr>
          <w:rFonts w:hint="eastAsia"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w:t>
      </w:r>
    </w:p>
    <w:bookmarkEnd w:id="457"/>
    <w:bookmarkEnd w:id="458"/>
    <w:bookmarkEnd w:id="459"/>
    <w:bookmarkEnd w:id="460"/>
    <w:bookmarkEnd w:id="461"/>
    <w:bookmarkEnd w:id="462"/>
    <w:p w14:paraId="1EE9EE7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2预付款</w:t>
      </w:r>
    </w:p>
    <w:p w14:paraId="1ECA3EF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2.2.1</w:t>
      </w:r>
      <w:r>
        <w:rPr>
          <w:rFonts w:hint="eastAsia" w:ascii="宋体" w:hAnsi="宋体" w:cs="宋体"/>
          <w:sz w:val="24"/>
          <w:szCs w:val="24"/>
          <w:highlight w:val="none"/>
        </w:rPr>
        <w:t>预付款的支付</w:t>
      </w:r>
    </w:p>
    <w:p w14:paraId="4406837E">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预付款支付比例或金额：</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合同价款的30%</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bookmarkEnd w:id="463"/>
      <w:bookmarkEnd w:id="464"/>
      <w:bookmarkEnd w:id="465"/>
      <w:bookmarkEnd w:id="466"/>
      <w:bookmarkEnd w:id="467"/>
      <w:bookmarkEnd w:id="468"/>
      <w:bookmarkEnd w:id="469"/>
      <w:bookmarkEnd w:id="470"/>
      <w:bookmarkEnd w:id="471"/>
      <w:bookmarkEnd w:id="472"/>
    </w:p>
    <w:p w14:paraId="3EBB7292">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计量</w:t>
      </w:r>
    </w:p>
    <w:p w14:paraId="3464D40C">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3.1</w:t>
      </w:r>
      <w:r>
        <w:rPr>
          <w:rFonts w:hint="eastAsia" w:ascii="宋体" w:hAnsi="宋体" w:cs="宋体"/>
          <w:sz w:val="24"/>
          <w:szCs w:val="24"/>
          <w:highlight w:val="none"/>
        </w:rPr>
        <w:t>计量原则</w:t>
      </w:r>
    </w:p>
    <w:p w14:paraId="26EA5062">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工程量计算规则</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执行国家标准。除合同另有约定外，承包人实际完成的工程量按约定的工程量计算规则和有合同约束力的图纸进行计量 </w:t>
      </w:r>
      <w:r>
        <w:rPr>
          <w:rFonts w:hint="eastAsia" w:ascii="宋体" w:hAnsi="宋体" w:cs="宋体"/>
          <w:sz w:val="24"/>
          <w:szCs w:val="24"/>
          <w:highlight w:val="none"/>
        </w:rPr>
        <w:t>。</w:t>
      </w:r>
    </w:p>
    <w:p w14:paraId="1F7F77B8">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.3.</w:t>
      </w:r>
      <w:r>
        <w:rPr>
          <w:rFonts w:hint="eastAsia" w:ascii="宋体" w:hAnsi="宋体" w:cs="宋体"/>
          <w:sz w:val="24"/>
          <w:szCs w:val="24"/>
          <w:highlight w:val="none"/>
          <w:lang w:val="en-US" w:eastAsia="zh-CN"/>
        </w:rPr>
        <w:t>2</w:t>
      </w:r>
      <w:r>
        <w:rPr>
          <w:rFonts w:hint="eastAsia" w:ascii="宋体" w:hAnsi="宋体" w:cs="宋体"/>
          <w:sz w:val="24"/>
          <w:szCs w:val="24"/>
          <w:highlight w:val="none"/>
        </w:rPr>
        <w:t>计量周期</w:t>
      </w:r>
    </w:p>
    <w:p w14:paraId="79342763">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关于计量周期的约定：</w:t>
      </w:r>
    </w:p>
    <w:p w14:paraId="1E4B34A0">
      <w:pPr>
        <w:wordWrap w:val="0"/>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u w:val="none"/>
          <w:lang w:eastAsia="zh-CN"/>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对</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超出设计图纸（含设计变更）范围和因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原因造成返工的工程量，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不予计量</w:t>
      </w:r>
      <w:r>
        <w:rPr>
          <w:rFonts w:hint="eastAsia" w:ascii="宋体" w:hAnsi="宋体" w:cs="宋体"/>
          <w:sz w:val="24"/>
          <w:szCs w:val="24"/>
          <w:highlight w:val="none"/>
          <w:u w:val="none"/>
          <w:lang w:eastAsia="zh-CN"/>
        </w:rPr>
        <w:t>。</w:t>
      </w:r>
    </w:p>
    <w:p w14:paraId="4561F315">
      <w:pPr>
        <w:wordWrap w:val="0"/>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对于</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完成合同以外的零星项目，</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应在完成任务后7日内就用工数量和单价、机械台班数量和单价、使用材料和金额等向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提出书面签证，</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在接到书面签证后7日内进行确认。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未在规定时间内提出书面签证，则视为放弃，逾期</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不予办理</w:t>
      </w:r>
      <w:r>
        <w:rPr>
          <w:rFonts w:hint="eastAsia" w:ascii="宋体" w:hAnsi="宋体" w:cs="宋体"/>
          <w:sz w:val="24"/>
          <w:szCs w:val="24"/>
          <w:highlight w:val="none"/>
          <w:u w:val="none"/>
          <w:lang w:val="en-US" w:eastAsia="zh-CN"/>
        </w:rPr>
        <w:t>。</w:t>
      </w:r>
    </w:p>
    <w:p w14:paraId="73EF767C">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所有涉及工程造价确定方面的资料（含所有的变更签证资料），必须经过</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代表的书面确认后，方可作为竣工后价款结算的唯一依据</w:t>
      </w:r>
      <w:r>
        <w:rPr>
          <w:rFonts w:hint="eastAsia" w:ascii="宋体" w:hAnsi="宋体" w:cs="宋体"/>
          <w:sz w:val="24"/>
          <w:szCs w:val="24"/>
          <w:highlight w:val="none"/>
        </w:rPr>
        <w:t>。</w:t>
      </w:r>
    </w:p>
    <w:p w14:paraId="1006F139">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.3.</w:t>
      </w:r>
      <w:r>
        <w:rPr>
          <w:rFonts w:hint="eastAsia" w:ascii="宋体" w:hAnsi="宋体" w:cs="宋体"/>
          <w:sz w:val="24"/>
          <w:szCs w:val="24"/>
          <w:highlight w:val="none"/>
          <w:lang w:val="en-US" w:eastAsia="zh-CN"/>
        </w:rPr>
        <w:t>3</w:t>
      </w:r>
      <w:r>
        <w:rPr>
          <w:rFonts w:hint="eastAsia" w:ascii="宋体" w:hAnsi="宋体" w:cs="宋体"/>
          <w:sz w:val="24"/>
          <w:szCs w:val="24"/>
          <w:highlight w:val="none"/>
        </w:rPr>
        <w:t>单价合同的计量</w:t>
      </w:r>
    </w:p>
    <w:p w14:paraId="4AB8C60E">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关于单价合同计量的约定：</w:t>
      </w:r>
      <w:r>
        <w:rPr>
          <w:rFonts w:hint="eastAsia" w:ascii="宋体" w:hAnsi="宋体" w:cs="宋体"/>
          <w:sz w:val="24"/>
          <w:szCs w:val="24"/>
          <w:highlight w:val="none"/>
          <w:u w:val="single"/>
          <w:lang w:val="en-US" w:eastAsia="zh-CN"/>
        </w:rPr>
        <w:t>按通用</w:t>
      </w:r>
      <w:r>
        <w:rPr>
          <w:rFonts w:hint="eastAsia" w:ascii="宋体" w:hAnsi="宋体" w:cs="宋体"/>
          <w:sz w:val="24"/>
          <w:szCs w:val="24"/>
          <w:highlight w:val="none"/>
          <w:u w:val="single"/>
        </w:rPr>
        <w:t>条款执行</w:t>
      </w:r>
      <w:r>
        <w:rPr>
          <w:rFonts w:hint="eastAsia" w:ascii="宋体" w:hAnsi="宋体" w:cs="宋体"/>
          <w:sz w:val="24"/>
          <w:szCs w:val="24"/>
          <w:highlight w:val="none"/>
        </w:rPr>
        <w:t>。</w:t>
      </w:r>
    </w:p>
    <w:p w14:paraId="7A7A4216">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12.3.4 总价合同的计量</w:t>
      </w:r>
    </w:p>
    <w:p w14:paraId="16A80CB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关于总价合同计量的约定：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FDCA29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12.3.5总价合同采用支付分解表计量支付的，是否适用第12.3.4 项〔总价合同的计量〕约定进行计量：</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9E96F9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12.3.6 其他价格形式合同的计量</w:t>
      </w:r>
    </w:p>
    <w:p w14:paraId="02DCE20B">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其他价格形式的计量方式和程序：</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43537BB">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.4工程进度款支付</w:t>
      </w:r>
      <w:bookmarkStart w:id="473" w:name="_Toc297120511"/>
      <w:bookmarkStart w:id="474" w:name="_Toc296347210"/>
      <w:bookmarkStart w:id="475" w:name="_Toc292559921"/>
      <w:bookmarkStart w:id="476" w:name="_Toc292559416"/>
      <w:bookmarkStart w:id="477" w:name="_Toc297216215"/>
      <w:bookmarkStart w:id="478" w:name="_Toc303539163"/>
      <w:bookmarkStart w:id="479" w:name="_Toc297123556"/>
      <w:bookmarkStart w:id="480" w:name="_Toc296944550"/>
      <w:bookmarkStart w:id="481" w:name="_Toc296891251"/>
      <w:bookmarkStart w:id="482" w:name="_Toc296503211"/>
      <w:bookmarkStart w:id="483" w:name="_Toc297048397"/>
      <w:bookmarkStart w:id="484" w:name="_Toc296891039"/>
      <w:bookmarkStart w:id="485" w:name="_Toc300935006"/>
      <w:bookmarkStart w:id="486" w:name="_Toc296346712"/>
    </w:p>
    <w:p w14:paraId="7A88F58E">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.4.1付款周期</w:t>
      </w:r>
    </w:p>
    <w:p w14:paraId="4ADAB1B9">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关于付款周期的约定：</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必须严格按照双方协商约定的工期进行组织施工，</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按照</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完成的形象进度节点进行工程款支付。如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未能完成约定阶段形象节点的施工工作，则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有权不支付当期工程款，直到</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完成了约定的形象节点工作，且</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将在支付当期工程款时对</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的延期完成将处以500元/天的延期罚款，该节点工期罚款不与总工期罚款相抵触，所有罚款一概不予退还。</w:t>
      </w:r>
    </w:p>
    <w:p w14:paraId="0418E111">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12.4.2 进度付款申请单的编制</w:t>
      </w:r>
    </w:p>
    <w:p w14:paraId="444CCF13">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关于进度付款申请单编制的约定：</w:t>
      </w:r>
      <w:r>
        <w:rPr>
          <w:rFonts w:hint="eastAsia" w:ascii="宋体" w:hAnsi="宋体" w:cs="宋体"/>
          <w:sz w:val="24"/>
          <w:szCs w:val="24"/>
          <w:highlight w:val="none"/>
          <w:u w:val="single"/>
        </w:rPr>
        <w:t xml:space="preserve">  按通用条款执行  </w:t>
      </w:r>
      <w:r>
        <w:rPr>
          <w:rFonts w:hint="eastAsia" w:ascii="宋体" w:hAnsi="宋体" w:cs="宋体"/>
          <w:sz w:val="24"/>
          <w:szCs w:val="24"/>
          <w:highlight w:val="none"/>
        </w:rPr>
        <w:t>。</w:t>
      </w:r>
    </w:p>
    <w:p w14:paraId="45EF10A6">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12.4.3 进度付款申请单的提交</w:t>
      </w:r>
    </w:p>
    <w:p w14:paraId="3A66936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（1）单价合同进度付款申请单提交的约定：</w:t>
      </w:r>
      <w:r>
        <w:rPr>
          <w:rFonts w:hint="eastAsia" w:ascii="宋体" w:hAnsi="宋体" w:cs="宋体"/>
          <w:sz w:val="24"/>
          <w:szCs w:val="24"/>
          <w:highlight w:val="none"/>
          <w:u w:val="single"/>
        </w:rPr>
        <w:t xml:space="preserve"> 所有工程款支付均须有发包人、监理签字确认工作量和付款意见后，发包人才</w:t>
      </w:r>
      <w:r>
        <w:rPr>
          <w:rFonts w:hint="eastAsia" w:ascii="宋体" w:hAnsi="宋体" w:cs="宋体"/>
          <w:sz w:val="24"/>
          <w:szCs w:val="24"/>
          <w:highlight w:val="none"/>
          <w:u w:val="single"/>
          <w:lang w:val="en-US" w:eastAsia="zh-CN"/>
        </w:rPr>
        <w:t>予</w:t>
      </w:r>
      <w:r>
        <w:rPr>
          <w:rFonts w:hint="eastAsia" w:ascii="宋体" w:hAnsi="宋体" w:cs="宋体"/>
          <w:sz w:val="24"/>
          <w:szCs w:val="24"/>
          <w:highlight w:val="none"/>
          <w:u w:val="single"/>
        </w:rPr>
        <w:t>办理工程款支付的手续；所有合同外增加的工作内容和工程变更调整的价款，一律不作为进度款支付的计算基数，须待竣工结算审计后与工程款结算款同期支付</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4C71B0BC">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（2）总价合同进度付款申请单提交的约定：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3B0DB01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（3）其他价格形式合同进度付款申请单提交的约定：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p>
    <w:p w14:paraId="2DCD0A9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12.4.4 进度款审核和支付</w:t>
      </w:r>
    </w:p>
    <w:p w14:paraId="689C8161">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（1）监理人审查并报送发包人的期限：</w:t>
      </w:r>
      <w:r>
        <w:rPr>
          <w:rFonts w:hint="eastAsia" w:ascii="宋体" w:hAnsi="宋体" w:cs="宋体"/>
          <w:sz w:val="24"/>
          <w:szCs w:val="24"/>
          <w:highlight w:val="none"/>
          <w:u w:val="single"/>
        </w:rPr>
        <w:t xml:space="preserve"> 监理人应在收到承包人进度付款申请单以及相关资料后7天内完成审查并报送发包人  </w:t>
      </w:r>
      <w:r>
        <w:rPr>
          <w:rFonts w:hint="eastAsia" w:ascii="宋体" w:hAnsi="宋体" w:cs="宋体"/>
          <w:sz w:val="24"/>
          <w:szCs w:val="24"/>
          <w:highlight w:val="none"/>
        </w:rPr>
        <w:t xml:space="preserve"> 。</w:t>
      </w:r>
    </w:p>
    <w:p w14:paraId="48195C9F">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发包人完成审批并签发进度款支付证书的期限：</w:t>
      </w:r>
      <w:r>
        <w:rPr>
          <w:rFonts w:hint="eastAsia" w:ascii="宋体" w:hAnsi="宋体" w:cs="宋体"/>
          <w:sz w:val="24"/>
          <w:szCs w:val="24"/>
          <w:highlight w:val="none"/>
          <w:u w:val="single"/>
          <w:lang w:val="en-US" w:eastAsia="zh-CN"/>
        </w:rPr>
        <w:t xml:space="preserve"> 发包人应在收到后7天内完成审批并签发进度款支付证书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p>
    <w:p w14:paraId="279C8A11">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（2）发包人支付进度款的期限：</w:t>
      </w:r>
      <w:r>
        <w:rPr>
          <w:rFonts w:hint="eastAsia" w:ascii="宋体" w:hAnsi="宋体" w:cs="宋体"/>
          <w:sz w:val="24"/>
          <w:szCs w:val="24"/>
          <w:highlight w:val="none"/>
          <w:u w:val="single"/>
        </w:rPr>
        <w:t xml:space="preserve">   按通用条款执行   </w:t>
      </w:r>
      <w:r>
        <w:rPr>
          <w:rFonts w:hint="eastAsia" w:ascii="宋体" w:hAnsi="宋体" w:cs="宋体"/>
          <w:sz w:val="24"/>
          <w:szCs w:val="24"/>
          <w:highlight w:val="none"/>
        </w:rPr>
        <w:t>。</w:t>
      </w:r>
    </w:p>
    <w:p w14:paraId="55222673">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发包人逾期支付进度款的违约金的计算方式：</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p>
    <w:p w14:paraId="34B9636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12.4.6 支付分解表的编制</w:t>
      </w:r>
    </w:p>
    <w:p w14:paraId="56998426">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2、总价合同支付分解表的编制与审批：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0E712B3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3、单价合同的总价项目支付分解表的编制与审批：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bookmarkEnd w:id="317"/>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14:paraId="7AE2F39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bookmarkStart w:id="487" w:name="_Toc292559933"/>
      <w:bookmarkStart w:id="488" w:name="_Toc296944562"/>
      <w:bookmarkStart w:id="489" w:name="_Toc296891051"/>
      <w:bookmarkStart w:id="490" w:name="_Toc312678056"/>
      <w:bookmarkStart w:id="491" w:name="_Toc297120523"/>
      <w:bookmarkStart w:id="492" w:name="_Toc296347222"/>
      <w:bookmarkStart w:id="493" w:name="_Toc303539173"/>
      <w:bookmarkStart w:id="494" w:name="_Toc300935016"/>
      <w:bookmarkStart w:id="495" w:name="_Toc296346724"/>
      <w:bookmarkStart w:id="496" w:name="_Toc296891263"/>
      <w:bookmarkStart w:id="497" w:name="_Toc297048409"/>
      <w:bookmarkStart w:id="498" w:name="_Toc292559428"/>
      <w:bookmarkStart w:id="499" w:name="_Toc304295596"/>
      <w:bookmarkStart w:id="500" w:name="_Toc297123565"/>
      <w:bookmarkStart w:id="501" w:name="_Toc297216224"/>
      <w:bookmarkStart w:id="502" w:name="_Toc296503223"/>
      <w:bookmarkStart w:id="503" w:name="_Toc267251474"/>
      <w:bookmarkStart w:id="504" w:name="_Toc267251476"/>
      <w:bookmarkStart w:id="505" w:name="_Toc267251475"/>
      <w:bookmarkStart w:id="506" w:name="_Toc267251471"/>
      <w:bookmarkStart w:id="507" w:name="_Toc267251472"/>
      <w:bookmarkStart w:id="508" w:name="_Toc267251473"/>
      <w:bookmarkStart w:id="509" w:name="_Toc267251470"/>
      <w:r>
        <w:rPr>
          <w:rFonts w:hint="eastAsia" w:ascii="宋体" w:hAnsi="宋体" w:cs="宋体"/>
          <w:sz w:val="24"/>
          <w:szCs w:val="24"/>
          <w:highlight w:val="none"/>
        </w:rPr>
        <w:t>13. 验收和工程试车</w:t>
      </w:r>
    </w:p>
    <w:p w14:paraId="59483755">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13.1 分部分项工程验收</w:t>
      </w:r>
    </w:p>
    <w:p w14:paraId="3118409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13.1.2监理人不能按时进行验收时，应提前</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24</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小时提交书面延期要求。</w:t>
      </w:r>
    </w:p>
    <w:p w14:paraId="10EAC3A5">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关于延期最长不得超过：</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48</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小时。</w:t>
      </w:r>
    </w:p>
    <w:p w14:paraId="75277239">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13.2</w:t>
      </w:r>
      <w:r>
        <w:rPr>
          <w:rFonts w:hint="eastAsia" w:ascii="宋体" w:hAnsi="宋体" w:cs="宋体"/>
          <w:sz w:val="24"/>
          <w:szCs w:val="24"/>
          <w:highlight w:val="none"/>
        </w:rPr>
        <w:t>竣工验收</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Start w:id="510" w:name="_Toc280868704"/>
      <w:bookmarkStart w:id="511" w:name="_Toc280868705"/>
      <w:bookmarkStart w:id="512" w:name="_Toc280868706"/>
      <w:bookmarkStart w:id="513" w:name="_Toc280868707"/>
      <w:bookmarkStart w:id="514" w:name="_Toc280868708"/>
      <w:bookmarkStart w:id="515" w:name="_Toc280868709"/>
    </w:p>
    <w:p w14:paraId="35075534">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r>
        <w:rPr>
          <w:rFonts w:hint="eastAsia" w:ascii="宋体" w:hAnsi="宋体" w:cs="宋体"/>
          <w:sz w:val="24"/>
          <w:szCs w:val="24"/>
          <w:highlight w:val="none"/>
          <w:lang w:val="en-US" w:eastAsia="zh-CN"/>
        </w:rPr>
        <w:t>2.2</w:t>
      </w:r>
      <w:r>
        <w:rPr>
          <w:rFonts w:hint="eastAsia" w:ascii="宋体" w:hAnsi="宋体" w:cs="宋体"/>
          <w:sz w:val="24"/>
          <w:szCs w:val="24"/>
          <w:highlight w:val="none"/>
        </w:rPr>
        <w:t>竣工验收程序</w:t>
      </w:r>
      <w:bookmarkEnd w:id="510"/>
    </w:p>
    <w:p w14:paraId="4B76108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kern w:val="0"/>
          <w:sz w:val="24"/>
          <w:szCs w:val="24"/>
          <w:highlight w:val="none"/>
        </w:rPr>
        <w:t>关于竣工验收程序的约定：</w:t>
      </w:r>
      <w:r>
        <w:rPr>
          <w:rFonts w:hint="eastAsia" w:ascii="宋体" w:hAnsi="宋体" w:cs="宋体"/>
          <w:sz w:val="24"/>
          <w:szCs w:val="24"/>
          <w:highlight w:val="none"/>
          <w:u w:val="single"/>
        </w:rPr>
        <w:t>按通用条款执行</w:t>
      </w:r>
      <w:r>
        <w:rPr>
          <w:rFonts w:hint="eastAsia" w:ascii="宋体" w:hAnsi="宋体" w:cs="宋体"/>
          <w:sz w:val="24"/>
          <w:szCs w:val="24"/>
          <w:highlight w:val="none"/>
        </w:rPr>
        <w:t>。</w:t>
      </w:r>
      <w:bookmarkEnd w:id="511"/>
    </w:p>
    <w:p w14:paraId="0AEA1AAC">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发包人不按照本项约定组织竣工验收、颁发工程接收证书的违约金的计算方法：</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 xml:space="preserve"> 。</w:t>
      </w:r>
    </w:p>
    <w:p w14:paraId="1E4A4DD4">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13.2</w:t>
      </w:r>
      <w:r>
        <w:rPr>
          <w:rFonts w:hint="eastAsia" w:ascii="宋体" w:hAnsi="宋体" w:cs="宋体"/>
          <w:sz w:val="24"/>
          <w:szCs w:val="24"/>
          <w:highlight w:val="none"/>
          <w:lang w:val="en-US" w:eastAsia="zh-CN"/>
        </w:rPr>
        <w:t>.5</w:t>
      </w:r>
      <w:r>
        <w:rPr>
          <w:rFonts w:hint="eastAsia" w:ascii="宋体" w:hAnsi="宋体" w:cs="宋体"/>
          <w:sz w:val="24"/>
          <w:szCs w:val="24"/>
          <w:highlight w:val="none"/>
        </w:rPr>
        <w:t>移交、接收全部与部分工程</w:t>
      </w:r>
      <w:bookmarkEnd w:id="512"/>
    </w:p>
    <w:p w14:paraId="4C18A05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向</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移交工程的期限：</w:t>
      </w:r>
      <w:r>
        <w:rPr>
          <w:rFonts w:hint="eastAsia" w:ascii="宋体" w:hAnsi="宋体" w:cs="宋体"/>
          <w:sz w:val="24"/>
          <w:szCs w:val="24"/>
          <w:highlight w:val="none"/>
          <w:u w:val="single"/>
          <w:lang w:eastAsia="zh-CN"/>
        </w:rPr>
        <w:t>合同当事人应当在颁发工程接收证书后7天内完成工程的移交</w:t>
      </w:r>
      <w:r>
        <w:rPr>
          <w:rFonts w:hint="eastAsia" w:ascii="宋体" w:hAnsi="宋体" w:cs="宋体"/>
          <w:sz w:val="24"/>
          <w:szCs w:val="24"/>
          <w:highlight w:val="none"/>
        </w:rPr>
        <w:t>。</w:t>
      </w:r>
    </w:p>
    <w:p w14:paraId="3E527BB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未按本合同约定接收全部或部分工程的，违约金的计算方法为：</w:t>
      </w:r>
      <w:r>
        <w:rPr>
          <w:rFonts w:hint="eastAsia" w:ascii="宋体" w:hAnsi="宋体" w:cs="宋体"/>
          <w:sz w:val="24"/>
          <w:szCs w:val="24"/>
          <w:highlight w:val="none"/>
          <w:u w:val="single"/>
        </w:rPr>
        <w:t>按通用条款执行</w:t>
      </w:r>
      <w:r>
        <w:rPr>
          <w:rFonts w:hint="eastAsia" w:ascii="宋体" w:hAnsi="宋体" w:cs="宋体"/>
          <w:sz w:val="24"/>
          <w:szCs w:val="24"/>
          <w:highlight w:val="none"/>
        </w:rPr>
        <w:t>。</w:t>
      </w:r>
      <w:bookmarkEnd w:id="513"/>
    </w:p>
    <w:p w14:paraId="1B08BDD6">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承包人</w:t>
      </w:r>
      <w:r>
        <w:rPr>
          <w:rFonts w:hint="eastAsia" w:ascii="宋体" w:hAnsi="宋体" w:cs="宋体"/>
          <w:sz w:val="24"/>
          <w:szCs w:val="24"/>
          <w:highlight w:val="none"/>
        </w:rPr>
        <w:t>未按时移交工程的，违约金的计算方法为：</w:t>
      </w:r>
      <w:r>
        <w:rPr>
          <w:rFonts w:hint="eastAsia" w:ascii="宋体" w:hAnsi="宋体" w:cs="宋体"/>
          <w:sz w:val="24"/>
          <w:szCs w:val="24"/>
          <w:highlight w:val="none"/>
          <w:u w:val="single"/>
        </w:rPr>
        <w:t>如因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原因导致工程无法在合同工期范围内验收的，</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支付500元/天的违约金</w:t>
      </w:r>
      <w:r>
        <w:rPr>
          <w:rFonts w:hint="eastAsia" w:ascii="宋体" w:hAnsi="宋体" w:cs="宋体"/>
          <w:sz w:val="24"/>
          <w:szCs w:val="24"/>
          <w:highlight w:val="none"/>
        </w:rPr>
        <w:t>。</w:t>
      </w:r>
      <w:bookmarkEnd w:id="514"/>
    </w:p>
    <w:p w14:paraId="67BAFF1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13.3 工程试车</w:t>
      </w:r>
    </w:p>
    <w:p w14:paraId="485B0EEC">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13.3.1 试车程序</w:t>
      </w:r>
    </w:p>
    <w:p w14:paraId="4D77928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工程试车内容：</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p>
    <w:p w14:paraId="0CF3582C">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（1）单机无负荷试车费用由</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承担；</w:t>
      </w:r>
    </w:p>
    <w:p w14:paraId="427FC3C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（2）无负荷联动试车费用由</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承担。</w:t>
      </w:r>
    </w:p>
    <w:p w14:paraId="052C3EB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13.3.3 投料试车</w:t>
      </w:r>
    </w:p>
    <w:p w14:paraId="2EDAFAD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关于投料试车相关事项的约定：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34EDD9E">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w:t>
      </w:r>
      <w:r>
        <w:rPr>
          <w:rFonts w:hint="eastAsia" w:ascii="宋体" w:hAnsi="宋体" w:cs="宋体"/>
          <w:sz w:val="24"/>
          <w:szCs w:val="24"/>
          <w:highlight w:val="none"/>
          <w:lang w:val="en-US" w:eastAsia="zh-CN"/>
        </w:rPr>
        <w:t>6</w:t>
      </w:r>
      <w:r>
        <w:rPr>
          <w:rFonts w:hint="eastAsia" w:ascii="宋体" w:hAnsi="宋体" w:cs="宋体"/>
          <w:sz w:val="24"/>
          <w:szCs w:val="24"/>
          <w:highlight w:val="none"/>
        </w:rPr>
        <w:t>竣工退场</w:t>
      </w:r>
    </w:p>
    <w:p w14:paraId="18074DC1">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w:t>
      </w:r>
      <w:r>
        <w:rPr>
          <w:rFonts w:hint="eastAsia" w:ascii="宋体" w:hAnsi="宋体" w:cs="宋体"/>
          <w:kern w:val="0"/>
          <w:sz w:val="24"/>
          <w:szCs w:val="24"/>
          <w:highlight w:val="none"/>
          <w:lang w:val="en-US" w:eastAsia="zh-CN"/>
        </w:rPr>
        <w:t>6.1</w:t>
      </w:r>
      <w:r>
        <w:rPr>
          <w:rFonts w:hint="eastAsia" w:ascii="宋体" w:hAnsi="宋体" w:cs="宋体"/>
          <w:kern w:val="0"/>
          <w:sz w:val="24"/>
          <w:szCs w:val="24"/>
          <w:highlight w:val="none"/>
        </w:rPr>
        <w:t>竣工退场</w:t>
      </w:r>
    </w:p>
    <w:p w14:paraId="3E7E593A">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完成竣工退场的期限：</w:t>
      </w:r>
      <w:r>
        <w:rPr>
          <w:rFonts w:hint="eastAsia" w:ascii="宋体" w:hAnsi="宋体" w:cs="宋体"/>
          <w:sz w:val="24"/>
          <w:szCs w:val="24"/>
          <w:highlight w:val="none"/>
          <w:u w:val="single"/>
        </w:rPr>
        <w:t>竣工时间以</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组织的竣工验收合格日期为准。经</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组织验收合格的工程，则自验收结束之日起</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0天内</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将工程移交给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，撤出全部临建、施工人员、施工机械和剩余材料，并将承包范围内的所有工程清理干净，如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不能及时拆除或清理，对于占用的范围</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将收取100元/平方</w:t>
      </w:r>
      <w:r>
        <w:rPr>
          <w:rFonts w:hint="eastAsia" w:ascii="微软雅黑" w:hAnsi="微软雅黑" w:eastAsia="微软雅黑" w:cs="微软雅黑"/>
          <w:sz w:val="24"/>
          <w:szCs w:val="24"/>
          <w:highlight w:val="none"/>
          <w:u w:val="single"/>
        </w:rPr>
        <w:t>·</w:t>
      </w:r>
      <w:r>
        <w:rPr>
          <w:rFonts w:hint="eastAsia" w:ascii="宋体" w:hAnsi="宋体" w:cs="宋体"/>
          <w:sz w:val="24"/>
          <w:szCs w:val="24"/>
          <w:highlight w:val="none"/>
          <w:u w:val="single"/>
        </w:rPr>
        <w:t>每天的租金，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有权派人强行拆除并清理，造成的费用和损失由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kern w:val="0"/>
          <w:sz w:val="24"/>
          <w:szCs w:val="24"/>
          <w:highlight w:val="none"/>
        </w:rPr>
        <w:t>。</w:t>
      </w:r>
      <w:bookmarkStart w:id="516" w:name="_Toc351203646"/>
    </w:p>
    <w:p w14:paraId="7EC4E8AB">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14.竣工结算</w:t>
      </w:r>
      <w:bookmarkEnd w:id="516"/>
    </w:p>
    <w:p w14:paraId="64FAF59A">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w:t>14.1</w:t>
      </w:r>
      <w:r>
        <w:rPr>
          <w:rFonts w:hint="eastAsia" w:ascii="宋体" w:hAnsi="宋体" w:cs="宋体"/>
          <w:kern w:val="0"/>
          <w:sz w:val="24"/>
          <w:szCs w:val="24"/>
          <w:highlight w:val="none"/>
        </w:rPr>
        <w:t>竣工结算申请</w:t>
      </w:r>
    </w:p>
    <w:p w14:paraId="6DCD90A4">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承包人提交竣工结算申请单的期限：</w:t>
      </w:r>
      <w:r>
        <w:rPr>
          <w:rFonts w:hint="eastAsia" w:ascii="宋体" w:hAnsi="宋体" w:cs="宋体"/>
          <w:kern w:val="0"/>
          <w:sz w:val="24"/>
          <w:szCs w:val="24"/>
          <w:highlight w:val="none"/>
          <w:u w:val="single"/>
        </w:rPr>
        <w:t>竣工验收合格后28天内</w:t>
      </w:r>
      <w:r>
        <w:rPr>
          <w:rFonts w:hint="eastAsia" w:ascii="宋体" w:hAnsi="宋体" w:cs="宋体"/>
          <w:kern w:val="0"/>
          <w:sz w:val="24"/>
          <w:szCs w:val="24"/>
          <w:highlight w:val="none"/>
        </w:rPr>
        <w:t>。</w:t>
      </w:r>
    </w:p>
    <w:p w14:paraId="290C861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lang w:eastAsia="zh-CN"/>
        </w:rPr>
      </w:pPr>
      <w:r>
        <w:rPr>
          <w:rFonts w:hint="eastAsia" w:ascii="宋体" w:hAnsi="宋体" w:cs="宋体"/>
          <w:kern w:val="0"/>
          <w:sz w:val="24"/>
          <w:szCs w:val="24"/>
          <w:highlight w:val="none"/>
        </w:rPr>
        <w:t>竣工付款申请单应包括的内容：</w:t>
      </w:r>
      <w:r>
        <w:rPr>
          <w:rFonts w:hint="eastAsia" w:ascii="宋体" w:hAnsi="宋体" w:cs="宋体"/>
          <w:sz w:val="24"/>
          <w:szCs w:val="24"/>
          <w:highlight w:val="none"/>
          <w:u w:val="single"/>
        </w:rPr>
        <w:t>提供资料包括：竣工验收报告；施工合同；投标报价书；工程变更通知单、签证等；工程结算书；结算书电子文挡工程量计算书、工程量计算书，完整的竣工图</w:t>
      </w:r>
      <w:r>
        <w:rPr>
          <w:rFonts w:hint="eastAsia" w:ascii="宋体" w:hAnsi="宋体" w:cs="宋体"/>
          <w:sz w:val="24"/>
          <w:szCs w:val="24"/>
          <w:highlight w:val="none"/>
          <w:u w:val="none"/>
          <w:lang w:eastAsia="zh-CN"/>
        </w:rPr>
        <w:t>。</w:t>
      </w:r>
    </w:p>
    <w:p w14:paraId="346AA5BE">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none"/>
          <w:lang w:eastAsia="zh-CN"/>
        </w:rPr>
      </w:pPr>
      <w:r>
        <w:rPr>
          <w:rFonts w:hint="eastAsia" w:ascii="宋体" w:hAnsi="宋体" w:cs="宋体"/>
          <w:sz w:val="24"/>
          <w:szCs w:val="24"/>
          <w:highlight w:val="none"/>
          <w:u w:val="none"/>
          <w:lang w:eastAsia="zh-CN"/>
        </w:rPr>
        <w:t>14.2 竣工结算审核</w:t>
      </w:r>
    </w:p>
    <w:p w14:paraId="28EA0A3B">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lang w:eastAsia="zh-CN"/>
        </w:rPr>
      </w:pPr>
      <w:r>
        <w:rPr>
          <w:rFonts w:hint="eastAsia" w:ascii="宋体" w:hAnsi="宋体" w:cs="宋体"/>
          <w:sz w:val="24"/>
          <w:szCs w:val="24"/>
          <w:highlight w:val="none"/>
          <w:u w:val="none"/>
          <w:lang w:eastAsia="zh-CN"/>
        </w:rPr>
        <w:t>发包人审批竣工付款申请单的期限：</w:t>
      </w:r>
      <w:r>
        <w:rPr>
          <w:rFonts w:hint="eastAsia" w:ascii="宋体" w:hAnsi="宋体" w:cs="宋体"/>
          <w:sz w:val="24"/>
          <w:szCs w:val="24"/>
          <w:highlight w:val="none"/>
          <w:u w:val="single"/>
          <w:lang w:eastAsia="zh-CN"/>
        </w:rPr>
        <w:t xml:space="preserve">  监理人应在收到竣工结算申请单后14天内完成核查并报送发包人  </w:t>
      </w:r>
      <w:r>
        <w:rPr>
          <w:rFonts w:hint="eastAsia" w:ascii="宋体" w:hAnsi="宋体" w:cs="宋体"/>
          <w:sz w:val="24"/>
          <w:szCs w:val="24"/>
          <w:highlight w:val="none"/>
          <w:u w:val="none"/>
          <w:lang w:eastAsia="zh-CN"/>
        </w:rPr>
        <w:t>。</w:t>
      </w:r>
    </w:p>
    <w:p w14:paraId="1080AB0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none"/>
          <w:lang w:eastAsia="zh-CN"/>
        </w:rPr>
      </w:pPr>
      <w:r>
        <w:rPr>
          <w:rFonts w:hint="eastAsia" w:ascii="宋体" w:hAnsi="宋体" w:cs="宋体"/>
          <w:sz w:val="24"/>
          <w:szCs w:val="24"/>
          <w:highlight w:val="none"/>
          <w:u w:val="none"/>
          <w:lang w:eastAsia="zh-CN"/>
        </w:rPr>
        <w:t>发包人完成竣工付款的期限：</w:t>
      </w:r>
      <w:r>
        <w:rPr>
          <w:rFonts w:hint="eastAsia" w:ascii="宋体" w:hAnsi="宋体" w:cs="宋体"/>
          <w:sz w:val="24"/>
          <w:szCs w:val="24"/>
          <w:highlight w:val="none"/>
          <w:u w:val="single"/>
          <w:lang w:eastAsia="zh-CN"/>
        </w:rPr>
        <w:t xml:space="preserve">  发包人应在收到监理人提交的经审核的竣工结算申请单后14天内完成审批，并由监理人向承包人签发经发包人签认的竣工付款证书  </w:t>
      </w:r>
      <w:r>
        <w:rPr>
          <w:rFonts w:hint="eastAsia" w:ascii="宋体" w:hAnsi="宋体" w:cs="宋体"/>
          <w:sz w:val="24"/>
          <w:szCs w:val="24"/>
          <w:highlight w:val="none"/>
          <w:u w:val="none"/>
          <w:lang w:eastAsia="zh-CN"/>
        </w:rPr>
        <w:t>。</w:t>
      </w:r>
    </w:p>
    <w:p w14:paraId="190C143B">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lang w:eastAsia="zh-CN"/>
        </w:rPr>
      </w:pPr>
      <w:r>
        <w:rPr>
          <w:rFonts w:hint="eastAsia" w:ascii="宋体" w:hAnsi="宋体" w:cs="宋体"/>
          <w:sz w:val="24"/>
          <w:szCs w:val="24"/>
          <w:highlight w:val="none"/>
          <w:u w:val="none"/>
          <w:lang w:eastAsia="zh-CN"/>
        </w:rPr>
        <w:t>关于竣工付款证书异议部分复核的方式和程序：</w:t>
      </w:r>
      <w:r>
        <w:rPr>
          <w:rFonts w:hint="eastAsia" w:ascii="宋体" w:hAnsi="宋体" w:cs="宋体"/>
          <w:sz w:val="24"/>
          <w:szCs w:val="24"/>
          <w:highlight w:val="none"/>
          <w:u w:val="single"/>
          <w:lang w:eastAsia="zh-CN"/>
        </w:rPr>
        <w:t>监理人或发包人对竣工结算申请单有异议的，有权要求承包人进行修正和提供补充资料，承包人应提交修正后的竣工结算申请单。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E1FD043">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u w:val="single"/>
          <w:lang w:eastAsia="zh-CN"/>
        </w:rPr>
      </w:pPr>
      <w:r>
        <w:rPr>
          <w:rFonts w:hint="eastAsia" w:ascii="宋体" w:hAnsi="宋体" w:cs="宋体"/>
          <w:sz w:val="24"/>
          <w:szCs w:val="24"/>
          <w:highlight w:val="none"/>
          <w:u w:val="single"/>
          <w:lang w:eastAsia="zh-CN"/>
        </w:rPr>
        <w:t>由监理方负责复核</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lang w:eastAsia="zh-CN"/>
        </w:rPr>
        <w:t>竣工结算报告的确认方式：发包人、承包人双方签字盖章；工程决算时，承包单位应如实进行工程决算，承包人提交的结算值与最终审计值差额超过最终审计值5%，超出部分的审计费由承包人支付，并在工程款中扣除。签证的时间为在发生事件结束时间后14个工作日内必须书面签证，如过期视为施工方放弃</w:t>
      </w:r>
      <w:r>
        <w:rPr>
          <w:rFonts w:hint="eastAsia" w:ascii="宋体" w:hAnsi="宋体" w:cs="宋体"/>
          <w:sz w:val="24"/>
          <w:szCs w:val="24"/>
          <w:highlight w:val="none"/>
          <w:u w:val="none"/>
          <w:lang w:eastAsia="zh-CN"/>
        </w:rPr>
        <w:t>。</w:t>
      </w:r>
    </w:p>
    <w:bookmarkEnd w:id="503"/>
    <w:bookmarkEnd w:id="504"/>
    <w:bookmarkEnd w:id="505"/>
    <w:bookmarkEnd w:id="506"/>
    <w:bookmarkEnd w:id="507"/>
    <w:bookmarkEnd w:id="508"/>
    <w:bookmarkEnd w:id="509"/>
    <w:bookmarkEnd w:id="515"/>
    <w:p w14:paraId="4FE3CB1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bookmarkStart w:id="517" w:name="_Toc351203647"/>
      <w:bookmarkStart w:id="518" w:name="_Toc267251483"/>
      <w:bookmarkStart w:id="519" w:name="_Toc267251482"/>
      <w:bookmarkStart w:id="520" w:name="_Toc267251484"/>
      <w:bookmarkStart w:id="521" w:name="_Toc267251485"/>
      <w:bookmarkStart w:id="522" w:name="_Toc267251488"/>
      <w:bookmarkStart w:id="523" w:name="_Toc267251490"/>
      <w:bookmarkStart w:id="524" w:name="_Toc267251489"/>
      <w:bookmarkStart w:id="525" w:name="_Toc267251486"/>
      <w:bookmarkStart w:id="526" w:name="_Toc267251493"/>
      <w:bookmarkStart w:id="527" w:name="_Toc267251498"/>
      <w:bookmarkStart w:id="528" w:name="_Toc267251497"/>
      <w:bookmarkStart w:id="529" w:name="_Toc267251504"/>
      <w:bookmarkStart w:id="530" w:name="_Toc267251503"/>
      <w:bookmarkStart w:id="531" w:name="_Toc267251501"/>
      <w:bookmarkStart w:id="532" w:name="_Toc267251496"/>
      <w:bookmarkStart w:id="533" w:name="_Toc267251494"/>
      <w:bookmarkStart w:id="534" w:name="_Toc267251495"/>
      <w:bookmarkStart w:id="535" w:name="_Toc267251506"/>
      <w:bookmarkStart w:id="536" w:name="_Toc267251499"/>
      <w:bookmarkStart w:id="537" w:name="_Toc267251502"/>
      <w:bookmarkStart w:id="538" w:name="_Toc267251491"/>
      <w:bookmarkStart w:id="539" w:name="_Toc267251492"/>
      <w:bookmarkStart w:id="540" w:name="_Toc267251507"/>
      <w:bookmarkStart w:id="541" w:name="_Toc267251508"/>
      <w:bookmarkStart w:id="542" w:name="_Toc267251514"/>
      <w:bookmarkStart w:id="543" w:name="_Toc267251511"/>
      <w:bookmarkStart w:id="544" w:name="_Toc267251510"/>
      <w:bookmarkStart w:id="545" w:name="_Toc267251513"/>
      <w:bookmarkStart w:id="546" w:name="_Toc267251515"/>
      <w:bookmarkStart w:id="547" w:name="_Toc267251509"/>
      <w:r>
        <w:rPr>
          <w:rFonts w:hint="eastAsia" w:ascii="宋体" w:hAnsi="宋体" w:cs="宋体"/>
          <w:sz w:val="24"/>
          <w:szCs w:val="24"/>
          <w:highlight w:val="none"/>
        </w:rPr>
        <w:t>14.</w:t>
      </w:r>
      <w:r>
        <w:rPr>
          <w:rFonts w:hint="eastAsia" w:ascii="宋体" w:hAnsi="宋体" w:cs="宋体"/>
          <w:sz w:val="24"/>
          <w:szCs w:val="24"/>
          <w:highlight w:val="none"/>
          <w:lang w:val="en-US" w:eastAsia="zh-CN"/>
        </w:rPr>
        <w:t>4</w:t>
      </w:r>
      <w:r>
        <w:rPr>
          <w:rFonts w:hint="eastAsia" w:ascii="宋体" w:hAnsi="宋体" w:cs="宋体"/>
          <w:sz w:val="24"/>
          <w:szCs w:val="24"/>
          <w:highlight w:val="none"/>
        </w:rPr>
        <w:t>最终结清</w:t>
      </w:r>
    </w:p>
    <w:p w14:paraId="4EAC3D9D">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14.</w:t>
      </w:r>
      <w:r>
        <w:rPr>
          <w:rFonts w:hint="eastAsia" w:ascii="宋体" w:hAnsi="宋体" w:cs="宋体"/>
          <w:sz w:val="24"/>
          <w:szCs w:val="24"/>
          <w:highlight w:val="none"/>
          <w:lang w:val="en-US" w:eastAsia="zh-CN"/>
        </w:rPr>
        <w:t>4</w:t>
      </w:r>
      <w:r>
        <w:rPr>
          <w:rFonts w:hint="eastAsia" w:ascii="宋体" w:hAnsi="宋体" w:cs="宋体"/>
          <w:sz w:val="24"/>
          <w:szCs w:val="24"/>
          <w:highlight w:val="none"/>
        </w:rPr>
        <w:t>.1 最终结清申请单</w:t>
      </w:r>
    </w:p>
    <w:p w14:paraId="3D6935E2">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承包人提交最终结清申请单的份数：</w:t>
      </w:r>
      <w:r>
        <w:rPr>
          <w:rFonts w:hint="eastAsia" w:ascii="宋体" w:hAnsi="宋体" w:cs="宋体"/>
          <w:sz w:val="24"/>
          <w:szCs w:val="24"/>
          <w:highlight w:val="none"/>
          <w:u w:val="single"/>
          <w:lang w:val="en-US" w:eastAsia="zh-CN"/>
        </w:rPr>
        <w:t>贰</w:t>
      </w:r>
      <w:r>
        <w:rPr>
          <w:rFonts w:hint="eastAsia" w:ascii="宋体" w:hAnsi="宋体" w:cs="宋体"/>
          <w:sz w:val="24"/>
          <w:szCs w:val="24"/>
          <w:highlight w:val="none"/>
          <w:u w:val="single"/>
        </w:rPr>
        <w:t>份</w:t>
      </w:r>
      <w:r>
        <w:rPr>
          <w:rFonts w:hint="eastAsia" w:ascii="宋体" w:hAnsi="宋体" w:cs="宋体"/>
          <w:sz w:val="24"/>
          <w:szCs w:val="24"/>
          <w:highlight w:val="none"/>
        </w:rPr>
        <w:t>。</w:t>
      </w:r>
    </w:p>
    <w:p w14:paraId="10CCD76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承包人提交最终结算申请单的期限：</w:t>
      </w:r>
      <w:r>
        <w:rPr>
          <w:rFonts w:hint="eastAsia" w:ascii="宋体" w:hAnsi="宋体" w:cs="宋体"/>
          <w:sz w:val="24"/>
          <w:szCs w:val="24"/>
          <w:highlight w:val="none"/>
          <w:u w:val="single"/>
        </w:rPr>
        <w:t>缺陷责任期终止证书颁发后7天内</w:t>
      </w:r>
      <w:r>
        <w:rPr>
          <w:rFonts w:hint="eastAsia" w:ascii="宋体" w:hAnsi="宋体" w:cs="宋体"/>
          <w:sz w:val="24"/>
          <w:szCs w:val="24"/>
          <w:highlight w:val="none"/>
        </w:rPr>
        <w:t>。</w:t>
      </w:r>
    </w:p>
    <w:p w14:paraId="0A36AB44">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14.</w:t>
      </w:r>
      <w:r>
        <w:rPr>
          <w:rFonts w:hint="eastAsia" w:ascii="宋体" w:hAnsi="宋体" w:cs="宋体"/>
          <w:sz w:val="24"/>
          <w:szCs w:val="24"/>
          <w:highlight w:val="none"/>
          <w:lang w:val="en-US" w:eastAsia="zh-CN"/>
        </w:rPr>
        <w:t>4</w:t>
      </w:r>
      <w:r>
        <w:rPr>
          <w:rFonts w:hint="eastAsia" w:ascii="宋体" w:hAnsi="宋体" w:cs="宋体"/>
          <w:sz w:val="24"/>
          <w:szCs w:val="24"/>
          <w:highlight w:val="none"/>
        </w:rPr>
        <w:t>.2 最终结清证书和支付</w:t>
      </w:r>
    </w:p>
    <w:p w14:paraId="7C0D28B6">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（1）发包人完成最终结清申请单的审批并颁发最终结清证书的期限：</w:t>
      </w:r>
      <w:r>
        <w:rPr>
          <w:rFonts w:hint="eastAsia" w:ascii="宋体" w:hAnsi="宋体" w:cs="宋体"/>
          <w:sz w:val="24"/>
          <w:szCs w:val="24"/>
          <w:highlight w:val="none"/>
          <w:u w:val="single"/>
        </w:rPr>
        <w:t>执行通用条款</w:t>
      </w:r>
      <w:r>
        <w:rPr>
          <w:rFonts w:hint="eastAsia" w:ascii="宋体" w:hAnsi="宋体" w:cs="宋体"/>
          <w:sz w:val="24"/>
          <w:szCs w:val="24"/>
          <w:highlight w:val="none"/>
        </w:rPr>
        <w:t>。</w:t>
      </w:r>
    </w:p>
    <w:p w14:paraId="73B07422">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（2）发包人完成支付的期限：</w:t>
      </w:r>
      <w:r>
        <w:rPr>
          <w:rFonts w:hint="eastAsia" w:ascii="宋体" w:hAnsi="宋体" w:cs="宋体"/>
          <w:sz w:val="24"/>
          <w:szCs w:val="24"/>
          <w:highlight w:val="none"/>
          <w:u w:val="single"/>
        </w:rPr>
        <w:t>按进度款支付约定</w:t>
      </w:r>
      <w:r>
        <w:rPr>
          <w:rFonts w:hint="eastAsia" w:ascii="宋体" w:hAnsi="宋体" w:cs="宋体"/>
          <w:sz w:val="24"/>
          <w:szCs w:val="24"/>
          <w:highlight w:val="none"/>
        </w:rPr>
        <w:t>。</w:t>
      </w:r>
      <w:bookmarkEnd w:id="517"/>
    </w:p>
    <w:p w14:paraId="1B98C4D9">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15.缺陷责任期与保修</w:t>
      </w:r>
    </w:p>
    <w:p w14:paraId="337B7C8B">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2</w:t>
      </w:r>
      <w:r>
        <w:rPr>
          <w:rFonts w:hint="eastAsia" w:ascii="宋体" w:hAnsi="宋体" w:cs="宋体"/>
          <w:sz w:val="24"/>
          <w:szCs w:val="24"/>
          <w:highlight w:val="none"/>
        </w:rPr>
        <w:t>缺陷责任期</w:t>
      </w:r>
      <w:bookmarkEnd w:id="518"/>
    </w:p>
    <w:p w14:paraId="2409282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缺陷责任期的具体期限：</w:t>
      </w:r>
      <w:r>
        <w:rPr>
          <w:rFonts w:hint="eastAsia" w:ascii="宋体" w:hAnsi="宋体" w:cs="宋体"/>
          <w:sz w:val="24"/>
          <w:szCs w:val="24"/>
          <w:highlight w:val="none"/>
          <w:u w:val="single"/>
        </w:rPr>
        <w:t>自工程竣工验收合格之日起</w:t>
      </w:r>
      <w:r>
        <w:rPr>
          <w:rFonts w:hint="eastAsia" w:ascii="宋体" w:hAnsi="宋体" w:cs="宋体"/>
          <w:sz w:val="24"/>
          <w:szCs w:val="24"/>
          <w:highlight w:val="none"/>
          <w:u w:val="single"/>
          <w:lang w:val="en-US" w:eastAsia="zh-CN"/>
        </w:rPr>
        <w:t xml:space="preserve">2年 </w:t>
      </w:r>
      <w:r>
        <w:rPr>
          <w:rFonts w:hint="eastAsia" w:ascii="宋体" w:hAnsi="宋体" w:cs="宋体"/>
          <w:sz w:val="24"/>
          <w:szCs w:val="24"/>
          <w:highlight w:val="none"/>
        </w:rPr>
        <w:t>。</w:t>
      </w:r>
    </w:p>
    <w:p w14:paraId="7771514A">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3</w:t>
      </w:r>
      <w:r>
        <w:rPr>
          <w:rFonts w:hint="eastAsia" w:ascii="宋体" w:hAnsi="宋体" w:cs="宋体"/>
          <w:sz w:val="24"/>
          <w:szCs w:val="24"/>
          <w:highlight w:val="none"/>
        </w:rPr>
        <w:t>质量保证金</w:t>
      </w:r>
    </w:p>
    <w:p w14:paraId="19E4955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关于是否扣留质量保证金的约定：</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是</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6A320D3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在工程项目竣工前，承包人按专用合同条款第3.7条提供履约担保的，发包人不得同时预留工程质量保证金。</w:t>
      </w:r>
    </w:p>
    <w:p w14:paraId="73DBD5F1">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3.1</w:t>
      </w:r>
      <w:r>
        <w:rPr>
          <w:rFonts w:hint="eastAsia" w:ascii="宋体" w:hAnsi="宋体" w:cs="宋体"/>
          <w:sz w:val="24"/>
          <w:szCs w:val="24"/>
          <w:highlight w:val="none"/>
          <w:lang w:eastAsia="zh-CN"/>
        </w:rPr>
        <w:t>承包人</w:t>
      </w:r>
      <w:r>
        <w:rPr>
          <w:rFonts w:hint="eastAsia" w:ascii="宋体" w:hAnsi="宋体" w:cs="宋体"/>
          <w:sz w:val="24"/>
          <w:szCs w:val="24"/>
          <w:highlight w:val="none"/>
        </w:rPr>
        <w:t>提供质量保证金的方式</w:t>
      </w:r>
    </w:p>
    <w:p w14:paraId="2E8435A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质量保证金采用以下第</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w:t>
      </w:r>
      <w:r>
        <w:rPr>
          <w:rFonts w:hint="eastAsia" w:ascii="宋体" w:hAnsi="宋体" w:cs="宋体"/>
          <w:sz w:val="24"/>
          <w:szCs w:val="24"/>
          <w:highlight w:val="none"/>
        </w:rPr>
        <w:t>种方式：</w:t>
      </w:r>
    </w:p>
    <w:p w14:paraId="3827F73D">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（1）质量保证金保函，保证金额为：</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w:t>
      </w:r>
      <w:r>
        <w:rPr>
          <w:rFonts w:hint="eastAsia" w:ascii="宋体" w:hAnsi="宋体" w:cs="宋体"/>
          <w:kern w:val="0"/>
          <w:sz w:val="24"/>
          <w:szCs w:val="24"/>
          <w:highlight w:val="none"/>
        </w:rPr>
        <w:t>；</w:t>
      </w:r>
    </w:p>
    <w:p w14:paraId="7BD22327">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w:t>
      </w:r>
      <w:r>
        <w:rPr>
          <w:rFonts w:hint="eastAsia" w:ascii="宋体" w:hAnsi="宋体" w:cs="宋体"/>
          <w:kern w:val="0"/>
          <w:sz w:val="24"/>
          <w:szCs w:val="24"/>
          <w:highlight w:val="none"/>
        </w:rPr>
        <w:t>%的工程款；</w:t>
      </w:r>
    </w:p>
    <w:p w14:paraId="4D6524C0">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（3）其他方式: </w:t>
      </w:r>
      <w:r>
        <w:rPr>
          <w:rFonts w:hint="eastAsia" w:ascii="宋体" w:hAnsi="宋体" w:cs="宋体"/>
          <w:kern w:val="0"/>
          <w:sz w:val="24"/>
          <w:szCs w:val="24"/>
          <w:highlight w:val="none"/>
          <w:u w:val="single"/>
          <w:lang w:val="en-US" w:eastAsia="zh-CN"/>
        </w:rPr>
        <w:t>合同签订后缴纳</w:t>
      </w:r>
      <w:r>
        <w:rPr>
          <w:rFonts w:hint="eastAsia" w:ascii="宋体" w:hAnsi="宋体" w:cs="宋体"/>
          <w:kern w:val="0"/>
          <w:sz w:val="24"/>
          <w:szCs w:val="24"/>
          <w:highlight w:val="none"/>
          <w:u w:val="single"/>
        </w:rPr>
        <w:t>履约保证金</w:t>
      </w:r>
      <w:r>
        <w:rPr>
          <w:rFonts w:hint="eastAsia" w:ascii="宋体" w:hAnsi="宋体" w:cs="宋体"/>
          <w:kern w:val="0"/>
          <w:sz w:val="24"/>
          <w:szCs w:val="24"/>
          <w:highlight w:val="none"/>
          <w:u w:val="single"/>
          <w:lang w:eastAsia="zh-CN"/>
        </w:rPr>
        <w:t>，</w:t>
      </w:r>
      <w:r>
        <w:rPr>
          <w:rFonts w:hint="eastAsia" w:ascii="宋体" w:hAnsi="宋体" w:cs="宋体"/>
          <w:kern w:val="0"/>
          <w:sz w:val="24"/>
          <w:szCs w:val="24"/>
          <w:highlight w:val="none"/>
          <w:u w:val="single"/>
        </w:rPr>
        <w:t>工程竣工验收合格报告签署之日起自动转为质量保证金；</w:t>
      </w:r>
    </w:p>
    <w:p w14:paraId="1D6EED26">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.3.2</w:t>
      </w:r>
      <w:r>
        <w:rPr>
          <w:rFonts w:hint="eastAsia" w:ascii="宋体" w:hAnsi="宋体" w:cs="宋体"/>
          <w:sz w:val="24"/>
          <w:szCs w:val="24"/>
          <w:highlight w:val="none"/>
        </w:rPr>
        <w:t>质量保证金的扣留</w:t>
      </w:r>
    </w:p>
    <w:p w14:paraId="02135E9B">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质量保证金的扣留采取以下第</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w:t>
      </w:r>
      <w:r>
        <w:rPr>
          <w:rFonts w:hint="eastAsia" w:ascii="宋体" w:hAnsi="宋体" w:cs="宋体"/>
          <w:sz w:val="24"/>
          <w:szCs w:val="24"/>
          <w:highlight w:val="none"/>
        </w:rPr>
        <w:t>种方式：</w:t>
      </w:r>
    </w:p>
    <w:p w14:paraId="0539C0DD">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（1）在支付工程进度款时逐次扣留，在此情形下，质量保证金的计算基数不包括预付款的支付、扣回以及价格调整的金额；</w:t>
      </w:r>
    </w:p>
    <w:p w14:paraId="0E586808">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（2）工程竣工结算时一次性扣留质量保证金；</w:t>
      </w:r>
      <w:bookmarkEnd w:id="519"/>
      <w:bookmarkEnd w:id="520"/>
    </w:p>
    <w:p w14:paraId="2A57338A">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（3）其他扣留方式:</w:t>
      </w:r>
      <w:r>
        <w:rPr>
          <w:rFonts w:hint="eastAsia" w:ascii="宋体" w:hAnsi="宋体" w:cs="宋体"/>
          <w:kern w:val="0"/>
          <w:sz w:val="24"/>
          <w:szCs w:val="24"/>
          <w:highlight w:val="none"/>
          <w:u w:val="single"/>
        </w:rPr>
        <w:t xml:space="preserve">  工程竣工验收合格报告签署之日起履约保证金自动转为质量保证金；</w:t>
      </w:r>
      <w:r>
        <w:rPr>
          <w:rFonts w:hint="eastAsia" w:ascii="宋体" w:hAnsi="宋体" w:cs="宋体"/>
          <w:kern w:val="0"/>
          <w:sz w:val="24"/>
          <w:szCs w:val="24"/>
          <w:highlight w:val="none"/>
          <w:u w:val="single"/>
          <w:lang w:val="en-US" w:eastAsia="zh-CN"/>
        </w:rPr>
        <w:t>质量</w:t>
      </w:r>
      <w:r>
        <w:rPr>
          <w:rFonts w:hint="eastAsia" w:ascii="宋体" w:hAnsi="宋体" w:cs="宋体"/>
          <w:kern w:val="0"/>
          <w:sz w:val="24"/>
          <w:szCs w:val="24"/>
          <w:highlight w:val="none"/>
          <w:u w:val="single"/>
        </w:rPr>
        <w:t>保证金3%</w:t>
      </w:r>
      <w:r>
        <w:rPr>
          <w:rFonts w:hint="eastAsia" w:ascii="宋体" w:hAnsi="宋体" w:cs="宋体"/>
          <w:kern w:val="0"/>
          <w:sz w:val="24"/>
          <w:szCs w:val="24"/>
          <w:highlight w:val="none"/>
        </w:rPr>
        <w:t>。</w:t>
      </w:r>
    </w:p>
    <w:p w14:paraId="1A42CA3C">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关于质量保证金的补充约定：</w:t>
      </w:r>
      <w:r>
        <w:rPr>
          <w:rFonts w:hint="eastAsia" w:ascii="宋体" w:hAnsi="宋体" w:cs="宋体"/>
          <w:kern w:val="0"/>
          <w:sz w:val="24"/>
          <w:szCs w:val="24"/>
          <w:highlight w:val="none"/>
          <w:u w:val="single"/>
          <w:lang w:val="en-US" w:eastAsia="zh-CN"/>
        </w:rPr>
        <w:t xml:space="preserve"> 工程质量保修金在自发包人组织的竣工验收合格报告签署之日起算的质保期满后，且发包人确认工程无质问题量且无任何遗留问题后，</w:t>
      </w:r>
      <w:r>
        <w:rPr>
          <w:rFonts w:hint="eastAsia" w:ascii="宋体" w:hAnsi="宋体" w:cs="宋体"/>
          <w:kern w:val="0"/>
          <w:sz w:val="24"/>
          <w:szCs w:val="24"/>
          <w:highlight w:val="none"/>
          <w:u w:val="single"/>
        </w:rPr>
        <w:t>第一年质保期结束后无息退还质保金的50%，质保期满2年后无息退还全部剩余质保金</w:t>
      </w:r>
      <w:r>
        <w:rPr>
          <w:rFonts w:hint="eastAsia" w:ascii="宋体" w:hAnsi="宋体" w:cs="宋体"/>
          <w:kern w:val="0"/>
          <w:sz w:val="24"/>
          <w:szCs w:val="24"/>
          <w:highlight w:val="none"/>
          <w:u w:val="single"/>
          <w:lang w:val="en-US" w:eastAsia="zh-CN"/>
        </w:rPr>
        <w:t>（不计息，扣除因质量问题引起的维修费用、质量赔偿金及其他违约金等）</w:t>
      </w:r>
      <w:r>
        <w:rPr>
          <w:rFonts w:hint="eastAsia" w:ascii="宋体" w:hAnsi="宋体" w:cs="宋体"/>
          <w:kern w:val="0"/>
          <w:sz w:val="24"/>
          <w:szCs w:val="24"/>
          <w:highlight w:val="none"/>
        </w:rPr>
        <w:t>。</w:t>
      </w:r>
    </w:p>
    <w:p w14:paraId="28466645">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4</w:t>
      </w:r>
      <w:r>
        <w:rPr>
          <w:rFonts w:hint="eastAsia" w:ascii="宋体" w:hAnsi="宋体" w:cs="宋体"/>
          <w:sz w:val="24"/>
          <w:szCs w:val="24"/>
          <w:highlight w:val="none"/>
        </w:rPr>
        <w:t>保修</w:t>
      </w:r>
      <w:bookmarkEnd w:id="521"/>
    </w:p>
    <w:p w14:paraId="1E64EDC3">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4.1</w:t>
      </w:r>
      <w:r>
        <w:rPr>
          <w:rFonts w:hint="eastAsia" w:ascii="宋体" w:hAnsi="宋体" w:cs="宋体"/>
          <w:sz w:val="24"/>
          <w:szCs w:val="24"/>
          <w:highlight w:val="none"/>
        </w:rPr>
        <w:t>保修责任</w:t>
      </w:r>
    </w:p>
    <w:p w14:paraId="28109AEC">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工程保修期为：</w:t>
      </w:r>
      <w:r>
        <w:rPr>
          <w:rFonts w:hint="eastAsia" w:ascii="宋体" w:hAnsi="宋体" w:cs="宋体"/>
          <w:sz w:val="24"/>
          <w:szCs w:val="24"/>
          <w:highlight w:val="none"/>
          <w:u w:val="single"/>
        </w:rPr>
        <w:t>自工程竣工验收合格之日起2年</w:t>
      </w:r>
      <w:r>
        <w:rPr>
          <w:rFonts w:hint="eastAsia" w:ascii="宋体" w:hAnsi="宋体" w:cs="宋体"/>
          <w:sz w:val="24"/>
          <w:szCs w:val="24"/>
          <w:highlight w:val="none"/>
          <w:u w:val="single"/>
          <w:lang w:val="en-US" w:eastAsia="zh-CN"/>
        </w:rPr>
        <w:t xml:space="preserve">  </w:t>
      </w:r>
      <w:r>
        <w:rPr>
          <w:rFonts w:hint="eastAsia" w:ascii="宋体" w:hAnsi="宋体" w:cs="宋体"/>
          <w:kern w:val="0"/>
          <w:sz w:val="24"/>
          <w:szCs w:val="24"/>
          <w:highlight w:val="none"/>
        </w:rPr>
        <w:t>。</w:t>
      </w:r>
    </w:p>
    <w:p w14:paraId="493C9F08">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w:t>
      </w:r>
      <w:r>
        <w:rPr>
          <w:rFonts w:hint="eastAsia" w:ascii="宋体" w:hAnsi="宋体" w:cs="宋体"/>
          <w:sz w:val="24"/>
          <w:szCs w:val="24"/>
          <w:highlight w:val="none"/>
          <w:lang w:val="en-US" w:eastAsia="zh-CN"/>
        </w:rPr>
        <w:t>4.3</w:t>
      </w:r>
      <w:r>
        <w:rPr>
          <w:rFonts w:hint="eastAsia" w:ascii="宋体" w:hAnsi="宋体" w:cs="宋体"/>
          <w:sz w:val="24"/>
          <w:szCs w:val="24"/>
          <w:highlight w:val="none"/>
        </w:rPr>
        <w:t>修复通知</w:t>
      </w:r>
    </w:p>
    <w:p w14:paraId="22EA0F82">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收到保修通知并到达工程现场的合理时间：</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小时内</w:t>
      </w:r>
      <w:r>
        <w:rPr>
          <w:rFonts w:hint="eastAsia" w:ascii="宋体" w:hAnsi="宋体" w:cs="宋体"/>
          <w:kern w:val="0"/>
          <w:sz w:val="24"/>
          <w:szCs w:val="24"/>
          <w:highlight w:val="none"/>
        </w:rPr>
        <w:t>。</w:t>
      </w:r>
      <w:bookmarkEnd w:id="522"/>
      <w:bookmarkEnd w:id="523"/>
      <w:bookmarkEnd w:id="524"/>
      <w:bookmarkEnd w:id="525"/>
      <w:bookmarkStart w:id="548" w:name="_Toc351203648"/>
      <w:bookmarkStart w:id="549" w:name="_Toc280868717"/>
      <w:bookmarkStart w:id="550" w:name="_Toc280868718"/>
    </w:p>
    <w:p w14:paraId="54742EF1">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16.违约</w:t>
      </w:r>
      <w:bookmarkEnd w:id="548"/>
    </w:p>
    <w:p w14:paraId="2F5514AF">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16.1</w:t>
      </w:r>
      <w:r>
        <w:rPr>
          <w:rFonts w:hint="eastAsia" w:ascii="宋体" w:hAnsi="宋体" w:cs="宋体"/>
          <w:sz w:val="24"/>
          <w:szCs w:val="24"/>
          <w:highlight w:val="none"/>
          <w:lang w:eastAsia="zh-CN"/>
        </w:rPr>
        <w:t>发包人</w:t>
      </w:r>
      <w:r>
        <w:rPr>
          <w:rFonts w:hint="eastAsia" w:ascii="宋体" w:hAnsi="宋体" w:cs="宋体"/>
          <w:sz w:val="24"/>
          <w:szCs w:val="24"/>
          <w:highlight w:val="none"/>
        </w:rPr>
        <w:t>违约</w:t>
      </w:r>
    </w:p>
    <w:p w14:paraId="0BD21849">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16.1.1</w:t>
      </w:r>
      <w:r>
        <w:rPr>
          <w:rFonts w:hint="eastAsia" w:ascii="宋体" w:hAnsi="宋体" w:cs="宋体"/>
          <w:sz w:val="24"/>
          <w:szCs w:val="24"/>
          <w:highlight w:val="none"/>
          <w:lang w:eastAsia="zh-CN"/>
        </w:rPr>
        <w:t>发包人</w:t>
      </w:r>
      <w:r>
        <w:rPr>
          <w:rFonts w:hint="eastAsia" w:ascii="宋体" w:hAnsi="宋体" w:cs="宋体"/>
          <w:sz w:val="24"/>
          <w:szCs w:val="24"/>
          <w:highlight w:val="none"/>
        </w:rPr>
        <w:t>违约的情形</w:t>
      </w:r>
    </w:p>
    <w:p w14:paraId="403D9EC5">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违约的其他情形：</w:t>
      </w:r>
      <w:r>
        <w:rPr>
          <w:rFonts w:hint="eastAsia" w:ascii="宋体" w:hAnsi="宋体" w:cs="宋体"/>
          <w:sz w:val="24"/>
          <w:szCs w:val="24"/>
          <w:highlight w:val="none"/>
          <w:u w:val="single"/>
        </w:rPr>
        <w:t>按通用条款执行</w:t>
      </w:r>
      <w:r>
        <w:rPr>
          <w:rFonts w:hint="eastAsia" w:ascii="宋体" w:hAnsi="宋体" w:cs="宋体"/>
          <w:kern w:val="0"/>
          <w:sz w:val="24"/>
          <w:szCs w:val="24"/>
          <w:highlight w:val="none"/>
        </w:rPr>
        <w:t>。</w:t>
      </w:r>
    </w:p>
    <w:p w14:paraId="77017A88">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16.1.2</w:t>
      </w:r>
      <w:r>
        <w:rPr>
          <w:rFonts w:hint="eastAsia" w:ascii="宋体" w:hAnsi="宋体" w:cs="宋体"/>
          <w:sz w:val="24"/>
          <w:szCs w:val="24"/>
          <w:highlight w:val="none"/>
          <w:lang w:eastAsia="zh-CN"/>
        </w:rPr>
        <w:t>发包人</w:t>
      </w:r>
      <w:r>
        <w:rPr>
          <w:rFonts w:hint="eastAsia" w:ascii="宋体" w:hAnsi="宋体" w:cs="宋体"/>
          <w:sz w:val="24"/>
          <w:szCs w:val="24"/>
          <w:highlight w:val="none"/>
        </w:rPr>
        <w:t>违约的责任</w:t>
      </w:r>
    </w:p>
    <w:p w14:paraId="3D0A702C">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违约责任的承担方式和计算方法：</w:t>
      </w:r>
    </w:p>
    <w:p w14:paraId="7BA92D1D">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（1）因发包人原因未能在计划开工日期前7天内下达开工通知的违约责任：</w:t>
      </w:r>
      <w:r>
        <w:rPr>
          <w:rFonts w:hint="eastAsia" w:ascii="宋体" w:hAnsi="宋体" w:cs="宋体"/>
          <w:sz w:val="24"/>
          <w:szCs w:val="24"/>
          <w:highlight w:val="none"/>
          <w:u w:val="single"/>
        </w:rPr>
        <w:t>按通用条款执行</w:t>
      </w:r>
      <w:r>
        <w:rPr>
          <w:rFonts w:hint="eastAsia" w:ascii="宋体" w:hAnsi="宋体" w:cs="宋体"/>
          <w:kern w:val="0"/>
          <w:sz w:val="24"/>
          <w:szCs w:val="24"/>
          <w:highlight w:val="none"/>
        </w:rPr>
        <w:t>。</w:t>
      </w:r>
    </w:p>
    <w:p w14:paraId="55C25968">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（2）因发包人原因未能按合同约定支付合同价款的违约责任：</w:t>
      </w:r>
      <w:r>
        <w:rPr>
          <w:rFonts w:hint="eastAsia" w:ascii="宋体" w:hAnsi="宋体" w:cs="宋体"/>
          <w:kern w:val="0"/>
          <w:sz w:val="24"/>
          <w:szCs w:val="24"/>
          <w:highlight w:val="none"/>
          <w:u w:val="single"/>
        </w:rPr>
        <w:t>按通用条款执行</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     </w:t>
      </w:r>
    </w:p>
    <w:p w14:paraId="5E59512E">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违反第10.1款〔变更的范围〕第（2）项约定，自行实施被取消的工作或转由他人实施的违约责任：</w:t>
      </w:r>
      <w:r>
        <w:rPr>
          <w:rFonts w:hint="eastAsia" w:ascii="宋体" w:hAnsi="宋体" w:cs="宋体"/>
          <w:sz w:val="24"/>
          <w:szCs w:val="24"/>
          <w:highlight w:val="none"/>
          <w:u w:val="single"/>
        </w:rPr>
        <w:t>按通用条款执行</w:t>
      </w:r>
      <w:r>
        <w:rPr>
          <w:rFonts w:hint="eastAsia" w:ascii="宋体" w:hAnsi="宋体" w:cs="宋体"/>
          <w:kern w:val="0"/>
          <w:sz w:val="24"/>
          <w:szCs w:val="24"/>
          <w:highlight w:val="none"/>
        </w:rPr>
        <w:t>。</w:t>
      </w:r>
    </w:p>
    <w:p w14:paraId="29691FFE">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提供的材料、工程设备的规格、数量或质量不符合合同约定，或因</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原因导致交货日期延误或交货地点变更等情况的违约责任：</w:t>
      </w:r>
      <w:r>
        <w:rPr>
          <w:rFonts w:hint="eastAsia" w:ascii="宋体" w:hAnsi="宋体" w:cs="宋体"/>
          <w:sz w:val="24"/>
          <w:szCs w:val="24"/>
          <w:highlight w:val="none"/>
          <w:u w:val="single"/>
          <w:lang w:val="en-US" w:eastAsia="zh-CN"/>
        </w:rPr>
        <w:t xml:space="preserve">     /    </w:t>
      </w:r>
      <w:r>
        <w:rPr>
          <w:rFonts w:hint="eastAsia" w:ascii="宋体" w:hAnsi="宋体" w:cs="宋体"/>
          <w:kern w:val="0"/>
          <w:sz w:val="24"/>
          <w:szCs w:val="24"/>
          <w:highlight w:val="none"/>
        </w:rPr>
        <w:t>。</w:t>
      </w:r>
    </w:p>
    <w:p w14:paraId="0B31A524">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）因</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违反合同约定造成暂停施工的违约责任：</w:t>
      </w:r>
      <w:r>
        <w:rPr>
          <w:rFonts w:hint="eastAsia" w:ascii="宋体" w:hAnsi="宋体" w:cs="宋体"/>
          <w:sz w:val="24"/>
          <w:szCs w:val="24"/>
          <w:highlight w:val="none"/>
          <w:u w:val="single"/>
        </w:rPr>
        <w:t>按通用条款执行</w:t>
      </w:r>
      <w:r>
        <w:rPr>
          <w:rFonts w:hint="eastAsia" w:ascii="宋体" w:hAnsi="宋体" w:cs="宋体"/>
          <w:kern w:val="0"/>
          <w:sz w:val="24"/>
          <w:szCs w:val="24"/>
          <w:highlight w:val="none"/>
        </w:rPr>
        <w:t>。</w:t>
      </w:r>
    </w:p>
    <w:p w14:paraId="795D254E">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无正当理由没有在约定期限内发出复工指示，导致</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无法复工的违约责任：</w:t>
      </w:r>
      <w:r>
        <w:rPr>
          <w:rFonts w:hint="eastAsia" w:ascii="宋体" w:hAnsi="宋体" w:cs="宋体"/>
          <w:sz w:val="24"/>
          <w:szCs w:val="24"/>
          <w:highlight w:val="none"/>
          <w:u w:val="single"/>
        </w:rPr>
        <w:t>按通用条款执行</w:t>
      </w:r>
      <w:r>
        <w:rPr>
          <w:rFonts w:hint="eastAsia" w:ascii="宋体" w:hAnsi="宋体" w:cs="宋体"/>
          <w:kern w:val="0"/>
          <w:sz w:val="24"/>
          <w:szCs w:val="24"/>
          <w:highlight w:val="none"/>
        </w:rPr>
        <w:t>。</w:t>
      </w:r>
    </w:p>
    <w:p w14:paraId="567F3E16">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）其他：</w:t>
      </w:r>
      <w:r>
        <w:rPr>
          <w:rFonts w:hint="eastAsia" w:ascii="宋体" w:hAnsi="宋体" w:cs="宋体"/>
          <w:sz w:val="24"/>
          <w:szCs w:val="24"/>
          <w:highlight w:val="none"/>
          <w:u w:val="single"/>
          <w:lang w:val="en-US" w:eastAsia="zh-CN"/>
        </w:rPr>
        <w:t xml:space="preserve">    /    </w:t>
      </w:r>
      <w:r>
        <w:rPr>
          <w:rFonts w:hint="eastAsia" w:ascii="宋体" w:hAnsi="宋体" w:cs="宋体"/>
          <w:kern w:val="0"/>
          <w:sz w:val="24"/>
          <w:szCs w:val="24"/>
          <w:highlight w:val="none"/>
        </w:rPr>
        <w:t>。</w:t>
      </w:r>
    </w:p>
    <w:p w14:paraId="115E5EB1">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16.1.3因</w:t>
      </w:r>
      <w:r>
        <w:rPr>
          <w:rFonts w:hint="eastAsia" w:ascii="宋体" w:hAnsi="宋体" w:cs="宋体"/>
          <w:sz w:val="24"/>
          <w:szCs w:val="24"/>
          <w:highlight w:val="none"/>
          <w:lang w:eastAsia="zh-CN"/>
        </w:rPr>
        <w:t>发包人</w:t>
      </w:r>
      <w:r>
        <w:rPr>
          <w:rFonts w:hint="eastAsia" w:ascii="宋体" w:hAnsi="宋体" w:cs="宋体"/>
          <w:sz w:val="24"/>
          <w:szCs w:val="24"/>
          <w:highlight w:val="none"/>
        </w:rPr>
        <w:t>违约解除合同</w:t>
      </w:r>
    </w:p>
    <w:p w14:paraId="576455E5">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按16.1.1项〔</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违约的情形〕约定暂停施工满</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28</w:t>
      </w:r>
      <w:r>
        <w:rPr>
          <w:rFonts w:hint="eastAsia" w:ascii="宋体" w:hAnsi="宋体" w:cs="宋体"/>
          <w:sz w:val="24"/>
          <w:szCs w:val="24"/>
          <w:highlight w:val="none"/>
          <w:u w:val="single"/>
        </w:rPr>
        <w:t></w:t>
      </w:r>
      <w:r>
        <w:rPr>
          <w:rFonts w:hint="eastAsia" w:ascii="宋体" w:hAnsi="宋体" w:cs="宋体"/>
          <w:kern w:val="0"/>
          <w:sz w:val="24"/>
          <w:szCs w:val="24"/>
          <w:highlight w:val="none"/>
        </w:rPr>
        <w:t>天后</w:t>
      </w:r>
      <w:r>
        <w:rPr>
          <w:rFonts w:hint="eastAsia" w:ascii="宋体" w:hAnsi="宋体" w:cs="宋体"/>
          <w:kern w:val="0"/>
          <w:sz w:val="24"/>
          <w:szCs w:val="24"/>
          <w:highlight w:val="none"/>
          <w:lang w:eastAsia="zh-CN"/>
        </w:rPr>
        <w:t>发包人</w:t>
      </w:r>
      <w:r>
        <w:rPr>
          <w:rFonts w:hint="eastAsia" w:ascii="宋体" w:hAnsi="宋体" w:cs="宋体"/>
          <w:kern w:val="0"/>
          <w:sz w:val="24"/>
          <w:szCs w:val="24"/>
          <w:highlight w:val="none"/>
        </w:rPr>
        <w:t>仍不纠正其违约行为并致使合同目的不能实现的，</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有权解除合同。</w:t>
      </w:r>
    </w:p>
    <w:p w14:paraId="7F9AAE3B">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16.2</w:t>
      </w:r>
      <w:r>
        <w:rPr>
          <w:rFonts w:hint="eastAsia" w:ascii="宋体" w:hAnsi="宋体" w:cs="宋体"/>
          <w:sz w:val="24"/>
          <w:szCs w:val="24"/>
          <w:highlight w:val="none"/>
          <w:lang w:eastAsia="zh-CN"/>
        </w:rPr>
        <w:t>承包人</w:t>
      </w:r>
      <w:r>
        <w:rPr>
          <w:rFonts w:hint="eastAsia" w:ascii="宋体" w:hAnsi="宋体" w:cs="宋体"/>
          <w:sz w:val="24"/>
          <w:szCs w:val="24"/>
          <w:highlight w:val="none"/>
        </w:rPr>
        <w:t>违约</w:t>
      </w:r>
    </w:p>
    <w:p w14:paraId="1671A4F7">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16.2.1</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违约的情形</w:t>
      </w:r>
    </w:p>
    <w:p w14:paraId="4C781C04">
      <w:pPr>
        <w:wordWrap w:val="0"/>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u w:val="single"/>
          <w:lang w:eastAsia="zh-CN"/>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 xml:space="preserve">违约的其他情形： </w:t>
      </w:r>
      <w:r>
        <w:rPr>
          <w:rFonts w:hint="eastAsia" w:ascii="宋体" w:hAnsi="宋体" w:cs="宋体"/>
          <w:kern w:val="0"/>
          <w:sz w:val="24"/>
          <w:szCs w:val="24"/>
          <w:highlight w:val="none"/>
          <w:u w:val="single"/>
        </w:rPr>
        <w:t>工期延误、质量问题、技术文件未按约定时间提交、承包人擅自停工或单方面终止合同等</w:t>
      </w:r>
      <w:r>
        <w:rPr>
          <w:rFonts w:hint="eastAsia" w:ascii="宋体" w:hAnsi="宋体" w:cs="宋体"/>
          <w:kern w:val="0"/>
          <w:sz w:val="24"/>
          <w:szCs w:val="24"/>
          <w:highlight w:val="none"/>
          <w:u w:val="none"/>
          <w:lang w:eastAsia="zh-CN"/>
        </w:rPr>
        <w:t>。</w:t>
      </w:r>
    </w:p>
    <w:p w14:paraId="5CBFF9E4">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有权根据实际情况对本合同约定的承包范围进行调整，调整幅度由</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自行决定，</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须积极配合并予以执行。否则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有权要求解除合同，并由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承担由此引起的一切损失，负责由此引起的一切法律责任，并赔偿由此引起的</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的一切经济损失</w:t>
      </w:r>
      <w:r>
        <w:rPr>
          <w:rFonts w:hint="eastAsia" w:ascii="宋体" w:hAnsi="宋体" w:cs="宋体"/>
          <w:sz w:val="24"/>
          <w:szCs w:val="24"/>
          <w:highlight w:val="none"/>
          <w:u w:val="none"/>
        </w:rPr>
        <w:t>。</w:t>
      </w:r>
    </w:p>
    <w:p w14:paraId="3B974125">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工程质量应符合国家验收规范，若质量未达到要求，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应进行整改，返工</w:t>
      </w:r>
      <w:r>
        <w:rPr>
          <w:rFonts w:hint="eastAsia" w:ascii="宋体" w:hAnsi="宋体" w:cs="宋体"/>
          <w:sz w:val="24"/>
          <w:szCs w:val="24"/>
          <w:highlight w:val="none"/>
          <w:u w:val="single"/>
          <w:lang w:val="en-US" w:eastAsia="zh-CN"/>
        </w:rPr>
        <w:t>经监理及发包人验收</w:t>
      </w:r>
      <w:r>
        <w:rPr>
          <w:rFonts w:hint="eastAsia" w:ascii="宋体" w:hAnsi="宋体" w:cs="宋体"/>
          <w:sz w:val="24"/>
          <w:szCs w:val="24"/>
          <w:highlight w:val="none"/>
          <w:u w:val="single"/>
        </w:rPr>
        <w:t>合格后，</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有权在</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工程结算款中扣除由此而发给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而造成的经济损失</w:t>
      </w:r>
      <w:r>
        <w:rPr>
          <w:rFonts w:hint="eastAsia" w:ascii="宋体" w:hAnsi="宋体" w:cs="宋体"/>
          <w:sz w:val="24"/>
          <w:szCs w:val="24"/>
          <w:highlight w:val="none"/>
          <w:u w:val="none"/>
        </w:rPr>
        <w:t>。</w:t>
      </w:r>
    </w:p>
    <w:p w14:paraId="3C33CEDE">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因</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原因导致技术文件（包括竣工图纸、签证等）未能按约定时间提交，每迟一天，</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在支付给</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的工程款内扣除500元</w:t>
      </w:r>
      <w:r>
        <w:rPr>
          <w:rFonts w:hint="eastAsia" w:ascii="宋体" w:hAnsi="宋体" w:cs="宋体"/>
          <w:sz w:val="24"/>
          <w:szCs w:val="24"/>
          <w:highlight w:val="none"/>
          <w:u w:val="single"/>
          <w:lang w:val="en-US" w:eastAsia="zh-CN"/>
        </w:rPr>
        <w:t>/天</w:t>
      </w:r>
      <w:r>
        <w:rPr>
          <w:rFonts w:hint="eastAsia" w:ascii="宋体" w:hAnsi="宋体" w:cs="宋体"/>
          <w:sz w:val="24"/>
          <w:szCs w:val="24"/>
          <w:highlight w:val="none"/>
          <w:u w:val="single"/>
        </w:rPr>
        <w:t>的违约金。同时并不解除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继续交付上述技术文件的义务</w:t>
      </w:r>
      <w:r>
        <w:rPr>
          <w:rFonts w:hint="eastAsia" w:ascii="宋体" w:hAnsi="宋体" w:cs="宋体"/>
          <w:sz w:val="24"/>
          <w:szCs w:val="24"/>
          <w:highlight w:val="none"/>
          <w:u w:val="none"/>
        </w:rPr>
        <w:t>。</w:t>
      </w:r>
    </w:p>
    <w:p w14:paraId="05081CB8">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如在质保期内未能严格履约合同内容，</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将相应扣除质量保修金，给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造成损失的，</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将追究其经济责任</w:t>
      </w:r>
      <w:r>
        <w:rPr>
          <w:rFonts w:hint="eastAsia" w:ascii="宋体" w:hAnsi="宋体" w:cs="宋体"/>
          <w:kern w:val="0"/>
          <w:sz w:val="24"/>
          <w:szCs w:val="24"/>
          <w:highlight w:val="none"/>
        </w:rPr>
        <w:t>。</w:t>
      </w:r>
    </w:p>
    <w:p w14:paraId="3A06262B">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16.2.2</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违约的责任</w:t>
      </w:r>
    </w:p>
    <w:p w14:paraId="7A8C50FF">
      <w:pPr>
        <w:wordWrap w:val="0"/>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违约责任的承担方式和计算方法：</w:t>
      </w:r>
    </w:p>
    <w:p w14:paraId="3413733A">
      <w:pPr>
        <w:numPr>
          <w:ilvl w:val="0"/>
          <w:numId w:val="12"/>
        </w:numPr>
        <w:wordWrap w:val="0"/>
        <w:autoSpaceDE w:val="0"/>
        <w:autoSpaceDN w:val="0"/>
        <w:adjustRightInd w:val="0"/>
        <w:snapToGrid w:val="0"/>
        <w:spacing w:line="360" w:lineRule="auto"/>
        <w:ind w:left="-60" w:leftChars="0" w:firstLine="480" w:firstLineChars="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u w:val="single"/>
        </w:rPr>
        <w:t>承包人不能按合同总工期竣工，</w:t>
      </w:r>
      <w:r>
        <w:rPr>
          <w:rFonts w:hint="eastAsia" w:ascii="宋体" w:hAnsi="宋体" w:cs="宋体"/>
          <w:sz w:val="24"/>
          <w:szCs w:val="24"/>
          <w:highlight w:val="none"/>
          <w:u w:val="single"/>
        </w:rPr>
        <w:t>延误工期按总工程款额5‰每天罚款</w:t>
      </w:r>
      <w:r>
        <w:rPr>
          <w:rFonts w:hint="eastAsia" w:ascii="宋体" w:hAnsi="宋体" w:cs="宋体"/>
          <w:sz w:val="24"/>
          <w:szCs w:val="24"/>
          <w:highlight w:val="none"/>
          <w:u w:val="single"/>
          <w:lang w:eastAsia="zh-CN"/>
        </w:rPr>
        <w:t>，</w:t>
      </w:r>
      <w:r>
        <w:rPr>
          <w:rFonts w:hint="eastAsia" w:ascii="宋体" w:hAnsi="宋体" w:cs="宋体"/>
          <w:kern w:val="0"/>
          <w:sz w:val="24"/>
          <w:szCs w:val="24"/>
          <w:highlight w:val="none"/>
          <w:u w:val="single"/>
        </w:rPr>
        <w:t>承包人向发包人支付合同价款违约金；违约金总额累计不超过合同价款的30%，若该违约金不足以弥补发包人损失的，承包人还须继续承担赔偿责任</w:t>
      </w:r>
      <w:r>
        <w:rPr>
          <w:rFonts w:hint="eastAsia" w:ascii="宋体" w:hAnsi="宋体" w:cs="宋体"/>
          <w:kern w:val="0"/>
          <w:sz w:val="24"/>
          <w:szCs w:val="24"/>
          <w:highlight w:val="none"/>
          <w:lang w:eastAsia="zh-CN"/>
        </w:rPr>
        <w:t>。</w:t>
      </w:r>
    </w:p>
    <w:p w14:paraId="4553F177">
      <w:pPr>
        <w:numPr>
          <w:ilvl w:val="0"/>
          <w:numId w:val="0"/>
        </w:num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u w:val="single"/>
        </w:rPr>
        <w:t>本工程具体分项工程完成时间应服从发包人的总体要求，如因承包人原因导致实际进度与发包人要求的进度计划不符，承包人无法按工期完工或质量无法达到合同要求的，发包人有权对部分分项工程指定第三方施工，承包人必须无条件服从和配合；此分项工程费用由发包人按实际发生费用从承包人的工程款中扣除，同时，承包人还须按本合同签约合同价的10%向发包人支付违约金；合同约定的工期届满时，当承包人累计完成工程量不足计划进度的70%时，可认为承包人无能力按期履行合同并构成严重违约，发包人有权单方解除合同，承包人须按签约合同价的30%向发包人支付违约金，若该违约金不足以弥补发包人损失的，承包人还须承担由此给发包人造成的一切损失</w:t>
      </w:r>
      <w:r>
        <w:rPr>
          <w:rFonts w:hint="eastAsia" w:ascii="宋体" w:hAnsi="宋体" w:cs="宋体"/>
          <w:kern w:val="0"/>
          <w:sz w:val="24"/>
          <w:szCs w:val="24"/>
          <w:highlight w:val="none"/>
        </w:rPr>
        <w:t>。</w:t>
      </w:r>
    </w:p>
    <w:p w14:paraId="0BA6DCA9">
      <w:pPr>
        <w:wordWrap w:val="0"/>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u w:val="single"/>
        </w:rPr>
        <w:t>承包人未按程序报验的，每次向发包人支付2000元违约赔偿金；工序验收不合格的，须按要求返工，并每次向发包人支付2000元/次违约赔偿金</w:t>
      </w:r>
      <w:r>
        <w:rPr>
          <w:rFonts w:hint="eastAsia" w:ascii="宋体" w:hAnsi="宋体" w:cs="宋体"/>
          <w:kern w:val="0"/>
          <w:sz w:val="24"/>
          <w:szCs w:val="24"/>
          <w:highlight w:val="none"/>
          <w:lang w:eastAsia="zh-CN"/>
        </w:rPr>
        <w:t>。</w:t>
      </w:r>
    </w:p>
    <w:p w14:paraId="3CB4F5B0">
      <w:pPr>
        <w:wordWrap w:val="0"/>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（4）</w:t>
      </w:r>
      <w:r>
        <w:rPr>
          <w:rFonts w:hint="eastAsia" w:ascii="宋体" w:hAnsi="宋体" w:cs="宋体"/>
          <w:kern w:val="0"/>
          <w:sz w:val="24"/>
          <w:szCs w:val="24"/>
          <w:highlight w:val="none"/>
          <w:u w:val="single"/>
        </w:rPr>
        <w:t>承包人必须服从发包人发布的各项符合现行法律、法规的管理规定，如承包人不服从发包人及监理的管理，每次向发包人支付10000元违约金，且发包人有权解除合同，并要求承包人赔偿损失</w:t>
      </w:r>
      <w:r>
        <w:rPr>
          <w:rFonts w:hint="eastAsia" w:ascii="宋体" w:hAnsi="宋体" w:cs="宋体"/>
          <w:kern w:val="0"/>
          <w:sz w:val="24"/>
          <w:szCs w:val="24"/>
          <w:highlight w:val="none"/>
          <w:lang w:eastAsia="zh-CN"/>
        </w:rPr>
        <w:t>。</w:t>
      </w:r>
    </w:p>
    <w:p w14:paraId="03BCE273">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（5）</w:t>
      </w:r>
      <w:r>
        <w:rPr>
          <w:rFonts w:hint="eastAsia" w:ascii="宋体" w:hAnsi="宋体" w:cs="宋体"/>
          <w:kern w:val="0"/>
          <w:sz w:val="24"/>
          <w:szCs w:val="24"/>
          <w:highlight w:val="none"/>
          <w:u w:val="single"/>
        </w:rPr>
        <w:t>投标文件中明确的项目经理和主要管理人员不得擅自变更，开工时或施工过程中若有承包人擅自变更，发包人有权依据本合同追究承包人的违约责任，直至解除合同，并追究损失赔偿责任</w:t>
      </w:r>
      <w:r>
        <w:rPr>
          <w:rFonts w:hint="eastAsia" w:ascii="宋体" w:hAnsi="宋体" w:cs="宋体"/>
          <w:kern w:val="0"/>
          <w:sz w:val="24"/>
          <w:szCs w:val="24"/>
          <w:highlight w:val="none"/>
        </w:rPr>
        <w:t>。</w:t>
      </w:r>
    </w:p>
    <w:p w14:paraId="19D0EF6D">
      <w:pPr>
        <w:wordWrap w:val="0"/>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（6）</w:t>
      </w:r>
      <w:r>
        <w:rPr>
          <w:rFonts w:hint="eastAsia" w:ascii="宋体" w:hAnsi="宋体" w:cs="宋体"/>
          <w:kern w:val="0"/>
          <w:sz w:val="24"/>
          <w:szCs w:val="24"/>
          <w:highlight w:val="none"/>
          <w:u w:val="single"/>
        </w:rPr>
        <w:t>工程竣工验收合格后28天内，承包人必须将符合发包人要求的竣工结算书及相关资料上报给发包人，否则每延迟一天须向发包人支付5000元作为违约赔偿金</w:t>
      </w:r>
      <w:r>
        <w:rPr>
          <w:rFonts w:hint="eastAsia" w:ascii="宋体" w:hAnsi="宋体" w:cs="宋体"/>
          <w:kern w:val="0"/>
          <w:sz w:val="24"/>
          <w:szCs w:val="24"/>
          <w:highlight w:val="none"/>
          <w:lang w:eastAsia="zh-CN"/>
        </w:rPr>
        <w:t>。</w:t>
      </w:r>
    </w:p>
    <w:p w14:paraId="53FCD649">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（7）</w:t>
      </w:r>
      <w:r>
        <w:rPr>
          <w:rFonts w:hint="eastAsia" w:ascii="宋体" w:hAnsi="宋体" w:cs="宋体"/>
          <w:kern w:val="0"/>
          <w:sz w:val="24"/>
          <w:szCs w:val="24"/>
          <w:highlight w:val="none"/>
          <w:u w:val="single"/>
        </w:rPr>
        <w:t>工程质量应符合国家验收规范和本合同约定要求，并一次性验收合格，若质量未达到要求，承包人按合同签约价的2%向发包人支付违约金，同时承包人应进行整改，并须承担使工程达到约定质量标准所发生的所有费用。返工合格后，发包人有权在承包人工程结算款中扣除承包人工期延误违约金以及由此而给发包人造成的经济损失</w:t>
      </w:r>
      <w:r>
        <w:rPr>
          <w:rFonts w:hint="eastAsia" w:ascii="宋体" w:hAnsi="宋体" w:cs="宋体"/>
          <w:kern w:val="0"/>
          <w:sz w:val="24"/>
          <w:szCs w:val="24"/>
          <w:highlight w:val="none"/>
        </w:rPr>
        <w:t>。</w:t>
      </w:r>
    </w:p>
    <w:p w14:paraId="4AE0306E">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因承包人原因导致技术文件（包括竣工图纸、签证等）未能按约定时间提交，每迟一天，发包人在支付给承包人的工程款内扣除1000元的违约金。同时并不解除承包人继续交付上述技术文件的义务</w:t>
      </w:r>
      <w:r>
        <w:rPr>
          <w:rFonts w:hint="eastAsia" w:ascii="宋体" w:hAnsi="宋体" w:cs="宋体"/>
          <w:kern w:val="0"/>
          <w:sz w:val="24"/>
          <w:szCs w:val="24"/>
          <w:highlight w:val="none"/>
        </w:rPr>
        <w:t>。</w:t>
      </w:r>
    </w:p>
    <w:p w14:paraId="2973EDC0">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若因承包人施工质量问题或所使用产品、材料、设备的质量问题引起的安全责任（包括造成发包人师生或其他方人身伤害或财产损失等情形）由承包人负责，承包人应承担全部损失赔偿责任和相关法律责任</w:t>
      </w:r>
      <w:r>
        <w:rPr>
          <w:rFonts w:hint="eastAsia" w:ascii="宋体" w:hAnsi="宋体" w:cs="宋体"/>
          <w:kern w:val="0"/>
          <w:sz w:val="24"/>
          <w:szCs w:val="24"/>
          <w:highlight w:val="none"/>
        </w:rPr>
        <w:t>。</w:t>
      </w:r>
    </w:p>
    <w:p w14:paraId="4E9BD05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16.2.3 因</w:t>
      </w:r>
      <w:r>
        <w:rPr>
          <w:rFonts w:hint="eastAsia" w:ascii="宋体" w:hAnsi="宋体" w:cs="宋体"/>
          <w:sz w:val="24"/>
          <w:szCs w:val="24"/>
          <w:highlight w:val="none"/>
          <w:lang w:eastAsia="zh-CN"/>
        </w:rPr>
        <w:t>承包人</w:t>
      </w:r>
      <w:r>
        <w:rPr>
          <w:rFonts w:hint="eastAsia" w:ascii="宋体" w:hAnsi="宋体" w:cs="宋体"/>
          <w:sz w:val="24"/>
          <w:szCs w:val="24"/>
          <w:highlight w:val="none"/>
        </w:rPr>
        <w:t>违约解除合同</w:t>
      </w:r>
    </w:p>
    <w:p w14:paraId="779609E7">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关于</w:t>
      </w:r>
      <w:r>
        <w:rPr>
          <w:rFonts w:hint="eastAsia" w:ascii="宋体" w:hAnsi="宋体" w:cs="宋体"/>
          <w:kern w:val="0"/>
          <w:sz w:val="24"/>
          <w:szCs w:val="24"/>
          <w:highlight w:val="none"/>
          <w:lang w:eastAsia="zh-CN"/>
        </w:rPr>
        <w:t>承包人</w:t>
      </w:r>
      <w:r>
        <w:rPr>
          <w:rFonts w:hint="eastAsia" w:ascii="宋体" w:hAnsi="宋体" w:cs="宋体"/>
          <w:kern w:val="0"/>
          <w:sz w:val="24"/>
          <w:szCs w:val="24"/>
          <w:highlight w:val="none"/>
        </w:rPr>
        <w:t>违约解除合同的特别约定：</w:t>
      </w:r>
      <w:r>
        <w:rPr>
          <w:rFonts w:hint="eastAsia" w:ascii="宋体" w:hAnsi="宋体" w:cs="宋体"/>
          <w:sz w:val="24"/>
          <w:szCs w:val="24"/>
          <w:highlight w:val="none"/>
          <w:u w:val="single"/>
        </w:rPr>
        <w:t>若</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擅自停工</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单方面终止合同的执行或违约</w:t>
      </w:r>
      <w:r>
        <w:rPr>
          <w:rFonts w:hint="eastAsia" w:ascii="宋体" w:hAnsi="宋体" w:cs="宋体"/>
          <w:kern w:val="0"/>
          <w:sz w:val="24"/>
          <w:szCs w:val="24"/>
          <w:highlight w:val="none"/>
          <w:u w:val="single"/>
        </w:rPr>
        <w:t>、工期严重延误或存在其他严重违约行为</w:t>
      </w:r>
      <w:r>
        <w:rPr>
          <w:rFonts w:hint="eastAsia" w:ascii="宋体" w:hAnsi="宋体" w:cs="宋体"/>
          <w:sz w:val="24"/>
          <w:szCs w:val="24"/>
          <w:highlight w:val="none"/>
          <w:u w:val="single"/>
        </w:rPr>
        <w:t>，造成合同无法履行，在本合同解除后，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必须在5天内无条件退场。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已完成工程量的不予结算，</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并承担由此而给发包方造成的一切损失</w:t>
      </w:r>
      <w:r>
        <w:rPr>
          <w:rFonts w:hint="eastAsia" w:ascii="宋体" w:hAnsi="宋体" w:cs="宋体"/>
          <w:sz w:val="24"/>
          <w:szCs w:val="24"/>
          <w:highlight w:val="none"/>
          <w:u w:val="none"/>
        </w:rPr>
        <w:t>；</w:t>
      </w:r>
    </w:p>
    <w:p w14:paraId="6896CC8A">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在投标报价中未标明品牌的，</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有权在招标文件的工程量清单编制说明所列品牌中任选一种，</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不得有任何异议，如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概不执行</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要求，</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有权终止合同</w:t>
      </w:r>
      <w:r>
        <w:rPr>
          <w:rFonts w:hint="eastAsia" w:ascii="宋体" w:hAnsi="宋体" w:cs="宋体"/>
          <w:sz w:val="24"/>
          <w:szCs w:val="24"/>
          <w:highlight w:val="none"/>
        </w:rPr>
        <w:t>。</w:t>
      </w:r>
      <w:bookmarkStart w:id="551" w:name="_Toc351203649"/>
    </w:p>
    <w:p w14:paraId="3CF21A3F">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sz w:val="24"/>
          <w:szCs w:val="24"/>
          <w:highlight w:val="none"/>
          <w:u w:val="single"/>
        </w:rPr>
        <w:t xml:space="preserve">   根据监理、审计出具的报告结算给承包人     </w:t>
      </w:r>
      <w:r>
        <w:rPr>
          <w:rFonts w:hint="eastAsia" w:ascii="宋体" w:hAnsi="宋体" w:cs="宋体"/>
          <w:sz w:val="24"/>
          <w:szCs w:val="24"/>
          <w:highlight w:val="none"/>
        </w:rPr>
        <w:t>。</w:t>
      </w:r>
    </w:p>
    <w:p w14:paraId="365A892A">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17.不可抗力</w:t>
      </w:r>
      <w:bookmarkEnd w:id="549"/>
      <w:bookmarkEnd w:id="551"/>
    </w:p>
    <w:p w14:paraId="6A66199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17.1不可抗力的确认</w:t>
      </w:r>
    </w:p>
    <w:p w14:paraId="1A3D2D17">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除通用合同条款约定的不可抗力事件之外，视为不可抗力的其他情形：</w:t>
      </w:r>
      <w:r>
        <w:rPr>
          <w:rFonts w:hint="eastAsia" w:ascii="宋体" w:hAnsi="宋体" w:cs="宋体"/>
          <w:sz w:val="24"/>
          <w:szCs w:val="24"/>
          <w:highlight w:val="none"/>
          <w:u w:val="single"/>
        </w:rPr>
        <w:t>根据通用合同条款中的相关条款</w:t>
      </w:r>
      <w:r>
        <w:rPr>
          <w:rFonts w:hint="eastAsia" w:ascii="宋体" w:hAnsi="宋体" w:cs="宋体"/>
          <w:sz w:val="24"/>
          <w:szCs w:val="24"/>
          <w:highlight w:val="none"/>
          <w:u w:val="single"/>
          <w:lang w:val="en-US" w:eastAsia="zh-CN"/>
        </w:rPr>
        <w:t xml:space="preserve">  </w:t>
      </w:r>
      <w:r>
        <w:rPr>
          <w:rFonts w:hint="eastAsia" w:ascii="宋体" w:hAnsi="宋体" w:cs="宋体"/>
          <w:kern w:val="0"/>
          <w:sz w:val="24"/>
          <w:szCs w:val="24"/>
          <w:highlight w:val="none"/>
        </w:rPr>
        <w:t>。</w:t>
      </w:r>
    </w:p>
    <w:p w14:paraId="714815E6">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17.</w:t>
      </w:r>
      <w:r>
        <w:rPr>
          <w:rFonts w:hint="eastAsia" w:ascii="宋体" w:hAnsi="宋体" w:cs="宋体"/>
          <w:sz w:val="24"/>
          <w:szCs w:val="24"/>
          <w:highlight w:val="none"/>
          <w:lang w:val="en-US" w:eastAsia="zh-CN"/>
        </w:rPr>
        <w:t>4</w:t>
      </w:r>
      <w:r>
        <w:rPr>
          <w:rFonts w:hint="eastAsia" w:ascii="宋体" w:hAnsi="宋体" w:cs="宋体"/>
          <w:sz w:val="24"/>
          <w:szCs w:val="24"/>
          <w:highlight w:val="none"/>
        </w:rPr>
        <w:t>因不可抗力解除合同</w:t>
      </w:r>
    </w:p>
    <w:p w14:paraId="796A4A17">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合同解除后，</w:t>
      </w:r>
      <w:r>
        <w:rPr>
          <w:rFonts w:hint="eastAsia" w:ascii="宋体" w:hAnsi="宋体" w:cs="宋体"/>
          <w:sz w:val="24"/>
          <w:szCs w:val="24"/>
          <w:highlight w:val="none"/>
          <w:lang w:eastAsia="zh-CN"/>
        </w:rPr>
        <w:t>发包人</w:t>
      </w:r>
      <w:r>
        <w:rPr>
          <w:rFonts w:hint="eastAsia" w:ascii="宋体" w:hAnsi="宋体" w:cs="宋体"/>
          <w:sz w:val="24"/>
          <w:szCs w:val="24"/>
          <w:highlight w:val="none"/>
        </w:rPr>
        <w:t>应在商定或确定</w:t>
      </w:r>
      <w:r>
        <w:rPr>
          <w:rFonts w:hint="eastAsia" w:ascii="宋体" w:hAnsi="宋体" w:cs="宋体"/>
          <w:sz w:val="24"/>
          <w:szCs w:val="24"/>
          <w:highlight w:val="none"/>
          <w:lang w:eastAsia="zh-CN"/>
        </w:rPr>
        <w:t>发包人</w:t>
      </w:r>
      <w:r>
        <w:rPr>
          <w:rFonts w:hint="eastAsia" w:ascii="宋体" w:hAnsi="宋体" w:cs="宋体"/>
          <w:sz w:val="24"/>
          <w:szCs w:val="24"/>
          <w:highlight w:val="none"/>
        </w:rPr>
        <w:t>应支付款项后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28</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天内完成款项的支付。</w:t>
      </w:r>
      <w:bookmarkStart w:id="552" w:name="_Toc351203650"/>
    </w:p>
    <w:p w14:paraId="0FFC52A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18.保险</w:t>
      </w:r>
      <w:bookmarkEnd w:id="550"/>
      <w:bookmarkEnd w:id="552"/>
    </w:p>
    <w:p w14:paraId="23F5A3E1">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18.1 工程保险</w:t>
      </w:r>
    </w:p>
    <w:p w14:paraId="2B2EECC0">
      <w:pPr>
        <w:wordWrap w:val="0"/>
        <w:autoSpaceDE w:val="0"/>
        <w:autoSpaceDN w:val="0"/>
        <w:adjustRightInd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关于工程保险的特别约定：</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办理本工程项目的建筑工程一切险和第三者责任险</w:t>
      </w:r>
      <w:r>
        <w:rPr>
          <w:rFonts w:hint="eastAsia" w:ascii="宋体" w:hAnsi="宋体" w:cs="宋体"/>
          <w:kern w:val="0"/>
          <w:sz w:val="24"/>
          <w:szCs w:val="24"/>
          <w:highlight w:val="none"/>
        </w:rPr>
        <w:t>。</w:t>
      </w:r>
    </w:p>
    <w:p w14:paraId="7B26BEAC">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18.</w:t>
      </w:r>
      <w:r>
        <w:rPr>
          <w:rFonts w:hint="eastAsia" w:ascii="宋体" w:hAnsi="宋体" w:cs="宋体"/>
          <w:sz w:val="24"/>
          <w:szCs w:val="24"/>
          <w:highlight w:val="none"/>
          <w:lang w:val="en-US" w:eastAsia="zh-CN"/>
        </w:rPr>
        <w:t>3</w:t>
      </w:r>
      <w:r>
        <w:rPr>
          <w:rFonts w:hint="eastAsia" w:ascii="宋体" w:hAnsi="宋体" w:cs="宋体"/>
          <w:sz w:val="24"/>
          <w:szCs w:val="24"/>
          <w:highlight w:val="none"/>
        </w:rPr>
        <w:t>其他保险</w:t>
      </w:r>
    </w:p>
    <w:p w14:paraId="4ADF3694">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w:t>关于其他保险的约定：</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必须按国家或地方相关规定为从事危险作业的职工办理意外伤害保险，并为施工场地内自有人员生命财产和施工机械设备办理保险，承担保险责任</w:t>
      </w:r>
      <w:r>
        <w:rPr>
          <w:rFonts w:hint="eastAsia" w:ascii="宋体" w:hAnsi="宋体" w:cs="宋体"/>
          <w:kern w:val="0"/>
          <w:sz w:val="24"/>
          <w:szCs w:val="24"/>
          <w:highlight w:val="none"/>
        </w:rPr>
        <w:t>。</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9A9E81D">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承包人是否应为其施工设备等办理财产保险：</w:t>
      </w:r>
      <w:r>
        <w:rPr>
          <w:rFonts w:hint="eastAsia" w:ascii="宋体" w:hAnsi="宋体" w:cs="宋体"/>
          <w:kern w:val="0"/>
          <w:sz w:val="24"/>
          <w:szCs w:val="24"/>
          <w:highlight w:val="none"/>
          <w:u w:val="single"/>
          <w:lang w:val="en-US" w:eastAsia="zh-CN"/>
        </w:rPr>
        <w:t xml:space="preserve">     /    </w:t>
      </w:r>
      <w:r>
        <w:rPr>
          <w:rFonts w:hint="eastAsia" w:ascii="宋体" w:hAnsi="宋体" w:cs="宋体"/>
          <w:kern w:val="0"/>
          <w:sz w:val="24"/>
          <w:szCs w:val="24"/>
          <w:highlight w:val="none"/>
        </w:rPr>
        <w:t>。</w:t>
      </w:r>
    </w:p>
    <w:p w14:paraId="6620DB04">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18.7 通知义务</w:t>
      </w:r>
    </w:p>
    <w:p w14:paraId="7029E880">
      <w:pPr>
        <w:wordWrap w:val="0"/>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关于变更保险合同时的通知义务的约定：</w:t>
      </w:r>
      <w:r>
        <w:rPr>
          <w:rFonts w:hint="eastAsia" w:ascii="宋体" w:hAnsi="宋体" w:cs="宋体"/>
          <w:kern w:val="0"/>
          <w:sz w:val="24"/>
          <w:szCs w:val="24"/>
          <w:highlight w:val="none"/>
          <w:u w:val="single"/>
          <w:lang w:val="en-US" w:eastAsia="zh-CN"/>
        </w:rPr>
        <w:t xml:space="preserve">     /     </w:t>
      </w:r>
      <w:r>
        <w:rPr>
          <w:rFonts w:hint="eastAsia" w:ascii="宋体" w:hAnsi="宋体" w:cs="宋体"/>
          <w:kern w:val="0"/>
          <w:sz w:val="24"/>
          <w:szCs w:val="24"/>
          <w:highlight w:val="none"/>
        </w:rPr>
        <w:t xml:space="preserve"> 。</w:t>
      </w:r>
    </w:p>
    <w:p w14:paraId="5DE8B5A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20. 争议解决</w:t>
      </w:r>
    </w:p>
    <w:p w14:paraId="64C2A388">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20.3 争议评审</w:t>
      </w:r>
    </w:p>
    <w:p w14:paraId="404FEE07">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合同当事人是否同意将工程争议提交争议评审小组决定：</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 xml:space="preserve"> 。  </w:t>
      </w:r>
    </w:p>
    <w:p w14:paraId="5DD0215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20.3.1 争议评审小组的确定</w:t>
      </w:r>
    </w:p>
    <w:p w14:paraId="7F699A9D">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争议评审小组成员的确定：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9ED98E1">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选定争议评审员的期限：</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A978353">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争议评审小组成员的报酬承担方式：</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B55F5C">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其他事项的约定：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E2DD16">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20.3.2 争议评审小组的决定</w:t>
      </w:r>
    </w:p>
    <w:p w14:paraId="48D79BE0">
      <w:pPr>
        <w:wordWrap w:val="0"/>
        <w:autoSpaceDE w:val="0"/>
        <w:autoSpaceDN w:val="0"/>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合同当事人关于本项的约定：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967631D">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20.4</w:t>
      </w:r>
      <w:r>
        <w:rPr>
          <w:rFonts w:hint="eastAsia" w:ascii="宋体" w:hAnsi="宋体" w:cs="宋体"/>
          <w:sz w:val="24"/>
          <w:szCs w:val="24"/>
          <w:highlight w:val="none"/>
        </w:rPr>
        <w:t>仲裁或诉讼</w:t>
      </w:r>
      <w:bookmarkEnd w:id="541"/>
    </w:p>
    <w:p w14:paraId="63DA0644">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因合同及合同有关事项发生的争议，按下列第</w:t>
      </w:r>
      <w:r>
        <w:rPr>
          <w:rFonts w:hint="eastAsia" w:ascii="宋体" w:hAnsi="宋体" w:cs="宋体"/>
          <w:sz w:val="24"/>
          <w:szCs w:val="24"/>
          <w:highlight w:val="none"/>
          <w:u w:val="single"/>
        </w:rPr>
        <w:t>2</w:t>
      </w:r>
      <w:r>
        <w:rPr>
          <w:rFonts w:hint="eastAsia" w:ascii="宋体" w:hAnsi="宋体" w:cs="宋体"/>
          <w:sz w:val="24"/>
          <w:szCs w:val="24"/>
          <w:highlight w:val="none"/>
        </w:rPr>
        <w:t>种方式解决：</w:t>
      </w:r>
    </w:p>
    <w:p w14:paraId="18F4DBE8">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（1）向</w:t>
      </w:r>
      <w:r>
        <w:rPr>
          <w:rFonts w:hint="eastAsia" w:ascii="宋体" w:hAnsi="宋体" w:cs="宋体"/>
          <w:sz w:val="24"/>
          <w:szCs w:val="24"/>
          <w:highlight w:val="none"/>
          <w:u w:val="single"/>
        </w:rPr>
        <w:t>/</w:t>
      </w:r>
      <w:r>
        <w:rPr>
          <w:rFonts w:hint="eastAsia" w:ascii="宋体" w:hAnsi="宋体" w:cs="宋体"/>
          <w:sz w:val="24"/>
          <w:szCs w:val="24"/>
          <w:highlight w:val="none"/>
        </w:rPr>
        <w:t>仲裁委员会申请仲裁；</w:t>
      </w:r>
    </w:p>
    <w:p w14:paraId="1AAAF8E7">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合同签订所在地的</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人民法院起诉。</w:t>
      </w:r>
      <w:bookmarkEnd w:id="542"/>
      <w:bookmarkEnd w:id="543"/>
      <w:bookmarkEnd w:id="544"/>
      <w:bookmarkEnd w:id="545"/>
      <w:bookmarkEnd w:id="546"/>
      <w:bookmarkEnd w:id="547"/>
    </w:p>
    <w:p w14:paraId="30A48C86">
      <w:pPr>
        <w:wordWrap w:val="0"/>
        <w:autoSpaceDE w:val="0"/>
        <w:autoSpaceDN w:val="0"/>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20.补充条款</w:t>
      </w:r>
    </w:p>
    <w:p w14:paraId="2E8C9A33">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工程完工后，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的施工人员、材料、机械、设备必须在一周内全部退出现场；临时设施一月内无条件拆除；如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违反以上条件，除占用的范围</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将收取100元/平方</w:t>
      </w:r>
      <w:r>
        <w:rPr>
          <w:rFonts w:hint="eastAsia" w:ascii="微软雅黑" w:hAnsi="微软雅黑" w:eastAsia="微软雅黑" w:cs="微软雅黑"/>
          <w:sz w:val="24"/>
          <w:szCs w:val="24"/>
          <w:highlight w:val="none"/>
          <w:u w:val="single"/>
        </w:rPr>
        <w:t>·</w:t>
      </w:r>
      <w:r>
        <w:rPr>
          <w:rFonts w:hint="eastAsia" w:ascii="宋体" w:hAnsi="宋体" w:cs="宋体"/>
          <w:sz w:val="24"/>
          <w:szCs w:val="24"/>
          <w:highlight w:val="none"/>
          <w:u w:val="single"/>
        </w:rPr>
        <w:t>每天的租金外，还按每天支付</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违约金500元</w:t>
      </w:r>
      <w:r>
        <w:rPr>
          <w:rFonts w:hint="eastAsia" w:ascii="宋体" w:hAnsi="宋体" w:cs="宋体"/>
          <w:sz w:val="24"/>
          <w:szCs w:val="24"/>
          <w:highlight w:val="none"/>
          <w:u w:val="none"/>
        </w:rPr>
        <w:t>。</w:t>
      </w:r>
    </w:p>
    <w:p w14:paraId="3F046EC2">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负责按合同条款及时支付工程款，</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及时支付农民工工资，如由于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原因造成拖欠农民工工资而产生的一切后果由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承担。否则</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可采取必要的措施予以处理，并保留进一步追究</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责任的权利。</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承诺民工工资纠纷与</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无关，</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承担一切责任和损失</w:t>
      </w:r>
      <w:r>
        <w:rPr>
          <w:rFonts w:hint="eastAsia" w:ascii="宋体" w:hAnsi="宋体" w:cs="宋体"/>
          <w:sz w:val="24"/>
          <w:szCs w:val="24"/>
          <w:highlight w:val="none"/>
          <w:u w:val="none"/>
        </w:rPr>
        <w:t>。</w:t>
      </w:r>
    </w:p>
    <w:p w14:paraId="2501AF8E">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在施工中造成对施工周边已完工程的破坏，一切修复费用将由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自负</w:t>
      </w:r>
      <w:r>
        <w:rPr>
          <w:rFonts w:hint="eastAsia" w:ascii="宋体" w:hAnsi="宋体" w:cs="宋体"/>
          <w:sz w:val="24"/>
          <w:szCs w:val="24"/>
          <w:highlight w:val="none"/>
          <w:u w:val="none"/>
        </w:rPr>
        <w:t>。</w:t>
      </w:r>
    </w:p>
    <w:p w14:paraId="00D28DD8">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根据实际情况</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及时调整施工进度时</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必须服从，并不得因此而要求增加费用</w:t>
      </w:r>
      <w:r>
        <w:rPr>
          <w:rFonts w:hint="eastAsia" w:ascii="宋体" w:hAnsi="宋体" w:cs="宋体"/>
          <w:sz w:val="24"/>
          <w:szCs w:val="24"/>
          <w:highlight w:val="none"/>
          <w:u w:val="none"/>
        </w:rPr>
        <w:t>。</w:t>
      </w:r>
    </w:p>
    <w:p w14:paraId="218E3DE5">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5</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必须严格服从</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对工程施工的管理。若</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认为</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的现场投入不能满足施工需要，</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有要求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增加人员、机械设备、财力和物力满足现场需要的权利，</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对此不得拒绝</w:t>
      </w:r>
      <w:r>
        <w:rPr>
          <w:rFonts w:hint="eastAsia" w:ascii="宋体" w:hAnsi="宋体" w:cs="宋体"/>
          <w:sz w:val="24"/>
          <w:szCs w:val="24"/>
          <w:highlight w:val="none"/>
          <w:u w:val="none"/>
        </w:rPr>
        <w:t>。</w:t>
      </w:r>
    </w:p>
    <w:p w14:paraId="3894D5DD">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应主动及时向</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汇报乙供材供应的每一个环节，并得到</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的认可所有工程所需主材的规格型号、品质、质量等级标准、技术要求、形状、外观及尺寸、产地、厂家等须经建设单位认可后方可施工</w:t>
      </w:r>
      <w:r>
        <w:rPr>
          <w:rFonts w:hint="eastAsia" w:ascii="宋体" w:hAnsi="宋体" w:cs="宋体"/>
          <w:sz w:val="24"/>
          <w:szCs w:val="24"/>
          <w:highlight w:val="none"/>
          <w:u w:val="none"/>
        </w:rPr>
        <w:t>。</w:t>
      </w:r>
    </w:p>
    <w:p w14:paraId="345D5664">
      <w:pPr>
        <w:wordWrap w:val="0"/>
        <w:autoSpaceDE w:val="0"/>
        <w:autoSpaceDN w:val="0"/>
        <w:adjustRightInd w:val="0"/>
        <w:snapToGrid w:val="0"/>
        <w:spacing w:line="360" w:lineRule="auto"/>
        <w:ind w:firstLine="480" w:firstLineChars="200"/>
        <w:rPr>
          <w:rFonts w:ascii="宋体" w:hAnsi="宋体" w:cs="宋体"/>
          <w:strike w:val="0"/>
          <w:dstrike w:val="0"/>
          <w:sz w:val="24"/>
          <w:szCs w:val="24"/>
          <w:highlight w:val="none"/>
          <w:u w:val="single"/>
        </w:rPr>
      </w:pPr>
      <w:r>
        <w:rPr>
          <w:rFonts w:hint="eastAsia" w:ascii="宋体" w:hAnsi="宋体" w:cs="宋体"/>
          <w:strike w:val="0"/>
          <w:dstrike w:val="0"/>
          <w:sz w:val="24"/>
          <w:szCs w:val="24"/>
          <w:highlight w:val="none"/>
          <w:u w:val="none"/>
          <w:lang w:eastAsia="zh-CN"/>
        </w:rPr>
        <w:t>（</w:t>
      </w:r>
      <w:r>
        <w:rPr>
          <w:rFonts w:hint="eastAsia" w:ascii="宋体" w:hAnsi="宋体" w:cs="宋体"/>
          <w:strike w:val="0"/>
          <w:dstrike w:val="0"/>
          <w:sz w:val="24"/>
          <w:szCs w:val="24"/>
          <w:highlight w:val="none"/>
          <w:u w:val="none"/>
          <w:lang w:val="en-US" w:eastAsia="zh-CN"/>
        </w:rPr>
        <w:t>7</w:t>
      </w:r>
      <w:r>
        <w:rPr>
          <w:rFonts w:hint="eastAsia" w:ascii="宋体" w:hAnsi="宋体" w:cs="宋体"/>
          <w:strike w:val="0"/>
          <w:dstrike w:val="0"/>
          <w:sz w:val="24"/>
          <w:szCs w:val="24"/>
          <w:highlight w:val="none"/>
          <w:u w:val="none"/>
          <w:lang w:eastAsia="zh-CN"/>
        </w:rPr>
        <w:t>）</w:t>
      </w:r>
      <w:r>
        <w:rPr>
          <w:rFonts w:hint="eastAsia" w:ascii="宋体" w:hAnsi="宋体" w:cs="宋体"/>
          <w:strike w:val="0"/>
          <w:dstrike w:val="0"/>
          <w:sz w:val="24"/>
          <w:szCs w:val="24"/>
          <w:highlight w:val="none"/>
          <w:u w:val="single"/>
        </w:rPr>
        <w:t>政府有关政策规定向</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收取的相关费用由</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支付</w:t>
      </w:r>
      <w:r>
        <w:rPr>
          <w:rFonts w:hint="eastAsia" w:ascii="宋体" w:hAnsi="宋体" w:cs="宋体"/>
          <w:strike w:val="0"/>
          <w:dstrike w:val="0"/>
          <w:sz w:val="24"/>
          <w:szCs w:val="24"/>
          <w:highlight w:val="none"/>
          <w:u w:val="none"/>
        </w:rPr>
        <w:t>。</w:t>
      </w:r>
    </w:p>
    <w:p w14:paraId="16C1B00D">
      <w:pPr>
        <w:wordWrap w:val="0"/>
        <w:autoSpaceDE w:val="0"/>
        <w:autoSpaceDN w:val="0"/>
        <w:adjustRightInd w:val="0"/>
        <w:snapToGrid w:val="0"/>
        <w:spacing w:line="360" w:lineRule="auto"/>
        <w:ind w:firstLine="480" w:firstLineChars="200"/>
        <w:rPr>
          <w:rFonts w:ascii="宋体" w:hAnsi="宋体" w:cs="宋体"/>
          <w:strike w:val="0"/>
          <w:dstrike w:val="0"/>
          <w:sz w:val="24"/>
          <w:szCs w:val="24"/>
          <w:highlight w:val="none"/>
          <w:u w:val="single"/>
        </w:rPr>
      </w:pPr>
      <w:r>
        <w:rPr>
          <w:rFonts w:hint="eastAsia" w:ascii="宋体" w:hAnsi="宋体" w:cs="宋体"/>
          <w:strike w:val="0"/>
          <w:dstrike w:val="0"/>
          <w:sz w:val="24"/>
          <w:szCs w:val="24"/>
          <w:highlight w:val="none"/>
          <w:u w:val="none"/>
          <w:lang w:eastAsia="zh-CN"/>
        </w:rPr>
        <w:t>（</w:t>
      </w:r>
      <w:r>
        <w:rPr>
          <w:rFonts w:hint="eastAsia" w:ascii="宋体" w:hAnsi="宋体" w:cs="宋体"/>
          <w:strike w:val="0"/>
          <w:dstrike w:val="0"/>
          <w:sz w:val="24"/>
          <w:szCs w:val="24"/>
          <w:highlight w:val="none"/>
          <w:u w:val="none"/>
          <w:lang w:val="en-US" w:eastAsia="zh-CN"/>
        </w:rPr>
        <w:t>8</w:t>
      </w:r>
      <w:r>
        <w:rPr>
          <w:rFonts w:hint="eastAsia" w:ascii="宋体" w:hAnsi="宋体" w:cs="宋体"/>
          <w:strike w:val="0"/>
          <w:dstrike w:val="0"/>
          <w:sz w:val="24"/>
          <w:szCs w:val="24"/>
          <w:highlight w:val="none"/>
          <w:u w:val="none"/>
          <w:lang w:eastAsia="zh-CN"/>
        </w:rPr>
        <w:t>）</w:t>
      </w:r>
      <w:r>
        <w:rPr>
          <w:rFonts w:hint="eastAsia" w:ascii="宋体" w:hAnsi="宋体" w:cs="宋体"/>
          <w:strike w:val="0"/>
          <w:dstrike w:val="0"/>
          <w:sz w:val="24"/>
          <w:szCs w:val="24"/>
          <w:highlight w:val="none"/>
          <w:u w:val="single"/>
        </w:rPr>
        <w:t>施工中</w:t>
      </w:r>
      <w:r>
        <w:rPr>
          <w:rFonts w:hint="eastAsia" w:ascii="宋体" w:hAnsi="宋体" w:cs="宋体"/>
          <w:strike w:val="0"/>
          <w:dstrike w:val="0"/>
          <w:sz w:val="24"/>
          <w:szCs w:val="24"/>
          <w:highlight w:val="none"/>
          <w:u w:val="single"/>
          <w:lang w:val="en-US" w:eastAsia="zh-CN"/>
        </w:rPr>
        <w:t>因承包人原因</w:t>
      </w:r>
      <w:r>
        <w:rPr>
          <w:rFonts w:hint="eastAsia" w:ascii="宋体" w:hAnsi="宋体" w:cs="宋体"/>
          <w:strike w:val="0"/>
          <w:dstrike w:val="0"/>
          <w:sz w:val="24"/>
          <w:szCs w:val="24"/>
          <w:highlight w:val="none"/>
          <w:u w:val="single"/>
        </w:rPr>
        <w:t>发生的一切安全事故（包含人身、机械、设备、材料等）全部由</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自行解决，所有费用全部由</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承担</w:t>
      </w:r>
      <w:r>
        <w:rPr>
          <w:rFonts w:hint="eastAsia" w:ascii="宋体" w:hAnsi="宋体" w:cs="宋体"/>
          <w:strike w:val="0"/>
          <w:dstrike w:val="0"/>
          <w:sz w:val="24"/>
          <w:szCs w:val="24"/>
          <w:highlight w:val="none"/>
          <w:u w:val="none"/>
        </w:rPr>
        <w:t>。</w:t>
      </w:r>
    </w:p>
    <w:p w14:paraId="16D79519">
      <w:pPr>
        <w:wordWrap w:val="0"/>
        <w:autoSpaceDE w:val="0"/>
        <w:autoSpaceDN w:val="0"/>
        <w:adjustRightInd w:val="0"/>
        <w:snapToGrid w:val="0"/>
        <w:spacing w:line="360" w:lineRule="auto"/>
        <w:ind w:firstLine="480" w:firstLineChars="200"/>
        <w:rPr>
          <w:rFonts w:ascii="宋体" w:hAnsi="宋体" w:cs="宋体"/>
          <w:strike w:val="0"/>
          <w:dstrike w:val="0"/>
          <w:sz w:val="24"/>
          <w:szCs w:val="24"/>
          <w:highlight w:val="none"/>
          <w:u w:val="single"/>
        </w:rPr>
      </w:pPr>
      <w:r>
        <w:rPr>
          <w:rFonts w:hint="eastAsia" w:ascii="宋体" w:hAnsi="宋体" w:cs="宋体"/>
          <w:strike w:val="0"/>
          <w:dstrike w:val="0"/>
          <w:sz w:val="24"/>
          <w:szCs w:val="24"/>
          <w:highlight w:val="none"/>
          <w:u w:val="none"/>
          <w:lang w:eastAsia="zh-CN"/>
        </w:rPr>
        <w:t>（</w:t>
      </w:r>
      <w:r>
        <w:rPr>
          <w:rFonts w:hint="eastAsia" w:ascii="宋体" w:hAnsi="宋体" w:cs="宋体"/>
          <w:strike w:val="0"/>
          <w:dstrike w:val="0"/>
          <w:sz w:val="24"/>
          <w:szCs w:val="24"/>
          <w:highlight w:val="none"/>
          <w:u w:val="none"/>
          <w:lang w:val="en-US" w:eastAsia="zh-CN"/>
        </w:rPr>
        <w:t>9</w:t>
      </w:r>
      <w:r>
        <w:rPr>
          <w:rFonts w:hint="eastAsia" w:ascii="宋体" w:hAnsi="宋体" w:cs="宋体"/>
          <w:strike w:val="0"/>
          <w:dstrike w:val="0"/>
          <w:sz w:val="24"/>
          <w:szCs w:val="24"/>
          <w:highlight w:val="none"/>
          <w:u w:val="none"/>
          <w:lang w:eastAsia="zh-CN"/>
        </w:rPr>
        <w:t>）</w:t>
      </w:r>
      <w:r>
        <w:rPr>
          <w:rFonts w:hint="eastAsia" w:ascii="宋体" w:hAnsi="宋体" w:cs="宋体"/>
          <w:strike w:val="0"/>
          <w:dstrike w:val="0"/>
          <w:sz w:val="24"/>
          <w:szCs w:val="24"/>
          <w:highlight w:val="none"/>
          <w:u w:val="single"/>
          <w:lang w:eastAsia="zh-CN"/>
        </w:rPr>
        <w:t>发包人</w:t>
      </w:r>
      <w:r>
        <w:rPr>
          <w:rFonts w:hint="eastAsia" w:ascii="宋体" w:hAnsi="宋体" w:cs="宋体"/>
          <w:strike w:val="0"/>
          <w:dstrike w:val="0"/>
          <w:sz w:val="24"/>
          <w:szCs w:val="24"/>
          <w:highlight w:val="none"/>
          <w:u w:val="single"/>
        </w:rPr>
        <w:t>认为</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的全部或部分施工不能满足本工程的质量和安全要求时，</w:t>
      </w:r>
      <w:r>
        <w:rPr>
          <w:rFonts w:hint="eastAsia" w:ascii="宋体" w:hAnsi="宋体" w:cs="宋体"/>
          <w:strike w:val="0"/>
          <w:dstrike w:val="0"/>
          <w:sz w:val="24"/>
          <w:szCs w:val="24"/>
          <w:highlight w:val="none"/>
          <w:u w:val="single"/>
          <w:lang w:eastAsia="zh-CN"/>
        </w:rPr>
        <w:t>发包人</w:t>
      </w:r>
      <w:r>
        <w:rPr>
          <w:rFonts w:hint="eastAsia" w:ascii="宋体" w:hAnsi="宋体" w:cs="宋体"/>
          <w:strike w:val="0"/>
          <w:dstrike w:val="0"/>
          <w:sz w:val="24"/>
          <w:szCs w:val="24"/>
          <w:highlight w:val="none"/>
          <w:u w:val="single"/>
        </w:rPr>
        <w:t>有权单方面终止合同，勒令</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退场，或将</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承包范围内的部分项目指定分包其他单位施工，因此而造成的所有后果、费用和损失全部由</w:t>
      </w:r>
      <w:r>
        <w:rPr>
          <w:rFonts w:hint="eastAsia" w:ascii="宋体" w:hAnsi="宋体" w:cs="宋体"/>
          <w:strike w:val="0"/>
          <w:dstrike w:val="0"/>
          <w:sz w:val="24"/>
          <w:szCs w:val="24"/>
          <w:highlight w:val="none"/>
          <w:u w:val="single"/>
          <w:lang w:eastAsia="zh-CN"/>
        </w:rPr>
        <w:t>承包人</w:t>
      </w:r>
      <w:r>
        <w:rPr>
          <w:rFonts w:hint="eastAsia" w:ascii="宋体" w:hAnsi="宋体" w:cs="宋体"/>
          <w:strike w:val="0"/>
          <w:dstrike w:val="0"/>
          <w:sz w:val="24"/>
          <w:szCs w:val="24"/>
          <w:highlight w:val="none"/>
          <w:u w:val="single"/>
        </w:rPr>
        <w:t>承担</w:t>
      </w:r>
      <w:r>
        <w:rPr>
          <w:rFonts w:hint="eastAsia" w:ascii="宋体" w:hAnsi="宋体" w:cs="宋体"/>
          <w:strike w:val="0"/>
          <w:dstrike w:val="0"/>
          <w:sz w:val="24"/>
          <w:szCs w:val="24"/>
          <w:highlight w:val="none"/>
          <w:u w:val="none"/>
        </w:rPr>
        <w:t>。</w:t>
      </w:r>
    </w:p>
    <w:p w14:paraId="0A27B3FD">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10</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不应在工地或施工设施上展示或容许展示任何贸易和商业性广告</w:t>
      </w:r>
      <w:r>
        <w:rPr>
          <w:rFonts w:hint="eastAsia" w:ascii="宋体" w:hAnsi="宋体" w:cs="宋体"/>
          <w:sz w:val="24"/>
          <w:szCs w:val="24"/>
          <w:highlight w:val="none"/>
          <w:u w:val="none"/>
        </w:rPr>
        <w:t>。</w:t>
      </w:r>
    </w:p>
    <w:p w14:paraId="1FA133A5">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11</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凡是非设计变更及非</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原因造成的施工条件的变更，施工方案和施工措施的修改而造成增加的费用由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u w:val="none"/>
        </w:rPr>
        <w:t>。</w:t>
      </w:r>
    </w:p>
    <w:p w14:paraId="4BC0A982">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12</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任何涉及工程造价的确认，必须得到</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的书面确认后方可生效</w:t>
      </w:r>
      <w:r>
        <w:rPr>
          <w:rFonts w:hint="eastAsia" w:ascii="宋体" w:hAnsi="宋体" w:cs="宋体"/>
          <w:sz w:val="24"/>
          <w:szCs w:val="24"/>
          <w:highlight w:val="none"/>
          <w:u w:val="none"/>
        </w:rPr>
        <w:t>。</w:t>
      </w:r>
    </w:p>
    <w:p w14:paraId="506AE528">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13</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工程竣工后</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lang w:val="en-US" w:eastAsia="zh-CN"/>
        </w:rPr>
        <w:t>28天内</w:t>
      </w:r>
      <w:r>
        <w:rPr>
          <w:rFonts w:hint="eastAsia" w:ascii="宋体" w:hAnsi="宋体" w:cs="宋体"/>
          <w:sz w:val="24"/>
          <w:szCs w:val="24"/>
          <w:highlight w:val="none"/>
          <w:u w:val="single"/>
        </w:rPr>
        <w:t>内提供工程结算，</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按部门规定审计，在工程结算核减率超过5%（含5%），审计费用由</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承担</w:t>
      </w:r>
      <w:r>
        <w:rPr>
          <w:rFonts w:hint="eastAsia" w:ascii="宋体" w:hAnsi="宋体" w:cs="宋体"/>
          <w:sz w:val="24"/>
          <w:szCs w:val="24"/>
          <w:highlight w:val="none"/>
          <w:u w:val="none"/>
        </w:rPr>
        <w:t>。</w:t>
      </w:r>
    </w:p>
    <w:p w14:paraId="6695BB81">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14</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进场后应与各施工单位之间相互配合施工，所发生的费用在投标报价时自行考虑，结算时不再另行计算</w:t>
      </w:r>
      <w:r>
        <w:rPr>
          <w:rFonts w:hint="eastAsia" w:ascii="宋体" w:hAnsi="宋体" w:cs="宋体"/>
          <w:sz w:val="24"/>
          <w:szCs w:val="24"/>
          <w:highlight w:val="none"/>
          <w:u w:val="none"/>
        </w:rPr>
        <w:t>。</w:t>
      </w:r>
    </w:p>
    <w:p w14:paraId="30A5D6EE">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15</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应协助</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进行搬迁，如</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在搬迁过程中造成墙面或地面非故意性污损或破坏，</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需无偿进行修补和恢复</w:t>
      </w:r>
      <w:r>
        <w:rPr>
          <w:rFonts w:hint="eastAsia" w:ascii="宋体" w:hAnsi="宋体" w:cs="宋体"/>
          <w:sz w:val="24"/>
          <w:szCs w:val="24"/>
          <w:highlight w:val="none"/>
          <w:u w:val="none"/>
        </w:rPr>
        <w:t>。</w:t>
      </w:r>
    </w:p>
    <w:p w14:paraId="3CF4CCCD">
      <w:pPr>
        <w:wordWrap w:val="0"/>
        <w:autoSpaceDE w:val="0"/>
        <w:autoSpaceDN w:val="0"/>
        <w:adjustRightInd w:val="0"/>
        <w:snapToGrid w:val="0"/>
        <w:spacing w:line="360" w:lineRule="auto"/>
        <w:ind w:firstLine="480" w:firstLineChars="200"/>
        <w:jc w:val="left"/>
        <w:rPr>
          <w:rFonts w:ascii="宋体" w:hAnsi="宋体" w:cs="宋体"/>
          <w:sz w:val="24"/>
          <w:szCs w:val="24"/>
          <w:highlight w:val="none"/>
          <w:u w:val="non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16</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工程竣工验收前，</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需对施工现场进行卫生保洁，洁净程度达到</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要求为准，发生的保洁费用包含在投标报价中，结算时不作调整；如</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保洁要求未达</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要求，</w:t>
      </w:r>
      <w:r>
        <w:rPr>
          <w:rFonts w:hint="eastAsia" w:ascii="宋体" w:hAnsi="宋体" w:cs="宋体"/>
          <w:sz w:val="24"/>
          <w:szCs w:val="24"/>
          <w:highlight w:val="none"/>
          <w:u w:val="single"/>
          <w:lang w:eastAsia="zh-CN"/>
        </w:rPr>
        <w:t>发包人</w:t>
      </w:r>
      <w:r>
        <w:rPr>
          <w:rFonts w:hint="eastAsia" w:ascii="宋体" w:hAnsi="宋体" w:cs="宋体"/>
          <w:sz w:val="24"/>
          <w:szCs w:val="24"/>
          <w:highlight w:val="none"/>
          <w:u w:val="single"/>
        </w:rPr>
        <w:t>可另行雇用保洁人员进行保洁，因此所发生的费用在支付</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下次工程款时扣除，</w:t>
      </w:r>
      <w:r>
        <w:rPr>
          <w:rFonts w:hint="eastAsia" w:ascii="宋体" w:hAnsi="宋体" w:cs="宋体"/>
          <w:sz w:val="24"/>
          <w:szCs w:val="24"/>
          <w:highlight w:val="none"/>
          <w:u w:val="single"/>
          <w:lang w:eastAsia="zh-CN"/>
        </w:rPr>
        <w:t>承包人</w:t>
      </w:r>
      <w:r>
        <w:rPr>
          <w:rFonts w:hint="eastAsia" w:ascii="宋体" w:hAnsi="宋体" w:cs="宋体"/>
          <w:sz w:val="24"/>
          <w:szCs w:val="24"/>
          <w:highlight w:val="none"/>
          <w:u w:val="single"/>
        </w:rPr>
        <w:t>不得有异议</w:t>
      </w:r>
      <w:r>
        <w:rPr>
          <w:rFonts w:hint="eastAsia" w:ascii="宋体" w:hAnsi="宋体" w:cs="宋体"/>
          <w:sz w:val="24"/>
          <w:szCs w:val="24"/>
          <w:highlight w:val="none"/>
          <w:u w:val="none"/>
        </w:rPr>
        <w:t>。</w:t>
      </w:r>
    </w:p>
    <w:p w14:paraId="55467707">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17</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rPr>
        <w:t xml:space="preserve"> 未尽事宜由双方协商解决。</w:t>
      </w:r>
    </w:p>
    <w:p w14:paraId="3758B076">
      <w:pPr>
        <w:wordWrap w:val="0"/>
        <w:autoSpaceDE w:val="0"/>
        <w:autoSpaceDN w:val="0"/>
        <w:adjustRightInd w:val="0"/>
        <w:snapToGrid w:val="0"/>
        <w:spacing w:line="360" w:lineRule="auto"/>
        <w:rPr>
          <w:rFonts w:ascii="宋体" w:hAnsi="宋体" w:cs="宋体"/>
          <w:highlight w:val="none"/>
        </w:rPr>
      </w:pPr>
    </w:p>
    <w:p w14:paraId="398A630A">
      <w:pPr>
        <w:wordWrap w:val="0"/>
        <w:autoSpaceDE w:val="0"/>
        <w:autoSpaceDN w:val="0"/>
        <w:adjustRightInd w:val="0"/>
        <w:snapToGrid w:val="0"/>
        <w:spacing w:line="360" w:lineRule="auto"/>
        <w:rPr>
          <w:rFonts w:ascii="宋体" w:hAnsi="宋体" w:cs="宋体"/>
          <w:b/>
          <w:bCs/>
          <w:highlight w:val="none"/>
        </w:rPr>
      </w:pPr>
    </w:p>
    <w:p w14:paraId="57789F22">
      <w:pPr>
        <w:wordWrap w:val="0"/>
        <w:autoSpaceDE w:val="0"/>
        <w:autoSpaceDN w:val="0"/>
        <w:adjustRightInd w:val="0"/>
        <w:snapToGrid w:val="0"/>
        <w:spacing w:line="360" w:lineRule="auto"/>
        <w:rPr>
          <w:rFonts w:ascii="宋体" w:hAnsi="宋体" w:cs="宋体"/>
          <w:b/>
          <w:bCs/>
          <w:highlight w:val="none"/>
        </w:rPr>
      </w:pPr>
    </w:p>
    <w:p w14:paraId="0786BDD0">
      <w:pPr>
        <w:wordWrap w:val="0"/>
        <w:autoSpaceDE w:val="0"/>
        <w:autoSpaceDN w:val="0"/>
        <w:spacing w:line="360" w:lineRule="auto"/>
        <w:rPr>
          <w:rFonts w:ascii="宋体" w:hAnsi="宋体" w:cs="宋体"/>
          <w:highlight w:val="none"/>
        </w:rPr>
      </w:pPr>
      <w:bookmarkStart w:id="553" w:name="_Toc26548"/>
      <w:bookmarkStart w:id="554" w:name="_Toc31939"/>
      <w:bookmarkStart w:id="555" w:name="_Toc3158"/>
      <w:bookmarkStart w:id="556" w:name="_Toc24837"/>
      <w:bookmarkStart w:id="557" w:name="_Toc8448"/>
    </w:p>
    <w:p w14:paraId="1B8B687C">
      <w:pPr>
        <w:wordWrap w:val="0"/>
        <w:autoSpaceDE w:val="0"/>
        <w:autoSpaceDN w:val="0"/>
        <w:spacing w:line="360" w:lineRule="auto"/>
        <w:rPr>
          <w:rFonts w:ascii="宋体" w:hAnsi="宋体" w:cs="宋体"/>
          <w:highlight w:val="none"/>
        </w:rPr>
      </w:pPr>
    </w:p>
    <w:p w14:paraId="722C27C7">
      <w:pPr>
        <w:wordWrap w:val="0"/>
        <w:autoSpaceDE w:val="0"/>
        <w:autoSpaceDN w:val="0"/>
        <w:spacing w:line="360" w:lineRule="auto"/>
        <w:rPr>
          <w:rFonts w:ascii="宋体" w:hAnsi="宋体" w:cs="宋体"/>
          <w:highlight w:val="none"/>
        </w:rPr>
      </w:pPr>
    </w:p>
    <w:p w14:paraId="080188B8">
      <w:pPr>
        <w:wordWrap w:val="0"/>
        <w:autoSpaceDE w:val="0"/>
        <w:autoSpaceDN w:val="0"/>
        <w:spacing w:line="360" w:lineRule="auto"/>
        <w:rPr>
          <w:rFonts w:ascii="宋体" w:hAnsi="宋体" w:cs="宋体"/>
          <w:highlight w:val="none"/>
        </w:rPr>
      </w:pPr>
    </w:p>
    <w:p w14:paraId="00EF399E">
      <w:pPr>
        <w:wordWrap w:val="0"/>
        <w:autoSpaceDE w:val="0"/>
        <w:autoSpaceDN w:val="0"/>
        <w:spacing w:line="360" w:lineRule="auto"/>
        <w:rPr>
          <w:rFonts w:ascii="宋体" w:hAnsi="宋体" w:cs="宋体"/>
          <w:highlight w:val="none"/>
        </w:rPr>
      </w:pPr>
    </w:p>
    <w:p w14:paraId="6DDC9E60">
      <w:pPr>
        <w:wordWrap w:val="0"/>
        <w:autoSpaceDE w:val="0"/>
        <w:autoSpaceDN w:val="0"/>
        <w:spacing w:line="360" w:lineRule="auto"/>
        <w:rPr>
          <w:rFonts w:ascii="宋体" w:hAnsi="宋体" w:cs="宋体"/>
          <w:highlight w:val="none"/>
        </w:rPr>
      </w:pPr>
    </w:p>
    <w:p w14:paraId="171432F2">
      <w:pPr>
        <w:wordWrap w:val="0"/>
        <w:autoSpaceDE w:val="0"/>
        <w:autoSpaceDN w:val="0"/>
        <w:spacing w:line="360" w:lineRule="auto"/>
        <w:rPr>
          <w:rFonts w:ascii="宋体" w:hAnsi="宋体" w:cs="宋体"/>
          <w:highlight w:val="none"/>
        </w:rPr>
      </w:pPr>
    </w:p>
    <w:p w14:paraId="5F626187">
      <w:pPr>
        <w:wordWrap w:val="0"/>
        <w:autoSpaceDE w:val="0"/>
        <w:autoSpaceDN w:val="0"/>
        <w:spacing w:line="360" w:lineRule="auto"/>
        <w:rPr>
          <w:rFonts w:ascii="宋体" w:hAnsi="宋体" w:cs="宋体"/>
          <w:highlight w:val="none"/>
        </w:rPr>
      </w:pPr>
    </w:p>
    <w:p w14:paraId="305F26AC">
      <w:pPr>
        <w:wordWrap w:val="0"/>
        <w:autoSpaceDE w:val="0"/>
        <w:autoSpaceDN w:val="0"/>
        <w:spacing w:line="360" w:lineRule="auto"/>
        <w:rPr>
          <w:rFonts w:ascii="宋体" w:hAnsi="宋体" w:cs="宋体"/>
          <w:highlight w:val="none"/>
        </w:rPr>
      </w:pPr>
    </w:p>
    <w:p w14:paraId="3E1F0795">
      <w:pPr>
        <w:wordWrap w:val="0"/>
        <w:autoSpaceDE w:val="0"/>
        <w:autoSpaceDN w:val="0"/>
        <w:spacing w:line="360" w:lineRule="auto"/>
        <w:rPr>
          <w:rFonts w:ascii="宋体" w:hAnsi="宋体" w:cs="宋体"/>
          <w:highlight w:val="none"/>
        </w:rPr>
      </w:pPr>
    </w:p>
    <w:p w14:paraId="16835525">
      <w:pPr>
        <w:wordWrap w:val="0"/>
        <w:autoSpaceDE w:val="0"/>
        <w:autoSpaceDN w:val="0"/>
        <w:spacing w:line="360" w:lineRule="auto"/>
        <w:rPr>
          <w:rFonts w:ascii="宋体" w:hAnsi="宋体" w:cs="宋体"/>
          <w:highlight w:val="none"/>
        </w:rPr>
      </w:pPr>
    </w:p>
    <w:p w14:paraId="70ADC7D8">
      <w:pPr>
        <w:wordWrap w:val="0"/>
        <w:autoSpaceDE w:val="0"/>
        <w:autoSpaceDN w:val="0"/>
        <w:spacing w:line="360" w:lineRule="auto"/>
        <w:rPr>
          <w:rFonts w:ascii="宋体" w:hAnsi="宋体" w:cs="宋体"/>
          <w:highlight w:val="none"/>
        </w:rPr>
      </w:pPr>
    </w:p>
    <w:p w14:paraId="0A8AEE6A">
      <w:pPr>
        <w:wordWrap w:val="0"/>
        <w:autoSpaceDE w:val="0"/>
        <w:autoSpaceDN w:val="0"/>
        <w:spacing w:line="360" w:lineRule="auto"/>
        <w:rPr>
          <w:rFonts w:ascii="宋体" w:hAnsi="宋体" w:cs="宋体"/>
          <w:highlight w:val="none"/>
        </w:rPr>
      </w:pPr>
    </w:p>
    <w:p w14:paraId="1B508E93">
      <w:pPr>
        <w:wordWrap w:val="0"/>
        <w:autoSpaceDE w:val="0"/>
        <w:autoSpaceDN w:val="0"/>
        <w:spacing w:line="360" w:lineRule="auto"/>
        <w:rPr>
          <w:rFonts w:ascii="宋体" w:hAnsi="宋体" w:cs="宋体"/>
          <w:highlight w:val="none"/>
        </w:rPr>
      </w:pPr>
      <w:bookmarkStart w:id="558" w:name="_Toc9136"/>
    </w:p>
    <w:p w14:paraId="05E41CA3">
      <w:pPr>
        <w:pStyle w:val="35"/>
        <w:wordWrap w:val="0"/>
        <w:autoSpaceDE w:val="0"/>
        <w:autoSpaceDN w:val="0"/>
        <w:adjustRightInd w:val="0"/>
        <w:snapToGrid w:val="0"/>
        <w:spacing w:line="360" w:lineRule="auto"/>
        <w:ind w:left="0" w:firstLine="0"/>
        <w:jc w:val="both"/>
        <w:rPr>
          <w:rFonts w:ascii="宋体" w:hAnsi="宋体" w:cs="宋体"/>
          <w:highlight w:val="none"/>
        </w:rPr>
      </w:pPr>
      <w:bookmarkStart w:id="559" w:name="_Toc31309"/>
      <w:bookmarkStart w:id="560" w:name="_Toc31069"/>
      <w:r>
        <w:rPr>
          <w:rFonts w:hint="eastAsia" w:ascii="宋体" w:hAnsi="宋体" w:cs="宋体"/>
          <w:highlight w:val="none"/>
        </w:rPr>
        <w:t>附件1： 工 程 质 量 保 修 书</w:t>
      </w:r>
      <w:bookmarkEnd w:id="553"/>
      <w:bookmarkEnd w:id="554"/>
      <w:bookmarkEnd w:id="555"/>
      <w:bookmarkEnd w:id="556"/>
      <w:bookmarkEnd w:id="557"/>
      <w:bookmarkEnd w:id="558"/>
      <w:bookmarkEnd w:id="559"/>
      <w:bookmarkEnd w:id="560"/>
    </w:p>
    <w:p w14:paraId="34F20268">
      <w:pPr>
        <w:wordWrap w:val="0"/>
        <w:autoSpaceDE w:val="0"/>
        <w:autoSpaceDN w:val="0"/>
        <w:adjustRightInd w:val="0"/>
        <w:snapToGrid w:val="0"/>
        <w:spacing w:line="360" w:lineRule="auto"/>
        <w:ind w:firstLine="480" w:firstLineChars="200"/>
        <w:rPr>
          <w:rFonts w:ascii="宋体" w:hAnsi="宋体" w:cs="宋体"/>
          <w:bCs/>
          <w:sz w:val="24"/>
          <w:szCs w:val="24"/>
          <w:highlight w:val="none"/>
        </w:rPr>
      </w:pPr>
    </w:p>
    <w:p w14:paraId="5C70B229">
      <w:pPr>
        <w:wordWrap w:val="0"/>
        <w:autoSpaceDE w:val="0"/>
        <w:autoSpaceDN w:val="0"/>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（全称）：</w:t>
      </w:r>
      <w:r>
        <w:rPr>
          <w:rFonts w:hint="eastAsia" w:ascii="宋体" w:hAnsi="宋体" w:cs="宋体"/>
          <w:bCs/>
          <w:sz w:val="24"/>
          <w:szCs w:val="24"/>
          <w:highlight w:val="none"/>
          <w:u w:val="single"/>
        </w:rPr>
        <w:t xml:space="preserve">江苏省渔业技术推广中心      </w:t>
      </w:r>
    </w:p>
    <w:p w14:paraId="207D5770">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（全称）：</w:t>
      </w:r>
      <w:r>
        <w:rPr>
          <w:rFonts w:hint="eastAsia" w:ascii="宋体" w:hAnsi="宋体" w:cs="宋体"/>
          <w:sz w:val="24"/>
          <w:szCs w:val="24"/>
          <w:highlight w:val="none"/>
          <w:u w:val="single"/>
        </w:rPr>
        <w:t xml:space="preserve">                          </w:t>
      </w:r>
    </w:p>
    <w:p w14:paraId="5E005A1E">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为保证</w:t>
      </w:r>
      <w:r>
        <w:rPr>
          <w:rFonts w:hint="eastAsia" w:ascii="宋体" w:hAnsi="宋体" w:cs="宋体"/>
          <w:sz w:val="24"/>
          <w:szCs w:val="24"/>
          <w:highlight w:val="none"/>
          <w:u w:val="single"/>
        </w:rPr>
        <w:t>江苏省渔业技术推广中心扬中基地202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年度运转维护项目</w:t>
      </w:r>
      <w:r>
        <w:rPr>
          <w:rFonts w:hint="eastAsia" w:ascii="宋体" w:hAnsi="宋体" w:cs="宋体"/>
          <w:bCs/>
          <w:sz w:val="24"/>
          <w:szCs w:val="24"/>
          <w:highlight w:val="none"/>
        </w:rPr>
        <w:t>在合理使用期限内正常使用，</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根据《中华人民共和国建筑法》、《建设工程质量管理条例》和《房屋建筑工程质量保修办法》，经协商一致签订本工程质量保修书。</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在质量保修期内按照有关管理规定及双方约定承担工程质量保修责任。</w:t>
      </w:r>
    </w:p>
    <w:p w14:paraId="40CA4CA1">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一、工程质量保修范围和内容</w:t>
      </w:r>
      <w:r>
        <w:rPr>
          <w:rFonts w:hint="eastAsia" w:ascii="宋体" w:hAnsi="宋体" w:cs="宋体"/>
          <w:sz w:val="24"/>
          <w:szCs w:val="24"/>
          <w:highlight w:val="none"/>
        </w:rPr>
        <w:t> </w:t>
      </w:r>
    </w:p>
    <w:p w14:paraId="6076ECAB">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　</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在质量保修期内，按照有关法律、法规、规章的管理规定和双方约定，承担本工程质量保修责任。</w:t>
      </w:r>
      <w:r>
        <w:rPr>
          <w:rFonts w:hint="eastAsia" w:ascii="宋体" w:hAnsi="宋体" w:cs="宋体"/>
          <w:sz w:val="24"/>
          <w:szCs w:val="24"/>
          <w:highlight w:val="none"/>
        </w:rPr>
        <w:t> </w:t>
      </w:r>
    </w:p>
    <w:p w14:paraId="3BB052A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　质量保修范围包括</w:t>
      </w:r>
      <w:r>
        <w:rPr>
          <w:rFonts w:hint="eastAsia" w:ascii="宋体" w:hAnsi="宋体" w:cs="宋体"/>
          <w:bCs/>
          <w:sz w:val="24"/>
          <w:szCs w:val="24"/>
          <w:highlight w:val="none"/>
          <w:u w:val="single"/>
        </w:rPr>
        <w:t>运转维护</w:t>
      </w:r>
      <w:r>
        <w:rPr>
          <w:rFonts w:hint="eastAsia" w:ascii="宋体" w:hAnsi="宋体" w:cs="宋体"/>
          <w:bCs/>
          <w:sz w:val="24"/>
          <w:szCs w:val="24"/>
          <w:highlight w:val="none"/>
          <w:u w:val="single"/>
          <w:lang w:val="en-US" w:eastAsia="zh-CN"/>
        </w:rPr>
        <w:t>全部</w:t>
      </w:r>
      <w:r>
        <w:rPr>
          <w:rFonts w:hint="eastAsia" w:ascii="宋体" w:hAnsi="宋体" w:cs="宋体"/>
          <w:bCs/>
          <w:sz w:val="24"/>
          <w:szCs w:val="24"/>
          <w:highlight w:val="none"/>
          <w:u w:val="single"/>
        </w:rPr>
        <w:t>内容</w:t>
      </w:r>
      <w:r>
        <w:rPr>
          <w:rFonts w:hint="eastAsia" w:ascii="宋体" w:hAnsi="宋体" w:cs="宋体"/>
          <w:bCs/>
          <w:sz w:val="24"/>
          <w:szCs w:val="24"/>
          <w:highlight w:val="none"/>
        </w:rPr>
        <w:t>，以及双方约定的其他项目。</w:t>
      </w:r>
    </w:p>
    <w:p w14:paraId="3FA4DA9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二、质量保修期</w:t>
      </w:r>
      <w:r>
        <w:rPr>
          <w:rFonts w:hint="eastAsia" w:ascii="宋体" w:hAnsi="宋体" w:cs="宋体"/>
          <w:sz w:val="24"/>
          <w:szCs w:val="24"/>
          <w:highlight w:val="none"/>
        </w:rPr>
        <w:t> </w:t>
      </w:r>
    </w:p>
    <w:p w14:paraId="4F340535">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双方根据《建设工程质量管理条例》及有关规定，约定本工程的质量保修期如下：</w:t>
      </w:r>
      <w:r>
        <w:rPr>
          <w:rFonts w:hint="eastAsia" w:ascii="宋体" w:hAnsi="宋体" w:cs="宋体"/>
          <w:sz w:val="24"/>
          <w:szCs w:val="24"/>
          <w:highlight w:val="none"/>
        </w:rPr>
        <w:t>  </w:t>
      </w:r>
    </w:p>
    <w:p w14:paraId="205730E1">
      <w:pPr>
        <w:numPr>
          <w:ilvl w:val="0"/>
          <w:numId w:val="13"/>
        </w:num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本项目保修期限约定如下：</w:t>
      </w:r>
      <w:r>
        <w:rPr>
          <w:rFonts w:hint="eastAsia" w:ascii="宋体" w:hAnsi="宋体" w:cs="宋体"/>
          <w:bCs/>
          <w:sz w:val="24"/>
          <w:szCs w:val="24"/>
          <w:highlight w:val="none"/>
          <w:u w:val="single"/>
        </w:rPr>
        <w:t>本工程质保期为贰年</w:t>
      </w:r>
      <w:r>
        <w:rPr>
          <w:rFonts w:hint="eastAsia" w:ascii="宋体" w:hAnsi="宋体" w:cs="宋体"/>
          <w:bCs/>
          <w:sz w:val="24"/>
          <w:szCs w:val="24"/>
          <w:highlight w:val="none"/>
        </w:rPr>
        <w:t>；</w:t>
      </w:r>
    </w:p>
    <w:p w14:paraId="55961E5A">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bCs/>
          <w:sz w:val="24"/>
          <w:szCs w:val="24"/>
          <w:highlight w:val="none"/>
        </w:rPr>
        <w:t xml:space="preserve"> 质量保修期自工程竣工验收合格之日起计算。</w:t>
      </w:r>
      <w:r>
        <w:rPr>
          <w:rFonts w:hint="eastAsia" w:ascii="宋体" w:hAnsi="宋体" w:cs="宋体"/>
          <w:sz w:val="24"/>
          <w:szCs w:val="24"/>
          <w:highlight w:val="none"/>
        </w:rPr>
        <w:t> </w:t>
      </w:r>
    </w:p>
    <w:p w14:paraId="7A046DF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三、质量保修责任</w:t>
      </w:r>
      <w:r>
        <w:rPr>
          <w:rFonts w:hint="eastAsia" w:ascii="宋体" w:hAnsi="宋体" w:cs="宋体"/>
          <w:sz w:val="24"/>
          <w:szCs w:val="24"/>
          <w:highlight w:val="none"/>
        </w:rPr>
        <w:t> </w:t>
      </w:r>
    </w:p>
    <w:p w14:paraId="639A3DD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1、属于保修范围、内容的项目，</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应当在接到保修通知之日起2天内派人保修。</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不在约定期限内派人保修的，</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可以委托他人修理。</w:t>
      </w:r>
      <w:r>
        <w:rPr>
          <w:rFonts w:hint="eastAsia" w:ascii="宋体" w:hAnsi="宋体" w:cs="宋体"/>
          <w:sz w:val="24"/>
          <w:szCs w:val="24"/>
          <w:highlight w:val="none"/>
        </w:rPr>
        <w:t> </w:t>
      </w:r>
    </w:p>
    <w:p w14:paraId="68B19FE9">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2、发生紧急抢修事故的，</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在接到事故通知后，应在2小时内到达到事故现场抢修。非</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施工质量引起的事故，抢修费用由</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承担。</w:t>
      </w:r>
    </w:p>
    <w:p w14:paraId="439BF504">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3、</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不在约定期限内派人修理，</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可委托其它人员修理，由此产生保修费并加收10%的保管费后从质量保修金内扣除。</w:t>
      </w:r>
      <w:r>
        <w:rPr>
          <w:rFonts w:hint="eastAsia" w:ascii="宋体" w:hAnsi="宋体" w:cs="宋体"/>
          <w:sz w:val="24"/>
          <w:szCs w:val="24"/>
          <w:highlight w:val="none"/>
        </w:rPr>
        <w:t> </w:t>
      </w:r>
    </w:p>
    <w:p w14:paraId="554464F8">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4、在质保期满后，如发生损坏等质量问题时，</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仍需做好售后服务，并在上述时限内赶到现场，及时处理解决。</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可收取相应的材料费用及服务的费用。</w:t>
      </w:r>
      <w:r>
        <w:rPr>
          <w:rFonts w:hint="eastAsia" w:ascii="宋体" w:hAnsi="宋体" w:cs="宋体"/>
          <w:sz w:val="24"/>
          <w:szCs w:val="24"/>
          <w:highlight w:val="none"/>
        </w:rPr>
        <w:t> </w:t>
      </w:r>
    </w:p>
    <w:p w14:paraId="6501C3BA">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5、质保期内凡因质量问题更换的材料其质保期从更换日起计算，相应材料的保修款待维修完成六个月满后支付。</w:t>
      </w:r>
      <w:r>
        <w:rPr>
          <w:rFonts w:hint="eastAsia" w:ascii="宋体" w:hAnsi="宋体" w:cs="宋体"/>
          <w:sz w:val="24"/>
          <w:szCs w:val="24"/>
          <w:highlight w:val="none"/>
        </w:rPr>
        <w:t> </w:t>
      </w:r>
    </w:p>
    <w:p w14:paraId="63680FF3">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6、对于涉及结构安全的质量问题，应当按照《房屋建筑工程质量保修办法》的规定，立即向当地建设行政主管部门报告，采取安全防范措施；由原设计单位或者具有相应资质等级的设计单位提出保修方案，</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实施保修。</w:t>
      </w:r>
      <w:r>
        <w:rPr>
          <w:rFonts w:hint="eastAsia" w:ascii="宋体" w:hAnsi="宋体" w:cs="宋体"/>
          <w:sz w:val="24"/>
          <w:szCs w:val="24"/>
          <w:highlight w:val="none"/>
        </w:rPr>
        <w:t> </w:t>
      </w:r>
    </w:p>
    <w:p w14:paraId="18ACF9EC">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7、质量保修完成后，由</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组织验收。</w:t>
      </w:r>
      <w:r>
        <w:rPr>
          <w:rFonts w:hint="eastAsia" w:ascii="宋体" w:hAnsi="宋体" w:cs="宋体"/>
          <w:sz w:val="24"/>
          <w:szCs w:val="24"/>
          <w:highlight w:val="none"/>
        </w:rPr>
        <w:t> </w:t>
      </w:r>
    </w:p>
    <w:p w14:paraId="4FC50467">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四、保修费用</w:t>
      </w:r>
      <w:r>
        <w:rPr>
          <w:rFonts w:hint="eastAsia" w:ascii="宋体" w:hAnsi="宋体" w:cs="宋体"/>
          <w:sz w:val="24"/>
          <w:szCs w:val="24"/>
          <w:highlight w:val="none"/>
        </w:rPr>
        <w:t> </w:t>
      </w:r>
    </w:p>
    <w:p w14:paraId="15E377A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保修费用由造成质量缺陷的责任方承担。</w:t>
      </w:r>
      <w:r>
        <w:rPr>
          <w:rFonts w:hint="eastAsia" w:ascii="宋体" w:hAnsi="宋体" w:cs="宋体"/>
          <w:sz w:val="24"/>
          <w:szCs w:val="24"/>
          <w:highlight w:val="none"/>
        </w:rPr>
        <w:t> </w:t>
      </w:r>
    </w:p>
    <w:p w14:paraId="2874B16E">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五、质量保修金的支付</w:t>
      </w:r>
      <w:r>
        <w:rPr>
          <w:rFonts w:hint="eastAsia" w:ascii="宋体" w:hAnsi="宋体" w:cs="宋体"/>
          <w:sz w:val="24"/>
          <w:szCs w:val="24"/>
          <w:highlight w:val="none"/>
        </w:rPr>
        <w:t> </w:t>
      </w:r>
    </w:p>
    <w:p w14:paraId="60E9E61E">
      <w:pPr>
        <w:pStyle w:val="3"/>
        <w:rPr>
          <w:rFonts w:hint="eastAsia" w:ascii="宋体" w:hAnsi="宋体" w:cs="宋体"/>
          <w:sz w:val="24"/>
          <w:szCs w:val="24"/>
          <w:highlight w:val="none"/>
        </w:rPr>
      </w:pPr>
      <w:r>
        <w:rPr>
          <w:rFonts w:hint="eastAsia" w:ascii="宋体" w:hAnsi="宋体" w:cs="宋体"/>
          <w:bCs/>
          <w:sz w:val="24"/>
          <w:szCs w:val="24"/>
          <w:highlight w:val="none"/>
        </w:rPr>
        <w:t>本工程双方约定</w:t>
      </w:r>
      <w:r>
        <w:rPr>
          <w:rFonts w:hint="eastAsia" w:ascii="宋体" w:hAnsi="宋体" w:cs="宋体"/>
          <w:sz w:val="24"/>
          <w:szCs w:val="24"/>
          <w:highlight w:val="none"/>
        </w:rPr>
        <w:t>承包人向发包人缴纳中标价的3%履约保证金</w:t>
      </w:r>
      <w:r>
        <w:rPr>
          <w:rFonts w:hint="eastAsia" w:ascii="宋体" w:hAnsi="宋体" w:cs="宋体"/>
          <w:sz w:val="24"/>
          <w:szCs w:val="24"/>
          <w:highlight w:val="none"/>
          <w:lang w:eastAsia="zh-CN"/>
        </w:rPr>
        <w:t>；</w:t>
      </w:r>
      <w:r>
        <w:rPr>
          <w:rFonts w:hint="eastAsia" w:ascii="宋体" w:hAnsi="宋体" w:cs="宋体"/>
          <w:sz w:val="24"/>
          <w:szCs w:val="24"/>
          <w:highlight w:val="none"/>
        </w:rPr>
        <w:t>工程竣工验收合格报告签署之日起自动转为质量保证金</w:t>
      </w:r>
      <w:r>
        <w:rPr>
          <w:rFonts w:hint="eastAsia" w:ascii="宋体" w:hAnsi="宋体" w:cs="宋体"/>
          <w:sz w:val="24"/>
          <w:szCs w:val="24"/>
          <w:highlight w:val="none"/>
          <w:lang w:eastAsia="zh-CN"/>
        </w:rPr>
        <w:t>。</w:t>
      </w:r>
      <w:r>
        <w:rPr>
          <w:rFonts w:hint="eastAsia" w:ascii="宋体" w:hAnsi="宋体" w:cs="宋体"/>
          <w:sz w:val="24"/>
          <w:szCs w:val="24"/>
          <w:highlight w:val="none"/>
        </w:rPr>
        <w:t>保证金3%第一年质保期结束后无息退还质保金的50%，质保期满2年后无息退还全部剩余质保金</w:t>
      </w:r>
      <w:r>
        <w:rPr>
          <w:rFonts w:hint="eastAsia" w:ascii="宋体" w:hAnsi="宋体" w:cs="宋体"/>
          <w:bCs/>
          <w:sz w:val="24"/>
          <w:szCs w:val="24"/>
          <w:highlight w:val="none"/>
        </w:rPr>
        <w:t>。</w:t>
      </w:r>
      <w:r>
        <w:rPr>
          <w:rFonts w:hint="eastAsia" w:ascii="宋体" w:hAnsi="宋体" w:cs="宋体"/>
          <w:sz w:val="24"/>
          <w:szCs w:val="24"/>
          <w:highlight w:val="none"/>
        </w:rPr>
        <w:t> </w:t>
      </w:r>
    </w:p>
    <w:p w14:paraId="69E18C60">
      <w:pPr>
        <w:pStyle w:val="3"/>
        <w:rPr>
          <w:rFonts w:hint="eastAsia" w:ascii="宋体" w:hAnsi="宋体" w:cs="宋体"/>
          <w:sz w:val="24"/>
          <w:szCs w:val="24"/>
          <w:highlight w:val="none"/>
        </w:rPr>
      </w:pPr>
    </w:p>
    <w:p w14:paraId="4ED457A2">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六、质量保修金的返还</w:t>
      </w:r>
      <w:r>
        <w:rPr>
          <w:rFonts w:hint="eastAsia" w:ascii="宋体" w:hAnsi="宋体" w:cs="宋体"/>
          <w:sz w:val="24"/>
          <w:szCs w:val="24"/>
          <w:highlight w:val="none"/>
        </w:rPr>
        <w:t> </w:t>
      </w:r>
    </w:p>
    <w:p w14:paraId="1DD73DBD">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在工程竣工验收通过之日起满1年无息退还质保金的50%，质保期满2年后无息退还全部剩余质保金。</w:t>
      </w:r>
    </w:p>
    <w:p w14:paraId="3E83221D">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
          <w:bCs/>
          <w:sz w:val="24"/>
          <w:szCs w:val="24"/>
          <w:highlight w:val="none"/>
        </w:rPr>
        <w:t>七、其他</w:t>
      </w:r>
      <w:r>
        <w:rPr>
          <w:rFonts w:hint="eastAsia" w:ascii="宋体" w:hAnsi="宋体" w:cs="宋体"/>
          <w:sz w:val="24"/>
          <w:szCs w:val="24"/>
          <w:highlight w:val="none"/>
        </w:rPr>
        <w:t> </w:t>
      </w:r>
    </w:p>
    <w:p w14:paraId="628C286D">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双方约定的其他工程质量保修事项：</w:t>
      </w:r>
      <w:r>
        <w:rPr>
          <w:rFonts w:hint="eastAsia" w:ascii="宋体" w:hAnsi="宋体" w:cs="宋体"/>
          <w:bCs/>
          <w:sz w:val="24"/>
          <w:szCs w:val="24"/>
          <w:highlight w:val="none"/>
          <w:u w:val="single"/>
        </w:rPr>
        <w:t xml:space="preserve">   /   </w:t>
      </w:r>
      <w:r>
        <w:rPr>
          <w:rFonts w:hint="eastAsia" w:ascii="宋体" w:hAnsi="宋体" w:cs="宋体"/>
          <w:bCs/>
          <w:sz w:val="24"/>
          <w:szCs w:val="24"/>
          <w:highlight w:val="none"/>
        </w:rPr>
        <w:t>。</w:t>
      </w:r>
      <w:r>
        <w:rPr>
          <w:rFonts w:hint="eastAsia" w:ascii="宋体" w:hAnsi="宋体" w:cs="宋体"/>
          <w:sz w:val="24"/>
          <w:szCs w:val="24"/>
          <w:highlight w:val="none"/>
        </w:rPr>
        <w:t> </w:t>
      </w:r>
    </w:p>
    <w:p w14:paraId="5C0B5A19">
      <w:pPr>
        <w:wordWrap w:val="0"/>
        <w:autoSpaceDE w:val="0"/>
        <w:autoSpaceDN w:val="0"/>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 本工程质量保修书，由施工合同</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双方在竣工验收前共同签署，作为施工合同附件，其有效期限至保修期满。</w:t>
      </w:r>
      <w:r>
        <w:rPr>
          <w:rFonts w:hint="eastAsia" w:ascii="宋体" w:hAnsi="宋体" w:cs="宋体"/>
          <w:sz w:val="24"/>
          <w:szCs w:val="24"/>
          <w:highlight w:val="none"/>
        </w:rPr>
        <w:t> </w:t>
      </w:r>
    </w:p>
    <w:p w14:paraId="5C7A54F8">
      <w:pPr>
        <w:wordWrap w:val="0"/>
        <w:autoSpaceDE w:val="0"/>
        <w:autoSpaceDN w:val="0"/>
        <w:adjustRightInd w:val="0"/>
        <w:snapToGrid w:val="0"/>
        <w:spacing w:line="360" w:lineRule="auto"/>
        <w:ind w:firstLine="540" w:firstLineChars="200"/>
        <w:rPr>
          <w:rFonts w:ascii="宋体" w:hAnsi="宋体" w:cs="宋体"/>
          <w:sz w:val="24"/>
          <w:szCs w:val="24"/>
          <w:highlight w:val="none"/>
        </w:rPr>
      </w:pPr>
      <w:r>
        <w:rPr>
          <w:rFonts w:hint="eastAsia" w:ascii="宋体" w:hAnsi="宋体" w:cs="宋体"/>
          <w:bCs/>
          <w:spacing w:val="15"/>
          <w:sz w:val="24"/>
          <w:szCs w:val="24"/>
          <w:highlight w:val="none"/>
        </w:rPr>
        <w:t>发　包　人（公章）：　　　　　 承　包　人（公章）： </w:t>
      </w:r>
      <w:r>
        <w:rPr>
          <w:rFonts w:hint="eastAsia" w:ascii="宋体" w:hAnsi="宋体" w:cs="宋体"/>
          <w:bCs/>
          <w:sz w:val="24"/>
          <w:szCs w:val="24"/>
          <w:highlight w:val="none"/>
        </w:rPr>
        <w:t> </w:t>
      </w:r>
      <w:r>
        <w:rPr>
          <w:rFonts w:hint="eastAsia" w:ascii="宋体" w:hAnsi="宋体" w:cs="宋体"/>
          <w:sz w:val="24"/>
          <w:szCs w:val="24"/>
          <w:highlight w:val="none"/>
        </w:rPr>
        <w:t> </w:t>
      </w:r>
    </w:p>
    <w:p w14:paraId="04D53C7D">
      <w:pPr>
        <w:wordWrap w:val="0"/>
        <w:autoSpaceDE w:val="0"/>
        <w:autoSpaceDN w:val="0"/>
        <w:adjustRightInd w:val="0"/>
        <w:snapToGrid w:val="0"/>
        <w:spacing w:line="360" w:lineRule="auto"/>
        <w:rPr>
          <w:rFonts w:ascii="宋体" w:hAnsi="宋体" w:cs="宋体"/>
          <w:sz w:val="24"/>
          <w:szCs w:val="24"/>
          <w:highlight w:val="none"/>
        </w:rPr>
      </w:pPr>
    </w:p>
    <w:p w14:paraId="41EF5BA5">
      <w:pPr>
        <w:wordWrap w:val="0"/>
        <w:autoSpaceDE w:val="0"/>
        <w:autoSpaceDN w:val="0"/>
        <w:adjustRightInd w:val="0"/>
        <w:snapToGrid w:val="0"/>
        <w:spacing w:line="360" w:lineRule="auto"/>
        <w:ind w:firstLine="540" w:firstLineChars="200"/>
        <w:rPr>
          <w:rFonts w:ascii="宋体" w:hAnsi="宋体" w:cs="宋体"/>
          <w:bCs/>
          <w:spacing w:val="15"/>
          <w:sz w:val="24"/>
          <w:szCs w:val="24"/>
          <w:highlight w:val="none"/>
        </w:rPr>
      </w:pPr>
      <w:r>
        <w:rPr>
          <w:rFonts w:hint="eastAsia" w:ascii="宋体" w:hAnsi="宋体" w:cs="宋体"/>
          <w:bCs/>
          <w:spacing w:val="15"/>
          <w:sz w:val="24"/>
          <w:szCs w:val="24"/>
          <w:highlight w:val="none"/>
        </w:rPr>
        <w:t>法定代表人（签字）：　　　　　 法定代表人（签字）：</w:t>
      </w:r>
    </w:p>
    <w:p w14:paraId="2C6BA014">
      <w:pPr>
        <w:wordWrap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bCs/>
          <w:spacing w:val="15"/>
          <w:sz w:val="24"/>
          <w:szCs w:val="24"/>
          <w:highlight w:val="none"/>
        </w:rPr>
        <w:t> </w:t>
      </w:r>
      <w:r>
        <w:rPr>
          <w:rFonts w:hint="eastAsia" w:ascii="宋体" w:hAnsi="宋体" w:cs="宋体"/>
          <w:bCs/>
          <w:sz w:val="24"/>
          <w:szCs w:val="24"/>
          <w:highlight w:val="none"/>
        </w:rPr>
        <w:t> </w:t>
      </w:r>
      <w:r>
        <w:rPr>
          <w:rFonts w:hint="eastAsia" w:ascii="宋体" w:hAnsi="宋体" w:cs="宋体"/>
          <w:sz w:val="24"/>
          <w:szCs w:val="24"/>
          <w:highlight w:val="none"/>
        </w:rPr>
        <w:t xml:space="preserve">        </w:t>
      </w:r>
    </w:p>
    <w:p w14:paraId="6AE43959">
      <w:pPr>
        <w:wordWrap w:val="0"/>
        <w:autoSpaceDE w:val="0"/>
        <w:autoSpaceDN w:val="0"/>
        <w:adjustRightInd w:val="0"/>
        <w:snapToGrid w:val="0"/>
        <w:spacing w:line="360" w:lineRule="auto"/>
        <w:rPr>
          <w:rFonts w:ascii="宋体" w:hAnsi="宋体" w:cs="宋体"/>
          <w:bCs/>
          <w:spacing w:val="15"/>
          <w:sz w:val="24"/>
          <w:szCs w:val="24"/>
          <w:highlight w:val="none"/>
        </w:rPr>
      </w:pPr>
      <w:r>
        <w:rPr>
          <w:rFonts w:hint="eastAsia" w:ascii="宋体" w:hAnsi="宋体" w:cs="宋体"/>
          <w:bCs/>
          <w:spacing w:val="15"/>
          <w:sz w:val="24"/>
          <w:szCs w:val="24"/>
          <w:highlight w:val="none"/>
        </w:rPr>
        <w:t xml:space="preserve">   时间：    年　 月   日　　　　 时间：   年　 月 　日</w:t>
      </w:r>
    </w:p>
    <w:p w14:paraId="35A39AAD">
      <w:pPr>
        <w:wordWrap w:val="0"/>
        <w:autoSpaceDE w:val="0"/>
        <w:autoSpaceDN w:val="0"/>
        <w:adjustRightInd w:val="0"/>
        <w:snapToGrid w:val="0"/>
        <w:spacing w:line="360" w:lineRule="auto"/>
        <w:rPr>
          <w:rFonts w:ascii="宋体" w:hAnsi="宋体" w:cs="宋体"/>
          <w:b/>
          <w:sz w:val="24"/>
          <w:szCs w:val="24"/>
          <w:highlight w:val="none"/>
        </w:rPr>
      </w:pPr>
    </w:p>
    <w:p w14:paraId="522632CB">
      <w:pPr>
        <w:wordWrap w:val="0"/>
        <w:autoSpaceDE w:val="0"/>
        <w:autoSpaceDN w:val="0"/>
        <w:adjustRightInd w:val="0"/>
        <w:snapToGrid w:val="0"/>
        <w:spacing w:line="360" w:lineRule="auto"/>
        <w:rPr>
          <w:rFonts w:ascii="宋体" w:hAnsi="宋体" w:cs="宋体"/>
          <w:b/>
          <w:sz w:val="24"/>
          <w:szCs w:val="24"/>
          <w:highlight w:val="none"/>
        </w:rPr>
      </w:pPr>
    </w:p>
    <w:p w14:paraId="3EF983F5">
      <w:pPr>
        <w:wordWrap w:val="0"/>
        <w:autoSpaceDE w:val="0"/>
        <w:autoSpaceDN w:val="0"/>
        <w:adjustRightInd w:val="0"/>
        <w:snapToGrid w:val="0"/>
        <w:spacing w:line="360" w:lineRule="auto"/>
        <w:rPr>
          <w:rFonts w:ascii="宋体" w:hAnsi="宋体" w:cs="宋体"/>
          <w:b/>
          <w:sz w:val="24"/>
          <w:szCs w:val="24"/>
          <w:highlight w:val="none"/>
        </w:rPr>
      </w:pPr>
    </w:p>
    <w:p w14:paraId="6C6B14FC">
      <w:pPr>
        <w:wordWrap w:val="0"/>
        <w:autoSpaceDE w:val="0"/>
        <w:autoSpaceDN w:val="0"/>
        <w:adjustRightInd w:val="0"/>
        <w:snapToGrid w:val="0"/>
        <w:spacing w:line="360" w:lineRule="auto"/>
        <w:rPr>
          <w:rFonts w:ascii="宋体" w:hAnsi="宋体" w:cs="宋体"/>
          <w:b/>
          <w:sz w:val="24"/>
          <w:szCs w:val="24"/>
          <w:highlight w:val="none"/>
        </w:rPr>
      </w:pPr>
    </w:p>
    <w:p w14:paraId="43AAE302">
      <w:pPr>
        <w:wordWrap w:val="0"/>
        <w:autoSpaceDE w:val="0"/>
        <w:autoSpaceDN w:val="0"/>
        <w:adjustRightInd w:val="0"/>
        <w:snapToGrid w:val="0"/>
        <w:spacing w:line="360" w:lineRule="auto"/>
        <w:rPr>
          <w:rFonts w:ascii="宋体" w:hAnsi="宋体" w:cs="宋体"/>
          <w:b/>
          <w:sz w:val="24"/>
          <w:szCs w:val="24"/>
          <w:highlight w:val="none"/>
        </w:rPr>
      </w:pPr>
      <w:r>
        <w:rPr>
          <w:rFonts w:hint="eastAsia" w:ascii="宋体" w:hAnsi="宋体" w:cs="宋体"/>
          <w:b/>
          <w:sz w:val="24"/>
          <w:szCs w:val="24"/>
          <w:highlight w:val="none"/>
        </w:rPr>
        <w:br w:type="page"/>
      </w:r>
    </w:p>
    <w:p w14:paraId="4A2071E2">
      <w:pPr>
        <w:pStyle w:val="35"/>
        <w:wordWrap w:val="0"/>
        <w:autoSpaceDE w:val="0"/>
        <w:autoSpaceDN w:val="0"/>
        <w:adjustRightInd w:val="0"/>
        <w:snapToGrid w:val="0"/>
        <w:spacing w:line="360" w:lineRule="auto"/>
        <w:ind w:left="0" w:firstLine="280" w:firstLineChars="100"/>
        <w:jc w:val="both"/>
        <w:rPr>
          <w:rFonts w:ascii="宋体" w:hAnsi="宋体" w:cs="宋体"/>
          <w:highlight w:val="none"/>
        </w:rPr>
      </w:pPr>
      <w:bookmarkStart w:id="561" w:name="_Toc2008"/>
      <w:bookmarkStart w:id="562" w:name="_Toc19884"/>
      <w:bookmarkStart w:id="563" w:name="_Toc7233"/>
      <w:bookmarkStart w:id="564" w:name="_Toc22344"/>
      <w:bookmarkStart w:id="565" w:name="_Toc22426"/>
      <w:bookmarkStart w:id="566" w:name="_Toc15905"/>
      <w:bookmarkStart w:id="567" w:name="_Toc29133"/>
      <w:bookmarkStart w:id="568" w:name="_Toc13963"/>
      <w:r>
        <w:rPr>
          <w:rFonts w:hint="eastAsia" w:ascii="宋体" w:hAnsi="宋体" w:cs="宋体"/>
          <w:highlight w:val="none"/>
        </w:rPr>
        <w:t>附件2： 施 工 廉 政 责 任 书</w:t>
      </w:r>
      <w:bookmarkEnd w:id="561"/>
      <w:bookmarkEnd w:id="562"/>
      <w:bookmarkEnd w:id="563"/>
      <w:bookmarkEnd w:id="564"/>
      <w:bookmarkEnd w:id="565"/>
      <w:bookmarkEnd w:id="566"/>
      <w:bookmarkEnd w:id="567"/>
      <w:bookmarkEnd w:id="568"/>
    </w:p>
    <w:p w14:paraId="1B212101">
      <w:pPr>
        <w:wordWrap w:val="0"/>
        <w:autoSpaceDE w:val="0"/>
        <w:autoSpaceDN w:val="0"/>
        <w:adjustRightInd w:val="0"/>
        <w:snapToGrid w:val="0"/>
        <w:spacing w:line="360" w:lineRule="auto"/>
        <w:ind w:left="2160" w:hanging="2160" w:hangingChars="900"/>
        <w:rPr>
          <w:rFonts w:ascii="宋体" w:hAnsi="宋体" w:cs="宋体"/>
          <w:sz w:val="24"/>
          <w:szCs w:val="24"/>
          <w:highlight w:val="none"/>
          <w:u w:val="single"/>
        </w:rPr>
      </w:pPr>
      <w:r>
        <w:rPr>
          <w:rFonts w:hint="eastAsia" w:ascii="宋体" w:hAnsi="宋体" w:cs="宋体"/>
          <w:bCs/>
          <w:sz w:val="24"/>
          <w:szCs w:val="24"/>
          <w:highlight w:val="none"/>
        </w:rPr>
        <w:t>项目名称：</w:t>
      </w:r>
      <w:r>
        <w:rPr>
          <w:rFonts w:hint="eastAsia" w:ascii="宋体" w:hAnsi="宋体" w:cs="宋体"/>
          <w:sz w:val="24"/>
          <w:szCs w:val="24"/>
          <w:highlight w:val="none"/>
          <w:u w:val="single"/>
        </w:rPr>
        <w:t>江苏省渔业技术推广中心扬中基地202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年度运转维护项目</w:t>
      </w:r>
    </w:p>
    <w:p w14:paraId="63CC49F4">
      <w:pPr>
        <w:wordWrap w:val="0"/>
        <w:autoSpaceDE w:val="0"/>
        <w:autoSpaceDN w:val="0"/>
        <w:adjustRightInd w:val="0"/>
        <w:snapToGrid w:val="0"/>
        <w:spacing w:line="360" w:lineRule="auto"/>
        <w:ind w:left="2160" w:hanging="2160" w:hangingChars="900"/>
        <w:rPr>
          <w:rFonts w:ascii="宋体" w:hAnsi="宋体" w:cs="宋体"/>
          <w:bCs/>
          <w:sz w:val="24"/>
          <w:szCs w:val="24"/>
          <w:highlight w:val="none"/>
        </w:rPr>
      </w:pP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w:t>
      </w:r>
      <w:r>
        <w:rPr>
          <w:rFonts w:hint="eastAsia" w:ascii="宋体" w:hAnsi="宋体" w:cs="宋体"/>
          <w:bCs/>
          <w:sz w:val="24"/>
          <w:szCs w:val="24"/>
          <w:highlight w:val="none"/>
          <w:u w:val="single"/>
        </w:rPr>
        <w:t xml:space="preserve">江苏省渔业技术推广中心 </w:t>
      </w:r>
    </w:p>
    <w:p w14:paraId="48F8CCAE">
      <w:pPr>
        <w:wordWrap w:val="0"/>
        <w:autoSpaceDE w:val="0"/>
        <w:autoSpaceDN w:val="0"/>
        <w:adjustRightInd w:val="0"/>
        <w:snapToGrid w:val="0"/>
        <w:spacing w:line="360" w:lineRule="auto"/>
        <w:rPr>
          <w:rFonts w:ascii="宋体" w:hAnsi="宋体" w:cs="宋体"/>
          <w:bCs/>
          <w:sz w:val="24"/>
          <w:szCs w:val="24"/>
          <w:highlight w:val="none"/>
          <w:u w:val="single"/>
        </w:rPr>
      </w:pP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w:t>
      </w:r>
      <w:r>
        <w:rPr>
          <w:rFonts w:hint="eastAsia" w:ascii="宋体" w:hAnsi="宋体" w:cs="宋体"/>
          <w:bCs/>
          <w:sz w:val="24"/>
          <w:szCs w:val="24"/>
          <w:highlight w:val="none"/>
          <w:u w:val="single"/>
        </w:rPr>
        <w:t xml:space="preserve">                       </w:t>
      </w:r>
    </w:p>
    <w:p w14:paraId="632F4093">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为了在工程项目建设中保持廉洁自律的工作作风，防止各种不正当行为的发生，根据廉政建设的各项规定，结合工程项目的特点，特定立本合同如下：</w:t>
      </w:r>
    </w:p>
    <w:p w14:paraId="25DC7D80">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双方应当自觉遵守国家和所在地区关于工程承发包工作规则和廉政建设的各项规定。</w:t>
      </w:r>
    </w:p>
    <w:p w14:paraId="5220B681">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二、</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及其工作人员不得以任何形式向</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索要和收受回扣等好处费。</w:t>
      </w:r>
    </w:p>
    <w:p w14:paraId="53A3CFA7">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工作人员应当保持与</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的正常业务交往，不得接受</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的礼金、有价证券和贵重物品，不得在</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报销任何应由个人支付的费用。</w:t>
      </w:r>
    </w:p>
    <w:p w14:paraId="49188BD5">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四、</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工作人员不得参加</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的宴请和娱乐活动。</w:t>
      </w:r>
    </w:p>
    <w:p w14:paraId="11F6D478">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五、</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工作人员不得要求或者接受</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为其住房装修、婚丧嫁娶、家属和子女的工作安排以及出国提供方便。</w:t>
      </w:r>
    </w:p>
    <w:p w14:paraId="3C68B340">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六、</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工作人员不得向</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介绍家属或者亲友从事与</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工程有关的材料设备供应、工程分包等经济活动。</w:t>
      </w:r>
    </w:p>
    <w:p w14:paraId="250E6F4C">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七、</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应当通过正常途径开展相对业务工作，不得为获取某些不正当利益而向</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工作人员赠送礼金、有价证券和贵重物品等。</w:t>
      </w:r>
    </w:p>
    <w:p w14:paraId="2E3AC8EE">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八、</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不得为谋取私利擅自与</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工作人员就工程承包、工程费用、材料设备供应、工程量变动、工程验收、工程质量问题等进行私下商谈或者达成默契。</w:t>
      </w:r>
    </w:p>
    <w:p w14:paraId="7251625F">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九、</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不得以洽谈业务、签订经济合同为借口，邀请</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工作人员外出旅游和进入营业性高档娱乐场所。</w:t>
      </w:r>
    </w:p>
    <w:p w14:paraId="0951B603">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十、</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不得为</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单位和个人购置或者提供通讯工具、交通工具、家电、高档办公用品等物品。</w:t>
      </w:r>
    </w:p>
    <w:p w14:paraId="7D0D8B18">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十一、</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如发现</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工作人员有违反上述协议者，应向</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领导或者</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上级单位举报。</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不得找任何借口对</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进行报复。</w:t>
      </w:r>
    </w:p>
    <w:p w14:paraId="0AC18661">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十二、</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发现</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有违反本协议或者采取不正当的手段行贿</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工作人员，</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根据具体情节和造成的后果追究</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工程合同造价1～5％的违约金。由此给</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单位造成的损失均有</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承担，</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用不正当手段获取的非法所得由</w:t>
      </w: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单位予以追缴。</w:t>
      </w:r>
    </w:p>
    <w:p w14:paraId="119A0FC8">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十三、本廉洁合同作为</w:t>
      </w:r>
      <w:r>
        <w:rPr>
          <w:rFonts w:hint="eastAsia" w:ascii="宋体" w:hAnsi="宋体" w:cs="宋体"/>
          <w:sz w:val="24"/>
          <w:szCs w:val="24"/>
          <w:highlight w:val="none"/>
          <w:u w:val="single"/>
        </w:rPr>
        <w:t>江苏省渔业技术推广中心扬中基地202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年度运转维护项目</w:t>
      </w:r>
      <w:r>
        <w:rPr>
          <w:rFonts w:hint="eastAsia" w:ascii="宋体" w:hAnsi="宋体" w:cs="宋体"/>
          <w:bCs/>
          <w:sz w:val="24"/>
          <w:szCs w:val="24"/>
          <w:highlight w:val="none"/>
        </w:rPr>
        <w:t>施工承发包合同的附件，与工程承发包合同具有同等法律效力。经协议双方签署后立即生效。</w:t>
      </w:r>
    </w:p>
    <w:p w14:paraId="71C4B151">
      <w:pPr>
        <w:wordWrap w:val="0"/>
        <w:autoSpaceDE w:val="0"/>
        <w:autoSpaceDN w:val="0"/>
        <w:adjustRightInd w:val="0"/>
        <w:snapToGrid w:val="0"/>
        <w:spacing w:line="360" w:lineRule="auto"/>
        <w:ind w:firstLine="480" w:firstLineChars="200"/>
        <w:rPr>
          <w:rFonts w:ascii="宋体" w:hAnsi="宋体" w:cs="宋体"/>
          <w:bCs/>
          <w:sz w:val="24"/>
          <w:szCs w:val="24"/>
          <w:highlight w:val="none"/>
        </w:rPr>
      </w:pPr>
    </w:p>
    <w:p w14:paraId="06AD7C36">
      <w:pPr>
        <w:wordWrap w:val="0"/>
        <w:autoSpaceDE w:val="0"/>
        <w:autoSpaceDN w:val="0"/>
        <w:adjustRightInd w:val="0"/>
        <w:snapToGrid w:val="0"/>
        <w:spacing w:line="360" w:lineRule="auto"/>
        <w:ind w:firstLine="360" w:firstLineChars="150"/>
        <w:rPr>
          <w:rFonts w:ascii="宋体" w:hAnsi="宋体" w:cs="宋体"/>
          <w:bCs/>
          <w:sz w:val="24"/>
          <w:szCs w:val="24"/>
          <w:highlight w:val="none"/>
        </w:rPr>
      </w:pPr>
      <w:r>
        <w:rPr>
          <w:rFonts w:hint="eastAsia" w:ascii="宋体" w:hAnsi="宋体" w:cs="宋体"/>
          <w:bCs/>
          <w:sz w:val="24"/>
          <w:szCs w:val="24"/>
          <w:highlight w:val="none"/>
          <w:lang w:eastAsia="zh-CN"/>
        </w:rPr>
        <w:t>发包人</w:t>
      </w:r>
      <w:r>
        <w:rPr>
          <w:rFonts w:hint="eastAsia" w:ascii="宋体" w:hAnsi="宋体" w:cs="宋体"/>
          <w:bCs/>
          <w:sz w:val="24"/>
          <w:szCs w:val="24"/>
          <w:highlight w:val="none"/>
        </w:rPr>
        <w:t xml:space="preserve">：(盖章)                            </w:t>
      </w:r>
      <w:r>
        <w:rPr>
          <w:rFonts w:hint="eastAsia" w:ascii="宋体" w:hAnsi="宋体" w:cs="宋体"/>
          <w:bCs/>
          <w:sz w:val="24"/>
          <w:szCs w:val="24"/>
          <w:highlight w:val="none"/>
          <w:lang w:eastAsia="zh-CN"/>
        </w:rPr>
        <w:t>承包人</w:t>
      </w:r>
      <w:r>
        <w:rPr>
          <w:rFonts w:hint="eastAsia" w:ascii="宋体" w:hAnsi="宋体" w:cs="宋体"/>
          <w:bCs/>
          <w:sz w:val="24"/>
          <w:szCs w:val="24"/>
          <w:highlight w:val="none"/>
        </w:rPr>
        <w:t>：（盖章）</w:t>
      </w:r>
    </w:p>
    <w:p w14:paraId="3FB6EE9D">
      <w:pPr>
        <w:wordWrap w:val="0"/>
        <w:autoSpaceDE w:val="0"/>
        <w:autoSpaceDN w:val="0"/>
        <w:adjustRightInd w:val="0"/>
        <w:snapToGrid w:val="0"/>
        <w:spacing w:line="360" w:lineRule="auto"/>
        <w:ind w:firstLine="360" w:firstLineChars="150"/>
        <w:rPr>
          <w:rFonts w:ascii="宋体" w:hAnsi="宋体" w:cs="宋体"/>
          <w:bCs/>
          <w:sz w:val="24"/>
          <w:szCs w:val="24"/>
          <w:highlight w:val="none"/>
        </w:rPr>
      </w:pPr>
    </w:p>
    <w:p w14:paraId="0B7507DC">
      <w:pPr>
        <w:wordWrap w:val="0"/>
        <w:autoSpaceDE w:val="0"/>
        <w:autoSpaceDN w:val="0"/>
        <w:adjustRightInd w:val="0"/>
        <w:snapToGrid w:val="0"/>
        <w:spacing w:line="36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 xml:space="preserve">法定代表人：                            法定代表人：                     </w:t>
      </w:r>
    </w:p>
    <w:p w14:paraId="0E006505">
      <w:pPr>
        <w:wordWrap w:val="0"/>
        <w:autoSpaceDE w:val="0"/>
        <w:autoSpaceDN w:val="0"/>
        <w:adjustRightInd w:val="0"/>
        <w:snapToGrid w:val="0"/>
        <w:spacing w:line="360" w:lineRule="auto"/>
        <w:ind w:firstLine="480" w:firstLineChars="200"/>
        <w:rPr>
          <w:rFonts w:ascii="宋体" w:hAnsi="宋体" w:cs="宋体"/>
          <w:bCs/>
          <w:sz w:val="24"/>
          <w:szCs w:val="24"/>
          <w:highlight w:val="none"/>
        </w:rPr>
      </w:pPr>
    </w:p>
    <w:p w14:paraId="632D7CE2">
      <w:pPr>
        <w:wordWrap w:val="0"/>
        <w:autoSpaceDE w:val="0"/>
        <w:autoSpaceDN w:val="0"/>
        <w:adjustRightInd w:val="0"/>
        <w:snapToGrid w:val="0"/>
        <w:spacing w:line="360" w:lineRule="auto"/>
        <w:ind w:firstLine="360" w:firstLineChars="150"/>
        <w:rPr>
          <w:rFonts w:ascii="宋体" w:hAnsi="宋体" w:cs="宋体"/>
          <w:bCs/>
          <w:sz w:val="24"/>
          <w:highlight w:val="none"/>
        </w:rPr>
      </w:pPr>
      <w:r>
        <w:rPr>
          <w:rFonts w:hint="eastAsia" w:ascii="宋体" w:hAnsi="宋体" w:cs="宋体"/>
          <w:bCs/>
          <w:sz w:val="24"/>
          <w:szCs w:val="24"/>
          <w:highlight w:val="none"/>
        </w:rPr>
        <w:t>日期：     年   月   日                 日期：     年   月  日</w:t>
      </w:r>
      <w:r>
        <w:rPr>
          <w:rFonts w:hint="eastAsia" w:ascii="宋体" w:hAnsi="宋体" w:cs="宋体"/>
          <w:bCs/>
          <w:sz w:val="24"/>
          <w:highlight w:val="none"/>
        </w:rPr>
        <w:br w:type="page"/>
      </w:r>
    </w:p>
    <w:bookmarkEnd w:id="130"/>
    <w:bookmarkEnd w:id="131"/>
    <w:bookmarkEnd w:id="132"/>
    <w:p w14:paraId="22A68D0E">
      <w:pPr>
        <w:pStyle w:val="34"/>
        <w:pageBreakBefore/>
        <w:spacing w:after="312" w:line="360" w:lineRule="auto"/>
        <w:ind w:left="402" w:hanging="400" w:hangingChars="100"/>
        <w:textAlignment w:val="baseline"/>
        <w:rPr>
          <w:rFonts w:ascii="宋体" w:hAnsi="宋体" w:eastAsia="宋体" w:cs="仿宋"/>
          <w:sz w:val="40"/>
          <w:highlight w:val="none"/>
        </w:rPr>
      </w:pPr>
      <w:bookmarkStart w:id="569" w:name="_Toc21733"/>
      <w:bookmarkStart w:id="570" w:name="_Toc11683"/>
      <w:bookmarkStart w:id="571" w:name="_Toc1992"/>
      <w:r>
        <w:rPr>
          <w:rFonts w:hint="eastAsia" w:ascii="宋体" w:hAnsi="宋体" w:eastAsia="宋体" w:cs="仿宋"/>
          <w:sz w:val="40"/>
          <w:highlight w:val="none"/>
        </w:rPr>
        <w:t xml:space="preserve">第四章  项目需求                                  </w:t>
      </w:r>
    </w:p>
    <w:bookmarkEnd w:id="569"/>
    <w:bookmarkEnd w:id="570"/>
    <w:bookmarkEnd w:id="571"/>
    <w:p w14:paraId="049AAE25">
      <w:pPr>
        <w:wordWrap w:val="0"/>
        <w:autoSpaceDE w:val="0"/>
        <w:autoSpaceDN w:val="0"/>
        <w:snapToGrid w:val="0"/>
        <w:spacing w:line="360" w:lineRule="auto"/>
        <w:rPr>
          <w:rFonts w:hint="eastAsia" w:ascii="宋体" w:hAnsi="宋体" w:eastAsia="宋体" w:cs="宋体"/>
          <w:b/>
          <w:bCs w:val="0"/>
          <w:sz w:val="24"/>
          <w:highlight w:val="none"/>
          <w:lang w:val="en-US" w:eastAsia="zh-CN"/>
        </w:rPr>
      </w:pPr>
      <w:bookmarkStart w:id="572" w:name="_Toc324237156"/>
      <w:bookmarkStart w:id="573" w:name="_Toc18960"/>
      <w:r>
        <w:rPr>
          <w:rFonts w:hint="eastAsia" w:ascii="宋体" w:hAnsi="宋体" w:eastAsia="宋体" w:cs="宋体"/>
          <w:b/>
          <w:bCs w:val="0"/>
          <w:sz w:val="24"/>
          <w:highlight w:val="none"/>
          <w:lang w:val="en-US" w:eastAsia="zh-CN"/>
        </w:rPr>
        <w:t>一、项目概况：</w:t>
      </w:r>
    </w:p>
    <w:p w14:paraId="6ABE3F4C">
      <w:pPr>
        <w:wordWrap w:val="0"/>
        <w:autoSpaceDE w:val="0"/>
        <w:autoSpaceDN w:val="0"/>
        <w:snapToGrid w:val="0"/>
        <w:spacing w:line="360" w:lineRule="auto"/>
        <w:rPr>
          <w:rFonts w:hint="eastAsia" w:ascii="宋体" w:hAnsi="宋体" w:eastAsia="宋体" w:cs="宋体"/>
          <w:bCs/>
          <w:sz w:val="24"/>
          <w:highlight w:val="none"/>
          <w:lang w:eastAsia="zh-CN"/>
        </w:rPr>
      </w:pPr>
      <w:r>
        <w:rPr>
          <w:rFonts w:hint="eastAsia" w:ascii="宋体" w:hAnsi="宋体" w:cs="宋体"/>
          <w:b/>
          <w:bCs w:val="0"/>
          <w:sz w:val="24"/>
          <w:highlight w:val="none"/>
        </w:rPr>
        <w:t>1、项目</w:t>
      </w:r>
      <w:r>
        <w:rPr>
          <w:rFonts w:hint="eastAsia" w:ascii="宋体" w:hAnsi="宋体" w:cs="宋体"/>
          <w:b/>
          <w:bCs w:val="0"/>
          <w:sz w:val="24"/>
          <w:highlight w:val="none"/>
          <w:lang w:val="en-US" w:eastAsia="zh-CN"/>
        </w:rPr>
        <w:t>位置：</w:t>
      </w:r>
      <w:r>
        <w:rPr>
          <w:rFonts w:hint="eastAsia" w:ascii="宋体" w:hAnsi="宋体" w:cs="宋体"/>
          <w:bCs/>
          <w:sz w:val="24"/>
          <w:highlight w:val="none"/>
        </w:rPr>
        <w:t>江苏省扬中市</w:t>
      </w:r>
      <w:r>
        <w:rPr>
          <w:rFonts w:hint="eastAsia" w:ascii="宋体" w:hAnsi="宋体" w:cs="宋体"/>
          <w:bCs/>
          <w:sz w:val="24"/>
          <w:highlight w:val="none"/>
          <w:lang w:eastAsia="zh-CN"/>
        </w:rPr>
        <w:t>；</w:t>
      </w:r>
    </w:p>
    <w:p w14:paraId="17A9505A">
      <w:pPr>
        <w:wordWrap w:val="0"/>
        <w:autoSpaceDE w:val="0"/>
        <w:autoSpaceDN w:val="0"/>
        <w:snapToGrid w:val="0"/>
        <w:spacing w:line="360" w:lineRule="auto"/>
        <w:rPr>
          <w:rFonts w:hint="eastAsia" w:ascii="宋体" w:hAnsi="宋体" w:cs="宋体"/>
          <w:bCs/>
          <w:sz w:val="24"/>
          <w:highlight w:val="none"/>
        </w:rPr>
      </w:pPr>
      <w:bookmarkStart w:id="574" w:name="_Toc5922"/>
      <w:bookmarkStart w:id="575" w:name="_Toc30195"/>
      <w:bookmarkStart w:id="576" w:name="_Toc15807"/>
      <w:r>
        <w:rPr>
          <w:rFonts w:hint="eastAsia" w:ascii="宋体" w:hAnsi="宋体" w:cs="宋体"/>
          <w:b/>
          <w:bCs w:val="0"/>
          <w:sz w:val="24"/>
          <w:highlight w:val="none"/>
        </w:rPr>
        <w:t>2、采购内容：</w:t>
      </w:r>
      <w:r>
        <w:rPr>
          <w:rFonts w:hint="eastAsia" w:ascii="宋体" w:hAnsi="宋体" w:cs="宋体"/>
          <w:bCs/>
          <w:sz w:val="24"/>
          <w:highlight w:val="none"/>
        </w:rPr>
        <w:t>江苏省渔业技术推广中心扬中基地202</w:t>
      </w:r>
      <w:r>
        <w:rPr>
          <w:rFonts w:hint="eastAsia" w:ascii="宋体" w:hAnsi="宋体" w:cs="宋体"/>
          <w:bCs/>
          <w:sz w:val="24"/>
          <w:highlight w:val="none"/>
          <w:lang w:val="en-US" w:eastAsia="zh-CN"/>
        </w:rPr>
        <w:t>6</w:t>
      </w:r>
      <w:r>
        <w:rPr>
          <w:rFonts w:hint="eastAsia" w:ascii="宋体" w:hAnsi="宋体" w:cs="宋体"/>
          <w:bCs/>
          <w:sz w:val="24"/>
          <w:highlight w:val="none"/>
        </w:rPr>
        <w:t xml:space="preserve">年度运转维护项目。 </w:t>
      </w:r>
    </w:p>
    <w:p w14:paraId="37562BE4">
      <w:pPr>
        <w:wordWrap w:val="0"/>
        <w:autoSpaceDE w:val="0"/>
        <w:autoSpaceDN w:val="0"/>
        <w:snapToGrid w:val="0"/>
        <w:spacing w:line="360" w:lineRule="auto"/>
        <w:rPr>
          <w:rFonts w:hint="eastAsia" w:ascii="宋体" w:hAnsi="宋体" w:cs="宋体"/>
          <w:b/>
          <w:bCs w:val="0"/>
          <w:sz w:val="24"/>
          <w:highlight w:val="none"/>
        </w:rPr>
      </w:pPr>
      <w:r>
        <w:rPr>
          <w:rFonts w:hint="eastAsia" w:ascii="宋体" w:hAnsi="宋体" w:cs="宋体"/>
          <w:b/>
          <w:bCs w:val="0"/>
          <w:sz w:val="24"/>
          <w:highlight w:val="none"/>
        </w:rPr>
        <w:t>3、采购数量：</w:t>
      </w:r>
    </w:p>
    <w:p w14:paraId="3FB77BBD">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（1）池塘护坡面积16900m2；</w:t>
      </w:r>
    </w:p>
    <w:p w14:paraId="452DB8ED">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（2）道路硬化面积1415m2；</w:t>
      </w:r>
    </w:p>
    <w:p w14:paraId="31877DD0">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（3）电缆井及配电箱维修15处；</w:t>
      </w:r>
    </w:p>
    <w:p w14:paraId="70616F40">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（4）塘口增氧系统改造11处，相应增氧管增氧盘维修更换；</w:t>
      </w:r>
    </w:p>
    <w:p w14:paraId="0D702071">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（5）水源池水泵维修改造2套。</w:t>
      </w:r>
    </w:p>
    <w:p w14:paraId="175CB598">
      <w:pPr>
        <w:wordWrap w:val="0"/>
        <w:autoSpaceDE w:val="0"/>
        <w:autoSpaceDN w:val="0"/>
        <w:snapToGrid w:val="0"/>
        <w:spacing w:line="360" w:lineRule="auto"/>
        <w:rPr>
          <w:rFonts w:hint="eastAsia" w:ascii="宋体" w:hAnsi="宋体" w:cs="宋体"/>
          <w:b/>
          <w:bCs w:val="0"/>
          <w:sz w:val="24"/>
          <w:highlight w:val="none"/>
        </w:rPr>
      </w:pPr>
      <w:r>
        <w:rPr>
          <w:rFonts w:hint="eastAsia" w:ascii="宋体" w:hAnsi="宋体" w:cs="宋体"/>
          <w:b/>
          <w:bCs w:val="0"/>
          <w:sz w:val="24"/>
          <w:highlight w:val="none"/>
        </w:rPr>
        <w:t>4、</w:t>
      </w:r>
      <w:r>
        <w:rPr>
          <w:rFonts w:hint="eastAsia" w:ascii="宋体" w:hAnsi="宋体" w:cs="宋体"/>
          <w:b/>
          <w:bCs w:val="0"/>
          <w:sz w:val="24"/>
          <w:highlight w:val="none"/>
          <w:lang w:val="en-US" w:eastAsia="zh-CN"/>
        </w:rPr>
        <w:t>服务</w:t>
      </w:r>
      <w:r>
        <w:rPr>
          <w:rFonts w:hint="eastAsia" w:ascii="宋体" w:hAnsi="宋体" w:cs="宋体"/>
          <w:b/>
          <w:bCs w:val="0"/>
          <w:sz w:val="24"/>
          <w:highlight w:val="none"/>
        </w:rPr>
        <w:t>范围：</w:t>
      </w:r>
    </w:p>
    <w:p w14:paraId="0407A8FC">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（1）池塘护坡改造加固（坡面平整，铺设水泥毯）；</w:t>
      </w:r>
    </w:p>
    <w:p w14:paraId="77171D20">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（2）道路硬化；</w:t>
      </w:r>
    </w:p>
    <w:p w14:paraId="137152C9">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（3）电缆井及配电箱维修；</w:t>
      </w:r>
    </w:p>
    <w:p w14:paraId="53644878">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（4）塘口增氧系统改造，相应增氧管增氧盘维修更换；</w:t>
      </w:r>
    </w:p>
    <w:p w14:paraId="6312E64A">
      <w:p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（5）水源池水泵维修改造。</w:t>
      </w:r>
    </w:p>
    <w:p w14:paraId="5A3F7A06">
      <w:pPr>
        <w:wordWrap w:val="0"/>
        <w:autoSpaceDE w:val="0"/>
        <w:autoSpaceDN w:val="0"/>
        <w:snapToGrid w:val="0"/>
        <w:spacing w:line="360" w:lineRule="auto"/>
        <w:rPr>
          <w:rFonts w:hint="eastAsia" w:ascii="宋体" w:hAnsi="宋体" w:cs="宋体"/>
          <w:b/>
          <w:bCs w:val="0"/>
          <w:sz w:val="24"/>
          <w:highlight w:val="none"/>
        </w:rPr>
      </w:pPr>
      <w:r>
        <w:rPr>
          <w:rFonts w:hint="eastAsia" w:ascii="宋体" w:hAnsi="宋体" w:cs="宋体"/>
          <w:b/>
          <w:bCs w:val="0"/>
          <w:sz w:val="24"/>
          <w:highlight w:val="none"/>
        </w:rPr>
        <w:t>5、质量标准：</w:t>
      </w:r>
    </w:p>
    <w:p w14:paraId="7F8B94E7">
      <w:pPr>
        <w:wordWrap w:val="0"/>
        <w:autoSpaceDE w:val="0"/>
        <w:autoSpaceDN w:val="0"/>
        <w:snapToGrid w:val="0"/>
        <w:spacing w:line="360" w:lineRule="auto"/>
        <w:rPr>
          <w:rFonts w:hint="eastAsia" w:ascii="宋体" w:hAnsi="宋体" w:cs="宋体"/>
          <w:bCs/>
          <w:sz w:val="24"/>
          <w:highlight w:val="none"/>
          <w:lang w:eastAsia="zh-CN"/>
        </w:rPr>
      </w:pPr>
      <w:r>
        <w:rPr>
          <w:rFonts w:hint="eastAsia" w:ascii="宋体" w:hAnsi="宋体" w:cs="宋体"/>
          <w:bCs/>
          <w:sz w:val="24"/>
          <w:highlight w:val="none"/>
          <w:lang w:eastAsia="zh-CN"/>
        </w:rPr>
        <w:t>（1）所提供维修服务的技术规格应与招标文件规定的技术规格及要求相一致。</w:t>
      </w:r>
    </w:p>
    <w:p w14:paraId="08293AA4">
      <w:pPr>
        <w:wordWrap w:val="0"/>
        <w:autoSpaceDE w:val="0"/>
        <w:autoSpaceDN w:val="0"/>
        <w:snapToGrid w:val="0"/>
        <w:spacing w:line="360" w:lineRule="auto"/>
        <w:rPr>
          <w:rFonts w:hint="eastAsia" w:ascii="宋体" w:hAnsi="宋体" w:cs="宋体"/>
          <w:bCs/>
          <w:sz w:val="24"/>
          <w:highlight w:val="none"/>
          <w:lang w:eastAsia="zh-CN"/>
        </w:rPr>
      </w:pPr>
      <w:r>
        <w:rPr>
          <w:rFonts w:hint="eastAsia" w:ascii="宋体" w:hAnsi="宋体" w:cs="宋体"/>
          <w:bCs/>
          <w:sz w:val="24"/>
          <w:highlight w:val="none"/>
          <w:lang w:eastAsia="zh-CN"/>
        </w:rPr>
        <w:t xml:space="preserve">（2）维修完全按照国家有关标准，并完全符合合同规定的质量、规格和性能要求。池塘等在正常使用和保养条件下，在其使用寿命内具有良好的性能。 </w:t>
      </w:r>
    </w:p>
    <w:p w14:paraId="793BBC40">
      <w:pPr>
        <w:wordWrap w:val="0"/>
        <w:autoSpaceDE w:val="0"/>
        <w:autoSpaceDN w:val="0"/>
        <w:snapToGrid w:val="0"/>
        <w:spacing w:line="360" w:lineRule="auto"/>
        <w:rPr>
          <w:rFonts w:hint="eastAsia" w:ascii="宋体" w:hAnsi="宋体" w:cs="宋体"/>
          <w:bCs/>
          <w:sz w:val="24"/>
          <w:highlight w:val="none"/>
          <w:lang w:val="en-US" w:eastAsia="zh-CN"/>
        </w:rPr>
      </w:pPr>
      <w:r>
        <w:rPr>
          <w:rFonts w:hint="eastAsia" w:ascii="宋体" w:hAnsi="宋体" w:cs="宋体"/>
          <w:b/>
          <w:bCs w:val="0"/>
          <w:sz w:val="24"/>
          <w:highlight w:val="none"/>
        </w:rPr>
        <w:t>6、服务时限：</w:t>
      </w:r>
      <w:r>
        <w:rPr>
          <w:rFonts w:hint="eastAsia" w:ascii="宋体" w:hAnsi="宋体" w:cs="宋体"/>
          <w:b w:val="0"/>
          <w:bCs/>
          <w:sz w:val="24"/>
          <w:highlight w:val="none"/>
          <w:lang w:val="en-US" w:eastAsia="zh-CN"/>
        </w:rPr>
        <w:t>按采购人要求。</w:t>
      </w:r>
    </w:p>
    <w:p w14:paraId="5C30FAD6">
      <w:pPr>
        <w:wordWrap w:val="0"/>
        <w:autoSpaceDE w:val="0"/>
        <w:autoSpaceDN w:val="0"/>
        <w:snapToGrid w:val="0"/>
        <w:spacing w:line="360" w:lineRule="auto"/>
        <w:rPr>
          <w:rFonts w:hint="eastAsia" w:ascii="宋体" w:hAnsi="宋体" w:cs="宋体"/>
          <w:b/>
          <w:bCs w:val="0"/>
          <w:sz w:val="24"/>
          <w:highlight w:val="none"/>
        </w:rPr>
      </w:pPr>
      <w:r>
        <w:rPr>
          <w:rFonts w:hint="eastAsia" w:ascii="宋体" w:hAnsi="宋体" w:cs="宋体"/>
          <w:b/>
          <w:bCs w:val="0"/>
          <w:sz w:val="24"/>
          <w:highlight w:val="none"/>
        </w:rPr>
        <w:t>7、主要技术参数及性能指标：</w:t>
      </w:r>
    </w:p>
    <w:p w14:paraId="18996E64">
      <w:pPr>
        <w:numPr>
          <w:ilvl w:val="0"/>
          <w:numId w:val="0"/>
        </w:num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（1）池塘护坡：铺设水泥毯（水泥毯参数：理论重量≥18kg/㎡，厚度≥2cm，纵向抗拉强度≥10kN/m（干态））；</w:t>
      </w:r>
    </w:p>
    <w:p w14:paraId="5F682619">
      <w:pPr>
        <w:numPr>
          <w:ilvl w:val="0"/>
          <w:numId w:val="0"/>
        </w:num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（2）道路：混凝土强度等级C30；</w:t>
      </w:r>
    </w:p>
    <w:p w14:paraId="72BF759E">
      <w:pPr>
        <w:numPr>
          <w:ilvl w:val="0"/>
          <w:numId w:val="0"/>
        </w:numPr>
        <w:wordWrap w:val="0"/>
        <w:autoSpaceDE w:val="0"/>
        <w:autoSpaceDN w:val="0"/>
        <w:snapToGrid w:val="0"/>
        <w:spacing w:line="360" w:lineRule="auto"/>
        <w:rPr>
          <w:rFonts w:hint="eastAsia" w:ascii="宋体" w:hAnsi="宋体" w:cs="宋体"/>
          <w:bCs/>
          <w:sz w:val="24"/>
          <w:highlight w:val="none"/>
        </w:rPr>
      </w:pPr>
      <w:r>
        <w:rPr>
          <w:rFonts w:hint="eastAsia" w:ascii="宋体" w:hAnsi="宋体" w:cs="宋体"/>
          <w:bCs/>
          <w:sz w:val="24"/>
          <w:highlight w:val="none"/>
        </w:rPr>
        <w:t xml:space="preserve">（3）电缆井及配电箱维修，塘口增氧系统改造，相应增氧管增氧盘维修更换，水源池水泵维修改造维修具体要求详见采购文件。 </w:t>
      </w:r>
    </w:p>
    <w:p w14:paraId="213E802B">
      <w:pPr>
        <w:numPr>
          <w:ilvl w:val="0"/>
          <w:numId w:val="0"/>
        </w:numPr>
        <w:wordWrap w:val="0"/>
        <w:autoSpaceDE w:val="0"/>
        <w:autoSpaceDN w:val="0"/>
        <w:snapToGrid w:val="0"/>
        <w:spacing w:line="360" w:lineRule="auto"/>
        <w:rPr>
          <w:rFonts w:hint="eastAsia" w:ascii="宋体" w:hAnsi="宋体" w:cs="宋体"/>
          <w:b/>
          <w:bCs w:val="0"/>
          <w:sz w:val="24"/>
          <w:highlight w:val="none"/>
        </w:rPr>
      </w:pPr>
      <w:r>
        <w:rPr>
          <w:rFonts w:hint="eastAsia" w:ascii="宋体" w:hAnsi="宋体" w:cs="宋体"/>
          <w:bCs/>
          <w:sz w:val="24"/>
          <w:highlight w:val="none"/>
          <w:lang w:val="en-US" w:eastAsia="zh-CN"/>
        </w:rPr>
        <w:t>8、</w:t>
      </w:r>
      <w:r>
        <w:rPr>
          <w:rFonts w:hint="eastAsia" w:ascii="宋体" w:hAnsi="宋体" w:cs="宋体"/>
          <w:b/>
          <w:bCs w:val="0"/>
          <w:sz w:val="24"/>
          <w:highlight w:val="none"/>
        </w:rPr>
        <w:t>商务要求：</w:t>
      </w:r>
    </w:p>
    <w:bookmarkEnd w:id="574"/>
    <w:bookmarkEnd w:id="575"/>
    <w:bookmarkEnd w:id="576"/>
    <w:p w14:paraId="6C040F25">
      <w:pPr>
        <w:numPr>
          <w:ilvl w:val="0"/>
          <w:numId w:val="0"/>
        </w:numPr>
        <w:wordWrap w:val="0"/>
        <w:autoSpaceDE w:val="0"/>
        <w:autoSpaceDN w:val="0"/>
        <w:snapToGrid w:val="0"/>
        <w:spacing w:line="360" w:lineRule="auto"/>
        <w:ind w:firstLine="480" w:firstLineChars="200"/>
        <w:rPr>
          <w:rFonts w:hint="eastAsia" w:ascii="宋体" w:hAnsi="宋体" w:cs="宋体"/>
          <w:bCs/>
          <w:sz w:val="24"/>
          <w:highlight w:val="none"/>
        </w:rPr>
      </w:pPr>
      <w:bookmarkStart w:id="577" w:name="_Toc28805"/>
      <w:bookmarkStart w:id="578" w:name="_Toc30141"/>
      <w:r>
        <w:rPr>
          <w:rFonts w:hint="eastAsia" w:ascii="宋体" w:hAnsi="宋体" w:cs="宋体"/>
          <w:bCs/>
          <w:sz w:val="24"/>
          <w:highlight w:val="none"/>
        </w:rPr>
        <w:t>（1）质保期：维修工程完成验收后两年。</w:t>
      </w:r>
    </w:p>
    <w:p w14:paraId="3D2551D6">
      <w:pPr>
        <w:numPr>
          <w:ilvl w:val="0"/>
          <w:numId w:val="0"/>
        </w:numPr>
        <w:wordWrap w:val="0"/>
        <w:autoSpaceDE w:val="0"/>
        <w:autoSpaceDN w:val="0"/>
        <w:snapToGrid w:val="0"/>
        <w:spacing w:line="360" w:lineRule="auto"/>
        <w:ind w:firstLine="480" w:firstLineChars="200"/>
        <w:rPr>
          <w:rFonts w:hint="eastAsia" w:ascii="宋体" w:hAnsi="宋体" w:cs="宋体"/>
          <w:bCs/>
          <w:sz w:val="24"/>
          <w:highlight w:val="none"/>
          <w:lang w:eastAsia="zh-CN"/>
        </w:rPr>
      </w:pPr>
      <w:r>
        <w:rPr>
          <w:rFonts w:hint="eastAsia" w:ascii="宋体" w:hAnsi="宋体" w:cs="宋体"/>
          <w:bCs/>
          <w:sz w:val="24"/>
          <w:highlight w:val="none"/>
        </w:rPr>
        <w:t>（2）售后服务要求</w:t>
      </w:r>
      <w:r>
        <w:rPr>
          <w:rFonts w:hint="eastAsia" w:ascii="宋体" w:hAnsi="宋体" w:cs="宋体"/>
          <w:bCs/>
          <w:sz w:val="24"/>
          <w:highlight w:val="none"/>
          <w:lang w:eastAsia="zh-CN"/>
        </w:rPr>
        <w:t>：</w:t>
      </w:r>
    </w:p>
    <w:p w14:paraId="2BF33B39">
      <w:pPr>
        <w:numPr>
          <w:ilvl w:val="0"/>
          <w:numId w:val="0"/>
        </w:numPr>
        <w:wordWrap w:val="0"/>
        <w:autoSpaceDE w:val="0"/>
        <w:autoSpaceDN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①质保期内出现质量问题由供应商负责维修或更换，并承担因此产生的一切费用。</w:t>
      </w:r>
    </w:p>
    <w:p w14:paraId="198D0DA6">
      <w:pPr>
        <w:numPr>
          <w:ilvl w:val="0"/>
          <w:numId w:val="0"/>
        </w:numPr>
        <w:wordWrap w:val="0"/>
        <w:autoSpaceDE w:val="0"/>
        <w:autoSpaceDN w:val="0"/>
        <w:snapToGrid w:val="0"/>
        <w:spacing w:line="360" w:lineRule="auto"/>
        <w:ind w:left="718" w:leftChars="342" w:firstLine="0" w:firstLineChars="0"/>
        <w:rPr>
          <w:rFonts w:hint="eastAsia" w:ascii="宋体" w:hAnsi="宋体" w:eastAsia="宋体" w:cs="宋体"/>
          <w:b w:val="0"/>
          <w:bCs/>
          <w:kern w:val="2"/>
          <w:sz w:val="24"/>
          <w:szCs w:val="21"/>
          <w:highlight w:val="none"/>
          <w:lang w:val="en-US" w:eastAsia="zh-CN" w:bidi="ar-SA"/>
        </w:rPr>
      </w:pPr>
      <w:r>
        <w:rPr>
          <w:rFonts w:hint="eastAsia" w:ascii="宋体" w:hAnsi="宋体" w:cs="宋体"/>
          <w:bCs/>
          <w:sz w:val="24"/>
          <w:highlight w:val="none"/>
        </w:rPr>
        <w:t>②供应商在收到使用方通知2小时内响应，24小时内派员到现场处理，并恢复正常使用。</w:t>
      </w:r>
    </w:p>
    <w:p w14:paraId="28F5BC13">
      <w:pPr>
        <w:numPr>
          <w:ilvl w:val="0"/>
          <w:numId w:val="0"/>
        </w:numPr>
        <w:wordWrap w:val="0"/>
        <w:autoSpaceDE w:val="0"/>
        <w:autoSpaceDN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（3）付款方式</w:t>
      </w:r>
      <w:r>
        <w:rPr>
          <w:rFonts w:hint="eastAsia" w:ascii="宋体" w:hAnsi="宋体" w:cs="宋体"/>
          <w:bCs/>
          <w:sz w:val="24"/>
          <w:highlight w:val="none"/>
          <w:lang w:eastAsia="zh-CN"/>
        </w:rPr>
        <w:t>：</w:t>
      </w:r>
      <w:r>
        <w:rPr>
          <w:rFonts w:hint="eastAsia" w:ascii="宋体" w:hAnsi="宋体" w:cs="宋体"/>
          <w:bCs/>
          <w:sz w:val="24"/>
          <w:highlight w:val="none"/>
        </w:rPr>
        <w:t>合同生效后，供应商按照合同履行，经验收合格后及时开具发票。采购人在收到发票后1个月内支付相应货款。</w:t>
      </w:r>
    </w:p>
    <w:p w14:paraId="7A8FBADB">
      <w:pPr>
        <w:numPr>
          <w:ilvl w:val="0"/>
          <w:numId w:val="0"/>
        </w:numPr>
        <w:wordWrap w:val="0"/>
        <w:autoSpaceDE w:val="0"/>
        <w:autoSpaceDN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4</w:t>
      </w:r>
      <w:r>
        <w:rPr>
          <w:rFonts w:hint="eastAsia" w:ascii="宋体" w:hAnsi="宋体" w:cs="宋体"/>
          <w:bCs/>
          <w:sz w:val="24"/>
          <w:highlight w:val="none"/>
          <w:lang w:eastAsia="zh-CN"/>
        </w:rPr>
        <w:t>）</w:t>
      </w:r>
      <w:r>
        <w:rPr>
          <w:rFonts w:hint="eastAsia" w:ascii="宋体" w:hAnsi="宋体" w:cs="宋体"/>
          <w:bCs/>
          <w:sz w:val="24"/>
          <w:highlight w:val="none"/>
          <w:lang w:val="zh-CN"/>
        </w:rPr>
        <w:t>项目相关材料整理</w:t>
      </w:r>
      <w:r>
        <w:rPr>
          <w:rFonts w:hint="eastAsia" w:ascii="宋体" w:hAnsi="宋体" w:cs="宋体"/>
          <w:bCs/>
          <w:sz w:val="24"/>
          <w:highlight w:val="none"/>
          <w:lang w:val="en-US" w:eastAsia="zh-CN"/>
        </w:rPr>
        <w:t>归档成册，15天内移交甲方</w:t>
      </w:r>
      <w:r>
        <w:rPr>
          <w:rFonts w:hint="eastAsia" w:ascii="宋体" w:hAnsi="宋体" w:cs="宋体"/>
          <w:bCs/>
          <w:sz w:val="24"/>
          <w:highlight w:val="none"/>
          <w:lang w:val="zh-CN"/>
        </w:rPr>
        <w:t>。</w:t>
      </w:r>
    </w:p>
    <w:p w14:paraId="24322966">
      <w:pPr>
        <w:numPr>
          <w:ilvl w:val="0"/>
          <w:numId w:val="0"/>
        </w:numPr>
        <w:wordWrap w:val="0"/>
        <w:autoSpaceDE w:val="0"/>
        <w:autoSpaceDN w:val="0"/>
        <w:snapToGrid w:val="0"/>
        <w:spacing w:line="360" w:lineRule="auto"/>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二、</w:t>
      </w:r>
      <w:r>
        <w:rPr>
          <w:rFonts w:hint="eastAsia" w:ascii="宋体" w:hAnsi="宋体" w:eastAsia="宋体" w:cs="宋体"/>
          <w:b/>
          <w:bCs w:val="0"/>
          <w:sz w:val="24"/>
          <w:highlight w:val="none"/>
        </w:rPr>
        <w:t>其他要求</w:t>
      </w:r>
      <w:bookmarkEnd w:id="577"/>
      <w:bookmarkEnd w:id="578"/>
    </w:p>
    <w:p w14:paraId="35D30EAF">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其他</w:t>
      </w:r>
    </w:p>
    <w:p w14:paraId="03911A90">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（1）属于保修范围、内容的项目，供应商应当在接到保修通知之日起</w:t>
      </w:r>
      <w:r>
        <w:rPr>
          <w:rFonts w:hint="eastAsia" w:ascii="宋体" w:hAnsi="宋体" w:cs="宋体"/>
          <w:bCs/>
          <w:sz w:val="24"/>
          <w:szCs w:val="24"/>
          <w:highlight w:val="none"/>
          <w:lang w:val="en-US" w:eastAsia="zh-CN"/>
        </w:rPr>
        <w:t>24</w:t>
      </w:r>
      <w:r>
        <w:rPr>
          <w:rFonts w:hint="eastAsia" w:ascii="宋体" w:hAnsi="宋体" w:cs="宋体"/>
          <w:bCs/>
          <w:sz w:val="24"/>
          <w:szCs w:val="24"/>
          <w:highlight w:val="none"/>
        </w:rPr>
        <w:t>小时内派人保修。供应商不在约定期限内派人保修的，采购人可以委托他人修理。</w:t>
      </w:r>
    </w:p>
    <w:p w14:paraId="65C18731">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（2）发生紧急抢修事故的，供应商在接到事故通知后，应当立即到达事故现场抢修。</w:t>
      </w:r>
    </w:p>
    <w:p w14:paraId="6E21E05E">
      <w:pPr>
        <w:wordWrap w:val="0"/>
        <w:autoSpaceDE w:val="0"/>
        <w:autoSpaceDN w:val="0"/>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（3）对于涉及安全的质量问题，应当按照相关法律及行政法规的规定执行，并采取安全防范措施。</w:t>
      </w:r>
    </w:p>
    <w:p w14:paraId="2E596DAC">
      <w:pPr>
        <w:wordWrap w:val="0"/>
        <w:autoSpaceDE w:val="0"/>
        <w:autoSpaceDN w:val="0"/>
        <w:adjustRightInd w:val="0"/>
        <w:snapToGrid w:val="0"/>
        <w:spacing w:line="360" w:lineRule="auto"/>
        <w:ind w:firstLine="480" w:firstLineChars="200"/>
        <w:rPr>
          <w:rFonts w:ascii="宋体" w:hAnsi="宋体" w:cs="宋体"/>
          <w:highlight w:val="none"/>
        </w:rPr>
      </w:pPr>
      <w:r>
        <w:rPr>
          <w:rFonts w:hint="eastAsia" w:ascii="宋体" w:hAnsi="宋体" w:cs="宋体"/>
          <w:bCs/>
          <w:sz w:val="24"/>
          <w:szCs w:val="24"/>
          <w:highlight w:val="none"/>
        </w:rPr>
        <w:t>（4）质量保修完成后，由采购人组织验收。</w:t>
      </w:r>
    </w:p>
    <w:p w14:paraId="7D1FA97C">
      <w:pPr>
        <w:wordWrap w:val="0"/>
        <w:autoSpaceDE w:val="0"/>
        <w:autoSpaceDN w:val="0"/>
        <w:adjustRightInd w:val="0"/>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、在</w:t>
      </w:r>
      <w:r>
        <w:rPr>
          <w:rFonts w:hint="eastAsia" w:ascii="宋体" w:hAnsi="宋体" w:cs="宋体"/>
          <w:bCs/>
          <w:sz w:val="24"/>
          <w:szCs w:val="24"/>
          <w:highlight w:val="none"/>
          <w:lang w:val="en-US" w:eastAsia="zh-CN"/>
        </w:rPr>
        <w:t>实施</w:t>
      </w:r>
      <w:r>
        <w:rPr>
          <w:rFonts w:hint="eastAsia" w:ascii="宋体" w:hAnsi="宋体" w:cs="宋体"/>
          <w:bCs/>
          <w:sz w:val="24"/>
          <w:szCs w:val="24"/>
          <w:highlight w:val="none"/>
        </w:rPr>
        <w:t>期间，中标人应遵守有关部门管理，并遵照有关的规定。</w:t>
      </w:r>
    </w:p>
    <w:p w14:paraId="262EF32D">
      <w:pPr>
        <w:ind w:firstLine="420" w:firstLineChars="200"/>
        <w:rPr>
          <w:rFonts w:hint="eastAsia" w:eastAsia="宋体"/>
          <w:highlight w:val="none"/>
          <w:lang w:val="en-US" w:eastAsia="zh-CN"/>
        </w:rPr>
      </w:pPr>
    </w:p>
    <w:p w14:paraId="38FD3D4C">
      <w:pPr>
        <w:numPr>
          <w:ilvl w:val="0"/>
          <w:numId w:val="14"/>
        </w:numPr>
        <w:wordWrap w:val="0"/>
        <w:autoSpaceDE w:val="0"/>
        <w:autoSpaceDN w:val="0"/>
        <w:snapToGrid w:val="0"/>
        <w:spacing w:line="360" w:lineRule="auto"/>
        <w:rPr>
          <w:rFonts w:hint="eastAsia" w:ascii="宋体" w:hAnsi="宋体" w:eastAsia="宋体" w:cs="宋体"/>
          <w:b/>
          <w:bCs w:val="0"/>
          <w:sz w:val="24"/>
          <w:highlight w:val="none"/>
        </w:rPr>
      </w:pPr>
      <w:r>
        <w:rPr>
          <w:rFonts w:hint="eastAsia" w:ascii="宋体" w:hAnsi="宋体" w:eastAsia="宋体" w:cs="宋体"/>
          <w:b/>
          <w:bCs w:val="0"/>
          <w:sz w:val="24"/>
          <w:highlight w:val="none"/>
        </w:rPr>
        <w:t>工程量清单</w:t>
      </w:r>
    </w:p>
    <w:p w14:paraId="5E634A14">
      <w:pPr>
        <w:wordWrap w:val="0"/>
        <w:autoSpaceDE w:val="0"/>
        <w:autoSpaceDN w:val="0"/>
        <w:adjustRightInd w:val="0"/>
        <w:snapToGrid w:val="0"/>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详见附件：招标工程量清单 </w:t>
      </w:r>
    </w:p>
    <w:p w14:paraId="6B9EB621">
      <w:pPr>
        <w:numPr>
          <w:ilvl w:val="0"/>
          <w:numId w:val="0"/>
        </w:numPr>
        <w:wordWrap w:val="0"/>
        <w:autoSpaceDE w:val="0"/>
        <w:autoSpaceDN w:val="0"/>
        <w:snapToGrid w:val="0"/>
        <w:spacing w:line="360" w:lineRule="auto"/>
        <w:ind w:firstLine="480" w:firstLineChars="200"/>
        <w:rPr>
          <w:rFonts w:hint="eastAsia" w:ascii="宋体" w:hAnsi="宋体" w:eastAsia="宋体" w:cs="宋体"/>
          <w:b w:val="0"/>
          <w:bCs/>
          <w:kern w:val="2"/>
          <w:sz w:val="24"/>
          <w:szCs w:val="21"/>
          <w:highlight w:val="none"/>
          <w:lang w:val="en-US" w:eastAsia="zh-CN" w:bidi="ar-SA"/>
        </w:rPr>
      </w:pPr>
    </w:p>
    <w:p w14:paraId="130B745B">
      <w:pPr>
        <w:numPr>
          <w:ilvl w:val="255"/>
          <w:numId w:val="0"/>
        </w:numPr>
        <w:spacing w:line="500" w:lineRule="exact"/>
        <w:rPr>
          <w:rFonts w:ascii="宋体" w:hAnsi="宋体"/>
          <w:highlight w:val="none"/>
        </w:rPr>
      </w:pPr>
    </w:p>
    <w:p w14:paraId="738CDB30">
      <w:pPr>
        <w:pStyle w:val="34"/>
        <w:pageBreakBefore/>
        <w:spacing w:after="312" w:line="360" w:lineRule="auto"/>
        <w:textAlignment w:val="baseline"/>
        <w:rPr>
          <w:rFonts w:ascii="宋体" w:hAnsi="宋体" w:cs="仿宋"/>
          <w:kern w:val="0"/>
          <w:highlight w:val="none"/>
        </w:rPr>
      </w:pPr>
      <w:bookmarkStart w:id="579" w:name="_Toc29334"/>
      <w:bookmarkStart w:id="580" w:name="_Toc30505"/>
      <w:bookmarkStart w:id="581" w:name="_Toc16660"/>
      <w:r>
        <w:rPr>
          <w:rFonts w:ascii="宋体" w:hAnsi="宋体" w:eastAsia="宋体" w:cs="仿宋"/>
          <w:sz w:val="40"/>
          <w:highlight w:val="none"/>
        </w:rPr>
        <w:t>第五章  评审方法与评审标准</w:t>
      </w:r>
    </w:p>
    <w:bookmarkEnd w:id="572"/>
    <w:bookmarkEnd w:id="573"/>
    <w:bookmarkEnd w:id="579"/>
    <w:bookmarkEnd w:id="580"/>
    <w:bookmarkEnd w:id="581"/>
    <w:p w14:paraId="44BAF069">
      <w:pPr>
        <w:pStyle w:val="35"/>
        <w:spacing w:line="360" w:lineRule="auto"/>
        <w:ind w:left="0" w:firstLine="0"/>
        <w:jc w:val="both"/>
        <w:textAlignment w:val="baseline"/>
        <w:rPr>
          <w:rFonts w:ascii="宋体" w:hAnsi="宋体" w:cs="仿宋"/>
          <w:kern w:val="0"/>
          <w:highlight w:val="none"/>
        </w:rPr>
      </w:pPr>
      <w:r>
        <w:rPr>
          <w:rFonts w:ascii="宋体" w:hAnsi="宋体" w:cs="仿宋"/>
          <w:kern w:val="0"/>
          <w:highlight w:val="none"/>
        </w:rPr>
        <w:t>一、评审方法与评审原则</w:t>
      </w:r>
    </w:p>
    <w:p w14:paraId="360921D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仿宋"/>
          <w:sz w:val="24"/>
          <w:szCs w:val="24"/>
          <w:highlight w:val="none"/>
          <w:lang w:val="zh-CN"/>
        </w:rPr>
      </w:pPr>
      <w:r>
        <w:rPr>
          <w:rFonts w:ascii="宋体" w:hAnsi="宋体" w:eastAsia="宋体" w:cs="仿宋"/>
          <w:sz w:val="24"/>
          <w:szCs w:val="24"/>
          <w:highlight w:val="none"/>
          <w:lang w:val="zh-CN"/>
        </w:rPr>
        <w:t>磋商小组将对确定为实质性响应采购文件要求的响应文件进行评价和比较，评审采用综合评分法</w:t>
      </w:r>
      <w:r>
        <w:rPr>
          <w:rFonts w:hint="eastAsia" w:ascii="宋体" w:hAnsi="宋体" w:eastAsia="宋体" w:cs="仿宋"/>
          <w:sz w:val="24"/>
          <w:szCs w:val="24"/>
          <w:highlight w:val="none"/>
          <w:lang w:val="zh-CN"/>
        </w:rPr>
        <w:t>，总分为100分</w:t>
      </w:r>
      <w:r>
        <w:rPr>
          <w:rFonts w:ascii="宋体" w:hAnsi="宋体" w:eastAsia="宋体" w:cs="仿宋"/>
          <w:sz w:val="24"/>
          <w:szCs w:val="24"/>
          <w:highlight w:val="none"/>
          <w:lang w:val="zh-CN"/>
        </w:rPr>
        <w:t>。采用综合评分法的，评审结果按评审后得分由高到低顺序排列。得分相同的，按磋商最终报价由低到高顺序排列。得分且磋商最终报价相同的并列。响应文件满足磋商文件全部实质性要求，且按照评审因素的量化指标评审得分由高到低按顺序推荐3名成交候选人，由采购人确定1名成交供应商。</w:t>
      </w:r>
      <w:r>
        <w:rPr>
          <w:rFonts w:hint="eastAsia" w:ascii="宋体" w:hAnsi="宋体" w:eastAsia="宋体" w:cs="仿宋"/>
          <w:sz w:val="24"/>
          <w:szCs w:val="24"/>
          <w:highlight w:val="none"/>
          <w:lang w:val="zh-CN"/>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14:paraId="472C34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仿宋"/>
          <w:b/>
          <w:bCs/>
          <w:kern w:val="0"/>
          <w:sz w:val="28"/>
          <w:szCs w:val="28"/>
          <w:highlight w:val="none"/>
          <w:lang w:val="en-US" w:eastAsia="zh-CN" w:bidi="ar-SA"/>
        </w:rPr>
      </w:pPr>
      <w:r>
        <w:rPr>
          <w:rFonts w:hint="eastAsia" w:ascii="宋体" w:hAnsi="宋体" w:eastAsia="宋体" w:cs="仿宋"/>
          <w:b/>
          <w:bCs/>
          <w:kern w:val="0"/>
          <w:sz w:val="28"/>
          <w:szCs w:val="28"/>
          <w:highlight w:val="none"/>
          <w:lang w:val="en-US" w:eastAsia="zh-CN" w:bidi="ar-SA"/>
        </w:rPr>
        <w:t>二、</w:t>
      </w:r>
      <w:r>
        <w:rPr>
          <w:rFonts w:hint="eastAsia" w:ascii="宋体" w:hAnsi="宋体" w:eastAsia="宋体" w:cs="仿宋"/>
          <w:b/>
          <w:bCs/>
          <w:kern w:val="0"/>
          <w:sz w:val="28"/>
          <w:szCs w:val="28"/>
          <w:highlight w:val="none"/>
          <w:lang w:val="zh-CN" w:eastAsia="zh-CN" w:bidi="ar-SA"/>
        </w:rPr>
        <w:t>评标细则</w:t>
      </w:r>
    </w:p>
    <w:p w14:paraId="41BAF7F4">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outlineLvl w:val="1"/>
        <w:rPr>
          <w:rFonts w:hint="eastAsia" w:asciiTheme="minorEastAsia" w:hAnsiTheme="minorEastAsia" w:eastAsiaTheme="minorEastAsia" w:cstheme="minorEastAsia"/>
          <w:b/>
          <w:bCs/>
          <w:color w:val="000000"/>
          <w:sz w:val="21"/>
          <w:szCs w:val="21"/>
          <w:highlight w:val="none"/>
        </w:rPr>
      </w:pPr>
      <w:bookmarkStart w:id="582" w:name="_Toc32092"/>
      <w:bookmarkStart w:id="583" w:name="_Toc12689"/>
      <w:bookmarkStart w:id="584" w:name="_Toc16973"/>
      <w:bookmarkStart w:id="585" w:name="_Toc10498"/>
      <w:r>
        <w:rPr>
          <w:rFonts w:hint="eastAsia" w:asciiTheme="minorEastAsia" w:hAnsiTheme="minorEastAsia" w:eastAsiaTheme="minorEastAsia" w:cstheme="minorEastAsia"/>
          <w:b/>
          <w:bCs/>
          <w:color w:val="000000"/>
          <w:sz w:val="21"/>
          <w:szCs w:val="21"/>
          <w:highlight w:val="none"/>
          <w:lang w:val="en-US" w:eastAsia="zh-CN"/>
        </w:rPr>
        <w:t>（一）、</w:t>
      </w:r>
      <w:r>
        <w:rPr>
          <w:rFonts w:hint="eastAsia" w:asciiTheme="minorEastAsia" w:hAnsiTheme="minorEastAsia" w:eastAsiaTheme="minorEastAsia" w:cstheme="minorEastAsia"/>
          <w:b/>
          <w:bCs/>
          <w:color w:val="000000"/>
          <w:sz w:val="21"/>
          <w:szCs w:val="21"/>
          <w:highlight w:val="none"/>
        </w:rPr>
        <w:t>资格性审查</w:t>
      </w:r>
      <w:r>
        <w:rPr>
          <w:rFonts w:hint="eastAsia" w:asciiTheme="minorEastAsia" w:hAnsiTheme="minorEastAsia" w:eastAsiaTheme="minorEastAsia" w:cstheme="minorEastAsia"/>
          <w:b/>
          <w:bCs/>
          <w:color w:val="000000"/>
          <w:sz w:val="21"/>
          <w:szCs w:val="21"/>
          <w:highlight w:val="none"/>
          <w:lang w:val="zh-CN"/>
        </w:rPr>
        <w:t>（通过/未通过）</w:t>
      </w:r>
      <w:r>
        <w:rPr>
          <w:rFonts w:hint="eastAsia" w:asciiTheme="minorEastAsia" w:hAnsiTheme="minorEastAsia" w:eastAsiaTheme="minorEastAsia" w:cstheme="minorEastAsia"/>
          <w:b/>
          <w:bCs/>
          <w:color w:val="000000"/>
          <w:sz w:val="21"/>
          <w:szCs w:val="21"/>
          <w:highlight w:val="none"/>
        </w:rPr>
        <w:t>：</w:t>
      </w:r>
      <w:bookmarkEnd w:id="582"/>
      <w:bookmarkEnd w:id="583"/>
      <w:bookmarkEnd w:id="584"/>
      <w:bookmarkEnd w:id="585"/>
    </w:p>
    <w:tbl>
      <w:tblPr>
        <w:tblStyle w:val="23"/>
        <w:tblW w:w="9546" w:type="dxa"/>
        <w:tblInd w:w="532" w:type="dxa"/>
        <w:tblLayout w:type="fixed"/>
        <w:tblCellMar>
          <w:top w:w="0" w:type="dxa"/>
          <w:left w:w="108" w:type="dxa"/>
          <w:bottom w:w="0" w:type="dxa"/>
          <w:right w:w="108" w:type="dxa"/>
        </w:tblCellMar>
      </w:tblPr>
      <w:tblGrid>
        <w:gridCol w:w="1586"/>
        <w:gridCol w:w="4494"/>
        <w:gridCol w:w="1493"/>
        <w:gridCol w:w="1973"/>
      </w:tblGrid>
      <w:tr w14:paraId="5022DD46">
        <w:tblPrEx>
          <w:tblCellMar>
            <w:top w:w="0" w:type="dxa"/>
            <w:left w:w="108" w:type="dxa"/>
            <w:bottom w:w="0" w:type="dxa"/>
            <w:right w:w="108" w:type="dxa"/>
          </w:tblCellMar>
        </w:tblPrEx>
        <w:trPr>
          <w:trHeight w:val="1" w:hRule="atLeast"/>
        </w:trPr>
        <w:tc>
          <w:tcPr>
            <w:tcW w:w="158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8CA3AD2">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序号</w:t>
            </w:r>
          </w:p>
        </w:tc>
        <w:tc>
          <w:tcPr>
            <w:tcW w:w="449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66F7AFD">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评定标准</w:t>
            </w:r>
          </w:p>
        </w:tc>
        <w:tc>
          <w:tcPr>
            <w:tcW w:w="149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253FBA4">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通过√</w:t>
            </w:r>
          </w:p>
        </w:tc>
        <w:tc>
          <w:tcPr>
            <w:tcW w:w="197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43425AC">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未通过×</w:t>
            </w:r>
          </w:p>
        </w:tc>
      </w:tr>
      <w:tr w14:paraId="4CB8307F">
        <w:tblPrEx>
          <w:tblCellMar>
            <w:top w:w="0" w:type="dxa"/>
            <w:left w:w="108" w:type="dxa"/>
            <w:bottom w:w="0" w:type="dxa"/>
            <w:right w:w="108" w:type="dxa"/>
          </w:tblCellMar>
        </w:tblPrEx>
        <w:trPr>
          <w:trHeight w:val="1" w:hRule="atLeast"/>
        </w:trPr>
        <w:tc>
          <w:tcPr>
            <w:tcW w:w="158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D2563B9">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1</w:t>
            </w:r>
          </w:p>
        </w:tc>
        <w:tc>
          <w:tcPr>
            <w:tcW w:w="449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86A9D49">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rPr>
              <w:t>供应商资质要求（</w:t>
            </w:r>
            <w:r>
              <w:rPr>
                <w:rFonts w:hint="eastAsia" w:asciiTheme="minorEastAsia" w:hAnsiTheme="minorEastAsia" w:eastAsiaTheme="minorEastAsia" w:cstheme="minorEastAsia"/>
                <w:color w:val="000000"/>
                <w:sz w:val="21"/>
                <w:szCs w:val="21"/>
                <w:highlight w:val="none"/>
                <w:lang w:val="zh-CN"/>
              </w:rPr>
              <w:t>资格证明文件）</w:t>
            </w:r>
          </w:p>
        </w:tc>
        <w:tc>
          <w:tcPr>
            <w:tcW w:w="149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1AC1B17">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c>
          <w:tcPr>
            <w:tcW w:w="197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A4FB86B">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r>
    </w:tbl>
    <w:p w14:paraId="7F4243DF">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outlineLvl w:val="1"/>
        <w:rPr>
          <w:rFonts w:hint="eastAsia" w:asciiTheme="minorEastAsia" w:hAnsiTheme="minorEastAsia" w:eastAsiaTheme="minorEastAsia" w:cstheme="minorEastAsia"/>
          <w:b/>
          <w:bCs/>
          <w:color w:val="000000"/>
          <w:sz w:val="21"/>
          <w:szCs w:val="21"/>
          <w:highlight w:val="none"/>
          <w:lang w:val="en-US" w:eastAsia="zh-CN"/>
        </w:rPr>
      </w:pPr>
      <w:bookmarkStart w:id="586" w:name="_Toc16661"/>
      <w:bookmarkStart w:id="587" w:name="_Toc30294"/>
      <w:bookmarkStart w:id="588" w:name="_Toc23786"/>
      <w:bookmarkStart w:id="589" w:name="_Toc8754"/>
    </w:p>
    <w:p w14:paraId="2F69C1EF">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outlineLvl w:val="1"/>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lang w:val="en-US" w:eastAsia="zh-CN"/>
        </w:rPr>
        <w:t>（二）、</w:t>
      </w:r>
      <w:r>
        <w:rPr>
          <w:rFonts w:hint="eastAsia" w:asciiTheme="minorEastAsia" w:hAnsiTheme="minorEastAsia" w:eastAsiaTheme="minorEastAsia" w:cstheme="minorEastAsia"/>
          <w:b/>
          <w:bCs/>
          <w:color w:val="000000"/>
          <w:sz w:val="21"/>
          <w:szCs w:val="21"/>
          <w:highlight w:val="none"/>
        </w:rPr>
        <w:t>符合性审查</w:t>
      </w:r>
      <w:r>
        <w:rPr>
          <w:rFonts w:hint="eastAsia" w:asciiTheme="minorEastAsia" w:hAnsiTheme="minorEastAsia" w:eastAsiaTheme="minorEastAsia" w:cstheme="minorEastAsia"/>
          <w:b/>
          <w:bCs/>
          <w:color w:val="000000"/>
          <w:sz w:val="21"/>
          <w:szCs w:val="21"/>
          <w:highlight w:val="none"/>
          <w:lang w:val="zh-CN"/>
        </w:rPr>
        <w:t>（通过/未通过）</w:t>
      </w:r>
      <w:r>
        <w:rPr>
          <w:rFonts w:hint="eastAsia" w:asciiTheme="minorEastAsia" w:hAnsiTheme="minorEastAsia" w:eastAsiaTheme="minorEastAsia" w:cstheme="minorEastAsia"/>
          <w:b/>
          <w:bCs/>
          <w:color w:val="000000"/>
          <w:sz w:val="21"/>
          <w:szCs w:val="21"/>
          <w:highlight w:val="none"/>
        </w:rPr>
        <w:t>：</w:t>
      </w:r>
      <w:bookmarkEnd w:id="586"/>
      <w:bookmarkEnd w:id="587"/>
      <w:bookmarkEnd w:id="588"/>
      <w:bookmarkEnd w:id="589"/>
    </w:p>
    <w:tbl>
      <w:tblPr>
        <w:tblStyle w:val="23"/>
        <w:tblW w:w="9664" w:type="dxa"/>
        <w:tblInd w:w="441" w:type="dxa"/>
        <w:tblLayout w:type="fixed"/>
        <w:tblCellMar>
          <w:top w:w="0" w:type="dxa"/>
          <w:left w:w="108" w:type="dxa"/>
          <w:bottom w:w="0" w:type="dxa"/>
          <w:right w:w="108" w:type="dxa"/>
        </w:tblCellMar>
      </w:tblPr>
      <w:tblGrid>
        <w:gridCol w:w="1664"/>
        <w:gridCol w:w="4533"/>
        <w:gridCol w:w="1454"/>
        <w:gridCol w:w="2013"/>
      </w:tblGrid>
      <w:tr w14:paraId="59B99300">
        <w:tblPrEx>
          <w:tblCellMar>
            <w:top w:w="0" w:type="dxa"/>
            <w:left w:w="108" w:type="dxa"/>
            <w:bottom w:w="0" w:type="dxa"/>
            <w:right w:w="108" w:type="dxa"/>
          </w:tblCellMar>
        </w:tblPrEx>
        <w:trPr>
          <w:trHeight w:val="1"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41EE9C6">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序号</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729BE7B">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评定标准</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AE42B00">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通过√</w:t>
            </w: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415B3D1">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bCs/>
                <w:color w:val="000000"/>
                <w:sz w:val="21"/>
                <w:szCs w:val="21"/>
                <w:highlight w:val="none"/>
                <w:lang w:val="zh-CN"/>
              </w:rPr>
            </w:pPr>
            <w:r>
              <w:rPr>
                <w:rFonts w:hint="eastAsia" w:asciiTheme="minorEastAsia" w:hAnsiTheme="minorEastAsia" w:eastAsiaTheme="minorEastAsia" w:cstheme="minorEastAsia"/>
                <w:b/>
                <w:bCs/>
                <w:color w:val="000000"/>
                <w:sz w:val="21"/>
                <w:szCs w:val="21"/>
                <w:highlight w:val="none"/>
                <w:lang w:val="zh-CN"/>
              </w:rPr>
              <w:t>未通过×</w:t>
            </w:r>
          </w:p>
        </w:tc>
      </w:tr>
      <w:tr w14:paraId="63962B06">
        <w:tblPrEx>
          <w:tblCellMar>
            <w:top w:w="0" w:type="dxa"/>
            <w:left w:w="108" w:type="dxa"/>
            <w:bottom w:w="0" w:type="dxa"/>
            <w:right w:w="108" w:type="dxa"/>
          </w:tblCellMar>
        </w:tblPrEx>
        <w:trPr>
          <w:trHeight w:val="1"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EF8C2CD">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1</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E0F8CB1">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val="0"/>
                <w:bCs w:val="0"/>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报价不超过采购预算（</w:t>
            </w:r>
            <w:r>
              <w:rPr>
                <w:rFonts w:hint="eastAsia" w:asciiTheme="minorEastAsia" w:hAnsiTheme="minorEastAsia" w:eastAsiaTheme="minorEastAsia" w:cstheme="minorEastAsia"/>
                <w:color w:val="000000"/>
                <w:sz w:val="21"/>
                <w:szCs w:val="21"/>
                <w:highlight w:val="none"/>
                <w:lang w:val="en-US" w:eastAsia="zh-CN"/>
              </w:rPr>
              <w:t>最高投标限价</w:t>
            </w:r>
            <w:r>
              <w:rPr>
                <w:rFonts w:hint="eastAsia" w:asciiTheme="minorEastAsia" w:hAnsiTheme="minorEastAsia" w:eastAsiaTheme="minorEastAsia" w:cstheme="minorEastAsia"/>
                <w:color w:val="000000"/>
                <w:sz w:val="21"/>
                <w:szCs w:val="21"/>
                <w:highlight w:val="none"/>
                <w:lang w:val="zh-CN"/>
              </w:rPr>
              <w:t>）</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6135051">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val="0"/>
                <w:bCs w:val="0"/>
                <w:color w:val="000000"/>
                <w:sz w:val="21"/>
                <w:szCs w:val="21"/>
                <w:highlight w:val="none"/>
                <w:lang w:val="zh-CN"/>
              </w:rPr>
            </w:pP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9E3D237">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b w:val="0"/>
                <w:bCs w:val="0"/>
                <w:color w:val="000000"/>
                <w:sz w:val="21"/>
                <w:szCs w:val="21"/>
                <w:highlight w:val="none"/>
                <w:lang w:val="zh-CN"/>
              </w:rPr>
            </w:pPr>
          </w:p>
        </w:tc>
      </w:tr>
      <w:tr w14:paraId="7BA749CB">
        <w:tblPrEx>
          <w:tblCellMar>
            <w:top w:w="0" w:type="dxa"/>
            <w:left w:w="108" w:type="dxa"/>
            <w:bottom w:w="0" w:type="dxa"/>
            <w:right w:w="108" w:type="dxa"/>
          </w:tblCellMar>
        </w:tblPrEx>
        <w:trPr>
          <w:trHeight w:val="1"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83AE3B">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2</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06AA272">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投标文件的有效性（是否签字盖章）</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26C7B66">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974D5BF">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r>
      <w:tr w14:paraId="362D5CBA">
        <w:tblPrEx>
          <w:tblCellMar>
            <w:top w:w="0" w:type="dxa"/>
            <w:left w:w="108" w:type="dxa"/>
            <w:bottom w:w="0" w:type="dxa"/>
            <w:right w:w="108" w:type="dxa"/>
          </w:tblCellMar>
        </w:tblPrEx>
        <w:trPr>
          <w:trHeight w:val="1"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0BB04D">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3</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F9E1816">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投标文件的完整性</w:t>
            </w:r>
            <w:r>
              <w:rPr>
                <w:rFonts w:hint="eastAsia" w:asciiTheme="minorEastAsia" w:hAnsiTheme="minorEastAsia" w:eastAsiaTheme="minorEastAsia" w:cstheme="minorEastAsia"/>
                <w:color w:val="000000"/>
                <w:sz w:val="21"/>
                <w:szCs w:val="21"/>
                <w:highlight w:val="none"/>
                <w:lang w:val="en-US" w:eastAsia="zh-CN"/>
              </w:rPr>
              <w:t xml:space="preserve"> </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5958850">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E977DC9">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r>
      <w:tr w14:paraId="1E982EE2">
        <w:tblPrEx>
          <w:tblCellMar>
            <w:top w:w="0" w:type="dxa"/>
            <w:left w:w="108" w:type="dxa"/>
            <w:bottom w:w="0" w:type="dxa"/>
            <w:right w:w="108" w:type="dxa"/>
          </w:tblCellMar>
        </w:tblPrEx>
        <w:trPr>
          <w:trHeight w:val="90"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1A3DDBA">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4</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97088EF">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符合招标文件第六章格式</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E6B6EA1">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8E0084C">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r>
      <w:tr w14:paraId="7BA7E818">
        <w:tblPrEx>
          <w:tblCellMar>
            <w:top w:w="0" w:type="dxa"/>
            <w:left w:w="108" w:type="dxa"/>
            <w:bottom w:w="0" w:type="dxa"/>
            <w:right w:w="108" w:type="dxa"/>
          </w:tblCellMar>
        </w:tblPrEx>
        <w:trPr>
          <w:trHeight w:val="1"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58BE78">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5</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E5B7085">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与招标文件提供的工程量清单中的项目编码、项目名称、项目特征、计量单位、工程量是否一致</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27D874B">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F0BC118">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r>
      <w:tr w14:paraId="1C11A641">
        <w:tblPrEx>
          <w:tblCellMar>
            <w:top w:w="0" w:type="dxa"/>
            <w:left w:w="108" w:type="dxa"/>
            <w:bottom w:w="0" w:type="dxa"/>
            <w:right w:w="108" w:type="dxa"/>
          </w:tblCellMar>
        </w:tblPrEx>
        <w:trPr>
          <w:trHeight w:val="1" w:hRule="atLeast"/>
        </w:trPr>
        <w:tc>
          <w:tcPr>
            <w:tcW w:w="166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7B50DB">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6</w:t>
            </w:r>
          </w:p>
        </w:tc>
        <w:tc>
          <w:tcPr>
            <w:tcW w:w="453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5394D19">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不存在重大负偏离</w:t>
            </w:r>
          </w:p>
        </w:tc>
        <w:tc>
          <w:tcPr>
            <w:tcW w:w="14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0D3B598">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c>
          <w:tcPr>
            <w:tcW w:w="201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47D87F9">
            <w:pPr>
              <w:keepNext w:val="0"/>
              <w:keepLines w:val="0"/>
              <w:pageBreakBefore w:val="0"/>
              <w:widowControl w:val="0"/>
              <w:kinsoku/>
              <w:wordWrap/>
              <w:overflowPunct/>
              <w:topLinePunct w:val="0"/>
              <w:autoSpaceDE/>
              <w:autoSpaceDN/>
              <w:bidi w:val="0"/>
              <w:adjustRightInd/>
              <w:snapToGrid/>
              <w:spacing w:line="420" w:lineRule="exact"/>
              <w:ind w:firstLine="0"/>
              <w:jc w:val="left"/>
              <w:textAlignment w:val="auto"/>
              <w:rPr>
                <w:rFonts w:hint="eastAsia" w:asciiTheme="minorEastAsia" w:hAnsiTheme="minorEastAsia" w:eastAsiaTheme="minorEastAsia" w:cstheme="minorEastAsia"/>
                <w:color w:val="000000"/>
                <w:sz w:val="21"/>
                <w:szCs w:val="21"/>
                <w:highlight w:val="none"/>
                <w:lang w:val="zh-CN"/>
              </w:rPr>
            </w:pPr>
          </w:p>
        </w:tc>
      </w:tr>
    </w:tbl>
    <w:p w14:paraId="704806A3">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1"/>
        <w:rPr>
          <w:rFonts w:hint="eastAsia" w:asciiTheme="minorEastAsia" w:hAnsiTheme="minorEastAsia" w:eastAsiaTheme="minorEastAsia" w:cstheme="minorEastAsia"/>
          <w:b/>
          <w:bCs/>
          <w:color w:val="000000"/>
          <w:sz w:val="21"/>
          <w:szCs w:val="21"/>
          <w:highlight w:val="none"/>
          <w:lang w:eastAsia="zh-CN"/>
        </w:rPr>
      </w:pPr>
    </w:p>
    <w:p w14:paraId="58D9DFCF">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1"/>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lang w:val="en-US" w:eastAsia="zh-CN"/>
        </w:rPr>
        <w:t>三</w:t>
      </w: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rPr>
        <w:t>、异常低价投标（响应）审查</w:t>
      </w:r>
    </w:p>
    <w:p w14:paraId="13FCDF1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 xml:space="preserve">根据江苏省财政厅文件 </w:t>
      </w:r>
      <w:r>
        <w:rPr>
          <w:rFonts w:hint="eastAsia" w:asciiTheme="minorEastAsia" w:hAnsiTheme="minorEastAsia" w:eastAsiaTheme="minorEastAsia" w:cstheme="minorEastAsia"/>
          <w:b/>
          <w:bCs/>
          <w:color w:val="000000"/>
          <w:sz w:val="21"/>
          <w:szCs w:val="21"/>
          <w:highlight w:val="none"/>
          <w:lang w:val="en-US" w:eastAsia="zh-CN"/>
        </w:rPr>
        <w:t>苏财购〔2025〕62号</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b/>
          <w:bCs/>
          <w:color w:val="000000"/>
          <w:sz w:val="21"/>
          <w:szCs w:val="21"/>
          <w:highlight w:val="none"/>
          <w:lang w:val="en-US" w:eastAsia="zh-CN"/>
        </w:rPr>
        <w:t>《关于推动解决政府采购异常低价问题相关工作的通知》</w:t>
      </w:r>
    </w:p>
    <w:p w14:paraId="0E5CAF7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政府采购评审过程中出现下列情形之一的，评审委员会应当启动异常低价投标（响应）审查程序：</w:t>
      </w:r>
    </w:p>
    <w:p w14:paraId="54E4BD5C">
      <w:pPr>
        <w:keepNext w:val="0"/>
        <w:keepLines w:val="0"/>
        <w:pageBreakBefore w:val="0"/>
        <w:widowControl w:val="0"/>
        <w:numPr>
          <w:ilvl w:val="0"/>
          <w:numId w:val="15"/>
        </w:numPr>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投标(响应)报价低于采购项目预算 50%的，即投标(响应)报价&lt;采购项目预算×50%</w:t>
      </w:r>
      <w:r>
        <w:rPr>
          <w:rFonts w:hint="eastAsia" w:asciiTheme="minorEastAsia" w:hAnsiTheme="minorEastAsia" w:eastAsiaTheme="minorEastAsia" w:cstheme="minorEastAsia"/>
          <w:color w:val="000000"/>
          <w:sz w:val="21"/>
          <w:szCs w:val="21"/>
          <w:highlight w:val="none"/>
          <w:lang w:eastAsia="zh-CN"/>
        </w:rPr>
        <w:t>；</w:t>
      </w:r>
    </w:p>
    <w:p w14:paraId="15DEE369">
      <w:pPr>
        <w:keepNext w:val="0"/>
        <w:keepLines w:val="0"/>
        <w:pageBreakBefore w:val="0"/>
        <w:widowControl w:val="0"/>
        <w:numPr>
          <w:ilvl w:val="-1"/>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（二）投标</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报价低于采购项目最高限价 45%的</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即投标</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响应</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报价&lt;采购项目最高限价×45</w:t>
      </w:r>
      <w:r>
        <w:rPr>
          <w:rFonts w:hint="eastAsia" w:asciiTheme="minorEastAsia" w:hAnsiTheme="minorEastAsia" w:eastAsiaTheme="minorEastAsia" w:cstheme="minorEastAsia"/>
          <w:color w:val="000000"/>
          <w:sz w:val="21"/>
          <w:szCs w:val="21"/>
          <w:highlight w:val="none"/>
          <w:lang w:val="en-US" w:eastAsia="zh-CN"/>
        </w:rPr>
        <w:t>%；</w:t>
      </w:r>
    </w:p>
    <w:p w14:paraId="4448F9F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（三）评审委员会认定的供应商报价过低、有可能影响产品质量或者不能诚信履约的其他情形。</w:t>
      </w:r>
    </w:p>
    <w:p w14:paraId="4A0D73A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rPr>
        <w:t>评审委员会启动异常低价投标（响应）审查后，应当要求相关供应商在评审现场合理的时间内</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提供项目具体成本测算等与报价合理性相关的书面说明及相关证明材料，对投标（响应）价格作出解释。</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书面说明、证明材料主要是项目具体成本测算等与报价合理性相关的说明、材料。</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评审委员会应当结合同类产品在主要电商平台的价格、该行业当地薪资水平等情况，依据专业经验对供应商报价合理性进行判断。如果投标（响应）供应商不提供书面说明、证明材料，或者提供的书面说明、证明材料不能证明</w:t>
      </w:r>
      <w:r>
        <w:rPr>
          <w:rFonts w:hint="eastAsia" w:asciiTheme="minorEastAsia" w:hAnsiTheme="minorEastAsia" w:eastAsiaTheme="minorEastAsia" w:cstheme="minorEastAsia"/>
          <w:color w:val="000000"/>
          <w:sz w:val="21"/>
          <w:szCs w:val="21"/>
          <w:highlight w:val="none"/>
          <w:lang w:val="en-US" w:eastAsia="zh-CN"/>
        </w:rPr>
        <w:t>其报价合理性的，评审委员会应当将其作为无效投标（响应）处理。审查相关情况应当在评审报告中记录。</w:t>
      </w:r>
    </w:p>
    <w:p w14:paraId="4F375D55">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1"/>
        <w:rPr>
          <w:rFonts w:hint="eastAsia" w:asciiTheme="minorEastAsia" w:hAnsiTheme="minorEastAsia" w:eastAsiaTheme="minorEastAsia" w:cstheme="minorEastAsia"/>
          <w:b/>
          <w:bCs/>
          <w:color w:val="000000"/>
          <w:sz w:val="21"/>
          <w:szCs w:val="21"/>
          <w:highlight w:val="none"/>
          <w:lang w:eastAsia="zh-CN"/>
        </w:rPr>
      </w:pPr>
      <w:bookmarkStart w:id="590" w:name="_Toc29721"/>
      <w:bookmarkStart w:id="591" w:name="_Toc27729"/>
      <w:bookmarkStart w:id="592" w:name="_Toc483"/>
      <w:bookmarkStart w:id="593" w:name="_Toc23768"/>
    </w:p>
    <w:p w14:paraId="0B99AAED">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1"/>
        <w:rPr>
          <w:rFonts w:ascii="宋体" w:hAnsi="宋体" w:cs="仿宋"/>
          <w:kern w:val="0"/>
          <w:highlight w:val="none"/>
        </w:rPr>
      </w:pP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lang w:val="en-US" w:eastAsia="zh-CN"/>
        </w:rPr>
        <w:t>四</w:t>
      </w:r>
      <w:r>
        <w:rPr>
          <w:rFonts w:hint="eastAsia" w:asciiTheme="minorEastAsia" w:hAnsiTheme="minorEastAsia" w:eastAsiaTheme="minorEastAsia" w:cstheme="minorEastAsia"/>
          <w:b/>
          <w:bCs/>
          <w:color w:val="000000"/>
          <w:sz w:val="21"/>
          <w:szCs w:val="21"/>
          <w:highlight w:val="none"/>
          <w:lang w:eastAsia="zh-CN"/>
        </w:rPr>
        <w:t>）、</w:t>
      </w:r>
      <w:r>
        <w:rPr>
          <w:rFonts w:hint="eastAsia" w:asciiTheme="minorEastAsia" w:hAnsiTheme="minorEastAsia" w:eastAsiaTheme="minorEastAsia" w:cstheme="minorEastAsia"/>
          <w:b/>
          <w:bCs/>
          <w:color w:val="000000"/>
          <w:sz w:val="21"/>
          <w:szCs w:val="21"/>
          <w:highlight w:val="none"/>
        </w:rPr>
        <w:t>评分因素及分值</w:t>
      </w:r>
      <w:bookmarkEnd w:id="590"/>
      <w:bookmarkEnd w:id="591"/>
      <w:bookmarkEnd w:id="592"/>
      <w:bookmarkEnd w:id="593"/>
      <w:r>
        <w:rPr>
          <w:rFonts w:ascii="宋体" w:hAnsi="宋体" w:cs="仿宋"/>
          <w:kern w:val="0"/>
          <w:highlight w:val="none"/>
        </w:rPr>
        <w:tab/>
      </w:r>
    </w:p>
    <w:tbl>
      <w:tblPr>
        <w:tblStyle w:val="23"/>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290"/>
        <w:gridCol w:w="7017"/>
        <w:gridCol w:w="717"/>
      </w:tblGrid>
      <w:tr w14:paraId="1696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5D739FEC">
            <w:pPr>
              <w:widowControl/>
              <w:adjustRightInd w:val="0"/>
              <w:snapToGrid w:val="0"/>
              <w:spacing w:line="240" w:lineRule="atLeast"/>
              <w:jc w:val="center"/>
              <w:rPr>
                <w:rFonts w:ascii="宋体" w:hAnsi="宋体" w:cs="宋体"/>
                <w:b/>
                <w:kern w:val="0"/>
                <w:highlight w:val="none"/>
              </w:rPr>
            </w:pPr>
            <w:r>
              <w:rPr>
                <w:rFonts w:ascii="宋体" w:hAnsi="宋体" w:cs="宋体"/>
                <w:b/>
                <w:kern w:val="0"/>
                <w:highlight w:val="none"/>
              </w:rPr>
              <w:t>序号</w:t>
            </w:r>
          </w:p>
        </w:tc>
        <w:tc>
          <w:tcPr>
            <w:tcW w:w="662" w:type="pct"/>
            <w:tcBorders>
              <w:top w:val="single" w:color="auto" w:sz="4" w:space="0"/>
              <w:left w:val="single" w:color="auto" w:sz="4" w:space="0"/>
              <w:bottom w:val="single" w:color="auto" w:sz="4" w:space="0"/>
              <w:right w:val="single" w:color="auto" w:sz="4" w:space="0"/>
              <w:tl2br w:val="nil"/>
              <w:tr2bl w:val="nil"/>
            </w:tcBorders>
            <w:vAlign w:val="center"/>
          </w:tcPr>
          <w:p w14:paraId="7269F9D3">
            <w:pPr>
              <w:widowControl/>
              <w:adjustRightInd w:val="0"/>
              <w:snapToGrid w:val="0"/>
              <w:spacing w:line="240" w:lineRule="atLeast"/>
              <w:jc w:val="center"/>
              <w:rPr>
                <w:rFonts w:ascii="宋体" w:hAnsi="宋体" w:cs="宋体"/>
                <w:b/>
                <w:kern w:val="0"/>
                <w:highlight w:val="none"/>
              </w:rPr>
            </w:pPr>
            <w:r>
              <w:rPr>
                <w:rFonts w:ascii="宋体" w:hAnsi="宋体" w:cs="宋体"/>
                <w:b/>
                <w:kern w:val="0"/>
                <w:highlight w:val="none"/>
              </w:rPr>
              <w:t>评审因素</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41675265">
            <w:pPr>
              <w:widowControl/>
              <w:adjustRightInd w:val="0"/>
              <w:snapToGrid w:val="0"/>
              <w:spacing w:line="240" w:lineRule="atLeast"/>
              <w:jc w:val="center"/>
              <w:rPr>
                <w:rFonts w:ascii="宋体" w:hAnsi="宋体" w:cs="宋体"/>
                <w:b/>
                <w:kern w:val="0"/>
                <w:highlight w:val="none"/>
              </w:rPr>
            </w:pPr>
            <w:r>
              <w:rPr>
                <w:rFonts w:ascii="宋体" w:hAnsi="宋体" w:cs="宋体"/>
                <w:b/>
                <w:kern w:val="0"/>
                <w:highlight w:val="none"/>
              </w:rPr>
              <w:t>评审标准</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6865906D">
            <w:pPr>
              <w:widowControl/>
              <w:adjustRightInd w:val="0"/>
              <w:snapToGrid w:val="0"/>
              <w:spacing w:line="240" w:lineRule="atLeast"/>
              <w:jc w:val="center"/>
              <w:rPr>
                <w:rFonts w:ascii="宋体" w:hAnsi="宋体" w:cs="宋体"/>
                <w:b/>
                <w:kern w:val="0"/>
                <w:highlight w:val="none"/>
              </w:rPr>
            </w:pPr>
            <w:r>
              <w:rPr>
                <w:rFonts w:ascii="宋体" w:hAnsi="宋体" w:cs="宋体"/>
                <w:b/>
                <w:kern w:val="0"/>
                <w:highlight w:val="none"/>
              </w:rPr>
              <w:t>分值</w:t>
            </w:r>
          </w:p>
        </w:tc>
      </w:tr>
      <w:tr w14:paraId="7BB9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14:paraId="2E84DD05">
            <w:pPr>
              <w:widowControl/>
              <w:adjustRightInd w:val="0"/>
              <w:snapToGrid w:val="0"/>
              <w:spacing w:line="240" w:lineRule="atLeast"/>
              <w:jc w:val="left"/>
              <w:rPr>
                <w:rFonts w:ascii="宋体" w:hAnsi="宋体" w:cs="宋体"/>
                <w:b/>
                <w:kern w:val="0"/>
                <w:highlight w:val="none"/>
              </w:rPr>
            </w:pPr>
            <w:r>
              <w:rPr>
                <w:rFonts w:hint="eastAsia" w:ascii="宋体" w:hAnsi="宋体" w:cs="宋体"/>
                <w:b/>
                <w:kern w:val="0"/>
                <w:highlight w:val="none"/>
              </w:rPr>
              <w:t>一</w:t>
            </w:r>
            <w:r>
              <w:rPr>
                <w:rFonts w:ascii="宋体" w:hAnsi="宋体" w:cs="宋体"/>
                <w:b/>
                <w:kern w:val="0"/>
                <w:highlight w:val="none"/>
              </w:rPr>
              <w:t>、</w:t>
            </w:r>
            <w:r>
              <w:rPr>
                <w:rFonts w:hint="eastAsia" w:ascii="宋体" w:hAnsi="宋体" w:cs="宋体"/>
                <w:b/>
                <w:kern w:val="0"/>
                <w:highlight w:val="none"/>
              </w:rPr>
              <w:t>报价得分</w:t>
            </w:r>
            <w:r>
              <w:rPr>
                <w:rFonts w:ascii="宋体" w:hAnsi="宋体" w:cs="宋体"/>
                <w:b/>
                <w:kern w:val="0"/>
                <w:highlight w:val="none"/>
              </w:rPr>
              <w:t>（</w:t>
            </w:r>
            <w:r>
              <w:rPr>
                <w:rFonts w:hint="eastAsia" w:ascii="宋体" w:hAnsi="宋体" w:cs="宋体"/>
                <w:b/>
                <w:kern w:val="0"/>
                <w:highlight w:val="none"/>
                <w:lang w:val="en-US" w:eastAsia="zh-CN"/>
              </w:rPr>
              <w:t>25</w:t>
            </w:r>
            <w:r>
              <w:rPr>
                <w:rFonts w:ascii="宋体" w:hAnsi="宋体" w:cs="宋体"/>
                <w:b/>
                <w:kern w:val="0"/>
                <w:highlight w:val="none"/>
              </w:rPr>
              <w:t>分）</w:t>
            </w:r>
          </w:p>
        </w:tc>
      </w:tr>
      <w:tr w14:paraId="132F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2A94F41A">
            <w:pPr>
              <w:widowControl/>
              <w:adjustRightInd w:val="0"/>
              <w:snapToGrid w:val="0"/>
              <w:spacing w:line="240" w:lineRule="atLeast"/>
              <w:jc w:val="center"/>
              <w:rPr>
                <w:rFonts w:ascii="宋体" w:hAnsi="宋体" w:cs="宋体"/>
                <w:kern w:val="0"/>
                <w:highlight w:val="none"/>
              </w:rPr>
            </w:pPr>
            <w:r>
              <w:rPr>
                <w:rFonts w:ascii="宋体" w:hAnsi="宋体" w:cs="宋体"/>
                <w:kern w:val="0"/>
                <w:highlight w:val="none"/>
              </w:rPr>
              <w:t>1</w:t>
            </w:r>
          </w:p>
        </w:tc>
        <w:tc>
          <w:tcPr>
            <w:tcW w:w="662" w:type="pct"/>
            <w:tcBorders>
              <w:top w:val="single" w:color="auto" w:sz="4" w:space="0"/>
              <w:left w:val="single" w:color="auto" w:sz="4" w:space="0"/>
              <w:bottom w:val="single" w:color="auto" w:sz="4" w:space="0"/>
              <w:right w:val="single" w:color="auto" w:sz="4" w:space="0"/>
              <w:tl2br w:val="nil"/>
              <w:tr2bl w:val="nil"/>
            </w:tcBorders>
            <w:vAlign w:val="center"/>
          </w:tcPr>
          <w:p w14:paraId="422DDA79">
            <w:pPr>
              <w:widowControl/>
              <w:adjustRightInd w:val="0"/>
              <w:snapToGrid w:val="0"/>
              <w:spacing w:line="240" w:lineRule="atLeast"/>
              <w:jc w:val="center"/>
              <w:rPr>
                <w:highlight w:val="none"/>
              </w:rPr>
            </w:pPr>
            <w:r>
              <w:rPr>
                <w:rFonts w:ascii="宋体"/>
                <w:highlight w:val="none"/>
              </w:rPr>
              <w:t>价格评分</w:t>
            </w:r>
          </w:p>
          <w:p w14:paraId="0D896BD6">
            <w:pPr>
              <w:widowControl/>
              <w:adjustRightInd w:val="0"/>
              <w:snapToGrid w:val="0"/>
              <w:spacing w:line="240" w:lineRule="atLeast"/>
              <w:jc w:val="center"/>
              <w:rPr>
                <w:highlight w:val="none"/>
              </w:rPr>
            </w:pPr>
            <w:r>
              <w:rPr>
                <w:rFonts w:ascii="宋体"/>
                <w:highlight w:val="none"/>
              </w:rPr>
              <w:t>（</w:t>
            </w:r>
            <w:r>
              <w:rPr>
                <w:rFonts w:hint="eastAsia" w:ascii="宋体"/>
                <w:highlight w:val="none"/>
                <w:lang w:val="en-US" w:eastAsia="zh-CN"/>
              </w:rPr>
              <w:t>25</w:t>
            </w:r>
            <w:r>
              <w:rPr>
                <w:rFonts w:ascii="宋体"/>
                <w:highlight w:val="none"/>
              </w:rPr>
              <w:t>分）</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7E133FE2">
            <w:pPr>
              <w:widowControl/>
              <w:adjustRightInd w:val="0"/>
              <w:snapToGrid w:val="0"/>
              <w:spacing w:line="240" w:lineRule="atLeast"/>
              <w:jc w:val="left"/>
              <w:rPr>
                <w:rFonts w:ascii="宋体" w:hAnsi="宋体"/>
                <w:kern w:val="0"/>
                <w:highlight w:val="none"/>
              </w:rPr>
            </w:pPr>
            <w:r>
              <w:rPr>
                <w:rFonts w:ascii="宋体" w:hAnsi="宋体"/>
                <w:kern w:val="0"/>
                <w:highlight w:val="none"/>
              </w:rPr>
              <w:t>采用低价优先法计算，即满足采购文件要求且投标报价最低的报价为基准价，其价格分为满分。其他投标人的价格分统一按照下列公式计算:报价得分=(基准价/投标报价)×</w:t>
            </w:r>
            <w:r>
              <w:rPr>
                <w:rFonts w:hint="eastAsia" w:ascii="宋体" w:hAnsi="宋体"/>
                <w:kern w:val="0"/>
                <w:highlight w:val="none"/>
                <w:lang w:val="en-US" w:eastAsia="zh-CN"/>
              </w:rPr>
              <w:t>25</w:t>
            </w:r>
            <w:r>
              <w:rPr>
                <w:rFonts w:hint="eastAsia" w:ascii="宋体" w:hAnsi="宋体"/>
                <w:kern w:val="0"/>
                <w:highlight w:val="none"/>
              </w:rPr>
              <w:t>分</w:t>
            </w:r>
            <w:r>
              <w:rPr>
                <w:rFonts w:ascii="宋体" w:hAnsi="宋体"/>
                <w:kern w:val="0"/>
                <w:highlight w:val="none"/>
              </w:rPr>
              <w:t>（小数点后保留2位）</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2BF23226">
            <w:pPr>
              <w:widowControl/>
              <w:adjustRightInd w:val="0"/>
              <w:snapToGrid w:val="0"/>
              <w:spacing w:line="240" w:lineRule="atLeast"/>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25</w:t>
            </w:r>
          </w:p>
        </w:tc>
      </w:tr>
      <w:tr w14:paraId="512E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14:paraId="2EDEF0C4">
            <w:pPr>
              <w:widowControl/>
              <w:adjustRightInd w:val="0"/>
              <w:snapToGrid w:val="0"/>
              <w:spacing w:line="240" w:lineRule="atLeast"/>
              <w:jc w:val="left"/>
              <w:rPr>
                <w:rFonts w:ascii="宋体" w:hAnsi="宋体" w:cs="宋体"/>
                <w:b/>
                <w:kern w:val="0"/>
                <w:highlight w:val="none"/>
              </w:rPr>
            </w:pPr>
            <w:r>
              <w:rPr>
                <w:rFonts w:hint="eastAsia" w:ascii="宋体" w:hAnsi="宋体" w:cs="宋体"/>
                <w:b/>
                <w:kern w:val="0"/>
                <w:highlight w:val="none"/>
              </w:rPr>
              <w:t>二</w:t>
            </w:r>
            <w:r>
              <w:rPr>
                <w:rFonts w:ascii="宋体" w:hAnsi="宋体" w:cs="宋体"/>
                <w:b/>
                <w:kern w:val="0"/>
                <w:highlight w:val="none"/>
              </w:rPr>
              <w:t>、技术</w:t>
            </w:r>
            <w:r>
              <w:rPr>
                <w:rFonts w:hint="eastAsia" w:ascii="宋体" w:hAnsi="宋体" w:cs="宋体"/>
                <w:b/>
                <w:kern w:val="0"/>
                <w:highlight w:val="none"/>
              </w:rPr>
              <w:t>部分</w:t>
            </w:r>
            <w:r>
              <w:rPr>
                <w:rFonts w:ascii="宋体" w:hAnsi="宋体" w:cs="宋体"/>
                <w:b/>
                <w:kern w:val="0"/>
                <w:highlight w:val="none"/>
              </w:rPr>
              <w:t>（</w:t>
            </w:r>
            <w:r>
              <w:rPr>
                <w:rFonts w:hint="eastAsia" w:ascii="宋体" w:hAnsi="宋体" w:cs="宋体"/>
                <w:b/>
                <w:kern w:val="0"/>
                <w:highlight w:val="none"/>
              </w:rPr>
              <w:t>5</w:t>
            </w:r>
            <w:r>
              <w:rPr>
                <w:rFonts w:hint="eastAsia" w:ascii="宋体" w:hAnsi="宋体" w:cs="宋体"/>
                <w:b/>
                <w:kern w:val="0"/>
                <w:highlight w:val="none"/>
                <w:lang w:val="en-US" w:eastAsia="zh-CN"/>
              </w:rPr>
              <w:t>5</w:t>
            </w:r>
            <w:r>
              <w:rPr>
                <w:rFonts w:hint="eastAsia" w:ascii="宋体" w:hAnsi="宋体" w:cs="宋体"/>
                <w:b/>
                <w:kern w:val="0"/>
                <w:highlight w:val="none"/>
              </w:rPr>
              <w:t>分）</w:t>
            </w:r>
          </w:p>
        </w:tc>
      </w:tr>
      <w:tr w14:paraId="3DAD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3DFD341D">
            <w:pPr>
              <w:widowControl/>
              <w:adjustRightInd w:val="0"/>
              <w:snapToGrid w:val="0"/>
              <w:spacing w:line="240" w:lineRule="atLeast"/>
              <w:jc w:val="center"/>
              <w:rPr>
                <w:rFonts w:ascii="宋体" w:hAnsi="宋体" w:cs="宋体"/>
                <w:kern w:val="0"/>
                <w:highlight w:val="none"/>
              </w:rPr>
            </w:pPr>
            <w:r>
              <w:rPr>
                <w:rFonts w:hint="eastAsia" w:ascii="宋体" w:hAnsi="宋体" w:cs="宋体"/>
                <w:kern w:val="0"/>
                <w:highlight w:val="none"/>
              </w:rPr>
              <w:t>1</w:t>
            </w:r>
          </w:p>
        </w:tc>
        <w:tc>
          <w:tcPr>
            <w:tcW w:w="662" w:type="pct"/>
            <w:vMerge w:val="restart"/>
            <w:tcBorders>
              <w:top w:val="single" w:color="auto" w:sz="4" w:space="0"/>
              <w:left w:val="single" w:color="auto" w:sz="4" w:space="0"/>
              <w:right w:val="single" w:color="auto" w:sz="4" w:space="0"/>
              <w:tl2br w:val="nil"/>
              <w:tr2bl w:val="nil"/>
            </w:tcBorders>
            <w:vAlign w:val="center"/>
          </w:tcPr>
          <w:p w14:paraId="258C2DDC">
            <w:pPr>
              <w:widowControl/>
              <w:wordWrap w:val="0"/>
              <w:autoSpaceDE w:val="0"/>
              <w:autoSpaceDN w:val="0"/>
              <w:spacing w:line="0" w:lineRule="atLeast"/>
              <w:jc w:val="center"/>
              <w:rPr>
                <w:rFonts w:hint="eastAsia" w:ascii="宋体" w:hAnsi="宋体" w:cs="宋体"/>
                <w:szCs w:val="20"/>
                <w:highlight w:val="none"/>
              </w:rPr>
            </w:pPr>
            <w:r>
              <w:rPr>
                <w:rFonts w:hint="eastAsia" w:ascii="宋体" w:hAnsi="宋体" w:cs="宋体"/>
                <w:szCs w:val="20"/>
                <w:highlight w:val="none"/>
              </w:rPr>
              <w:t>技术方案及施工组织设计</w:t>
            </w:r>
          </w:p>
          <w:p w14:paraId="6FE07616">
            <w:pPr>
              <w:widowControl/>
              <w:wordWrap w:val="0"/>
              <w:autoSpaceDE w:val="0"/>
              <w:autoSpaceDN w:val="0"/>
              <w:spacing w:line="0" w:lineRule="atLeast"/>
              <w:jc w:val="center"/>
              <w:rPr>
                <w:rFonts w:ascii="宋体" w:hAnsi="宋体" w:cs="宋体"/>
                <w:szCs w:val="20"/>
                <w:highlight w:val="none"/>
              </w:rPr>
            </w:pPr>
            <w:r>
              <w:rPr>
                <w:rFonts w:hint="eastAsia" w:ascii="宋体" w:hAnsi="宋体" w:cs="宋体"/>
                <w:szCs w:val="20"/>
                <w:highlight w:val="none"/>
              </w:rPr>
              <w:t>（</w:t>
            </w:r>
            <w:r>
              <w:rPr>
                <w:rFonts w:hint="eastAsia" w:ascii="宋体" w:hAnsi="宋体" w:cs="宋体"/>
                <w:szCs w:val="20"/>
                <w:highlight w:val="none"/>
                <w:lang w:val="en-US" w:eastAsia="zh-CN"/>
              </w:rPr>
              <w:t>55</w:t>
            </w:r>
            <w:r>
              <w:rPr>
                <w:rFonts w:hint="eastAsia" w:ascii="宋体" w:hAnsi="宋体" w:cs="宋体"/>
                <w:szCs w:val="20"/>
                <w:highlight w:val="none"/>
              </w:rPr>
              <w:t>分）</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5DE5A7E5">
            <w:pPr>
              <w:spacing w:before="22" w:line="278" w:lineRule="auto"/>
              <w:ind w:left="107" w:right="57"/>
              <w:jc w:val="left"/>
              <w:rPr>
                <w:rFonts w:ascii="宋体" w:hAnsi="宋体"/>
                <w:kern w:val="0"/>
                <w:highlight w:val="none"/>
              </w:rPr>
            </w:pPr>
            <w:r>
              <w:rPr>
                <w:rFonts w:hint="eastAsia" w:ascii="宋体" w:hAnsi="宋体"/>
                <w:kern w:val="0"/>
                <w:highlight w:val="none"/>
              </w:rPr>
              <w:t>总体概述：工程概述、总体安排及施工部署、项目组织管理机构等健全、合理、规范、高效；施工现场平面布置和临时设施布置，具有可操作性强；内容描述详细的得</w:t>
            </w:r>
            <w:r>
              <w:rPr>
                <w:rFonts w:hint="eastAsia" w:ascii="宋体" w:hAnsi="宋体"/>
                <w:kern w:val="0"/>
                <w:highlight w:val="none"/>
                <w:lang w:val="en-US" w:eastAsia="zh-CN"/>
              </w:rPr>
              <w:t>11</w:t>
            </w:r>
            <w:r>
              <w:rPr>
                <w:rFonts w:hint="eastAsia" w:ascii="宋体" w:hAnsi="宋体"/>
                <w:kern w:val="0"/>
                <w:highlight w:val="none"/>
              </w:rPr>
              <w:t>分；可操作性尚可，内容描述较详细的得7分；可操作性一般，内容描述一般的得</w:t>
            </w:r>
            <w:r>
              <w:rPr>
                <w:rFonts w:hint="eastAsia" w:ascii="宋体" w:hAnsi="宋体"/>
                <w:kern w:val="0"/>
                <w:highlight w:val="none"/>
                <w:lang w:val="en-US" w:eastAsia="zh-CN"/>
              </w:rPr>
              <w:t>4</w:t>
            </w:r>
            <w:r>
              <w:rPr>
                <w:rFonts w:hint="eastAsia" w:ascii="宋体" w:hAnsi="宋体"/>
                <w:kern w:val="0"/>
                <w:highlight w:val="none"/>
              </w:rPr>
              <w:t>分；可操作性差，内容描述特少的得</w:t>
            </w:r>
            <w:r>
              <w:rPr>
                <w:rFonts w:hint="eastAsia" w:ascii="宋体" w:hAnsi="宋体"/>
                <w:kern w:val="0"/>
                <w:highlight w:val="none"/>
                <w:lang w:val="en-US" w:eastAsia="zh-CN"/>
              </w:rPr>
              <w:t>1</w:t>
            </w:r>
            <w:r>
              <w:rPr>
                <w:rFonts w:hint="eastAsia" w:ascii="宋体" w:hAnsi="宋体"/>
                <w:kern w:val="0"/>
                <w:highlight w:val="none"/>
              </w:rPr>
              <w:t>分,没有描述的不得分。</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255263E6">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11</w:t>
            </w:r>
          </w:p>
        </w:tc>
      </w:tr>
      <w:tr w14:paraId="5744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669C4AD0">
            <w:pPr>
              <w:widowControl/>
              <w:adjustRightInd w:val="0"/>
              <w:snapToGrid w:val="0"/>
              <w:spacing w:line="240" w:lineRule="atLeast"/>
              <w:jc w:val="center"/>
              <w:rPr>
                <w:rFonts w:ascii="宋体" w:hAnsi="宋体" w:cs="宋体"/>
                <w:kern w:val="0"/>
                <w:highlight w:val="none"/>
              </w:rPr>
            </w:pPr>
            <w:r>
              <w:rPr>
                <w:rFonts w:hint="eastAsia" w:ascii="宋体" w:hAnsi="宋体" w:cs="宋体"/>
                <w:kern w:val="0"/>
                <w:highlight w:val="none"/>
              </w:rPr>
              <w:t>2</w:t>
            </w:r>
          </w:p>
        </w:tc>
        <w:tc>
          <w:tcPr>
            <w:tcW w:w="662" w:type="pct"/>
            <w:vMerge w:val="continue"/>
            <w:tcBorders>
              <w:left w:val="single" w:color="auto" w:sz="4" w:space="0"/>
              <w:right w:val="single" w:color="auto" w:sz="4" w:space="0"/>
              <w:tl2br w:val="nil"/>
              <w:tr2bl w:val="nil"/>
            </w:tcBorders>
            <w:vAlign w:val="center"/>
          </w:tcPr>
          <w:p w14:paraId="5E0F7900">
            <w:pPr>
              <w:widowControl/>
              <w:wordWrap w:val="0"/>
              <w:autoSpaceDE w:val="0"/>
              <w:autoSpaceDN w:val="0"/>
              <w:spacing w:line="0" w:lineRule="atLeast"/>
              <w:jc w:val="center"/>
              <w:rPr>
                <w:rFonts w:ascii="宋体" w:hAnsi="宋体" w:cs="宋体"/>
                <w:szCs w:val="20"/>
                <w:highlight w:val="none"/>
              </w:rPr>
            </w:pP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3B20B504">
            <w:pPr>
              <w:spacing w:before="22" w:line="278" w:lineRule="auto"/>
              <w:ind w:left="107" w:right="57"/>
              <w:jc w:val="left"/>
              <w:rPr>
                <w:rFonts w:ascii="宋体" w:hAnsi="宋体"/>
                <w:kern w:val="0"/>
                <w:highlight w:val="none"/>
              </w:rPr>
            </w:pPr>
            <w:r>
              <w:rPr>
                <w:rFonts w:hint="eastAsia" w:ascii="宋体" w:hAnsi="宋体"/>
                <w:kern w:val="0"/>
                <w:highlight w:val="none"/>
              </w:rPr>
              <w:t>主要施工方案及技术措施：分部、分项施工方案包含本项目图纸、工程量清单内所有内容、关键施工技术、工艺及工程项目实施的重点、难点和解决方案齐全、科学合理、操作性强、规范、高效；</w:t>
            </w:r>
            <w:r>
              <w:rPr>
                <w:rFonts w:hint="eastAsia" w:ascii="宋体" w:hAnsi="宋体" w:cs="宋体"/>
                <w:highlight w:val="none"/>
              </w:rPr>
              <w:t>施工进度计划及进度保证措施：关于本工程施工进度计划的描述，以及为完成该计划所定措施科学、合理、规范、高效；</w:t>
            </w:r>
            <w:r>
              <w:rPr>
                <w:rFonts w:hint="eastAsia" w:ascii="宋体" w:hAnsi="宋体"/>
                <w:kern w:val="0"/>
                <w:highlight w:val="none"/>
              </w:rPr>
              <w:t>内容描述详细的得</w:t>
            </w:r>
            <w:r>
              <w:rPr>
                <w:rFonts w:hint="eastAsia" w:ascii="宋体" w:hAnsi="宋体"/>
                <w:kern w:val="0"/>
                <w:highlight w:val="none"/>
                <w:lang w:val="en-US" w:eastAsia="zh-CN"/>
              </w:rPr>
              <w:t>11</w:t>
            </w:r>
            <w:r>
              <w:rPr>
                <w:rFonts w:hint="eastAsia" w:ascii="宋体" w:hAnsi="宋体"/>
                <w:kern w:val="0"/>
                <w:highlight w:val="none"/>
              </w:rPr>
              <w:t>分；可操作性尚可，内容描述较详细的得7分；可操作性一般，内容描述一般的得</w:t>
            </w:r>
            <w:r>
              <w:rPr>
                <w:rFonts w:hint="eastAsia" w:ascii="宋体" w:hAnsi="宋体"/>
                <w:kern w:val="0"/>
                <w:highlight w:val="none"/>
                <w:lang w:val="en-US" w:eastAsia="zh-CN"/>
              </w:rPr>
              <w:t>4</w:t>
            </w:r>
            <w:r>
              <w:rPr>
                <w:rFonts w:hint="eastAsia" w:ascii="宋体" w:hAnsi="宋体"/>
                <w:kern w:val="0"/>
                <w:highlight w:val="none"/>
              </w:rPr>
              <w:t>分；可操作性差，内容描述特少的得1分,没有描述的不得分。</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50A45F05">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11</w:t>
            </w:r>
          </w:p>
        </w:tc>
      </w:tr>
      <w:tr w14:paraId="6D86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7B15FB68">
            <w:pPr>
              <w:widowControl/>
              <w:adjustRightInd w:val="0"/>
              <w:snapToGrid w:val="0"/>
              <w:spacing w:line="240" w:lineRule="atLeast"/>
              <w:jc w:val="center"/>
              <w:rPr>
                <w:rFonts w:ascii="宋体" w:hAnsi="宋体" w:cs="宋体"/>
                <w:kern w:val="0"/>
                <w:highlight w:val="none"/>
              </w:rPr>
            </w:pPr>
            <w:r>
              <w:rPr>
                <w:rFonts w:hint="eastAsia" w:ascii="宋体" w:hAnsi="宋体" w:cs="宋体"/>
                <w:kern w:val="0"/>
                <w:highlight w:val="none"/>
              </w:rPr>
              <w:t>3</w:t>
            </w:r>
          </w:p>
        </w:tc>
        <w:tc>
          <w:tcPr>
            <w:tcW w:w="662" w:type="pct"/>
            <w:vMerge w:val="continue"/>
            <w:tcBorders>
              <w:top w:val="single" w:color="auto" w:sz="4" w:space="0"/>
              <w:left w:val="single" w:color="auto" w:sz="4" w:space="0"/>
              <w:right w:val="single" w:color="auto" w:sz="4" w:space="0"/>
              <w:tl2br w:val="nil"/>
              <w:tr2bl w:val="nil"/>
            </w:tcBorders>
            <w:vAlign w:val="center"/>
          </w:tcPr>
          <w:p w14:paraId="0077B4BC">
            <w:pPr>
              <w:widowControl/>
              <w:wordWrap w:val="0"/>
              <w:autoSpaceDE w:val="0"/>
              <w:autoSpaceDN w:val="0"/>
              <w:spacing w:line="0" w:lineRule="atLeast"/>
              <w:jc w:val="center"/>
              <w:rPr>
                <w:rFonts w:ascii="宋体" w:hAnsi="宋体" w:cs="宋体"/>
                <w:szCs w:val="20"/>
                <w:highlight w:val="none"/>
              </w:rPr>
            </w:pP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4F466CC8">
            <w:pPr>
              <w:spacing w:before="22" w:line="278" w:lineRule="auto"/>
              <w:ind w:left="107" w:right="57"/>
              <w:jc w:val="left"/>
              <w:rPr>
                <w:rFonts w:ascii="宋体" w:hAnsi="宋体" w:cs="宋体"/>
                <w:highlight w:val="none"/>
              </w:rPr>
            </w:pPr>
            <w:r>
              <w:rPr>
                <w:rFonts w:hint="eastAsia" w:ascii="宋体" w:hAnsi="宋体" w:cs="宋体"/>
                <w:highlight w:val="none"/>
              </w:rPr>
              <w:t>施工准备与资源配置计划：用于该工程的技术、资源，劳动力、主要材料、机械及各种设备的使用管理等内容比较，具有可操作性强；</w:t>
            </w:r>
            <w:r>
              <w:rPr>
                <w:rFonts w:hint="eastAsia" w:ascii="宋体" w:hAnsi="宋体"/>
                <w:kern w:val="0"/>
                <w:highlight w:val="none"/>
              </w:rPr>
              <w:t>内容描述详细的得</w:t>
            </w:r>
            <w:r>
              <w:rPr>
                <w:rFonts w:hint="eastAsia" w:ascii="宋体" w:hAnsi="宋体"/>
                <w:kern w:val="0"/>
                <w:highlight w:val="none"/>
                <w:lang w:val="en-US" w:eastAsia="zh-CN"/>
              </w:rPr>
              <w:t>11</w:t>
            </w:r>
            <w:r>
              <w:rPr>
                <w:rFonts w:hint="eastAsia" w:ascii="宋体" w:hAnsi="宋体"/>
                <w:kern w:val="0"/>
                <w:highlight w:val="none"/>
              </w:rPr>
              <w:t>分；可操作性尚可，内容描述较详细的得7分；可操作性一般，内容描述一般的得</w:t>
            </w:r>
            <w:r>
              <w:rPr>
                <w:rFonts w:hint="eastAsia" w:ascii="宋体" w:hAnsi="宋体"/>
                <w:kern w:val="0"/>
                <w:highlight w:val="none"/>
                <w:lang w:val="en-US" w:eastAsia="zh-CN"/>
              </w:rPr>
              <w:t>4</w:t>
            </w:r>
            <w:r>
              <w:rPr>
                <w:rFonts w:hint="eastAsia" w:ascii="宋体" w:hAnsi="宋体"/>
                <w:kern w:val="0"/>
                <w:highlight w:val="none"/>
              </w:rPr>
              <w:t>分；可操作性差，内容描述特少的得1分,没有描述的不得分。</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42E732D3">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11</w:t>
            </w:r>
          </w:p>
        </w:tc>
      </w:tr>
      <w:tr w14:paraId="07C5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63FC865C">
            <w:pPr>
              <w:widowControl/>
              <w:adjustRightInd w:val="0"/>
              <w:snapToGrid w:val="0"/>
              <w:spacing w:line="240" w:lineRule="atLeast"/>
              <w:jc w:val="center"/>
              <w:rPr>
                <w:rFonts w:ascii="宋体" w:hAnsi="宋体" w:cs="宋体"/>
                <w:kern w:val="0"/>
                <w:highlight w:val="none"/>
              </w:rPr>
            </w:pPr>
            <w:r>
              <w:rPr>
                <w:rFonts w:hint="eastAsia" w:ascii="宋体" w:hAnsi="宋体" w:cs="宋体"/>
                <w:kern w:val="0"/>
                <w:highlight w:val="none"/>
              </w:rPr>
              <w:t>4</w:t>
            </w:r>
          </w:p>
        </w:tc>
        <w:tc>
          <w:tcPr>
            <w:tcW w:w="662" w:type="pct"/>
            <w:vMerge w:val="continue"/>
            <w:tcBorders>
              <w:top w:val="single" w:color="auto" w:sz="4" w:space="0"/>
              <w:left w:val="single" w:color="auto" w:sz="4" w:space="0"/>
              <w:right w:val="single" w:color="auto" w:sz="4" w:space="0"/>
              <w:tl2br w:val="nil"/>
              <w:tr2bl w:val="nil"/>
            </w:tcBorders>
            <w:vAlign w:val="center"/>
          </w:tcPr>
          <w:p w14:paraId="77294024">
            <w:pPr>
              <w:widowControl/>
              <w:wordWrap w:val="0"/>
              <w:autoSpaceDE w:val="0"/>
              <w:autoSpaceDN w:val="0"/>
              <w:spacing w:line="0" w:lineRule="atLeast"/>
              <w:jc w:val="center"/>
              <w:rPr>
                <w:rFonts w:ascii="宋体" w:hAnsi="宋体" w:cs="宋体"/>
                <w:szCs w:val="20"/>
                <w:highlight w:val="none"/>
              </w:rPr>
            </w:pP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3D150D38">
            <w:pPr>
              <w:spacing w:before="22" w:line="278" w:lineRule="auto"/>
              <w:ind w:left="107" w:right="57"/>
              <w:jc w:val="left"/>
              <w:rPr>
                <w:rFonts w:ascii="宋体" w:hAnsi="宋体"/>
                <w:kern w:val="0"/>
                <w:highlight w:val="none"/>
              </w:rPr>
            </w:pPr>
            <w:r>
              <w:rPr>
                <w:rFonts w:hint="eastAsia" w:ascii="宋体" w:hAnsi="宋体"/>
                <w:kern w:val="0"/>
                <w:highlight w:val="none"/>
              </w:rPr>
              <w:t>工程安全文明施工及环境保护措施：安全文明施工，施工现场扬尘、噪声污染防治措施及其他环境保护方面的措施科学、合理、规范，具有可操作性强；内容描述详细的得1</w:t>
            </w:r>
            <w:r>
              <w:rPr>
                <w:rFonts w:hint="eastAsia" w:ascii="宋体" w:hAnsi="宋体"/>
                <w:kern w:val="0"/>
                <w:highlight w:val="none"/>
                <w:lang w:val="en-US" w:eastAsia="zh-CN"/>
              </w:rPr>
              <w:t>1</w:t>
            </w:r>
            <w:r>
              <w:rPr>
                <w:rFonts w:hint="eastAsia" w:ascii="宋体" w:hAnsi="宋体"/>
                <w:kern w:val="0"/>
                <w:highlight w:val="none"/>
              </w:rPr>
              <w:t>分；可操作性尚可，内容描述较详细的得7分；可操作性一般，内容描述一般的得</w:t>
            </w:r>
            <w:r>
              <w:rPr>
                <w:rFonts w:hint="eastAsia" w:ascii="宋体" w:hAnsi="宋体"/>
                <w:kern w:val="0"/>
                <w:highlight w:val="none"/>
                <w:lang w:val="en-US" w:eastAsia="zh-CN"/>
              </w:rPr>
              <w:t>4</w:t>
            </w:r>
            <w:r>
              <w:rPr>
                <w:rFonts w:hint="eastAsia" w:ascii="宋体" w:hAnsi="宋体"/>
                <w:kern w:val="0"/>
                <w:highlight w:val="none"/>
              </w:rPr>
              <w:t>分；可操作性差，内容描述特少的得1分,没有描述的不得分。</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3FCBD59E">
            <w:pPr>
              <w:widowControl/>
              <w:wordWrap w:val="0"/>
              <w:autoSpaceDE w:val="0"/>
              <w:autoSpaceDN w:val="0"/>
              <w:spacing w:line="0" w:lineRule="atLeast"/>
              <w:jc w:val="center"/>
              <w:rPr>
                <w:rFonts w:hint="eastAsia" w:ascii="宋体" w:hAnsi="宋体" w:cs="宋体"/>
                <w:szCs w:val="20"/>
                <w:highlight w:val="none"/>
              </w:rPr>
            </w:pPr>
          </w:p>
          <w:p w14:paraId="236DBC05">
            <w:pPr>
              <w:widowControl/>
              <w:wordWrap w:val="0"/>
              <w:autoSpaceDE w:val="0"/>
              <w:autoSpaceDN w:val="0"/>
              <w:spacing w:line="0" w:lineRule="atLeast"/>
              <w:jc w:val="center"/>
              <w:rPr>
                <w:rFonts w:hint="eastAsia" w:ascii="宋体" w:hAnsi="宋体" w:cs="宋体"/>
                <w:szCs w:val="20"/>
                <w:highlight w:val="none"/>
              </w:rPr>
            </w:pPr>
          </w:p>
          <w:p w14:paraId="08893D05">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11</w:t>
            </w:r>
          </w:p>
        </w:tc>
      </w:tr>
      <w:tr w14:paraId="7DD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39C491DE">
            <w:pPr>
              <w:widowControl/>
              <w:adjustRightInd w:val="0"/>
              <w:snapToGrid w:val="0"/>
              <w:spacing w:line="240" w:lineRule="atLeast"/>
              <w:jc w:val="center"/>
              <w:rPr>
                <w:rFonts w:ascii="宋体" w:hAnsi="宋体" w:cs="宋体"/>
                <w:kern w:val="0"/>
                <w:highlight w:val="none"/>
              </w:rPr>
            </w:pPr>
            <w:r>
              <w:rPr>
                <w:rFonts w:hint="eastAsia" w:ascii="宋体" w:hAnsi="宋体" w:cs="宋体"/>
                <w:kern w:val="0"/>
                <w:highlight w:val="none"/>
              </w:rPr>
              <w:t>5</w:t>
            </w:r>
          </w:p>
        </w:tc>
        <w:tc>
          <w:tcPr>
            <w:tcW w:w="662" w:type="pct"/>
            <w:vMerge w:val="continue"/>
            <w:tcBorders>
              <w:top w:val="single" w:color="auto" w:sz="4" w:space="0"/>
              <w:left w:val="single" w:color="auto" w:sz="4" w:space="0"/>
              <w:right w:val="single" w:color="auto" w:sz="4" w:space="0"/>
              <w:tl2br w:val="nil"/>
              <w:tr2bl w:val="nil"/>
            </w:tcBorders>
            <w:vAlign w:val="center"/>
          </w:tcPr>
          <w:p w14:paraId="2CDD1031">
            <w:pPr>
              <w:widowControl/>
              <w:wordWrap w:val="0"/>
              <w:autoSpaceDE w:val="0"/>
              <w:autoSpaceDN w:val="0"/>
              <w:spacing w:line="0" w:lineRule="atLeast"/>
              <w:jc w:val="center"/>
              <w:rPr>
                <w:rFonts w:ascii="宋体" w:hAnsi="宋体" w:cs="宋体"/>
                <w:szCs w:val="20"/>
                <w:highlight w:val="none"/>
              </w:rPr>
            </w:pP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3DFA5302">
            <w:pPr>
              <w:spacing w:before="22" w:line="278" w:lineRule="auto"/>
              <w:ind w:left="107" w:right="57"/>
              <w:jc w:val="left"/>
              <w:rPr>
                <w:rFonts w:ascii="宋体" w:hAnsi="宋体"/>
                <w:kern w:val="0"/>
                <w:highlight w:val="none"/>
              </w:rPr>
            </w:pPr>
            <w:r>
              <w:rPr>
                <w:rFonts w:hint="eastAsia" w:ascii="宋体" w:hAnsi="宋体"/>
                <w:kern w:val="0"/>
                <w:highlight w:val="none"/>
              </w:rPr>
              <w:t>关键施工技术、工艺及工程项目实施的重点、难点和解决方案：方案合理、高效，具有可操作性强；技术、新产品、新工艺、新材料应用：应用方案科学、合理、规范，具有可操作性强；内容描述详细的得1</w:t>
            </w:r>
            <w:r>
              <w:rPr>
                <w:rFonts w:hint="eastAsia" w:ascii="宋体" w:hAnsi="宋体"/>
                <w:kern w:val="0"/>
                <w:highlight w:val="none"/>
                <w:lang w:val="en-US" w:eastAsia="zh-CN"/>
              </w:rPr>
              <w:t>1</w:t>
            </w:r>
            <w:r>
              <w:rPr>
                <w:rFonts w:hint="eastAsia" w:ascii="宋体" w:hAnsi="宋体"/>
                <w:kern w:val="0"/>
                <w:highlight w:val="none"/>
              </w:rPr>
              <w:t>分；可操作性尚可，内容描述较详细的得7分；可操作性一般，内容描述一般的得</w:t>
            </w:r>
            <w:r>
              <w:rPr>
                <w:rFonts w:hint="eastAsia" w:ascii="宋体" w:hAnsi="宋体"/>
                <w:kern w:val="0"/>
                <w:highlight w:val="none"/>
                <w:lang w:val="en-US" w:eastAsia="zh-CN"/>
              </w:rPr>
              <w:t>4</w:t>
            </w:r>
            <w:r>
              <w:rPr>
                <w:rFonts w:hint="eastAsia" w:ascii="宋体" w:hAnsi="宋体"/>
                <w:kern w:val="0"/>
                <w:highlight w:val="none"/>
              </w:rPr>
              <w:t>分；可操作性差，内容描述特少的得1分,没有描述的不得分。</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62A9BE87">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11</w:t>
            </w:r>
          </w:p>
        </w:tc>
      </w:tr>
      <w:tr w14:paraId="7EB7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14:paraId="15F6865D">
            <w:pPr>
              <w:widowControl/>
              <w:autoSpaceDE w:val="0"/>
              <w:autoSpaceDN w:val="0"/>
              <w:spacing w:line="0" w:lineRule="atLeast"/>
              <w:jc w:val="left"/>
              <w:rPr>
                <w:rFonts w:ascii="宋体" w:hAnsi="宋体" w:cs="宋体"/>
                <w:szCs w:val="20"/>
                <w:highlight w:val="none"/>
              </w:rPr>
            </w:pPr>
            <w:r>
              <w:rPr>
                <w:rFonts w:hint="eastAsia" w:ascii="宋体" w:hAnsi="宋体" w:cs="宋体"/>
                <w:b/>
                <w:kern w:val="0"/>
                <w:highlight w:val="none"/>
              </w:rPr>
              <w:t>三、企业综合实力（</w:t>
            </w:r>
            <w:r>
              <w:rPr>
                <w:rFonts w:hint="eastAsia" w:ascii="宋体" w:hAnsi="宋体" w:cs="宋体"/>
                <w:b/>
                <w:kern w:val="0"/>
                <w:highlight w:val="none"/>
                <w:lang w:val="en-US" w:eastAsia="zh-CN"/>
              </w:rPr>
              <w:t>20</w:t>
            </w:r>
            <w:r>
              <w:rPr>
                <w:rFonts w:hint="eastAsia" w:ascii="宋体" w:hAnsi="宋体" w:cs="宋体"/>
                <w:b/>
                <w:kern w:val="0"/>
                <w:highlight w:val="none"/>
              </w:rPr>
              <w:t>分）</w:t>
            </w:r>
          </w:p>
        </w:tc>
      </w:tr>
      <w:tr w14:paraId="1E80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0AB2A931">
            <w:pPr>
              <w:widowControl/>
              <w:adjustRightInd w:val="0"/>
              <w:snapToGrid w:val="0"/>
              <w:spacing w:line="240" w:lineRule="atLeast"/>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1</w:t>
            </w:r>
          </w:p>
        </w:tc>
        <w:tc>
          <w:tcPr>
            <w:tcW w:w="662" w:type="pct"/>
            <w:tcBorders>
              <w:top w:val="single" w:color="auto" w:sz="4" w:space="0"/>
              <w:left w:val="single" w:color="auto" w:sz="4" w:space="0"/>
              <w:bottom w:val="single" w:color="auto" w:sz="4" w:space="0"/>
              <w:right w:val="single" w:color="auto" w:sz="4" w:space="0"/>
              <w:tl2br w:val="nil"/>
              <w:tr2bl w:val="nil"/>
            </w:tcBorders>
            <w:vAlign w:val="center"/>
          </w:tcPr>
          <w:p w14:paraId="2E9991AB">
            <w:pPr>
              <w:widowControl/>
              <w:wordWrap w:val="0"/>
              <w:jc w:val="center"/>
              <w:rPr>
                <w:rFonts w:hint="eastAsia" w:ascii="宋体" w:hAnsi="宋体"/>
                <w:kern w:val="0"/>
                <w:highlight w:val="none"/>
              </w:rPr>
            </w:pPr>
            <w:r>
              <w:rPr>
                <w:rFonts w:hint="eastAsia" w:ascii="宋体" w:hAnsi="宋体"/>
                <w:kern w:val="0"/>
                <w:highlight w:val="none"/>
                <w:lang w:val="en-US" w:eastAsia="zh-CN"/>
              </w:rPr>
              <w:t>项目组</w:t>
            </w:r>
            <w:r>
              <w:rPr>
                <w:rFonts w:hint="eastAsia" w:ascii="宋体" w:hAnsi="宋体"/>
                <w:kern w:val="0"/>
                <w:highlight w:val="none"/>
              </w:rPr>
              <w:t>人员配备</w:t>
            </w:r>
          </w:p>
          <w:p w14:paraId="39D00B55">
            <w:pPr>
              <w:widowControl/>
              <w:wordWrap w:val="0"/>
              <w:jc w:val="center"/>
              <w:rPr>
                <w:rFonts w:hint="eastAsia" w:ascii="宋体" w:hAnsi="宋体" w:eastAsia="宋体" w:cs="Calibri"/>
                <w:kern w:val="0"/>
                <w:sz w:val="21"/>
                <w:szCs w:val="21"/>
                <w:highlight w:val="none"/>
                <w:lang w:val="en-US" w:eastAsia="zh-CN" w:bidi="ar-SA"/>
              </w:rPr>
            </w:pPr>
            <w:r>
              <w:rPr>
                <w:rFonts w:hint="eastAsia" w:ascii="宋体" w:hAnsi="宋体"/>
                <w:kern w:val="0"/>
                <w:highlight w:val="none"/>
              </w:rPr>
              <w:t>（</w:t>
            </w:r>
            <w:r>
              <w:rPr>
                <w:rFonts w:hint="eastAsia" w:ascii="宋体" w:hAnsi="宋体"/>
                <w:kern w:val="0"/>
                <w:highlight w:val="none"/>
                <w:lang w:val="en-US" w:eastAsia="zh-CN"/>
              </w:rPr>
              <w:t>7</w:t>
            </w:r>
            <w:r>
              <w:rPr>
                <w:rFonts w:hint="eastAsia" w:ascii="宋体" w:hAnsi="宋体"/>
                <w:kern w:val="0"/>
                <w:highlight w:val="none"/>
              </w:rPr>
              <w:t>分）</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69D3CC8D">
            <w:pPr>
              <w:jc w:val="left"/>
              <w:rPr>
                <w:rFonts w:hint="eastAsia" w:ascii="宋体" w:hAnsi="宋体"/>
                <w:kern w:val="0"/>
                <w:highlight w:val="none"/>
              </w:rPr>
            </w:pPr>
            <w:r>
              <w:rPr>
                <w:rFonts w:hint="eastAsia" w:ascii="宋体" w:hAnsi="宋体"/>
                <w:kern w:val="0"/>
                <w:highlight w:val="none"/>
                <w:lang w:val="en-US" w:eastAsia="zh-CN"/>
              </w:rPr>
              <w:t>项目负责人</w:t>
            </w:r>
            <w:r>
              <w:rPr>
                <w:rFonts w:hint="eastAsia" w:ascii="宋体" w:hAnsi="宋体" w:eastAsia="宋体" w:cs="Calibri"/>
                <w:sz w:val="21"/>
                <w:szCs w:val="21"/>
                <w:highlight w:val="none"/>
              </w:rPr>
              <w:t>具有</w:t>
            </w:r>
            <w:r>
              <w:rPr>
                <w:rFonts w:hint="eastAsia" w:ascii="宋体" w:hAnsi="宋体"/>
                <w:highlight w:val="none"/>
                <w:lang w:val="en-US" w:eastAsia="zh-CN"/>
              </w:rPr>
              <w:t>一级建造师或高级工程师职称的得1.5分</w:t>
            </w:r>
            <w:r>
              <w:rPr>
                <w:rFonts w:hint="eastAsia" w:ascii="宋体" w:hAnsi="宋体" w:cs="Calibri"/>
                <w:sz w:val="21"/>
                <w:szCs w:val="21"/>
                <w:highlight w:val="none"/>
                <w:lang w:eastAsia="zh-CN"/>
              </w:rPr>
              <w:t>；</w:t>
            </w:r>
            <w:r>
              <w:rPr>
                <w:rFonts w:hint="eastAsia" w:ascii="宋体" w:hAnsi="宋体"/>
                <w:kern w:val="0"/>
                <w:highlight w:val="none"/>
              </w:rPr>
              <w:t>最高得</w:t>
            </w:r>
            <w:r>
              <w:rPr>
                <w:rFonts w:hint="eastAsia" w:ascii="宋体" w:hAnsi="宋体"/>
                <w:kern w:val="0"/>
                <w:highlight w:val="none"/>
                <w:lang w:val="en-US" w:eastAsia="zh-CN"/>
              </w:rPr>
              <w:t>1.5</w:t>
            </w:r>
            <w:r>
              <w:rPr>
                <w:rFonts w:hint="eastAsia" w:ascii="宋体" w:hAnsi="宋体"/>
                <w:kern w:val="0"/>
                <w:highlight w:val="none"/>
              </w:rPr>
              <w:t>分</w:t>
            </w:r>
            <w:r>
              <w:rPr>
                <w:rFonts w:hint="eastAsia" w:ascii="宋体" w:hAnsi="宋体"/>
                <w:kern w:val="0"/>
                <w:highlight w:val="none"/>
                <w:lang w:eastAsia="zh-CN"/>
              </w:rPr>
              <w:t>；</w:t>
            </w:r>
            <w:r>
              <w:rPr>
                <w:rFonts w:hint="eastAsia" w:ascii="宋体" w:hAnsi="宋体"/>
                <w:kern w:val="0"/>
                <w:highlight w:val="none"/>
              </w:rPr>
              <w:t>没有不得分。</w:t>
            </w:r>
          </w:p>
          <w:p w14:paraId="23EC20BB">
            <w:pPr>
              <w:jc w:val="left"/>
              <w:rPr>
                <w:rFonts w:hint="eastAsia" w:ascii="宋体" w:hAnsi="宋体"/>
                <w:kern w:val="0"/>
                <w:highlight w:val="none"/>
                <w:lang w:val="en-US" w:eastAsia="zh-CN"/>
              </w:rPr>
            </w:pPr>
            <w:r>
              <w:rPr>
                <w:rFonts w:hint="eastAsia" w:ascii="宋体" w:hAnsi="宋体" w:eastAsia="宋体" w:cs="Calibri"/>
                <w:sz w:val="21"/>
                <w:szCs w:val="21"/>
                <w:highlight w:val="none"/>
              </w:rPr>
              <w:t>项目</w:t>
            </w:r>
            <w:r>
              <w:rPr>
                <w:rFonts w:hint="eastAsia" w:ascii="宋体" w:hAnsi="宋体" w:cs="Calibri"/>
                <w:sz w:val="21"/>
                <w:szCs w:val="21"/>
                <w:highlight w:val="none"/>
                <w:lang w:val="en-US" w:eastAsia="zh-CN"/>
              </w:rPr>
              <w:t>技术</w:t>
            </w:r>
            <w:r>
              <w:rPr>
                <w:rFonts w:hint="eastAsia" w:ascii="宋体" w:hAnsi="宋体" w:eastAsia="宋体" w:cs="Calibri"/>
                <w:sz w:val="21"/>
                <w:szCs w:val="21"/>
                <w:highlight w:val="none"/>
              </w:rPr>
              <w:t>负责人具有</w:t>
            </w:r>
            <w:r>
              <w:rPr>
                <w:rFonts w:hint="eastAsia" w:ascii="宋体" w:hAnsi="宋体"/>
                <w:highlight w:val="none"/>
                <w:lang w:val="en-US" w:eastAsia="zh-CN"/>
              </w:rPr>
              <w:t>一级建造师或高级工程师职称的得1.5分，</w:t>
            </w:r>
            <w:r>
              <w:rPr>
                <w:rFonts w:hint="eastAsia" w:ascii="宋体" w:hAnsi="宋体" w:cs="Calibri"/>
                <w:color w:val="auto"/>
                <w:sz w:val="21"/>
                <w:highlight w:val="none"/>
                <w:lang w:val="en-US" w:eastAsia="zh-CN"/>
              </w:rPr>
              <w:t>本项</w:t>
            </w:r>
            <w:r>
              <w:rPr>
                <w:rFonts w:hint="eastAsia" w:ascii="宋体" w:hAnsi="宋体"/>
                <w:kern w:val="0"/>
                <w:highlight w:val="none"/>
              </w:rPr>
              <w:t>最高得</w:t>
            </w:r>
            <w:r>
              <w:rPr>
                <w:rFonts w:hint="eastAsia" w:ascii="宋体" w:hAnsi="宋体"/>
                <w:kern w:val="0"/>
                <w:highlight w:val="none"/>
                <w:lang w:val="en-US" w:eastAsia="zh-CN"/>
              </w:rPr>
              <w:t>1.5</w:t>
            </w:r>
            <w:r>
              <w:rPr>
                <w:rFonts w:hint="eastAsia" w:ascii="宋体" w:hAnsi="宋体"/>
                <w:kern w:val="0"/>
                <w:highlight w:val="none"/>
              </w:rPr>
              <w:t>分</w:t>
            </w:r>
            <w:r>
              <w:rPr>
                <w:rFonts w:hint="eastAsia" w:ascii="宋体" w:hAnsi="宋体"/>
                <w:kern w:val="0"/>
                <w:highlight w:val="none"/>
                <w:lang w:eastAsia="zh-CN"/>
              </w:rPr>
              <w:t>；</w:t>
            </w:r>
            <w:r>
              <w:rPr>
                <w:rFonts w:hint="eastAsia" w:ascii="宋体" w:hAnsi="宋体"/>
                <w:kern w:val="0"/>
                <w:highlight w:val="none"/>
              </w:rPr>
              <w:t>没有不得分。</w:t>
            </w:r>
          </w:p>
          <w:p w14:paraId="4D2BE37C">
            <w:pPr>
              <w:tabs>
                <w:tab w:val="left" w:pos="8820"/>
              </w:tabs>
              <w:spacing w:before="22" w:line="278" w:lineRule="auto"/>
              <w:ind w:right="105" w:rightChars="50"/>
              <w:jc w:val="left"/>
              <w:rPr>
                <w:rFonts w:hint="eastAsia"/>
                <w:highlight w:val="none"/>
                <w:lang w:val="en-US" w:eastAsia="zh-CN"/>
              </w:rPr>
            </w:pPr>
            <w:r>
              <w:rPr>
                <w:rFonts w:hint="eastAsia" w:ascii="宋体" w:hAnsi="宋体"/>
                <w:strike w:val="0"/>
                <w:dstrike w:val="0"/>
                <w:kern w:val="0"/>
                <w:highlight w:val="none"/>
              </w:rPr>
              <w:t>项目的组织机构人员中</w:t>
            </w:r>
            <w:r>
              <w:rPr>
                <w:rFonts w:hint="eastAsia" w:ascii="宋体" w:hAnsi="宋体"/>
                <w:strike w:val="0"/>
                <w:dstrike w:val="0"/>
                <w:kern w:val="0"/>
                <w:highlight w:val="none"/>
                <w:lang w:eastAsia="zh-CN"/>
              </w:rPr>
              <w:t>，</w:t>
            </w:r>
            <w:r>
              <w:rPr>
                <w:rFonts w:hint="eastAsia" w:ascii="宋体" w:hAnsi="宋体" w:eastAsia="宋体" w:cs="Calibri"/>
                <w:color w:val="auto"/>
                <w:sz w:val="21"/>
                <w:highlight w:val="none"/>
                <w:lang w:val="zh-CN"/>
              </w:rPr>
              <w:t>除项目负责人</w:t>
            </w:r>
            <w:r>
              <w:rPr>
                <w:rFonts w:hint="eastAsia" w:ascii="宋体" w:hAnsi="宋体" w:cs="Calibri"/>
                <w:color w:val="auto"/>
                <w:sz w:val="21"/>
                <w:highlight w:val="none"/>
                <w:lang w:val="en-US" w:eastAsia="zh-CN"/>
              </w:rPr>
              <w:t>和技术负责人</w:t>
            </w:r>
            <w:r>
              <w:rPr>
                <w:rFonts w:hint="eastAsia" w:ascii="宋体" w:hAnsi="宋体" w:eastAsia="宋体" w:cs="Calibri"/>
                <w:color w:val="auto"/>
                <w:sz w:val="21"/>
                <w:highlight w:val="none"/>
                <w:lang w:val="zh-CN"/>
              </w:rPr>
              <w:t>外，</w:t>
            </w:r>
            <w:r>
              <w:rPr>
                <w:rFonts w:hint="eastAsia" w:ascii="宋体" w:hAnsi="宋体" w:cs="Calibri"/>
                <w:color w:val="auto"/>
                <w:sz w:val="21"/>
                <w:highlight w:val="none"/>
                <w:lang w:val="en-US" w:eastAsia="zh-CN"/>
              </w:rPr>
              <w:t>需提供</w:t>
            </w:r>
            <w:r>
              <w:rPr>
                <w:rFonts w:hint="eastAsia" w:ascii="宋体" w:hAnsi="宋体" w:eastAsia="宋体" w:cs="Calibri"/>
                <w:color w:val="auto"/>
                <w:sz w:val="21"/>
                <w:highlight w:val="none"/>
                <w:lang w:val="zh-CN"/>
              </w:rPr>
              <w:t>施工员、质量员、安全员、</w:t>
            </w:r>
            <w:r>
              <w:rPr>
                <w:rFonts w:hint="eastAsia"/>
                <w:highlight w:val="none"/>
                <w:u w:val="none"/>
                <w:lang w:val="en-US" w:eastAsia="zh-CN"/>
              </w:rPr>
              <w:t>标准员、</w:t>
            </w:r>
            <w:r>
              <w:rPr>
                <w:rFonts w:hint="eastAsia" w:ascii="宋体" w:hAnsi="宋体" w:cs="Calibri"/>
                <w:color w:val="auto"/>
                <w:sz w:val="21"/>
                <w:highlight w:val="none"/>
                <w:u w:val="none"/>
                <w:lang w:val="en-US" w:eastAsia="zh-CN"/>
              </w:rPr>
              <w:t>材料员、</w:t>
            </w:r>
            <w:r>
              <w:rPr>
                <w:rFonts w:hint="eastAsia" w:ascii="宋体" w:hAnsi="宋体" w:cs="Calibri"/>
                <w:sz w:val="21"/>
                <w:highlight w:val="none"/>
                <w:u w:val="none"/>
                <w:lang w:val="en-US" w:eastAsia="zh-CN"/>
              </w:rPr>
              <w:t>劳</w:t>
            </w:r>
            <w:r>
              <w:rPr>
                <w:rFonts w:hint="eastAsia" w:ascii="宋体" w:hAnsi="宋体" w:cs="Calibri"/>
                <w:sz w:val="21"/>
                <w:highlight w:val="none"/>
                <w:lang w:val="en-US" w:eastAsia="zh-CN"/>
              </w:rPr>
              <w:t>务</w:t>
            </w:r>
            <w:r>
              <w:rPr>
                <w:rFonts w:hint="eastAsia" w:ascii="宋体" w:hAnsi="宋体" w:eastAsia="宋体" w:cs="Calibri"/>
                <w:color w:val="auto"/>
                <w:sz w:val="21"/>
                <w:highlight w:val="none"/>
                <w:lang w:val="zh-CN"/>
              </w:rPr>
              <w:t>员、</w:t>
            </w:r>
            <w:r>
              <w:rPr>
                <w:rFonts w:hint="eastAsia" w:ascii="宋体" w:hAnsi="宋体" w:eastAsia="宋体" w:cs="Calibri"/>
                <w:color w:val="auto"/>
                <w:sz w:val="21"/>
                <w:highlight w:val="none"/>
                <w:lang w:val="en-US" w:eastAsia="zh-CN"/>
              </w:rPr>
              <w:t>造价员</w:t>
            </w:r>
            <w:r>
              <w:rPr>
                <w:rFonts w:hint="eastAsia" w:ascii="宋体" w:hAnsi="宋体" w:cs="Calibri"/>
                <w:color w:val="auto"/>
                <w:sz w:val="21"/>
                <w:highlight w:val="none"/>
                <w:lang w:val="en-US" w:eastAsia="zh-CN"/>
              </w:rPr>
              <w:t>、资料员</w:t>
            </w:r>
            <w:r>
              <w:rPr>
                <w:rFonts w:hint="eastAsia" w:ascii="宋体" w:hAnsi="宋体" w:eastAsia="宋体" w:cs="Calibri"/>
                <w:color w:val="auto"/>
                <w:sz w:val="21"/>
                <w:highlight w:val="none"/>
                <w:lang w:val="zh-CN"/>
              </w:rPr>
              <w:t>的岗位培训考核合格证书，</w:t>
            </w:r>
            <w:r>
              <w:rPr>
                <w:rFonts w:hint="eastAsia" w:ascii="宋体" w:hAnsi="宋体" w:cs="Calibri"/>
                <w:color w:val="auto"/>
                <w:sz w:val="21"/>
                <w:highlight w:val="none"/>
                <w:lang w:val="en-US" w:eastAsia="zh-CN"/>
              </w:rPr>
              <w:t>且</w:t>
            </w:r>
            <w:r>
              <w:rPr>
                <w:rFonts w:hint="eastAsia" w:ascii="宋体" w:hAnsi="宋体" w:eastAsia="宋体" w:cs="Calibri"/>
                <w:color w:val="auto"/>
                <w:sz w:val="21"/>
                <w:highlight w:val="none"/>
                <w:lang w:val="zh-CN"/>
              </w:rPr>
              <w:t>提供</w:t>
            </w:r>
            <w:r>
              <w:rPr>
                <w:rFonts w:hint="eastAsia" w:ascii="宋体" w:hAnsi="宋体" w:cs="Calibri"/>
                <w:color w:val="auto"/>
                <w:sz w:val="21"/>
                <w:highlight w:val="none"/>
                <w:lang w:val="zh-CN"/>
              </w:rPr>
              <w:t>的</w:t>
            </w:r>
            <w:r>
              <w:rPr>
                <w:rFonts w:hint="eastAsia" w:ascii="宋体" w:hAnsi="宋体" w:cs="Calibri"/>
                <w:color w:val="auto"/>
                <w:sz w:val="21"/>
                <w:highlight w:val="none"/>
                <w:lang w:val="en-US" w:eastAsia="zh-CN"/>
              </w:rPr>
              <w:t>人员</w:t>
            </w:r>
            <w:r>
              <w:rPr>
                <w:rFonts w:hint="eastAsia" w:ascii="宋体" w:hAnsi="宋体"/>
                <w:strike w:val="0"/>
                <w:dstrike w:val="0"/>
                <w:kern w:val="0"/>
                <w:highlight w:val="none"/>
              </w:rPr>
              <w:t>具有中级职称的有一个得</w:t>
            </w:r>
            <w:r>
              <w:rPr>
                <w:rFonts w:hint="eastAsia" w:ascii="宋体" w:hAnsi="宋体"/>
                <w:strike w:val="0"/>
                <w:dstrike w:val="0"/>
                <w:kern w:val="0"/>
                <w:highlight w:val="none"/>
                <w:lang w:val="en-US" w:eastAsia="zh-CN"/>
              </w:rPr>
              <w:t>0.5</w:t>
            </w:r>
            <w:r>
              <w:rPr>
                <w:rFonts w:hint="eastAsia" w:ascii="宋体" w:hAnsi="宋体"/>
                <w:strike w:val="0"/>
                <w:dstrike w:val="0"/>
                <w:kern w:val="0"/>
                <w:highlight w:val="none"/>
              </w:rPr>
              <w:t>分</w:t>
            </w:r>
            <w:r>
              <w:rPr>
                <w:rFonts w:hint="eastAsia" w:ascii="宋体" w:hAnsi="宋体" w:eastAsia="宋体" w:cs="Calibri"/>
                <w:color w:val="auto"/>
                <w:sz w:val="21"/>
                <w:highlight w:val="none"/>
                <w:lang w:val="zh-CN"/>
              </w:rPr>
              <w:t>；</w:t>
            </w:r>
            <w:r>
              <w:rPr>
                <w:rFonts w:hint="eastAsia" w:ascii="宋体" w:hAnsi="宋体" w:cs="Calibri"/>
                <w:color w:val="auto"/>
                <w:sz w:val="21"/>
                <w:highlight w:val="none"/>
                <w:lang w:val="en-US" w:eastAsia="zh-CN"/>
              </w:rPr>
              <w:t>本项</w:t>
            </w:r>
            <w:r>
              <w:rPr>
                <w:rFonts w:hint="eastAsia" w:ascii="宋体" w:hAnsi="宋体"/>
                <w:strike w:val="0"/>
                <w:dstrike w:val="0"/>
                <w:kern w:val="0"/>
                <w:highlight w:val="none"/>
              </w:rPr>
              <w:t>最高得</w:t>
            </w:r>
            <w:r>
              <w:rPr>
                <w:rFonts w:hint="eastAsia" w:ascii="宋体" w:hAnsi="宋体"/>
                <w:strike w:val="0"/>
                <w:dstrike w:val="0"/>
                <w:kern w:val="0"/>
                <w:highlight w:val="none"/>
                <w:lang w:val="en-US" w:eastAsia="zh-CN"/>
              </w:rPr>
              <w:t>4</w:t>
            </w:r>
            <w:r>
              <w:rPr>
                <w:rFonts w:hint="eastAsia" w:ascii="宋体" w:hAnsi="宋体"/>
                <w:strike w:val="0"/>
                <w:dstrike w:val="0"/>
                <w:kern w:val="0"/>
                <w:highlight w:val="none"/>
              </w:rPr>
              <w:t>分</w:t>
            </w:r>
            <w:r>
              <w:rPr>
                <w:rFonts w:hint="eastAsia" w:ascii="宋体" w:hAnsi="宋体"/>
                <w:strike w:val="0"/>
                <w:dstrike w:val="0"/>
                <w:kern w:val="0"/>
                <w:highlight w:val="none"/>
                <w:lang w:eastAsia="zh-CN"/>
              </w:rPr>
              <w:t>；</w:t>
            </w:r>
            <w:r>
              <w:rPr>
                <w:rFonts w:hint="eastAsia" w:ascii="宋体" w:hAnsi="宋体"/>
                <w:strike w:val="0"/>
                <w:dstrike w:val="0"/>
                <w:kern w:val="0"/>
                <w:highlight w:val="none"/>
              </w:rPr>
              <w:t>没有不得分。</w:t>
            </w:r>
            <w:r>
              <w:rPr>
                <w:rFonts w:hint="eastAsia" w:ascii="宋体" w:hAnsi="宋体"/>
                <w:kern w:val="0"/>
                <w:highlight w:val="none"/>
              </w:rPr>
              <w:t>（提供证书复印件加盖公章）</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44A6B982">
            <w:pPr>
              <w:widowControl/>
              <w:wordWrap w:val="0"/>
              <w:autoSpaceDE w:val="0"/>
              <w:autoSpaceDN w:val="0"/>
              <w:spacing w:line="0" w:lineRule="atLeast"/>
              <w:jc w:val="center"/>
              <w:rPr>
                <w:rFonts w:hint="default" w:ascii="宋体" w:hAnsi="宋体" w:eastAsia="宋体" w:cs="宋体"/>
                <w:kern w:val="2"/>
                <w:sz w:val="21"/>
                <w:szCs w:val="20"/>
                <w:highlight w:val="none"/>
                <w:lang w:val="en-US" w:eastAsia="zh-CN" w:bidi="ar-SA"/>
              </w:rPr>
            </w:pPr>
            <w:r>
              <w:rPr>
                <w:rFonts w:hint="eastAsia" w:ascii="宋体" w:hAnsi="宋体" w:cs="宋体"/>
                <w:kern w:val="2"/>
                <w:sz w:val="21"/>
                <w:szCs w:val="20"/>
                <w:highlight w:val="none"/>
                <w:lang w:val="en-US" w:eastAsia="zh-CN" w:bidi="ar-SA"/>
              </w:rPr>
              <w:t>7</w:t>
            </w:r>
          </w:p>
        </w:tc>
      </w:tr>
      <w:tr w14:paraId="3A58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4963F68C">
            <w:pPr>
              <w:widowControl/>
              <w:adjustRightInd w:val="0"/>
              <w:snapToGrid w:val="0"/>
              <w:spacing w:line="240" w:lineRule="atLeast"/>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2</w:t>
            </w:r>
          </w:p>
        </w:tc>
        <w:tc>
          <w:tcPr>
            <w:tcW w:w="662" w:type="pct"/>
            <w:tcBorders>
              <w:top w:val="single" w:color="auto" w:sz="4" w:space="0"/>
              <w:left w:val="single" w:color="auto" w:sz="4" w:space="0"/>
              <w:right w:val="single" w:color="auto" w:sz="4" w:space="0"/>
              <w:tl2br w:val="nil"/>
              <w:tr2bl w:val="nil"/>
            </w:tcBorders>
            <w:vAlign w:val="center"/>
          </w:tcPr>
          <w:p w14:paraId="3D7AD279">
            <w:pPr>
              <w:widowControl/>
              <w:wordWrap w:val="0"/>
              <w:jc w:val="center"/>
              <w:rPr>
                <w:rFonts w:ascii="宋体" w:hAnsi="宋体"/>
                <w:kern w:val="0"/>
                <w:highlight w:val="none"/>
              </w:rPr>
            </w:pPr>
            <w:r>
              <w:rPr>
                <w:rFonts w:hint="eastAsia" w:ascii="宋体" w:hAnsi="宋体"/>
                <w:kern w:val="0"/>
                <w:highlight w:val="none"/>
              </w:rPr>
              <w:t>企业综合实力（</w:t>
            </w:r>
            <w:r>
              <w:rPr>
                <w:rFonts w:hint="eastAsia" w:ascii="宋体" w:hAnsi="宋体"/>
                <w:kern w:val="0"/>
                <w:highlight w:val="none"/>
                <w:lang w:val="en-US" w:eastAsia="zh-CN"/>
              </w:rPr>
              <w:t>3</w:t>
            </w:r>
            <w:r>
              <w:rPr>
                <w:rFonts w:hint="eastAsia" w:ascii="宋体" w:hAnsi="宋体"/>
                <w:kern w:val="0"/>
                <w:highlight w:val="none"/>
              </w:rPr>
              <w:t>分）</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55608BE9">
            <w:pPr>
              <w:jc w:val="left"/>
              <w:rPr>
                <w:rFonts w:ascii="宋体" w:hAnsi="宋体"/>
                <w:kern w:val="0"/>
                <w:highlight w:val="none"/>
              </w:rPr>
            </w:pPr>
            <w:r>
              <w:rPr>
                <w:rFonts w:hint="eastAsia" w:ascii="宋体" w:hAnsi="宋体"/>
                <w:kern w:val="0"/>
                <w:highlight w:val="none"/>
              </w:rPr>
              <w:t>投标人具有质量管理体系、环境管理体系认证、职业健康安全管理体系认证证书的，有一个得</w:t>
            </w:r>
            <w:r>
              <w:rPr>
                <w:rFonts w:hint="eastAsia" w:ascii="宋体" w:hAnsi="宋体"/>
                <w:kern w:val="0"/>
                <w:highlight w:val="none"/>
                <w:lang w:val="en-US" w:eastAsia="zh-CN"/>
              </w:rPr>
              <w:t>1</w:t>
            </w:r>
            <w:r>
              <w:rPr>
                <w:rFonts w:hint="eastAsia" w:ascii="宋体" w:hAnsi="宋体"/>
                <w:kern w:val="0"/>
                <w:highlight w:val="none"/>
              </w:rPr>
              <w:t>分，最高</w:t>
            </w:r>
            <w:r>
              <w:rPr>
                <w:rFonts w:hint="eastAsia" w:ascii="宋体" w:hAnsi="宋体"/>
                <w:kern w:val="0"/>
                <w:highlight w:val="none"/>
                <w:lang w:val="en-US" w:eastAsia="zh-CN"/>
              </w:rPr>
              <w:t>3</w:t>
            </w:r>
            <w:r>
              <w:rPr>
                <w:rFonts w:hint="eastAsia" w:ascii="宋体" w:hAnsi="宋体"/>
                <w:kern w:val="0"/>
                <w:highlight w:val="none"/>
              </w:rPr>
              <w:t>分</w:t>
            </w:r>
            <w:r>
              <w:rPr>
                <w:rFonts w:hint="eastAsia" w:ascii="宋体" w:hAnsi="宋体"/>
                <w:kern w:val="0"/>
                <w:highlight w:val="none"/>
                <w:lang w:eastAsia="zh-CN"/>
              </w:rPr>
              <w:t>；</w:t>
            </w:r>
            <w:r>
              <w:rPr>
                <w:rFonts w:hint="eastAsia" w:ascii="宋体" w:hAnsi="宋体"/>
                <w:kern w:val="0"/>
                <w:highlight w:val="none"/>
              </w:rPr>
              <w:t>没有不得分。（提供证书复印件加盖公章）</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576760EB">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3</w:t>
            </w:r>
          </w:p>
        </w:tc>
      </w:tr>
      <w:tr w14:paraId="1DC7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092598C2">
            <w:pPr>
              <w:widowControl/>
              <w:adjustRightInd w:val="0"/>
              <w:snapToGrid w:val="0"/>
              <w:spacing w:line="240" w:lineRule="atLeast"/>
              <w:jc w:val="cente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3</w:t>
            </w:r>
          </w:p>
        </w:tc>
        <w:tc>
          <w:tcPr>
            <w:tcW w:w="662" w:type="pct"/>
            <w:tcBorders>
              <w:top w:val="single" w:color="auto" w:sz="4" w:space="0"/>
              <w:left w:val="single" w:color="auto" w:sz="4" w:space="0"/>
              <w:bottom w:val="single" w:color="auto" w:sz="4" w:space="0"/>
              <w:right w:val="single" w:color="auto" w:sz="4" w:space="0"/>
              <w:tl2br w:val="nil"/>
              <w:tr2bl w:val="nil"/>
            </w:tcBorders>
            <w:vAlign w:val="center"/>
          </w:tcPr>
          <w:p w14:paraId="29548BBB">
            <w:pPr>
              <w:widowControl/>
              <w:wordWrap w:val="0"/>
              <w:autoSpaceDE w:val="0"/>
              <w:autoSpaceDN w:val="0"/>
              <w:spacing w:line="0" w:lineRule="atLeast"/>
              <w:jc w:val="center"/>
              <w:rPr>
                <w:rFonts w:hint="eastAsia" w:ascii="宋体" w:hAnsi="宋体" w:cs="宋体"/>
                <w:szCs w:val="20"/>
                <w:highlight w:val="none"/>
              </w:rPr>
            </w:pPr>
            <w:r>
              <w:rPr>
                <w:rFonts w:hint="eastAsia" w:ascii="宋体" w:hAnsi="宋体" w:cs="宋体"/>
                <w:szCs w:val="20"/>
                <w:highlight w:val="none"/>
              </w:rPr>
              <w:t>业绩</w:t>
            </w:r>
          </w:p>
          <w:p w14:paraId="0FF0190A">
            <w:pPr>
              <w:widowControl/>
              <w:wordWrap w:val="0"/>
              <w:autoSpaceDE w:val="0"/>
              <w:autoSpaceDN w:val="0"/>
              <w:spacing w:line="0" w:lineRule="atLeast"/>
              <w:jc w:val="center"/>
              <w:rPr>
                <w:rFonts w:ascii="宋体" w:hAnsi="宋体" w:cs="宋体"/>
                <w:szCs w:val="20"/>
                <w:highlight w:val="none"/>
              </w:rPr>
            </w:pPr>
            <w:r>
              <w:rPr>
                <w:rFonts w:hint="eastAsia" w:ascii="宋体" w:hAnsi="宋体" w:cs="宋体"/>
                <w:szCs w:val="20"/>
                <w:highlight w:val="none"/>
              </w:rPr>
              <w:t>（</w:t>
            </w:r>
            <w:r>
              <w:rPr>
                <w:rFonts w:hint="eastAsia" w:ascii="宋体" w:hAnsi="宋体" w:cs="宋体"/>
                <w:szCs w:val="20"/>
                <w:highlight w:val="none"/>
                <w:lang w:val="en-US" w:eastAsia="zh-CN"/>
              </w:rPr>
              <w:t>6</w:t>
            </w:r>
            <w:r>
              <w:rPr>
                <w:rFonts w:hint="eastAsia" w:ascii="宋体" w:hAnsi="宋体" w:cs="宋体"/>
                <w:szCs w:val="20"/>
                <w:highlight w:val="none"/>
              </w:rPr>
              <w:t>分）</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6399E8AC">
            <w:pPr>
              <w:widowControl/>
              <w:wordWrap w:val="0"/>
              <w:autoSpaceDE w:val="0"/>
              <w:autoSpaceDN w:val="0"/>
              <w:spacing w:line="0" w:lineRule="atLeast"/>
              <w:jc w:val="left"/>
              <w:rPr>
                <w:rFonts w:ascii="宋体" w:hAnsi="宋体" w:cs="宋体"/>
                <w:szCs w:val="20"/>
                <w:highlight w:val="none"/>
              </w:rPr>
            </w:pPr>
            <w:r>
              <w:rPr>
                <w:rFonts w:hint="eastAsia" w:ascii="宋体" w:hAnsi="宋体" w:cs="宋体"/>
                <w:szCs w:val="20"/>
                <w:highlight w:val="none"/>
              </w:rPr>
              <w:t>提供20</w:t>
            </w:r>
            <w:r>
              <w:rPr>
                <w:rFonts w:hint="eastAsia" w:ascii="宋体" w:hAnsi="宋体" w:cs="宋体"/>
                <w:szCs w:val="20"/>
                <w:highlight w:val="none"/>
                <w:lang w:val="en-US" w:eastAsia="zh-CN"/>
              </w:rPr>
              <w:t>23</w:t>
            </w:r>
            <w:r>
              <w:rPr>
                <w:rFonts w:hint="eastAsia" w:ascii="宋体" w:hAnsi="宋体" w:cs="宋体"/>
                <w:szCs w:val="20"/>
                <w:highlight w:val="none"/>
              </w:rPr>
              <w:t>年</w:t>
            </w:r>
            <w:r>
              <w:rPr>
                <w:rFonts w:hint="eastAsia" w:ascii="宋体" w:hAnsi="宋体" w:cs="宋体"/>
                <w:szCs w:val="20"/>
                <w:highlight w:val="none"/>
                <w:lang w:val="en-US" w:eastAsia="zh-CN"/>
              </w:rPr>
              <w:t>5月</w:t>
            </w:r>
            <w:r>
              <w:rPr>
                <w:rFonts w:hint="eastAsia" w:ascii="宋体" w:hAnsi="宋体" w:cs="宋体"/>
                <w:szCs w:val="20"/>
                <w:highlight w:val="none"/>
              </w:rPr>
              <w:t>以来类似的项目业绩，每1个得</w:t>
            </w:r>
            <w:r>
              <w:rPr>
                <w:rFonts w:hint="eastAsia" w:ascii="宋体" w:hAnsi="宋体" w:cs="宋体"/>
                <w:szCs w:val="20"/>
                <w:highlight w:val="none"/>
                <w:lang w:val="en-US" w:eastAsia="zh-CN"/>
              </w:rPr>
              <w:t>2</w:t>
            </w:r>
            <w:r>
              <w:rPr>
                <w:rFonts w:hint="eastAsia" w:ascii="宋体" w:hAnsi="宋体" w:cs="宋体"/>
                <w:szCs w:val="20"/>
                <w:highlight w:val="none"/>
              </w:rPr>
              <w:t>分，最高</w:t>
            </w:r>
            <w:r>
              <w:rPr>
                <w:rFonts w:hint="eastAsia" w:ascii="宋体" w:hAnsi="宋体" w:cs="宋体"/>
                <w:szCs w:val="20"/>
                <w:highlight w:val="none"/>
                <w:lang w:val="en-US" w:eastAsia="zh-CN"/>
              </w:rPr>
              <w:t>得6</w:t>
            </w:r>
            <w:r>
              <w:rPr>
                <w:rFonts w:hint="eastAsia" w:ascii="宋体" w:hAnsi="宋体" w:cs="宋体"/>
                <w:szCs w:val="20"/>
                <w:highlight w:val="none"/>
              </w:rPr>
              <w:t>分</w:t>
            </w:r>
            <w:r>
              <w:rPr>
                <w:rFonts w:hint="eastAsia" w:ascii="宋体" w:hAnsi="宋体" w:cs="宋体"/>
                <w:szCs w:val="20"/>
                <w:highlight w:val="none"/>
                <w:lang w:eastAsia="zh-CN"/>
              </w:rPr>
              <w:t>；</w:t>
            </w:r>
            <w:r>
              <w:rPr>
                <w:rFonts w:hint="eastAsia" w:ascii="宋体" w:hAnsi="宋体"/>
                <w:kern w:val="0"/>
                <w:highlight w:val="none"/>
              </w:rPr>
              <w:t>没有不得分。</w:t>
            </w:r>
            <w:r>
              <w:rPr>
                <w:rFonts w:hint="eastAsia" w:ascii="宋体" w:hAnsi="宋体" w:cs="宋体"/>
                <w:szCs w:val="20"/>
                <w:highlight w:val="none"/>
              </w:rPr>
              <w:t>（提供合同书、竣工验收证明复印件加盖公章）</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0C554C95">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6</w:t>
            </w:r>
          </w:p>
        </w:tc>
      </w:tr>
      <w:tr w14:paraId="4A35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69" w:type="pct"/>
            <w:tcBorders>
              <w:top w:val="single" w:color="auto" w:sz="4" w:space="0"/>
              <w:left w:val="single" w:color="auto" w:sz="4" w:space="0"/>
              <w:bottom w:val="single" w:color="auto" w:sz="4" w:space="0"/>
              <w:right w:val="single" w:color="auto" w:sz="4" w:space="0"/>
              <w:tl2br w:val="nil"/>
              <w:tr2bl w:val="nil"/>
            </w:tcBorders>
            <w:vAlign w:val="center"/>
          </w:tcPr>
          <w:p w14:paraId="1A64D757">
            <w:pPr>
              <w:widowControl/>
              <w:adjustRightInd w:val="0"/>
              <w:snapToGrid w:val="0"/>
              <w:spacing w:line="240" w:lineRule="atLeast"/>
              <w:jc w:val="center"/>
              <w:rPr>
                <w:rFonts w:hint="eastAsia" w:ascii="宋体" w:hAnsi="宋体" w:eastAsia="宋体" w:cs="宋体"/>
                <w:kern w:val="0"/>
                <w:highlight w:val="none"/>
                <w:lang w:eastAsia="zh-CN"/>
              </w:rPr>
            </w:pPr>
            <w:r>
              <w:rPr>
                <w:rFonts w:hint="eastAsia" w:ascii="宋体" w:hAnsi="宋体" w:cs="宋体"/>
                <w:kern w:val="0"/>
                <w:highlight w:val="none"/>
                <w:lang w:val="en-US" w:eastAsia="zh-CN"/>
              </w:rPr>
              <w:t>4</w:t>
            </w:r>
          </w:p>
        </w:tc>
        <w:tc>
          <w:tcPr>
            <w:tcW w:w="662" w:type="pct"/>
            <w:tcBorders>
              <w:top w:val="single" w:color="auto" w:sz="4" w:space="0"/>
              <w:left w:val="single" w:color="auto" w:sz="4" w:space="0"/>
              <w:bottom w:val="single" w:color="auto" w:sz="4" w:space="0"/>
              <w:right w:val="single" w:color="auto" w:sz="4" w:space="0"/>
              <w:tl2br w:val="nil"/>
              <w:tr2bl w:val="nil"/>
            </w:tcBorders>
            <w:vAlign w:val="center"/>
          </w:tcPr>
          <w:p w14:paraId="0844BC09">
            <w:pPr>
              <w:widowControl/>
              <w:wordWrap w:val="0"/>
              <w:autoSpaceDE w:val="0"/>
              <w:autoSpaceDN w:val="0"/>
              <w:spacing w:line="0" w:lineRule="atLeast"/>
              <w:jc w:val="center"/>
              <w:rPr>
                <w:rFonts w:hint="eastAsia" w:ascii="宋体" w:hAnsi="宋体" w:cs="宋体"/>
                <w:szCs w:val="20"/>
                <w:highlight w:val="none"/>
              </w:rPr>
            </w:pPr>
            <w:r>
              <w:rPr>
                <w:rFonts w:hint="eastAsia" w:ascii="宋体" w:hAnsi="宋体" w:cs="宋体"/>
                <w:szCs w:val="20"/>
                <w:highlight w:val="none"/>
              </w:rPr>
              <w:t>设备配备</w:t>
            </w:r>
          </w:p>
          <w:p w14:paraId="7D1A91D2">
            <w:pPr>
              <w:widowControl/>
              <w:wordWrap w:val="0"/>
              <w:autoSpaceDE w:val="0"/>
              <w:autoSpaceDN w:val="0"/>
              <w:spacing w:line="0" w:lineRule="atLeast"/>
              <w:jc w:val="center"/>
              <w:rPr>
                <w:rFonts w:ascii="宋体" w:hAnsi="宋体" w:cs="宋体"/>
                <w:szCs w:val="20"/>
                <w:highlight w:val="none"/>
              </w:rPr>
            </w:pPr>
            <w:r>
              <w:rPr>
                <w:rFonts w:hint="eastAsia" w:ascii="宋体" w:hAnsi="宋体" w:cs="宋体"/>
                <w:szCs w:val="20"/>
                <w:highlight w:val="none"/>
              </w:rPr>
              <w:t>（</w:t>
            </w:r>
            <w:r>
              <w:rPr>
                <w:rFonts w:hint="eastAsia" w:ascii="宋体" w:hAnsi="宋体" w:cs="宋体"/>
                <w:szCs w:val="20"/>
                <w:highlight w:val="none"/>
                <w:lang w:val="en-US" w:eastAsia="zh-CN"/>
              </w:rPr>
              <w:t>4</w:t>
            </w:r>
            <w:r>
              <w:rPr>
                <w:rFonts w:hint="eastAsia" w:ascii="宋体" w:hAnsi="宋体" w:cs="宋体"/>
                <w:szCs w:val="20"/>
                <w:highlight w:val="none"/>
              </w:rPr>
              <w:t>分）</w:t>
            </w:r>
          </w:p>
        </w:tc>
        <w:tc>
          <w:tcPr>
            <w:tcW w:w="3601" w:type="pct"/>
            <w:tcBorders>
              <w:top w:val="single" w:color="auto" w:sz="4" w:space="0"/>
              <w:left w:val="single" w:color="auto" w:sz="4" w:space="0"/>
              <w:bottom w:val="single" w:color="auto" w:sz="4" w:space="0"/>
              <w:right w:val="single" w:color="auto" w:sz="4" w:space="0"/>
              <w:tl2br w:val="nil"/>
              <w:tr2bl w:val="nil"/>
            </w:tcBorders>
            <w:vAlign w:val="center"/>
          </w:tcPr>
          <w:p w14:paraId="4F667DFE">
            <w:pPr>
              <w:widowControl/>
              <w:wordWrap w:val="0"/>
              <w:autoSpaceDE w:val="0"/>
              <w:autoSpaceDN w:val="0"/>
              <w:spacing w:line="0" w:lineRule="atLeast"/>
              <w:jc w:val="left"/>
              <w:rPr>
                <w:rFonts w:ascii="宋体" w:hAnsi="宋体" w:cs="宋体"/>
                <w:szCs w:val="20"/>
                <w:highlight w:val="none"/>
              </w:rPr>
            </w:pPr>
            <w:r>
              <w:rPr>
                <w:rFonts w:hint="eastAsia" w:ascii="宋体" w:hAnsi="宋体" w:cs="宋体"/>
                <w:strike w:val="0"/>
                <w:dstrike w:val="0"/>
                <w:szCs w:val="20"/>
                <w:highlight w:val="none"/>
                <w:u w:val="none"/>
              </w:rPr>
              <w:t>根据本项目特点配备的设备种类、数量充足，适宜项目实施的得</w:t>
            </w:r>
            <w:r>
              <w:rPr>
                <w:rFonts w:hint="eastAsia" w:ascii="宋体" w:hAnsi="宋体" w:cs="宋体"/>
                <w:strike w:val="0"/>
                <w:dstrike w:val="0"/>
                <w:szCs w:val="20"/>
                <w:highlight w:val="none"/>
                <w:u w:val="none"/>
                <w:lang w:val="en-US" w:eastAsia="zh-CN"/>
              </w:rPr>
              <w:t>4</w:t>
            </w:r>
            <w:r>
              <w:rPr>
                <w:rFonts w:hint="eastAsia" w:ascii="宋体" w:hAnsi="宋体" w:cs="宋体"/>
                <w:strike w:val="0"/>
                <w:dstrike w:val="0"/>
                <w:szCs w:val="20"/>
                <w:highlight w:val="none"/>
                <w:u w:val="none"/>
              </w:rPr>
              <w:t>分，尚可的得3分，一般的得</w:t>
            </w:r>
            <w:r>
              <w:rPr>
                <w:rFonts w:hint="eastAsia" w:ascii="宋体" w:hAnsi="宋体" w:cs="宋体"/>
                <w:strike w:val="0"/>
                <w:dstrike w:val="0"/>
                <w:szCs w:val="20"/>
                <w:highlight w:val="none"/>
                <w:u w:val="none"/>
                <w:lang w:val="en-US" w:eastAsia="zh-CN"/>
              </w:rPr>
              <w:t>2</w:t>
            </w:r>
            <w:r>
              <w:rPr>
                <w:rFonts w:hint="eastAsia" w:ascii="宋体" w:hAnsi="宋体" w:cs="宋体"/>
                <w:strike w:val="0"/>
                <w:dstrike w:val="0"/>
                <w:szCs w:val="20"/>
                <w:highlight w:val="none"/>
                <w:u w:val="none"/>
              </w:rPr>
              <w:t>分，略有不足得</w:t>
            </w:r>
            <w:r>
              <w:rPr>
                <w:rFonts w:hint="eastAsia" w:ascii="宋体" w:hAnsi="宋体" w:cs="宋体"/>
                <w:strike w:val="0"/>
                <w:dstrike w:val="0"/>
                <w:szCs w:val="20"/>
                <w:highlight w:val="none"/>
                <w:u w:val="none"/>
                <w:lang w:val="en-US" w:eastAsia="zh-CN"/>
              </w:rPr>
              <w:t>1</w:t>
            </w:r>
            <w:r>
              <w:rPr>
                <w:rFonts w:hint="eastAsia" w:ascii="宋体" w:hAnsi="宋体" w:cs="宋体"/>
                <w:strike w:val="0"/>
                <w:dstrike w:val="0"/>
                <w:szCs w:val="20"/>
                <w:highlight w:val="none"/>
                <w:u w:val="none"/>
              </w:rPr>
              <w:t>分，较大不足得0分。</w:t>
            </w:r>
            <w:r>
              <w:rPr>
                <w:rFonts w:hint="eastAsia" w:ascii="宋体" w:hAnsi="宋体" w:cs="宋体"/>
                <w:strike w:val="0"/>
                <w:dstrike w:val="0"/>
                <w:szCs w:val="20"/>
                <w:highlight w:val="none"/>
                <w:u w:val="none"/>
                <w:lang w:val="en-US" w:eastAsia="zh-CN"/>
              </w:rPr>
              <w:t>(提供设备配置表）</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14:paraId="2BF58D43">
            <w:pPr>
              <w:widowControl/>
              <w:wordWrap w:val="0"/>
              <w:autoSpaceDE w:val="0"/>
              <w:autoSpaceDN w:val="0"/>
              <w:spacing w:line="0" w:lineRule="atLeast"/>
              <w:jc w:val="center"/>
              <w:rPr>
                <w:rFonts w:hint="default" w:ascii="宋体" w:hAnsi="宋体" w:eastAsia="宋体" w:cs="宋体"/>
                <w:szCs w:val="20"/>
                <w:highlight w:val="none"/>
                <w:lang w:val="en-US" w:eastAsia="zh-CN"/>
              </w:rPr>
            </w:pPr>
            <w:r>
              <w:rPr>
                <w:rFonts w:hint="eastAsia" w:ascii="宋体" w:hAnsi="宋体" w:cs="宋体"/>
                <w:szCs w:val="20"/>
                <w:highlight w:val="none"/>
                <w:lang w:val="en-US" w:eastAsia="zh-CN"/>
              </w:rPr>
              <w:t>4</w:t>
            </w:r>
          </w:p>
        </w:tc>
      </w:tr>
    </w:tbl>
    <w:p w14:paraId="5DE1FC76">
      <w:pPr>
        <w:wordWrap w:val="0"/>
        <w:autoSpaceDE w:val="0"/>
        <w:autoSpaceDN w:val="0"/>
        <w:spacing w:line="360" w:lineRule="auto"/>
        <w:rPr>
          <w:rFonts w:ascii="宋体" w:hAnsi="宋体" w:cs="宋体"/>
          <w:b/>
          <w:bCs/>
          <w:sz w:val="20"/>
          <w:szCs w:val="20"/>
          <w:highlight w:val="none"/>
        </w:rPr>
      </w:pPr>
      <w:bookmarkStart w:id="594" w:name="_Toc16881"/>
      <w:bookmarkStart w:id="595" w:name="_Toc23717"/>
      <w:bookmarkStart w:id="596" w:name="_Toc11655"/>
      <w:r>
        <w:rPr>
          <w:rFonts w:hint="eastAsia" w:ascii="宋体" w:hAnsi="宋体" w:cs="宋体"/>
          <w:b/>
          <w:bCs/>
          <w:sz w:val="20"/>
          <w:szCs w:val="20"/>
          <w:highlight w:val="none"/>
        </w:rPr>
        <w:t>说明：</w:t>
      </w:r>
    </w:p>
    <w:p w14:paraId="2D4371D9">
      <w:pPr>
        <w:wordWrap w:val="0"/>
        <w:autoSpaceDE w:val="0"/>
        <w:autoSpaceDN w:val="0"/>
        <w:spacing w:line="360" w:lineRule="auto"/>
        <w:ind w:left="399" w:leftChars="190"/>
        <w:rPr>
          <w:rFonts w:ascii="宋体" w:hAnsi="宋体" w:cs="宋体"/>
          <w:sz w:val="20"/>
          <w:szCs w:val="16"/>
          <w:highlight w:val="none"/>
        </w:rPr>
      </w:pPr>
      <w:r>
        <w:rPr>
          <w:rFonts w:hint="eastAsia" w:ascii="宋体" w:hAnsi="宋体" w:cs="宋体"/>
          <w:sz w:val="20"/>
          <w:szCs w:val="16"/>
          <w:highlight w:val="none"/>
        </w:rPr>
        <w:t>1、对小型和微型企业产品的价格给予10%扣除，用扣除后的价格参与评审。</w:t>
      </w:r>
      <w:r>
        <w:rPr>
          <w:rFonts w:hint="eastAsia" w:ascii="宋体" w:hAnsi="宋体" w:cs="宋体"/>
          <w:sz w:val="20"/>
          <w:szCs w:val="16"/>
          <w:highlight w:val="none"/>
        </w:rPr>
        <w:br w:type="textWrapping"/>
      </w:r>
      <w:r>
        <w:rPr>
          <w:rFonts w:hint="eastAsia" w:ascii="宋体" w:hAnsi="宋体" w:cs="宋体"/>
          <w:sz w:val="20"/>
          <w:szCs w:val="16"/>
          <w:highlight w:val="none"/>
        </w:rPr>
        <w:t>小企业（含小型、微型企业）应当同时符合以下条件：</w:t>
      </w:r>
      <w:r>
        <w:rPr>
          <w:rFonts w:hint="eastAsia" w:ascii="宋体" w:hAnsi="宋体" w:cs="宋体"/>
          <w:sz w:val="20"/>
          <w:szCs w:val="16"/>
          <w:highlight w:val="none"/>
        </w:rPr>
        <w:br w:type="textWrapping"/>
      </w:r>
      <w:r>
        <w:rPr>
          <w:rFonts w:hint="eastAsia" w:ascii="宋体" w:hAnsi="宋体" w:cs="宋体"/>
          <w:sz w:val="20"/>
          <w:szCs w:val="16"/>
          <w:highlight w:val="none"/>
        </w:rPr>
        <w:t>（1）投标人为小企业，且符合中小企业划分标准；</w:t>
      </w:r>
      <w:r>
        <w:rPr>
          <w:rFonts w:hint="eastAsia" w:ascii="宋体" w:hAnsi="宋体" w:cs="宋体"/>
          <w:sz w:val="20"/>
          <w:szCs w:val="16"/>
          <w:highlight w:val="none"/>
        </w:rPr>
        <w:br w:type="textWrapping"/>
      </w:r>
      <w:r>
        <w:rPr>
          <w:rFonts w:hint="eastAsia" w:ascii="宋体" w:hAnsi="宋体" w:cs="宋体"/>
          <w:sz w:val="20"/>
          <w:szCs w:val="16"/>
          <w:highlight w:val="none"/>
        </w:rPr>
        <w:t>（2）提供本企业制造的货物、承担的工程或者服务，或者提供其他小企业制造的货物。如果提供的货物为大中型企业注册商标的货物，视同大中型企业。</w:t>
      </w:r>
    </w:p>
    <w:p w14:paraId="69B3BD78">
      <w:pPr>
        <w:wordWrap w:val="0"/>
        <w:autoSpaceDE w:val="0"/>
        <w:autoSpaceDN w:val="0"/>
        <w:spacing w:line="360" w:lineRule="auto"/>
        <w:ind w:left="399" w:leftChars="190"/>
        <w:rPr>
          <w:rFonts w:hint="eastAsia" w:ascii="宋体" w:hAnsi="宋体" w:cs="宋体"/>
          <w:sz w:val="20"/>
          <w:szCs w:val="16"/>
          <w:highlight w:val="none"/>
        </w:rPr>
      </w:pPr>
      <w:r>
        <w:rPr>
          <w:rFonts w:hint="eastAsia" w:ascii="宋体" w:hAnsi="宋体" w:cs="宋体"/>
          <w:sz w:val="20"/>
          <w:szCs w:val="16"/>
          <w:highlight w:val="none"/>
        </w:rPr>
        <w:t>2、所有证书、认证、证明和业绩等均以有效的证明文件的复印件加盖公章为依据，原件备查。</w:t>
      </w:r>
    </w:p>
    <w:p w14:paraId="779CCFBB">
      <w:pPr>
        <w:wordWrap w:val="0"/>
        <w:autoSpaceDE w:val="0"/>
        <w:autoSpaceDN w:val="0"/>
        <w:spacing w:line="360" w:lineRule="auto"/>
        <w:ind w:left="399" w:leftChars="190"/>
        <w:rPr>
          <w:rFonts w:hint="eastAsia" w:ascii="宋体" w:hAnsi="宋体" w:cs="宋体"/>
          <w:sz w:val="20"/>
          <w:szCs w:val="16"/>
          <w:highlight w:val="none"/>
        </w:rPr>
      </w:pPr>
      <w:r>
        <w:rPr>
          <w:rFonts w:hint="eastAsia" w:ascii="宋体" w:hAnsi="宋体" w:cs="宋体"/>
          <w:sz w:val="20"/>
          <w:szCs w:val="16"/>
          <w:highlight w:val="none"/>
        </w:rPr>
        <w:t>3、若投标供应商提供虚假资料，一经查实作废标处理并上报政府采购主管部门进行处罚。</w:t>
      </w:r>
      <w:r>
        <w:rPr>
          <w:rFonts w:hint="eastAsia" w:ascii="宋体" w:hAnsi="宋体" w:cs="宋体"/>
          <w:sz w:val="20"/>
          <w:szCs w:val="16"/>
          <w:highlight w:val="none"/>
        </w:rPr>
        <w:br w:type="textWrapping"/>
      </w:r>
      <w:r>
        <w:rPr>
          <w:rFonts w:hint="eastAsia" w:ascii="宋体" w:hAnsi="宋体" w:cs="宋体"/>
          <w:sz w:val="20"/>
          <w:szCs w:val="16"/>
          <w:highlight w:val="none"/>
        </w:rPr>
        <w:t>4、评标委员会不保证有效报价最低的投标人中标。在评标过程中，评标委员会发现投标人的报价明显低于其他投标报价或者设有标底时明显低于标底，使得其投标报价可能低于其个别成本的，应当要求投标人做出书面说明并提供相关证明材料。投标人不能合理说明或者不能提供相关材料的，由评标委员会认定该投标人以低于成本报价竞标，其投标应作废标处理。</w:t>
      </w:r>
    </w:p>
    <w:p w14:paraId="24F8515D">
      <w:pPr>
        <w:pStyle w:val="34"/>
        <w:spacing w:after="312" w:line="360" w:lineRule="auto"/>
        <w:textAlignment w:val="baseline"/>
        <w:rPr>
          <w:rFonts w:ascii="宋体" w:hAnsi="宋体" w:eastAsia="宋体" w:cs="仿宋"/>
          <w:highlight w:val="none"/>
        </w:rPr>
      </w:pPr>
    </w:p>
    <w:p w14:paraId="6AE67854">
      <w:pPr>
        <w:rPr>
          <w:highlight w:val="none"/>
        </w:rPr>
      </w:pPr>
    </w:p>
    <w:p w14:paraId="176117EC">
      <w:pPr>
        <w:pStyle w:val="34"/>
        <w:spacing w:after="312" w:line="360" w:lineRule="auto"/>
        <w:textAlignment w:val="baseline"/>
        <w:rPr>
          <w:rFonts w:ascii="宋体" w:hAnsi="宋体" w:eastAsia="宋体" w:cs="仿宋"/>
          <w:highlight w:val="none"/>
        </w:rPr>
      </w:pPr>
      <w:r>
        <w:rPr>
          <w:rFonts w:hint="eastAsia" w:ascii="宋体" w:hAnsi="宋体" w:eastAsia="宋体" w:cs="仿宋"/>
          <w:highlight w:val="none"/>
        </w:rPr>
        <w:t>第六章  响应文件格式</w:t>
      </w:r>
      <w:bookmarkEnd w:id="594"/>
      <w:bookmarkEnd w:id="595"/>
      <w:bookmarkEnd w:id="596"/>
    </w:p>
    <w:p w14:paraId="5AB6BEC1">
      <w:pPr>
        <w:pStyle w:val="32"/>
        <w:spacing w:before="0" w:after="0"/>
        <w:ind w:firstLine="0" w:firstLineChars="0"/>
        <w:jc w:val="center"/>
        <w:textAlignment w:val="baseline"/>
        <w:rPr>
          <w:rFonts w:ascii="宋体" w:hAnsi="宋体" w:cs="仿宋"/>
          <w:b/>
          <w:bCs/>
          <w:sz w:val="72"/>
          <w:szCs w:val="72"/>
          <w:highlight w:val="none"/>
        </w:rPr>
      </w:pPr>
    </w:p>
    <w:p w14:paraId="6A6F2CF3">
      <w:pPr>
        <w:pStyle w:val="32"/>
        <w:spacing w:before="0" w:after="0"/>
        <w:ind w:firstLine="0" w:firstLineChars="0"/>
        <w:jc w:val="center"/>
        <w:textAlignment w:val="baseline"/>
        <w:rPr>
          <w:rFonts w:ascii="宋体" w:hAnsi="宋体" w:cs="仿宋"/>
          <w:b/>
          <w:bCs/>
          <w:sz w:val="72"/>
          <w:szCs w:val="72"/>
          <w:highlight w:val="none"/>
        </w:rPr>
      </w:pPr>
    </w:p>
    <w:p w14:paraId="021CE2AD">
      <w:pPr>
        <w:pStyle w:val="32"/>
        <w:spacing w:before="0" w:after="0"/>
        <w:ind w:firstLine="0" w:firstLineChars="0"/>
        <w:jc w:val="center"/>
        <w:textAlignment w:val="baseline"/>
        <w:rPr>
          <w:rFonts w:ascii="宋体" w:hAnsi="宋体" w:cs="仿宋"/>
          <w:b/>
          <w:bCs/>
          <w:sz w:val="72"/>
          <w:szCs w:val="72"/>
          <w:highlight w:val="none"/>
        </w:rPr>
      </w:pPr>
      <w:r>
        <w:rPr>
          <w:rFonts w:hint="eastAsia" w:ascii="宋体" w:hAnsi="宋体" w:cs="仿宋"/>
          <w:b/>
          <w:bCs/>
          <w:sz w:val="72"/>
          <w:szCs w:val="72"/>
          <w:highlight w:val="none"/>
        </w:rPr>
        <w:t>竞争性磋商响应文件</w:t>
      </w:r>
    </w:p>
    <w:p w14:paraId="0041450B">
      <w:pPr>
        <w:pStyle w:val="32"/>
        <w:spacing w:before="0" w:after="0"/>
        <w:ind w:firstLine="0" w:firstLineChars="0"/>
        <w:jc w:val="center"/>
        <w:textAlignment w:val="baseline"/>
        <w:rPr>
          <w:rFonts w:ascii="宋体" w:hAnsi="宋体" w:cs="仿宋"/>
          <w:b/>
          <w:bCs/>
          <w:sz w:val="52"/>
          <w:szCs w:val="52"/>
          <w:highlight w:val="none"/>
        </w:rPr>
      </w:pPr>
    </w:p>
    <w:p w14:paraId="697FEC59">
      <w:pPr>
        <w:pStyle w:val="32"/>
        <w:spacing w:before="0" w:after="0"/>
        <w:ind w:firstLine="0" w:firstLineChars="0"/>
        <w:jc w:val="center"/>
        <w:textAlignment w:val="baseline"/>
        <w:rPr>
          <w:rFonts w:ascii="宋体" w:hAnsi="宋体" w:cs="仿宋"/>
          <w:b/>
          <w:bCs/>
          <w:sz w:val="52"/>
          <w:szCs w:val="52"/>
          <w:highlight w:val="none"/>
        </w:rPr>
      </w:pPr>
    </w:p>
    <w:p w14:paraId="0A3AA910">
      <w:pPr>
        <w:pStyle w:val="32"/>
        <w:spacing w:before="0" w:after="0"/>
        <w:ind w:firstLine="0" w:firstLineChars="0"/>
        <w:jc w:val="center"/>
        <w:textAlignment w:val="baseline"/>
        <w:rPr>
          <w:rFonts w:ascii="宋体" w:hAnsi="宋体" w:cs="仿宋"/>
          <w:b/>
          <w:bCs/>
          <w:sz w:val="32"/>
          <w:szCs w:val="32"/>
          <w:highlight w:val="none"/>
        </w:rPr>
      </w:pPr>
      <w:r>
        <w:rPr>
          <w:rFonts w:hint="eastAsia" w:ascii="宋体" w:hAnsi="宋体" w:cs="仿宋"/>
          <w:b/>
          <w:bCs/>
          <w:sz w:val="52"/>
          <w:szCs w:val="52"/>
          <w:highlight w:val="none"/>
        </w:rPr>
        <w:t>（正本或副本）</w:t>
      </w:r>
    </w:p>
    <w:p w14:paraId="5DB31ED3">
      <w:pPr>
        <w:pStyle w:val="32"/>
        <w:spacing w:before="0" w:after="0"/>
        <w:ind w:firstLine="0" w:firstLineChars="0"/>
        <w:textAlignment w:val="baseline"/>
        <w:rPr>
          <w:rFonts w:ascii="宋体" w:hAnsi="宋体" w:cs="仿宋"/>
          <w:highlight w:val="none"/>
        </w:rPr>
      </w:pPr>
    </w:p>
    <w:p w14:paraId="65F185AE">
      <w:pPr>
        <w:pStyle w:val="32"/>
        <w:spacing w:before="0" w:after="0"/>
        <w:ind w:firstLine="0" w:firstLineChars="0"/>
        <w:textAlignment w:val="baseline"/>
        <w:rPr>
          <w:rFonts w:ascii="宋体" w:hAnsi="宋体" w:cs="仿宋"/>
          <w:highlight w:val="none"/>
        </w:rPr>
      </w:pPr>
    </w:p>
    <w:p w14:paraId="57FA41F0">
      <w:pPr>
        <w:pStyle w:val="32"/>
        <w:spacing w:before="0" w:after="0"/>
        <w:ind w:firstLine="0" w:firstLineChars="0"/>
        <w:textAlignment w:val="baseline"/>
        <w:rPr>
          <w:rFonts w:ascii="宋体" w:hAnsi="宋体" w:cs="仿宋"/>
          <w:highlight w:val="none"/>
        </w:rPr>
      </w:pPr>
    </w:p>
    <w:p w14:paraId="3997F506">
      <w:pPr>
        <w:pStyle w:val="32"/>
        <w:spacing w:before="0" w:after="0"/>
        <w:ind w:firstLine="0" w:firstLineChars="0"/>
        <w:textAlignment w:val="baseline"/>
        <w:rPr>
          <w:rFonts w:ascii="宋体" w:hAnsi="宋体" w:cs="仿宋"/>
          <w:highlight w:val="none"/>
        </w:rPr>
      </w:pPr>
    </w:p>
    <w:p w14:paraId="362A16B4">
      <w:pPr>
        <w:pStyle w:val="32"/>
        <w:spacing w:before="0" w:after="0"/>
        <w:textAlignment w:val="baseline"/>
        <w:rPr>
          <w:rFonts w:ascii="宋体" w:hAnsi="宋体" w:cs="仿宋"/>
          <w:highlight w:val="none"/>
        </w:rPr>
      </w:pPr>
    </w:p>
    <w:p w14:paraId="4651EFF4">
      <w:pPr>
        <w:pStyle w:val="32"/>
        <w:spacing w:before="0" w:after="0"/>
        <w:ind w:left="2512" w:hanging="2502" w:hangingChars="695"/>
        <w:jc w:val="both"/>
        <w:textAlignment w:val="baseline"/>
        <w:rPr>
          <w:rFonts w:hint="default" w:ascii="宋体" w:hAnsi="宋体" w:eastAsia="宋体" w:cs="仿宋"/>
          <w:b/>
          <w:bCs/>
          <w:sz w:val="36"/>
          <w:szCs w:val="36"/>
          <w:highlight w:val="none"/>
          <w:lang w:val="en-US" w:eastAsia="zh-CN"/>
        </w:rPr>
      </w:pPr>
      <w:r>
        <w:rPr>
          <w:rFonts w:ascii="宋体" w:hAnsi="宋体" w:cs="仿宋"/>
          <w:b/>
          <w:bCs/>
          <w:sz w:val="36"/>
          <w:szCs w:val="36"/>
          <w:highlight w:val="none"/>
        </w:rPr>
        <w:t xml:space="preserve">    </w:t>
      </w:r>
      <w:r>
        <w:rPr>
          <w:rFonts w:hint="eastAsia" w:ascii="宋体" w:hAnsi="宋体" w:cs="仿宋"/>
          <w:b/>
          <w:bCs/>
          <w:sz w:val="36"/>
          <w:szCs w:val="36"/>
          <w:highlight w:val="none"/>
        </w:rPr>
        <w:t>项目名称：</w:t>
      </w:r>
      <w:r>
        <w:rPr>
          <w:rFonts w:hint="eastAsia" w:ascii="宋体" w:hAnsi="宋体" w:cs="仿宋"/>
          <w:b/>
          <w:bCs/>
          <w:sz w:val="28"/>
          <w:szCs w:val="28"/>
          <w:highlight w:val="none"/>
          <w:u w:val="single"/>
          <w:lang w:val="en-US" w:eastAsia="zh-CN"/>
        </w:rPr>
        <w:t xml:space="preserve">                                                </w:t>
      </w:r>
      <w:r>
        <w:rPr>
          <w:rFonts w:hint="eastAsia" w:ascii="宋体" w:hAnsi="宋体" w:cs="仿宋"/>
          <w:b/>
          <w:bCs/>
          <w:sz w:val="36"/>
          <w:szCs w:val="36"/>
          <w:highlight w:val="none"/>
          <w:u w:val="single"/>
        </w:rPr>
        <w:t xml:space="preserve"> </w:t>
      </w:r>
      <w:r>
        <w:rPr>
          <w:rFonts w:hint="eastAsia" w:ascii="宋体" w:hAnsi="宋体" w:cs="仿宋"/>
          <w:b/>
          <w:bCs/>
          <w:sz w:val="36"/>
          <w:szCs w:val="36"/>
          <w:highlight w:val="none"/>
          <w:u w:val="single"/>
          <w:lang w:val="en-US" w:eastAsia="zh-CN"/>
        </w:rPr>
        <w:t xml:space="preserve">   </w:t>
      </w:r>
    </w:p>
    <w:p w14:paraId="7CF09EDD">
      <w:pPr>
        <w:pStyle w:val="32"/>
        <w:spacing w:before="0" w:after="0"/>
        <w:ind w:firstLine="705" w:firstLineChars="196"/>
        <w:textAlignment w:val="baseline"/>
        <w:rPr>
          <w:rFonts w:hint="default" w:ascii="宋体" w:hAnsi="宋体" w:eastAsia="宋体" w:cs="仿宋"/>
          <w:highlight w:val="none"/>
          <w:lang w:val="en-US" w:eastAsia="zh-CN"/>
        </w:rPr>
      </w:pPr>
      <w:r>
        <w:rPr>
          <w:rFonts w:hint="eastAsia" w:ascii="宋体" w:hAnsi="宋体" w:cs="仿宋"/>
          <w:b/>
          <w:bCs/>
          <w:sz w:val="36"/>
          <w:szCs w:val="36"/>
          <w:highlight w:val="none"/>
        </w:rPr>
        <w:t>项目编号：</w:t>
      </w:r>
      <w:r>
        <w:rPr>
          <w:rFonts w:hint="eastAsia" w:ascii="宋体" w:hAnsi="宋体" w:cs="仿宋"/>
          <w:b/>
          <w:bCs/>
          <w:sz w:val="36"/>
          <w:szCs w:val="36"/>
          <w:highlight w:val="none"/>
          <w:u w:val="single"/>
          <w:lang w:val="en-US" w:eastAsia="zh-CN"/>
        </w:rPr>
        <w:t xml:space="preserve">                                         </w:t>
      </w:r>
    </w:p>
    <w:p w14:paraId="4DF2C731">
      <w:pPr>
        <w:pStyle w:val="32"/>
        <w:spacing w:before="0" w:after="0"/>
        <w:ind w:firstLine="651" w:firstLineChars="181"/>
        <w:textAlignment w:val="baseline"/>
        <w:rPr>
          <w:rFonts w:hint="default" w:ascii="宋体" w:hAnsi="宋体" w:eastAsia="宋体" w:cs="仿宋"/>
          <w:b/>
          <w:bCs/>
          <w:sz w:val="36"/>
          <w:szCs w:val="36"/>
          <w:highlight w:val="none"/>
          <w:u w:val="single"/>
          <w:lang w:val="en-US" w:eastAsia="zh-CN"/>
        </w:rPr>
      </w:pPr>
      <w:r>
        <w:rPr>
          <w:rFonts w:hint="eastAsia" w:ascii="宋体" w:hAnsi="宋体" w:cs="仿宋"/>
          <w:b/>
          <w:bCs/>
          <w:sz w:val="36"/>
          <w:szCs w:val="36"/>
          <w:highlight w:val="none"/>
        </w:rPr>
        <w:t>供应商名称（盖章） ：</w:t>
      </w:r>
      <w:r>
        <w:rPr>
          <w:rFonts w:hint="eastAsia" w:ascii="宋体" w:hAnsi="宋体" w:cs="仿宋"/>
          <w:b/>
          <w:bCs/>
          <w:sz w:val="36"/>
          <w:szCs w:val="36"/>
          <w:highlight w:val="none"/>
          <w:u w:val="single"/>
        </w:rPr>
        <w:t xml:space="preserve">                          </w:t>
      </w:r>
      <w:r>
        <w:rPr>
          <w:rFonts w:hint="eastAsia" w:ascii="宋体" w:hAnsi="宋体" w:cs="仿宋"/>
          <w:b/>
          <w:bCs/>
          <w:sz w:val="36"/>
          <w:szCs w:val="36"/>
          <w:highlight w:val="none"/>
          <w:u w:val="single"/>
          <w:lang w:val="en-US" w:eastAsia="zh-CN"/>
        </w:rPr>
        <w:t xml:space="preserve">    </w:t>
      </w:r>
    </w:p>
    <w:p w14:paraId="5DF45F12">
      <w:pPr>
        <w:pStyle w:val="32"/>
        <w:spacing w:before="0" w:after="0"/>
        <w:ind w:firstLine="651" w:firstLineChars="181"/>
        <w:textAlignment w:val="baseline"/>
        <w:rPr>
          <w:rFonts w:hint="default" w:ascii="宋体" w:hAnsi="宋体" w:eastAsia="宋体" w:cs="仿宋"/>
          <w:b/>
          <w:bCs/>
          <w:sz w:val="36"/>
          <w:szCs w:val="36"/>
          <w:highlight w:val="none"/>
          <w:u w:val="single"/>
          <w:lang w:val="en-US" w:eastAsia="zh-CN"/>
        </w:rPr>
      </w:pPr>
      <w:r>
        <w:rPr>
          <w:rFonts w:hint="eastAsia" w:ascii="宋体" w:hAnsi="宋体" w:cs="仿宋"/>
          <w:b/>
          <w:bCs/>
          <w:sz w:val="36"/>
          <w:szCs w:val="36"/>
          <w:highlight w:val="none"/>
        </w:rPr>
        <w:t>法定代表人或授权代表（签字或盖章）：</w:t>
      </w:r>
      <w:r>
        <w:rPr>
          <w:rFonts w:hint="eastAsia" w:ascii="宋体" w:hAnsi="宋体" w:cs="仿宋"/>
          <w:b/>
          <w:bCs/>
          <w:sz w:val="36"/>
          <w:szCs w:val="36"/>
          <w:highlight w:val="none"/>
          <w:u w:val="single"/>
        </w:rPr>
        <w:t xml:space="preserve">           </w:t>
      </w:r>
      <w:r>
        <w:rPr>
          <w:rFonts w:hint="eastAsia" w:ascii="宋体" w:hAnsi="宋体" w:cs="仿宋"/>
          <w:b/>
          <w:bCs/>
          <w:sz w:val="36"/>
          <w:szCs w:val="36"/>
          <w:highlight w:val="none"/>
          <w:u w:val="single"/>
          <w:lang w:val="en-US" w:eastAsia="zh-CN"/>
        </w:rPr>
        <w:t xml:space="preserve">    </w:t>
      </w:r>
    </w:p>
    <w:p w14:paraId="6D5D87FA">
      <w:pPr>
        <w:pStyle w:val="32"/>
        <w:spacing w:before="0" w:after="0"/>
        <w:ind w:firstLine="651" w:firstLineChars="181"/>
        <w:textAlignment w:val="baseline"/>
        <w:rPr>
          <w:rFonts w:ascii="宋体" w:hAnsi="宋体" w:cs="仿宋"/>
          <w:b/>
          <w:bCs/>
          <w:sz w:val="28"/>
          <w:szCs w:val="28"/>
          <w:highlight w:val="none"/>
        </w:rPr>
      </w:pPr>
      <w:r>
        <w:rPr>
          <w:rFonts w:hint="eastAsia" w:ascii="宋体" w:hAnsi="宋体" w:cs="仿宋"/>
          <w:b/>
          <w:bCs/>
          <w:sz w:val="36"/>
          <w:szCs w:val="36"/>
          <w:highlight w:val="none"/>
        </w:rPr>
        <w:t>日        期 ：</w:t>
      </w:r>
      <w:bookmarkStart w:id="597" w:name="_Toc9798"/>
      <w:bookmarkStart w:id="598" w:name="_Toc27163"/>
      <w:r>
        <w:rPr>
          <w:rFonts w:hint="eastAsia" w:ascii="宋体" w:hAnsi="宋体" w:cs="仿宋"/>
          <w:b/>
          <w:bCs/>
          <w:sz w:val="36"/>
          <w:szCs w:val="36"/>
          <w:highlight w:val="none"/>
          <w:u w:val="single"/>
        </w:rPr>
        <w:t xml:space="preserve">                                </w:t>
      </w:r>
      <w:r>
        <w:rPr>
          <w:rFonts w:hint="eastAsia" w:ascii="宋体" w:hAnsi="宋体" w:cs="仿宋"/>
          <w:b/>
          <w:bCs/>
          <w:sz w:val="36"/>
          <w:szCs w:val="36"/>
          <w:highlight w:val="none"/>
          <w:u w:val="single"/>
          <w:lang w:val="en-US" w:eastAsia="zh-CN"/>
        </w:rPr>
        <w:t xml:space="preserve">    </w:t>
      </w:r>
    </w:p>
    <w:p w14:paraId="7D529495">
      <w:pPr>
        <w:spacing w:before="312" w:after="312" w:line="360" w:lineRule="auto"/>
        <w:jc w:val="center"/>
        <w:textAlignment w:val="baseline"/>
        <w:rPr>
          <w:rFonts w:ascii="宋体" w:hAnsi="宋体" w:cs="仿宋"/>
          <w:b/>
          <w:bCs/>
          <w:sz w:val="28"/>
          <w:szCs w:val="28"/>
          <w:highlight w:val="none"/>
        </w:rPr>
      </w:pPr>
      <w:r>
        <w:rPr>
          <w:rFonts w:hint="eastAsia" w:ascii="宋体" w:hAnsi="宋体" w:cs="仿宋"/>
          <w:b/>
          <w:bCs/>
          <w:sz w:val="28"/>
          <w:szCs w:val="28"/>
          <w:highlight w:val="none"/>
        </w:rPr>
        <w:t>资格性和符合性检查响应对照表</w:t>
      </w:r>
      <w:bookmarkEnd w:id="597"/>
      <w:bookmarkEnd w:id="598"/>
    </w:p>
    <w:tbl>
      <w:tblPr>
        <w:tblStyle w:val="2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342"/>
        <w:gridCol w:w="1276"/>
        <w:gridCol w:w="1239"/>
      </w:tblGrid>
      <w:tr w14:paraId="7F1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21" w:type="dxa"/>
            <w:vAlign w:val="center"/>
          </w:tcPr>
          <w:p w14:paraId="6BF11475">
            <w:pPr>
              <w:snapToGrid w:val="0"/>
              <w:spacing w:line="0" w:lineRule="atLeast"/>
              <w:jc w:val="center"/>
              <w:textAlignment w:val="baseline"/>
              <w:rPr>
                <w:rFonts w:ascii="宋体" w:hAnsi="宋体" w:cs="仿宋"/>
                <w:sz w:val="24"/>
                <w:szCs w:val="24"/>
                <w:highlight w:val="none"/>
              </w:rPr>
            </w:pPr>
            <w:r>
              <w:rPr>
                <w:rFonts w:hint="eastAsia" w:ascii="宋体" w:hAnsi="宋体" w:cs="仿宋"/>
                <w:sz w:val="24"/>
                <w:szCs w:val="24"/>
                <w:highlight w:val="none"/>
              </w:rPr>
              <w:t>序号</w:t>
            </w:r>
          </w:p>
        </w:tc>
        <w:tc>
          <w:tcPr>
            <w:tcW w:w="6342" w:type="dxa"/>
            <w:vAlign w:val="center"/>
          </w:tcPr>
          <w:p w14:paraId="4EB77C18">
            <w:pPr>
              <w:snapToGrid w:val="0"/>
              <w:spacing w:line="0" w:lineRule="atLeast"/>
              <w:jc w:val="center"/>
              <w:textAlignment w:val="baseline"/>
              <w:rPr>
                <w:rFonts w:ascii="宋体" w:hAnsi="宋体" w:cs="仿宋"/>
                <w:sz w:val="24"/>
                <w:szCs w:val="24"/>
                <w:highlight w:val="none"/>
              </w:rPr>
            </w:pPr>
            <w:r>
              <w:rPr>
                <w:rFonts w:hint="eastAsia" w:ascii="宋体" w:hAnsi="宋体" w:cs="仿宋"/>
                <w:sz w:val="24"/>
                <w:szCs w:val="24"/>
                <w:highlight w:val="none"/>
              </w:rPr>
              <w:t>资格和符合性检查响应内容</w:t>
            </w:r>
          </w:p>
        </w:tc>
        <w:tc>
          <w:tcPr>
            <w:tcW w:w="1276" w:type="dxa"/>
            <w:vAlign w:val="center"/>
          </w:tcPr>
          <w:p w14:paraId="45BBDD78">
            <w:pPr>
              <w:snapToGrid w:val="0"/>
              <w:spacing w:line="0" w:lineRule="atLeast"/>
              <w:jc w:val="center"/>
              <w:textAlignment w:val="baseline"/>
              <w:rPr>
                <w:rFonts w:ascii="宋体" w:hAnsi="宋体" w:cs="仿宋"/>
                <w:sz w:val="24"/>
                <w:szCs w:val="24"/>
                <w:highlight w:val="none"/>
              </w:rPr>
            </w:pPr>
            <w:r>
              <w:rPr>
                <w:rFonts w:hint="eastAsia" w:ascii="宋体" w:hAnsi="宋体" w:cs="仿宋"/>
                <w:sz w:val="24"/>
                <w:szCs w:val="24"/>
                <w:highlight w:val="none"/>
              </w:rPr>
              <w:t>是否响应</w:t>
            </w:r>
          </w:p>
          <w:p w14:paraId="72669919">
            <w:pPr>
              <w:snapToGrid w:val="0"/>
              <w:spacing w:line="0" w:lineRule="atLeast"/>
              <w:jc w:val="center"/>
              <w:textAlignment w:val="baseline"/>
              <w:rPr>
                <w:rFonts w:ascii="宋体" w:hAnsi="宋体" w:cs="仿宋"/>
                <w:sz w:val="24"/>
                <w:szCs w:val="24"/>
                <w:highlight w:val="none"/>
              </w:rPr>
            </w:pPr>
            <w:r>
              <w:rPr>
                <w:rFonts w:hint="eastAsia" w:ascii="宋体" w:hAnsi="宋体" w:cs="仿宋"/>
                <w:sz w:val="24"/>
                <w:szCs w:val="24"/>
                <w:highlight w:val="none"/>
              </w:rPr>
              <w:t>（填是或者否）</w:t>
            </w:r>
          </w:p>
        </w:tc>
        <w:tc>
          <w:tcPr>
            <w:tcW w:w="1239" w:type="dxa"/>
            <w:vAlign w:val="center"/>
          </w:tcPr>
          <w:p w14:paraId="18D910F6">
            <w:pPr>
              <w:snapToGrid w:val="0"/>
              <w:spacing w:line="0" w:lineRule="atLeast"/>
              <w:jc w:val="center"/>
              <w:textAlignment w:val="baseline"/>
              <w:rPr>
                <w:rFonts w:ascii="宋体" w:hAnsi="宋体" w:cs="仿宋"/>
                <w:sz w:val="24"/>
                <w:szCs w:val="24"/>
                <w:highlight w:val="none"/>
              </w:rPr>
            </w:pPr>
            <w:r>
              <w:rPr>
                <w:rFonts w:hint="eastAsia" w:ascii="宋体" w:hAnsi="宋体" w:cs="仿宋"/>
                <w:sz w:val="24"/>
                <w:szCs w:val="24"/>
                <w:highlight w:val="none"/>
              </w:rPr>
              <w:t>响应文件中的页码位置</w:t>
            </w:r>
          </w:p>
        </w:tc>
      </w:tr>
      <w:tr w14:paraId="61BF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1" w:type="dxa"/>
            <w:vAlign w:val="center"/>
          </w:tcPr>
          <w:p w14:paraId="45D8E254">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1</w:t>
            </w:r>
          </w:p>
        </w:tc>
        <w:tc>
          <w:tcPr>
            <w:tcW w:w="6342" w:type="dxa"/>
            <w:vAlign w:val="center"/>
          </w:tcPr>
          <w:p w14:paraId="499898E1">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具有独立承担民事责任的能力（提供法人或者其他组织的营业执照复印件并加盖公章，或者自然人的身份证明）；</w:t>
            </w:r>
          </w:p>
        </w:tc>
        <w:tc>
          <w:tcPr>
            <w:tcW w:w="1276" w:type="dxa"/>
            <w:vAlign w:val="center"/>
          </w:tcPr>
          <w:p w14:paraId="5D8D4D64">
            <w:pPr>
              <w:snapToGrid w:val="0"/>
              <w:spacing w:line="0" w:lineRule="atLeast"/>
              <w:textAlignment w:val="baseline"/>
              <w:rPr>
                <w:rFonts w:ascii="宋体" w:hAnsi="宋体" w:cs="仿宋"/>
                <w:sz w:val="28"/>
                <w:szCs w:val="28"/>
                <w:highlight w:val="none"/>
              </w:rPr>
            </w:pPr>
          </w:p>
        </w:tc>
        <w:tc>
          <w:tcPr>
            <w:tcW w:w="1239" w:type="dxa"/>
            <w:vAlign w:val="center"/>
          </w:tcPr>
          <w:p w14:paraId="551AEF80">
            <w:pPr>
              <w:snapToGrid w:val="0"/>
              <w:spacing w:line="0" w:lineRule="atLeast"/>
              <w:textAlignment w:val="baseline"/>
              <w:rPr>
                <w:rFonts w:ascii="宋体" w:hAnsi="宋体" w:cs="仿宋"/>
                <w:sz w:val="28"/>
                <w:szCs w:val="28"/>
                <w:highlight w:val="none"/>
              </w:rPr>
            </w:pPr>
          </w:p>
        </w:tc>
      </w:tr>
      <w:tr w14:paraId="30A9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21" w:type="dxa"/>
            <w:vAlign w:val="center"/>
          </w:tcPr>
          <w:p w14:paraId="11778E7D">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2</w:t>
            </w:r>
          </w:p>
        </w:tc>
        <w:tc>
          <w:tcPr>
            <w:tcW w:w="6342" w:type="dxa"/>
            <w:vAlign w:val="center"/>
          </w:tcPr>
          <w:p w14:paraId="2D782C57">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具有良好的商业信誉和健全的财务会计制度（</w:t>
            </w:r>
            <w:r>
              <w:rPr>
                <w:rFonts w:hint="eastAsia" w:ascii="宋体" w:hAnsi="宋体" w:cs="仿宋"/>
                <w:sz w:val="24"/>
                <w:szCs w:val="24"/>
                <w:highlight w:val="none"/>
              </w:rPr>
              <w:t>提供202</w:t>
            </w:r>
            <w:r>
              <w:rPr>
                <w:rFonts w:hint="eastAsia" w:ascii="宋体" w:hAnsi="宋体" w:cs="仿宋"/>
                <w:sz w:val="24"/>
                <w:szCs w:val="24"/>
                <w:highlight w:val="none"/>
                <w:lang w:val="en-US" w:eastAsia="zh-CN"/>
              </w:rPr>
              <w:t>4</w:t>
            </w:r>
            <w:r>
              <w:rPr>
                <w:rFonts w:hint="eastAsia" w:ascii="宋体" w:hAnsi="宋体" w:cs="仿宋"/>
                <w:sz w:val="24"/>
                <w:szCs w:val="24"/>
                <w:highlight w:val="none"/>
              </w:rPr>
              <w:t>年度</w:t>
            </w:r>
            <w:r>
              <w:rPr>
                <w:rFonts w:hint="eastAsia" w:ascii="宋体" w:hAnsi="宋体" w:cs="仿宋"/>
                <w:sz w:val="24"/>
                <w:szCs w:val="24"/>
                <w:highlight w:val="none"/>
                <w:lang w:val="en-US" w:eastAsia="zh-CN"/>
              </w:rPr>
              <w:t>或2025年度</w:t>
            </w:r>
            <w:r>
              <w:rPr>
                <w:rFonts w:hint="eastAsia" w:ascii="宋体" w:hAnsi="宋体" w:cs="仿宋"/>
                <w:sz w:val="24"/>
                <w:szCs w:val="24"/>
                <w:highlight w:val="none"/>
              </w:rPr>
              <w:t>财务报告</w:t>
            </w:r>
            <w:r>
              <w:rPr>
                <w:rFonts w:hint="eastAsia" w:ascii="宋体" w:hAnsi="宋体" w:cs="仿宋"/>
                <w:bCs/>
                <w:iCs/>
                <w:sz w:val="24"/>
                <w:szCs w:val="24"/>
                <w:highlight w:val="none"/>
              </w:rPr>
              <w:t>或银行出具的企业资信证明，法人或者其他组织成立未满一年的可提供近半年内任一月的资产负债和利润表）；</w:t>
            </w:r>
          </w:p>
        </w:tc>
        <w:tc>
          <w:tcPr>
            <w:tcW w:w="1276" w:type="dxa"/>
            <w:vAlign w:val="center"/>
          </w:tcPr>
          <w:p w14:paraId="6B1FAFF7">
            <w:pPr>
              <w:snapToGrid w:val="0"/>
              <w:spacing w:line="0" w:lineRule="atLeast"/>
              <w:textAlignment w:val="baseline"/>
              <w:rPr>
                <w:rFonts w:ascii="宋体" w:hAnsi="宋体" w:cs="仿宋"/>
                <w:sz w:val="28"/>
                <w:szCs w:val="28"/>
                <w:highlight w:val="none"/>
              </w:rPr>
            </w:pPr>
          </w:p>
        </w:tc>
        <w:tc>
          <w:tcPr>
            <w:tcW w:w="1239" w:type="dxa"/>
            <w:vAlign w:val="center"/>
          </w:tcPr>
          <w:p w14:paraId="5E82A0F5">
            <w:pPr>
              <w:snapToGrid w:val="0"/>
              <w:spacing w:line="0" w:lineRule="atLeast"/>
              <w:textAlignment w:val="baseline"/>
              <w:rPr>
                <w:rFonts w:ascii="宋体" w:hAnsi="宋体" w:cs="仿宋"/>
                <w:sz w:val="28"/>
                <w:szCs w:val="28"/>
                <w:highlight w:val="none"/>
              </w:rPr>
            </w:pPr>
          </w:p>
        </w:tc>
      </w:tr>
      <w:tr w14:paraId="6C5B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21" w:type="dxa"/>
            <w:vAlign w:val="center"/>
          </w:tcPr>
          <w:p w14:paraId="0B371776">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3</w:t>
            </w:r>
          </w:p>
        </w:tc>
        <w:tc>
          <w:tcPr>
            <w:tcW w:w="6342" w:type="dxa"/>
            <w:vAlign w:val="center"/>
          </w:tcPr>
          <w:p w14:paraId="7F31F8F9">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具有履行合同所必需的设备和专业技术能力（根据项目需求提供履行合同所必需的设备和专业技术能力的证明材料或声明函）；</w:t>
            </w:r>
          </w:p>
        </w:tc>
        <w:tc>
          <w:tcPr>
            <w:tcW w:w="1276" w:type="dxa"/>
            <w:vAlign w:val="center"/>
          </w:tcPr>
          <w:p w14:paraId="1385B92E">
            <w:pPr>
              <w:snapToGrid w:val="0"/>
              <w:spacing w:line="0" w:lineRule="atLeast"/>
              <w:textAlignment w:val="baseline"/>
              <w:rPr>
                <w:rFonts w:ascii="宋体" w:hAnsi="宋体" w:cs="仿宋"/>
                <w:sz w:val="28"/>
                <w:szCs w:val="28"/>
                <w:highlight w:val="none"/>
              </w:rPr>
            </w:pPr>
          </w:p>
        </w:tc>
        <w:tc>
          <w:tcPr>
            <w:tcW w:w="1239" w:type="dxa"/>
            <w:vAlign w:val="center"/>
          </w:tcPr>
          <w:p w14:paraId="2B5A03A4">
            <w:pPr>
              <w:snapToGrid w:val="0"/>
              <w:spacing w:line="0" w:lineRule="atLeast"/>
              <w:textAlignment w:val="baseline"/>
              <w:rPr>
                <w:rFonts w:ascii="宋体" w:hAnsi="宋体" w:cs="仿宋"/>
                <w:sz w:val="28"/>
                <w:szCs w:val="28"/>
                <w:highlight w:val="none"/>
              </w:rPr>
            </w:pPr>
          </w:p>
        </w:tc>
      </w:tr>
      <w:tr w14:paraId="15FB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1" w:type="dxa"/>
            <w:vAlign w:val="center"/>
          </w:tcPr>
          <w:p w14:paraId="493AD162">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4</w:t>
            </w:r>
          </w:p>
        </w:tc>
        <w:tc>
          <w:tcPr>
            <w:tcW w:w="6342" w:type="dxa"/>
            <w:vAlign w:val="center"/>
          </w:tcPr>
          <w:p w14:paraId="702784FA">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有依法缴纳税收和社会保障资金的良好记录（提供参加本次采购活动前近六个月内任一月份依法缴纳税收及社会保险的凭据。依法免缴、迟缴的应提供相应文件证明）；</w:t>
            </w:r>
          </w:p>
        </w:tc>
        <w:tc>
          <w:tcPr>
            <w:tcW w:w="1276" w:type="dxa"/>
            <w:vAlign w:val="center"/>
          </w:tcPr>
          <w:p w14:paraId="7B200FB1">
            <w:pPr>
              <w:snapToGrid w:val="0"/>
              <w:spacing w:line="0" w:lineRule="atLeast"/>
              <w:textAlignment w:val="baseline"/>
              <w:rPr>
                <w:rFonts w:ascii="宋体" w:hAnsi="宋体" w:cs="仿宋"/>
                <w:sz w:val="28"/>
                <w:szCs w:val="28"/>
                <w:highlight w:val="none"/>
              </w:rPr>
            </w:pPr>
          </w:p>
        </w:tc>
        <w:tc>
          <w:tcPr>
            <w:tcW w:w="1239" w:type="dxa"/>
            <w:vAlign w:val="center"/>
          </w:tcPr>
          <w:p w14:paraId="3E84BE24">
            <w:pPr>
              <w:snapToGrid w:val="0"/>
              <w:spacing w:line="0" w:lineRule="atLeast"/>
              <w:textAlignment w:val="baseline"/>
              <w:rPr>
                <w:rFonts w:ascii="宋体" w:hAnsi="宋体" w:cs="仿宋"/>
                <w:sz w:val="28"/>
                <w:szCs w:val="28"/>
                <w:highlight w:val="none"/>
              </w:rPr>
            </w:pPr>
          </w:p>
        </w:tc>
      </w:tr>
      <w:tr w14:paraId="7008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1" w:type="dxa"/>
            <w:vAlign w:val="center"/>
          </w:tcPr>
          <w:p w14:paraId="15F18B18">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5</w:t>
            </w:r>
          </w:p>
        </w:tc>
        <w:tc>
          <w:tcPr>
            <w:tcW w:w="6342" w:type="dxa"/>
            <w:vAlign w:val="center"/>
          </w:tcPr>
          <w:p w14:paraId="0AC1BF51">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参加本次采购活动前3年内在经营活动中没有重大违法记录（提供参加本次采购活动前3年内在经营活动中没有重大违法记录的书面声明）；</w:t>
            </w:r>
          </w:p>
        </w:tc>
        <w:tc>
          <w:tcPr>
            <w:tcW w:w="1276" w:type="dxa"/>
            <w:vAlign w:val="center"/>
          </w:tcPr>
          <w:p w14:paraId="67A93417">
            <w:pPr>
              <w:snapToGrid w:val="0"/>
              <w:spacing w:line="0" w:lineRule="atLeast"/>
              <w:textAlignment w:val="baseline"/>
              <w:rPr>
                <w:rFonts w:ascii="宋体" w:hAnsi="宋体" w:cs="仿宋"/>
                <w:sz w:val="28"/>
                <w:szCs w:val="28"/>
                <w:highlight w:val="none"/>
              </w:rPr>
            </w:pPr>
          </w:p>
        </w:tc>
        <w:tc>
          <w:tcPr>
            <w:tcW w:w="1239" w:type="dxa"/>
            <w:vAlign w:val="center"/>
          </w:tcPr>
          <w:p w14:paraId="33C7F3BE">
            <w:pPr>
              <w:snapToGrid w:val="0"/>
              <w:spacing w:line="0" w:lineRule="atLeast"/>
              <w:textAlignment w:val="baseline"/>
              <w:rPr>
                <w:rFonts w:ascii="宋体" w:hAnsi="宋体" w:cs="仿宋"/>
                <w:sz w:val="28"/>
                <w:szCs w:val="28"/>
                <w:highlight w:val="none"/>
              </w:rPr>
            </w:pPr>
          </w:p>
        </w:tc>
      </w:tr>
      <w:tr w14:paraId="0B99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1" w:type="dxa"/>
            <w:vAlign w:val="center"/>
          </w:tcPr>
          <w:p w14:paraId="563410FE">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6</w:t>
            </w:r>
          </w:p>
        </w:tc>
        <w:tc>
          <w:tcPr>
            <w:tcW w:w="6342" w:type="dxa"/>
            <w:vAlign w:val="center"/>
          </w:tcPr>
          <w:p w14:paraId="2A2DFBC8">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磋商函、法人授权委托书</w:t>
            </w:r>
            <w:r>
              <w:rPr>
                <w:rFonts w:hint="eastAsia" w:ascii="宋体" w:hAnsi="宋体" w:cs="仿宋"/>
                <w:bCs/>
                <w:iCs/>
                <w:sz w:val="24"/>
                <w:szCs w:val="24"/>
                <w:highlight w:val="none"/>
                <w:lang w:eastAsia="zh-CN"/>
              </w:rPr>
              <w:t>、</w:t>
            </w:r>
            <w:r>
              <w:rPr>
                <w:rFonts w:hint="eastAsia" w:ascii="宋体" w:hAnsi="宋体" w:cs="仿宋"/>
                <w:bCs/>
                <w:iCs/>
                <w:sz w:val="24"/>
                <w:szCs w:val="24"/>
                <w:highlight w:val="none"/>
                <w:lang w:val="en-US" w:eastAsia="zh-CN"/>
              </w:rPr>
              <w:t>承诺书</w:t>
            </w:r>
            <w:r>
              <w:rPr>
                <w:rFonts w:hint="eastAsia" w:ascii="宋体" w:hAnsi="宋体" w:cs="仿宋"/>
                <w:bCs/>
                <w:iCs/>
                <w:sz w:val="24"/>
                <w:szCs w:val="24"/>
                <w:highlight w:val="none"/>
              </w:rPr>
              <w:t>；</w:t>
            </w:r>
          </w:p>
        </w:tc>
        <w:tc>
          <w:tcPr>
            <w:tcW w:w="1276" w:type="dxa"/>
            <w:vAlign w:val="center"/>
          </w:tcPr>
          <w:p w14:paraId="79D9BD22">
            <w:pPr>
              <w:snapToGrid w:val="0"/>
              <w:spacing w:line="0" w:lineRule="atLeast"/>
              <w:textAlignment w:val="baseline"/>
              <w:rPr>
                <w:rFonts w:ascii="宋体" w:hAnsi="宋体" w:cs="仿宋"/>
                <w:sz w:val="28"/>
                <w:szCs w:val="28"/>
                <w:highlight w:val="none"/>
              </w:rPr>
            </w:pPr>
          </w:p>
        </w:tc>
        <w:tc>
          <w:tcPr>
            <w:tcW w:w="1239" w:type="dxa"/>
            <w:vAlign w:val="center"/>
          </w:tcPr>
          <w:p w14:paraId="66B72FDE">
            <w:pPr>
              <w:snapToGrid w:val="0"/>
              <w:spacing w:line="0" w:lineRule="atLeast"/>
              <w:textAlignment w:val="baseline"/>
              <w:rPr>
                <w:rFonts w:ascii="宋体" w:hAnsi="宋体" w:cs="仿宋"/>
                <w:sz w:val="28"/>
                <w:szCs w:val="28"/>
                <w:highlight w:val="none"/>
              </w:rPr>
            </w:pPr>
          </w:p>
        </w:tc>
      </w:tr>
      <w:tr w14:paraId="4CDA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1" w:type="dxa"/>
            <w:vAlign w:val="center"/>
          </w:tcPr>
          <w:p w14:paraId="023CD7AC">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7</w:t>
            </w:r>
          </w:p>
        </w:tc>
        <w:tc>
          <w:tcPr>
            <w:tcW w:w="6342" w:type="dxa"/>
            <w:vAlign w:val="center"/>
          </w:tcPr>
          <w:p w14:paraId="07CF9685">
            <w:pPr>
              <w:snapToGrid w:val="0"/>
              <w:spacing w:line="0" w:lineRule="atLeast"/>
              <w:textAlignment w:val="baseline"/>
              <w:rPr>
                <w:rFonts w:ascii="宋体" w:hAnsi="宋体" w:cs="仿宋"/>
                <w:bCs/>
                <w:iCs/>
                <w:sz w:val="24"/>
                <w:szCs w:val="24"/>
                <w:highlight w:val="none"/>
              </w:rPr>
            </w:pPr>
            <w:r>
              <w:rPr>
                <w:rFonts w:hint="eastAsia" w:ascii="宋体" w:hAnsi="宋体" w:cs="仿宋"/>
                <w:bCs/>
                <w:iCs/>
                <w:sz w:val="24"/>
                <w:szCs w:val="24"/>
                <w:highlight w:val="none"/>
              </w:rPr>
              <w:t>在磋商截止日前未被“信用中国”网站(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28"/>
                <w:rFonts w:hint="eastAsia" w:ascii="宋体" w:hAnsi="宋体" w:cs="仿宋"/>
                <w:bCs/>
                <w:iCs/>
                <w:color w:val="auto"/>
                <w:sz w:val="24"/>
                <w:szCs w:val="24"/>
                <w:highlight w:val="none"/>
                <w:u w:val="none"/>
              </w:rPr>
              <w:t>www.creditchina.gov.cn</w:t>
            </w:r>
            <w:r>
              <w:rPr>
                <w:rStyle w:val="28"/>
                <w:rFonts w:hint="eastAsia" w:ascii="宋体" w:hAnsi="宋体" w:cs="仿宋"/>
                <w:bCs/>
                <w:iCs/>
                <w:color w:val="auto"/>
                <w:sz w:val="24"/>
                <w:szCs w:val="24"/>
                <w:highlight w:val="none"/>
                <w:u w:val="none"/>
              </w:rPr>
              <w:fldChar w:fldCharType="end"/>
            </w:r>
            <w:r>
              <w:rPr>
                <w:rFonts w:hint="eastAsia" w:ascii="宋体" w:hAnsi="宋体" w:cs="仿宋"/>
                <w:bCs/>
                <w:iCs/>
                <w:sz w:val="24"/>
                <w:szCs w:val="24"/>
                <w:highlight w:val="none"/>
              </w:rPr>
              <w:t>)或中国政府采购网(www.ccgp.gov.cn) 列入失信被执行人、重大税收违法案件当事人、政府采购严重违法失信行为记录名单的供应商。（提供信用信息查询记录，以网站截图打印稿形式）</w:t>
            </w:r>
          </w:p>
        </w:tc>
        <w:tc>
          <w:tcPr>
            <w:tcW w:w="1276" w:type="dxa"/>
            <w:vAlign w:val="center"/>
          </w:tcPr>
          <w:p w14:paraId="47C60E6D">
            <w:pPr>
              <w:snapToGrid w:val="0"/>
              <w:spacing w:line="0" w:lineRule="atLeast"/>
              <w:textAlignment w:val="baseline"/>
              <w:rPr>
                <w:rFonts w:ascii="宋体" w:hAnsi="宋体" w:cs="仿宋"/>
                <w:sz w:val="28"/>
                <w:szCs w:val="28"/>
                <w:highlight w:val="none"/>
              </w:rPr>
            </w:pPr>
          </w:p>
        </w:tc>
        <w:tc>
          <w:tcPr>
            <w:tcW w:w="1239" w:type="dxa"/>
            <w:vAlign w:val="center"/>
          </w:tcPr>
          <w:p w14:paraId="7CC89733">
            <w:pPr>
              <w:snapToGrid w:val="0"/>
              <w:spacing w:line="0" w:lineRule="atLeast"/>
              <w:textAlignment w:val="baseline"/>
              <w:rPr>
                <w:rFonts w:ascii="宋体" w:hAnsi="宋体" w:cs="仿宋"/>
                <w:sz w:val="28"/>
                <w:szCs w:val="28"/>
                <w:highlight w:val="none"/>
              </w:rPr>
            </w:pPr>
          </w:p>
        </w:tc>
      </w:tr>
      <w:tr w14:paraId="19A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21" w:type="dxa"/>
            <w:vAlign w:val="center"/>
          </w:tcPr>
          <w:p w14:paraId="7079A623">
            <w:pPr>
              <w:snapToGrid w:val="0"/>
              <w:spacing w:line="0" w:lineRule="atLeast"/>
              <w:jc w:val="center"/>
              <w:textAlignment w:val="baseline"/>
              <w:rPr>
                <w:rFonts w:ascii="宋体" w:hAnsi="宋体" w:cs="仿宋"/>
                <w:sz w:val="28"/>
                <w:szCs w:val="28"/>
                <w:highlight w:val="none"/>
              </w:rPr>
            </w:pPr>
            <w:r>
              <w:rPr>
                <w:rFonts w:hint="eastAsia" w:ascii="宋体" w:hAnsi="宋体" w:cs="仿宋"/>
                <w:sz w:val="28"/>
                <w:szCs w:val="28"/>
                <w:highlight w:val="none"/>
              </w:rPr>
              <w:t>8</w:t>
            </w:r>
          </w:p>
        </w:tc>
        <w:tc>
          <w:tcPr>
            <w:tcW w:w="6342" w:type="dxa"/>
            <w:vAlign w:val="center"/>
          </w:tcPr>
          <w:p w14:paraId="2381546B">
            <w:pPr>
              <w:snapToGrid w:val="0"/>
              <w:spacing w:line="0" w:lineRule="atLeast"/>
              <w:textAlignment w:val="baseline"/>
              <w:rPr>
                <w:rFonts w:ascii="宋体" w:hAnsi="宋体" w:cs="仿宋"/>
                <w:b w:val="0"/>
                <w:bCs/>
                <w:iCs/>
                <w:sz w:val="24"/>
                <w:szCs w:val="24"/>
                <w:highlight w:val="none"/>
              </w:rPr>
            </w:pPr>
            <w:r>
              <w:rPr>
                <w:rFonts w:hint="eastAsia" w:ascii="宋体" w:hAnsi="宋体" w:cs="仿宋"/>
                <w:bCs/>
                <w:iCs/>
                <w:sz w:val="24"/>
                <w:szCs w:val="24"/>
                <w:highlight w:val="none"/>
              </w:rPr>
              <w:t>供应商具</w:t>
            </w:r>
            <w:r>
              <w:rPr>
                <w:rFonts w:hint="eastAsia" w:ascii="宋体" w:hAnsi="宋体" w:cs="仿宋"/>
                <w:b w:val="0"/>
                <w:bCs/>
                <w:iCs/>
                <w:sz w:val="24"/>
                <w:szCs w:val="24"/>
                <w:highlight w:val="none"/>
              </w:rPr>
              <w:t>有</w:t>
            </w:r>
            <w:r>
              <w:rPr>
                <w:rFonts w:hint="eastAsia" w:ascii="宋体" w:hAnsi="宋体" w:cs="仿宋"/>
                <w:b w:val="0"/>
                <w:bCs/>
                <w:sz w:val="24"/>
                <w:szCs w:val="24"/>
                <w:highlight w:val="none"/>
                <w:u w:val="none"/>
              </w:rPr>
              <w:t>建筑工程施工总承包</w:t>
            </w:r>
            <w:r>
              <w:rPr>
                <w:rFonts w:hint="eastAsia" w:ascii="宋体" w:hAnsi="宋体" w:cs="仿宋"/>
                <w:b w:val="0"/>
                <w:bCs/>
                <w:sz w:val="24"/>
                <w:szCs w:val="24"/>
                <w:highlight w:val="none"/>
                <w:u w:val="none"/>
                <w:lang w:val="en-US" w:eastAsia="zh-CN"/>
              </w:rPr>
              <w:t>三级</w:t>
            </w:r>
            <w:r>
              <w:rPr>
                <w:rFonts w:hint="eastAsia" w:ascii="宋体" w:hAnsi="宋体" w:cs="仿宋"/>
                <w:b w:val="0"/>
                <w:bCs/>
                <w:sz w:val="24"/>
                <w:szCs w:val="24"/>
                <w:highlight w:val="none"/>
                <w:u w:val="none"/>
              </w:rPr>
              <w:t>及以上资质</w:t>
            </w:r>
            <w:r>
              <w:rPr>
                <w:rFonts w:hint="eastAsia" w:ascii="宋体" w:hAnsi="宋体" w:cs="仿宋"/>
                <w:b w:val="0"/>
                <w:bCs/>
                <w:iCs/>
                <w:sz w:val="24"/>
                <w:szCs w:val="24"/>
                <w:highlight w:val="none"/>
              </w:rPr>
              <w:t>（提供资质证书复印件加盖投标人公章）。</w:t>
            </w:r>
          </w:p>
          <w:p w14:paraId="43F74A59">
            <w:pPr>
              <w:snapToGrid w:val="0"/>
              <w:spacing w:line="0" w:lineRule="atLeast"/>
              <w:textAlignment w:val="baseline"/>
              <w:rPr>
                <w:rFonts w:ascii="宋体" w:hAnsi="宋体" w:cs="仿宋"/>
                <w:b w:val="0"/>
                <w:bCs/>
                <w:iCs/>
                <w:sz w:val="24"/>
                <w:szCs w:val="24"/>
                <w:highlight w:val="none"/>
              </w:rPr>
            </w:pPr>
            <w:r>
              <w:rPr>
                <w:rFonts w:hint="eastAsia" w:ascii="宋体" w:hAnsi="宋体" w:cs="仿宋"/>
                <w:b w:val="0"/>
                <w:bCs/>
                <w:iCs/>
                <w:sz w:val="24"/>
                <w:szCs w:val="24"/>
                <w:highlight w:val="none"/>
              </w:rPr>
              <w:t>供应商具备有效的安全生产许可证且在有效期内（提供证书复印件加盖投标人公章）。</w:t>
            </w:r>
          </w:p>
          <w:p w14:paraId="58096109">
            <w:pPr>
              <w:snapToGrid w:val="0"/>
              <w:spacing w:line="0" w:lineRule="atLeast"/>
              <w:textAlignment w:val="baseline"/>
              <w:rPr>
                <w:rFonts w:ascii="宋体" w:hAnsi="宋体" w:cs="仿宋"/>
                <w:bCs/>
                <w:iCs/>
                <w:sz w:val="24"/>
                <w:szCs w:val="24"/>
                <w:highlight w:val="none"/>
              </w:rPr>
            </w:pPr>
            <w:r>
              <w:rPr>
                <w:rFonts w:hint="eastAsia" w:ascii="宋体" w:hAnsi="宋体" w:cs="仿宋"/>
                <w:b w:val="0"/>
                <w:bCs/>
                <w:iCs/>
                <w:sz w:val="24"/>
                <w:szCs w:val="24"/>
                <w:highlight w:val="none"/>
              </w:rPr>
              <w:t>供应商针对本项目拟派的项目负责人必须具有建筑工程二级及以上注册建造师,并取得安全生产考核合格证书（B证），社保机构出具的任意连续近6个月及以上投标人申请人为其缴纳的养老保险缴费证明材料并加盖社保中心章或社保中心参保缴费证明电子专用章。</w:t>
            </w:r>
          </w:p>
        </w:tc>
        <w:tc>
          <w:tcPr>
            <w:tcW w:w="1276" w:type="dxa"/>
            <w:vAlign w:val="center"/>
          </w:tcPr>
          <w:p w14:paraId="5853547B">
            <w:pPr>
              <w:snapToGrid w:val="0"/>
              <w:spacing w:line="0" w:lineRule="atLeast"/>
              <w:textAlignment w:val="baseline"/>
              <w:rPr>
                <w:rFonts w:ascii="宋体" w:hAnsi="宋体" w:cs="仿宋"/>
                <w:sz w:val="28"/>
                <w:szCs w:val="28"/>
                <w:highlight w:val="none"/>
              </w:rPr>
            </w:pPr>
          </w:p>
        </w:tc>
        <w:tc>
          <w:tcPr>
            <w:tcW w:w="1239" w:type="dxa"/>
            <w:vAlign w:val="center"/>
          </w:tcPr>
          <w:p w14:paraId="4887C973">
            <w:pPr>
              <w:snapToGrid w:val="0"/>
              <w:spacing w:line="0" w:lineRule="atLeast"/>
              <w:textAlignment w:val="baseline"/>
              <w:rPr>
                <w:rFonts w:ascii="宋体" w:hAnsi="宋体" w:cs="仿宋"/>
                <w:sz w:val="28"/>
                <w:szCs w:val="28"/>
                <w:highlight w:val="none"/>
              </w:rPr>
            </w:pPr>
          </w:p>
        </w:tc>
      </w:tr>
    </w:tbl>
    <w:p w14:paraId="7865B820">
      <w:pPr>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说明：上述所列资格证明文件为必须提供内容，未提供或未提供有效材料的，将不能通过符合性审查。</w:t>
      </w:r>
    </w:p>
    <w:p w14:paraId="414AFC6B">
      <w:pPr>
        <w:spacing w:line="360" w:lineRule="auto"/>
        <w:ind w:firstLine="480" w:firstLineChars="200"/>
        <w:textAlignment w:val="baseline"/>
        <w:rPr>
          <w:rFonts w:ascii="宋体" w:hAnsi="宋体" w:cs="仿宋"/>
          <w:sz w:val="24"/>
          <w:szCs w:val="24"/>
          <w:highlight w:val="none"/>
        </w:rPr>
      </w:pPr>
      <w:r>
        <w:rPr>
          <w:rFonts w:hint="eastAsia" w:ascii="宋体" w:hAnsi="宋体" w:cs="仿宋"/>
          <w:sz w:val="24"/>
          <w:szCs w:val="24"/>
          <w:highlight w:val="none"/>
        </w:rPr>
        <w:t xml:space="preserve">供应商全称（公章）：                                 </w:t>
      </w:r>
    </w:p>
    <w:p w14:paraId="5216A9F6">
      <w:pPr>
        <w:spacing w:line="360" w:lineRule="auto"/>
        <w:ind w:firstLine="480" w:firstLineChars="200"/>
        <w:textAlignment w:val="baseline"/>
        <w:rPr>
          <w:rFonts w:ascii="宋体" w:hAnsi="宋体" w:cs="仿宋"/>
          <w:sz w:val="24"/>
          <w:szCs w:val="24"/>
          <w:highlight w:val="none"/>
        </w:rPr>
      </w:pPr>
      <w:r>
        <w:rPr>
          <w:rFonts w:hint="eastAsia" w:ascii="宋体" w:hAnsi="宋体" w:cs="仿宋"/>
          <w:sz w:val="24"/>
          <w:szCs w:val="24"/>
          <w:highlight w:val="none"/>
        </w:rPr>
        <w:t>法定代表人或授权代表签字：</w:t>
      </w:r>
    </w:p>
    <w:p w14:paraId="29C497E5">
      <w:pPr>
        <w:spacing w:line="360" w:lineRule="auto"/>
        <w:ind w:firstLine="480" w:firstLineChars="200"/>
        <w:textAlignment w:val="baseline"/>
        <w:rPr>
          <w:rFonts w:ascii="宋体" w:hAnsi="宋体" w:cs="仿宋"/>
          <w:highlight w:val="none"/>
        </w:rPr>
      </w:pPr>
      <w:r>
        <w:rPr>
          <w:rFonts w:hint="eastAsia" w:ascii="宋体" w:hAnsi="宋体" w:cs="仿宋"/>
          <w:sz w:val="24"/>
          <w:szCs w:val="24"/>
          <w:highlight w:val="none"/>
        </w:rPr>
        <w:t>日期：    年    月    日</w:t>
      </w:r>
      <w:r>
        <w:rPr>
          <w:rFonts w:ascii="宋体" w:hAnsi="宋体"/>
          <w:sz w:val="20"/>
          <w:highlight w:val="none"/>
        </w:rPr>
        <w:br w:type="page"/>
      </w:r>
    </w:p>
    <w:p w14:paraId="74EB42D6">
      <w:pPr>
        <w:pStyle w:val="32"/>
        <w:spacing w:before="156" w:after="156"/>
        <w:ind w:firstLine="562"/>
        <w:jc w:val="center"/>
        <w:textAlignment w:val="baseline"/>
        <w:rPr>
          <w:rFonts w:ascii="宋体" w:hAnsi="宋体" w:cs="仿宋"/>
          <w:b/>
          <w:bCs/>
          <w:sz w:val="28"/>
          <w:szCs w:val="28"/>
          <w:highlight w:val="none"/>
        </w:rPr>
      </w:pPr>
      <w:r>
        <w:rPr>
          <w:rFonts w:hint="eastAsia" w:ascii="宋体" w:hAnsi="宋体" w:cs="仿宋"/>
          <w:b/>
          <w:bCs/>
          <w:sz w:val="28"/>
          <w:szCs w:val="28"/>
          <w:highlight w:val="none"/>
        </w:rPr>
        <w:t>评分索引表</w:t>
      </w:r>
    </w:p>
    <w:tbl>
      <w:tblPr>
        <w:tblStyle w:val="2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1"/>
        <w:gridCol w:w="3269"/>
      </w:tblGrid>
      <w:tr w14:paraId="4CDD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tcPr>
          <w:p w14:paraId="48E06181">
            <w:pPr>
              <w:pStyle w:val="37"/>
              <w:shd w:val="clear" w:color="auto" w:fill="FFFFFF"/>
              <w:spacing w:line="360" w:lineRule="auto"/>
              <w:ind w:firstLine="402"/>
              <w:jc w:val="center"/>
              <w:textAlignment w:val="baseline"/>
              <w:rPr>
                <w:rFonts w:ascii="宋体" w:hAnsi="宋体" w:cs="仿宋"/>
                <w:b/>
                <w:bCs/>
                <w:sz w:val="20"/>
                <w:highlight w:val="none"/>
              </w:rPr>
            </w:pPr>
            <w:r>
              <w:rPr>
                <w:rFonts w:hint="eastAsia" w:ascii="宋体" w:hAnsi="宋体" w:cs="仿宋"/>
                <w:b/>
                <w:bCs/>
                <w:sz w:val="20"/>
                <w:highlight w:val="none"/>
              </w:rPr>
              <w:t>评分项目</w:t>
            </w:r>
          </w:p>
        </w:tc>
        <w:tc>
          <w:tcPr>
            <w:tcW w:w="3269" w:type="dxa"/>
          </w:tcPr>
          <w:p w14:paraId="7B52CC72">
            <w:pPr>
              <w:spacing w:line="360" w:lineRule="auto"/>
              <w:jc w:val="center"/>
              <w:textAlignment w:val="baseline"/>
              <w:rPr>
                <w:rFonts w:ascii="宋体" w:hAnsi="宋体" w:cs="仿宋"/>
                <w:b/>
                <w:bCs/>
                <w:highlight w:val="none"/>
              </w:rPr>
            </w:pPr>
            <w:r>
              <w:rPr>
                <w:rFonts w:hint="eastAsia" w:ascii="宋体" w:hAnsi="宋体" w:cs="仿宋"/>
                <w:b/>
                <w:bCs/>
                <w:kern w:val="0"/>
                <w:highlight w:val="none"/>
              </w:rPr>
              <w:t>在磋商文件中的页码位置</w:t>
            </w:r>
          </w:p>
        </w:tc>
      </w:tr>
      <w:tr w14:paraId="2206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91" w:type="dxa"/>
          </w:tcPr>
          <w:p w14:paraId="666C6A14">
            <w:pPr>
              <w:pStyle w:val="37"/>
              <w:shd w:val="clear" w:color="auto" w:fill="FFFFFF"/>
              <w:spacing w:line="360" w:lineRule="auto"/>
              <w:ind w:firstLine="402"/>
              <w:textAlignment w:val="baseline"/>
              <w:rPr>
                <w:rFonts w:ascii="宋体" w:hAnsi="宋体" w:cs="仿宋"/>
                <w:b/>
                <w:bCs/>
                <w:sz w:val="20"/>
                <w:highlight w:val="none"/>
              </w:rPr>
            </w:pPr>
          </w:p>
        </w:tc>
        <w:tc>
          <w:tcPr>
            <w:tcW w:w="3269" w:type="dxa"/>
          </w:tcPr>
          <w:p w14:paraId="3759B19A">
            <w:pPr>
              <w:spacing w:line="360" w:lineRule="auto"/>
              <w:textAlignment w:val="baseline"/>
              <w:rPr>
                <w:rFonts w:ascii="宋体" w:hAnsi="宋体" w:cs="仿宋"/>
                <w:b/>
                <w:bCs/>
                <w:kern w:val="0"/>
                <w:highlight w:val="none"/>
              </w:rPr>
            </w:pPr>
          </w:p>
        </w:tc>
      </w:tr>
      <w:tr w14:paraId="156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60" w:type="dxa"/>
            <w:gridSpan w:val="2"/>
          </w:tcPr>
          <w:p w14:paraId="06E2F8F7">
            <w:pPr>
              <w:pStyle w:val="37"/>
              <w:shd w:val="clear" w:color="auto" w:fill="FFFFFF"/>
              <w:spacing w:line="360" w:lineRule="auto"/>
              <w:ind w:firstLine="400"/>
              <w:textAlignment w:val="baseline"/>
              <w:rPr>
                <w:rFonts w:ascii="宋体" w:hAnsi="宋体" w:cs="仿宋"/>
                <w:sz w:val="20"/>
                <w:highlight w:val="none"/>
              </w:rPr>
            </w:pPr>
          </w:p>
        </w:tc>
      </w:tr>
      <w:tr w14:paraId="6FA6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tcPr>
          <w:p w14:paraId="15BB80D2">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6D9EFA5C">
            <w:pPr>
              <w:spacing w:line="360" w:lineRule="auto"/>
              <w:textAlignment w:val="baseline"/>
              <w:rPr>
                <w:rFonts w:ascii="宋体" w:hAnsi="宋体" w:cs="仿宋"/>
                <w:highlight w:val="none"/>
              </w:rPr>
            </w:pPr>
          </w:p>
        </w:tc>
      </w:tr>
      <w:tr w14:paraId="74A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7517147B">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5FF3ECCA">
            <w:pPr>
              <w:spacing w:line="360" w:lineRule="auto"/>
              <w:textAlignment w:val="baseline"/>
              <w:rPr>
                <w:rFonts w:ascii="宋体" w:hAnsi="宋体" w:cs="仿宋"/>
                <w:highlight w:val="none"/>
              </w:rPr>
            </w:pPr>
          </w:p>
        </w:tc>
      </w:tr>
      <w:tr w14:paraId="045D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tcPr>
          <w:p w14:paraId="29006C2A">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1D8A9D09">
            <w:pPr>
              <w:spacing w:line="360" w:lineRule="auto"/>
              <w:textAlignment w:val="baseline"/>
              <w:rPr>
                <w:rFonts w:ascii="宋体" w:hAnsi="宋体" w:cs="仿宋"/>
                <w:highlight w:val="none"/>
              </w:rPr>
            </w:pPr>
          </w:p>
        </w:tc>
      </w:tr>
      <w:tr w14:paraId="442E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191" w:type="dxa"/>
          </w:tcPr>
          <w:p w14:paraId="5D7E11F0">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10916D22">
            <w:pPr>
              <w:spacing w:line="360" w:lineRule="auto"/>
              <w:textAlignment w:val="baseline"/>
              <w:rPr>
                <w:rFonts w:ascii="宋体" w:hAnsi="宋体" w:cs="仿宋"/>
                <w:highlight w:val="none"/>
              </w:rPr>
            </w:pPr>
          </w:p>
        </w:tc>
      </w:tr>
      <w:tr w14:paraId="7E39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51AC6692">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2CA15843">
            <w:pPr>
              <w:spacing w:line="360" w:lineRule="auto"/>
              <w:textAlignment w:val="baseline"/>
              <w:rPr>
                <w:rFonts w:ascii="宋体" w:hAnsi="宋体" w:cs="仿宋"/>
                <w:highlight w:val="none"/>
              </w:rPr>
            </w:pPr>
          </w:p>
        </w:tc>
      </w:tr>
      <w:tr w14:paraId="76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60" w:type="dxa"/>
            <w:gridSpan w:val="2"/>
          </w:tcPr>
          <w:p w14:paraId="72EAC70B">
            <w:pPr>
              <w:pStyle w:val="37"/>
              <w:shd w:val="clear" w:color="auto" w:fill="FFFFFF"/>
              <w:spacing w:line="360" w:lineRule="auto"/>
              <w:ind w:firstLine="400"/>
              <w:textAlignment w:val="baseline"/>
              <w:rPr>
                <w:rFonts w:ascii="宋体" w:hAnsi="宋体" w:cs="仿宋"/>
                <w:sz w:val="20"/>
                <w:highlight w:val="none"/>
              </w:rPr>
            </w:pPr>
          </w:p>
        </w:tc>
      </w:tr>
      <w:tr w14:paraId="065C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191" w:type="dxa"/>
          </w:tcPr>
          <w:p w14:paraId="71F33ABA">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3D99F1D6">
            <w:pPr>
              <w:spacing w:line="360" w:lineRule="auto"/>
              <w:textAlignment w:val="baseline"/>
              <w:rPr>
                <w:rFonts w:ascii="宋体" w:hAnsi="宋体" w:cs="仿宋"/>
                <w:highlight w:val="none"/>
              </w:rPr>
            </w:pPr>
          </w:p>
        </w:tc>
      </w:tr>
      <w:tr w14:paraId="35F3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2515511F">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37EC8536">
            <w:pPr>
              <w:spacing w:line="360" w:lineRule="auto"/>
              <w:textAlignment w:val="baseline"/>
              <w:rPr>
                <w:rFonts w:ascii="宋体" w:hAnsi="宋体" w:cs="仿宋"/>
                <w:highlight w:val="none"/>
              </w:rPr>
            </w:pPr>
          </w:p>
        </w:tc>
      </w:tr>
      <w:tr w14:paraId="3BFC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575EF0D3">
            <w:pPr>
              <w:pStyle w:val="37"/>
              <w:shd w:val="clear" w:color="auto" w:fill="FFFFFF"/>
              <w:spacing w:line="360" w:lineRule="auto"/>
              <w:ind w:firstLine="400"/>
              <w:textAlignment w:val="baseline"/>
              <w:rPr>
                <w:rFonts w:ascii="宋体" w:hAnsi="宋体" w:cs="仿宋"/>
                <w:sz w:val="20"/>
                <w:highlight w:val="none"/>
              </w:rPr>
            </w:pPr>
          </w:p>
        </w:tc>
        <w:tc>
          <w:tcPr>
            <w:tcW w:w="3269" w:type="dxa"/>
          </w:tcPr>
          <w:p w14:paraId="57E0B3AC">
            <w:pPr>
              <w:spacing w:line="360" w:lineRule="auto"/>
              <w:textAlignment w:val="baseline"/>
              <w:rPr>
                <w:rFonts w:ascii="宋体" w:hAnsi="宋体" w:cs="仿宋"/>
                <w:highlight w:val="none"/>
              </w:rPr>
            </w:pPr>
          </w:p>
        </w:tc>
      </w:tr>
      <w:tr w14:paraId="47C6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4BA8DA78">
            <w:pPr>
              <w:pStyle w:val="37"/>
              <w:shd w:val="clear" w:color="auto" w:fill="FFFFFF"/>
              <w:spacing w:line="360" w:lineRule="auto"/>
              <w:textAlignment w:val="baseline"/>
              <w:rPr>
                <w:rFonts w:ascii="宋体" w:hAnsi="宋体" w:cs="仿宋"/>
                <w:highlight w:val="none"/>
              </w:rPr>
            </w:pPr>
          </w:p>
        </w:tc>
        <w:tc>
          <w:tcPr>
            <w:tcW w:w="3269" w:type="dxa"/>
          </w:tcPr>
          <w:p w14:paraId="2600C77C">
            <w:pPr>
              <w:spacing w:line="360" w:lineRule="auto"/>
              <w:textAlignment w:val="baseline"/>
              <w:rPr>
                <w:rFonts w:ascii="宋体" w:hAnsi="宋体" w:cs="仿宋"/>
                <w:highlight w:val="none"/>
              </w:rPr>
            </w:pPr>
          </w:p>
        </w:tc>
      </w:tr>
      <w:tr w14:paraId="2E33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465814AF">
            <w:pPr>
              <w:pStyle w:val="37"/>
              <w:shd w:val="clear" w:color="auto" w:fill="FFFFFF"/>
              <w:spacing w:line="360" w:lineRule="auto"/>
              <w:textAlignment w:val="baseline"/>
              <w:rPr>
                <w:rFonts w:ascii="宋体" w:hAnsi="宋体" w:cs="仿宋"/>
                <w:highlight w:val="none"/>
              </w:rPr>
            </w:pPr>
          </w:p>
        </w:tc>
        <w:tc>
          <w:tcPr>
            <w:tcW w:w="3269" w:type="dxa"/>
          </w:tcPr>
          <w:p w14:paraId="4EF53371">
            <w:pPr>
              <w:spacing w:line="360" w:lineRule="auto"/>
              <w:textAlignment w:val="baseline"/>
              <w:rPr>
                <w:rFonts w:ascii="宋体" w:hAnsi="宋体" w:cs="仿宋"/>
                <w:highlight w:val="none"/>
              </w:rPr>
            </w:pPr>
          </w:p>
        </w:tc>
      </w:tr>
      <w:tr w14:paraId="4FCB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0" w:type="dxa"/>
            <w:gridSpan w:val="2"/>
          </w:tcPr>
          <w:p w14:paraId="7012A862">
            <w:pPr>
              <w:pStyle w:val="37"/>
              <w:shd w:val="clear" w:color="auto" w:fill="FFFFFF"/>
              <w:spacing w:line="360" w:lineRule="auto"/>
              <w:ind w:firstLine="422"/>
              <w:textAlignment w:val="baseline"/>
              <w:rPr>
                <w:rFonts w:ascii="宋体" w:hAnsi="宋体" w:cs="仿宋"/>
                <w:b/>
                <w:bCs/>
                <w:highlight w:val="none"/>
              </w:rPr>
            </w:pPr>
          </w:p>
        </w:tc>
      </w:tr>
      <w:tr w14:paraId="247C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tcPr>
          <w:p w14:paraId="4563D6C4">
            <w:pPr>
              <w:pStyle w:val="37"/>
              <w:shd w:val="clear" w:color="auto" w:fill="FFFFFF"/>
              <w:spacing w:line="360" w:lineRule="auto"/>
              <w:ind w:firstLine="422"/>
              <w:textAlignment w:val="baseline"/>
              <w:rPr>
                <w:rFonts w:ascii="宋体" w:hAnsi="宋体" w:cs="仿宋"/>
                <w:b/>
                <w:bCs/>
                <w:highlight w:val="none"/>
              </w:rPr>
            </w:pPr>
          </w:p>
        </w:tc>
        <w:tc>
          <w:tcPr>
            <w:tcW w:w="3269" w:type="dxa"/>
          </w:tcPr>
          <w:p w14:paraId="6F12E08A">
            <w:pPr>
              <w:spacing w:line="360" w:lineRule="auto"/>
              <w:textAlignment w:val="baseline"/>
              <w:rPr>
                <w:rFonts w:ascii="宋体" w:hAnsi="宋体" w:cs="仿宋"/>
                <w:highlight w:val="none"/>
              </w:rPr>
            </w:pPr>
          </w:p>
        </w:tc>
      </w:tr>
      <w:tr w14:paraId="6FA7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191" w:type="dxa"/>
          </w:tcPr>
          <w:p w14:paraId="5EB32F67">
            <w:pPr>
              <w:pStyle w:val="37"/>
              <w:shd w:val="clear" w:color="auto" w:fill="FFFFFF"/>
              <w:spacing w:line="360" w:lineRule="auto"/>
              <w:textAlignment w:val="baseline"/>
              <w:rPr>
                <w:rFonts w:ascii="宋体" w:hAnsi="宋体" w:cs="仿宋"/>
                <w:highlight w:val="none"/>
              </w:rPr>
            </w:pPr>
          </w:p>
        </w:tc>
        <w:tc>
          <w:tcPr>
            <w:tcW w:w="3269" w:type="dxa"/>
          </w:tcPr>
          <w:p w14:paraId="428FC6DB">
            <w:pPr>
              <w:spacing w:line="360" w:lineRule="auto"/>
              <w:textAlignment w:val="baseline"/>
              <w:rPr>
                <w:rFonts w:ascii="宋体" w:hAnsi="宋体" w:cs="仿宋"/>
                <w:highlight w:val="none"/>
              </w:rPr>
            </w:pPr>
          </w:p>
        </w:tc>
      </w:tr>
      <w:tr w14:paraId="7505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91" w:type="dxa"/>
          </w:tcPr>
          <w:p w14:paraId="7510A3AC">
            <w:pPr>
              <w:pStyle w:val="37"/>
              <w:shd w:val="clear" w:color="auto" w:fill="FFFFFF"/>
              <w:spacing w:line="360" w:lineRule="auto"/>
              <w:ind w:firstLine="422"/>
              <w:textAlignment w:val="baseline"/>
              <w:rPr>
                <w:rFonts w:ascii="宋体" w:hAnsi="宋体" w:cs="仿宋"/>
                <w:b/>
                <w:bCs/>
                <w:highlight w:val="none"/>
              </w:rPr>
            </w:pPr>
          </w:p>
        </w:tc>
        <w:tc>
          <w:tcPr>
            <w:tcW w:w="3269" w:type="dxa"/>
          </w:tcPr>
          <w:p w14:paraId="1B53035A">
            <w:pPr>
              <w:spacing w:line="360" w:lineRule="auto"/>
              <w:textAlignment w:val="baseline"/>
              <w:rPr>
                <w:rFonts w:ascii="宋体" w:hAnsi="宋体" w:cs="仿宋"/>
                <w:highlight w:val="none"/>
              </w:rPr>
            </w:pPr>
          </w:p>
        </w:tc>
      </w:tr>
      <w:tr w14:paraId="7BB2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60" w:type="dxa"/>
            <w:gridSpan w:val="2"/>
          </w:tcPr>
          <w:p w14:paraId="0EEF09FB">
            <w:pPr>
              <w:pStyle w:val="37"/>
              <w:shd w:val="clear" w:color="auto" w:fill="FFFFFF"/>
              <w:spacing w:line="360" w:lineRule="auto"/>
              <w:ind w:firstLine="422"/>
              <w:textAlignment w:val="baseline"/>
              <w:rPr>
                <w:rFonts w:ascii="宋体" w:hAnsi="宋体" w:cs="仿宋"/>
                <w:b/>
                <w:bCs/>
                <w:highlight w:val="none"/>
              </w:rPr>
            </w:pPr>
          </w:p>
        </w:tc>
      </w:tr>
      <w:tr w14:paraId="4A8E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91" w:type="dxa"/>
          </w:tcPr>
          <w:p w14:paraId="0DA2642B">
            <w:pPr>
              <w:pStyle w:val="37"/>
              <w:shd w:val="clear" w:color="auto" w:fill="FFFFFF"/>
              <w:spacing w:line="360" w:lineRule="auto"/>
              <w:textAlignment w:val="baseline"/>
              <w:rPr>
                <w:rFonts w:ascii="宋体" w:hAnsi="宋体" w:cs="仿宋"/>
                <w:highlight w:val="none"/>
              </w:rPr>
            </w:pPr>
          </w:p>
        </w:tc>
        <w:tc>
          <w:tcPr>
            <w:tcW w:w="3269" w:type="dxa"/>
          </w:tcPr>
          <w:p w14:paraId="2FE8E245">
            <w:pPr>
              <w:spacing w:line="360" w:lineRule="auto"/>
              <w:textAlignment w:val="baseline"/>
              <w:rPr>
                <w:rFonts w:ascii="宋体" w:hAnsi="宋体" w:cs="仿宋"/>
                <w:highlight w:val="none"/>
              </w:rPr>
            </w:pPr>
          </w:p>
        </w:tc>
      </w:tr>
      <w:tr w14:paraId="39ED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91" w:type="dxa"/>
          </w:tcPr>
          <w:p w14:paraId="2B8E07B9">
            <w:pPr>
              <w:pStyle w:val="37"/>
              <w:shd w:val="clear" w:color="auto" w:fill="FFFFFF"/>
              <w:spacing w:line="360" w:lineRule="auto"/>
              <w:textAlignment w:val="baseline"/>
              <w:rPr>
                <w:rFonts w:ascii="宋体" w:hAnsi="宋体" w:cs="仿宋"/>
                <w:highlight w:val="none"/>
              </w:rPr>
            </w:pPr>
          </w:p>
        </w:tc>
        <w:tc>
          <w:tcPr>
            <w:tcW w:w="3269" w:type="dxa"/>
          </w:tcPr>
          <w:p w14:paraId="4DD63964">
            <w:pPr>
              <w:spacing w:line="360" w:lineRule="auto"/>
              <w:textAlignment w:val="baseline"/>
              <w:rPr>
                <w:rFonts w:ascii="宋体" w:hAnsi="宋体" w:cs="仿宋"/>
                <w:highlight w:val="none"/>
              </w:rPr>
            </w:pPr>
          </w:p>
        </w:tc>
      </w:tr>
    </w:tbl>
    <w:p w14:paraId="19AEFD8C">
      <w:pPr>
        <w:spacing w:line="360" w:lineRule="auto"/>
        <w:textAlignment w:val="baseline"/>
        <w:rPr>
          <w:rFonts w:ascii="宋体" w:hAnsi="宋体" w:cs="仿宋"/>
          <w:highlight w:val="none"/>
        </w:rPr>
      </w:pPr>
    </w:p>
    <w:p w14:paraId="5A5F0371">
      <w:pPr>
        <w:spacing w:line="360" w:lineRule="auto"/>
        <w:jc w:val="center"/>
        <w:textAlignment w:val="baseline"/>
        <w:rPr>
          <w:rFonts w:ascii="宋体" w:hAnsi="宋体" w:cs="仿宋"/>
          <w:b/>
          <w:bCs/>
          <w:kern w:val="0"/>
          <w:sz w:val="28"/>
          <w:szCs w:val="28"/>
          <w:highlight w:val="none"/>
        </w:rPr>
      </w:pPr>
      <w:r>
        <w:rPr>
          <w:rFonts w:ascii="宋体" w:hAnsi="宋体"/>
          <w:sz w:val="20"/>
          <w:highlight w:val="none"/>
        </w:rPr>
        <w:br w:type="page"/>
      </w:r>
    </w:p>
    <w:p w14:paraId="63FA8AFA">
      <w:pPr>
        <w:spacing w:line="360" w:lineRule="auto"/>
        <w:jc w:val="center"/>
        <w:textAlignment w:val="baseline"/>
        <w:rPr>
          <w:rFonts w:ascii="宋体" w:hAnsi="宋体" w:cs="仿宋"/>
          <w:b/>
          <w:sz w:val="28"/>
          <w:highlight w:val="none"/>
        </w:rPr>
      </w:pPr>
      <w:bookmarkStart w:id="599" w:name="_Toc11631"/>
      <w:bookmarkStart w:id="600" w:name="_Toc5449"/>
      <w:r>
        <w:rPr>
          <w:rFonts w:hint="eastAsia" w:ascii="宋体" w:hAnsi="宋体" w:cs="仿宋"/>
          <w:b/>
          <w:bCs/>
          <w:kern w:val="0"/>
          <w:sz w:val="28"/>
          <w:szCs w:val="28"/>
          <w:highlight w:val="none"/>
        </w:rPr>
        <w:t>主要文件目录</w:t>
      </w:r>
      <w:bookmarkEnd w:id="599"/>
      <w:bookmarkEnd w:id="600"/>
    </w:p>
    <w:p w14:paraId="77E8DE5C">
      <w:pPr>
        <w:spacing w:line="360" w:lineRule="auto"/>
        <w:ind w:firstLine="120" w:firstLineChars="50"/>
        <w:textAlignment w:val="baseline"/>
        <w:rPr>
          <w:rFonts w:ascii="宋体" w:hAnsi="宋体" w:cs="仿宋"/>
          <w:sz w:val="24"/>
          <w:szCs w:val="24"/>
          <w:highlight w:val="none"/>
        </w:rPr>
      </w:pPr>
      <w:r>
        <w:rPr>
          <w:rFonts w:hint="eastAsia" w:ascii="宋体" w:hAnsi="宋体" w:cs="仿宋"/>
          <w:sz w:val="24"/>
          <w:szCs w:val="24"/>
          <w:highlight w:val="none"/>
        </w:rPr>
        <w:t>请供应商编制目录及页码，否则可能将影响对响应文件的评价。</w:t>
      </w:r>
    </w:p>
    <w:p w14:paraId="0A98C3CE">
      <w:pPr>
        <w:spacing w:line="360" w:lineRule="auto"/>
        <w:ind w:firstLine="120" w:firstLineChars="50"/>
        <w:textAlignment w:val="baseline"/>
        <w:rPr>
          <w:rFonts w:ascii="宋体" w:hAnsi="宋体" w:cs="仿宋"/>
          <w:sz w:val="24"/>
          <w:szCs w:val="24"/>
          <w:highlight w:val="none"/>
        </w:rPr>
      </w:pPr>
    </w:p>
    <w:p w14:paraId="2721C20F">
      <w:pPr>
        <w:spacing w:line="360" w:lineRule="auto"/>
        <w:textAlignment w:val="baseline"/>
        <w:rPr>
          <w:rFonts w:ascii="宋体" w:hAnsi="宋体" w:cs="仿宋"/>
          <w:highlight w:val="none"/>
        </w:rPr>
      </w:pPr>
    </w:p>
    <w:p w14:paraId="3D600AAD">
      <w:pPr>
        <w:spacing w:line="360" w:lineRule="auto"/>
        <w:jc w:val="center"/>
        <w:textAlignment w:val="baseline"/>
        <w:rPr>
          <w:rFonts w:ascii="宋体" w:hAnsi="宋体" w:cs="仿宋"/>
          <w:highlight w:val="none"/>
        </w:rPr>
      </w:pPr>
      <w:r>
        <w:rPr>
          <w:rFonts w:ascii="宋体" w:hAnsi="宋体"/>
          <w:sz w:val="20"/>
          <w:highlight w:val="none"/>
        </w:rPr>
        <w:br w:type="page"/>
      </w:r>
    </w:p>
    <w:p w14:paraId="01E26513">
      <w:pPr>
        <w:pStyle w:val="35"/>
        <w:spacing w:line="360" w:lineRule="auto"/>
        <w:ind w:left="0" w:firstLine="0"/>
        <w:jc w:val="center"/>
        <w:textAlignment w:val="baseline"/>
        <w:rPr>
          <w:rFonts w:ascii="宋体" w:hAnsi="宋体" w:cs="仿宋"/>
          <w:sz w:val="32"/>
          <w:szCs w:val="32"/>
          <w:highlight w:val="none"/>
        </w:rPr>
      </w:pPr>
      <w:bookmarkStart w:id="601" w:name="_Toc3425"/>
      <w:bookmarkStart w:id="602" w:name="_Toc21494"/>
      <w:bookmarkStart w:id="603" w:name="_Toc3180"/>
      <w:r>
        <w:rPr>
          <w:rFonts w:hint="eastAsia" w:ascii="宋体" w:hAnsi="宋体" w:cs="仿宋"/>
          <w:sz w:val="32"/>
          <w:szCs w:val="32"/>
          <w:highlight w:val="none"/>
        </w:rPr>
        <w:t>一、磋商函</w:t>
      </w:r>
      <w:bookmarkEnd w:id="601"/>
      <w:bookmarkEnd w:id="602"/>
      <w:bookmarkEnd w:id="603"/>
    </w:p>
    <w:p w14:paraId="58DD0890">
      <w:pPr>
        <w:widowControl/>
        <w:snapToGrid w:val="0"/>
        <w:spacing w:line="360" w:lineRule="auto"/>
        <w:textAlignment w:val="baseline"/>
        <w:rPr>
          <w:rFonts w:ascii="宋体" w:hAnsi="宋体" w:cs="仿宋"/>
          <w:sz w:val="24"/>
          <w:szCs w:val="24"/>
          <w:highlight w:val="none"/>
        </w:rPr>
      </w:pPr>
    </w:p>
    <w:p w14:paraId="4665752C">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w:t>
      </w:r>
    </w:p>
    <w:p w14:paraId="75FED132">
      <w:pPr>
        <w:widowControl/>
        <w:snapToGrid w:val="0"/>
        <w:spacing w:line="360" w:lineRule="auto"/>
        <w:ind w:firstLine="480" w:firstLineChars="200"/>
        <w:textAlignment w:val="baseline"/>
        <w:rPr>
          <w:rFonts w:ascii="宋体" w:hAnsi="宋体" w:cs="仿宋"/>
          <w:b/>
          <w:bCs/>
          <w:sz w:val="24"/>
          <w:szCs w:val="24"/>
          <w:highlight w:val="none"/>
        </w:rPr>
      </w:pP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（采购编号为：</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）竞争性磋商文件（包括更正公告，如果有的话）收悉，我们经详细审阅和研究，现决定参加磋商。</w:t>
      </w:r>
    </w:p>
    <w:p w14:paraId="7CA957E0">
      <w:pPr>
        <w:widowControl/>
        <w:snapToGrid w:val="0"/>
        <w:spacing w:line="360" w:lineRule="auto"/>
        <w:ind w:firstLine="480" w:firstLineChars="200"/>
        <w:textAlignment w:val="baseline"/>
        <w:rPr>
          <w:rFonts w:ascii="宋体" w:hAnsi="宋体" w:cs="仿宋"/>
          <w:sz w:val="24"/>
          <w:szCs w:val="24"/>
          <w:highlight w:val="none"/>
        </w:rPr>
      </w:pPr>
      <w:r>
        <w:rPr>
          <w:rFonts w:hint="eastAsia" w:ascii="宋体" w:hAnsi="宋体" w:cs="仿宋"/>
          <w:sz w:val="24"/>
          <w:szCs w:val="24"/>
          <w:highlight w:val="none"/>
        </w:rPr>
        <w:t>1、我们郑重承诺：我们是符合《政府采购法》第22条规定的供应商，并严格遵守《政府采购法》第77条的规定，本响应文件中提供的所有材料均是真实有效的。</w:t>
      </w:r>
    </w:p>
    <w:p w14:paraId="5EA47144">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2、我们接受竞争性磋商文件的所有的条款和规定。</w:t>
      </w:r>
    </w:p>
    <w:p w14:paraId="7F2D16F5">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3、我们同意按照本竞争性磋商文件第二章“磋商须知”的规定，本响应文件的有效期为从磋商之日起计算的九十天，在此期间，本响应文件将始终对我们具有约束力，并可随时被接受。如果我们成交，本响应文件在此期间之后将继续保持有效。</w:t>
      </w:r>
    </w:p>
    <w:p w14:paraId="18D44FCB">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4、我们同意提供采购人要求的有关本次采购的所有资料。</w:t>
      </w:r>
    </w:p>
    <w:p w14:paraId="48ECA2E9">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5、我们理解，你们无义务必须接受磋商报价最低的磋商，并有权拒绝所有的磋商。同时也理解你们不承担我们本次磋商的费用。</w:t>
      </w:r>
    </w:p>
    <w:p w14:paraId="408CF063">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6、如果我们成交，为执行合同，我们将按供应商须知有关要求提供必要的履约保证。</w:t>
      </w:r>
    </w:p>
    <w:p w14:paraId="6FC77B7B">
      <w:pPr>
        <w:widowControl/>
        <w:snapToGrid w:val="0"/>
        <w:spacing w:line="360" w:lineRule="auto"/>
        <w:textAlignment w:val="baseline"/>
        <w:rPr>
          <w:rFonts w:ascii="宋体" w:hAnsi="宋体" w:cs="仿宋"/>
          <w:sz w:val="24"/>
          <w:szCs w:val="24"/>
          <w:highlight w:val="none"/>
        </w:rPr>
      </w:pPr>
    </w:p>
    <w:p w14:paraId="0485595B">
      <w:pPr>
        <w:widowControl/>
        <w:snapToGrid w:val="0"/>
        <w:spacing w:line="360" w:lineRule="auto"/>
        <w:textAlignment w:val="baseline"/>
        <w:rPr>
          <w:rFonts w:ascii="宋体" w:hAnsi="宋体" w:cs="仿宋"/>
          <w:sz w:val="24"/>
          <w:szCs w:val="24"/>
          <w:highlight w:val="none"/>
        </w:rPr>
      </w:pPr>
    </w:p>
    <w:p w14:paraId="1FFA90F3">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供应商名称：（公章）</w:t>
      </w:r>
    </w:p>
    <w:p w14:paraId="775B8209">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地址：                          邮编：</w:t>
      </w:r>
    </w:p>
    <w:p w14:paraId="61DA8DDC">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电话：                          传真：          </w:t>
      </w:r>
    </w:p>
    <w:p w14:paraId="19BFCB78">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法定代表人（授权代表）（签字或盖章）：                   </w:t>
      </w:r>
    </w:p>
    <w:p w14:paraId="40772E66">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职务：                  </w:t>
      </w:r>
    </w:p>
    <w:p w14:paraId="39D0DD76">
      <w:pPr>
        <w:widowControl/>
        <w:snapToGrid w:val="0"/>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日期：      年    月    日 </w:t>
      </w:r>
      <w:bookmarkStart w:id="604" w:name="_Toc2237"/>
      <w:bookmarkStart w:id="605" w:name="_Toc27417"/>
    </w:p>
    <w:p w14:paraId="3F5B16E1">
      <w:pPr>
        <w:widowControl/>
        <w:snapToGrid w:val="0"/>
        <w:spacing w:line="360" w:lineRule="auto"/>
        <w:textAlignment w:val="baseline"/>
        <w:rPr>
          <w:rFonts w:ascii="宋体" w:hAnsi="宋体" w:cs="仿宋"/>
          <w:sz w:val="24"/>
          <w:szCs w:val="24"/>
          <w:highlight w:val="none"/>
        </w:rPr>
      </w:pPr>
      <w:r>
        <w:rPr>
          <w:rFonts w:ascii="宋体" w:hAnsi="宋体"/>
          <w:sz w:val="20"/>
          <w:highlight w:val="none"/>
        </w:rPr>
        <w:br w:type="page"/>
      </w:r>
    </w:p>
    <w:p w14:paraId="412639A2">
      <w:pPr>
        <w:pStyle w:val="35"/>
        <w:spacing w:before="312" w:after="312" w:line="360" w:lineRule="auto"/>
        <w:ind w:left="0" w:firstLine="0"/>
        <w:jc w:val="center"/>
        <w:textAlignment w:val="baseline"/>
        <w:rPr>
          <w:rFonts w:ascii="宋体" w:hAnsi="宋体" w:cs="仿宋"/>
          <w:sz w:val="32"/>
          <w:szCs w:val="32"/>
          <w:highlight w:val="none"/>
        </w:rPr>
      </w:pPr>
      <w:bookmarkStart w:id="606" w:name="_Toc10986"/>
      <w:bookmarkStart w:id="607" w:name="_Toc28644"/>
      <w:bookmarkStart w:id="608" w:name="_Toc17636"/>
      <w:r>
        <w:rPr>
          <w:rFonts w:hint="eastAsia" w:ascii="宋体" w:hAnsi="宋体" w:cs="仿宋"/>
          <w:sz w:val="32"/>
          <w:szCs w:val="32"/>
          <w:highlight w:val="none"/>
        </w:rPr>
        <w:t>二、报价一览表</w:t>
      </w:r>
      <w:bookmarkEnd w:id="604"/>
      <w:bookmarkEnd w:id="605"/>
      <w:bookmarkEnd w:id="606"/>
      <w:bookmarkEnd w:id="607"/>
      <w:bookmarkEnd w:id="608"/>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6619"/>
      </w:tblGrid>
      <w:tr w14:paraId="57C8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261" w:type="dxa"/>
          </w:tcPr>
          <w:p w14:paraId="45F20491">
            <w:pPr>
              <w:spacing w:line="360" w:lineRule="auto"/>
              <w:rPr>
                <w:rFonts w:ascii="宋体" w:hAnsi="宋体" w:cs="仿宋"/>
                <w:sz w:val="24"/>
                <w:szCs w:val="24"/>
                <w:highlight w:val="none"/>
                <w:u w:val="none"/>
              </w:rPr>
            </w:pPr>
          </w:p>
          <w:p w14:paraId="62DFA6E6">
            <w:pPr>
              <w:spacing w:line="360" w:lineRule="auto"/>
              <w:jc w:val="center"/>
              <w:rPr>
                <w:highlight w:val="none"/>
                <w:u w:val="none"/>
              </w:rPr>
            </w:pPr>
            <w:r>
              <w:rPr>
                <w:rFonts w:hint="eastAsia" w:ascii="宋体" w:hAnsi="宋体" w:cs="仿宋"/>
                <w:sz w:val="24"/>
                <w:szCs w:val="24"/>
                <w:highlight w:val="none"/>
                <w:u w:val="none"/>
              </w:rPr>
              <w:t>项目名称</w:t>
            </w:r>
          </w:p>
        </w:tc>
        <w:tc>
          <w:tcPr>
            <w:tcW w:w="6662" w:type="dxa"/>
          </w:tcPr>
          <w:p w14:paraId="6986F247">
            <w:pPr>
              <w:spacing w:line="360" w:lineRule="auto"/>
              <w:jc w:val="center"/>
              <w:rPr>
                <w:rFonts w:ascii="宋体" w:hAnsi="宋体" w:cs="仿宋"/>
                <w:sz w:val="24"/>
                <w:szCs w:val="24"/>
                <w:highlight w:val="none"/>
                <w:u w:val="none"/>
              </w:rPr>
            </w:pPr>
          </w:p>
          <w:p w14:paraId="394FD512">
            <w:pPr>
              <w:tabs>
                <w:tab w:val="left" w:pos="2700"/>
                <w:tab w:val="center" w:pos="3223"/>
              </w:tabs>
              <w:spacing w:line="360" w:lineRule="auto"/>
              <w:jc w:val="left"/>
              <w:rPr>
                <w:highlight w:val="none"/>
                <w:u w:val="none"/>
              </w:rPr>
            </w:pPr>
            <w:r>
              <w:rPr>
                <w:rFonts w:hint="eastAsia" w:ascii="宋体" w:hAnsi="宋体" w:cs="仿宋"/>
                <w:sz w:val="24"/>
                <w:szCs w:val="24"/>
                <w:highlight w:val="none"/>
                <w:lang w:val="en-US" w:eastAsia="zh-CN"/>
              </w:rPr>
              <w:t xml:space="preserve">  </w:t>
            </w:r>
          </w:p>
        </w:tc>
      </w:tr>
      <w:tr w14:paraId="0C00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261" w:type="dxa"/>
          </w:tcPr>
          <w:p w14:paraId="0CC62B35">
            <w:pPr>
              <w:spacing w:line="360" w:lineRule="auto"/>
              <w:rPr>
                <w:rFonts w:ascii="宋体" w:hAnsi="宋体" w:cs="仿宋"/>
                <w:sz w:val="24"/>
                <w:szCs w:val="24"/>
                <w:highlight w:val="none"/>
              </w:rPr>
            </w:pPr>
          </w:p>
          <w:p w14:paraId="001E3C96">
            <w:pPr>
              <w:spacing w:line="360" w:lineRule="auto"/>
              <w:jc w:val="center"/>
              <w:rPr>
                <w:rFonts w:ascii="宋体" w:hAnsi="宋体" w:cs="仿宋"/>
                <w:sz w:val="24"/>
                <w:szCs w:val="24"/>
                <w:highlight w:val="none"/>
              </w:rPr>
            </w:pPr>
            <w:r>
              <w:rPr>
                <w:rFonts w:hint="eastAsia" w:ascii="宋体" w:hAnsi="宋体" w:cs="仿宋"/>
                <w:sz w:val="24"/>
                <w:szCs w:val="24"/>
                <w:highlight w:val="none"/>
              </w:rPr>
              <w:t>项目编号</w:t>
            </w:r>
          </w:p>
        </w:tc>
        <w:tc>
          <w:tcPr>
            <w:tcW w:w="6662" w:type="dxa"/>
          </w:tcPr>
          <w:p w14:paraId="152759AF">
            <w:pPr>
              <w:spacing w:line="360" w:lineRule="auto"/>
              <w:jc w:val="center"/>
              <w:rPr>
                <w:rFonts w:ascii="宋体" w:hAnsi="宋体" w:cs="仿宋"/>
                <w:sz w:val="24"/>
                <w:szCs w:val="24"/>
                <w:highlight w:val="none"/>
              </w:rPr>
            </w:pPr>
          </w:p>
          <w:p w14:paraId="2FFAA856">
            <w:pPr>
              <w:spacing w:line="360" w:lineRule="auto"/>
              <w:jc w:val="center"/>
              <w:rPr>
                <w:rFonts w:hint="eastAsia" w:eastAsia="宋体"/>
                <w:highlight w:val="none"/>
                <w:lang w:eastAsia="zh-CN"/>
              </w:rPr>
            </w:pPr>
            <w:r>
              <w:rPr>
                <w:rFonts w:hint="eastAsia" w:ascii="宋体" w:hAnsi="宋体" w:cs="仿宋"/>
                <w:sz w:val="24"/>
                <w:szCs w:val="24"/>
                <w:highlight w:val="none"/>
                <w:lang w:val="en-US" w:eastAsia="zh-CN"/>
              </w:rPr>
              <w:t xml:space="preserve"> </w:t>
            </w:r>
          </w:p>
        </w:tc>
      </w:tr>
      <w:tr w14:paraId="386D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22F9F7D7">
            <w:pPr>
              <w:spacing w:line="360" w:lineRule="auto"/>
              <w:rPr>
                <w:rFonts w:ascii="宋体" w:hAnsi="宋体" w:cs="仿宋"/>
                <w:sz w:val="24"/>
                <w:szCs w:val="24"/>
                <w:highlight w:val="none"/>
              </w:rPr>
            </w:pPr>
          </w:p>
          <w:p w14:paraId="3BB2ABDA">
            <w:pPr>
              <w:spacing w:line="360" w:lineRule="auto"/>
              <w:jc w:val="center"/>
              <w:rPr>
                <w:rFonts w:ascii="宋体" w:hAnsi="宋体" w:cs="仿宋"/>
                <w:sz w:val="24"/>
                <w:szCs w:val="24"/>
                <w:highlight w:val="none"/>
              </w:rPr>
            </w:pPr>
            <w:r>
              <w:rPr>
                <w:rFonts w:hint="eastAsia" w:ascii="宋体" w:hAnsi="宋体" w:cs="仿宋"/>
                <w:sz w:val="24"/>
                <w:szCs w:val="24"/>
                <w:highlight w:val="none"/>
              </w:rPr>
              <w:t>报价总计</w:t>
            </w:r>
          </w:p>
        </w:tc>
        <w:tc>
          <w:tcPr>
            <w:tcW w:w="6662" w:type="dxa"/>
          </w:tcPr>
          <w:p w14:paraId="00F7C5B0">
            <w:pPr>
              <w:spacing w:line="360" w:lineRule="auto"/>
              <w:jc w:val="center"/>
              <w:rPr>
                <w:rFonts w:ascii="宋体" w:hAnsi="宋体" w:cs="仿宋"/>
                <w:sz w:val="24"/>
                <w:szCs w:val="24"/>
                <w:highlight w:val="none"/>
              </w:rPr>
            </w:pPr>
          </w:p>
          <w:p w14:paraId="069D505C">
            <w:pPr>
              <w:spacing w:line="360" w:lineRule="auto"/>
              <w:rPr>
                <w:rFonts w:ascii="宋体" w:hAnsi="宋体" w:cs="仿宋"/>
                <w:sz w:val="24"/>
                <w:szCs w:val="24"/>
                <w:highlight w:val="none"/>
              </w:rPr>
            </w:pPr>
            <w:r>
              <w:rPr>
                <w:rFonts w:hint="eastAsia" w:ascii="宋体" w:hAnsi="宋体" w:cs="仿宋"/>
                <w:sz w:val="24"/>
                <w:szCs w:val="24"/>
                <w:highlight w:val="none"/>
              </w:rPr>
              <w:t>人民币：（小写）￥</w:t>
            </w:r>
            <w:r>
              <w:rPr>
                <w:rFonts w:hint="eastAsia" w:ascii="宋体" w:hAnsi="宋体" w:cs="仿宋"/>
                <w:sz w:val="24"/>
                <w:szCs w:val="24"/>
                <w:highlight w:val="none"/>
                <w:u w:val="single" w:color="000000"/>
              </w:rPr>
              <w:t> 　　    　</w:t>
            </w:r>
            <w:r>
              <w:rPr>
                <w:rFonts w:hint="eastAsia" w:ascii="宋体" w:hAnsi="宋体" w:cs="仿宋"/>
                <w:sz w:val="24"/>
                <w:szCs w:val="24"/>
                <w:highlight w:val="none"/>
              </w:rPr>
              <w:t>元整</w:t>
            </w:r>
          </w:p>
          <w:p w14:paraId="765333A3">
            <w:pPr>
              <w:spacing w:line="360" w:lineRule="auto"/>
              <w:rPr>
                <w:highlight w:val="none"/>
              </w:rPr>
            </w:pPr>
            <w:r>
              <w:rPr>
                <w:rFonts w:hint="eastAsia" w:ascii="宋体" w:hAnsi="宋体" w:cs="仿宋"/>
                <w:sz w:val="24"/>
                <w:szCs w:val="24"/>
                <w:highlight w:val="none"/>
              </w:rPr>
              <w:t>人民币 (大写)：_______________</w:t>
            </w:r>
          </w:p>
        </w:tc>
      </w:tr>
      <w:tr w14:paraId="4DF2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4CC8FC45">
            <w:pPr>
              <w:spacing w:line="360" w:lineRule="auto"/>
              <w:rPr>
                <w:rFonts w:ascii="宋体" w:hAnsi="宋体" w:cs="仿宋"/>
                <w:sz w:val="24"/>
                <w:szCs w:val="24"/>
                <w:highlight w:val="none"/>
              </w:rPr>
            </w:pPr>
            <w:r>
              <w:rPr>
                <w:rFonts w:hint="eastAsia" w:ascii="宋体" w:hAnsi="宋体" w:cs="仿宋"/>
                <w:sz w:val="24"/>
                <w:szCs w:val="24"/>
                <w:highlight w:val="none"/>
              </w:rPr>
              <w:t>服务时间</w:t>
            </w:r>
          </w:p>
        </w:tc>
        <w:tc>
          <w:tcPr>
            <w:tcW w:w="6662" w:type="dxa"/>
          </w:tcPr>
          <w:p w14:paraId="1AB16FD0">
            <w:pPr>
              <w:spacing w:line="360" w:lineRule="auto"/>
              <w:jc w:val="center"/>
              <w:rPr>
                <w:highlight w:val="none"/>
              </w:rPr>
            </w:pPr>
          </w:p>
        </w:tc>
      </w:tr>
    </w:tbl>
    <w:p w14:paraId="6A27746F">
      <w:pPr>
        <w:pStyle w:val="38"/>
        <w:spacing w:line="360" w:lineRule="auto"/>
        <w:jc w:val="both"/>
        <w:textAlignment w:val="baseline"/>
        <w:rPr>
          <w:rFonts w:ascii="宋体" w:hAnsi="宋体" w:cs="仿宋"/>
          <w:highlight w:val="none"/>
        </w:rPr>
      </w:pPr>
      <w:r>
        <w:rPr>
          <w:rFonts w:hint="eastAsia" w:ascii="宋体" w:hAnsi="宋体" w:cs="仿宋"/>
          <w:highlight w:val="none"/>
        </w:rPr>
        <w:t>窗体顶端</w:t>
      </w:r>
    </w:p>
    <w:p w14:paraId="64ACE05C">
      <w:pPr>
        <w:pStyle w:val="21"/>
        <w:spacing w:before="0" w:beforeAutospacing="0" w:after="0" w:afterAutospacing="0" w:line="360" w:lineRule="auto"/>
        <w:textAlignment w:val="baseline"/>
        <w:rPr>
          <w:rFonts w:cs="仿宋"/>
          <w:highlight w:val="none"/>
        </w:rPr>
      </w:pPr>
    </w:p>
    <w:p w14:paraId="794101E0">
      <w:pPr>
        <w:pStyle w:val="21"/>
        <w:spacing w:before="0" w:beforeAutospacing="0" w:after="0" w:afterAutospacing="0" w:line="360" w:lineRule="auto"/>
        <w:textAlignment w:val="baseline"/>
        <w:rPr>
          <w:rFonts w:cs="仿宋"/>
          <w:highlight w:val="none"/>
        </w:rPr>
      </w:pPr>
      <w:r>
        <w:rPr>
          <w:rFonts w:hint="eastAsia" w:cs="仿宋"/>
          <w:highlight w:val="none"/>
        </w:rPr>
        <w:t>供应商全称（公章）：  </w:t>
      </w:r>
    </w:p>
    <w:p w14:paraId="0D2A5903">
      <w:pPr>
        <w:pStyle w:val="21"/>
        <w:spacing w:before="0" w:beforeAutospacing="0" w:after="0" w:afterAutospacing="0" w:line="360" w:lineRule="auto"/>
        <w:textAlignment w:val="baseline"/>
        <w:rPr>
          <w:rFonts w:cs="仿宋"/>
          <w:highlight w:val="none"/>
          <w:u w:val="single" w:color="000000"/>
        </w:rPr>
      </w:pPr>
      <w:r>
        <w:rPr>
          <w:rFonts w:hint="eastAsia" w:cs="仿宋"/>
          <w:highlight w:val="none"/>
        </w:rPr>
        <w:t xml:space="preserve">法定代表人（授权代表）（签字或盖章）： </w:t>
      </w:r>
      <w:r>
        <w:rPr>
          <w:rFonts w:hint="eastAsia" w:cs="仿宋"/>
          <w:highlight w:val="none"/>
          <w:u w:val="single" w:color="000000"/>
        </w:rPr>
        <w:t>       </w:t>
      </w:r>
    </w:p>
    <w:p w14:paraId="27A993E5">
      <w:pPr>
        <w:pStyle w:val="21"/>
        <w:spacing w:before="0" w:beforeAutospacing="0" w:after="0" w:afterAutospacing="0" w:line="360" w:lineRule="auto"/>
        <w:textAlignment w:val="baseline"/>
        <w:rPr>
          <w:rFonts w:cs="仿宋"/>
          <w:highlight w:val="none"/>
        </w:rPr>
      </w:pPr>
      <w:r>
        <w:rPr>
          <w:rFonts w:hint="eastAsia" w:cs="仿宋"/>
          <w:highlight w:val="none"/>
        </w:rPr>
        <w:t>日期：    年    月    日</w:t>
      </w:r>
    </w:p>
    <w:p w14:paraId="57274939">
      <w:pPr>
        <w:spacing w:line="360" w:lineRule="auto"/>
        <w:textAlignment w:val="baseline"/>
        <w:rPr>
          <w:rStyle w:val="26"/>
          <w:rFonts w:ascii="宋体" w:hAnsi="宋体" w:cs="仿宋"/>
          <w:highlight w:val="none"/>
        </w:rPr>
      </w:pPr>
      <w:r>
        <w:rPr>
          <w:rStyle w:val="26"/>
          <w:rFonts w:hint="eastAsia" w:ascii="宋体" w:hAnsi="宋体" w:cs="仿宋"/>
          <w:highlight w:val="none"/>
        </w:rPr>
        <w:t>注:</w:t>
      </w:r>
    </w:p>
    <w:p w14:paraId="35101A1C">
      <w:pPr>
        <w:spacing w:line="360" w:lineRule="auto"/>
        <w:textAlignment w:val="baseline"/>
        <w:rPr>
          <w:rFonts w:ascii="宋体" w:hAnsi="宋体" w:cs="仿宋"/>
          <w:sz w:val="24"/>
          <w:highlight w:val="none"/>
        </w:rPr>
      </w:pPr>
      <w:r>
        <w:rPr>
          <w:rFonts w:hint="eastAsia" w:ascii="宋体" w:hAnsi="宋体" w:cs="仿宋"/>
          <w:sz w:val="24"/>
          <w:highlight w:val="none"/>
        </w:rPr>
        <w:t>1.所有价格均以人民币表示；</w:t>
      </w:r>
    </w:p>
    <w:p w14:paraId="1B089B70">
      <w:pPr>
        <w:spacing w:line="360" w:lineRule="auto"/>
        <w:textAlignment w:val="baseline"/>
        <w:rPr>
          <w:rFonts w:ascii="宋体" w:hAnsi="宋体" w:cs="仿宋"/>
          <w:sz w:val="24"/>
          <w:highlight w:val="none"/>
        </w:rPr>
      </w:pPr>
      <w:r>
        <w:rPr>
          <w:rFonts w:hint="eastAsia" w:ascii="宋体" w:hAnsi="宋体" w:cs="仿宋"/>
          <w:sz w:val="24"/>
          <w:highlight w:val="none"/>
        </w:rPr>
        <w:t>2.项目报价应包括磋商文件所规定的采购范围的全部内容（各类人工、</w:t>
      </w:r>
      <w:r>
        <w:rPr>
          <w:rFonts w:hint="eastAsia" w:ascii="宋体" w:hAnsi="宋体" w:cs="仿宋"/>
          <w:sz w:val="24"/>
          <w:highlight w:val="none"/>
          <w:lang w:val="en-US" w:eastAsia="zh-CN"/>
        </w:rPr>
        <w:t>材料、机械、运费、</w:t>
      </w:r>
      <w:r>
        <w:rPr>
          <w:rFonts w:hint="eastAsia" w:ascii="宋体" w:hAnsi="宋体" w:cs="仿宋"/>
          <w:sz w:val="24"/>
          <w:highlight w:val="none"/>
        </w:rPr>
        <w:t>管理费</w:t>
      </w:r>
      <w:r>
        <w:rPr>
          <w:rFonts w:hint="eastAsia" w:ascii="宋体" w:hAnsi="宋体" w:cs="仿宋"/>
          <w:sz w:val="24"/>
          <w:highlight w:val="none"/>
          <w:lang w:eastAsia="zh-CN"/>
        </w:rPr>
        <w:t>、</w:t>
      </w:r>
      <w:r>
        <w:rPr>
          <w:rFonts w:hint="eastAsia" w:ascii="宋体" w:hAnsi="宋体" w:cs="仿宋"/>
          <w:sz w:val="24"/>
          <w:highlight w:val="none"/>
        </w:rPr>
        <w:t>税费</w:t>
      </w:r>
      <w:r>
        <w:rPr>
          <w:rFonts w:hint="eastAsia" w:ascii="宋体" w:hAnsi="宋体" w:cs="仿宋"/>
          <w:sz w:val="24"/>
          <w:highlight w:val="none"/>
          <w:lang w:val="en-US" w:eastAsia="zh-CN"/>
        </w:rPr>
        <w:t>等</w:t>
      </w:r>
      <w:r>
        <w:rPr>
          <w:rFonts w:hint="eastAsia" w:ascii="宋体" w:hAnsi="宋体" w:cs="仿宋"/>
          <w:sz w:val="24"/>
          <w:highlight w:val="none"/>
        </w:rPr>
        <w:t>以及一切技术和服务费等）。供应商漏报的费用，视为此项费用已隐含在响应报价中，成交后不得再向采购人收取任何费用；</w:t>
      </w:r>
    </w:p>
    <w:p w14:paraId="27E85A29">
      <w:pPr>
        <w:spacing w:line="360" w:lineRule="auto"/>
        <w:textAlignment w:val="baseline"/>
        <w:rPr>
          <w:rFonts w:hint="default" w:ascii="宋体" w:hAnsi="宋体" w:eastAsia="宋体" w:cs="仿宋"/>
          <w:sz w:val="24"/>
          <w:highlight w:val="none"/>
          <w:lang w:val="en-US" w:eastAsia="zh-CN"/>
        </w:rPr>
      </w:pPr>
      <w:r>
        <w:rPr>
          <w:rFonts w:hint="eastAsia" w:ascii="宋体" w:hAnsi="宋体" w:cs="仿宋"/>
          <w:sz w:val="24"/>
          <w:highlight w:val="none"/>
        </w:rPr>
        <w:t>3.供应商不得实质性改动报价一览表格式及内容。</w:t>
      </w:r>
    </w:p>
    <w:p w14:paraId="0820D5AD">
      <w:pPr>
        <w:pStyle w:val="35"/>
        <w:spacing w:line="360" w:lineRule="auto"/>
        <w:ind w:left="0" w:firstLine="0"/>
        <w:jc w:val="center"/>
        <w:textAlignment w:val="baseline"/>
        <w:rPr>
          <w:rFonts w:hint="eastAsia" w:ascii="宋体" w:hAnsi="宋体" w:cs="仿宋"/>
          <w:sz w:val="32"/>
          <w:szCs w:val="32"/>
          <w:highlight w:val="none"/>
        </w:rPr>
      </w:pPr>
      <w:bookmarkStart w:id="609" w:name="_Toc8834"/>
      <w:bookmarkStart w:id="610" w:name="_Toc21016"/>
      <w:bookmarkStart w:id="611" w:name="_Toc1651"/>
    </w:p>
    <w:p w14:paraId="7B055DFA">
      <w:pPr>
        <w:pStyle w:val="35"/>
        <w:spacing w:line="360" w:lineRule="auto"/>
        <w:ind w:left="0" w:firstLine="0"/>
        <w:jc w:val="center"/>
        <w:textAlignment w:val="baseline"/>
        <w:rPr>
          <w:rFonts w:hint="eastAsia" w:ascii="宋体" w:hAnsi="宋体" w:cs="仿宋"/>
          <w:sz w:val="32"/>
          <w:szCs w:val="32"/>
          <w:highlight w:val="none"/>
        </w:rPr>
      </w:pPr>
    </w:p>
    <w:p w14:paraId="2EF4E21A">
      <w:pPr>
        <w:pStyle w:val="35"/>
        <w:spacing w:line="360" w:lineRule="auto"/>
        <w:ind w:left="0" w:firstLine="0"/>
        <w:jc w:val="center"/>
        <w:textAlignment w:val="baseline"/>
        <w:rPr>
          <w:rFonts w:hint="eastAsia" w:ascii="宋体" w:hAnsi="宋体" w:cs="仿宋"/>
          <w:sz w:val="32"/>
          <w:szCs w:val="32"/>
          <w:highlight w:val="none"/>
        </w:rPr>
      </w:pPr>
    </w:p>
    <w:p w14:paraId="7DDDC334">
      <w:pPr>
        <w:pStyle w:val="35"/>
        <w:spacing w:line="360" w:lineRule="auto"/>
        <w:ind w:left="0" w:firstLine="0"/>
        <w:jc w:val="center"/>
        <w:textAlignment w:val="baseline"/>
        <w:rPr>
          <w:rFonts w:hint="eastAsia" w:ascii="宋体" w:hAnsi="宋体" w:cs="仿宋"/>
          <w:sz w:val="32"/>
          <w:szCs w:val="32"/>
          <w:highlight w:val="none"/>
        </w:rPr>
      </w:pPr>
    </w:p>
    <w:p w14:paraId="65B4E512">
      <w:pPr>
        <w:pStyle w:val="35"/>
        <w:spacing w:line="360" w:lineRule="auto"/>
        <w:ind w:left="0" w:firstLine="0"/>
        <w:jc w:val="center"/>
        <w:textAlignment w:val="baseline"/>
        <w:rPr>
          <w:rFonts w:hint="eastAsia" w:ascii="宋体" w:hAnsi="宋体" w:cs="仿宋"/>
          <w:sz w:val="32"/>
          <w:szCs w:val="32"/>
          <w:highlight w:val="none"/>
        </w:rPr>
      </w:pPr>
    </w:p>
    <w:p w14:paraId="0DF89AEF">
      <w:pPr>
        <w:pStyle w:val="35"/>
        <w:spacing w:line="360" w:lineRule="auto"/>
        <w:ind w:left="0" w:firstLine="0"/>
        <w:jc w:val="center"/>
        <w:textAlignment w:val="baseline"/>
        <w:rPr>
          <w:rFonts w:hint="eastAsia" w:ascii="宋体" w:hAnsi="宋体" w:cs="仿宋"/>
          <w:sz w:val="32"/>
          <w:szCs w:val="32"/>
          <w:highlight w:val="none"/>
        </w:rPr>
      </w:pPr>
    </w:p>
    <w:p w14:paraId="2B961055">
      <w:pPr>
        <w:pStyle w:val="35"/>
        <w:spacing w:line="360" w:lineRule="auto"/>
        <w:ind w:left="0" w:firstLine="0"/>
        <w:jc w:val="center"/>
        <w:textAlignment w:val="baseline"/>
        <w:rPr>
          <w:rFonts w:ascii="宋体" w:hAnsi="宋体" w:cs="仿宋"/>
          <w:sz w:val="24"/>
          <w:highlight w:val="none"/>
        </w:rPr>
      </w:pPr>
      <w:r>
        <w:rPr>
          <w:rFonts w:hint="eastAsia" w:ascii="宋体" w:hAnsi="宋体" w:cs="仿宋"/>
          <w:sz w:val="32"/>
          <w:szCs w:val="32"/>
          <w:highlight w:val="none"/>
        </w:rPr>
        <w:t>三、报价明细表</w:t>
      </w:r>
      <w:bookmarkEnd w:id="609"/>
      <w:bookmarkEnd w:id="610"/>
      <w:bookmarkEnd w:id="611"/>
    </w:p>
    <w:p w14:paraId="496B4204">
      <w:pPr>
        <w:pStyle w:val="22"/>
        <w:spacing w:line="360" w:lineRule="auto"/>
        <w:ind w:firstLine="480"/>
        <w:textAlignment w:val="baseline"/>
        <w:rPr>
          <w:rFonts w:ascii="宋体" w:hAnsi="宋体" w:cs="仿宋"/>
          <w:sz w:val="24"/>
          <w:highlight w:val="none"/>
        </w:rPr>
      </w:pPr>
      <w:r>
        <w:rPr>
          <w:rFonts w:hint="eastAsia" w:ascii="宋体" w:hAnsi="宋体" w:cs="仿宋"/>
          <w:sz w:val="24"/>
          <w:highlight w:val="none"/>
        </w:rPr>
        <w:t>项目名称：</w:t>
      </w:r>
      <w:r>
        <w:rPr>
          <w:rFonts w:hint="eastAsia" w:cs="仿宋"/>
          <w:sz w:val="24"/>
          <w:highlight w:val="none"/>
          <w:u w:val="single"/>
          <w:lang w:val="en-US" w:eastAsia="zh-CN"/>
        </w:rPr>
        <w:t xml:space="preserve">                         </w:t>
      </w:r>
      <w:r>
        <w:rPr>
          <w:rFonts w:hint="eastAsia" w:cs="仿宋"/>
          <w:sz w:val="24"/>
          <w:highlight w:val="none"/>
          <w:lang w:val="en-US" w:eastAsia="zh-CN"/>
        </w:rPr>
        <w:t xml:space="preserve"> </w:t>
      </w:r>
      <w:r>
        <w:rPr>
          <w:rFonts w:hint="eastAsia" w:ascii="宋体" w:hAnsi="宋体" w:cs="仿宋"/>
          <w:sz w:val="24"/>
          <w:highlight w:val="none"/>
        </w:rPr>
        <w:t xml:space="preserve"> </w:t>
      </w:r>
    </w:p>
    <w:p w14:paraId="28081612">
      <w:pPr>
        <w:pStyle w:val="22"/>
        <w:spacing w:line="360" w:lineRule="auto"/>
        <w:ind w:firstLine="480"/>
        <w:textAlignment w:val="baseline"/>
        <w:rPr>
          <w:rFonts w:hint="default" w:ascii="宋体" w:hAnsi="宋体" w:eastAsia="宋体" w:cs="仿宋"/>
          <w:sz w:val="24"/>
          <w:szCs w:val="24"/>
          <w:highlight w:val="none"/>
          <w:u w:val="single"/>
          <w:lang w:val="en-US" w:eastAsia="zh-CN"/>
        </w:rPr>
      </w:pPr>
      <w:r>
        <w:rPr>
          <w:rFonts w:hint="eastAsia" w:ascii="宋体" w:hAnsi="宋体" w:cs="仿宋"/>
          <w:sz w:val="24"/>
          <w:highlight w:val="none"/>
        </w:rPr>
        <w:t>项目编号：</w:t>
      </w:r>
      <w:r>
        <w:rPr>
          <w:rFonts w:hint="eastAsia" w:cs="仿宋"/>
          <w:sz w:val="24"/>
          <w:szCs w:val="24"/>
          <w:highlight w:val="none"/>
          <w:lang w:val="en-US" w:eastAsia="zh-CN"/>
        </w:rPr>
        <w:t xml:space="preserve"> </w:t>
      </w:r>
      <w:r>
        <w:rPr>
          <w:rFonts w:hint="eastAsia" w:cs="仿宋"/>
          <w:sz w:val="24"/>
          <w:szCs w:val="24"/>
          <w:highlight w:val="none"/>
          <w:u w:val="single"/>
          <w:lang w:val="en-US" w:eastAsia="zh-CN"/>
        </w:rPr>
        <w:t xml:space="preserve">                        </w:t>
      </w:r>
    </w:p>
    <w:p w14:paraId="52C8078B">
      <w:pPr>
        <w:spacing w:line="360" w:lineRule="auto"/>
        <w:textAlignment w:val="baseline"/>
        <w:rPr>
          <w:rFonts w:hint="eastAsia" w:ascii="宋体" w:hAnsi="宋体" w:cs="仿宋"/>
          <w:sz w:val="24"/>
          <w:highlight w:val="none"/>
        </w:rPr>
      </w:pPr>
    </w:p>
    <w:p w14:paraId="011A3733">
      <w:pPr>
        <w:spacing w:line="360" w:lineRule="auto"/>
        <w:textAlignment w:val="baseline"/>
        <w:rPr>
          <w:rFonts w:hint="eastAsia" w:ascii="宋体" w:hAnsi="宋体" w:cs="仿宋"/>
          <w:sz w:val="24"/>
          <w:highlight w:val="none"/>
        </w:rPr>
      </w:pPr>
    </w:p>
    <w:p w14:paraId="0225DBB7">
      <w:pPr>
        <w:spacing w:line="360" w:lineRule="auto"/>
        <w:textAlignment w:val="baseline"/>
        <w:rPr>
          <w:rFonts w:hint="eastAsia" w:ascii="宋体" w:hAnsi="宋体" w:cs="仿宋"/>
          <w:sz w:val="24"/>
          <w:highlight w:val="none"/>
        </w:rPr>
      </w:pPr>
    </w:p>
    <w:p w14:paraId="53F1EF88">
      <w:pPr>
        <w:spacing w:line="360" w:lineRule="auto"/>
        <w:textAlignment w:val="baseline"/>
        <w:rPr>
          <w:rFonts w:ascii="宋体" w:hAnsi="宋体" w:cs="仿宋"/>
          <w:sz w:val="24"/>
          <w:highlight w:val="none"/>
          <w:u w:val="single"/>
        </w:rPr>
      </w:pPr>
      <w:r>
        <w:rPr>
          <w:rFonts w:hint="eastAsia" w:ascii="宋体" w:hAnsi="宋体" w:cs="仿宋"/>
          <w:sz w:val="24"/>
          <w:highlight w:val="none"/>
          <w:u w:val="single"/>
        </w:rPr>
        <w:t>按工程量清单报价</w:t>
      </w:r>
    </w:p>
    <w:p w14:paraId="15EDC2BA">
      <w:pPr>
        <w:pStyle w:val="4"/>
        <w:rPr>
          <w:highlight w:val="none"/>
        </w:rPr>
      </w:pPr>
    </w:p>
    <w:p w14:paraId="1CC6F7C7">
      <w:pPr>
        <w:spacing w:line="360" w:lineRule="auto"/>
        <w:textAlignment w:val="baseline"/>
        <w:rPr>
          <w:rFonts w:ascii="宋体" w:hAnsi="宋体" w:cs="仿宋"/>
          <w:sz w:val="24"/>
          <w:highlight w:val="none"/>
          <w:u w:val="single"/>
        </w:rPr>
      </w:pPr>
      <w:r>
        <w:rPr>
          <w:rFonts w:hint="eastAsia" w:ascii="宋体" w:hAnsi="宋体" w:cs="仿宋"/>
          <w:sz w:val="24"/>
          <w:highlight w:val="none"/>
        </w:rPr>
        <w:t>供应商全称（盖章）：</w:t>
      </w:r>
    </w:p>
    <w:p w14:paraId="794FF76D">
      <w:pPr>
        <w:spacing w:line="360" w:lineRule="auto"/>
        <w:textAlignment w:val="baseline"/>
        <w:rPr>
          <w:rFonts w:ascii="宋体" w:hAnsi="宋体" w:cs="仿宋"/>
          <w:sz w:val="24"/>
          <w:highlight w:val="none"/>
        </w:rPr>
      </w:pPr>
      <w:r>
        <w:rPr>
          <w:rFonts w:hint="eastAsia" w:ascii="宋体" w:hAnsi="宋体" w:cs="仿宋"/>
          <w:sz w:val="24"/>
          <w:highlight w:val="none"/>
        </w:rPr>
        <w:t xml:space="preserve">法定代表人或者授权代表（签字或盖章）：                 </w:t>
      </w:r>
    </w:p>
    <w:p w14:paraId="303830BF">
      <w:pPr>
        <w:spacing w:line="360" w:lineRule="auto"/>
        <w:jc w:val="right"/>
        <w:textAlignment w:val="baseline"/>
        <w:rPr>
          <w:rFonts w:ascii="宋体" w:hAnsi="宋体" w:cs="仿宋"/>
          <w:sz w:val="24"/>
          <w:highlight w:val="none"/>
        </w:rPr>
      </w:pPr>
      <w:r>
        <w:rPr>
          <w:rFonts w:hint="eastAsia" w:ascii="宋体" w:hAnsi="宋体" w:cs="仿宋"/>
          <w:sz w:val="24"/>
          <w:highlight w:val="none"/>
        </w:rPr>
        <w:t>日期：    年   月    日</w:t>
      </w:r>
    </w:p>
    <w:p w14:paraId="3FEC9E7D">
      <w:pPr>
        <w:textAlignment w:val="baseline"/>
        <w:rPr>
          <w:rFonts w:ascii="宋体" w:hAnsi="宋体" w:cs="仿宋"/>
          <w:sz w:val="24"/>
          <w:highlight w:val="none"/>
        </w:rPr>
      </w:pPr>
    </w:p>
    <w:p w14:paraId="3B13EA7F">
      <w:pPr>
        <w:pStyle w:val="22"/>
        <w:ind w:firstLine="480"/>
        <w:textAlignment w:val="baseline"/>
        <w:rPr>
          <w:rFonts w:hint="eastAsia" w:ascii="宋体" w:hAnsi="宋体" w:cs="仿宋"/>
          <w:sz w:val="24"/>
          <w:highlight w:val="none"/>
        </w:rPr>
      </w:pPr>
      <w:r>
        <w:rPr>
          <w:rFonts w:hint="eastAsia" w:ascii="宋体" w:hAnsi="宋体" w:cs="仿宋"/>
          <w:sz w:val="24"/>
          <w:highlight w:val="none"/>
        </w:rPr>
        <w:t>注：</w:t>
      </w:r>
    </w:p>
    <w:p w14:paraId="30EC2EDC">
      <w:pPr>
        <w:pStyle w:val="22"/>
        <w:ind w:firstLine="480"/>
        <w:textAlignment w:val="baseline"/>
        <w:rPr>
          <w:rFonts w:hint="eastAsia" w:ascii="宋体" w:hAnsi="宋体" w:cs="仿宋"/>
          <w:sz w:val="24"/>
          <w:highlight w:val="none"/>
        </w:rPr>
      </w:pPr>
      <w:r>
        <w:rPr>
          <w:rFonts w:hint="eastAsia" w:ascii="宋体" w:hAnsi="宋体" w:cs="仿宋"/>
          <w:sz w:val="24"/>
          <w:highlight w:val="none"/>
        </w:rPr>
        <w:t>1、如果按单价计算的结果与总价不一致，以总价为准。</w:t>
      </w:r>
    </w:p>
    <w:p w14:paraId="29E417D5">
      <w:pPr>
        <w:pStyle w:val="22"/>
        <w:ind w:firstLine="480"/>
        <w:textAlignment w:val="baseline"/>
        <w:rPr>
          <w:rFonts w:hint="eastAsia" w:ascii="宋体" w:hAnsi="宋体" w:cs="仿宋"/>
          <w:sz w:val="24"/>
          <w:highlight w:val="none"/>
        </w:rPr>
      </w:pPr>
      <w:r>
        <w:rPr>
          <w:rFonts w:hint="eastAsia" w:ascii="宋体" w:hAnsi="宋体" w:cs="仿宋"/>
          <w:sz w:val="24"/>
          <w:highlight w:val="none"/>
        </w:rPr>
        <w:t>2、如果不提供详细分项报价将视为没有实质性响应。</w:t>
      </w:r>
    </w:p>
    <w:p w14:paraId="18D2388A">
      <w:pPr>
        <w:pStyle w:val="22"/>
        <w:ind w:firstLine="480"/>
        <w:textAlignment w:val="baseline"/>
        <w:rPr>
          <w:rFonts w:hint="eastAsia" w:ascii="宋体" w:hAnsi="宋体" w:cs="仿宋"/>
          <w:sz w:val="24"/>
          <w:highlight w:val="none"/>
        </w:rPr>
      </w:pPr>
      <w:r>
        <w:rPr>
          <w:rFonts w:hint="eastAsia" w:ascii="宋体" w:hAnsi="宋体" w:cs="仿宋"/>
          <w:sz w:val="24"/>
          <w:highlight w:val="none"/>
        </w:rPr>
        <w:t>3、供应商对以上数据的真实性负责。</w:t>
      </w:r>
    </w:p>
    <w:p w14:paraId="01AE2C9D">
      <w:pPr>
        <w:rPr>
          <w:highlight w:val="none"/>
        </w:rPr>
      </w:pPr>
    </w:p>
    <w:p w14:paraId="5A99B280">
      <w:pPr>
        <w:textAlignment w:val="baseline"/>
        <w:rPr>
          <w:rFonts w:ascii="宋体" w:hAnsi="宋体" w:cs="仿宋"/>
          <w:sz w:val="24"/>
          <w:highlight w:val="none"/>
        </w:rPr>
      </w:pPr>
    </w:p>
    <w:p w14:paraId="4B1A9486">
      <w:pPr>
        <w:pStyle w:val="22"/>
        <w:ind w:firstLine="480"/>
        <w:textAlignment w:val="baseline"/>
        <w:rPr>
          <w:rFonts w:ascii="宋体" w:hAnsi="宋体" w:cs="仿宋"/>
          <w:sz w:val="24"/>
          <w:highlight w:val="none"/>
        </w:rPr>
      </w:pPr>
    </w:p>
    <w:p w14:paraId="1B9F656D">
      <w:pPr>
        <w:textAlignment w:val="baseline"/>
        <w:rPr>
          <w:rFonts w:ascii="宋体" w:hAnsi="宋体" w:cs="仿宋"/>
          <w:sz w:val="24"/>
          <w:highlight w:val="none"/>
        </w:rPr>
      </w:pPr>
    </w:p>
    <w:p w14:paraId="7C112848">
      <w:pPr>
        <w:pStyle w:val="22"/>
        <w:ind w:firstLine="480"/>
        <w:textAlignment w:val="baseline"/>
        <w:rPr>
          <w:rFonts w:ascii="宋体" w:hAnsi="宋体" w:cs="仿宋"/>
          <w:sz w:val="24"/>
          <w:highlight w:val="none"/>
        </w:rPr>
      </w:pPr>
    </w:p>
    <w:p w14:paraId="49D31B10">
      <w:pPr>
        <w:textAlignment w:val="baseline"/>
        <w:rPr>
          <w:rFonts w:ascii="宋体" w:hAnsi="宋体" w:cs="仿宋"/>
          <w:sz w:val="24"/>
          <w:highlight w:val="none"/>
        </w:rPr>
      </w:pPr>
    </w:p>
    <w:p w14:paraId="0290DA30">
      <w:pPr>
        <w:pStyle w:val="35"/>
        <w:pageBreakBefore/>
        <w:numPr>
          <w:ilvl w:val="0"/>
          <w:numId w:val="16"/>
        </w:numPr>
        <w:spacing w:line="360" w:lineRule="auto"/>
        <w:ind w:left="0"/>
        <w:jc w:val="center"/>
        <w:textAlignment w:val="baseline"/>
        <w:rPr>
          <w:rFonts w:ascii="宋体" w:hAnsi="宋体" w:cs="仿宋"/>
          <w:sz w:val="32"/>
          <w:szCs w:val="32"/>
          <w:highlight w:val="none"/>
        </w:rPr>
      </w:pPr>
      <w:bookmarkStart w:id="612" w:name="_Toc4938"/>
      <w:bookmarkStart w:id="613" w:name="_Toc31836"/>
      <w:bookmarkStart w:id="614" w:name="_Toc9332"/>
      <w:r>
        <w:rPr>
          <w:rFonts w:hint="eastAsia" w:ascii="宋体" w:hAnsi="宋体" w:cs="仿宋"/>
          <w:sz w:val="32"/>
          <w:szCs w:val="32"/>
          <w:highlight w:val="none"/>
        </w:rPr>
        <w:t>商务要求响应表</w:t>
      </w:r>
      <w:bookmarkEnd w:id="612"/>
      <w:bookmarkEnd w:id="613"/>
      <w:bookmarkEnd w:id="614"/>
    </w:p>
    <w:p w14:paraId="4399B328">
      <w:pPr>
        <w:textAlignment w:val="baseline"/>
        <w:rPr>
          <w:rFonts w:ascii="宋体" w:hAnsi="宋体" w:cs="仿宋"/>
          <w:highlight w:val="none"/>
        </w:rPr>
      </w:pPr>
    </w:p>
    <w:tbl>
      <w:tblPr>
        <w:tblStyle w:val="23"/>
        <w:tblW w:w="102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1688"/>
        <w:gridCol w:w="4452"/>
        <w:gridCol w:w="1600"/>
        <w:gridCol w:w="1800"/>
      </w:tblGrid>
      <w:tr w14:paraId="0B082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3766DC">
            <w:pPr>
              <w:widowControl/>
              <w:spacing w:line="360" w:lineRule="auto"/>
              <w:jc w:val="left"/>
              <w:textAlignment w:val="center"/>
              <w:rPr>
                <w:rFonts w:ascii="宋体" w:hAnsi="宋体" w:cs="仿宋"/>
                <w:sz w:val="22"/>
                <w:szCs w:val="22"/>
                <w:highlight w:val="none"/>
              </w:rPr>
            </w:pPr>
            <w:r>
              <w:rPr>
                <w:rFonts w:hint="eastAsia" w:ascii="宋体" w:hAnsi="宋体" w:cs="仿宋"/>
                <w:sz w:val="22"/>
                <w:szCs w:val="22"/>
                <w:highlight w:val="none"/>
              </w:rPr>
              <w:t>序号</w:t>
            </w:r>
          </w:p>
        </w:tc>
        <w:tc>
          <w:tcPr>
            <w:tcW w:w="1688" w:type="dxa"/>
            <w:tcBorders>
              <w:top w:val="single" w:color="auto" w:sz="4" w:space="0"/>
              <w:left w:val="single" w:color="auto" w:sz="4" w:space="0"/>
              <w:bottom w:val="single" w:color="auto" w:sz="4" w:space="0"/>
              <w:right w:val="single" w:color="auto" w:sz="4" w:space="0"/>
            </w:tcBorders>
            <w:vAlign w:val="center"/>
          </w:tcPr>
          <w:p w14:paraId="11D287B2">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商务要求条目</w:t>
            </w:r>
          </w:p>
        </w:tc>
        <w:tc>
          <w:tcPr>
            <w:tcW w:w="4452" w:type="dxa"/>
            <w:tcBorders>
              <w:top w:val="single" w:color="auto" w:sz="4" w:space="0"/>
              <w:left w:val="single" w:color="auto" w:sz="4" w:space="0"/>
              <w:bottom w:val="single" w:color="auto" w:sz="4" w:space="0"/>
              <w:right w:val="single" w:color="auto" w:sz="4" w:space="0"/>
            </w:tcBorders>
            <w:vAlign w:val="center"/>
          </w:tcPr>
          <w:p w14:paraId="5ADF94C0">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磋商文件中的</w:t>
            </w:r>
          </w:p>
          <w:p w14:paraId="33C0D634">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商务要求</w:t>
            </w:r>
          </w:p>
        </w:tc>
        <w:tc>
          <w:tcPr>
            <w:tcW w:w="1600" w:type="dxa"/>
            <w:tcBorders>
              <w:top w:val="single" w:color="auto" w:sz="4" w:space="0"/>
              <w:left w:val="single" w:color="auto" w:sz="4" w:space="0"/>
              <w:bottom w:val="single" w:color="auto" w:sz="4" w:space="0"/>
              <w:right w:val="single" w:color="auto" w:sz="4" w:space="0"/>
            </w:tcBorders>
            <w:vAlign w:val="center"/>
          </w:tcPr>
          <w:p w14:paraId="1065547A">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响应供应商的承诺或说明</w:t>
            </w:r>
          </w:p>
        </w:tc>
        <w:tc>
          <w:tcPr>
            <w:tcW w:w="1800" w:type="dxa"/>
            <w:tcBorders>
              <w:top w:val="single" w:color="auto" w:sz="4" w:space="0"/>
              <w:left w:val="single" w:color="auto" w:sz="4" w:space="0"/>
              <w:bottom w:val="single" w:color="auto" w:sz="4" w:space="0"/>
              <w:right w:val="single" w:color="auto" w:sz="4" w:space="0"/>
            </w:tcBorders>
            <w:vAlign w:val="center"/>
          </w:tcPr>
          <w:p w14:paraId="437CB778">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偏离情况（正偏离+/无偏离=/负偏离-）</w:t>
            </w:r>
          </w:p>
        </w:tc>
      </w:tr>
      <w:tr w14:paraId="74EBC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709E93">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1</w:t>
            </w:r>
          </w:p>
        </w:tc>
        <w:tc>
          <w:tcPr>
            <w:tcW w:w="1688" w:type="dxa"/>
            <w:tcBorders>
              <w:top w:val="single" w:color="auto" w:sz="4" w:space="0"/>
              <w:left w:val="single" w:color="auto" w:sz="4" w:space="0"/>
              <w:bottom w:val="single" w:color="auto" w:sz="4" w:space="0"/>
              <w:right w:val="single" w:color="auto" w:sz="4" w:space="0"/>
            </w:tcBorders>
            <w:vAlign w:val="center"/>
          </w:tcPr>
          <w:p w14:paraId="697ACADC">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75B2737C">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0A72FEF4">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7963AB7">
            <w:pPr>
              <w:widowControl/>
              <w:spacing w:line="360" w:lineRule="auto"/>
              <w:jc w:val="left"/>
              <w:textAlignment w:val="center"/>
              <w:rPr>
                <w:rFonts w:ascii="宋体" w:hAnsi="宋体" w:cs="仿宋"/>
                <w:sz w:val="22"/>
                <w:szCs w:val="22"/>
                <w:highlight w:val="none"/>
              </w:rPr>
            </w:pPr>
          </w:p>
        </w:tc>
      </w:tr>
      <w:tr w14:paraId="07877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BFB56">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2</w:t>
            </w:r>
          </w:p>
        </w:tc>
        <w:tc>
          <w:tcPr>
            <w:tcW w:w="1688" w:type="dxa"/>
            <w:tcBorders>
              <w:top w:val="single" w:color="auto" w:sz="4" w:space="0"/>
              <w:left w:val="single" w:color="auto" w:sz="4" w:space="0"/>
              <w:bottom w:val="single" w:color="auto" w:sz="4" w:space="0"/>
              <w:right w:val="single" w:color="auto" w:sz="4" w:space="0"/>
            </w:tcBorders>
            <w:vAlign w:val="center"/>
          </w:tcPr>
          <w:p w14:paraId="156FE1C4">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7199763C">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59D8E3C5">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77EBD1F">
            <w:pPr>
              <w:widowControl/>
              <w:spacing w:line="360" w:lineRule="auto"/>
              <w:jc w:val="left"/>
              <w:textAlignment w:val="center"/>
              <w:rPr>
                <w:rFonts w:ascii="宋体" w:hAnsi="宋体" w:cs="仿宋"/>
                <w:sz w:val="22"/>
                <w:szCs w:val="22"/>
                <w:highlight w:val="none"/>
              </w:rPr>
            </w:pPr>
          </w:p>
        </w:tc>
      </w:tr>
      <w:tr w14:paraId="14E73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A97A23">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3</w:t>
            </w:r>
          </w:p>
        </w:tc>
        <w:tc>
          <w:tcPr>
            <w:tcW w:w="1688" w:type="dxa"/>
            <w:tcBorders>
              <w:top w:val="single" w:color="auto" w:sz="4" w:space="0"/>
              <w:left w:val="single" w:color="auto" w:sz="4" w:space="0"/>
              <w:bottom w:val="single" w:color="auto" w:sz="4" w:space="0"/>
              <w:right w:val="single" w:color="auto" w:sz="4" w:space="0"/>
            </w:tcBorders>
            <w:vAlign w:val="center"/>
          </w:tcPr>
          <w:p w14:paraId="18054BF5">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364190EC">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6483ADCE">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6F4528C">
            <w:pPr>
              <w:widowControl/>
              <w:spacing w:line="360" w:lineRule="auto"/>
              <w:jc w:val="left"/>
              <w:textAlignment w:val="center"/>
              <w:rPr>
                <w:rFonts w:ascii="宋体" w:hAnsi="宋体" w:cs="仿宋"/>
                <w:sz w:val="22"/>
                <w:szCs w:val="22"/>
                <w:highlight w:val="none"/>
              </w:rPr>
            </w:pPr>
          </w:p>
        </w:tc>
      </w:tr>
      <w:tr w14:paraId="66FE3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E2F362D">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4</w:t>
            </w:r>
          </w:p>
        </w:tc>
        <w:tc>
          <w:tcPr>
            <w:tcW w:w="1688" w:type="dxa"/>
            <w:tcBorders>
              <w:top w:val="single" w:color="auto" w:sz="4" w:space="0"/>
              <w:left w:val="single" w:color="auto" w:sz="4" w:space="0"/>
              <w:bottom w:val="single" w:color="auto" w:sz="4" w:space="0"/>
              <w:right w:val="single" w:color="auto" w:sz="4" w:space="0"/>
            </w:tcBorders>
            <w:vAlign w:val="center"/>
          </w:tcPr>
          <w:p w14:paraId="5A0F6FAE">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5AB2617A">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E870611">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4C6A082">
            <w:pPr>
              <w:widowControl/>
              <w:spacing w:line="360" w:lineRule="auto"/>
              <w:jc w:val="left"/>
              <w:textAlignment w:val="center"/>
              <w:rPr>
                <w:rFonts w:ascii="宋体" w:hAnsi="宋体" w:cs="仿宋"/>
                <w:sz w:val="22"/>
                <w:szCs w:val="22"/>
                <w:highlight w:val="none"/>
              </w:rPr>
            </w:pPr>
          </w:p>
        </w:tc>
      </w:tr>
      <w:tr w14:paraId="62AB9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B323CC">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5</w:t>
            </w:r>
          </w:p>
        </w:tc>
        <w:tc>
          <w:tcPr>
            <w:tcW w:w="1688" w:type="dxa"/>
            <w:tcBorders>
              <w:top w:val="single" w:color="auto" w:sz="4" w:space="0"/>
              <w:left w:val="single" w:color="auto" w:sz="4" w:space="0"/>
              <w:bottom w:val="single" w:color="auto" w:sz="4" w:space="0"/>
              <w:right w:val="single" w:color="auto" w:sz="4" w:space="0"/>
            </w:tcBorders>
            <w:vAlign w:val="center"/>
          </w:tcPr>
          <w:p w14:paraId="69FA2AB6">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716C5CA3">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480966A8">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9762D3A">
            <w:pPr>
              <w:widowControl/>
              <w:spacing w:line="360" w:lineRule="auto"/>
              <w:jc w:val="left"/>
              <w:textAlignment w:val="center"/>
              <w:rPr>
                <w:rFonts w:ascii="宋体" w:hAnsi="宋体" w:cs="仿宋"/>
                <w:sz w:val="22"/>
                <w:szCs w:val="22"/>
                <w:highlight w:val="none"/>
              </w:rPr>
            </w:pPr>
          </w:p>
        </w:tc>
      </w:tr>
      <w:tr w14:paraId="1EBE2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FD768B3">
            <w:pPr>
              <w:widowControl/>
              <w:spacing w:line="360" w:lineRule="auto"/>
              <w:jc w:val="center"/>
              <w:textAlignment w:val="center"/>
              <w:rPr>
                <w:rFonts w:ascii="宋体" w:hAnsi="宋体" w:cs="仿宋"/>
                <w:sz w:val="22"/>
                <w:szCs w:val="22"/>
                <w:highlight w:val="none"/>
              </w:rPr>
            </w:pPr>
            <w:r>
              <w:rPr>
                <w:rFonts w:hint="eastAsia" w:ascii="宋体" w:hAnsi="宋体" w:cs="仿宋"/>
                <w:sz w:val="22"/>
                <w:szCs w:val="22"/>
                <w:highlight w:val="none"/>
              </w:rPr>
              <w:t>6</w:t>
            </w:r>
          </w:p>
        </w:tc>
        <w:tc>
          <w:tcPr>
            <w:tcW w:w="1688" w:type="dxa"/>
            <w:tcBorders>
              <w:top w:val="single" w:color="auto" w:sz="4" w:space="0"/>
              <w:left w:val="single" w:color="auto" w:sz="4" w:space="0"/>
              <w:bottom w:val="single" w:color="auto" w:sz="4" w:space="0"/>
              <w:right w:val="single" w:color="auto" w:sz="4" w:space="0"/>
            </w:tcBorders>
            <w:vAlign w:val="center"/>
          </w:tcPr>
          <w:p w14:paraId="3E2AD808">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29ED32BC">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644E2CB3">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2A350DC">
            <w:pPr>
              <w:widowControl/>
              <w:spacing w:line="360" w:lineRule="auto"/>
              <w:jc w:val="left"/>
              <w:textAlignment w:val="center"/>
              <w:rPr>
                <w:rFonts w:ascii="宋体" w:hAnsi="宋体" w:cs="仿宋"/>
                <w:sz w:val="22"/>
                <w:szCs w:val="22"/>
                <w:highlight w:val="none"/>
              </w:rPr>
            </w:pPr>
          </w:p>
        </w:tc>
      </w:tr>
      <w:tr w14:paraId="596D1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3F764C0">
            <w:pPr>
              <w:widowControl/>
              <w:spacing w:line="360" w:lineRule="auto"/>
              <w:jc w:val="center"/>
              <w:textAlignment w:val="center"/>
              <w:rPr>
                <w:rFonts w:ascii="宋体" w:hAnsi="宋体" w:cs="仿宋"/>
                <w:sz w:val="22"/>
                <w:szCs w:val="22"/>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427F8F5F">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785A724C">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707C5861">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CB3BB42">
            <w:pPr>
              <w:widowControl/>
              <w:spacing w:line="360" w:lineRule="auto"/>
              <w:jc w:val="left"/>
              <w:textAlignment w:val="center"/>
              <w:rPr>
                <w:rFonts w:ascii="宋体" w:hAnsi="宋体" w:cs="仿宋"/>
                <w:sz w:val="22"/>
                <w:szCs w:val="22"/>
                <w:highlight w:val="none"/>
              </w:rPr>
            </w:pPr>
          </w:p>
        </w:tc>
      </w:tr>
      <w:tr w14:paraId="4CB54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8D5C90">
            <w:pPr>
              <w:widowControl/>
              <w:spacing w:line="360" w:lineRule="auto"/>
              <w:jc w:val="left"/>
              <w:textAlignment w:val="center"/>
              <w:rPr>
                <w:rFonts w:ascii="宋体" w:hAnsi="宋体" w:cs="仿宋"/>
                <w:sz w:val="22"/>
                <w:szCs w:val="22"/>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14:paraId="6A226329">
            <w:pPr>
              <w:widowControl/>
              <w:spacing w:line="360" w:lineRule="auto"/>
              <w:jc w:val="left"/>
              <w:textAlignment w:val="center"/>
              <w:rPr>
                <w:rFonts w:ascii="宋体" w:hAnsi="宋体" w:cs="仿宋"/>
                <w:sz w:val="22"/>
                <w:szCs w:val="22"/>
                <w:highlight w:val="none"/>
              </w:rPr>
            </w:pPr>
          </w:p>
        </w:tc>
        <w:tc>
          <w:tcPr>
            <w:tcW w:w="4452" w:type="dxa"/>
            <w:tcBorders>
              <w:top w:val="single" w:color="auto" w:sz="4" w:space="0"/>
              <w:left w:val="single" w:color="auto" w:sz="4" w:space="0"/>
              <w:bottom w:val="single" w:color="auto" w:sz="4" w:space="0"/>
              <w:right w:val="single" w:color="auto" w:sz="4" w:space="0"/>
            </w:tcBorders>
            <w:vAlign w:val="center"/>
          </w:tcPr>
          <w:p w14:paraId="5C570B81">
            <w:pPr>
              <w:widowControl/>
              <w:spacing w:line="360" w:lineRule="auto"/>
              <w:jc w:val="left"/>
              <w:textAlignment w:val="center"/>
              <w:rPr>
                <w:rFonts w:ascii="宋体" w:hAnsi="宋体" w:cs="仿宋"/>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B7623F4">
            <w:pPr>
              <w:widowControl/>
              <w:spacing w:line="360" w:lineRule="auto"/>
              <w:jc w:val="left"/>
              <w:textAlignment w:val="center"/>
              <w:rPr>
                <w:rFonts w:ascii="宋体" w:hAnsi="宋体" w:cs="仿宋"/>
                <w:sz w:val="22"/>
                <w:szCs w:val="22"/>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00DD536A">
            <w:pPr>
              <w:widowControl/>
              <w:spacing w:line="360" w:lineRule="auto"/>
              <w:jc w:val="left"/>
              <w:textAlignment w:val="center"/>
              <w:rPr>
                <w:rFonts w:ascii="宋体" w:hAnsi="宋体" w:cs="仿宋"/>
                <w:sz w:val="22"/>
                <w:szCs w:val="22"/>
                <w:highlight w:val="none"/>
              </w:rPr>
            </w:pPr>
          </w:p>
        </w:tc>
      </w:tr>
    </w:tbl>
    <w:p w14:paraId="37D2E054">
      <w:pPr>
        <w:tabs>
          <w:tab w:val="left" w:pos="142"/>
        </w:tabs>
        <w:spacing w:line="360" w:lineRule="auto"/>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供应商名称（加盖公章）：</w:t>
      </w:r>
    </w:p>
    <w:p w14:paraId="181D858B">
      <w:pPr>
        <w:tabs>
          <w:tab w:val="left" w:pos="142"/>
        </w:tabs>
        <w:spacing w:line="360" w:lineRule="auto"/>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法定代表人（授权代表）签章：</w:t>
      </w:r>
    </w:p>
    <w:p w14:paraId="66F218F5">
      <w:pPr>
        <w:tabs>
          <w:tab w:val="left" w:pos="142"/>
        </w:tabs>
        <w:spacing w:line="360" w:lineRule="auto"/>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日期：    年    月    日</w:t>
      </w:r>
    </w:p>
    <w:p w14:paraId="2AF89718">
      <w:pPr>
        <w:tabs>
          <w:tab w:val="left" w:pos="142"/>
        </w:tabs>
        <w:spacing w:line="360" w:lineRule="auto"/>
        <w:ind w:firstLine="480" w:firstLineChars="200"/>
        <w:jc w:val="left"/>
        <w:textAlignment w:val="baseline"/>
        <w:rPr>
          <w:rFonts w:ascii="宋体" w:hAnsi="宋体" w:cs="仿宋"/>
          <w:sz w:val="24"/>
          <w:szCs w:val="24"/>
          <w:highlight w:val="none"/>
        </w:rPr>
      </w:pPr>
    </w:p>
    <w:p w14:paraId="248F9A28">
      <w:pPr>
        <w:spacing w:line="360" w:lineRule="auto"/>
        <w:textAlignment w:val="baseline"/>
        <w:rPr>
          <w:rFonts w:ascii="宋体" w:hAnsi="宋体" w:cs="仿宋"/>
          <w:sz w:val="24"/>
          <w:highlight w:val="none"/>
        </w:rPr>
      </w:pPr>
      <w:r>
        <w:rPr>
          <w:rFonts w:hint="eastAsia" w:ascii="宋体" w:hAnsi="宋体" w:cs="仿宋"/>
          <w:sz w:val="24"/>
          <w:highlight w:val="none"/>
        </w:rPr>
        <w:t>填写说明：</w:t>
      </w:r>
    </w:p>
    <w:p w14:paraId="4F3968ED">
      <w:pPr>
        <w:spacing w:line="360" w:lineRule="auto"/>
        <w:textAlignment w:val="baseline"/>
        <w:rPr>
          <w:rFonts w:ascii="宋体" w:hAnsi="宋体" w:cs="仿宋"/>
          <w:sz w:val="24"/>
          <w:highlight w:val="none"/>
        </w:rPr>
      </w:pPr>
      <w:r>
        <w:rPr>
          <w:rFonts w:hint="eastAsia" w:ascii="宋体" w:hAnsi="宋体" w:cs="仿宋"/>
          <w:sz w:val="20"/>
          <w:highlight w:val="none"/>
        </w:rPr>
        <w:fldChar w:fldCharType="begin"/>
      </w:r>
      <w:r>
        <w:rPr>
          <w:rFonts w:hint="eastAsia" w:ascii="宋体" w:hAnsi="宋体" w:cs="仿宋"/>
          <w:sz w:val="20"/>
          <w:highlight w:val="none"/>
        </w:rPr>
        <w:instrText xml:space="preserve">= 1 \* GB3</w:instrText>
      </w:r>
      <w:r>
        <w:rPr>
          <w:rFonts w:hint="eastAsia" w:ascii="宋体" w:hAnsi="宋体" w:cs="仿宋"/>
          <w:sz w:val="20"/>
          <w:highlight w:val="none"/>
        </w:rPr>
        <w:fldChar w:fldCharType="separate"/>
      </w:r>
      <w:r>
        <w:rPr>
          <w:rFonts w:hint="eastAsia" w:ascii="宋体" w:hAnsi="宋体" w:cs="仿宋"/>
          <w:sz w:val="24"/>
          <w:highlight w:val="none"/>
        </w:rPr>
        <w:t>①</w:t>
      </w:r>
      <w:r>
        <w:rPr>
          <w:rFonts w:hint="eastAsia" w:ascii="宋体" w:hAnsi="宋体" w:cs="仿宋"/>
          <w:sz w:val="20"/>
          <w:highlight w:val="none"/>
        </w:rPr>
        <w:fldChar w:fldCharType="end"/>
      </w:r>
      <w:r>
        <w:rPr>
          <w:rFonts w:hint="eastAsia" w:ascii="宋体" w:hAnsi="宋体" w:cs="仿宋"/>
          <w:sz w:val="24"/>
          <w:highlight w:val="none"/>
        </w:rPr>
        <w:t>此表为表样，行数可自行添加，但表式不变。</w:t>
      </w:r>
    </w:p>
    <w:p w14:paraId="719251E4">
      <w:pPr>
        <w:spacing w:line="360" w:lineRule="auto"/>
        <w:textAlignment w:val="baseline"/>
        <w:rPr>
          <w:rFonts w:ascii="宋体" w:hAnsi="宋体" w:cs="仿宋"/>
          <w:sz w:val="24"/>
          <w:highlight w:val="none"/>
        </w:rPr>
      </w:pPr>
      <w:r>
        <w:rPr>
          <w:rFonts w:hint="eastAsia" w:ascii="宋体" w:hAnsi="宋体" w:cs="仿宋"/>
          <w:sz w:val="20"/>
          <w:highlight w:val="none"/>
        </w:rPr>
        <w:fldChar w:fldCharType="begin"/>
      </w:r>
      <w:r>
        <w:rPr>
          <w:rFonts w:hint="eastAsia" w:ascii="宋体" w:hAnsi="宋体" w:cs="仿宋"/>
          <w:sz w:val="20"/>
          <w:highlight w:val="none"/>
        </w:rPr>
        <w:instrText xml:space="preserve">= 2 \* GB3</w:instrText>
      </w:r>
      <w:r>
        <w:rPr>
          <w:rFonts w:hint="eastAsia" w:ascii="宋体" w:hAnsi="宋体" w:cs="仿宋"/>
          <w:sz w:val="20"/>
          <w:highlight w:val="none"/>
        </w:rPr>
        <w:fldChar w:fldCharType="separate"/>
      </w:r>
      <w:r>
        <w:rPr>
          <w:rFonts w:hint="eastAsia" w:ascii="宋体" w:hAnsi="宋体" w:cs="仿宋"/>
          <w:sz w:val="24"/>
          <w:highlight w:val="none"/>
        </w:rPr>
        <w:t>②</w:t>
      </w:r>
      <w:r>
        <w:rPr>
          <w:rFonts w:hint="eastAsia" w:ascii="宋体" w:hAnsi="宋体" w:cs="仿宋"/>
          <w:sz w:val="20"/>
          <w:highlight w:val="none"/>
        </w:rPr>
        <w:fldChar w:fldCharType="end"/>
      </w:r>
      <w:r>
        <w:rPr>
          <w:rFonts w:hint="eastAsia" w:ascii="宋体" w:hAnsi="宋体" w:cs="仿宋"/>
          <w:sz w:val="24"/>
          <w:highlight w:val="none"/>
        </w:rPr>
        <w:t>是否偏离用符号“+、-”分别表示正偏离、负偏离。</w:t>
      </w:r>
    </w:p>
    <w:p w14:paraId="36614F7D">
      <w:pPr>
        <w:spacing w:line="360" w:lineRule="auto"/>
        <w:textAlignment w:val="baseline"/>
        <w:rPr>
          <w:rFonts w:ascii="宋体" w:hAnsi="宋体" w:cs="仿宋"/>
          <w:sz w:val="24"/>
          <w:highlight w:val="none"/>
        </w:rPr>
      </w:pPr>
      <w:r>
        <w:rPr>
          <w:rFonts w:hint="eastAsia" w:ascii="宋体" w:hAnsi="宋体" w:cs="仿宋"/>
          <w:sz w:val="20"/>
          <w:highlight w:val="none"/>
        </w:rPr>
        <w:fldChar w:fldCharType="begin"/>
      </w:r>
      <w:r>
        <w:rPr>
          <w:rFonts w:hint="eastAsia" w:ascii="宋体" w:hAnsi="宋体" w:cs="仿宋"/>
          <w:sz w:val="20"/>
          <w:highlight w:val="none"/>
        </w:rPr>
        <w:instrText xml:space="preserve">= 3 \* GB3</w:instrText>
      </w:r>
      <w:r>
        <w:rPr>
          <w:rFonts w:hint="eastAsia" w:ascii="宋体" w:hAnsi="宋体" w:cs="仿宋"/>
          <w:sz w:val="20"/>
          <w:highlight w:val="none"/>
        </w:rPr>
        <w:fldChar w:fldCharType="separate"/>
      </w:r>
      <w:r>
        <w:rPr>
          <w:rFonts w:hint="eastAsia" w:ascii="宋体" w:hAnsi="宋体" w:cs="仿宋"/>
          <w:sz w:val="24"/>
          <w:highlight w:val="none"/>
        </w:rPr>
        <w:t>③</w:t>
      </w:r>
      <w:r>
        <w:rPr>
          <w:rFonts w:hint="eastAsia" w:ascii="宋体" w:hAnsi="宋体" w:cs="仿宋"/>
          <w:sz w:val="20"/>
          <w:highlight w:val="none"/>
        </w:rPr>
        <w:fldChar w:fldCharType="end"/>
      </w:r>
      <w:r>
        <w:rPr>
          <w:rFonts w:hint="eastAsia" w:ascii="宋体" w:hAnsi="宋体" w:cs="仿宋"/>
          <w:sz w:val="24"/>
          <w:highlight w:val="none"/>
        </w:rPr>
        <w:t>供应商须对磋商文件商务要求中的实质性要求做出明确响应，否则视为无效响应。</w:t>
      </w:r>
    </w:p>
    <w:p w14:paraId="4D4F7E52">
      <w:pPr>
        <w:spacing w:line="360" w:lineRule="auto"/>
        <w:textAlignment w:val="baseline"/>
        <w:rPr>
          <w:rFonts w:ascii="宋体" w:hAnsi="宋体" w:cs="仿宋"/>
          <w:highlight w:val="none"/>
        </w:rPr>
      </w:pPr>
      <w:r>
        <w:rPr>
          <w:rFonts w:ascii="宋体" w:hAnsi="宋体"/>
          <w:sz w:val="20"/>
          <w:highlight w:val="none"/>
        </w:rPr>
        <w:br w:type="page"/>
      </w:r>
    </w:p>
    <w:p w14:paraId="45D29879">
      <w:pPr>
        <w:pStyle w:val="35"/>
        <w:pageBreakBefore/>
        <w:spacing w:line="360" w:lineRule="auto"/>
        <w:ind w:left="0" w:firstLine="0"/>
        <w:jc w:val="center"/>
        <w:textAlignment w:val="baseline"/>
        <w:rPr>
          <w:rFonts w:ascii="宋体" w:hAnsi="宋体" w:cs="仿宋"/>
          <w:sz w:val="32"/>
          <w:szCs w:val="32"/>
          <w:highlight w:val="none"/>
        </w:rPr>
      </w:pPr>
      <w:bookmarkStart w:id="615" w:name="_Toc12715"/>
      <w:bookmarkStart w:id="616" w:name="_Toc21063"/>
      <w:bookmarkStart w:id="617" w:name="_Toc2040"/>
      <w:r>
        <w:rPr>
          <w:rFonts w:hint="eastAsia" w:ascii="宋体" w:hAnsi="宋体" w:cs="仿宋"/>
          <w:sz w:val="32"/>
          <w:szCs w:val="32"/>
          <w:highlight w:val="none"/>
        </w:rPr>
        <w:t>五、技术要求响应表</w:t>
      </w:r>
      <w:bookmarkEnd w:id="615"/>
      <w:bookmarkEnd w:id="616"/>
      <w:bookmarkEnd w:id="617"/>
    </w:p>
    <w:p w14:paraId="2362B713">
      <w:pPr>
        <w:textAlignment w:val="baseline"/>
        <w:rPr>
          <w:rFonts w:ascii="宋体" w:hAnsi="宋体" w:cs="仿宋"/>
          <w:highlight w:val="none"/>
        </w:rPr>
      </w:pPr>
    </w:p>
    <w:tbl>
      <w:tblPr>
        <w:tblStyle w:val="23"/>
        <w:tblW w:w="97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268"/>
        <w:gridCol w:w="2551"/>
        <w:gridCol w:w="1985"/>
        <w:gridCol w:w="2385"/>
      </w:tblGrid>
      <w:tr w14:paraId="5062D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vAlign w:val="center"/>
          </w:tcPr>
          <w:p w14:paraId="3F37F1F0">
            <w:pPr>
              <w:widowControl/>
              <w:jc w:val="left"/>
              <w:textAlignment w:val="center"/>
              <w:rPr>
                <w:rFonts w:ascii="宋体" w:hAnsi="宋体" w:cs="仿宋"/>
                <w:sz w:val="22"/>
                <w:szCs w:val="22"/>
                <w:highlight w:val="none"/>
              </w:rPr>
            </w:pPr>
            <w:r>
              <w:rPr>
                <w:rFonts w:hint="eastAsia" w:ascii="宋体" w:hAnsi="宋体" w:cs="仿宋"/>
                <w:sz w:val="22"/>
                <w:szCs w:val="22"/>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4A13F286">
            <w:pPr>
              <w:widowControl/>
              <w:ind w:firstLine="440" w:firstLineChars="200"/>
              <w:jc w:val="left"/>
              <w:textAlignment w:val="center"/>
              <w:rPr>
                <w:rFonts w:ascii="宋体" w:hAnsi="宋体" w:cs="仿宋"/>
                <w:sz w:val="22"/>
                <w:szCs w:val="22"/>
                <w:highlight w:val="none"/>
              </w:rPr>
            </w:pPr>
            <w:r>
              <w:rPr>
                <w:rFonts w:hint="eastAsia" w:ascii="宋体" w:hAnsi="宋体" w:cs="仿宋"/>
                <w:sz w:val="22"/>
                <w:szCs w:val="22"/>
                <w:highlight w:val="none"/>
              </w:rPr>
              <w:t>技术需求条目</w:t>
            </w:r>
          </w:p>
        </w:tc>
        <w:tc>
          <w:tcPr>
            <w:tcW w:w="2551" w:type="dxa"/>
            <w:tcBorders>
              <w:top w:val="single" w:color="auto" w:sz="4" w:space="0"/>
              <w:left w:val="single" w:color="auto" w:sz="4" w:space="0"/>
              <w:bottom w:val="single" w:color="auto" w:sz="4" w:space="0"/>
              <w:right w:val="single" w:color="auto" w:sz="4" w:space="0"/>
            </w:tcBorders>
            <w:vAlign w:val="center"/>
          </w:tcPr>
          <w:p w14:paraId="2646FA5F">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采购文件中的</w:t>
            </w:r>
          </w:p>
          <w:p w14:paraId="5E119E10">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技术与服务要求</w:t>
            </w:r>
          </w:p>
        </w:tc>
        <w:tc>
          <w:tcPr>
            <w:tcW w:w="1985" w:type="dxa"/>
            <w:tcBorders>
              <w:top w:val="single" w:color="auto" w:sz="4" w:space="0"/>
              <w:left w:val="single" w:color="auto" w:sz="4" w:space="0"/>
              <w:bottom w:val="single" w:color="auto" w:sz="4" w:space="0"/>
              <w:right w:val="single" w:color="auto" w:sz="4" w:space="0"/>
            </w:tcBorders>
            <w:vAlign w:val="center"/>
          </w:tcPr>
          <w:p w14:paraId="153A4801">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供应商</w:t>
            </w:r>
          </w:p>
          <w:p w14:paraId="6C9A0853">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的承诺或说明</w:t>
            </w:r>
          </w:p>
        </w:tc>
        <w:tc>
          <w:tcPr>
            <w:tcW w:w="2385" w:type="dxa"/>
            <w:tcBorders>
              <w:top w:val="single" w:color="auto" w:sz="4" w:space="0"/>
              <w:left w:val="single" w:color="auto" w:sz="4" w:space="0"/>
              <w:bottom w:val="single" w:color="auto" w:sz="4" w:space="0"/>
              <w:right w:val="single" w:color="auto" w:sz="4" w:space="0"/>
            </w:tcBorders>
            <w:vAlign w:val="center"/>
          </w:tcPr>
          <w:p w14:paraId="737D6475">
            <w:pPr>
              <w:widowControl/>
              <w:jc w:val="center"/>
              <w:textAlignment w:val="center"/>
              <w:rPr>
                <w:rFonts w:ascii="宋体" w:hAnsi="宋体" w:cs="仿宋"/>
                <w:sz w:val="24"/>
                <w:szCs w:val="24"/>
                <w:highlight w:val="none"/>
              </w:rPr>
            </w:pPr>
            <w:r>
              <w:rPr>
                <w:rFonts w:hint="eastAsia" w:ascii="宋体" w:hAnsi="宋体" w:cs="仿宋"/>
                <w:sz w:val="24"/>
                <w:szCs w:val="24"/>
                <w:highlight w:val="none"/>
              </w:rPr>
              <w:t>偏离情况</w:t>
            </w:r>
          </w:p>
          <w:p w14:paraId="004E1C82">
            <w:pPr>
              <w:widowControl/>
              <w:jc w:val="center"/>
              <w:textAlignment w:val="center"/>
              <w:rPr>
                <w:rFonts w:ascii="宋体" w:hAnsi="宋体" w:cs="仿宋"/>
                <w:sz w:val="22"/>
                <w:szCs w:val="22"/>
                <w:highlight w:val="none"/>
              </w:rPr>
            </w:pPr>
            <w:r>
              <w:rPr>
                <w:rFonts w:hint="eastAsia" w:ascii="宋体" w:hAnsi="宋体" w:cs="仿宋"/>
                <w:sz w:val="24"/>
                <w:szCs w:val="24"/>
                <w:highlight w:val="none"/>
              </w:rPr>
              <w:t>（+/-/=）</w:t>
            </w:r>
          </w:p>
        </w:tc>
      </w:tr>
      <w:tr w14:paraId="133AF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34" w:type="dxa"/>
            <w:tcBorders>
              <w:top w:val="single" w:color="auto" w:sz="4" w:space="0"/>
              <w:left w:val="single" w:color="auto" w:sz="4" w:space="0"/>
              <w:bottom w:val="single" w:color="auto" w:sz="4" w:space="0"/>
              <w:right w:val="single" w:color="auto" w:sz="4" w:space="0"/>
            </w:tcBorders>
            <w:vAlign w:val="center"/>
          </w:tcPr>
          <w:p w14:paraId="23CC279B">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02DCEFD8">
            <w:pPr>
              <w:widowControl/>
              <w:jc w:val="left"/>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B259924">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324AFDBD">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29D32FA3">
            <w:pPr>
              <w:widowControl/>
              <w:jc w:val="left"/>
              <w:textAlignment w:val="center"/>
              <w:rPr>
                <w:rFonts w:ascii="宋体" w:hAnsi="宋体" w:cs="仿宋"/>
                <w:sz w:val="22"/>
                <w:szCs w:val="22"/>
                <w:highlight w:val="none"/>
              </w:rPr>
            </w:pPr>
          </w:p>
        </w:tc>
      </w:tr>
      <w:tr w14:paraId="41615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34" w:type="dxa"/>
            <w:tcBorders>
              <w:top w:val="single" w:color="auto" w:sz="4" w:space="0"/>
              <w:left w:val="single" w:color="auto" w:sz="4" w:space="0"/>
              <w:bottom w:val="single" w:color="auto" w:sz="4" w:space="0"/>
              <w:right w:val="single" w:color="auto" w:sz="4" w:space="0"/>
            </w:tcBorders>
            <w:vAlign w:val="center"/>
          </w:tcPr>
          <w:p w14:paraId="6033A749">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7127B184">
            <w:pPr>
              <w:widowControl/>
              <w:jc w:val="left"/>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71E90762">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ECACF36">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404256CD">
            <w:pPr>
              <w:widowControl/>
              <w:jc w:val="left"/>
              <w:textAlignment w:val="center"/>
              <w:rPr>
                <w:rFonts w:ascii="宋体" w:hAnsi="宋体" w:cs="仿宋"/>
                <w:sz w:val="22"/>
                <w:szCs w:val="22"/>
                <w:highlight w:val="none"/>
              </w:rPr>
            </w:pPr>
          </w:p>
        </w:tc>
      </w:tr>
      <w:tr w14:paraId="22026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34" w:type="dxa"/>
            <w:tcBorders>
              <w:top w:val="single" w:color="auto" w:sz="4" w:space="0"/>
              <w:left w:val="single" w:color="auto" w:sz="4" w:space="0"/>
              <w:bottom w:val="single" w:color="auto" w:sz="4" w:space="0"/>
              <w:right w:val="single" w:color="auto" w:sz="4" w:space="0"/>
            </w:tcBorders>
            <w:vAlign w:val="center"/>
          </w:tcPr>
          <w:p w14:paraId="5D6B750F">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4E49BAC3">
            <w:pPr>
              <w:widowControl/>
              <w:jc w:val="left"/>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6F993EBD">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536C8CC7">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1CBD490D">
            <w:pPr>
              <w:widowControl/>
              <w:jc w:val="left"/>
              <w:textAlignment w:val="center"/>
              <w:rPr>
                <w:rFonts w:ascii="宋体" w:hAnsi="宋体" w:cs="仿宋"/>
                <w:sz w:val="22"/>
                <w:szCs w:val="22"/>
                <w:highlight w:val="none"/>
              </w:rPr>
            </w:pPr>
          </w:p>
        </w:tc>
      </w:tr>
      <w:tr w14:paraId="04AAF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34" w:type="dxa"/>
            <w:tcBorders>
              <w:top w:val="single" w:color="auto" w:sz="4" w:space="0"/>
              <w:left w:val="single" w:color="auto" w:sz="4" w:space="0"/>
              <w:bottom w:val="single" w:color="auto" w:sz="4" w:space="0"/>
              <w:right w:val="single" w:color="auto" w:sz="4" w:space="0"/>
            </w:tcBorders>
            <w:vAlign w:val="center"/>
          </w:tcPr>
          <w:p w14:paraId="337A9C69">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14:paraId="7D8373FF">
            <w:pPr>
              <w:widowControl/>
              <w:jc w:val="left"/>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3CCF8EF0">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31FF55C6">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0B1BE33B">
            <w:pPr>
              <w:widowControl/>
              <w:jc w:val="left"/>
              <w:textAlignment w:val="center"/>
              <w:rPr>
                <w:rFonts w:ascii="宋体" w:hAnsi="宋体" w:cs="仿宋"/>
                <w:sz w:val="22"/>
                <w:szCs w:val="22"/>
                <w:highlight w:val="none"/>
              </w:rPr>
            </w:pPr>
          </w:p>
        </w:tc>
      </w:tr>
      <w:tr w14:paraId="6B057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4" w:type="dxa"/>
            <w:tcBorders>
              <w:top w:val="single" w:color="auto" w:sz="4" w:space="0"/>
              <w:left w:val="single" w:color="auto" w:sz="4" w:space="0"/>
              <w:bottom w:val="single" w:color="auto" w:sz="4" w:space="0"/>
              <w:right w:val="single" w:color="auto" w:sz="4" w:space="0"/>
            </w:tcBorders>
            <w:vAlign w:val="center"/>
          </w:tcPr>
          <w:p w14:paraId="50B25222">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5</w:t>
            </w:r>
          </w:p>
        </w:tc>
        <w:tc>
          <w:tcPr>
            <w:tcW w:w="2268" w:type="dxa"/>
            <w:tcBorders>
              <w:top w:val="single" w:color="auto" w:sz="4" w:space="0"/>
              <w:left w:val="single" w:color="auto" w:sz="4" w:space="0"/>
              <w:bottom w:val="single" w:color="auto" w:sz="4" w:space="0"/>
              <w:right w:val="single" w:color="auto" w:sz="4" w:space="0"/>
            </w:tcBorders>
            <w:vAlign w:val="center"/>
          </w:tcPr>
          <w:p w14:paraId="756D6B20">
            <w:pPr>
              <w:widowControl/>
              <w:jc w:val="left"/>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373A02C9">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5481EE1F">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3419B9CB">
            <w:pPr>
              <w:widowControl/>
              <w:jc w:val="left"/>
              <w:textAlignment w:val="center"/>
              <w:rPr>
                <w:rFonts w:ascii="宋体" w:hAnsi="宋体" w:cs="仿宋"/>
                <w:sz w:val="22"/>
                <w:szCs w:val="22"/>
                <w:highlight w:val="none"/>
              </w:rPr>
            </w:pPr>
          </w:p>
        </w:tc>
      </w:tr>
      <w:tr w14:paraId="3E188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34" w:type="dxa"/>
            <w:tcBorders>
              <w:top w:val="single" w:color="auto" w:sz="4" w:space="0"/>
              <w:left w:val="single" w:color="auto" w:sz="4" w:space="0"/>
              <w:bottom w:val="single" w:color="auto" w:sz="4" w:space="0"/>
              <w:right w:val="single" w:color="auto" w:sz="4" w:space="0"/>
            </w:tcBorders>
            <w:vAlign w:val="center"/>
          </w:tcPr>
          <w:p w14:paraId="1CAB32ED">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6</w:t>
            </w:r>
          </w:p>
        </w:tc>
        <w:tc>
          <w:tcPr>
            <w:tcW w:w="2268" w:type="dxa"/>
            <w:tcBorders>
              <w:top w:val="single" w:color="auto" w:sz="4" w:space="0"/>
              <w:left w:val="single" w:color="auto" w:sz="4" w:space="0"/>
              <w:bottom w:val="single" w:color="auto" w:sz="4" w:space="0"/>
              <w:right w:val="single" w:color="auto" w:sz="4" w:space="0"/>
            </w:tcBorders>
            <w:vAlign w:val="center"/>
          </w:tcPr>
          <w:p w14:paraId="79C43FA3">
            <w:pPr>
              <w:widowControl/>
              <w:jc w:val="center"/>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0055382F">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3A1EF067">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1F9E7783">
            <w:pPr>
              <w:widowControl/>
              <w:jc w:val="left"/>
              <w:textAlignment w:val="center"/>
              <w:rPr>
                <w:rFonts w:ascii="宋体" w:hAnsi="宋体" w:cs="仿宋"/>
                <w:sz w:val="22"/>
                <w:szCs w:val="22"/>
                <w:highlight w:val="none"/>
              </w:rPr>
            </w:pPr>
          </w:p>
        </w:tc>
      </w:tr>
      <w:tr w14:paraId="518F5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vAlign w:val="center"/>
          </w:tcPr>
          <w:p w14:paraId="149CDE3C">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7</w:t>
            </w:r>
          </w:p>
        </w:tc>
        <w:tc>
          <w:tcPr>
            <w:tcW w:w="2268" w:type="dxa"/>
            <w:tcBorders>
              <w:top w:val="single" w:color="auto" w:sz="4" w:space="0"/>
              <w:left w:val="single" w:color="auto" w:sz="4" w:space="0"/>
              <w:bottom w:val="single" w:color="auto" w:sz="4" w:space="0"/>
              <w:right w:val="single" w:color="auto" w:sz="4" w:space="0"/>
            </w:tcBorders>
            <w:vAlign w:val="center"/>
          </w:tcPr>
          <w:p w14:paraId="66A4A44D">
            <w:pPr>
              <w:widowControl/>
              <w:jc w:val="center"/>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43BEDC0B">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4854AD45">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530B3BBF">
            <w:pPr>
              <w:widowControl/>
              <w:jc w:val="left"/>
              <w:textAlignment w:val="center"/>
              <w:rPr>
                <w:rFonts w:ascii="宋体" w:hAnsi="宋体" w:cs="仿宋"/>
                <w:sz w:val="22"/>
                <w:szCs w:val="22"/>
                <w:highlight w:val="none"/>
              </w:rPr>
            </w:pPr>
          </w:p>
        </w:tc>
      </w:tr>
      <w:tr w14:paraId="408C7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vAlign w:val="center"/>
          </w:tcPr>
          <w:p w14:paraId="7A74B11A">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8</w:t>
            </w:r>
          </w:p>
        </w:tc>
        <w:tc>
          <w:tcPr>
            <w:tcW w:w="2268" w:type="dxa"/>
            <w:tcBorders>
              <w:top w:val="single" w:color="auto" w:sz="4" w:space="0"/>
              <w:left w:val="single" w:color="auto" w:sz="4" w:space="0"/>
              <w:bottom w:val="single" w:color="auto" w:sz="4" w:space="0"/>
              <w:right w:val="single" w:color="auto" w:sz="4" w:space="0"/>
            </w:tcBorders>
            <w:vAlign w:val="center"/>
          </w:tcPr>
          <w:p w14:paraId="42E1A4AE">
            <w:pPr>
              <w:widowControl/>
              <w:jc w:val="center"/>
              <w:textAlignment w:val="center"/>
              <w:rPr>
                <w:rFonts w:ascii="宋体" w:hAnsi="宋体" w:cs="仿宋"/>
                <w:sz w:val="22"/>
                <w:szCs w:val="22"/>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97F30BF">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7498FAD9">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472E71F5">
            <w:pPr>
              <w:widowControl/>
              <w:jc w:val="left"/>
              <w:textAlignment w:val="center"/>
              <w:rPr>
                <w:rFonts w:ascii="宋体" w:hAnsi="宋体" w:cs="仿宋"/>
                <w:sz w:val="22"/>
                <w:szCs w:val="22"/>
                <w:highlight w:val="none"/>
              </w:rPr>
            </w:pPr>
          </w:p>
        </w:tc>
      </w:tr>
      <w:tr w14:paraId="17A17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vAlign w:val="center"/>
          </w:tcPr>
          <w:p w14:paraId="0DAD6CC5">
            <w:pPr>
              <w:widowControl/>
              <w:jc w:val="center"/>
              <w:textAlignment w:val="center"/>
              <w:rPr>
                <w:rFonts w:ascii="宋体" w:hAnsi="宋体" w:cs="仿宋"/>
                <w:sz w:val="22"/>
                <w:szCs w:val="22"/>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602EDE3">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（本表可根据需要</w:t>
            </w:r>
          </w:p>
          <w:p w14:paraId="5FF09B35">
            <w:pPr>
              <w:widowControl/>
              <w:jc w:val="center"/>
              <w:textAlignment w:val="center"/>
              <w:rPr>
                <w:rFonts w:ascii="宋体" w:hAnsi="宋体" w:cs="仿宋"/>
                <w:sz w:val="22"/>
                <w:szCs w:val="22"/>
                <w:highlight w:val="none"/>
              </w:rPr>
            </w:pPr>
            <w:r>
              <w:rPr>
                <w:rFonts w:hint="eastAsia" w:ascii="宋体" w:hAnsi="宋体" w:cs="仿宋"/>
                <w:sz w:val="22"/>
                <w:szCs w:val="22"/>
                <w:highlight w:val="none"/>
              </w:rPr>
              <w:t>自行添加行）</w:t>
            </w:r>
          </w:p>
        </w:tc>
        <w:tc>
          <w:tcPr>
            <w:tcW w:w="2551" w:type="dxa"/>
            <w:tcBorders>
              <w:top w:val="single" w:color="auto" w:sz="4" w:space="0"/>
              <w:left w:val="single" w:color="auto" w:sz="4" w:space="0"/>
              <w:bottom w:val="single" w:color="auto" w:sz="4" w:space="0"/>
              <w:right w:val="single" w:color="auto" w:sz="4" w:space="0"/>
            </w:tcBorders>
            <w:vAlign w:val="center"/>
          </w:tcPr>
          <w:p w14:paraId="14310C9E">
            <w:pPr>
              <w:widowControl/>
              <w:jc w:val="left"/>
              <w:textAlignment w:val="center"/>
              <w:rPr>
                <w:rFonts w:ascii="宋体" w:hAnsi="宋体" w:cs="仿宋"/>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31BEF06">
            <w:pPr>
              <w:widowControl/>
              <w:jc w:val="left"/>
              <w:textAlignment w:val="center"/>
              <w:rPr>
                <w:rFonts w:ascii="宋体" w:hAnsi="宋体" w:cs="仿宋"/>
                <w:sz w:val="22"/>
                <w:szCs w:val="22"/>
                <w:highlight w:val="none"/>
              </w:rPr>
            </w:pPr>
          </w:p>
        </w:tc>
        <w:tc>
          <w:tcPr>
            <w:tcW w:w="2385" w:type="dxa"/>
            <w:tcBorders>
              <w:top w:val="single" w:color="auto" w:sz="4" w:space="0"/>
              <w:left w:val="single" w:color="auto" w:sz="4" w:space="0"/>
              <w:bottom w:val="single" w:color="auto" w:sz="4" w:space="0"/>
              <w:right w:val="single" w:color="auto" w:sz="4" w:space="0"/>
            </w:tcBorders>
            <w:vAlign w:val="center"/>
          </w:tcPr>
          <w:p w14:paraId="3D581F1B">
            <w:pPr>
              <w:widowControl/>
              <w:jc w:val="left"/>
              <w:textAlignment w:val="center"/>
              <w:rPr>
                <w:rFonts w:ascii="宋体" w:hAnsi="宋体" w:cs="仿宋"/>
                <w:sz w:val="22"/>
                <w:szCs w:val="22"/>
                <w:highlight w:val="none"/>
              </w:rPr>
            </w:pPr>
          </w:p>
        </w:tc>
      </w:tr>
    </w:tbl>
    <w:p w14:paraId="2D9DB81A">
      <w:pPr>
        <w:tabs>
          <w:tab w:val="left" w:pos="142"/>
        </w:tabs>
        <w:spacing w:line="500" w:lineRule="exact"/>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供应商名称（加盖公章）：</w:t>
      </w:r>
    </w:p>
    <w:p w14:paraId="7E012821">
      <w:pPr>
        <w:tabs>
          <w:tab w:val="left" w:pos="142"/>
        </w:tabs>
        <w:spacing w:line="500" w:lineRule="exact"/>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法定代表人（授权代表）签章：</w:t>
      </w:r>
    </w:p>
    <w:p w14:paraId="77878441">
      <w:pPr>
        <w:tabs>
          <w:tab w:val="left" w:pos="142"/>
        </w:tabs>
        <w:spacing w:line="500" w:lineRule="exact"/>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日期：     年    月     日</w:t>
      </w:r>
    </w:p>
    <w:p w14:paraId="52CB9FA4">
      <w:pPr>
        <w:tabs>
          <w:tab w:val="left" w:pos="142"/>
        </w:tabs>
        <w:spacing w:line="500" w:lineRule="exact"/>
        <w:ind w:firstLine="480" w:firstLineChars="200"/>
        <w:jc w:val="left"/>
        <w:textAlignment w:val="baseline"/>
        <w:rPr>
          <w:rFonts w:ascii="宋体" w:hAnsi="宋体" w:cs="仿宋"/>
          <w:sz w:val="24"/>
          <w:szCs w:val="24"/>
          <w:highlight w:val="none"/>
        </w:rPr>
      </w:pPr>
    </w:p>
    <w:p w14:paraId="203D99A5">
      <w:pPr>
        <w:tabs>
          <w:tab w:val="left" w:pos="142"/>
        </w:tabs>
        <w:spacing w:line="500" w:lineRule="exact"/>
        <w:ind w:firstLine="480" w:firstLineChars="200"/>
        <w:jc w:val="left"/>
        <w:textAlignment w:val="baseline"/>
        <w:rPr>
          <w:rFonts w:ascii="宋体" w:hAnsi="宋体" w:cs="仿宋"/>
          <w:sz w:val="24"/>
          <w:szCs w:val="24"/>
          <w:highlight w:val="none"/>
        </w:rPr>
      </w:pPr>
    </w:p>
    <w:p w14:paraId="6419018E">
      <w:pPr>
        <w:tabs>
          <w:tab w:val="left" w:pos="142"/>
        </w:tabs>
        <w:spacing w:line="500" w:lineRule="exact"/>
        <w:ind w:firstLine="480" w:firstLineChars="200"/>
        <w:jc w:val="left"/>
        <w:textAlignment w:val="baseline"/>
        <w:rPr>
          <w:rFonts w:ascii="宋体" w:hAnsi="宋体" w:cs="仿宋"/>
          <w:sz w:val="24"/>
          <w:szCs w:val="24"/>
          <w:highlight w:val="none"/>
        </w:rPr>
      </w:pPr>
    </w:p>
    <w:p w14:paraId="3E1C2237">
      <w:pPr>
        <w:spacing w:line="400" w:lineRule="exact"/>
        <w:textAlignment w:val="baseline"/>
        <w:rPr>
          <w:rFonts w:ascii="宋体" w:hAnsi="宋体" w:cs="仿宋"/>
          <w:sz w:val="24"/>
          <w:highlight w:val="none"/>
        </w:rPr>
      </w:pPr>
      <w:r>
        <w:rPr>
          <w:rFonts w:hint="eastAsia" w:ascii="宋体" w:hAnsi="宋体" w:cs="仿宋"/>
          <w:sz w:val="24"/>
          <w:highlight w:val="none"/>
        </w:rPr>
        <w:t>填写说明：</w:t>
      </w:r>
    </w:p>
    <w:p w14:paraId="69BE6647">
      <w:pPr>
        <w:spacing w:line="360" w:lineRule="auto"/>
        <w:textAlignment w:val="baseline"/>
        <w:rPr>
          <w:rFonts w:ascii="宋体" w:hAnsi="宋体" w:cs="仿宋"/>
          <w:sz w:val="24"/>
          <w:highlight w:val="none"/>
        </w:rPr>
      </w:pPr>
      <w:r>
        <w:rPr>
          <w:rFonts w:hint="eastAsia" w:ascii="宋体" w:hAnsi="宋体" w:cs="仿宋"/>
          <w:sz w:val="20"/>
          <w:highlight w:val="none"/>
        </w:rPr>
        <w:fldChar w:fldCharType="begin"/>
      </w:r>
      <w:r>
        <w:rPr>
          <w:rFonts w:hint="eastAsia" w:ascii="宋体" w:hAnsi="宋体" w:cs="仿宋"/>
          <w:sz w:val="20"/>
          <w:highlight w:val="none"/>
        </w:rPr>
        <w:instrText xml:space="preserve">= 1 \* GB3</w:instrText>
      </w:r>
      <w:r>
        <w:rPr>
          <w:rFonts w:hint="eastAsia" w:ascii="宋体" w:hAnsi="宋体" w:cs="仿宋"/>
          <w:sz w:val="20"/>
          <w:highlight w:val="none"/>
        </w:rPr>
        <w:fldChar w:fldCharType="separate"/>
      </w:r>
      <w:r>
        <w:rPr>
          <w:rFonts w:hint="eastAsia" w:ascii="宋体" w:hAnsi="宋体" w:cs="仿宋"/>
          <w:sz w:val="24"/>
          <w:highlight w:val="none"/>
        </w:rPr>
        <w:t>①</w:t>
      </w:r>
      <w:r>
        <w:rPr>
          <w:rFonts w:hint="eastAsia" w:ascii="宋体" w:hAnsi="宋体" w:cs="仿宋"/>
          <w:sz w:val="20"/>
          <w:highlight w:val="none"/>
        </w:rPr>
        <w:fldChar w:fldCharType="end"/>
      </w:r>
      <w:r>
        <w:rPr>
          <w:rFonts w:hint="eastAsia" w:ascii="宋体" w:hAnsi="宋体" w:cs="仿宋"/>
          <w:sz w:val="24"/>
          <w:highlight w:val="none"/>
        </w:rPr>
        <w:t>此表为表样，行数可自行添加，但表式不变。</w:t>
      </w:r>
    </w:p>
    <w:p w14:paraId="6C6C84EF">
      <w:pPr>
        <w:spacing w:line="360" w:lineRule="auto"/>
        <w:textAlignment w:val="baseline"/>
        <w:rPr>
          <w:rFonts w:ascii="宋体" w:hAnsi="宋体" w:cs="仿宋"/>
          <w:sz w:val="24"/>
          <w:highlight w:val="none"/>
        </w:rPr>
      </w:pPr>
      <w:r>
        <w:rPr>
          <w:rFonts w:hint="eastAsia" w:ascii="宋体" w:hAnsi="宋体" w:cs="仿宋"/>
          <w:sz w:val="20"/>
          <w:highlight w:val="none"/>
        </w:rPr>
        <w:fldChar w:fldCharType="begin"/>
      </w:r>
      <w:r>
        <w:rPr>
          <w:rFonts w:hint="eastAsia" w:ascii="宋体" w:hAnsi="宋体" w:cs="仿宋"/>
          <w:sz w:val="20"/>
          <w:highlight w:val="none"/>
        </w:rPr>
        <w:instrText xml:space="preserve">= 2 \* GB3</w:instrText>
      </w:r>
      <w:r>
        <w:rPr>
          <w:rFonts w:hint="eastAsia" w:ascii="宋体" w:hAnsi="宋体" w:cs="仿宋"/>
          <w:sz w:val="20"/>
          <w:highlight w:val="none"/>
        </w:rPr>
        <w:fldChar w:fldCharType="separate"/>
      </w:r>
      <w:r>
        <w:rPr>
          <w:rFonts w:hint="eastAsia" w:ascii="宋体" w:hAnsi="宋体" w:cs="仿宋"/>
          <w:sz w:val="24"/>
          <w:highlight w:val="none"/>
        </w:rPr>
        <w:t>②</w:t>
      </w:r>
      <w:r>
        <w:rPr>
          <w:rFonts w:hint="eastAsia" w:ascii="宋体" w:hAnsi="宋体" w:cs="仿宋"/>
          <w:sz w:val="20"/>
          <w:highlight w:val="none"/>
        </w:rPr>
        <w:fldChar w:fldCharType="end"/>
      </w:r>
      <w:r>
        <w:rPr>
          <w:rFonts w:hint="eastAsia" w:ascii="宋体" w:hAnsi="宋体" w:cs="仿宋"/>
          <w:sz w:val="24"/>
          <w:highlight w:val="none"/>
        </w:rPr>
        <w:t>是否偏离用符号“+、-”分别表示正偏离、负偏离。</w:t>
      </w:r>
    </w:p>
    <w:p w14:paraId="31C49BD3">
      <w:pPr>
        <w:spacing w:line="360" w:lineRule="auto"/>
        <w:textAlignment w:val="baseline"/>
        <w:rPr>
          <w:rFonts w:hint="eastAsia" w:ascii="宋体" w:hAnsi="宋体" w:cs="仿宋"/>
          <w:sz w:val="24"/>
          <w:highlight w:val="none"/>
        </w:rPr>
      </w:pPr>
      <w:r>
        <w:rPr>
          <w:rFonts w:hint="eastAsia" w:ascii="宋体" w:hAnsi="宋体" w:cs="仿宋"/>
          <w:sz w:val="20"/>
          <w:highlight w:val="none"/>
        </w:rPr>
        <w:fldChar w:fldCharType="begin"/>
      </w:r>
      <w:r>
        <w:rPr>
          <w:rFonts w:hint="eastAsia" w:ascii="宋体" w:hAnsi="宋体" w:cs="仿宋"/>
          <w:sz w:val="20"/>
          <w:highlight w:val="none"/>
        </w:rPr>
        <w:instrText xml:space="preserve">= 3 \* GB3</w:instrText>
      </w:r>
      <w:r>
        <w:rPr>
          <w:rFonts w:hint="eastAsia" w:ascii="宋体" w:hAnsi="宋体" w:cs="仿宋"/>
          <w:sz w:val="20"/>
          <w:highlight w:val="none"/>
        </w:rPr>
        <w:fldChar w:fldCharType="separate"/>
      </w:r>
      <w:r>
        <w:rPr>
          <w:rFonts w:hint="eastAsia" w:ascii="宋体" w:hAnsi="宋体" w:cs="仿宋"/>
          <w:sz w:val="24"/>
          <w:highlight w:val="none"/>
        </w:rPr>
        <w:t>③</w:t>
      </w:r>
      <w:r>
        <w:rPr>
          <w:rFonts w:hint="eastAsia" w:ascii="宋体" w:hAnsi="宋体" w:cs="仿宋"/>
          <w:sz w:val="20"/>
          <w:highlight w:val="none"/>
        </w:rPr>
        <w:fldChar w:fldCharType="end"/>
      </w:r>
      <w:r>
        <w:rPr>
          <w:rFonts w:hint="eastAsia" w:ascii="宋体" w:hAnsi="宋体" w:cs="仿宋"/>
          <w:sz w:val="24"/>
          <w:highlight w:val="none"/>
        </w:rPr>
        <w:t>供应商须对磋商文件技术与服务要求中的实质性要求做出明确响应，否则视为无效响应。</w:t>
      </w:r>
    </w:p>
    <w:p w14:paraId="64F32F3D">
      <w:pPr>
        <w:pStyle w:val="22"/>
        <w:ind w:firstLine="480"/>
        <w:textAlignment w:val="baseline"/>
        <w:rPr>
          <w:rFonts w:ascii="宋体" w:hAnsi="宋体" w:cs="仿宋"/>
          <w:sz w:val="24"/>
          <w:highlight w:val="none"/>
        </w:rPr>
      </w:pPr>
    </w:p>
    <w:p w14:paraId="06B79732">
      <w:pPr>
        <w:textAlignment w:val="baseline"/>
        <w:rPr>
          <w:rFonts w:ascii="宋体" w:hAnsi="宋体" w:cs="仿宋"/>
          <w:sz w:val="24"/>
          <w:highlight w:val="none"/>
        </w:rPr>
      </w:pPr>
    </w:p>
    <w:p w14:paraId="1C9888C2">
      <w:pPr>
        <w:pStyle w:val="22"/>
        <w:ind w:firstLine="480"/>
        <w:textAlignment w:val="baseline"/>
        <w:rPr>
          <w:rFonts w:ascii="宋体" w:hAnsi="宋体" w:cs="仿宋"/>
          <w:sz w:val="24"/>
          <w:highlight w:val="none"/>
        </w:rPr>
      </w:pPr>
    </w:p>
    <w:p w14:paraId="208248FE">
      <w:pPr>
        <w:textAlignment w:val="baseline"/>
        <w:rPr>
          <w:rFonts w:ascii="宋体" w:hAnsi="宋体" w:cs="仿宋"/>
          <w:sz w:val="24"/>
          <w:highlight w:val="none"/>
        </w:rPr>
      </w:pPr>
    </w:p>
    <w:p w14:paraId="03CAC2E5">
      <w:pPr>
        <w:pStyle w:val="22"/>
        <w:ind w:firstLine="480"/>
        <w:textAlignment w:val="baseline"/>
        <w:rPr>
          <w:rFonts w:ascii="宋体" w:hAnsi="宋体" w:cs="仿宋"/>
          <w:sz w:val="24"/>
          <w:highlight w:val="none"/>
        </w:rPr>
      </w:pPr>
    </w:p>
    <w:p w14:paraId="3166DD06">
      <w:pPr>
        <w:textAlignment w:val="baseline"/>
        <w:rPr>
          <w:rFonts w:ascii="宋体" w:hAnsi="宋体" w:cs="仿宋"/>
          <w:sz w:val="24"/>
          <w:highlight w:val="none"/>
        </w:rPr>
      </w:pPr>
    </w:p>
    <w:p w14:paraId="287929FA">
      <w:pPr>
        <w:pStyle w:val="22"/>
        <w:ind w:left="0" w:leftChars="0" w:firstLine="0" w:firstLineChars="0"/>
        <w:textAlignment w:val="baseline"/>
        <w:rPr>
          <w:rFonts w:ascii="宋体" w:hAnsi="宋体" w:cs="仿宋"/>
          <w:sz w:val="24"/>
          <w:highlight w:val="none"/>
        </w:rPr>
      </w:pPr>
    </w:p>
    <w:p w14:paraId="0246F184">
      <w:pPr>
        <w:pStyle w:val="35"/>
        <w:spacing w:line="360" w:lineRule="auto"/>
        <w:ind w:left="0" w:firstLine="0"/>
        <w:jc w:val="center"/>
        <w:textAlignment w:val="baseline"/>
        <w:rPr>
          <w:rFonts w:ascii="宋体" w:hAnsi="宋体" w:cs="仿宋"/>
          <w:sz w:val="32"/>
          <w:szCs w:val="32"/>
          <w:highlight w:val="none"/>
        </w:rPr>
      </w:pPr>
      <w:bookmarkStart w:id="618" w:name="_Toc30205"/>
      <w:bookmarkStart w:id="619" w:name="_Toc26258"/>
      <w:bookmarkStart w:id="620" w:name="_Toc29199"/>
      <w:r>
        <w:rPr>
          <w:rFonts w:hint="eastAsia" w:ascii="宋体" w:hAnsi="宋体" w:cs="仿宋"/>
          <w:sz w:val="32"/>
          <w:szCs w:val="32"/>
          <w:highlight w:val="none"/>
        </w:rPr>
        <w:t>六、项目实施方案</w:t>
      </w:r>
      <w:bookmarkEnd w:id="618"/>
      <w:bookmarkEnd w:id="619"/>
      <w:bookmarkEnd w:id="620"/>
    </w:p>
    <w:p w14:paraId="271AD9F6">
      <w:pPr>
        <w:pStyle w:val="32"/>
        <w:spacing w:before="0" w:after="0"/>
        <w:textAlignment w:val="baseline"/>
        <w:rPr>
          <w:rFonts w:ascii="宋体" w:hAnsi="宋体" w:cs="仿宋"/>
          <w:highlight w:val="none"/>
        </w:rPr>
      </w:pPr>
    </w:p>
    <w:p w14:paraId="286F972F">
      <w:pPr>
        <w:spacing w:line="360" w:lineRule="auto"/>
        <w:ind w:firstLine="480" w:firstLineChars="200"/>
        <w:textAlignment w:val="baseline"/>
        <w:rPr>
          <w:rFonts w:ascii="宋体" w:hAnsi="宋体" w:cs="仿宋"/>
          <w:sz w:val="24"/>
          <w:szCs w:val="24"/>
          <w:highlight w:val="none"/>
        </w:rPr>
      </w:pPr>
      <w:r>
        <w:rPr>
          <w:rFonts w:hint="eastAsia" w:ascii="宋体" w:hAnsi="宋体" w:cs="仿宋"/>
          <w:sz w:val="24"/>
          <w:szCs w:val="24"/>
          <w:highlight w:val="none"/>
        </w:rPr>
        <w:t>本项应包含且不限于下列内容：</w:t>
      </w:r>
    </w:p>
    <w:p w14:paraId="0AECB414">
      <w:pPr>
        <w:spacing w:line="360" w:lineRule="auto"/>
        <w:ind w:firstLine="960" w:firstLineChars="400"/>
        <w:textAlignment w:val="baseline"/>
        <w:rPr>
          <w:rFonts w:ascii="宋体" w:hAnsi="宋体" w:cs="仿宋"/>
          <w:sz w:val="24"/>
          <w:szCs w:val="24"/>
          <w:highlight w:val="none"/>
        </w:rPr>
      </w:pPr>
      <w:r>
        <w:rPr>
          <w:rFonts w:hint="eastAsia" w:ascii="宋体" w:hAnsi="宋体" w:cs="仿宋"/>
          <w:sz w:val="24"/>
          <w:szCs w:val="24"/>
          <w:highlight w:val="none"/>
        </w:rPr>
        <w:t>技术方案、实施方案及进度计划等。</w:t>
      </w:r>
    </w:p>
    <w:p w14:paraId="71569080">
      <w:pPr>
        <w:spacing w:line="360" w:lineRule="auto"/>
        <w:ind w:firstLine="480" w:firstLineChars="200"/>
        <w:textAlignment w:val="baseline"/>
        <w:rPr>
          <w:rFonts w:ascii="宋体" w:hAnsi="宋体" w:cs="仿宋"/>
          <w:sz w:val="24"/>
          <w:szCs w:val="24"/>
          <w:highlight w:val="none"/>
        </w:rPr>
      </w:pPr>
    </w:p>
    <w:p w14:paraId="36FA9C40">
      <w:pPr>
        <w:spacing w:line="360" w:lineRule="auto"/>
        <w:ind w:firstLine="480" w:firstLineChars="200"/>
        <w:textAlignment w:val="baseline"/>
        <w:rPr>
          <w:rFonts w:ascii="宋体" w:hAnsi="宋体" w:cs="仿宋"/>
          <w:sz w:val="24"/>
          <w:szCs w:val="24"/>
          <w:highlight w:val="none"/>
        </w:rPr>
      </w:pPr>
    </w:p>
    <w:p w14:paraId="4ACC3207">
      <w:pPr>
        <w:pStyle w:val="10"/>
        <w:rPr>
          <w:highlight w:val="none"/>
        </w:rPr>
      </w:pPr>
    </w:p>
    <w:p w14:paraId="510C83B0">
      <w:pPr>
        <w:pStyle w:val="11"/>
        <w:rPr>
          <w:highlight w:val="none"/>
        </w:rPr>
      </w:pPr>
    </w:p>
    <w:p w14:paraId="34C1D748">
      <w:pPr>
        <w:spacing w:line="360" w:lineRule="auto"/>
        <w:ind w:firstLine="960" w:firstLineChars="400"/>
        <w:textAlignment w:val="baseline"/>
        <w:rPr>
          <w:rFonts w:ascii="宋体" w:hAnsi="宋体" w:cs="仿宋"/>
          <w:sz w:val="24"/>
          <w:szCs w:val="24"/>
          <w:highlight w:val="none"/>
        </w:rPr>
      </w:pPr>
      <w:r>
        <w:rPr>
          <w:rFonts w:hint="eastAsia" w:ascii="宋体" w:hAnsi="宋体" w:cs="仿宋"/>
          <w:sz w:val="24"/>
          <w:szCs w:val="24"/>
          <w:highlight w:val="none"/>
        </w:rPr>
        <w:t>供应商名称（加盖公章）：</w:t>
      </w:r>
    </w:p>
    <w:p w14:paraId="54F1E98B">
      <w:pPr>
        <w:spacing w:line="360" w:lineRule="auto"/>
        <w:ind w:firstLine="960" w:firstLineChars="400"/>
        <w:textAlignment w:val="baseline"/>
        <w:rPr>
          <w:rFonts w:ascii="宋体" w:hAnsi="宋体" w:cs="仿宋"/>
          <w:sz w:val="24"/>
          <w:szCs w:val="24"/>
          <w:highlight w:val="none"/>
        </w:rPr>
      </w:pPr>
      <w:r>
        <w:rPr>
          <w:rFonts w:hint="eastAsia" w:ascii="宋体" w:hAnsi="宋体" w:cs="仿宋"/>
          <w:sz w:val="24"/>
          <w:szCs w:val="24"/>
          <w:highlight w:val="none"/>
        </w:rPr>
        <w:t>法定代表人（授权代表）签章：</w:t>
      </w:r>
    </w:p>
    <w:p w14:paraId="77283311">
      <w:pPr>
        <w:spacing w:line="360" w:lineRule="auto"/>
        <w:ind w:firstLine="960" w:firstLineChars="400"/>
        <w:textAlignment w:val="baseline"/>
        <w:rPr>
          <w:rFonts w:ascii="宋体" w:hAnsi="宋体" w:cs="仿宋"/>
          <w:highlight w:val="none"/>
        </w:rPr>
        <w:sectPr>
          <w:headerReference r:id="rId11" w:type="default"/>
          <w:footerReference r:id="rId12"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hAnsi="宋体" w:cs="仿宋"/>
          <w:sz w:val="24"/>
          <w:szCs w:val="24"/>
          <w:highlight w:val="none"/>
        </w:rPr>
        <w:t>日期：      年     月      日</w:t>
      </w:r>
    </w:p>
    <w:p w14:paraId="3E6080AC">
      <w:pPr>
        <w:pStyle w:val="35"/>
        <w:numPr>
          <w:ilvl w:val="0"/>
          <w:numId w:val="17"/>
        </w:numPr>
        <w:jc w:val="center"/>
        <w:textAlignment w:val="baseline"/>
        <w:rPr>
          <w:rFonts w:ascii="宋体" w:hAnsi="宋体" w:cs="仿宋"/>
          <w:sz w:val="32"/>
          <w:szCs w:val="32"/>
          <w:highlight w:val="none"/>
        </w:rPr>
      </w:pPr>
      <w:bookmarkStart w:id="621" w:name="_Toc13799"/>
      <w:bookmarkStart w:id="622" w:name="_Toc29992"/>
      <w:bookmarkStart w:id="623" w:name="_Toc17371"/>
      <w:r>
        <w:rPr>
          <w:rFonts w:hint="eastAsia" w:ascii="宋体" w:hAnsi="宋体" w:cs="仿宋"/>
          <w:sz w:val="32"/>
          <w:szCs w:val="32"/>
          <w:highlight w:val="none"/>
        </w:rPr>
        <w:t>服务方案与承诺</w:t>
      </w:r>
      <w:bookmarkEnd w:id="621"/>
      <w:bookmarkEnd w:id="622"/>
      <w:bookmarkEnd w:id="623"/>
      <w:r>
        <w:rPr>
          <w:rFonts w:hint="eastAsia" w:ascii="宋体" w:hAnsi="宋体" w:cs="仿宋"/>
          <w:sz w:val="32"/>
          <w:szCs w:val="32"/>
          <w:highlight w:val="none"/>
          <w:lang w:val="en-US" w:eastAsia="zh-CN"/>
        </w:rPr>
        <w:t>书</w:t>
      </w:r>
    </w:p>
    <w:p w14:paraId="4B749227">
      <w:pPr>
        <w:rPr>
          <w:rFonts w:hint="eastAsia" w:ascii="宋体" w:hAnsi="宋体" w:cs="仿宋"/>
          <w:sz w:val="32"/>
          <w:szCs w:val="32"/>
          <w:highlight w:val="none"/>
        </w:rPr>
      </w:pPr>
    </w:p>
    <w:p w14:paraId="3B4CF7FD">
      <w:pPr>
        <w:pStyle w:val="4"/>
        <w:rPr>
          <w:rFonts w:hint="eastAsia" w:ascii="宋体" w:hAnsi="宋体" w:cs="仿宋"/>
          <w:sz w:val="32"/>
          <w:szCs w:val="32"/>
          <w:highlight w:val="none"/>
        </w:rPr>
      </w:pPr>
    </w:p>
    <w:p w14:paraId="2CE65143">
      <w:pPr>
        <w:rPr>
          <w:rFonts w:hint="eastAsia" w:ascii="宋体" w:hAnsi="宋体" w:cs="仿宋"/>
          <w:sz w:val="32"/>
          <w:szCs w:val="32"/>
          <w:highlight w:val="none"/>
        </w:rPr>
      </w:pPr>
    </w:p>
    <w:p w14:paraId="089238C4">
      <w:pPr>
        <w:pStyle w:val="4"/>
        <w:rPr>
          <w:rFonts w:hint="eastAsia" w:ascii="宋体" w:hAnsi="宋体" w:cs="仿宋"/>
          <w:sz w:val="32"/>
          <w:szCs w:val="32"/>
          <w:highlight w:val="none"/>
        </w:rPr>
      </w:pPr>
    </w:p>
    <w:p w14:paraId="1908DD5F">
      <w:pPr>
        <w:rPr>
          <w:highlight w:val="none"/>
        </w:rPr>
      </w:pPr>
    </w:p>
    <w:p w14:paraId="1F74BFCD">
      <w:pPr>
        <w:pStyle w:val="35"/>
        <w:numPr>
          <w:ilvl w:val="0"/>
          <w:numId w:val="17"/>
        </w:numPr>
        <w:jc w:val="center"/>
        <w:textAlignment w:val="baseline"/>
        <w:rPr>
          <w:rFonts w:ascii="宋体" w:hAnsi="宋体" w:cs="仿宋"/>
          <w:sz w:val="32"/>
          <w:szCs w:val="32"/>
          <w:highlight w:val="none"/>
        </w:rPr>
      </w:pPr>
      <w:bookmarkStart w:id="624" w:name="_Toc12991"/>
      <w:bookmarkStart w:id="625" w:name="_Toc9456"/>
      <w:bookmarkStart w:id="626" w:name="_Toc26804"/>
      <w:r>
        <w:rPr>
          <w:rFonts w:hint="eastAsia" w:ascii="宋体" w:hAnsi="宋体" w:cs="仿宋"/>
          <w:sz w:val="32"/>
          <w:szCs w:val="32"/>
          <w:highlight w:val="none"/>
        </w:rPr>
        <w:t>拟投入项目人员一览表</w:t>
      </w:r>
      <w:bookmarkEnd w:id="624"/>
      <w:bookmarkEnd w:id="625"/>
      <w:bookmarkEnd w:id="626"/>
    </w:p>
    <w:p w14:paraId="09E8EE14">
      <w:pPr>
        <w:textAlignment w:val="baseline"/>
        <w:rPr>
          <w:rFonts w:ascii="宋体" w:hAnsi="宋体" w:cs="仿宋"/>
          <w:highlight w:val="none"/>
        </w:rPr>
      </w:pPr>
    </w:p>
    <w:tbl>
      <w:tblPr>
        <w:tblStyle w:val="23"/>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048"/>
        <w:gridCol w:w="2193"/>
        <w:gridCol w:w="776"/>
        <w:gridCol w:w="3383"/>
      </w:tblGrid>
      <w:tr w14:paraId="6E7F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47" w:type="dxa"/>
            <w:vAlign w:val="center"/>
          </w:tcPr>
          <w:p w14:paraId="2B014CC6">
            <w:pPr>
              <w:spacing w:line="360" w:lineRule="auto"/>
              <w:jc w:val="center"/>
              <w:textAlignment w:val="baseline"/>
              <w:rPr>
                <w:rFonts w:ascii="宋体" w:hAnsi="宋体" w:cs="仿宋"/>
                <w:b/>
                <w:bCs/>
                <w:sz w:val="24"/>
                <w:szCs w:val="24"/>
                <w:highlight w:val="none"/>
                <w:lang w:val="zh-CN"/>
              </w:rPr>
            </w:pPr>
            <w:r>
              <w:rPr>
                <w:rFonts w:hint="eastAsia" w:ascii="宋体" w:hAnsi="宋体" w:cs="仿宋"/>
                <w:b/>
                <w:bCs/>
                <w:sz w:val="24"/>
                <w:szCs w:val="24"/>
                <w:highlight w:val="none"/>
                <w:lang w:val="zh-CN"/>
              </w:rPr>
              <w:t>序号</w:t>
            </w:r>
          </w:p>
        </w:tc>
        <w:tc>
          <w:tcPr>
            <w:tcW w:w="2048" w:type="dxa"/>
            <w:vAlign w:val="center"/>
          </w:tcPr>
          <w:p w14:paraId="6EF11C07">
            <w:pPr>
              <w:spacing w:line="360" w:lineRule="auto"/>
              <w:jc w:val="center"/>
              <w:textAlignment w:val="baseline"/>
              <w:rPr>
                <w:rFonts w:ascii="宋体" w:hAnsi="宋体" w:cs="仿宋"/>
                <w:b/>
                <w:bCs/>
                <w:sz w:val="24"/>
                <w:szCs w:val="24"/>
                <w:highlight w:val="none"/>
                <w:lang w:val="zh-CN"/>
              </w:rPr>
            </w:pPr>
            <w:r>
              <w:rPr>
                <w:rFonts w:hint="eastAsia" w:ascii="宋体" w:hAnsi="宋体" w:cs="仿宋"/>
                <w:b/>
                <w:bCs/>
                <w:sz w:val="24"/>
                <w:szCs w:val="24"/>
                <w:highlight w:val="none"/>
                <w:lang w:val="zh-CN"/>
              </w:rPr>
              <w:t>姓名</w:t>
            </w:r>
          </w:p>
        </w:tc>
        <w:tc>
          <w:tcPr>
            <w:tcW w:w="2193" w:type="dxa"/>
            <w:vAlign w:val="center"/>
          </w:tcPr>
          <w:p w14:paraId="312041D4">
            <w:pPr>
              <w:spacing w:line="360" w:lineRule="auto"/>
              <w:jc w:val="center"/>
              <w:textAlignment w:val="baseline"/>
              <w:rPr>
                <w:rFonts w:ascii="宋体" w:hAnsi="宋体" w:cs="仿宋"/>
                <w:b/>
                <w:bCs/>
                <w:sz w:val="24"/>
                <w:szCs w:val="24"/>
                <w:highlight w:val="none"/>
                <w:lang w:val="zh-CN"/>
              </w:rPr>
            </w:pPr>
            <w:r>
              <w:rPr>
                <w:rFonts w:hint="eastAsia" w:ascii="宋体" w:hAnsi="宋体" w:cs="仿宋"/>
                <w:b/>
                <w:bCs/>
                <w:sz w:val="24"/>
                <w:szCs w:val="24"/>
                <w:highlight w:val="none"/>
                <w:lang w:val="zh-CN"/>
              </w:rPr>
              <w:t>在本项目中担任的职务</w:t>
            </w:r>
          </w:p>
        </w:tc>
        <w:tc>
          <w:tcPr>
            <w:tcW w:w="776" w:type="dxa"/>
            <w:vAlign w:val="center"/>
          </w:tcPr>
          <w:p w14:paraId="541D53FD">
            <w:pPr>
              <w:spacing w:line="360" w:lineRule="auto"/>
              <w:jc w:val="center"/>
              <w:textAlignment w:val="baseline"/>
              <w:rPr>
                <w:rFonts w:ascii="宋体" w:hAnsi="宋体" w:cs="仿宋"/>
                <w:b/>
                <w:bCs/>
                <w:sz w:val="24"/>
                <w:szCs w:val="24"/>
                <w:highlight w:val="none"/>
                <w:lang w:val="zh-CN"/>
              </w:rPr>
            </w:pPr>
            <w:r>
              <w:rPr>
                <w:rFonts w:hint="eastAsia" w:ascii="宋体" w:hAnsi="宋体" w:cs="仿宋"/>
                <w:b/>
                <w:bCs/>
                <w:sz w:val="24"/>
                <w:szCs w:val="24"/>
                <w:highlight w:val="none"/>
                <w:lang w:val="zh-CN"/>
              </w:rPr>
              <w:t>职称</w:t>
            </w:r>
          </w:p>
        </w:tc>
        <w:tc>
          <w:tcPr>
            <w:tcW w:w="3383" w:type="dxa"/>
            <w:vAlign w:val="center"/>
          </w:tcPr>
          <w:p w14:paraId="1E3A63D5">
            <w:pPr>
              <w:spacing w:line="360" w:lineRule="auto"/>
              <w:ind w:firstLine="420"/>
              <w:jc w:val="center"/>
              <w:textAlignment w:val="baseline"/>
              <w:rPr>
                <w:rFonts w:ascii="宋体" w:hAnsi="宋体" w:cs="仿宋"/>
                <w:b/>
                <w:bCs/>
                <w:sz w:val="24"/>
                <w:szCs w:val="24"/>
                <w:highlight w:val="none"/>
                <w:lang w:val="zh-CN"/>
              </w:rPr>
            </w:pPr>
            <w:r>
              <w:rPr>
                <w:rFonts w:hint="eastAsia" w:ascii="宋体" w:hAnsi="宋体" w:cs="仿宋"/>
                <w:b/>
                <w:bCs/>
                <w:sz w:val="24"/>
                <w:szCs w:val="24"/>
                <w:highlight w:val="none"/>
                <w:lang w:val="zh-CN"/>
              </w:rPr>
              <w:t>身份证号码</w:t>
            </w:r>
          </w:p>
        </w:tc>
      </w:tr>
      <w:tr w14:paraId="43D1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47" w:type="dxa"/>
            <w:vMerge w:val="restart"/>
            <w:vAlign w:val="center"/>
          </w:tcPr>
          <w:p w14:paraId="6222F196">
            <w:pPr>
              <w:spacing w:line="360" w:lineRule="auto"/>
              <w:jc w:val="center"/>
              <w:textAlignment w:val="baseline"/>
              <w:rPr>
                <w:rFonts w:ascii="宋体" w:hAnsi="宋体" w:cs="仿宋"/>
                <w:sz w:val="24"/>
                <w:szCs w:val="24"/>
                <w:highlight w:val="none"/>
                <w:lang w:val="zh-CN"/>
              </w:rPr>
            </w:pPr>
            <w:r>
              <w:rPr>
                <w:rFonts w:hint="eastAsia" w:ascii="宋体" w:hAnsi="宋体" w:cs="仿宋"/>
                <w:sz w:val="24"/>
                <w:szCs w:val="24"/>
                <w:highlight w:val="none"/>
                <w:lang w:val="zh-CN"/>
              </w:rPr>
              <w:t>1</w:t>
            </w:r>
          </w:p>
        </w:tc>
        <w:tc>
          <w:tcPr>
            <w:tcW w:w="2048" w:type="dxa"/>
            <w:vAlign w:val="center"/>
          </w:tcPr>
          <w:p w14:paraId="59FCCDB2">
            <w:pPr>
              <w:spacing w:line="360" w:lineRule="auto"/>
              <w:ind w:firstLine="420"/>
              <w:textAlignment w:val="baseline"/>
              <w:rPr>
                <w:rFonts w:ascii="宋体" w:hAnsi="宋体" w:cs="仿宋"/>
                <w:sz w:val="24"/>
                <w:szCs w:val="24"/>
                <w:highlight w:val="none"/>
                <w:lang w:val="zh-CN"/>
              </w:rPr>
            </w:pPr>
          </w:p>
        </w:tc>
        <w:tc>
          <w:tcPr>
            <w:tcW w:w="2193" w:type="dxa"/>
            <w:vAlign w:val="center"/>
          </w:tcPr>
          <w:p w14:paraId="2A8671C3">
            <w:pPr>
              <w:spacing w:line="360" w:lineRule="auto"/>
              <w:ind w:firstLine="420"/>
              <w:textAlignment w:val="baseline"/>
              <w:rPr>
                <w:rFonts w:ascii="宋体" w:hAnsi="宋体" w:cs="仿宋"/>
                <w:sz w:val="24"/>
                <w:szCs w:val="24"/>
                <w:highlight w:val="none"/>
                <w:lang w:val="zh-CN"/>
              </w:rPr>
            </w:pPr>
          </w:p>
        </w:tc>
        <w:tc>
          <w:tcPr>
            <w:tcW w:w="776" w:type="dxa"/>
            <w:vAlign w:val="center"/>
          </w:tcPr>
          <w:p w14:paraId="49D3C2DE">
            <w:pPr>
              <w:spacing w:line="360" w:lineRule="auto"/>
              <w:ind w:firstLine="420"/>
              <w:textAlignment w:val="baseline"/>
              <w:rPr>
                <w:rFonts w:ascii="宋体" w:hAnsi="宋体" w:cs="仿宋"/>
                <w:sz w:val="24"/>
                <w:szCs w:val="24"/>
                <w:highlight w:val="none"/>
                <w:lang w:val="zh-CN"/>
              </w:rPr>
            </w:pPr>
          </w:p>
        </w:tc>
        <w:tc>
          <w:tcPr>
            <w:tcW w:w="3383" w:type="dxa"/>
            <w:vAlign w:val="center"/>
          </w:tcPr>
          <w:p w14:paraId="175336EA">
            <w:pPr>
              <w:spacing w:line="360" w:lineRule="auto"/>
              <w:ind w:firstLine="420"/>
              <w:textAlignment w:val="baseline"/>
              <w:rPr>
                <w:rFonts w:ascii="宋体" w:hAnsi="宋体" w:cs="仿宋"/>
                <w:sz w:val="24"/>
                <w:szCs w:val="24"/>
                <w:highlight w:val="none"/>
                <w:lang w:val="zh-CN"/>
              </w:rPr>
            </w:pPr>
          </w:p>
        </w:tc>
      </w:tr>
      <w:tr w14:paraId="415D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47" w:type="dxa"/>
            <w:vMerge w:val="continue"/>
            <w:vAlign w:val="center"/>
          </w:tcPr>
          <w:p w14:paraId="1AB3E72B">
            <w:pPr>
              <w:spacing w:line="360" w:lineRule="auto"/>
              <w:ind w:firstLine="420"/>
              <w:jc w:val="center"/>
              <w:textAlignment w:val="baseline"/>
              <w:rPr>
                <w:rFonts w:ascii="宋体" w:hAnsi="宋体" w:cs="仿宋"/>
                <w:sz w:val="24"/>
                <w:szCs w:val="24"/>
                <w:highlight w:val="none"/>
                <w:lang w:val="zh-CN"/>
              </w:rPr>
            </w:pPr>
          </w:p>
        </w:tc>
        <w:tc>
          <w:tcPr>
            <w:tcW w:w="2048" w:type="dxa"/>
            <w:vAlign w:val="center"/>
          </w:tcPr>
          <w:p w14:paraId="1A0B108E">
            <w:pPr>
              <w:spacing w:line="360" w:lineRule="auto"/>
              <w:ind w:firstLine="420"/>
              <w:textAlignment w:val="baseline"/>
              <w:rPr>
                <w:rFonts w:ascii="宋体" w:hAnsi="宋体" w:cs="仿宋"/>
                <w:sz w:val="24"/>
                <w:szCs w:val="24"/>
                <w:highlight w:val="none"/>
                <w:lang w:val="zh-CN"/>
              </w:rPr>
            </w:pPr>
          </w:p>
        </w:tc>
        <w:tc>
          <w:tcPr>
            <w:tcW w:w="2193" w:type="dxa"/>
            <w:vAlign w:val="center"/>
          </w:tcPr>
          <w:p w14:paraId="0D8F0E1E">
            <w:pPr>
              <w:spacing w:line="360" w:lineRule="auto"/>
              <w:ind w:firstLine="420"/>
              <w:textAlignment w:val="baseline"/>
              <w:rPr>
                <w:rFonts w:ascii="宋体" w:hAnsi="宋体" w:cs="仿宋"/>
                <w:sz w:val="24"/>
                <w:szCs w:val="24"/>
                <w:highlight w:val="none"/>
                <w:lang w:val="zh-CN"/>
              </w:rPr>
            </w:pPr>
          </w:p>
        </w:tc>
        <w:tc>
          <w:tcPr>
            <w:tcW w:w="776" w:type="dxa"/>
            <w:vAlign w:val="center"/>
          </w:tcPr>
          <w:p w14:paraId="0E28379F">
            <w:pPr>
              <w:spacing w:line="360" w:lineRule="auto"/>
              <w:ind w:firstLine="420"/>
              <w:textAlignment w:val="baseline"/>
              <w:rPr>
                <w:rFonts w:ascii="宋体" w:hAnsi="宋体" w:cs="仿宋"/>
                <w:sz w:val="24"/>
                <w:szCs w:val="24"/>
                <w:highlight w:val="none"/>
                <w:lang w:val="zh-CN"/>
              </w:rPr>
            </w:pPr>
          </w:p>
        </w:tc>
        <w:tc>
          <w:tcPr>
            <w:tcW w:w="3383" w:type="dxa"/>
            <w:vAlign w:val="center"/>
          </w:tcPr>
          <w:p w14:paraId="2D366197">
            <w:pPr>
              <w:spacing w:line="360" w:lineRule="auto"/>
              <w:ind w:firstLine="420"/>
              <w:textAlignment w:val="baseline"/>
              <w:rPr>
                <w:rFonts w:ascii="宋体" w:hAnsi="宋体" w:cs="仿宋"/>
                <w:sz w:val="24"/>
                <w:szCs w:val="24"/>
                <w:highlight w:val="none"/>
                <w:lang w:val="zh-CN"/>
              </w:rPr>
            </w:pPr>
          </w:p>
        </w:tc>
      </w:tr>
      <w:tr w14:paraId="6189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47" w:type="dxa"/>
            <w:vMerge w:val="restart"/>
            <w:vAlign w:val="center"/>
          </w:tcPr>
          <w:p w14:paraId="35733A58">
            <w:pPr>
              <w:spacing w:line="360" w:lineRule="auto"/>
              <w:jc w:val="center"/>
              <w:textAlignment w:val="baseline"/>
              <w:rPr>
                <w:rFonts w:ascii="宋体" w:hAnsi="宋体" w:cs="仿宋"/>
                <w:sz w:val="24"/>
                <w:szCs w:val="24"/>
                <w:highlight w:val="none"/>
                <w:lang w:val="zh-CN"/>
              </w:rPr>
            </w:pPr>
            <w:r>
              <w:rPr>
                <w:rFonts w:hint="eastAsia" w:ascii="宋体" w:hAnsi="宋体" w:cs="仿宋"/>
                <w:sz w:val="24"/>
                <w:szCs w:val="24"/>
                <w:highlight w:val="none"/>
                <w:lang w:val="zh-CN"/>
              </w:rPr>
              <w:t>2</w:t>
            </w:r>
          </w:p>
        </w:tc>
        <w:tc>
          <w:tcPr>
            <w:tcW w:w="2048" w:type="dxa"/>
            <w:vAlign w:val="center"/>
          </w:tcPr>
          <w:p w14:paraId="2648E38A">
            <w:pPr>
              <w:spacing w:line="360" w:lineRule="auto"/>
              <w:ind w:firstLine="420"/>
              <w:textAlignment w:val="baseline"/>
              <w:rPr>
                <w:rFonts w:ascii="宋体" w:hAnsi="宋体" w:cs="仿宋"/>
                <w:sz w:val="24"/>
                <w:szCs w:val="24"/>
                <w:highlight w:val="none"/>
                <w:lang w:val="zh-CN"/>
              </w:rPr>
            </w:pPr>
          </w:p>
        </w:tc>
        <w:tc>
          <w:tcPr>
            <w:tcW w:w="2193" w:type="dxa"/>
            <w:vAlign w:val="center"/>
          </w:tcPr>
          <w:p w14:paraId="63FD523B">
            <w:pPr>
              <w:spacing w:line="360" w:lineRule="auto"/>
              <w:ind w:firstLine="420"/>
              <w:textAlignment w:val="baseline"/>
              <w:rPr>
                <w:rFonts w:ascii="宋体" w:hAnsi="宋体" w:cs="仿宋"/>
                <w:sz w:val="24"/>
                <w:szCs w:val="24"/>
                <w:highlight w:val="none"/>
                <w:lang w:val="zh-CN"/>
              </w:rPr>
            </w:pPr>
          </w:p>
        </w:tc>
        <w:tc>
          <w:tcPr>
            <w:tcW w:w="776" w:type="dxa"/>
            <w:vAlign w:val="center"/>
          </w:tcPr>
          <w:p w14:paraId="4E637158">
            <w:pPr>
              <w:spacing w:line="360" w:lineRule="auto"/>
              <w:ind w:firstLine="420"/>
              <w:textAlignment w:val="baseline"/>
              <w:rPr>
                <w:rFonts w:ascii="宋体" w:hAnsi="宋体" w:cs="仿宋"/>
                <w:sz w:val="24"/>
                <w:szCs w:val="24"/>
                <w:highlight w:val="none"/>
                <w:lang w:val="zh-CN"/>
              </w:rPr>
            </w:pPr>
          </w:p>
        </w:tc>
        <w:tc>
          <w:tcPr>
            <w:tcW w:w="3383" w:type="dxa"/>
            <w:vAlign w:val="center"/>
          </w:tcPr>
          <w:p w14:paraId="222E8D28">
            <w:pPr>
              <w:spacing w:line="360" w:lineRule="auto"/>
              <w:ind w:firstLine="420"/>
              <w:textAlignment w:val="baseline"/>
              <w:rPr>
                <w:rFonts w:ascii="宋体" w:hAnsi="宋体" w:cs="仿宋"/>
                <w:sz w:val="24"/>
                <w:szCs w:val="24"/>
                <w:highlight w:val="none"/>
                <w:lang w:val="zh-CN"/>
              </w:rPr>
            </w:pPr>
          </w:p>
        </w:tc>
      </w:tr>
      <w:tr w14:paraId="1A96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47" w:type="dxa"/>
            <w:vMerge w:val="continue"/>
            <w:vAlign w:val="center"/>
          </w:tcPr>
          <w:p w14:paraId="29F4E34F">
            <w:pPr>
              <w:spacing w:line="360" w:lineRule="auto"/>
              <w:ind w:firstLine="420"/>
              <w:jc w:val="center"/>
              <w:textAlignment w:val="baseline"/>
              <w:rPr>
                <w:rFonts w:ascii="宋体" w:hAnsi="宋体" w:cs="仿宋"/>
                <w:sz w:val="24"/>
                <w:szCs w:val="24"/>
                <w:highlight w:val="none"/>
                <w:lang w:val="zh-CN"/>
              </w:rPr>
            </w:pPr>
          </w:p>
        </w:tc>
        <w:tc>
          <w:tcPr>
            <w:tcW w:w="2048" w:type="dxa"/>
            <w:vAlign w:val="center"/>
          </w:tcPr>
          <w:p w14:paraId="0FD15EAF">
            <w:pPr>
              <w:spacing w:line="360" w:lineRule="auto"/>
              <w:ind w:firstLine="420"/>
              <w:textAlignment w:val="baseline"/>
              <w:rPr>
                <w:rFonts w:ascii="宋体" w:hAnsi="宋体" w:cs="仿宋"/>
                <w:sz w:val="24"/>
                <w:szCs w:val="24"/>
                <w:highlight w:val="none"/>
                <w:lang w:val="zh-CN"/>
              </w:rPr>
            </w:pPr>
          </w:p>
        </w:tc>
        <w:tc>
          <w:tcPr>
            <w:tcW w:w="2193" w:type="dxa"/>
            <w:vAlign w:val="center"/>
          </w:tcPr>
          <w:p w14:paraId="6F8B00AE">
            <w:pPr>
              <w:spacing w:line="360" w:lineRule="auto"/>
              <w:ind w:firstLine="420"/>
              <w:textAlignment w:val="baseline"/>
              <w:rPr>
                <w:rFonts w:ascii="宋体" w:hAnsi="宋体" w:cs="仿宋"/>
                <w:sz w:val="24"/>
                <w:szCs w:val="24"/>
                <w:highlight w:val="none"/>
                <w:lang w:val="zh-CN"/>
              </w:rPr>
            </w:pPr>
          </w:p>
        </w:tc>
        <w:tc>
          <w:tcPr>
            <w:tcW w:w="776" w:type="dxa"/>
            <w:vAlign w:val="center"/>
          </w:tcPr>
          <w:p w14:paraId="1AD30971">
            <w:pPr>
              <w:spacing w:line="360" w:lineRule="auto"/>
              <w:ind w:firstLine="420"/>
              <w:textAlignment w:val="baseline"/>
              <w:rPr>
                <w:rFonts w:ascii="宋体" w:hAnsi="宋体" w:cs="仿宋"/>
                <w:sz w:val="24"/>
                <w:szCs w:val="24"/>
                <w:highlight w:val="none"/>
                <w:lang w:val="zh-CN"/>
              </w:rPr>
            </w:pPr>
          </w:p>
        </w:tc>
        <w:tc>
          <w:tcPr>
            <w:tcW w:w="3383" w:type="dxa"/>
            <w:vAlign w:val="center"/>
          </w:tcPr>
          <w:p w14:paraId="64FC1F73">
            <w:pPr>
              <w:spacing w:line="360" w:lineRule="auto"/>
              <w:ind w:firstLine="420"/>
              <w:textAlignment w:val="baseline"/>
              <w:rPr>
                <w:rFonts w:ascii="宋体" w:hAnsi="宋体" w:cs="仿宋"/>
                <w:sz w:val="24"/>
                <w:szCs w:val="24"/>
                <w:highlight w:val="none"/>
                <w:lang w:val="zh-CN"/>
              </w:rPr>
            </w:pPr>
          </w:p>
        </w:tc>
      </w:tr>
      <w:tr w14:paraId="2699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47" w:type="dxa"/>
            <w:vMerge w:val="restart"/>
            <w:vAlign w:val="center"/>
          </w:tcPr>
          <w:p w14:paraId="7B37BAE1">
            <w:pPr>
              <w:spacing w:line="360" w:lineRule="auto"/>
              <w:jc w:val="center"/>
              <w:textAlignment w:val="baseline"/>
              <w:rPr>
                <w:rFonts w:ascii="宋体" w:hAnsi="宋体" w:cs="仿宋"/>
                <w:sz w:val="24"/>
                <w:szCs w:val="24"/>
                <w:highlight w:val="none"/>
              </w:rPr>
            </w:pPr>
            <w:r>
              <w:rPr>
                <w:rFonts w:hint="eastAsia" w:ascii="宋体" w:hAnsi="宋体" w:cs="仿宋"/>
                <w:sz w:val="24"/>
                <w:szCs w:val="24"/>
                <w:highlight w:val="none"/>
              </w:rPr>
              <w:t>3</w:t>
            </w:r>
          </w:p>
        </w:tc>
        <w:tc>
          <w:tcPr>
            <w:tcW w:w="2048" w:type="dxa"/>
            <w:vAlign w:val="center"/>
          </w:tcPr>
          <w:p w14:paraId="399FEEC4">
            <w:pPr>
              <w:spacing w:line="360" w:lineRule="auto"/>
              <w:ind w:firstLine="420"/>
              <w:textAlignment w:val="baseline"/>
              <w:rPr>
                <w:rFonts w:ascii="宋体" w:hAnsi="宋体" w:cs="仿宋"/>
                <w:sz w:val="24"/>
                <w:szCs w:val="24"/>
                <w:highlight w:val="none"/>
                <w:lang w:val="zh-CN"/>
              </w:rPr>
            </w:pPr>
          </w:p>
        </w:tc>
        <w:tc>
          <w:tcPr>
            <w:tcW w:w="2193" w:type="dxa"/>
            <w:vAlign w:val="center"/>
          </w:tcPr>
          <w:p w14:paraId="6C12E537">
            <w:pPr>
              <w:spacing w:line="360" w:lineRule="auto"/>
              <w:ind w:firstLine="420"/>
              <w:textAlignment w:val="baseline"/>
              <w:rPr>
                <w:rFonts w:ascii="宋体" w:hAnsi="宋体" w:cs="仿宋"/>
                <w:sz w:val="24"/>
                <w:szCs w:val="24"/>
                <w:highlight w:val="none"/>
                <w:lang w:val="zh-CN"/>
              </w:rPr>
            </w:pPr>
          </w:p>
        </w:tc>
        <w:tc>
          <w:tcPr>
            <w:tcW w:w="776" w:type="dxa"/>
            <w:vAlign w:val="center"/>
          </w:tcPr>
          <w:p w14:paraId="55375107">
            <w:pPr>
              <w:spacing w:line="360" w:lineRule="auto"/>
              <w:ind w:firstLine="420"/>
              <w:textAlignment w:val="baseline"/>
              <w:rPr>
                <w:rFonts w:ascii="宋体" w:hAnsi="宋体" w:cs="仿宋"/>
                <w:sz w:val="24"/>
                <w:szCs w:val="24"/>
                <w:highlight w:val="none"/>
                <w:lang w:val="zh-CN"/>
              </w:rPr>
            </w:pPr>
          </w:p>
        </w:tc>
        <w:tc>
          <w:tcPr>
            <w:tcW w:w="3383" w:type="dxa"/>
            <w:vAlign w:val="center"/>
          </w:tcPr>
          <w:p w14:paraId="6755DDB6">
            <w:pPr>
              <w:spacing w:line="360" w:lineRule="auto"/>
              <w:ind w:firstLine="420"/>
              <w:textAlignment w:val="baseline"/>
              <w:rPr>
                <w:rFonts w:ascii="宋体" w:hAnsi="宋体" w:cs="仿宋"/>
                <w:sz w:val="24"/>
                <w:szCs w:val="24"/>
                <w:highlight w:val="none"/>
                <w:lang w:val="zh-CN"/>
              </w:rPr>
            </w:pPr>
          </w:p>
        </w:tc>
      </w:tr>
      <w:tr w14:paraId="776F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47" w:type="dxa"/>
            <w:vMerge w:val="continue"/>
            <w:vAlign w:val="center"/>
          </w:tcPr>
          <w:p w14:paraId="70607CA9">
            <w:pPr>
              <w:spacing w:line="360" w:lineRule="auto"/>
              <w:ind w:firstLine="420"/>
              <w:jc w:val="center"/>
              <w:textAlignment w:val="baseline"/>
              <w:rPr>
                <w:rFonts w:ascii="宋体" w:hAnsi="宋体" w:cs="仿宋"/>
                <w:sz w:val="24"/>
                <w:szCs w:val="24"/>
                <w:highlight w:val="none"/>
                <w:lang w:val="zh-CN"/>
              </w:rPr>
            </w:pPr>
          </w:p>
        </w:tc>
        <w:tc>
          <w:tcPr>
            <w:tcW w:w="2048" w:type="dxa"/>
            <w:vAlign w:val="center"/>
          </w:tcPr>
          <w:p w14:paraId="7ED6D707">
            <w:pPr>
              <w:spacing w:line="360" w:lineRule="auto"/>
              <w:ind w:firstLine="420"/>
              <w:textAlignment w:val="baseline"/>
              <w:rPr>
                <w:rFonts w:ascii="宋体" w:hAnsi="宋体" w:cs="仿宋"/>
                <w:sz w:val="24"/>
                <w:szCs w:val="24"/>
                <w:highlight w:val="none"/>
                <w:lang w:val="zh-CN"/>
              </w:rPr>
            </w:pPr>
          </w:p>
        </w:tc>
        <w:tc>
          <w:tcPr>
            <w:tcW w:w="2193" w:type="dxa"/>
            <w:vAlign w:val="center"/>
          </w:tcPr>
          <w:p w14:paraId="6857EC06">
            <w:pPr>
              <w:spacing w:line="360" w:lineRule="auto"/>
              <w:ind w:firstLine="420"/>
              <w:textAlignment w:val="baseline"/>
              <w:rPr>
                <w:rFonts w:ascii="宋体" w:hAnsi="宋体" w:cs="仿宋"/>
                <w:sz w:val="24"/>
                <w:szCs w:val="24"/>
                <w:highlight w:val="none"/>
                <w:lang w:val="zh-CN"/>
              </w:rPr>
            </w:pPr>
          </w:p>
        </w:tc>
        <w:tc>
          <w:tcPr>
            <w:tcW w:w="776" w:type="dxa"/>
            <w:vAlign w:val="center"/>
          </w:tcPr>
          <w:p w14:paraId="6E99573B">
            <w:pPr>
              <w:spacing w:line="360" w:lineRule="auto"/>
              <w:ind w:firstLine="420"/>
              <w:textAlignment w:val="baseline"/>
              <w:rPr>
                <w:rFonts w:ascii="宋体" w:hAnsi="宋体" w:cs="仿宋"/>
                <w:sz w:val="24"/>
                <w:szCs w:val="24"/>
                <w:highlight w:val="none"/>
                <w:lang w:val="zh-CN"/>
              </w:rPr>
            </w:pPr>
          </w:p>
        </w:tc>
        <w:tc>
          <w:tcPr>
            <w:tcW w:w="3383" w:type="dxa"/>
            <w:vAlign w:val="center"/>
          </w:tcPr>
          <w:p w14:paraId="63A686A7">
            <w:pPr>
              <w:spacing w:line="360" w:lineRule="auto"/>
              <w:ind w:firstLine="420"/>
              <w:textAlignment w:val="baseline"/>
              <w:rPr>
                <w:rFonts w:ascii="宋体" w:hAnsi="宋体" w:cs="仿宋"/>
                <w:sz w:val="24"/>
                <w:szCs w:val="24"/>
                <w:highlight w:val="none"/>
                <w:lang w:val="zh-CN"/>
              </w:rPr>
            </w:pPr>
          </w:p>
        </w:tc>
      </w:tr>
    </w:tbl>
    <w:p w14:paraId="758138DB">
      <w:pPr>
        <w:tabs>
          <w:tab w:val="left" w:pos="142"/>
        </w:tabs>
        <w:spacing w:line="360" w:lineRule="auto"/>
        <w:ind w:firstLine="480" w:firstLineChars="200"/>
        <w:jc w:val="left"/>
        <w:textAlignment w:val="baseline"/>
        <w:rPr>
          <w:rFonts w:ascii="宋体" w:hAnsi="宋体" w:cs="仿宋"/>
          <w:sz w:val="24"/>
          <w:szCs w:val="24"/>
          <w:highlight w:val="none"/>
        </w:rPr>
      </w:pPr>
    </w:p>
    <w:p w14:paraId="3F00E78D">
      <w:pPr>
        <w:tabs>
          <w:tab w:val="left" w:pos="142"/>
        </w:tabs>
        <w:spacing w:line="360" w:lineRule="auto"/>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磋商单位全称（公章):</w:t>
      </w:r>
    </w:p>
    <w:p w14:paraId="50DFA315">
      <w:pPr>
        <w:tabs>
          <w:tab w:val="left" w:pos="142"/>
        </w:tabs>
        <w:spacing w:line="360" w:lineRule="auto"/>
        <w:ind w:firstLine="480" w:firstLineChars="200"/>
        <w:jc w:val="left"/>
        <w:textAlignment w:val="baseline"/>
        <w:rPr>
          <w:rFonts w:ascii="宋体" w:hAnsi="宋体" w:cs="仿宋"/>
          <w:sz w:val="24"/>
          <w:szCs w:val="24"/>
          <w:highlight w:val="none"/>
        </w:rPr>
      </w:pPr>
      <w:r>
        <w:rPr>
          <w:rFonts w:hint="eastAsia" w:ascii="宋体" w:hAnsi="宋体" w:cs="仿宋"/>
          <w:sz w:val="24"/>
          <w:szCs w:val="24"/>
          <w:highlight w:val="none"/>
        </w:rPr>
        <w:t xml:space="preserve">法定代表人（授权代表）签章：      </w:t>
      </w:r>
    </w:p>
    <w:p w14:paraId="4644C3D3">
      <w:pPr>
        <w:tabs>
          <w:tab w:val="left" w:pos="142"/>
        </w:tabs>
        <w:spacing w:line="360" w:lineRule="auto"/>
        <w:ind w:firstLine="480" w:firstLineChars="200"/>
        <w:jc w:val="left"/>
        <w:textAlignment w:val="baseline"/>
        <w:rPr>
          <w:rFonts w:ascii="宋体" w:hAnsi="宋体" w:cs="仿宋"/>
          <w:b/>
          <w:bCs/>
          <w:sz w:val="28"/>
          <w:szCs w:val="28"/>
          <w:highlight w:val="none"/>
        </w:rPr>
      </w:pPr>
      <w:r>
        <w:rPr>
          <w:rFonts w:hint="eastAsia" w:ascii="宋体" w:hAnsi="宋体" w:cs="仿宋"/>
          <w:sz w:val="24"/>
          <w:szCs w:val="24"/>
          <w:highlight w:val="none"/>
        </w:rPr>
        <w:t>日期：      年     月      日</w:t>
      </w:r>
      <w:r>
        <w:rPr>
          <w:rFonts w:ascii="宋体" w:hAnsi="宋体"/>
          <w:sz w:val="20"/>
          <w:highlight w:val="none"/>
        </w:rPr>
        <w:br w:type="page"/>
      </w:r>
    </w:p>
    <w:p w14:paraId="04ADA9BF">
      <w:pPr>
        <w:pStyle w:val="35"/>
        <w:spacing w:line="360" w:lineRule="auto"/>
        <w:ind w:left="0" w:firstLine="0"/>
        <w:jc w:val="center"/>
        <w:textAlignment w:val="baseline"/>
        <w:rPr>
          <w:rFonts w:ascii="宋体" w:hAnsi="宋体" w:cs="仿宋"/>
          <w:sz w:val="32"/>
          <w:szCs w:val="32"/>
          <w:highlight w:val="none"/>
        </w:rPr>
      </w:pPr>
      <w:bookmarkStart w:id="627" w:name="_Toc7395"/>
      <w:bookmarkStart w:id="628" w:name="_Toc10803"/>
      <w:bookmarkStart w:id="629" w:name="_Toc27413"/>
      <w:r>
        <w:rPr>
          <w:rFonts w:hint="eastAsia" w:ascii="宋体" w:hAnsi="宋体" w:cs="仿宋"/>
          <w:sz w:val="32"/>
          <w:szCs w:val="32"/>
          <w:highlight w:val="none"/>
        </w:rPr>
        <w:t>九、</w:t>
      </w:r>
      <w:bookmarkStart w:id="630" w:name="_Toc5613"/>
      <w:bookmarkStart w:id="631" w:name="_Toc12366"/>
      <w:bookmarkStart w:id="632" w:name="_Toc818"/>
      <w:r>
        <w:rPr>
          <w:rFonts w:hint="eastAsia" w:ascii="宋体" w:hAnsi="宋体" w:cs="仿宋"/>
          <w:sz w:val="32"/>
          <w:szCs w:val="32"/>
          <w:highlight w:val="none"/>
        </w:rPr>
        <w:t>相关附表格式</w:t>
      </w:r>
      <w:bookmarkEnd w:id="627"/>
      <w:bookmarkEnd w:id="628"/>
      <w:bookmarkEnd w:id="629"/>
      <w:bookmarkEnd w:id="630"/>
      <w:bookmarkEnd w:id="631"/>
      <w:bookmarkEnd w:id="632"/>
    </w:p>
    <w:p w14:paraId="428B5B37">
      <w:pPr>
        <w:pStyle w:val="5"/>
        <w:numPr>
          <w:ilvl w:val="1"/>
          <w:numId w:val="0"/>
        </w:numPr>
        <w:spacing w:before="0" w:after="0" w:line="360" w:lineRule="auto"/>
        <w:ind w:firstLine="562" w:firstLineChars="200"/>
        <w:textAlignment w:val="baseline"/>
        <w:rPr>
          <w:rFonts w:ascii="宋体" w:hAnsi="宋体" w:eastAsia="宋体" w:cs="仿宋"/>
          <w:sz w:val="28"/>
          <w:szCs w:val="28"/>
          <w:highlight w:val="none"/>
        </w:rPr>
      </w:pPr>
      <w:bookmarkStart w:id="633" w:name="_Toc31826"/>
      <w:bookmarkStart w:id="634" w:name="_Toc6370"/>
      <w:bookmarkStart w:id="635" w:name="_Toc23830"/>
      <w:r>
        <w:rPr>
          <w:rFonts w:hint="eastAsia" w:ascii="宋体" w:hAnsi="宋体" w:eastAsia="宋体" w:cs="仿宋"/>
          <w:sz w:val="28"/>
          <w:szCs w:val="28"/>
          <w:highlight w:val="none"/>
        </w:rPr>
        <w:t>附 件1: 法人授权委托书</w:t>
      </w:r>
      <w:bookmarkEnd w:id="633"/>
      <w:bookmarkEnd w:id="634"/>
      <w:bookmarkEnd w:id="635"/>
    </w:p>
    <w:p w14:paraId="2ED9B7A3">
      <w:pPr>
        <w:pStyle w:val="91"/>
        <w:spacing w:line="480" w:lineRule="auto"/>
        <w:ind w:firstLine="480"/>
        <w:rPr>
          <w:rFonts w:hint="eastAsia"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本授权书声明：</w:t>
      </w:r>
      <w:r>
        <w:rPr>
          <w:rFonts w:hint="eastAsia" w:ascii="宋体" w:hAnsi="宋体" w:eastAsia="宋体" w:cs="仿宋"/>
          <w:kern w:val="2"/>
          <w:sz w:val="24"/>
          <w:szCs w:val="24"/>
          <w:highlight w:val="none"/>
          <w:u w:val="single"/>
          <w:lang w:val="en-US" w:eastAsia="zh-CN" w:bidi="ar-SA"/>
        </w:rPr>
        <w:t xml:space="preserve">            </w:t>
      </w:r>
      <w:r>
        <w:rPr>
          <w:rFonts w:hint="eastAsia" w:ascii="宋体" w:hAnsi="宋体" w:eastAsia="宋体" w:cs="仿宋"/>
          <w:kern w:val="2"/>
          <w:sz w:val="24"/>
          <w:szCs w:val="24"/>
          <w:highlight w:val="none"/>
          <w:lang w:val="en-US" w:eastAsia="zh-CN" w:bidi="ar-SA"/>
        </w:rPr>
        <w:t>（供应商名称）授权</w:t>
      </w:r>
      <w:r>
        <w:rPr>
          <w:rFonts w:hint="eastAsia" w:ascii="宋体" w:hAnsi="宋体" w:eastAsia="宋体" w:cs="仿宋"/>
          <w:kern w:val="2"/>
          <w:sz w:val="24"/>
          <w:szCs w:val="24"/>
          <w:highlight w:val="none"/>
          <w:u w:val="single"/>
          <w:lang w:val="en-US" w:eastAsia="zh-CN" w:bidi="ar-SA"/>
        </w:rPr>
        <w:t xml:space="preserve">                 </w:t>
      </w:r>
      <w:r>
        <w:rPr>
          <w:rFonts w:hint="eastAsia" w:ascii="宋体" w:hAnsi="宋体" w:eastAsia="宋体" w:cs="仿宋"/>
          <w:kern w:val="2"/>
          <w:sz w:val="24"/>
          <w:szCs w:val="24"/>
          <w:highlight w:val="none"/>
          <w:lang w:val="en-US" w:eastAsia="zh-CN" w:bidi="ar-SA"/>
        </w:rPr>
        <w:t>（被授权人的姓名）作为我方就编号为</w:t>
      </w:r>
      <w:r>
        <w:rPr>
          <w:rFonts w:hint="eastAsia" w:ascii="宋体" w:hAnsi="宋体" w:eastAsia="宋体" w:cs="仿宋"/>
          <w:kern w:val="2"/>
          <w:sz w:val="24"/>
          <w:szCs w:val="24"/>
          <w:highlight w:val="none"/>
          <w:u w:val="single"/>
          <w:lang w:val="en-US" w:eastAsia="zh-CN" w:bidi="ar-SA"/>
        </w:rPr>
        <w:t xml:space="preserve">           </w:t>
      </w:r>
      <w:r>
        <w:rPr>
          <w:rFonts w:hint="eastAsia" w:ascii="宋体" w:hAnsi="宋体" w:cs="仿宋"/>
          <w:kern w:val="2"/>
          <w:sz w:val="24"/>
          <w:szCs w:val="24"/>
          <w:highlight w:val="none"/>
          <w:u w:val="single"/>
          <w:lang w:val="en-US" w:eastAsia="zh-CN" w:bidi="ar-SA"/>
        </w:rPr>
        <w:t xml:space="preserve"> </w:t>
      </w:r>
      <w:r>
        <w:rPr>
          <w:rFonts w:hint="eastAsia" w:ascii="宋体" w:hAnsi="宋体" w:eastAsia="宋体" w:cs="仿宋"/>
          <w:kern w:val="2"/>
          <w:sz w:val="24"/>
          <w:szCs w:val="24"/>
          <w:highlight w:val="none"/>
          <w:u w:val="single"/>
          <w:lang w:val="en-US" w:eastAsia="zh-CN" w:bidi="ar-SA"/>
        </w:rPr>
        <w:t xml:space="preserve">                </w:t>
      </w:r>
      <w:r>
        <w:rPr>
          <w:rFonts w:hint="eastAsia" w:ascii="宋体" w:hAnsi="宋体" w:eastAsia="宋体" w:cs="仿宋"/>
          <w:kern w:val="2"/>
          <w:sz w:val="24"/>
          <w:szCs w:val="24"/>
          <w:highlight w:val="none"/>
          <w:lang w:val="en-US" w:eastAsia="zh-CN" w:bidi="ar-SA"/>
        </w:rPr>
        <w:t xml:space="preserve"> 的项目采购活动的合法代理人，以本单位名义全权处理一切与该项目采购有关的事务。</w:t>
      </w:r>
    </w:p>
    <w:p w14:paraId="0E542502">
      <w:pPr>
        <w:pStyle w:val="91"/>
        <w:spacing w:line="480" w:lineRule="auto"/>
        <w:ind w:firstLine="480"/>
        <w:rPr>
          <w:rFonts w:hint="eastAsia"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本授权书于______年____月____日起生效，特此声明。</w:t>
      </w:r>
    </w:p>
    <w:p w14:paraId="48B82B1C">
      <w:pPr>
        <w:pStyle w:val="91"/>
        <w:spacing w:line="480" w:lineRule="auto"/>
        <w:ind w:firstLine="0"/>
        <w:rPr>
          <w:rFonts w:hint="default" w:ascii="宋体" w:hAnsi="宋体" w:eastAsia="宋体" w:cs="仿宋"/>
          <w:kern w:val="2"/>
          <w:sz w:val="24"/>
          <w:szCs w:val="24"/>
          <w:highlight w:val="none"/>
          <w:u w:val="single"/>
          <w:lang w:val="en-US" w:eastAsia="zh-CN" w:bidi="ar-SA"/>
        </w:rPr>
      </w:pPr>
      <w:r>
        <w:rPr>
          <w:rFonts w:hint="eastAsia" w:ascii="宋体" w:hAnsi="宋体" w:eastAsia="宋体" w:cs="仿宋"/>
          <w:kern w:val="2"/>
          <w:sz w:val="24"/>
          <w:szCs w:val="24"/>
          <w:highlight w:val="none"/>
          <w:lang w:val="en-US" w:eastAsia="zh-CN" w:bidi="ar-SA"/>
        </w:rPr>
        <w:t xml:space="preserve">    被授权人身份证号码：</w:t>
      </w:r>
      <w:r>
        <w:rPr>
          <w:rFonts w:hint="eastAsia" w:ascii="宋体" w:hAnsi="宋体" w:cs="仿宋"/>
          <w:kern w:val="2"/>
          <w:sz w:val="24"/>
          <w:szCs w:val="24"/>
          <w:highlight w:val="none"/>
          <w:u w:val="single"/>
          <w:lang w:val="en-US" w:eastAsia="zh-CN" w:bidi="ar-SA"/>
        </w:rPr>
        <w:t xml:space="preserve">                     </w:t>
      </w:r>
    </w:p>
    <w:p w14:paraId="19AD7F20">
      <w:pPr>
        <w:pStyle w:val="91"/>
        <w:spacing w:line="480" w:lineRule="auto"/>
        <w:ind w:firstLine="480"/>
        <w:rPr>
          <w:rFonts w:hint="eastAsia"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被授权人联系电话：</w:t>
      </w:r>
      <w:r>
        <w:rPr>
          <w:rFonts w:hint="eastAsia" w:ascii="宋体" w:hAnsi="宋体" w:cs="仿宋"/>
          <w:kern w:val="2"/>
          <w:sz w:val="24"/>
          <w:szCs w:val="24"/>
          <w:highlight w:val="none"/>
          <w:u w:val="single"/>
          <w:lang w:val="en-US" w:eastAsia="zh-CN" w:bidi="ar-SA"/>
        </w:rPr>
        <w:t xml:space="preserve">                       </w:t>
      </w:r>
      <w:r>
        <w:rPr>
          <w:rFonts w:hint="eastAsia" w:ascii="宋体" w:hAnsi="宋体" w:eastAsia="宋体" w:cs="仿宋"/>
          <w:kern w:val="2"/>
          <w:sz w:val="24"/>
          <w:szCs w:val="24"/>
          <w:highlight w:val="none"/>
          <w:lang w:val="en-US" w:eastAsia="zh-CN" w:bidi="ar-SA"/>
        </w:rPr>
        <w:t>（手机）</w:t>
      </w:r>
    </w:p>
    <w:p w14:paraId="164E6E31">
      <w:pPr>
        <w:pStyle w:val="91"/>
        <w:spacing w:line="480" w:lineRule="auto"/>
        <w:ind w:firstLine="480"/>
        <w:rPr>
          <w:rFonts w:hint="eastAsia"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授权单位名称：</w:t>
      </w:r>
      <w:r>
        <w:rPr>
          <w:rFonts w:hint="eastAsia" w:ascii="宋体" w:hAnsi="宋体" w:cs="仿宋"/>
          <w:kern w:val="2"/>
          <w:sz w:val="24"/>
          <w:szCs w:val="24"/>
          <w:highlight w:val="none"/>
          <w:u w:val="single"/>
          <w:lang w:val="en-US" w:eastAsia="zh-CN" w:bidi="ar-SA"/>
        </w:rPr>
        <w:t xml:space="preserve">                            </w:t>
      </w:r>
      <w:r>
        <w:rPr>
          <w:rFonts w:hint="eastAsia" w:ascii="宋体" w:hAnsi="宋体" w:eastAsia="宋体" w:cs="仿宋"/>
          <w:kern w:val="2"/>
          <w:sz w:val="24"/>
          <w:szCs w:val="24"/>
          <w:highlight w:val="none"/>
          <w:lang w:val="en-US" w:eastAsia="zh-CN" w:bidi="ar-SA"/>
        </w:rPr>
        <w:t>（</w:t>
      </w:r>
      <w:r>
        <w:rPr>
          <w:rFonts w:hint="eastAsia" w:ascii="宋体" w:hAnsi="宋体" w:cs="仿宋"/>
          <w:kern w:val="2"/>
          <w:sz w:val="24"/>
          <w:szCs w:val="24"/>
          <w:highlight w:val="none"/>
          <w:lang w:val="en-US" w:eastAsia="zh-CN" w:bidi="ar-SA"/>
        </w:rPr>
        <w:t>公章</w:t>
      </w:r>
      <w:r>
        <w:rPr>
          <w:rFonts w:hint="eastAsia" w:ascii="宋体" w:hAnsi="宋体" w:eastAsia="宋体" w:cs="仿宋"/>
          <w:kern w:val="2"/>
          <w:sz w:val="24"/>
          <w:szCs w:val="24"/>
          <w:highlight w:val="none"/>
          <w:lang w:val="en-US" w:eastAsia="zh-CN" w:bidi="ar-SA"/>
        </w:rPr>
        <w:t>）</w:t>
      </w:r>
    </w:p>
    <w:p w14:paraId="1307A2C1">
      <w:pPr>
        <w:pStyle w:val="91"/>
        <w:spacing w:line="480" w:lineRule="auto"/>
        <w:ind w:firstLine="480"/>
        <w:rPr>
          <w:rFonts w:hint="eastAsia"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法定代表人（授权代表）签章：</w:t>
      </w:r>
    </w:p>
    <w:p w14:paraId="1F940BA3">
      <w:pPr>
        <w:pStyle w:val="91"/>
        <w:spacing w:line="480" w:lineRule="auto"/>
        <w:ind w:firstLine="480"/>
        <w:rPr>
          <w:rFonts w:hint="default" w:ascii="宋体" w:hAnsi="宋体" w:eastAsia="宋体" w:cs="仿宋"/>
          <w:kern w:val="2"/>
          <w:sz w:val="24"/>
          <w:szCs w:val="24"/>
          <w:highlight w:val="none"/>
          <w:u w:val="single"/>
          <w:lang w:val="en-US" w:eastAsia="zh-CN" w:bidi="ar-SA"/>
        </w:rPr>
      </w:pPr>
      <w:r>
        <w:rPr>
          <w:rFonts w:hint="eastAsia" w:ascii="宋体" w:hAnsi="宋体" w:eastAsia="宋体" w:cs="仿宋"/>
          <w:kern w:val="2"/>
          <w:sz w:val="24"/>
          <w:szCs w:val="24"/>
          <w:highlight w:val="none"/>
          <w:lang w:val="en-US" w:eastAsia="zh-CN" w:bidi="ar-SA"/>
        </w:rPr>
        <w:t>单位地址：</w:t>
      </w:r>
      <w:r>
        <w:rPr>
          <w:rFonts w:hint="eastAsia" w:ascii="宋体" w:hAnsi="宋体" w:cs="仿宋"/>
          <w:kern w:val="2"/>
          <w:sz w:val="24"/>
          <w:szCs w:val="24"/>
          <w:highlight w:val="none"/>
          <w:u w:val="single"/>
          <w:lang w:val="en-US" w:eastAsia="zh-CN" w:bidi="ar-SA"/>
        </w:rPr>
        <w:t xml:space="preserve">                               </w:t>
      </w:r>
    </w:p>
    <w:p w14:paraId="20F37002">
      <w:pPr>
        <w:pStyle w:val="91"/>
        <w:spacing w:line="480" w:lineRule="auto"/>
        <w:ind w:firstLine="480"/>
        <w:rPr>
          <w:rFonts w:hint="default" w:ascii="宋体" w:hAnsi="宋体" w:eastAsia="宋体" w:cs="仿宋"/>
          <w:kern w:val="2"/>
          <w:sz w:val="24"/>
          <w:szCs w:val="24"/>
          <w:highlight w:val="none"/>
          <w:u w:val="single"/>
          <w:lang w:val="en-US" w:eastAsia="zh-CN" w:bidi="ar-SA"/>
        </w:rPr>
      </w:pPr>
      <w:r>
        <w:rPr>
          <w:rFonts w:hint="eastAsia" w:ascii="宋体" w:hAnsi="宋体" w:eastAsia="宋体" w:cs="仿宋"/>
          <w:kern w:val="2"/>
          <w:sz w:val="24"/>
          <w:szCs w:val="24"/>
          <w:highlight w:val="none"/>
          <w:lang w:val="en-US" w:eastAsia="zh-CN" w:bidi="ar-SA"/>
        </w:rPr>
        <w:t>日    期：</w:t>
      </w:r>
      <w:bookmarkStart w:id="636" w:name="_Hlt26671380"/>
      <w:bookmarkEnd w:id="636"/>
      <w:bookmarkStart w:id="637" w:name="_Hlt26955070"/>
      <w:bookmarkEnd w:id="637"/>
      <w:bookmarkStart w:id="638" w:name="_格式3__银行出具的资信证明"/>
      <w:bookmarkEnd w:id="638"/>
      <w:r>
        <w:rPr>
          <w:rFonts w:hint="eastAsia" w:ascii="宋体" w:hAnsi="宋体" w:cs="仿宋"/>
          <w:kern w:val="2"/>
          <w:sz w:val="24"/>
          <w:szCs w:val="24"/>
          <w:highlight w:val="none"/>
          <w:u w:val="single"/>
          <w:lang w:val="en-US" w:eastAsia="zh-CN" w:bidi="ar-SA"/>
        </w:rPr>
        <w:t xml:space="preserve">                               </w:t>
      </w:r>
    </w:p>
    <w:p w14:paraId="615D8320">
      <w:pPr>
        <w:tabs>
          <w:tab w:val="left" w:pos="360"/>
        </w:tabs>
        <w:ind w:firstLine="480"/>
        <w:rPr>
          <w:color w:val="000000" w:themeColor="text1"/>
          <w:sz w:val="24"/>
          <w:szCs w:val="24"/>
          <w:highlight w:val="none"/>
          <w:u w:val="single"/>
          <w14:textFill>
            <w14:solidFill>
              <w14:schemeClr w14:val="tx1"/>
            </w14:solidFill>
          </w14:textFill>
        </w:rPr>
      </w:pPr>
    </w:p>
    <w:p w14:paraId="02D82E11">
      <w:pPr>
        <w:tabs>
          <w:tab w:val="left" w:pos="360"/>
        </w:tabs>
        <w:ind w:firstLine="480"/>
        <w:rPr>
          <w:color w:val="000000" w:themeColor="text1"/>
          <w:sz w:val="24"/>
          <w:szCs w:val="24"/>
          <w:highlight w:val="none"/>
          <w:u w:val="single"/>
          <w14:textFill>
            <w14:solidFill>
              <w14:schemeClr w14:val="tx1"/>
            </w14:solidFill>
          </w14:textFill>
        </w:rPr>
      </w:pPr>
    </w:p>
    <w:p w14:paraId="65427D07">
      <w:pPr>
        <w:tabs>
          <w:tab w:val="left" w:pos="360"/>
        </w:tabs>
        <w:ind w:firstLine="482"/>
        <w:rPr>
          <w:color w:val="000000" w:themeColor="text1"/>
          <w:sz w:val="24"/>
          <w:szCs w:val="24"/>
          <w:highlight w:val="none"/>
          <w:u w:val="single"/>
          <w14:textFill>
            <w14:solidFill>
              <w14:schemeClr w14:val="tx1"/>
            </w14:solidFill>
          </w14:textFill>
        </w:rPr>
      </w:pPr>
      <w:r>
        <w:rPr>
          <w:rFonts w:hint="eastAsia"/>
          <w:b/>
          <w:color w:val="000000" w:themeColor="text1"/>
          <w:sz w:val="24"/>
          <w:szCs w:val="24"/>
          <w:highlight w:val="none"/>
          <w14:textFill>
            <w14:solidFill>
              <w14:schemeClr w14:val="tx1"/>
            </w14:solidFill>
          </w14:textFill>
        </w:rPr>
        <w:t>说明：提供法人授权书的同时须提供</w:t>
      </w:r>
      <w:r>
        <w:rPr>
          <w:rFonts w:hint="eastAsia"/>
          <w:b/>
          <w:color w:val="000000" w:themeColor="text1"/>
          <w:sz w:val="24"/>
          <w:szCs w:val="24"/>
          <w:highlight w:val="none"/>
          <w:lang w:val="en-US" w:eastAsia="zh-CN"/>
          <w14:textFill>
            <w14:solidFill>
              <w14:schemeClr w14:val="tx1"/>
            </w14:solidFill>
          </w14:textFill>
        </w:rPr>
        <w:t>法定代表人和</w:t>
      </w:r>
      <w:r>
        <w:rPr>
          <w:rFonts w:hint="eastAsia"/>
          <w:b/>
          <w:color w:val="000000" w:themeColor="text1"/>
          <w:sz w:val="24"/>
          <w:szCs w:val="24"/>
          <w:highlight w:val="none"/>
          <w14:textFill>
            <w14:solidFill>
              <w14:schemeClr w14:val="tx1"/>
            </w14:solidFill>
          </w14:textFill>
        </w:rPr>
        <w:t>委托代理人的身份证扫描件。</w:t>
      </w:r>
    </w:p>
    <w:p w14:paraId="5B1EE31E">
      <w:pPr>
        <w:tabs>
          <w:tab w:val="left" w:pos="360"/>
        </w:tabs>
        <w:ind w:firstLine="480"/>
        <w:rPr>
          <w:color w:val="000000" w:themeColor="text1"/>
          <w:sz w:val="24"/>
          <w:szCs w:val="24"/>
          <w:highlight w:val="none"/>
          <w:u w:val="single"/>
          <w14:textFill>
            <w14:solidFill>
              <w14:schemeClr w14:val="tx1"/>
            </w14:solidFill>
          </w14:textFill>
        </w:rPr>
      </w:pPr>
    </w:p>
    <w:p w14:paraId="4B631E0E">
      <w:pPr>
        <w:spacing w:line="360" w:lineRule="auto"/>
        <w:textAlignment w:val="baseline"/>
        <w:rPr>
          <w:rFonts w:ascii="宋体" w:hAnsi="宋体" w:cs="仿宋"/>
          <w:b/>
          <w:bCs/>
          <w:sz w:val="28"/>
          <w:szCs w:val="28"/>
          <w:highlight w:val="none"/>
        </w:rPr>
      </w:pPr>
      <w:r>
        <w:rPr>
          <w:rFonts w:ascii="宋体" w:hAnsi="宋体"/>
          <w:sz w:val="20"/>
          <w:highlight w:val="none"/>
        </w:rPr>
        <w:br w:type="page"/>
      </w:r>
    </w:p>
    <w:p w14:paraId="7A66E043">
      <w:pPr>
        <w:pStyle w:val="5"/>
        <w:numPr>
          <w:ilvl w:val="1"/>
          <w:numId w:val="0"/>
        </w:numPr>
        <w:spacing w:before="0" w:after="0" w:line="360" w:lineRule="auto"/>
        <w:ind w:firstLine="562" w:firstLineChars="200"/>
        <w:textAlignment w:val="baseline"/>
        <w:rPr>
          <w:rFonts w:ascii="宋体" w:hAnsi="宋体" w:eastAsia="宋体" w:cs="仿宋"/>
          <w:sz w:val="28"/>
          <w:szCs w:val="28"/>
          <w:highlight w:val="none"/>
        </w:rPr>
      </w:pPr>
      <w:bookmarkStart w:id="639" w:name="_Toc2009"/>
      <w:bookmarkStart w:id="640" w:name="_Toc12587"/>
      <w:bookmarkStart w:id="641" w:name="_Toc8275"/>
      <w:r>
        <w:rPr>
          <w:rFonts w:hint="eastAsia" w:ascii="宋体" w:hAnsi="宋体" w:eastAsia="宋体" w:cs="仿宋"/>
          <w:sz w:val="28"/>
          <w:szCs w:val="28"/>
          <w:highlight w:val="none"/>
        </w:rPr>
        <w:t>附 件2: 具备履行合同所必需的设备和专业技术能力的书面声明</w:t>
      </w:r>
      <w:bookmarkEnd w:id="639"/>
      <w:bookmarkEnd w:id="640"/>
      <w:bookmarkEnd w:id="641"/>
    </w:p>
    <w:p w14:paraId="2DAAD745">
      <w:pPr>
        <w:spacing w:line="360" w:lineRule="auto"/>
        <w:textAlignment w:val="baseline"/>
        <w:rPr>
          <w:rFonts w:ascii="宋体" w:hAnsi="宋体" w:cs="仿宋"/>
          <w:sz w:val="24"/>
          <w:szCs w:val="24"/>
          <w:highlight w:val="none"/>
        </w:rPr>
      </w:pPr>
    </w:p>
    <w:p w14:paraId="732204A0">
      <w:pPr>
        <w:spacing w:line="360" w:lineRule="auto"/>
        <w:ind w:firstLine="492"/>
        <w:textAlignment w:val="baseline"/>
        <w:rPr>
          <w:rFonts w:ascii="宋体" w:hAnsi="宋体" w:cs="仿宋"/>
          <w:sz w:val="24"/>
          <w:szCs w:val="24"/>
          <w:highlight w:val="none"/>
        </w:rPr>
      </w:pPr>
      <w:r>
        <w:rPr>
          <w:rFonts w:hint="eastAsia" w:ascii="宋体" w:hAnsi="宋体" w:cs="仿宋"/>
          <w:sz w:val="24"/>
          <w:szCs w:val="24"/>
          <w:highlight w:val="none"/>
        </w:rPr>
        <w:t>我公司郑重声明：我公司具备履行本项采购合同所必需的设备和专业技术能力，为履行本项采购合同我公司具备如下主要设备和主要专业技术能力：</w:t>
      </w:r>
    </w:p>
    <w:p w14:paraId="67319B25">
      <w:pPr>
        <w:spacing w:line="360" w:lineRule="auto"/>
        <w:ind w:firstLine="492"/>
        <w:textAlignment w:val="baseline"/>
        <w:rPr>
          <w:rFonts w:ascii="宋体" w:hAnsi="宋体" w:cs="仿宋"/>
          <w:sz w:val="24"/>
          <w:szCs w:val="24"/>
          <w:highlight w:val="none"/>
        </w:rPr>
      </w:pPr>
      <w:r>
        <w:rPr>
          <w:rFonts w:hint="eastAsia" w:ascii="宋体" w:hAnsi="宋体" w:cs="仿宋"/>
          <w:sz w:val="24"/>
          <w:szCs w:val="24"/>
          <w:highlight w:val="none"/>
        </w:rPr>
        <w:t>主要设备有：</w:t>
      </w:r>
      <w:r>
        <w:rPr>
          <w:rFonts w:hint="eastAsia" w:ascii="宋体" w:hAnsi="宋体" w:cs="仿宋"/>
          <w:sz w:val="24"/>
          <w:szCs w:val="24"/>
          <w:highlight w:val="none"/>
          <w:u w:val="single"/>
        </w:rPr>
        <w:t xml:space="preserve">               </w:t>
      </w:r>
      <w:r>
        <w:rPr>
          <w:rFonts w:hint="eastAsia" w:ascii="宋体" w:hAnsi="宋体" w:cs="仿宋"/>
          <w:sz w:val="24"/>
          <w:szCs w:val="24"/>
          <w:highlight w:val="none"/>
        </w:rPr>
        <w:t>。</w:t>
      </w:r>
    </w:p>
    <w:p w14:paraId="78AE9AC9">
      <w:pPr>
        <w:spacing w:line="360" w:lineRule="auto"/>
        <w:ind w:firstLine="492"/>
        <w:textAlignment w:val="baseline"/>
        <w:rPr>
          <w:rFonts w:ascii="宋体" w:hAnsi="宋体" w:cs="仿宋"/>
          <w:sz w:val="24"/>
          <w:szCs w:val="24"/>
          <w:highlight w:val="none"/>
        </w:rPr>
      </w:pPr>
      <w:r>
        <w:rPr>
          <w:rFonts w:hint="eastAsia" w:ascii="宋体" w:hAnsi="宋体" w:cs="仿宋"/>
          <w:sz w:val="24"/>
          <w:szCs w:val="24"/>
          <w:highlight w:val="none"/>
        </w:rPr>
        <w:t>主要专业技术能力有：</w:t>
      </w:r>
      <w:r>
        <w:rPr>
          <w:rFonts w:hint="eastAsia" w:ascii="宋体" w:hAnsi="宋体" w:cs="仿宋"/>
          <w:sz w:val="24"/>
          <w:szCs w:val="24"/>
          <w:highlight w:val="none"/>
          <w:u w:val="single"/>
        </w:rPr>
        <w:t xml:space="preserve">                </w:t>
      </w:r>
      <w:r>
        <w:rPr>
          <w:rFonts w:hint="eastAsia" w:ascii="宋体" w:hAnsi="宋体" w:cs="仿宋"/>
          <w:sz w:val="24"/>
          <w:szCs w:val="24"/>
          <w:highlight w:val="none"/>
        </w:rPr>
        <w:t>。</w:t>
      </w:r>
    </w:p>
    <w:p w14:paraId="6B9DD469">
      <w:pPr>
        <w:spacing w:line="360" w:lineRule="auto"/>
        <w:textAlignment w:val="baseline"/>
        <w:rPr>
          <w:rFonts w:ascii="宋体" w:hAnsi="宋体" w:cs="仿宋"/>
          <w:sz w:val="24"/>
          <w:szCs w:val="24"/>
          <w:highlight w:val="none"/>
        </w:rPr>
      </w:pPr>
    </w:p>
    <w:p w14:paraId="6B36608A">
      <w:pPr>
        <w:spacing w:line="360" w:lineRule="auto"/>
        <w:ind w:firstLine="4560" w:firstLineChars="1900"/>
        <w:textAlignment w:val="baseline"/>
        <w:rPr>
          <w:rFonts w:ascii="宋体" w:hAnsi="宋体" w:cs="仿宋"/>
          <w:sz w:val="24"/>
          <w:szCs w:val="24"/>
          <w:highlight w:val="none"/>
        </w:rPr>
      </w:pPr>
    </w:p>
    <w:p w14:paraId="0CBDAAFF">
      <w:pPr>
        <w:spacing w:line="360" w:lineRule="auto"/>
        <w:ind w:firstLine="4560" w:firstLineChars="1900"/>
        <w:textAlignment w:val="baseline"/>
        <w:rPr>
          <w:rFonts w:ascii="宋体" w:hAnsi="宋体" w:cs="仿宋"/>
          <w:sz w:val="24"/>
          <w:szCs w:val="24"/>
          <w:highlight w:val="none"/>
        </w:rPr>
      </w:pPr>
      <w:r>
        <w:rPr>
          <w:rFonts w:hint="eastAsia" w:ascii="宋体" w:hAnsi="宋体" w:cs="仿宋"/>
          <w:sz w:val="24"/>
          <w:szCs w:val="24"/>
          <w:highlight w:val="none"/>
        </w:rPr>
        <w:t>供应商名称（加盖公章）：</w:t>
      </w:r>
    </w:p>
    <w:p w14:paraId="12FC545B">
      <w:pPr>
        <w:spacing w:line="360" w:lineRule="auto"/>
        <w:ind w:firstLine="4560" w:firstLineChars="1900"/>
        <w:textAlignment w:val="baseline"/>
        <w:rPr>
          <w:rFonts w:ascii="宋体" w:hAnsi="宋体" w:cs="仿宋"/>
          <w:sz w:val="24"/>
          <w:szCs w:val="24"/>
          <w:highlight w:val="none"/>
        </w:rPr>
      </w:pPr>
      <w:r>
        <w:rPr>
          <w:rFonts w:hint="eastAsia" w:ascii="宋体" w:hAnsi="宋体" w:cs="仿宋"/>
          <w:sz w:val="24"/>
          <w:szCs w:val="24"/>
          <w:highlight w:val="none"/>
        </w:rPr>
        <w:t>法定代表人或授权代表签字：</w:t>
      </w:r>
    </w:p>
    <w:p w14:paraId="5715C28E">
      <w:pPr>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日期：   年   月   日</w:t>
      </w:r>
    </w:p>
    <w:p w14:paraId="7C94CB51">
      <w:pPr>
        <w:pStyle w:val="39"/>
        <w:spacing w:line="360" w:lineRule="auto"/>
        <w:ind w:firstLine="482"/>
        <w:textAlignment w:val="baseline"/>
        <w:rPr>
          <w:rFonts w:ascii="宋体" w:hAnsi="宋体" w:cs="仿宋"/>
          <w:highlight w:val="none"/>
        </w:rPr>
      </w:pPr>
      <w:r>
        <w:rPr>
          <w:rFonts w:ascii="宋体" w:hAnsi="宋体"/>
          <w:sz w:val="20"/>
          <w:highlight w:val="none"/>
        </w:rPr>
        <w:br w:type="page"/>
      </w:r>
    </w:p>
    <w:p w14:paraId="763CB9B6">
      <w:pPr>
        <w:pStyle w:val="5"/>
        <w:numPr>
          <w:ilvl w:val="1"/>
          <w:numId w:val="0"/>
        </w:numPr>
        <w:spacing w:before="0" w:after="0" w:line="360" w:lineRule="auto"/>
        <w:ind w:firstLine="562" w:firstLineChars="200"/>
        <w:textAlignment w:val="baseline"/>
        <w:rPr>
          <w:rFonts w:ascii="宋体" w:hAnsi="宋体" w:eastAsia="宋体" w:cs="仿宋"/>
          <w:sz w:val="28"/>
          <w:szCs w:val="28"/>
          <w:highlight w:val="none"/>
        </w:rPr>
      </w:pPr>
      <w:bookmarkStart w:id="642" w:name="_Toc22433"/>
      <w:bookmarkStart w:id="643" w:name="_Toc23291"/>
      <w:bookmarkStart w:id="644" w:name="_Toc999"/>
      <w:r>
        <w:rPr>
          <w:rFonts w:hint="eastAsia" w:ascii="宋体" w:hAnsi="宋体" w:eastAsia="宋体" w:cs="仿宋"/>
          <w:sz w:val="28"/>
          <w:szCs w:val="28"/>
          <w:highlight w:val="none"/>
        </w:rPr>
        <w:t>附 件3：三年内无重大违纪声明</w:t>
      </w:r>
      <w:bookmarkEnd w:id="642"/>
      <w:bookmarkEnd w:id="643"/>
      <w:bookmarkEnd w:id="644"/>
    </w:p>
    <w:p w14:paraId="6D7AF7FA">
      <w:pPr>
        <w:spacing w:line="360" w:lineRule="auto"/>
        <w:jc w:val="center"/>
        <w:textAlignment w:val="baseline"/>
        <w:rPr>
          <w:rFonts w:ascii="宋体" w:hAnsi="宋体" w:cs="仿宋"/>
          <w:sz w:val="36"/>
          <w:szCs w:val="36"/>
          <w:highlight w:val="none"/>
        </w:rPr>
      </w:pPr>
      <w:r>
        <w:rPr>
          <w:rFonts w:hint="eastAsia" w:ascii="宋体" w:hAnsi="宋体" w:cs="仿宋"/>
          <w:b/>
          <w:bCs/>
          <w:sz w:val="36"/>
          <w:szCs w:val="36"/>
          <w:highlight w:val="none"/>
        </w:rPr>
        <w:t>声  明</w:t>
      </w:r>
    </w:p>
    <w:p w14:paraId="272DDE21">
      <w:pPr>
        <w:spacing w:line="360" w:lineRule="auto"/>
        <w:ind w:firstLine="480" w:firstLineChars="200"/>
        <w:textAlignment w:val="baseline"/>
        <w:rPr>
          <w:rFonts w:ascii="宋体" w:hAnsi="宋体" w:cs="仿宋"/>
          <w:sz w:val="24"/>
          <w:szCs w:val="24"/>
          <w:highlight w:val="none"/>
        </w:rPr>
      </w:pPr>
      <w:r>
        <w:rPr>
          <w:rFonts w:hint="eastAsia" w:ascii="宋体" w:hAnsi="宋体" w:cs="仿宋"/>
          <w:sz w:val="24"/>
          <w:szCs w:val="24"/>
          <w:highlight w:val="none"/>
        </w:rPr>
        <w:t>我公司郑重声明：参加本次采购活动前3年内，我公司在经营活动中没有因违法经营受到刑事处罚或者责令停产停业、吊销许可证或者执照、较大数额罚款等行政处罚。若采购单位在本项目采购过程中发现我公司近三年内在经营活动中有重大违法记录，我公司将无条件地退出本项目的磋商采购，并承担因此引起的一切后果。</w:t>
      </w:r>
    </w:p>
    <w:p w14:paraId="7DBCA55B">
      <w:pPr>
        <w:spacing w:line="360" w:lineRule="auto"/>
        <w:textAlignment w:val="baseline"/>
        <w:rPr>
          <w:rFonts w:ascii="宋体" w:hAnsi="宋体" w:cs="仿宋"/>
          <w:sz w:val="24"/>
          <w:szCs w:val="24"/>
          <w:highlight w:val="none"/>
        </w:rPr>
      </w:pPr>
    </w:p>
    <w:p w14:paraId="3DDA222C">
      <w:pPr>
        <w:spacing w:line="360" w:lineRule="auto"/>
        <w:textAlignment w:val="baseline"/>
        <w:rPr>
          <w:rFonts w:ascii="宋体" w:hAnsi="宋体" w:cs="仿宋"/>
          <w:sz w:val="24"/>
          <w:szCs w:val="24"/>
          <w:highlight w:val="none"/>
        </w:rPr>
      </w:pPr>
    </w:p>
    <w:p w14:paraId="29F74F24">
      <w:pPr>
        <w:spacing w:line="360" w:lineRule="auto"/>
        <w:textAlignment w:val="baseline"/>
        <w:rPr>
          <w:rFonts w:ascii="宋体" w:hAnsi="宋体" w:cs="仿宋"/>
          <w:sz w:val="24"/>
          <w:szCs w:val="24"/>
          <w:highlight w:val="none"/>
        </w:rPr>
      </w:pPr>
    </w:p>
    <w:p w14:paraId="0744BDC8">
      <w:pPr>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供应商全称（公章）：</w:t>
      </w:r>
    </w:p>
    <w:p w14:paraId="5D0AEFE4">
      <w:pPr>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法定代表人（授权代表）签章：</w:t>
      </w:r>
    </w:p>
    <w:p w14:paraId="4CD043E8">
      <w:pPr>
        <w:spacing w:line="360" w:lineRule="auto"/>
        <w:textAlignment w:val="baseline"/>
        <w:rPr>
          <w:rFonts w:ascii="宋体" w:hAnsi="宋体" w:cs="仿宋"/>
          <w:sz w:val="24"/>
          <w:szCs w:val="24"/>
          <w:highlight w:val="none"/>
        </w:rPr>
      </w:pPr>
      <w:r>
        <w:rPr>
          <w:rFonts w:hint="eastAsia" w:ascii="宋体" w:hAnsi="宋体" w:cs="仿宋"/>
          <w:sz w:val="24"/>
          <w:szCs w:val="24"/>
          <w:highlight w:val="none"/>
        </w:rPr>
        <w:t xml:space="preserve">                                日期：   年  月  日</w:t>
      </w:r>
    </w:p>
    <w:p w14:paraId="58E1DB3C">
      <w:pPr>
        <w:spacing w:line="360" w:lineRule="auto"/>
        <w:textAlignment w:val="baseline"/>
        <w:rPr>
          <w:rFonts w:ascii="宋体" w:hAnsi="宋体" w:cs="仿宋"/>
          <w:sz w:val="24"/>
          <w:szCs w:val="24"/>
          <w:highlight w:val="none"/>
        </w:rPr>
      </w:pPr>
    </w:p>
    <w:p w14:paraId="0970B977">
      <w:pPr>
        <w:spacing w:line="360" w:lineRule="auto"/>
        <w:jc w:val="center"/>
        <w:textAlignment w:val="baseline"/>
        <w:rPr>
          <w:rFonts w:ascii="宋体" w:hAnsi="宋体" w:cs="仿宋"/>
          <w:b/>
          <w:bCs/>
          <w:sz w:val="24"/>
          <w:szCs w:val="24"/>
          <w:highlight w:val="none"/>
        </w:rPr>
      </w:pPr>
      <w:r>
        <w:rPr>
          <w:rFonts w:ascii="宋体" w:hAnsi="宋体"/>
          <w:sz w:val="20"/>
          <w:highlight w:val="none"/>
        </w:rPr>
        <w:br w:type="page"/>
      </w:r>
    </w:p>
    <w:p w14:paraId="260DB2A7">
      <w:pPr>
        <w:pStyle w:val="5"/>
        <w:numPr>
          <w:ilvl w:val="1"/>
          <w:numId w:val="0"/>
        </w:numPr>
        <w:spacing w:before="0" w:after="0" w:line="360" w:lineRule="auto"/>
        <w:ind w:firstLine="562" w:firstLineChars="200"/>
        <w:textAlignment w:val="baseline"/>
        <w:rPr>
          <w:rFonts w:ascii="宋体" w:hAnsi="宋体" w:eastAsia="宋体" w:cs="仿宋"/>
          <w:sz w:val="28"/>
          <w:szCs w:val="28"/>
          <w:highlight w:val="none"/>
        </w:rPr>
      </w:pPr>
      <w:bookmarkStart w:id="645" w:name="_Toc30480"/>
      <w:bookmarkStart w:id="646" w:name="_Toc20030"/>
      <w:bookmarkStart w:id="647" w:name="_Toc18689"/>
      <w:r>
        <w:rPr>
          <w:rFonts w:hint="eastAsia" w:ascii="宋体" w:hAnsi="宋体" w:eastAsia="宋体" w:cs="仿宋"/>
          <w:sz w:val="28"/>
          <w:szCs w:val="28"/>
          <w:highlight w:val="none"/>
        </w:rPr>
        <w:t>附 件4：中小企业声明函格式</w:t>
      </w:r>
      <w:bookmarkEnd w:id="645"/>
      <w:bookmarkEnd w:id="646"/>
      <w:bookmarkEnd w:id="647"/>
    </w:p>
    <w:p w14:paraId="3BAA02BD">
      <w:pPr>
        <w:spacing w:line="360" w:lineRule="auto"/>
        <w:jc w:val="center"/>
        <w:textAlignment w:val="baseline"/>
        <w:rPr>
          <w:rFonts w:ascii="宋体" w:hAnsi="宋体" w:cs="仿宋"/>
          <w:b/>
          <w:bCs/>
          <w:sz w:val="24"/>
          <w:szCs w:val="24"/>
          <w:highlight w:val="none"/>
        </w:rPr>
      </w:pPr>
    </w:p>
    <w:p w14:paraId="365852E9">
      <w:pPr>
        <w:spacing w:line="360" w:lineRule="auto"/>
        <w:jc w:val="center"/>
        <w:rPr>
          <w:rFonts w:ascii="宋体" w:hAnsi="宋体" w:cs="仿宋"/>
          <w:sz w:val="24"/>
          <w:szCs w:val="24"/>
          <w:highlight w:val="none"/>
        </w:rPr>
      </w:pPr>
      <w:r>
        <w:rPr>
          <w:rFonts w:hint="eastAsia" w:ascii="宋体" w:hAnsi="宋体" w:cs="仿宋"/>
          <w:sz w:val="24"/>
          <w:szCs w:val="24"/>
          <w:highlight w:val="none"/>
        </w:rPr>
        <w:t>中小企业声明函(如有)</w:t>
      </w:r>
    </w:p>
    <w:p w14:paraId="2A3B4E14">
      <w:pPr>
        <w:spacing w:line="360" w:lineRule="auto"/>
        <w:ind w:firstLine="420"/>
        <w:rPr>
          <w:rFonts w:ascii="宋体" w:hAnsi="宋体" w:cs="仿宋"/>
          <w:sz w:val="24"/>
          <w:szCs w:val="24"/>
          <w:highlight w:val="none"/>
        </w:rPr>
      </w:pPr>
      <w:r>
        <w:rPr>
          <w:rFonts w:hint="eastAsia" w:ascii="宋体" w:hAnsi="宋体" w:cs="仿宋"/>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 服务全部由符合政策要求的中小企业承接）。相关企业（含联合体中的中小企业、签订分包意向协议的中小企业）的具体情况如下∶</w:t>
      </w:r>
    </w:p>
    <w:p w14:paraId="32D0EF05">
      <w:pPr>
        <w:spacing w:line="360" w:lineRule="auto"/>
        <w:ind w:firstLine="420"/>
        <w:rPr>
          <w:rFonts w:ascii="宋体" w:hAnsi="宋体" w:cs="仿宋"/>
          <w:sz w:val="24"/>
          <w:szCs w:val="24"/>
          <w:highlight w:val="none"/>
        </w:rPr>
      </w:pPr>
      <w:r>
        <w:rPr>
          <w:rFonts w:hint="eastAsia" w:ascii="宋体" w:hAnsi="宋体" w:cs="仿宋"/>
          <w:sz w:val="24"/>
          <w:szCs w:val="24"/>
          <w:highlight w:val="none"/>
        </w:rPr>
        <w:t>1.（标的名称），属于（采购文件中明确的所属行业）;承建（承接）企业为（企业名称），从业人员___人，营业收入为____万元，资产总额为___万元，属于（中型企业、小型企业、微型企业）;</w:t>
      </w:r>
    </w:p>
    <w:p w14:paraId="5BB5D109">
      <w:pPr>
        <w:spacing w:line="360" w:lineRule="auto"/>
        <w:ind w:firstLine="420"/>
        <w:rPr>
          <w:rFonts w:ascii="宋体" w:hAnsi="宋体" w:cs="仿宋"/>
          <w:sz w:val="24"/>
          <w:szCs w:val="24"/>
          <w:highlight w:val="none"/>
        </w:rPr>
      </w:pPr>
      <w:r>
        <w:rPr>
          <w:rFonts w:hint="eastAsia" w:ascii="宋体" w:hAnsi="宋体" w:cs="仿宋"/>
          <w:sz w:val="24"/>
          <w:szCs w:val="24"/>
          <w:highlight w:val="none"/>
        </w:rPr>
        <w:t>2.（标的名称），属于（采购文件中明确的所属行业）;承建（承接）企业为（企业名称），从业人员____人，营业收入为___万元，资产总额为___万元，属于（中型企业、小型企业、微型企业）;</w:t>
      </w:r>
    </w:p>
    <w:p w14:paraId="238A0184">
      <w:pPr>
        <w:spacing w:line="360" w:lineRule="auto"/>
        <w:ind w:firstLine="420"/>
        <w:rPr>
          <w:rFonts w:ascii="宋体" w:hAnsi="宋体" w:cs="仿宋"/>
          <w:sz w:val="24"/>
          <w:szCs w:val="24"/>
          <w:highlight w:val="none"/>
        </w:rPr>
      </w:pPr>
      <w:r>
        <w:rPr>
          <w:rFonts w:hint="eastAsia" w:ascii="宋体" w:hAnsi="宋体" w:cs="仿宋"/>
          <w:sz w:val="24"/>
          <w:szCs w:val="24"/>
          <w:highlight w:val="none"/>
        </w:rPr>
        <w:t>…… 以上企业，不属于大企业的分支机构，不存在控股股东为大企业的情形，也不存在与大企业的负责人为同一人的情形。</w:t>
      </w:r>
    </w:p>
    <w:p w14:paraId="4FDDC4BE">
      <w:pPr>
        <w:spacing w:line="360" w:lineRule="auto"/>
        <w:ind w:firstLine="420"/>
        <w:rPr>
          <w:rFonts w:ascii="宋体" w:hAnsi="宋体" w:cs="仿宋"/>
          <w:sz w:val="24"/>
          <w:szCs w:val="24"/>
          <w:highlight w:val="none"/>
        </w:rPr>
      </w:pPr>
      <w:r>
        <w:rPr>
          <w:rFonts w:hint="eastAsia" w:ascii="宋体" w:hAnsi="宋体" w:cs="仿宋"/>
          <w:sz w:val="24"/>
          <w:szCs w:val="24"/>
          <w:highlight w:val="none"/>
        </w:rPr>
        <w:t>本企业对上述声明内容的真实性负责。如有虚假，将依法承担相应责任。</w:t>
      </w:r>
    </w:p>
    <w:p w14:paraId="6598E9E8">
      <w:pPr>
        <w:spacing w:line="360" w:lineRule="auto"/>
        <w:ind w:firstLine="420"/>
        <w:rPr>
          <w:rFonts w:ascii="宋体" w:hAnsi="宋体" w:cs="仿宋"/>
          <w:sz w:val="24"/>
          <w:szCs w:val="24"/>
          <w:highlight w:val="none"/>
        </w:rPr>
      </w:pPr>
    </w:p>
    <w:p w14:paraId="41920CB9">
      <w:pPr>
        <w:spacing w:line="360" w:lineRule="auto"/>
        <w:ind w:firstLine="420"/>
        <w:rPr>
          <w:rFonts w:ascii="宋体" w:hAnsi="宋体" w:cs="仿宋"/>
          <w:sz w:val="24"/>
          <w:szCs w:val="24"/>
          <w:highlight w:val="none"/>
        </w:rPr>
      </w:pPr>
    </w:p>
    <w:p w14:paraId="375D7C48">
      <w:pPr>
        <w:spacing w:line="360" w:lineRule="auto"/>
        <w:ind w:firstLine="420"/>
        <w:rPr>
          <w:rFonts w:ascii="宋体" w:hAnsi="宋体" w:cs="仿宋"/>
          <w:sz w:val="24"/>
          <w:szCs w:val="24"/>
          <w:highlight w:val="none"/>
        </w:rPr>
      </w:pPr>
      <w:r>
        <w:rPr>
          <w:rFonts w:hint="eastAsia" w:ascii="宋体" w:hAnsi="宋体" w:cs="仿宋"/>
          <w:sz w:val="24"/>
          <w:szCs w:val="24"/>
          <w:highlight w:val="none"/>
        </w:rPr>
        <w:t>投标供应商全称（公章）：</w:t>
      </w:r>
    </w:p>
    <w:p w14:paraId="2D811532">
      <w:pPr>
        <w:spacing w:line="360" w:lineRule="auto"/>
        <w:ind w:firstLine="420"/>
        <w:rPr>
          <w:rFonts w:ascii="宋体" w:hAnsi="宋体" w:cs="仿宋"/>
          <w:sz w:val="24"/>
          <w:szCs w:val="24"/>
          <w:highlight w:val="none"/>
        </w:rPr>
      </w:pPr>
      <w:r>
        <w:rPr>
          <w:rFonts w:hint="eastAsia" w:ascii="宋体" w:hAnsi="宋体" w:cs="仿宋"/>
          <w:sz w:val="24"/>
          <w:szCs w:val="24"/>
          <w:highlight w:val="none"/>
        </w:rPr>
        <w:t>法定代表人（授权代表）签章：</w:t>
      </w:r>
    </w:p>
    <w:p w14:paraId="4EED36EE">
      <w:pPr>
        <w:spacing w:line="360" w:lineRule="auto"/>
        <w:ind w:firstLine="420"/>
        <w:rPr>
          <w:rFonts w:ascii="宋体" w:hAnsi="宋体" w:cs="仿宋"/>
          <w:sz w:val="24"/>
          <w:szCs w:val="24"/>
          <w:highlight w:val="none"/>
        </w:rPr>
      </w:pPr>
      <w:r>
        <w:rPr>
          <w:rFonts w:hint="eastAsia" w:ascii="宋体" w:hAnsi="宋体" w:cs="仿宋"/>
          <w:sz w:val="24"/>
          <w:szCs w:val="24"/>
          <w:highlight w:val="none"/>
        </w:rPr>
        <w:t>日期：</w:t>
      </w:r>
    </w:p>
    <w:p w14:paraId="7E332296">
      <w:pPr>
        <w:spacing w:line="360" w:lineRule="auto"/>
        <w:ind w:firstLine="420"/>
        <w:rPr>
          <w:rFonts w:ascii="宋体" w:hAnsi="宋体" w:cs="仿宋"/>
          <w:sz w:val="24"/>
          <w:szCs w:val="24"/>
          <w:highlight w:val="none"/>
        </w:rPr>
      </w:pPr>
    </w:p>
    <w:p w14:paraId="7FA46CF7">
      <w:pPr>
        <w:spacing w:line="360" w:lineRule="auto"/>
        <w:ind w:firstLine="420"/>
        <w:rPr>
          <w:rFonts w:ascii="宋体" w:hAnsi="宋体" w:cs="仿宋"/>
          <w:sz w:val="24"/>
          <w:szCs w:val="24"/>
          <w:highlight w:val="none"/>
        </w:rPr>
      </w:pPr>
      <w:r>
        <w:rPr>
          <w:rFonts w:hint="eastAsia" w:ascii="宋体" w:hAnsi="宋体" w:cs="仿宋"/>
          <w:sz w:val="24"/>
          <w:szCs w:val="24"/>
          <w:highlight w:val="none"/>
        </w:rPr>
        <w:t>说明：</w:t>
      </w:r>
    </w:p>
    <w:p w14:paraId="322CF786">
      <w:pPr>
        <w:spacing w:line="360" w:lineRule="auto"/>
        <w:ind w:firstLine="420"/>
        <w:rPr>
          <w:rFonts w:ascii="宋体" w:hAnsi="宋体" w:cs="仿宋"/>
          <w:sz w:val="24"/>
          <w:szCs w:val="24"/>
          <w:highlight w:val="none"/>
        </w:rPr>
      </w:pPr>
      <w:r>
        <w:rPr>
          <w:rFonts w:hint="eastAsia" w:ascii="宋体" w:hAnsi="宋体" w:cs="仿宋"/>
          <w:sz w:val="24"/>
          <w:szCs w:val="24"/>
          <w:highlight w:val="none"/>
        </w:rPr>
        <w:t>“微型”或“小型”企业的划分具体以《政府采购促进中小企业发展</w:t>
      </w:r>
      <w:r>
        <w:rPr>
          <w:rFonts w:ascii="宋体" w:hAnsi="宋体" w:cs="仿宋"/>
          <w:sz w:val="24"/>
          <w:szCs w:val="24"/>
          <w:highlight w:val="none"/>
        </w:rPr>
        <w:t>管理</w:t>
      </w:r>
      <w:r>
        <w:rPr>
          <w:rFonts w:hint="eastAsia" w:ascii="宋体" w:hAnsi="宋体" w:cs="仿宋"/>
          <w:sz w:val="24"/>
          <w:szCs w:val="24"/>
          <w:highlight w:val="none"/>
        </w:rPr>
        <w:t>办法》（财库[20</w:t>
      </w:r>
      <w:r>
        <w:rPr>
          <w:rFonts w:ascii="宋体" w:hAnsi="宋体" w:cs="仿宋"/>
          <w:sz w:val="24"/>
          <w:szCs w:val="24"/>
          <w:highlight w:val="none"/>
        </w:rPr>
        <w:t>20</w:t>
      </w:r>
      <w:r>
        <w:rPr>
          <w:rFonts w:hint="eastAsia" w:ascii="宋体" w:hAnsi="宋体" w:cs="仿宋"/>
          <w:sz w:val="24"/>
          <w:szCs w:val="24"/>
          <w:highlight w:val="none"/>
        </w:rPr>
        <w:t>]</w:t>
      </w:r>
      <w:r>
        <w:rPr>
          <w:rFonts w:ascii="宋体" w:hAnsi="宋体" w:cs="仿宋"/>
          <w:sz w:val="24"/>
          <w:szCs w:val="24"/>
          <w:highlight w:val="none"/>
        </w:rPr>
        <w:t>46</w:t>
      </w:r>
      <w:r>
        <w:rPr>
          <w:rFonts w:hint="eastAsia" w:ascii="宋体" w:hAnsi="宋体" w:cs="仿宋"/>
          <w:sz w:val="24"/>
          <w:szCs w:val="24"/>
          <w:highlight w:val="none"/>
        </w:rPr>
        <w:t>号）和《工业和信息化部、国家统计局、国家发展和改革委员会、财政部关于印发中小企业划型标准规定的通知》（工信部联企业[2011]300号）的规定为准。</w:t>
      </w:r>
    </w:p>
    <w:p w14:paraId="2A79CC05">
      <w:pPr>
        <w:spacing w:line="360" w:lineRule="auto"/>
        <w:ind w:firstLine="420"/>
        <w:rPr>
          <w:rFonts w:ascii="宋体" w:hAnsi="宋体" w:cs="仿宋"/>
          <w:sz w:val="24"/>
          <w:szCs w:val="24"/>
          <w:highlight w:val="none"/>
        </w:rPr>
      </w:pPr>
    </w:p>
    <w:p w14:paraId="75651525">
      <w:pPr>
        <w:spacing w:line="360" w:lineRule="auto"/>
        <w:rPr>
          <w:rFonts w:ascii="宋体" w:hAnsi="宋体" w:cs="仿宋"/>
          <w:sz w:val="24"/>
          <w:szCs w:val="24"/>
          <w:highlight w:val="none"/>
        </w:rPr>
      </w:pPr>
      <w:r>
        <w:rPr>
          <w:rFonts w:hint="eastAsia" w:ascii="宋体" w:hAnsi="宋体" w:cs="仿宋"/>
          <w:sz w:val="24"/>
          <w:szCs w:val="24"/>
          <w:highlight w:val="none"/>
        </w:rPr>
        <w:br w:type="page"/>
      </w:r>
    </w:p>
    <w:p w14:paraId="156CD0D8">
      <w:pPr>
        <w:pStyle w:val="5"/>
        <w:numPr>
          <w:ilvl w:val="1"/>
          <w:numId w:val="0"/>
        </w:numPr>
        <w:spacing w:before="0" w:after="0" w:line="360" w:lineRule="auto"/>
        <w:ind w:firstLine="562" w:firstLineChars="200"/>
        <w:textAlignment w:val="baseline"/>
        <w:rPr>
          <w:rFonts w:ascii="宋体" w:hAnsi="宋体" w:eastAsia="宋体" w:cs="仿宋"/>
          <w:sz w:val="28"/>
          <w:szCs w:val="28"/>
          <w:highlight w:val="none"/>
        </w:rPr>
      </w:pPr>
      <w:bookmarkStart w:id="648" w:name="_Toc6655"/>
      <w:bookmarkStart w:id="649" w:name="_Toc24042"/>
      <w:bookmarkStart w:id="650" w:name="_Toc28278"/>
      <w:bookmarkStart w:id="651" w:name="_Toc14763"/>
      <w:bookmarkStart w:id="652" w:name="_Toc13641"/>
      <w:r>
        <w:rPr>
          <w:rFonts w:hint="eastAsia" w:ascii="宋体" w:hAnsi="宋体" w:eastAsia="宋体" w:cs="仿宋"/>
          <w:sz w:val="28"/>
          <w:szCs w:val="28"/>
          <w:highlight w:val="none"/>
        </w:rPr>
        <w:t>附 件5：残疾人福利性单位声明函</w:t>
      </w:r>
      <w:bookmarkEnd w:id="648"/>
      <w:bookmarkEnd w:id="649"/>
      <w:bookmarkEnd w:id="650"/>
      <w:bookmarkEnd w:id="651"/>
      <w:bookmarkEnd w:id="652"/>
    </w:p>
    <w:p w14:paraId="178C2B6F">
      <w:pPr>
        <w:spacing w:line="588" w:lineRule="exact"/>
        <w:ind w:firstLine="624" w:firstLineChars="200"/>
        <w:rPr>
          <w:rFonts w:ascii="宋体" w:hAnsi="宋体" w:cs="仿宋_GB2312"/>
          <w:spacing w:val="6"/>
          <w:sz w:val="30"/>
          <w:szCs w:val="30"/>
          <w:highlight w:val="none"/>
        </w:rPr>
      </w:pPr>
      <w:r>
        <w:rPr>
          <w:rFonts w:ascii="宋体" w:hAnsi="宋体" w:cs="仿宋_GB2312"/>
          <w:spacing w:val="6"/>
          <w:sz w:val="30"/>
          <w:szCs w:val="30"/>
          <w:highlight w:val="none"/>
          <w:lang w:bidi="ar"/>
        </w:rPr>
        <w:t xml:space="preserve"> </w:t>
      </w:r>
    </w:p>
    <w:p w14:paraId="3B1E6BCD">
      <w:pPr>
        <w:spacing w:line="588" w:lineRule="exact"/>
        <w:ind w:firstLine="480" w:firstLineChars="200"/>
        <w:rPr>
          <w:rFonts w:ascii="宋体" w:hAnsi="宋体" w:cs="仿宋"/>
          <w:sz w:val="24"/>
          <w:szCs w:val="24"/>
          <w:highlight w:val="none"/>
        </w:rPr>
      </w:pPr>
      <w:r>
        <w:rPr>
          <w:rFonts w:hint="eastAsia" w:ascii="宋体" w:hAnsi="宋体" w:cs="仿宋"/>
          <w:sz w:val="24"/>
          <w:szCs w:val="24"/>
          <w:highlight w:val="none"/>
          <w:lang w:bidi="ar"/>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仿宋"/>
          <w:sz w:val="24"/>
          <w:szCs w:val="24"/>
          <w:highlight w:val="none"/>
          <w:u w:val="single"/>
          <w:lang w:bidi="ar"/>
        </w:rPr>
        <w:t xml:space="preserve">       </w:t>
      </w:r>
      <w:r>
        <w:rPr>
          <w:rFonts w:hint="eastAsia" w:ascii="宋体" w:hAnsi="宋体" w:cs="仿宋"/>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03C6EA46">
      <w:pPr>
        <w:spacing w:line="588" w:lineRule="exact"/>
        <w:ind w:firstLine="480" w:firstLineChars="200"/>
        <w:rPr>
          <w:rFonts w:ascii="宋体" w:hAnsi="宋体" w:cs="仿宋"/>
          <w:sz w:val="24"/>
          <w:szCs w:val="24"/>
          <w:highlight w:val="none"/>
        </w:rPr>
      </w:pPr>
      <w:r>
        <w:rPr>
          <w:rFonts w:hint="eastAsia" w:ascii="宋体" w:hAnsi="宋体" w:cs="仿宋"/>
          <w:sz w:val="24"/>
          <w:szCs w:val="24"/>
          <w:highlight w:val="none"/>
          <w:lang w:bidi="ar"/>
        </w:rPr>
        <w:t>本单位对上述声明的真实性负责。如有虚假，将依法承担相应责任。</w:t>
      </w:r>
    </w:p>
    <w:p w14:paraId="052FE976">
      <w:pPr>
        <w:spacing w:line="588" w:lineRule="exact"/>
        <w:ind w:firstLine="480" w:firstLineChars="200"/>
        <w:rPr>
          <w:rFonts w:ascii="宋体" w:hAnsi="宋体" w:cs="仿宋"/>
          <w:sz w:val="24"/>
          <w:szCs w:val="24"/>
          <w:highlight w:val="none"/>
        </w:rPr>
      </w:pPr>
      <w:r>
        <w:rPr>
          <w:rFonts w:hint="eastAsia" w:ascii="宋体" w:hAnsi="宋体" w:cs="仿宋"/>
          <w:sz w:val="24"/>
          <w:szCs w:val="24"/>
          <w:highlight w:val="none"/>
          <w:lang w:bidi="ar"/>
        </w:rPr>
        <w:t xml:space="preserve"> </w:t>
      </w:r>
    </w:p>
    <w:p w14:paraId="0EAD4F2C">
      <w:pPr>
        <w:spacing w:line="588" w:lineRule="exact"/>
        <w:ind w:firstLine="480" w:firstLineChars="200"/>
        <w:rPr>
          <w:rFonts w:ascii="宋体" w:hAnsi="宋体" w:cs="仿宋"/>
          <w:sz w:val="24"/>
          <w:szCs w:val="24"/>
          <w:highlight w:val="none"/>
        </w:rPr>
      </w:pPr>
      <w:r>
        <w:rPr>
          <w:rFonts w:hint="eastAsia" w:ascii="宋体" w:hAnsi="宋体" w:cs="仿宋"/>
          <w:sz w:val="24"/>
          <w:szCs w:val="24"/>
          <w:highlight w:val="none"/>
          <w:lang w:bidi="ar"/>
        </w:rPr>
        <w:t>（备注：1、供应商如不提供此声明函，价格将不做相应扣除。2、中标供应商为残疾人福利单位的，此声明函将随中标结果同时公告，接受社会监督）</w:t>
      </w:r>
    </w:p>
    <w:p w14:paraId="47CB46BF">
      <w:pPr>
        <w:spacing w:line="588" w:lineRule="exact"/>
        <w:ind w:firstLine="624" w:firstLineChars="200"/>
        <w:rPr>
          <w:rFonts w:ascii="宋体" w:hAnsi="宋体" w:cs="仿宋"/>
          <w:spacing w:val="6"/>
          <w:sz w:val="30"/>
          <w:szCs w:val="30"/>
          <w:highlight w:val="none"/>
        </w:rPr>
      </w:pPr>
      <w:r>
        <w:rPr>
          <w:rFonts w:hint="eastAsia" w:ascii="宋体" w:hAnsi="宋体" w:cs="仿宋"/>
          <w:spacing w:val="6"/>
          <w:sz w:val="30"/>
          <w:szCs w:val="30"/>
          <w:highlight w:val="none"/>
          <w:lang w:bidi="ar"/>
        </w:rPr>
        <w:t xml:space="preserve"> </w:t>
      </w:r>
    </w:p>
    <w:p w14:paraId="4733A4C4">
      <w:pPr>
        <w:spacing w:line="588" w:lineRule="exact"/>
        <w:ind w:right="1560" w:firstLine="624" w:firstLineChars="200"/>
        <w:jc w:val="center"/>
        <w:rPr>
          <w:rFonts w:ascii="宋体" w:hAnsi="宋体" w:cs="仿宋"/>
          <w:sz w:val="24"/>
          <w:szCs w:val="24"/>
          <w:highlight w:val="none"/>
        </w:rPr>
      </w:pPr>
      <w:r>
        <w:rPr>
          <w:rFonts w:hint="eastAsia" w:ascii="宋体" w:hAnsi="宋体" w:cs="仿宋"/>
          <w:spacing w:val="6"/>
          <w:sz w:val="30"/>
          <w:szCs w:val="30"/>
          <w:highlight w:val="none"/>
          <w:lang w:bidi="ar"/>
        </w:rPr>
        <w:t xml:space="preserve">             </w:t>
      </w:r>
      <w:r>
        <w:rPr>
          <w:rFonts w:hint="eastAsia" w:ascii="宋体" w:hAnsi="宋体" w:cs="仿宋"/>
          <w:sz w:val="24"/>
          <w:szCs w:val="24"/>
          <w:highlight w:val="none"/>
          <w:lang w:bidi="ar"/>
        </w:rPr>
        <w:t xml:space="preserve">          供应商全称（加盖公章）：</w:t>
      </w:r>
    </w:p>
    <w:p w14:paraId="245D8846">
      <w:pPr>
        <w:spacing w:line="588" w:lineRule="exact"/>
        <w:ind w:right="1560" w:firstLine="480" w:firstLineChars="200"/>
        <w:jc w:val="center"/>
        <w:rPr>
          <w:rFonts w:ascii="宋体" w:hAnsi="宋体" w:cs="仿宋"/>
          <w:sz w:val="24"/>
          <w:szCs w:val="24"/>
          <w:highlight w:val="none"/>
        </w:rPr>
      </w:pPr>
      <w:r>
        <w:rPr>
          <w:rFonts w:hint="eastAsia" w:ascii="宋体" w:hAnsi="宋体" w:cs="仿宋"/>
          <w:sz w:val="24"/>
          <w:szCs w:val="24"/>
          <w:highlight w:val="none"/>
          <w:lang w:bidi="ar"/>
        </w:rPr>
        <w:t xml:space="preserve">        </w:t>
      </w:r>
      <w:r>
        <w:rPr>
          <w:rFonts w:ascii="宋体" w:hAnsi="宋体" w:cs="仿宋"/>
          <w:sz w:val="24"/>
          <w:szCs w:val="24"/>
          <w:highlight w:val="none"/>
          <w:lang w:bidi="ar"/>
        </w:rPr>
        <w:t xml:space="preserve">    </w:t>
      </w:r>
      <w:r>
        <w:rPr>
          <w:rFonts w:hint="eastAsia" w:ascii="宋体" w:hAnsi="宋体" w:cs="仿宋"/>
          <w:sz w:val="24"/>
          <w:szCs w:val="24"/>
          <w:highlight w:val="none"/>
          <w:lang w:bidi="ar"/>
        </w:rPr>
        <w:t xml:space="preserve">    日    期：</w:t>
      </w:r>
    </w:p>
    <w:p w14:paraId="03E250E9">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73CCE6E7">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32B46C8F">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32AEA4E4">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64C1D64C">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3F1C8B8E">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31CED487">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1E85459F">
      <w:pPr>
        <w:spacing w:line="560" w:lineRule="exact"/>
        <w:ind w:firstLine="643" w:firstLineChars="200"/>
        <w:jc w:val="center"/>
        <w:rPr>
          <w:rFonts w:ascii="宋体" w:hAnsi="宋体" w:cs="黑体"/>
          <w:b/>
          <w:sz w:val="32"/>
          <w:szCs w:val="32"/>
          <w:highlight w:val="none"/>
        </w:rPr>
      </w:pPr>
      <w:r>
        <w:rPr>
          <w:rFonts w:ascii="宋体" w:hAnsi="宋体" w:cs="黑体"/>
          <w:b/>
          <w:sz w:val="32"/>
          <w:szCs w:val="32"/>
          <w:highlight w:val="none"/>
          <w:lang w:bidi="ar"/>
        </w:rPr>
        <w:t xml:space="preserve"> </w:t>
      </w:r>
    </w:p>
    <w:p w14:paraId="51155FA3">
      <w:pPr>
        <w:rPr>
          <w:rFonts w:ascii="宋体" w:hAnsi="宋体"/>
          <w:highlight w:val="none"/>
        </w:rPr>
      </w:pPr>
    </w:p>
    <w:p w14:paraId="7D1062E7">
      <w:pPr>
        <w:rPr>
          <w:rFonts w:ascii="宋体" w:hAnsi="宋体"/>
          <w:highlight w:val="none"/>
        </w:rPr>
      </w:pPr>
    </w:p>
    <w:sectPr>
      <w:headerReference r:id="rId13" w:type="default"/>
      <w:footerReference r:id="rId14" w:type="default"/>
      <w:pgSz w:w="11906" w:h="16838"/>
      <w:pgMar w:top="1440" w:right="856" w:bottom="1440" w:left="114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E857">
    <w:pPr>
      <w:pStyle w:val="17"/>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4097" name="Text Box 1025"/>
              <wp:cNvGraphicFramePr/>
              <a:graphic xmlns:a="http://schemas.openxmlformats.org/drawingml/2006/main">
                <a:graphicData uri="http://schemas.microsoft.com/office/word/2010/wordprocessingShape">
                  <wps:wsp>
                    <wps:cNvSpPr/>
                    <wps:spPr>
                      <a:xfrm>
                        <a:off x="0" y="0"/>
                        <a:ext cx="286385" cy="196850"/>
                      </a:xfrm>
                      <a:prstGeom prst="rect">
                        <a:avLst/>
                      </a:prstGeom>
                      <a:ln>
                        <a:noFill/>
                      </a:ln>
                    </wps:spPr>
                    <wps:txbx>
                      <w:txbxContent>
                        <w:p w14:paraId="3A77692D">
                          <w:pPr>
                            <w:pStyle w:val="17"/>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Text Box 1025" o:spid="_x0000_s1026" o:spt="1"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9b1TNIAAAADAQAADwAAAAAAAAABACAAAAAiAAAAZHJzL2Rvd25yZXYueG1sUEsBAhQAFAAA&#10;AAgAh07iQDmw+828AQAAhwMAAA4AAAAAAAAAAQAgAAAAIQEAAGRycy9lMm9Eb2MueG1sUEsFBgAA&#10;AAAGAAYAWQEAAE8FAAAAAA==&#10;">
              <v:fill on="f" focussize="0,0"/>
              <v:stroke on="f"/>
              <v:imagedata o:title=""/>
              <o:lock v:ext="edit" aspectratio="f"/>
              <v:textbox inset="0mm,0mm,0mm,0mm" style="mso-fit-shape-to-text:t;">
                <w:txbxContent>
                  <w:p w14:paraId="3A77692D">
                    <w:pPr>
                      <w:pStyle w:val="17"/>
                      <w:ind w:firstLine="36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E8D7">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2AD6">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8813">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1F73">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CAB0A">
    <w:pPr>
      <w:pStyle w:val="17"/>
      <w:ind w:firstLine="36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913A39">
                          <w:pPr>
                            <w:pStyle w:val="17"/>
                            <w:ind w:firstLine="360"/>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14:paraId="4E913A39">
                    <w:pPr>
                      <w:pStyle w:val="17"/>
                      <w:ind w:firstLine="360"/>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6F3A">
    <w:pPr>
      <w:pStyle w:val="17"/>
      <w:ind w:firstLine="360"/>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EE4F075">
                          <w:pPr>
                            <w:pStyle w:val="17"/>
                            <w:ind w:firstLine="360"/>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k7tCkyAEAAJIDAAAOAAAAAAAAAAEAIAAAAB8BAABkcnMvZTJvRG9j&#10;LnhtbFBLBQYAAAAABgAGAFkBAABZBQAAAAA=&#10;">
              <v:fill on="f" focussize="0,0"/>
              <v:stroke on="f"/>
              <v:imagedata o:title=""/>
              <o:lock v:ext="edit" aspectratio="f"/>
              <v:textbox inset="0mm,0mm,0mm,0mm" style="mso-fit-shape-to-text:t;">
                <w:txbxContent>
                  <w:p w14:paraId="5EE4F075">
                    <w:pPr>
                      <w:pStyle w:val="17"/>
                      <w:ind w:firstLine="360"/>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04C3">
    <w:pPr>
      <w:pStyle w:val="18"/>
      <w:pBdr>
        <w:bottom w:val="none" w:color="auto" w:sz="0" w:space="1"/>
      </w:pBdr>
      <w:spacing w:line="240" w:lineRule="atLeast"/>
      <w:ind w:firstLine="0" w:firstLineChars="0"/>
      <w:rPr>
        <w:rFonts w:ascii="楷体" w:hAnsi="楷体" w:eastAsia="楷体" w:cs="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1A9A">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160F">
    <w:pPr>
      <w:pStyle w:val="18"/>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13D0">
    <w:pPr>
      <w:pStyle w:val="18"/>
      <w:pBdr>
        <w:bottom w:val="none" w:color="auto" w:sz="0" w:space="1"/>
      </w:pBdr>
      <w:tabs>
        <w:tab w:val="left" w:pos="5569"/>
      </w:tabs>
      <w:spacing w:line="240" w:lineRule="auto"/>
      <w:ind w:firstLine="0" w:firstLineChars="0"/>
      <w:jc w:val="left"/>
      <w:rPr>
        <w:rFonts w:hint="eastAsia" w:ascii="仿宋" w:hAnsi="仿宋"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AEB">
    <w:pPr>
      <w:pStyle w:val="18"/>
      <w:pBdr>
        <w:bottom w:val="none" w:color="auto" w:sz="0" w:space="1"/>
      </w:pBdr>
      <w:spacing w:line="240" w:lineRule="auto"/>
      <w:ind w:firstLine="0" w:firstLineChars="0"/>
      <w:rPr>
        <w:rFonts w:ascii="仿宋" w:hAnsi="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DDD67"/>
    <w:multiLevelType w:val="singleLevel"/>
    <w:tmpl w:val="803DDD67"/>
    <w:lvl w:ilvl="0" w:tentative="0">
      <w:start w:val="2"/>
      <w:numFmt w:val="decimal"/>
      <w:lvlText w:val="%1."/>
      <w:lvlJc w:val="left"/>
      <w:pPr>
        <w:tabs>
          <w:tab w:val="left" w:pos="312"/>
        </w:tabs>
      </w:pPr>
    </w:lvl>
  </w:abstractNum>
  <w:abstractNum w:abstractNumId="1">
    <w:nsid w:val="8534295E"/>
    <w:multiLevelType w:val="singleLevel"/>
    <w:tmpl w:val="8534295E"/>
    <w:lvl w:ilvl="0" w:tentative="0">
      <w:start w:val="1"/>
      <w:numFmt w:val="decimal"/>
      <w:suff w:val="nothing"/>
      <w:lvlText w:val="（%1）"/>
      <w:lvlJc w:val="left"/>
    </w:lvl>
  </w:abstractNum>
  <w:abstractNum w:abstractNumId="2">
    <w:nsid w:val="85DBE493"/>
    <w:multiLevelType w:val="singleLevel"/>
    <w:tmpl w:val="85DBE493"/>
    <w:lvl w:ilvl="0" w:tentative="0">
      <w:start w:val="7"/>
      <w:numFmt w:val="decimal"/>
      <w:lvlText w:val="%1."/>
      <w:lvlJc w:val="left"/>
      <w:pPr>
        <w:tabs>
          <w:tab w:val="left" w:pos="312"/>
        </w:tabs>
      </w:pPr>
    </w:lvl>
  </w:abstractNum>
  <w:abstractNum w:abstractNumId="3">
    <w:nsid w:val="A09BBA9E"/>
    <w:multiLevelType w:val="singleLevel"/>
    <w:tmpl w:val="A09BBA9E"/>
    <w:lvl w:ilvl="0" w:tentative="0">
      <w:start w:val="1"/>
      <w:numFmt w:val="chineseCounting"/>
      <w:suff w:val="nothing"/>
      <w:lvlText w:val="（%1）"/>
      <w:lvlJc w:val="left"/>
      <w:rPr>
        <w:rFonts w:hint="eastAsia"/>
      </w:rPr>
    </w:lvl>
  </w:abstractNum>
  <w:abstractNum w:abstractNumId="4">
    <w:nsid w:val="A9C37DFD"/>
    <w:multiLevelType w:val="singleLevel"/>
    <w:tmpl w:val="A9C37DFD"/>
    <w:lvl w:ilvl="0" w:tentative="0">
      <w:start w:val="2"/>
      <w:numFmt w:val="chineseCounting"/>
      <w:suff w:val="space"/>
      <w:lvlText w:val="第%1章"/>
      <w:lvlJc w:val="left"/>
      <w:rPr>
        <w:rFonts w:hint="eastAsia"/>
      </w:rPr>
    </w:lvl>
  </w:abstractNum>
  <w:abstractNum w:abstractNumId="5">
    <w:nsid w:val="00000001"/>
    <w:multiLevelType w:val="multilevel"/>
    <w:tmpl w:val="00000001"/>
    <w:lvl w:ilvl="0" w:tentative="0">
      <w:start w:val="7"/>
      <w:numFmt w:val="chineseCounting"/>
      <w:suff w:val="nothing"/>
      <w:lvlText w:val="%1、"/>
      <w:lvlJc w:val="left"/>
      <w:rPr>
        <w:rFonts w:hint="eastAsia"/>
      </w:rPr>
    </w:lvl>
    <w:lvl w:ilvl="1" w:tentative="0">
      <w:start w:val="1"/>
      <w:numFmt w:val="decimal"/>
      <w:isLgl/>
      <w:suff w:val="nothing"/>
      <w:lvlText w:val="%1.%2 "/>
      <w:lvlJc w:val="left"/>
      <w:rPr>
        <w:rFonts w:hint="eastAsia" w:cs="Times New Roman"/>
      </w:rPr>
    </w:lvl>
    <w:lvl w:ilvl="2" w:tentative="0">
      <w:start w:val="1"/>
      <w:numFmt w:val="none"/>
      <w:isLgl/>
      <w:suff w:val="nothing"/>
      <w:lvlText w:val=""/>
      <w:lvlJc w:val="left"/>
      <w:rPr>
        <w:rFonts w:hint="eastAsia" w:ascii="Arial Unicode MS" w:hAnsi="Arial Unicode MS" w:eastAsia="Times New Roman" w:cs="Times New Roman"/>
        <w:sz w:val="24"/>
        <w:szCs w:val="24"/>
      </w:rPr>
    </w:lvl>
    <w:lvl w:ilvl="3" w:tentative="0">
      <w:start w:val="1"/>
      <w:numFmt w:val="none"/>
      <w:isLgl/>
      <w:suff w:val="nothing"/>
      <w:lvlText w:val=""/>
      <w:lvlJc w:val="left"/>
      <w:rPr>
        <w:rFonts w:hint="eastAsia" w:cs="Times New Roman"/>
      </w:rPr>
    </w:lvl>
    <w:lvl w:ilvl="4" w:tentative="0">
      <w:start w:val="1"/>
      <w:numFmt w:val="decimal"/>
      <w:isLgl/>
      <w:suff w:val="nothing"/>
      <w:lvlText w:val="%1.%2.%3.%4.%5 "/>
      <w:lvlJc w:val="left"/>
      <w:rPr>
        <w:rFonts w:hint="eastAsia" w:cs="Times New Roman"/>
        <w:sz w:val="28"/>
        <w:szCs w:val="28"/>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6">
    <w:nsid w:val="00000005"/>
    <w:multiLevelType w:val="singleLevel"/>
    <w:tmpl w:val="00000005"/>
    <w:lvl w:ilvl="0" w:tentative="0">
      <w:start w:val="4"/>
      <w:numFmt w:val="chineseCounting"/>
      <w:suff w:val="nothing"/>
      <w:lvlText w:val="%1、"/>
      <w:lvlJc w:val="left"/>
      <w:rPr>
        <w:rFonts w:hint="eastAsia"/>
      </w:rPr>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7"/>
    <w:multiLevelType w:val="multilevel"/>
    <w:tmpl w:val="00000007"/>
    <w:lvl w:ilvl="0" w:tentative="0">
      <w:start w:val="1"/>
      <w:numFmt w:val="decimal"/>
      <w:suff w:val="nothing"/>
      <w:lvlText w:val="第 %1 部分 "/>
      <w:lvlJc w:val="left"/>
      <w:rPr>
        <w:rFonts w:hint="eastAsia" w:ascii="黑体" w:hAnsi="宋体" w:eastAsia="黑体"/>
        <w:b/>
        <w:bCs/>
        <w:i w:val="0"/>
        <w:iCs w:val="0"/>
        <w:caps w:val="0"/>
        <w:smallCaps w:val="0"/>
        <w:spacing w:val="0"/>
        <w:position w:val="0"/>
        <w:u w:val="none"/>
        <w:vertAlign w:val="baseline"/>
      </w:rPr>
    </w:lvl>
    <w:lvl w:ilvl="1" w:tentative="0">
      <w:start w:val="1"/>
      <w:numFmt w:val="decimal"/>
      <w:pStyle w:val="5"/>
      <w:isLgl/>
      <w:suff w:val="nothing"/>
      <w:lvlText w:val="%1.%2 "/>
      <w:lvlJc w:val="left"/>
      <w:rPr>
        <w:rFonts w:hint="eastAsia"/>
      </w:rPr>
    </w:lvl>
    <w:lvl w:ilvl="2" w:tentative="0">
      <w:start w:val="1"/>
      <w:numFmt w:val="none"/>
      <w:isLgl/>
      <w:suff w:val="nothing"/>
      <w:lvlText w:val=""/>
      <w:lvlJc w:val="left"/>
      <w:rPr>
        <w:rFonts w:hint="eastAsia" w:ascii="Arial Unicode MS" w:hAnsi="Arial Unicode MS" w:eastAsia="Arial Unicode MS"/>
        <w:sz w:val="24"/>
        <w:szCs w:val="24"/>
      </w:rPr>
    </w:lvl>
    <w:lvl w:ilvl="3" w:tentative="0">
      <w:start w:val="1"/>
      <w:numFmt w:val="none"/>
      <w:isLgl/>
      <w:suff w:val="nothing"/>
      <w:lvlText w:val=""/>
      <w:lvlJc w:val="left"/>
      <w:rPr>
        <w:rFonts w:hint="eastAsia"/>
      </w:rPr>
    </w:lvl>
    <w:lvl w:ilvl="4" w:tentative="0">
      <w:start w:val="1"/>
      <w:numFmt w:val="decimal"/>
      <w:isLgl/>
      <w:suff w:val="nothing"/>
      <w:lvlText w:val="%1.%2.%3.%4.%5 "/>
      <w:lvlJc w:val="left"/>
      <w:rPr>
        <w:rFonts w:hint="eastAsia"/>
        <w:sz w:val="28"/>
        <w:szCs w:val="28"/>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9">
    <w:nsid w:val="2D0DA20F"/>
    <w:multiLevelType w:val="singleLevel"/>
    <w:tmpl w:val="2D0DA20F"/>
    <w:lvl w:ilvl="0" w:tentative="0">
      <w:start w:val="1"/>
      <w:numFmt w:val="chineseCounting"/>
      <w:suff w:val="nothing"/>
      <w:lvlText w:val="%1、"/>
      <w:lvlJc w:val="left"/>
      <w:rPr>
        <w:rFonts w:hint="eastAsia"/>
      </w:rPr>
    </w:lvl>
  </w:abstractNum>
  <w:abstractNum w:abstractNumId="10">
    <w:nsid w:val="3184B79B"/>
    <w:multiLevelType w:val="singleLevel"/>
    <w:tmpl w:val="3184B79B"/>
    <w:lvl w:ilvl="0" w:tentative="0">
      <w:start w:val="7"/>
      <w:numFmt w:val="chineseCounting"/>
      <w:suff w:val="nothing"/>
      <w:lvlText w:val="%1、"/>
      <w:lvlJc w:val="left"/>
      <w:rPr>
        <w:rFonts w:hint="eastAsia"/>
      </w:rPr>
    </w:lvl>
  </w:abstractNum>
  <w:abstractNum w:abstractNumId="11">
    <w:nsid w:val="3858C0EE"/>
    <w:multiLevelType w:val="singleLevel"/>
    <w:tmpl w:val="3858C0EE"/>
    <w:lvl w:ilvl="0" w:tentative="0">
      <w:start w:val="1"/>
      <w:numFmt w:val="decimal"/>
      <w:suff w:val="nothing"/>
      <w:lvlText w:val="（%1）"/>
      <w:lvlJc w:val="left"/>
      <w:pPr>
        <w:ind w:left="-60"/>
      </w:pPr>
    </w:lvl>
  </w:abstractNum>
  <w:abstractNum w:abstractNumId="12">
    <w:nsid w:val="555603E7"/>
    <w:multiLevelType w:val="singleLevel"/>
    <w:tmpl w:val="555603E7"/>
    <w:lvl w:ilvl="0" w:tentative="0">
      <w:start w:val="1"/>
      <w:numFmt w:val="decimal"/>
      <w:suff w:val="nothing"/>
      <w:lvlText w:val="（%1）"/>
      <w:lvlJc w:val="left"/>
    </w:lvl>
  </w:abstractNum>
  <w:abstractNum w:abstractNumId="13">
    <w:nsid w:val="59F164F5"/>
    <w:multiLevelType w:val="singleLevel"/>
    <w:tmpl w:val="59F164F5"/>
    <w:lvl w:ilvl="0" w:tentative="0">
      <w:start w:val="1"/>
      <w:numFmt w:val="decimal"/>
      <w:suff w:val="nothing"/>
      <w:lvlText w:val="%1、"/>
      <w:lvlJc w:val="left"/>
    </w:lvl>
  </w:abstractNum>
  <w:abstractNum w:abstractNumId="14">
    <w:nsid w:val="618FEE41"/>
    <w:multiLevelType w:val="singleLevel"/>
    <w:tmpl w:val="618FEE41"/>
    <w:lvl w:ilvl="0" w:tentative="0">
      <w:start w:val="1"/>
      <w:numFmt w:val="decimal"/>
      <w:suff w:val="nothing"/>
      <w:lvlText w:val="（%1）"/>
      <w:lvlJc w:val="left"/>
    </w:lvl>
  </w:abstractNum>
  <w:abstractNum w:abstractNumId="15">
    <w:nsid w:val="6DC38D22"/>
    <w:multiLevelType w:val="singleLevel"/>
    <w:tmpl w:val="6DC38D22"/>
    <w:lvl w:ilvl="0" w:tentative="0">
      <w:start w:val="3"/>
      <w:numFmt w:val="chineseCounting"/>
      <w:suff w:val="nothing"/>
      <w:lvlText w:val="%1、"/>
      <w:lvlJc w:val="left"/>
      <w:rPr>
        <w:rFonts w:hint="eastAsia"/>
      </w:rPr>
    </w:lvl>
  </w:abstractNum>
  <w:abstractNum w:abstractNumId="16">
    <w:nsid w:val="71AD91A8"/>
    <w:multiLevelType w:val="singleLevel"/>
    <w:tmpl w:val="71AD91A8"/>
    <w:lvl w:ilvl="0" w:tentative="0">
      <w:start w:val="4"/>
      <w:numFmt w:val="decimal"/>
      <w:suff w:val="nothing"/>
      <w:lvlText w:val="（%1）"/>
      <w:lvlJc w:val="left"/>
    </w:lvl>
  </w:abstractNum>
  <w:num w:numId="1">
    <w:abstractNumId w:val="8"/>
  </w:num>
  <w:num w:numId="2">
    <w:abstractNumId w:val="7"/>
  </w:num>
  <w:num w:numId="3">
    <w:abstractNumId w:val="4"/>
  </w:num>
  <w:num w:numId="4">
    <w:abstractNumId w:val="9"/>
  </w:num>
  <w:num w:numId="5">
    <w:abstractNumId w:val="10"/>
  </w:num>
  <w:num w:numId="6">
    <w:abstractNumId w:val="0"/>
  </w:num>
  <w:num w:numId="7">
    <w:abstractNumId w:val="1"/>
  </w:num>
  <w:num w:numId="8">
    <w:abstractNumId w:val="16"/>
  </w:num>
  <w:num w:numId="9">
    <w:abstractNumId w:val="14"/>
  </w:num>
  <w:num w:numId="10">
    <w:abstractNumId w:val="12"/>
  </w:num>
  <w:num w:numId="11">
    <w:abstractNumId w:val="2"/>
  </w:num>
  <w:num w:numId="12">
    <w:abstractNumId w:val="11"/>
  </w:num>
  <w:num w:numId="13">
    <w:abstractNumId w:val="13"/>
  </w:num>
  <w:num w:numId="14">
    <w:abstractNumId w:val="15"/>
  </w:num>
  <w:num w:numId="15">
    <w:abstractNumId w:val="3"/>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bany">
    <w15:presenceInfo w15:providerId="None" w15:userId="x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172A27"/>
    <w:rsid w:val="00017A6F"/>
    <w:rsid w:val="0003245F"/>
    <w:rsid w:val="000356C5"/>
    <w:rsid w:val="00055133"/>
    <w:rsid w:val="000612F2"/>
    <w:rsid w:val="00066AF4"/>
    <w:rsid w:val="00071850"/>
    <w:rsid w:val="0009105A"/>
    <w:rsid w:val="00097FB8"/>
    <w:rsid w:val="000A7EBE"/>
    <w:rsid w:val="000B6A43"/>
    <w:rsid w:val="000D5F1C"/>
    <w:rsid w:val="000D6B0A"/>
    <w:rsid w:val="000D6C25"/>
    <w:rsid w:val="000F5ED2"/>
    <w:rsid w:val="000F7F5F"/>
    <w:rsid w:val="00106F1A"/>
    <w:rsid w:val="001131CD"/>
    <w:rsid w:val="001136D6"/>
    <w:rsid w:val="0011772B"/>
    <w:rsid w:val="001205A6"/>
    <w:rsid w:val="0012406A"/>
    <w:rsid w:val="00124EB6"/>
    <w:rsid w:val="001262B0"/>
    <w:rsid w:val="001323F9"/>
    <w:rsid w:val="00135135"/>
    <w:rsid w:val="0014201F"/>
    <w:rsid w:val="001443D2"/>
    <w:rsid w:val="00150543"/>
    <w:rsid w:val="001576FA"/>
    <w:rsid w:val="001578D4"/>
    <w:rsid w:val="001622CD"/>
    <w:rsid w:val="00172A27"/>
    <w:rsid w:val="001739E0"/>
    <w:rsid w:val="00190AE8"/>
    <w:rsid w:val="0019520C"/>
    <w:rsid w:val="001962E7"/>
    <w:rsid w:val="001B08DB"/>
    <w:rsid w:val="001C048E"/>
    <w:rsid w:val="001D57BA"/>
    <w:rsid w:val="001D61C0"/>
    <w:rsid w:val="001F2108"/>
    <w:rsid w:val="001F5D3F"/>
    <w:rsid w:val="001F7623"/>
    <w:rsid w:val="00206E72"/>
    <w:rsid w:val="00215EC1"/>
    <w:rsid w:val="00216554"/>
    <w:rsid w:val="00217F95"/>
    <w:rsid w:val="00235466"/>
    <w:rsid w:val="00236637"/>
    <w:rsid w:val="002435C8"/>
    <w:rsid w:val="00244CC4"/>
    <w:rsid w:val="0024667E"/>
    <w:rsid w:val="0025337D"/>
    <w:rsid w:val="0028237E"/>
    <w:rsid w:val="00294B52"/>
    <w:rsid w:val="00295ADF"/>
    <w:rsid w:val="002A02B0"/>
    <w:rsid w:val="002A20C4"/>
    <w:rsid w:val="002A21EA"/>
    <w:rsid w:val="002B0909"/>
    <w:rsid w:val="002B3E35"/>
    <w:rsid w:val="002B5AD5"/>
    <w:rsid w:val="002C24A6"/>
    <w:rsid w:val="002C3145"/>
    <w:rsid w:val="002C6581"/>
    <w:rsid w:val="002E583F"/>
    <w:rsid w:val="002E687C"/>
    <w:rsid w:val="002F5E55"/>
    <w:rsid w:val="003013F3"/>
    <w:rsid w:val="003053B3"/>
    <w:rsid w:val="003141A9"/>
    <w:rsid w:val="00314267"/>
    <w:rsid w:val="0031646A"/>
    <w:rsid w:val="0032058A"/>
    <w:rsid w:val="0034017F"/>
    <w:rsid w:val="003418E1"/>
    <w:rsid w:val="00344446"/>
    <w:rsid w:val="0035781D"/>
    <w:rsid w:val="00376442"/>
    <w:rsid w:val="00381C39"/>
    <w:rsid w:val="003826D5"/>
    <w:rsid w:val="0039111F"/>
    <w:rsid w:val="003976F5"/>
    <w:rsid w:val="003A1D7C"/>
    <w:rsid w:val="003C1700"/>
    <w:rsid w:val="003D5F50"/>
    <w:rsid w:val="003E7386"/>
    <w:rsid w:val="003E79AB"/>
    <w:rsid w:val="0041444C"/>
    <w:rsid w:val="0045090B"/>
    <w:rsid w:val="00461AAA"/>
    <w:rsid w:val="0046550B"/>
    <w:rsid w:val="004659BB"/>
    <w:rsid w:val="00467C2F"/>
    <w:rsid w:val="004715EC"/>
    <w:rsid w:val="00480FC9"/>
    <w:rsid w:val="00487DDA"/>
    <w:rsid w:val="00491406"/>
    <w:rsid w:val="00491ECA"/>
    <w:rsid w:val="0049209B"/>
    <w:rsid w:val="00492E34"/>
    <w:rsid w:val="004A0D8B"/>
    <w:rsid w:val="004A7A84"/>
    <w:rsid w:val="004B4368"/>
    <w:rsid w:val="004B545F"/>
    <w:rsid w:val="004C027D"/>
    <w:rsid w:val="004C2EC4"/>
    <w:rsid w:val="004E43BF"/>
    <w:rsid w:val="004F265C"/>
    <w:rsid w:val="005018E6"/>
    <w:rsid w:val="00501C23"/>
    <w:rsid w:val="00512316"/>
    <w:rsid w:val="005159BB"/>
    <w:rsid w:val="00515C5E"/>
    <w:rsid w:val="00520C98"/>
    <w:rsid w:val="00522DD2"/>
    <w:rsid w:val="00523174"/>
    <w:rsid w:val="005259CD"/>
    <w:rsid w:val="00535E7A"/>
    <w:rsid w:val="00536DB9"/>
    <w:rsid w:val="00553476"/>
    <w:rsid w:val="00560613"/>
    <w:rsid w:val="00562E6F"/>
    <w:rsid w:val="00563274"/>
    <w:rsid w:val="005844AE"/>
    <w:rsid w:val="00596C92"/>
    <w:rsid w:val="005A3C06"/>
    <w:rsid w:val="005A774A"/>
    <w:rsid w:val="005B0B25"/>
    <w:rsid w:val="005B5EC7"/>
    <w:rsid w:val="005C4070"/>
    <w:rsid w:val="005D375D"/>
    <w:rsid w:val="005E1AF7"/>
    <w:rsid w:val="005E29EA"/>
    <w:rsid w:val="005E6A5C"/>
    <w:rsid w:val="005F299A"/>
    <w:rsid w:val="005F2F28"/>
    <w:rsid w:val="00610415"/>
    <w:rsid w:val="00624113"/>
    <w:rsid w:val="00624FD8"/>
    <w:rsid w:val="00625EC3"/>
    <w:rsid w:val="00631D93"/>
    <w:rsid w:val="0064491D"/>
    <w:rsid w:val="00651811"/>
    <w:rsid w:val="006570AB"/>
    <w:rsid w:val="0066009B"/>
    <w:rsid w:val="00661ED1"/>
    <w:rsid w:val="00664589"/>
    <w:rsid w:val="0066749F"/>
    <w:rsid w:val="0067202B"/>
    <w:rsid w:val="00685AC5"/>
    <w:rsid w:val="006911F9"/>
    <w:rsid w:val="00693A8D"/>
    <w:rsid w:val="00694474"/>
    <w:rsid w:val="006A43C8"/>
    <w:rsid w:val="006B4F71"/>
    <w:rsid w:val="006C1CA3"/>
    <w:rsid w:val="006C3810"/>
    <w:rsid w:val="006D6F3B"/>
    <w:rsid w:val="006D6FE1"/>
    <w:rsid w:val="006F2EFF"/>
    <w:rsid w:val="006F5BF2"/>
    <w:rsid w:val="007019F6"/>
    <w:rsid w:val="0070577C"/>
    <w:rsid w:val="00715126"/>
    <w:rsid w:val="00723AF1"/>
    <w:rsid w:val="00735491"/>
    <w:rsid w:val="00740573"/>
    <w:rsid w:val="007411C0"/>
    <w:rsid w:val="00750850"/>
    <w:rsid w:val="007656F4"/>
    <w:rsid w:val="00767341"/>
    <w:rsid w:val="00773AA6"/>
    <w:rsid w:val="00775131"/>
    <w:rsid w:val="0077528E"/>
    <w:rsid w:val="00776668"/>
    <w:rsid w:val="007806A9"/>
    <w:rsid w:val="00785749"/>
    <w:rsid w:val="00791980"/>
    <w:rsid w:val="00791EE2"/>
    <w:rsid w:val="007935B3"/>
    <w:rsid w:val="007A04A6"/>
    <w:rsid w:val="007A6DA5"/>
    <w:rsid w:val="007A729A"/>
    <w:rsid w:val="007B2A61"/>
    <w:rsid w:val="007B4772"/>
    <w:rsid w:val="007B5DFC"/>
    <w:rsid w:val="007B7211"/>
    <w:rsid w:val="007C2CDB"/>
    <w:rsid w:val="007C47D8"/>
    <w:rsid w:val="007D0481"/>
    <w:rsid w:val="007D3DB0"/>
    <w:rsid w:val="007E2AC6"/>
    <w:rsid w:val="007E2EF7"/>
    <w:rsid w:val="007E3A12"/>
    <w:rsid w:val="007E5C4D"/>
    <w:rsid w:val="007E615C"/>
    <w:rsid w:val="007E7083"/>
    <w:rsid w:val="007F258D"/>
    <w:rsid w:val="00803970"/>
    <w:rsid w:val="008168A2"/>
    <w:rsid w:val="00821032"/>
    <w:rsid w:val="0083283A"/>
    <w:rsid w:val="00834BC1"/>
    <w:rsid w:val="0083608D"/>
    <w:rsid w:val="00837541"/>
    <w:rsid w:val="00840D84"/>
    <w:rsid w:val="00841B44"/>
    <w:rsid w:val="00860345"/>
    <w:rsid w:val="008751A8"/>
    <w:rsid w:val="00891D90"/>
    <w:rsid w:val="0089360B"/>
    <w:rsid w:val="00893649"/>
    <w:rsid w:val="008A227B"/>
    <w:rsid w:val="008A344D"/>
    <w:rsid w:val="008A54F0"/>
    <w:rsid w:val="008B449D"/>
    <w:rsid w:val="008B59E2"/>
    <w:rsid w:val="008C5EB4"/>
    <w:rsid w:val="008C6051"/>
    <w:rsid w:val="008D25FD"/>
    <w:rsid w:val="008E7861"/>
    <w:rsid w:val="008F2089"/>
    <w:rsid w:val="009049D8"/>
    <w:rsid w:val="009122FD"/>
    <w:rsid w:val="00914AE5"/>
    <w:rsid w:val="0091673B"/>
    <w:rsid w:val="00923551"/>
    <w:rsid w:val="009311E0"/>
    <w:rsid w:val="00933D3C"/>
    <w:rsid w:val="009353A1"/>
    <w:rsid w:val="0093638B"/>
    <w:rsid w:val="00942083"/>
    <w:rsid w:val="00945AE8"/>
    <w:rsid w:val="009511A2"/>
    <w:rsid w:val="00953D9C"/>
    <w:rsid w:val="00960297"/>
    <w:rsid w:val="00971806"/>
    <w:rsid w:val="00977B14"/>
    <w:rsid w:val="00982C41"/>
    <w:rsid w:val="0098595F"/>
    <w:rsid w:val="009932E0"/>
    <w:rsid w:val="00994C01"/>
    <w:rsid w:val="009A0B17"/>
    <w:rsid w:val="009A38BB"/>
    <w:rsid w:val="009A7256"/>
    <w:rsid w:val="009C1669"/>
    <w:rsid w:val="009C1C7D"/>
    <w:rsid w:val="009C512B"/>
    <w:rsid w:val="009E0DCC"/>
    <w:rsid w:val="009F6936"/>
    <w:rsid w:val="00A019C8"/>
    <w:rsid w:val="00A05B3B"/>
    <w:rsid w:val="00A11EFA"/>
    <w:rsid w:val="00A12821"/>
    <w:rsid w:val="00A13FA4"/>
    <w:rsid w:val="00A17FF9"/>
    <w:rsid w:val="00A32B33"/>
    <w:rsid w:val="00A47E7F"/>
    <w:rsid w:val="00A53B24"/>
    <w:rsid w:val="00A636D2"/>
    <w:rsid w:val="00A662C5"/>
    <w:rsid w:val="00A727C5"/>
    <w:rsid w:val="00A77258"/>
    <w:rsid w:val="00A828EB"/>
    <w:rsid w:val="00A82948"/>
    <w:rsid w:val="00A90FFB"/>
    <w:rsid w:val="00A91525"/>
    <w:rsid w:val="00A928FD"/>
    <w:rsid w:val="00AA7396"/>
    <w:rsid w:val="00AB7EBE"/>
    <w:rsid w:val="00AC7B44"/>
    <w:rsid w:val="00AD1A8E"/>
    <w:rsid w:val="00AE0CE9"/>
    <w:rsid w:val="00AE1037"/>
    <w:rsid w:val="00AF6ECE"/>
    <w:rsid w:val="00AF7968"/>
    <w:rsid w:val="00B04AC1"/>
    <w:rsid w:val="00B07FE9"/>
    <w:rsid w:val="00B12BAB"/>
    <w:rsid w:val="00B22BA0"/>
    <w:rsid w:val="00B363F1"/>
    <w:rsid w:val="00B44BB9"/>
    <w:rsid w:val="00B45993"/>
    <w:rsid w:val="00B45DFB"/>
    <w:rsid w:val="00B53637"/>
    <w:rsid w:val="00B631C5"/>
    <w:rsid w:val="00B811C0"/>
    <w:rsid w:val="00B87559"/>
    <w:rsid w:val="00B92027"/>
    <w:rsid w:val="00B92BDC"/>
    <w:rsid w:val="00B9703A"/>
    <w:rsid w:val="00BA4138"/>
    <w:rsid w:val="00BB248C"/>
    <w:rsid w:val="00BB31BA"/>
    <w:rsid w:val="00BB6432"/>
    <w:rsid w:val="00BC01D7"/>
    <w:rsid w:val="00BC5969"/>
    <w:rsid w:val="00BC5C33"/>
    <w:rsid w:val="00BD19EF"/>
    <w:rsid w:val="00BD1B28"/>
    <w:rsid w:val="00BE0671"/>
    <w:rsid w:val="00BE5311"/>
    <w:rsid w:val="00BE5CD4"/>
    <w:rsid w:val="00C074B6"/>
    <w:rsid w:val="00C126EF"/>
    <w:rsid w:val="00C14C72"/>
    <w:rsid w:val="00C15B1B"/>
    <w:rsid w:val="00C174C9"/>
    <w:rsid w:val="00C20381"/>
    <w:rsid w:val="00C2436A"/>
    <w:rsid w:val="00C30CAF"/>
    <w:rsid w:val="00C3325C"/>
    <w:rsid w:val="00C45ACB"/>
    <w:rsid w:val="00C50EDC"/>
    <w:rsid w:val="00C5353C"/>
    <w:rsid w:val="00C5501A"/>
    <w:rsid w:val="00C56124"/>
    <w:rsid w:val="00C7599C"/>
    <w:rsid w:val="00C91C98"/>
    <w:rsid w:val="00CA0CD7"/>
    <w:rsid w:val="00CA3B04"/>
    <w:rsid w:val="00CC1E87"/>
    <w:rsid w:val="00CC3348"/>
    <w:rsid w:val="00CC38D6"/>
    <w:rsid w:val="00CD188B"/>
    <w:rsid w:val="00CD70E4"/>
    <w:rsid w:val="00CF28BE"/>
    <w:rsid w:val="00CF3752"/>
    <w:rsid w:val="00D01278"/>
    <w:rsid w:val="00D20F26"/>
    <w:rsid w:val="00D23AE7"/>
    <w:rsid w:val="00D27075"/>
    <w:rsid w:val="00D30716"/>
    <w:rsid w:val="00D339E2"/>
    <w:rsid w:val="00D44840"/>
    <w:rsid w:val="00D473A9"/>
    <w:rsid w:val="00D52C35"/>
    <w:rsid w:val="00D60C69"/>
    <w:rsid w:val="00D80C2A"/>
    <w:rsid w:val="00D82ABC"/>
    <w:rsid w:val="00D85AF4"/>
    <w:rsid w:val="00D9010D"/>
    <w:rsid w:val="00DA3FFF"/>
    <w:rsid w:val="00DA5C53"/>
    <w:rsid w:val="00DB034A"/>
    <w:rsid w:val="00DB276F"/>
    <w:rsid w:val="00DB51D0"/>
    <w:rsid w:val="00DC7794"/>
    <w:rsid w:val="00DD300C"/>
    <w:rsid w:val="00DF0E4B"/>
    <w:rsid w:val="00DF36F2"/>
    <w:rsid w:val="00E077DB"/>
    <w:rsid w:val="00E17E4A"/>
    <w:rsid w:val="00E22DE9"/>
    <w:rsid w:val="00E25BF5"/>
    <w:rsid w:val="00E2626C"/>
    <w:rsid w:val="00E30BA0"/>
    <w:rsid w:val="00E33D2E"/>
    <w:rsid w:val="00E3430F"/>
    <w:rsid w:val="00E36884"/>
    <w:rsid w:val="00E4053E"/>
    <w:rsid w:val="00E47E55"/>
    <w:rsid w:val="00E55CD8"/>
    <w:rsid w:val="00E61C0D"/>
    <w:rsid w:val="00E633A1"/>
    <w:rsid w:val="00E80DF1"/>
    <w:rsid w:val="00E818FF"/>
    <w:rsid w:val="00E87A8A"/>
    <w:rsid w:val="00EA233A"/>
    <w:rsid w:val="00EA3103"/>
    <w:rsid w:val="00EB0B1C"/>
    <w:rsid w:val="00EB2A63"/>
    <w:rsid w:val="00EB2FE3"/>
    <w:rsid w:val="00EC723E"/>
    <w:rsid w:val="00EC796C"/>
    <w:rsid w:val="00ED2673"/>
    <w:rsid w:val="00ED4C97"/>
    <w:rsid w:val="00ED5472"/>
    <w:rsid w:val="00EE26B6"/>
    <w:rsid w:val="00EE3D9B"/>
    <w:rsid w:val="00EF1766"/>
    <w:rsid w:val="00EF1BF2"/>
    <w:rsid w:val="00EF2004"/>
    <w:rsid w:val="00EF396B"/>
    <w:rsid w:val="00F00D26"/>
    <w:rsid w:val="00F03BC3"/>
    <w:rsid w:val="00F05C92"/>
    <w:rsid w:val="00F4210C"/>
    <w:rsid w:val="00F520C0"/>
    <w:rsid w:val="00F52A8D"/>
    <w:rsid w:val="00F54BF0"/>
    <w:rsid w:val="00F60AB5"/>
    <w:rsid w:val="00F61127"/>
    <w:rsid w:val="00F61D27"/>
    <w:rsid w:val="00F63702"/>
    <w:rsid w:val="00F72CA9"/>
    <w:rsid w:val="00F83BE6"/>
    <w:rsid w:val="00F84DC0"/>
    <w:rsid w:val="00F871B3"/>
    <w:rsid w:val="00F877AD"/>
    <w:rsid w:val="00F87D18"/>
    <w:rsid w:val="00F87FFB"/>
    <w:rsid w:val="00FB0604"/>
    <w:rsid w:val="00FB24D1"/>
    <w:rsid w:val="00FC162C"/>
    <w:rsid w:val="00FC7871"/>
    <w:rsid w:val="00FD2F1E"/>
    <w:rsid w:val="00FE1A10"/>
    <w:rsid w:val="00FF1B83"/>
    <w:rsid w:val="00FF7E3B"/>
    <w:rsid w:val="010B405F"/>
    <w:rsid w:val="012375FA"/>
    <w:rsid w:val="0152227D"/>
    <w:rsid w:val="015679D0"/>
    <w:rsid w:val="01626374"/>
    <w:rsid w:val="016A6FD7"/>
    <w:rsid w:val="016E2E7C"/>
    <w:rsid w:val="01763BCE"/>
    <w:rsid w:val="0184229F"/>
    <w:rsid w:val="01955E2B"/>
    <w:rsid w:val="01981D96"/>
    <w:rsid w:val="019E4ED3"/>
    <w:rsid w:val="01A178E4"/>
    <w:rsid w:val="01A22C15"/>
    <w:rsid w:val="01BD17FD"/>
    <w:rsid w:val="01C34939"/>
    <w:rsid w:val="01C40DDD"/>
    <w:rsid w:val="01C5413F"/>
    <w:rsid w:val="01C7267B"/>
    <w:rsid w:val="01DB2C49"/>
    <w:rsid w:val="01DF087E"/>
    <w:rsid w:val="01E74ACC"/>
    <w:rsid w:val="01E90844"/>
    <w:rsid w:val="01EC3E90"/>
    <w:rsid w:val="01F62F61"/>
    <w:rsid w:val="01FA47FF"/>
    <w:rsid w:val="01FB2325"/>
    <w:rsid w:val="02034814"/>
    <w:rsid w:val="020E2058"/>
    <w:rsid w:val="021533E7"/>
    <w:rsid w:val="02201D8C"/>
    <w:rsid w:val="02203B3A"/>
    <w:rsid w:val="02205A33"/>
    <w:rsid w:val="02223D56"/>
    <w:rsid w:val="02274EC8"/>
    <w:rsid w:val="02296E92"/>
    <w:rsid w:val="022A6766"/>
    <w:rsid w:val="0239626F"/>
    <w:rsid w:val="0250441F"/>
    <w:rsid w:val="02551A35"/>
    <w:rsid w:val="0257765C"/>
    <w:rsid w:val="025C7268"/>
    <w:rsid w:val="02624152"/>
    <w:rsid w:val="026B5085"/>
    <w:rsid w:val="026D3223"/>
    <w:rsid w:val="026E6F9B"/>
    <w:rsid w:val="0284056C"/>
    <w:rsid w:val="029C3B08"/>
    <w:rsid w:val="02A1111E"/>
    <w:rsid w:val="02B246DC"/>
    <w:rsid w:val="02B40E52"/>
    <w:rsid w:val="02B7449E"/>
    <w:rsid w:val="02C62933"/>
    <w:rsid w:val="02CB7F49"/>
    <w:rsid w:val="02E1776D"/>
    <w:rsid w:val="02E35293"/>
    <w:rsid w:val="02F72AEC"/>
    <w:rsid w:val="02FE031F"/>
    <w:rsid w:val="03082F4B"/>
    <w:rsid w:val="03086AA8"/>
    <w:rsid w:val="03174F3D"/>
    <w:rsid w:val="03200295"/>
    <w:rsid w:val="032558AB"/>
    <w:rsid w:val="032D650E"/>
    <w:rsid w:val="033C2BF5"/>
    <w:rsid w:val="033E696D"/>
    <w:rsid w:val="03433A17"/>
    <w:rsid w:val="034A3564"/>
    <w:rsid w:val="034F46D6"/>
    <w:rsid w:val="035148F2"/>
    <w:rsid w:val="0361265C"/>
    <w:rsid w:val="03675EC4"/>
    <w:rsid w:val="03885EBA"/>
    <w:rsid w:val="03993BA4"/>
    <w:rsid w:val="03B44E81"/>
    <w:rsid w:val="03BC7892"/>
    <w:rsid w:val="03BD3D36"/>
    <w:rsid w:val="03BE185C"/>
    <w:rsid w:val="03C01FEA"/>
    <w:rsid w:val="03D41777"/>
    <w:rsid w:val="03DD6186"/>
    <w:rsid w:val="03DE3CAC"/>
    <w:rsid w:val="03E47515"/>
    <w:rsid w:val="03E5328D"/>
    <w:rsid w:val="03E5503B"/>
    <w:rsid w:val="03E77D65"/>
    <w:rsid w:val="03EF5EB9"/>
    <w:rsid w:val="03F90AE6"/>
    <w:rsid w:val="04155920"/>
    <w:rsid w:val="041B0A5C"/>
    <w:rsid w:val="041B280B"/>
    <w:rsid w:val="04247911"/>
    <w:rsid w:val="043B2EAD"/>
    <w:rsid w:val="04425FE9"/>
    <w:rsid w:val="04506958"/>
    <w:rsid w:val="0451447E"/>
    <w:rsid w:val="04533DF5"/>
    <w:rsid w:val="04575F38"/>
    <w:rsid w:val="0458580D"/>
    <w:rsid w:val="04610B65"/>
    <w:rsid w:val="04642403"/>
    <w:rsid w:val="04697A1A"/>
    <w:rsid w:val="04762137"/>
    <w:rsid w:val="04816A57"/>
    <w:rsid w:val="0482288A"/>
    <w:rsid w:val="048605CC"/>
    <w:rsid w:val="048B5BE2"/>
    <w:rsid w:val="048C3708"/>
    <w:rsid w:val="04966335"/>
    <w:rsid w:val="049C7DEF"/>
    <w:rsid w:val="04A15406"/>
    <w:rsid w:val="04A46CA4"/>
    <w:rsid w:val="04A86794"/>
    <w:rsid w:val="04A942BA"/>
    <w:rsid w:val="04AB3B8E"/>
    <w:rsid w:val="04AC7907"/>
    <w:rsid w:val="04B54A0D"/>
    <w:rsid w:val="04BC223F"/>
    <w:rsid w:val="04BD7D66"/>
    <w:rsid w:val="04C9670A"/>
    <w:rsid w:val="04E6106A"/>
    <w:rsid w:val="04E62E18"/>
    <w:rsid w:val="04F419D9"/>
    <w:rsid w:val="04F55751"/>
    <w:rsid w:val="050339CA"/>
    <w:rsid w:val="05045994"/>
    <w:rsid w:val="05080FE1"/>
    <w:rsid w:val="051554AC"/>
    <w:rsid w:val="05195543"/>
    <w:rsid w:val="05241B93"/>
    <w:rsid w:val="052971A9"/>
    <w:rsid w:val="052A53FB"/>
    <w:rsid w:val="053022E6"/>
    <w:rsid w:val="0532605E"/>
    <w:rsid w:val="0539495C"/>
    <w:rsid w:val="053C0C8A"/>
    <w:rsid w:val="054A784B"/>
    <w:rsid w:val="0563090D"/>
    <w:rsid w:val="056A3A4A"/>
    <w:rsid w:val="05724329"/>
    <w:rsid w:val="05776166"/>
    <w:rsid w:val="05790131"/>
    <w:rsid w:val="05834B0B"/>
    <w:rsid w:val="058C1C12"/>
    <w:rsid w:val="058C7E64"/>
    <w:rsid w:val="058D598A"/>
    <w:rsid w:val="05A625A8"/>
    <w:rsid w:val="05A6335B"/>
    <w:rsid w:val="05A827C4"/>
    <w:rsid w:val="05B5373C"/>
    <w:rsid w:val="05B55C2C"/>
    <w:rsid w:val="05B922DB"/>
    <w:rsid w:val="05C0366A"/>
    <w:rsid w:val="05C25634"/>
    <w:rsid w:val="05C84C14"/>
    <w:rsid w:val="05CD222A"/>
    <w:rsid w:val="05CF7D50"/>
    <w:rsid w:val="05D84E57"/>
    <w:rsid w:val="05DB4947"/>
    <w:rsid w:val="05DB66F5"/>
    <w:rsid w:val="05DC421B"/>
    <w:rsid w:val="05E05ABA"/>
    <w:rsid w:val="05E27A84"/>
    <w:rsid w:val="05E64275"/>
    <w:rsid w:val="05EA2DDC"/>
    <w:rsid w:val="05EA6938"/>
    <w:rsid w:val="05F72E03"/>
    <w:rsid w:val="05F94DCD"/>
    <w:rsid w:val="05FE4192"/>
    <w:rsid w:val="06043E9E"/>
    <w:rsid w:val="0607573C"/>
    <w:rsid w:val="060774EA"/>
    <w:rsid w:val="060A1284"/>
    <w:rsid w:val="060E27D6"/>
    <w:rsid w:val="06113EC5"/>
    <w:rsid w:val="0620235A"/>
    <w:rsid w:val="06210C4C"/>
    <w:rsid w:val="06222576"/>
    <w:rsid w:val="06293905"/>
    <w:rsid w:val="062E2CC9"/>
    <w:rsid w:val="062F259D"/>
    <w:rsid w:val="062F2D11"/>
    <w:rsid w:val="06321BD1"/>
    <w:rsid w:val="065B7836"/>
    <w:rsid w:val="065D35AE"/>
    <w:rsid w:val="0661608D"/>
    <w:rsid w:val="06654211"/>
    <w:rsid w:val="066606B5"/>
    <w:rsid w:val="067601CC"/>
    <w:rsid w:val="067B3A34"/>
    <w:rsid w:val="067F3525"/>
    <w:rsid w:val="067F52D3"/>
    <w:rsid w:val="06826B71"/>
    <w:rsid w:val="068943A3"/>
    <w:rsid w:val="068B1EC9"/>
    <w:rsid w:val="06936FD0"/>
    <w:rsid w:val="069C40D7"/>
    <w:rsid w:val="069F5975"/>
    <w:rsid w:val="06A25465"/>
    <w:rsid w:val="06A27213"/>
    <w:rsid w:val="06A72A7B"/>
    <w:rsid w:val="06A967F3"/>
    <w:rsid w:val="06B01054"/>
    <w:rsid w:val="06B31420"/>
    <w:rsid w:val="06D777C1"/>
    <w:rsid w:val="06E15F8D"/>
    <w:rsid w:val="06E84AE2"/>
    <w:rsid w:val="06E94E42"/>
    <w:rsid w:val="06F757B1"/>
    <w:rsid w:val="07013F3A"/>
    <w:rsid w:val="070C28DE"/>
    <w:rsid w:val="071023CF"/>
    <w:rsid w:val="071C0D73"/>
    <w:rsid w:val="071D4AEC"/>
    <w:rsid w:val="0721638A"/>
    <w:rsid w:val="072B7208"/>
    <w:rsid w:val="072F5E8C"/>
    <w:rsid w:val="074327A4"/>
    <w:rsid w:val="074A3B33"/>
    <w:rsid w:val="07504EC1"/>
    <w:rsid w:val="07541C4C"/>
    <w:rsid w:val="07630750"/>
    <w:rsid w:val="076F5347"/>
    <w:rsid w:val="077B0190"/>
    <w:rsid w:val="077C5CB6"/>
    <w:rsid w:val="078057A6"/>
    <w:rsid w:val="07862691"/>
    <w:rsid w:val="07876E2F"/>
    <w:rsid w:val="079335E8"/>
    <w:rsid w:val="079E0584"/>
    <w:rsid w:val="07A1571D"/>
    <w:rsid w:val="07AC659B"/>
    <w:rsid w:val="07AD40C1"/>
    <w:rsid w:val="07B471FE"/>
    <w:rsid w:val="07C37441"/>
    <w:rsid w:val="07CA07CF"/>
    <w:rsid w:val="07CC09EB"/>
    <w:rsid w:val="07DD49A7"/>
    <w:rsid w:val="07EA2C20"/>
    <w:rsid w:val="07EC6998"/>
    <w:rsid w:val="07F4434F"/>
    <w:rsid w:val="080261BB"/>
    <w:rsid w:val="0808579C"/>
    <w:rsid w:val="080D690E"/>
    <w:rsid w:val="0822097E"/>
    <w:rsid w:val="0822685D"/>
    <w:rsid w:val="082C214F"/>
    <w:rsid w:val="083003BC"/>
    <w:rsid w:val="08332819"/>
    <w:rsid w:val="08346591"/>
    <w:rsid w:val="083B16CD"/>
    <w:rsid w:val="084762C4"/>
    <w:rsid w:val="085B58CB"/>
    <w:rsid w:val="086504F8"/>
    <w:rsid w:val="086557B5"/>
    <w:rsid w:val="086724C2"/>
    <w:rsid w:val="086E3851"/>
    <w:rsid w:val="0870581B"/>
    <w:rsid w:val="08723BC6"/>
    <w:rsid w:val="08836BD0"/>
    <w:rsid w:val="08964B56"/>
    <w:rsid w:val="08A13C26"/>
    <w:rsid w:val="08BB280E"/>
    <w:rsid w:val="08BF5E5A"/>
    <w:rsid w:val="08C571E9"/>
    <w:rsid w:val="08C77405"/>
    <w:rsid w:val="08CE609D"/>
    <w:rsid w:val="08CF1E16"/>
    <w:rsid w:val="08D3272D"/>
    <w:rsid w:val="08D4742C"/>
    <w:rsid w:val="08E65ADD"/>
    <w:rsid w:val="08F024B8"/>
    <w:rsid w:val="08F85810"/>
    <w:rsid w:val="08F86759"/>
    <w:rsid w:val="09067F2D"/>
    <w:rsid w:val="09120680"/>
    <w:rsid w:val="091D7025"/>
    <w:rsid w:val="09216B15"/>
    <w:rsid w:val="0928674D"/>
    <w:rsid w:val="09304FAA"/>
    <w:rsid w:val="09347B57"/>
    <w:rsid w:val="093518E5"/>
    <w:rsid w:val="09376339"/>
    <w:rsid w:val="093C56FD"/>
    <w:rsid w:val="09532A47"/>
    <w:rsid w:val="095567BF"/>
    <w:rsid w:val="097430E9"/>
    <w:rsid w:val="09774987"/>
    <w:rsid w:val="097F1A8E"/>
    <w:rsid w:val="09815806"/>
    <w:rsid w:val="09861D3A"/>
    <w:rsid w:val="098A22EA"/>
    <w:rsid w:val="098D7D07"/>
    <w:rsid w:val="09927A92"/>
    <w:rsid w:val="09970B85"/>
    <w:rsid w:val="09976DD7"/>
    <w:rsid w:val="09A3752A"/>
    <w:rsid w:val="09C03A67"/>
    <w:rsid w:val="09C15C02"/>
    <w:rsid w:val="09CD0A4B"/>
    <w:rsid w:val="09CD18FD"/>
    <w:rsid w:val="09E162A4"/>
    <w:rsid w:val="09E902BD"/>
    <w:rsid w:val="09F4422A"/>
    <w:rsid w:val="09FE6E56"/>
    <w:rsid w:val="0A002BCE"/>
    <w:rsid w:val="0A03621B"/>
    <w:rsid w:val="0A116B8A"/>
    <w:rsid w:val="0A165F4E"/>
    <w:rsid w:val="0A256191"/>
    <w:rsid w:val="0A2F5262"/>
    <w:rsid w:val="0A310FDA"/>
    <w:rsid w:val="0A3665F0"/>
    <w:rsid w:val="0A456833"/>
    <w:rsid w:val="0A486323"/>
    <w:rsid w:val="0A4F2E9A"/>
    <w:rsid w:val="0A540DFD"/>
    <w:rsid w:val="0A595E3B"/>
    <w:rsid w:val="0A682522"/>
    <w:rsid w:val="0A6C0264"/>
    <w:rsid w:val="0A73514E"/>
    <w:rsid w:val="0A764C3F"/>
    <w:rsid w:val="0A80086A"/>
    <w:rsid w:val="0A83110A"/>
    <w:rsid w:val="0A9B46A5"/>
    <w:rsid w:val="0AA03A6A"/>
    <w:rsid w:val="0AB063A2"/>
    <w:rsid w:val="0ABB4734"/>
    <w:rsid w:val="0AD27C05"/>
    <w:rsid w:val="0AD33E3F"/>
    <w:rsid w:val="0AD61B81"/>
    <w:rsid w:val="0ADB7197"/>
    <w:rsid w:val="0ADF4592"/>
    <w:rsid w:val="0AE95411"/>
    <w:rsid w:val="0B024724"/>
    <w:rsid w:val="0B057D70"/>
    <w:rsid w:val="0B073AE9"/>
    <w:rsid w:val="0B0F299D"/>
    <w:rsid w:val="0B154457"/>
    <w:rsid w:val="0B1A1A6E"/>
    <w:rsid w:val="0B226B74"/>
    <w:rsid w:val="0B2428ED"/>
    <w:rsid w:val="0B3F3282"/>
    <w:rsid w:val="0B462863"/>
    <w:rsid w:val="0B472137"/>
    <w:rsid w:val="0B4765DB"/>
    <w:rsid w:val="0B536D2E"/>
    <w:rsid w:val="0B5605CC"/>
    <w:rsid w:val="0B64718D"/>
    <w:rsid w:val="0B68215D"/>
    <w:rsid w:val="0B6A07D4"/>
    <w:rsid w:val="0B770C6E"/>
    <w:rsid w:val="0B7F5D75"/>
    <w:rsid w:val="0B892750"/>
    <w:rsid w:val="0B9C2483"/>
    <w:rsid w:val="0BB73761"/>
    <w:rsid w:val="0BBE689D"/>
    <w:rsid w:val="0BD47E6F"/>
    <w:rsid w:val="0BDA11FD"/>
    <w:rsid w:val="0BE43E2A"/>
    <w:rsid w:val="0BE800E8"/>
    <w:rsid w:val="0BE91440"/>
    <w:rsid w:val="0BEB6F66"/>
    <w:rsid w:val="0BFC73C5"/>
    <w:rsid w:val="0BFE016B"/>
    <w:rsid w:val="0C0A1AE2"/>
    <w:rsid w:val="0C0A3890"/>
    <w:rsid w:val="0C0A7D34"/>
    <w:rsid w:val="0C0C5F45"/>
    <w:rsid w:val="0C112E71"/>
    <w:rsid w:val="0C151045"/>
    <w:rsid w:val="0C1B5A9E"/>
    <w:rsid w:val="0C41302A"/>
    <w:rsid w:val="0C476893"/>
    <w:rsid w:val="0C4843B9"/>
    <w:rsid w:val="0C4F3999"/>
    <w:rsid w:val="0C5E3BDC"/>
    <w:rsid w:val="0C5E598A"/>
    <w:rsid w:val="0C61547A"/>
    <w:rsid w:val="0C654F6B"/>
    <w:rsid w:val="0C6C454B"/>
    <w:rsid w:val="0C7A2F15"/>
    <w:rsid w:val="0C821421"/>
    <w:rsid w:val="0C8573BB"/>
    <w:rsid w:val="0C8D626F"/>
    <w:rsid w:val="0C924DEE"/>
    <w:rsid w:val="0C931AD8"/>
    <w:rsid w:val="0C965124"/>
    <w:rsid w:val="0C9870EE"/>
    <w:rsid w:val="0CA02447"/>
    <w:rsid w:val="0CAC0DEC"/>
    <w:rsid w:val="0CAC2B9A"/>
    <w:rsid w:val="0CB3217A"/>
    <w:rsid w:val="0CB437FC"/>
    <w:rsid w:val="0CB952B6"/>
    <w:rsid w:val="0CB97065"/>
    <w:rsid w:val="0CC46135"/>
    <w:rsid w:val="0CC632E2"/>
    <w:rsid w:val="0CD10852"/>
    <w:rsid w:val="0CD81BE1"/>
    <w:rsid w:val="0CDB6FDB"/>
    <w:rsid w:val="0CE515B5"/>
    <w:rsid w:val="0CE71E24"/>
    <w:rsid w:val="0CF34325"/>
    <w:rsid w:val="0CFA1B57"/>
    <w:rsid w:val="0D0158A2"/>
    <w:rsid w:val="0D0B29B0"/>
    <w:rsid w:val="0D18022F"/>
    <w:rsid w:val="0D3A63F7"/>
    <w:rsid w:val="0D3D1A44"/>
    <w:rsid w:val="0D3F3A0E"/>
    <w:rsid w:val="0D415BDD"/>
    <w:rsid w:val="0D51729D"/>
    <w:rsid w:val="0D5648B3"/>
    <w:rsid w:val="0D5F7C0C"/>
    <w:rsid w:val="0D671DC3"/>
    <w:rsid w:val="0D692839"/>
    <w:rsid w:val="0D725B91"/>
    <w:rsid w:val="0D75742F"/>
    <w:rsid w:val="0D766D04"/>
    <w:rsid w:val="0D7C256C"/>
    <w:rsid w:val="0D881D5C"/>
    <w:rsid w:val="0D957AD2"/>
    <w:rsid w:val="0D9773A6"/>
    <w:rsid w:val="0D984ECC"/>
    <w:rsid w:val="0D991370"/>
    <w:rsid w:val="0D9D1A98"/>
    <w:rsid w:val="0DAF2EBF"/>
    <w:rsid w:val="0DB04F49"/>
    <w:rsid w:val="0DB53CD0"/>
    <w:rsid w:val="0DC45CC1"/>
    <w:rsid w:val="0DC83A03"/>
    <w:rsid w:val="0DCF4D92"/>
    <w:rsid w:val="0DD51C7C"/>
    <w:rsid w:val="0DDA3736"/>
    <w:rsid w:val="0DED6FC6"/>
    <w:rsid w:val="0DEE2D3E"/>
    <w:rsid w:val="0DF540CC"/>
    <w:rsid w:val="0E010CC3"/>
    <w:rsid w:val="0E097B78"/>
    <w:rsid w:val="0E100F06"/>
    <w:rsid w:val="0E146C48"/>
    <w:rsid w:val="0E196005"/>
    <w:rsid w:val="0E1F2F02"/>
    <w:rsid w:val="0E2B5D40"/>
    <w:rsid w:val="0E2D7D0A"/>
    <w:rsid w:val="0E323572"/>
    <w:rsid w:val="0E35096D"/>
    <w:rsid w:val="0E4D215A"/>
    <w:rsid w:val="0E59465B"/>
    <w:rsid w:val="0E595ED6"/>
    <w:rsid w:val="0E5C239D"/>
    <w:rsid w:val="0E5E7EC3"/>
    <w:rsid w:val="0E625C06"/>
    <w:rsid w:val="0E653000"/>
    <w:rsid w:val="0E6A4ABA"/>
    <w:rsid w:val="0E782F04"/>
    <w:rsid w:val="0E8D2557"/>
    <w:rsid w:val="0E8F4521"/>
    <w:rsid w:val="0E927B6D"/>
    <w:rsid w:val="0E941B37"/>
    <w:rsid w:val="0E975183"/>
    <w:rsid w:val="0E9A7981"/>
    <w:rsid w:val="0EA0672E"/>
    <w:rsid w:val="0EAA258B"/>
    <w:rsid w:val="0EAC50D3"/>
    <w:rsid w:val="0EAC6E81"/>
    <w:rsid w:val="0EC0292C"/>
    <w:rsid w:val="0ECA58F5"/>
    <w:rsid w:val="0ECD6DF7"/>
    <w:rsid w:val="0ED2440E"/>
    <w:rsid w:val="0EE54141"/>
    <w:rsid w:val="0EEA79A9"/>
    <w:rsid w:val="0EED1247"/>
    <w:rsid w:val="0F032819"/>
    <w:rsid w:val="0F0547E3"/>
    <w:rsid w:val="0F135152"/>
    <w:rsid w:val="0F20161D"/>
    <w:rsid w:val="0F296723"/>
    <w:rsid w:val="0F3550C8"/>
    <w:rsid w:val="0F3D3F7D"/>
    <w:rsid w:val="0F543075"/>
    <w:rsid w:val="0F5512C6"/>
    <w:rsid w:val="0F557518"/>
    <w:rsid w:val="0F5A4B2F"/>
    <w:rsid w:val="0F615EBD"/>
    <w:rsid w:val="0F655282"/>
    <w:rsid w:val="0F672DA8"/>
    <w:rsid w:val="0F694D72"/>
    <w:rsid w:val="0F7554C5"/>
    <w:rsid w:val="0F784FB5"/>
    <w:rsid w:val="0F8751F8"/>
    <w:rsid w:val="0F8C280E"/>
    <w:rsid w:val="0F8E0077"/>
    <w:rsid w:val="0F8E6586"/>
    <w:rsid w:val="0F9067A2"/>
    <w:rsid w:val="0F941963"/>
    <w:rsid w:val="0F9C5147"/>
    <w:rsid w:val="0F9F116C"/>
    <w:rsid w:val="0F9F69E6"/>
    <w:rsid w:val="0FA364D6"/>
    <w:rsid w:val="0FB12275"/>
    <w:rsid w:val="0FBA55CD"/>
    <w:rsid w:val="0FBD0C1A"/>
    <w:rsid w:val="0FC0634A"/>
    <w:rsid w:val="0FC65D20"/>
    <w:rsid w:val="0FC87CEA"/>
    <w:rsid w:val="0FD3043D"/>
    <w:rsid w:val="0FDE750E"/>
    <w:rsid w:val="0FE20680"/>
    <w:rsid w:val="0FEF171B"/>
    <w:rsid w:val="0FF94348"/>
    <w:rsid w:val="1001144E"/>
    <w:rsid w:val="100D48FD"/>
    <w:rsid w:val="10142F30"/>
    <w:rsid w:val="101822F4"/>
    <w:rsid w:val="10190546"/>
    <w:rsid w:val="101A606C"/>
    <w:rsid w:val="101F18D4"/>
    <w:rsid w:val="102A2753"/>
    <w:rsid w:val="102B0279"/>
    <w:rsid w:val="103510F8"/>
    <w:rsid w:val="10376C1E"/>
    <w:rsid w:val="103A4BCB"/>
    <w:rsid w:val="10417A9D"/>
    <w:rsid w:val="104430E9"/>
    <w:rsid w:val="104B4477"/>
    <w:rsid w:val="105E41AB"/>
    <w:rsid w:val="10637A13"/>
    <w:rsid w:val="10725EA8"/>
    <w:rsid w:val="107468ED"/>
    <w:rsid w:val="1090632E"/>
    <w:rsid w:val="10A06571"/>
    <w:rsid w:val="10A122E9"/>
    <w:rsid w:val="10A5002C"/>
    <w:rsid w:val="10B14C22"/>
    <w:rsid w:val="10C2298C"/>
    <w:rsid w:val="10C81F6C"/>
    <w:rsid w:val="10D10E21"/>
    <w:rsid w:val="10D425EB"/>
    <w:rsid w:val="10D426BF"/>
    <w:rsid w:val="10D517BE"/>
    <w:rsid w:val="10DB3A4D"/>
    <w:rsid w:val="10E02E12"/>
    <w:rsid w:val="10E30B54"/>
    <w:rsid w:val="10EF12A7"/>
    <w:rsid w:val="10EF74F9"/>
    <w:rsid w:val="110A5393"/>
    <w:rsid w:val="110F36F7"/>
    <w:rsid w:val="11103304"/>
    <w:rsid w:val="11245456"/>
    <w:rsid w:val="11317B11"/>
    <w:rsid w:val="11382C4E"/>
    <w:rsid w:val="113B2D40"/>
    <w:rsid w:val="113D2012"/>
    <w:rsid w:val="114333A1"/>
    <w:rsid w:val="114C04A7"/>
    <w:rsid w:val="116003F7"/>
    <w:rsid w:val="116C6D9B"/>
    <w:rsid w:val="11823EC9"/>
    <w:rsid w:val="1189484A"/>
    <w:rsid w:val="11965BC6"/>
    <w:rsid w:val="11A46535"/>
    <w:rsid w:val="11B147AE"/>
    <w:rsid w:val="11B5604C"/>
    <w:rsid w:val="11BC2535"/>
    <w:rsid w:val="11DA1F57"/>
    <w:rsid w:val="11E608FC"/>
    <w:rsid w:val="11EC6928"/>
    <w:rsid w:val="11EE4811"/>
    <w:rsid w:val="120314AE"/>
    <w:rsid w:val="120604F9"/>
    <w:rsid w:val="12151ECE"/>
    <w:rsid w:val="121F5BBC"/>
    <w:rsid w:val="122907E8"/>
    <w:rsid w:val="12317D70"/>
    <w:rsid w:val="12371157"/>
    <w:rsid w:val="1244640C"/>
    <w:rsid w:val="124B69B1"/>
    <w:rsid w:val="1255782F"/>
    <w:rsid w:val="125910CE"/>
    <w:rsid w:val="125E4936"/>
    <w:rsid w:val="125F08AB"/>
    <w:rsid w:val="12611B8F"/>
    <w:rsid w:val="126B7053"/>
    <w:rsid w:val="127A7296"/>
    <w:rsid w:val="12850115"/>
    <w:rsid w:val="12865C3B"/>
    <w:rsid w:val="128F4AEF"/>
    <w:rsid w:val="129245E0"/>
    <w:rsid w:val="1293001F"/>
    <w:rsid w:val="12993BC0"/>
    <w:rsid w:val="129F1B30"/>
    <w:rsid w:val="12A04F4F"/>
    <w:rsid w:val="12A719B3"/>
    <w:rsid w:val="12B10F0A"/>
    <w:rsid w:val="12B74046"/>
    <w:rsid w:val="12B96DC5"/>
    <w:rsid w:val="12BC165D"/>
    <w:rsid w:val="12C3266C"/>
    <w:rsid w:val="12C81DAF"/>
    <w:rsid w:val="12CA3D79"/>
    <w:rsid w:val="12CC5D44"/>
    <w:rsid w:val="12CD73C6"/>
    <w:rsid w:val="12D20E80"/>
    <w:rsid w:val="12DD1CFF"/>
    <w:rsid w:val="12E56E05"/>
    <w:rsid w:val="12E82452"/>
    <w:rsid w:val="12FE1529"/>
    <w:rsid w:val="12FE6C66"/>
    <w:rsid w:val="12FE7EC7"/>
    <w:rsid w:val="13070B2A"/>
    <w:rsid w:val="13086650"/>
    <w:rsid w:val="13141499"/>
    <w:rsid w:val="1319085D"/>
    <w:rsid w:val="13217712"/>
    <w:rsid w:val="133F4689"/>
    <w:rsid w:val="1347361C"/>
    <w:rsid w:val="13491142"/>
    <w:rsid w:val="134F24D1"/>
    <w:rsid w:val="134F3535"/>
    <w:rsid w:val="13550837"/>
    <w:rsid w:val="13561AB1"/>
    <w:rsid w:val="135950FD"/>
    <w:rsid w:val="135D4BEE"/>
    <w:rsid w:val="135D699C"/>
    <w:rsid w:val="136715C8"/>
    <w:rsid w:val="136F420D"/>
    <w:rsid w:val="13765CAF"/>
    <w:rsid w:val="13873A19"/>
    <w:rsid w:val="139A7BF0"/>
    <w:rsid w:val="139B74C4"/>
    <w:rsid w:val="139F5206"/>
    <w:rsid w:val="13A66595"/>
    <w:rsid w:val="13AC16D1"/>
    <w:rsid w:val="13B10A95"/>
    <w:rsid w:val="13B30CB1"/>
    <w:rsid w:val="13BB7B66"/>
    <w:rsid w:val="13BD743A"/>
    <w:rsid w:val="13C702B9"/>
    <w:rsid w:val="13C92283"/>
    <w:rsid w:val="13CB7DA9"/>
    <w:rsid w:val="13EC7D20"/>
    <w:rsid w:val="13F015BE"/>
    <w:rsid w:val="13F15336"/>
    <w:rsid w:val="13F57B3C"/>
    <w:rsid w:val="13F6294C"/>
    <w:rsid w:val="13F76DF0"/>
    <w:rsid w:val="13F97987"/>
    <w:rsid w:val="13FA068E"/>
    <w:rsid w:val="13FD1F2D"/>
    <w:rsid w:val="14027543"/>
    <w:rsid w:val="14060DE1"/>
    <w:rsid w:val="140E7C96"/>
    <w:rsid w:val="140F7BE3"/>
    <w:rsid w:val="14117786"/>
    <w:rsid w:val="141B23B3"/>
    <w:rsid w:val="141D437D"/>
    <w:rsid w:val="141F179F"/>
    <w:rsid w:val="142851FC"/>
    <w:rsid w:val="1432607A"/>
    <w:rsid w:val="14353475"/>
    <w:rsid w:val="14382092"/>
    <w:rsid w:val="1444190A"/>
    <w:rsid w:val="14496F20"/>
    <w:rsid w:val="14537D9F"/>
    <w:rsid w:val="14575AE1"/>
    <w:rsid w:val="145C4EA5"/>
    <w:rsid w:val="14665D24"/>
    <w:rsid w:val="146D0E60"/>
    <w:rsid w:val="1481490C"/>
    <w:rsid w:val="14A625C4"/>
    <w:rsid w:val="14AB7BDB"/>
    <w:rsid w:val="14AD74AF"/>
    <w:rsid w:val="14C111AC"/>
    <w:rsid w:val="14C8795A"/>
    <w:rsid w:val="14C91E0F"/>
    <w:rsid w:val="14CD31AF"/>
    <w:rsid w:val="14D902A4"/>
    <w:rsid w:val="14DC1B42"/>
    <w:rsid w:val="14E32ED1"/>
    <w:rsid w:val="14E530ED"/>
    <w:rsid w:val="14E60C13"/>
    <w:rsid w:val="15033573"/>
    <w:rsid w:val="150A2B53"/>
    <w:rsid w:val="150A66AF"/>
    <w:rsid w:val="15175270"/>
    <w:rsid w:val="1519238E"/>
    <w:rsid w:val="151E03AD"/>
    <w:rsid w:val="15284D87"/>
    <w:rsid w:val="152D239E"/>
    <w:rsid w:val="15325C06"/>
    <w:rsid w:val="153C0833"/>
    <w:rsid w:val="15406575"/>
    <w:rsid w:val="155B33AF"/>
    <w:rsid w:val="1563166D"/>
    <w:rsid w:val="1565422D"/>
    <w:rsid w:val="15681628"/>
    <w:rsid w:val="156A35F2"/>
    <w:rsid w:val="156C736A"/>
    <w:rsid w:val="15761F97"/>
    <w:rsid w:val="15763D45"/>
    <w:rsid w:val="157B57FF"/>
    <w:rsid w:val="158741A4"/>
    <w:rsid w:val="158E5532"/>
    <w:rsid w:val="15916DD0"/>
    <w:rsid w:val="15981F0D"/>
    <w:rsid w:val="159D3D21"/>
    <w:rsid w:val="159F14ED"/>
    <w:rsid w:val="15A05265"/>
    <w:rsid w:val="15A20FDE"/>
    <w:rsid w:val="15AB60E4"/>
    <w:rsid w:val="15AC3C0A"/>
    <w:rsid w:val="15B11221"/>
    <w:rsid w:val="15B30AF5"/>
    <w:rsid w:val="15B4486D"/>
    <w:rsid w:val="15B8610B"/>
    <w:rsid w:val="15D05B4B"/>
    <w:rsid w:val="15FB06EE"/>
    <w:rsid w:val="1606331B"/>
    <w:rsid w:val="160E21CF"/>
    <w:rsid w:val="161517B0"/>
    <w:rsid w:val="162A44F8"/>
    <w:rsid w:val="163A7468"/>
    <w:rsid w:val="163D4862"/>
    <w:rsid w:val="163F682C"/>
    <w:rsid w:val="16473933"/>
    <w:rsid w:val="164C7C9F"/>
    <w:rsid w:val="165322D8"/>
    <w:rsid w:val="165D4F05"/>
    <w:rsid w:val="165F2A2B"/>
    <w:rsid w:val="166C5148"/>
    <w:rsid w:val="166D3216"/>
    <w:rsid w:val="167209B0"/>
    <w:rsid w:val="167C538B"/>
    <w:rsid w:val="168153B6"/>
    <w:rsid w:val="16832BBD"/>
    <w:rsid w:val="168615A5"/>
    <w:rsid w:val="16985F3D"/>
    <w:rsid w:val="169F1079"/>
    <w:rsid w:val="16A0341B"/>
    <w:rsid w:val="16A86180"/>
    <w:rsid w:val="16B60684"/>
    <w:rsid w:val="16B70AB9"/>
    <w:rsid w:val="16D2144F"/>
    <w:rsid w:val="16D276A1"/>
    <w:rsid w:val="16D50F3F"/>
    <w:rsid w:val="16DC051F"/>
    <w:rsid w:val="16DE4297"/>
    <w:rsid w:val="16E340AB"/>
    <w:rsid w:val="16EA2C3C"/>
    <w:rsid w:val="16ED6288"/>
    <w:rsid w:val="16F21AF1"/>
    <w:rsid w:val="16F94C2D"/>
    <w:rsid w:val="16FE0496"/>
    <w:rsid w:val="1706559C"/>
    <w:rsid w:val="17074A52"/>
    <w:rsid w:val="170D2487"/>
    <w:rsid w:val="171C6B6E"/>
    <w:rsid w:val="172577D0"/>
    <w:rsid w:val="17283764"/>
    <w:rsid w:val="173B6FF4"/>
    <w:rsid w:val="17463BEB"/>
    <w:rsid w:val="17465999"/>
    <w:rsid w:val="174C7453"/>
    <w:rsid w:val="175400B6"/>
    <w:rsid w:val="175B2228"/>
    <w:rsid w:val="175C6F6A"/>
    <w:rsid w:val="175D340E"/>
    <w:rsid w:val="17614581"/>
    <w:rsid w:val="17620A24"/>
    <w:rsid w:val="17680005"/>
    <w:rsid w:val="176C18A3"/>
    <w:rsid w:val="176E561B"/>
    <w:rsid w:val="17712A16"/>
    <w:rsid w:val="178070FD"/>
    <w:rsid w:val="17935CA0"/>
    <w:rsid w:val="17970792"/>
    <w:rsid w:val="17984446"/>
    <w:rsid w:val="17991F6C"/>
    <w:rsid w:val="179C125C"/>
    <w:rsid w:val="17AF79E2"/>
    <w:rsid w:val="17B2302E"/>
    <w:rsid w:val="17BD3EAD"/>
    <w:rsid w:val="17C4348D"/>
    <w:rsid w:val="17C52D61"/>
    <w:rsid w:val="17CC2342"/>
    <w:rsid w:val="17D86F39"/>
    <w:rsid w:val="17E4768B"/>
    <w:rsid w:val="17F7713F"/>
    <w:rsid w:val="17FB2C27"/>
    <w:rsid w:val="18014675"/>
    <w:rsid w:val="180513B0"/>
    <w:rsid w:val="18153CE9"/>
    <w:rsid w:val="181B0BD3"/>
    <w:rsid w:val="18291542"/>
    <w:rsid w:val="182A0E16"/>
    <w:rsid w:val="182B350C"/>
    <w:rsid w:val="182C4B8E"/>
    <w:rsid w:val="182F467F"/>
    <w:rsid w:val="183A7CDA"/>
    <w:rsid w:val="183D3240"/>
    <w:rsid w:val="183F0D66"/>
    <w:rsid w:val="18523A36"/>
    <w:rsid w:val="18574301"/>
    <w:rsid w:val="185A4886"/>
    <w:rsid w:val="18602A8A"/>
    <w:rsid w:val="186D58D3"/>
    <w:rsid w:val="18756535"/>
    <w:rsid w:val="18803FAF"/>
    <w:rsid w:val="18820C52"/>
    <w:rsid w:val="1888270D"/>
    <w:rsid w:val="18890233"/>
    <w:rsid w:val="188E5849"/>
    <w:rsid w:val="189015C1"/>
    <w:rsid w:val="18A137CE"/>
    <w:rsid w:val="18A575F7"/>
    <w:rsid w:val="18A62B93"/>
    <w:rsid w:val="18A706B9"/>
    <w:rsid w:val="18B573FF"/>
    <w:rsid w:val="18BD7EDC"/>
    <w:rsid w:val="18C272A1"/>
    <w:rsid w:val="18C46036"/>
    <w:rsid w:val="18C63235"/>
    <w:rsid w:val="18D248A0"/>
    <w:rsid w:val="18D56FD4"/>
    <w:rsid w:val="18D74616"/>
    <w:rsid w:val="18DC4807"/>
    <w:rsid w:val="18F72B56"/>
    <w:rsid w:val="19063631"/>
    <w:rsid w:val="190B7602"/>
    <w:rsid w:val="190D44B0"/>
    <w:rsid w:val="19121FD6"/>
    <w:rsid w:val="191775ED"/>
    <w:rsid w:val="19202945"/>
    <w:rsid w:val="19232435"/>
    <w:rsid w:val="192D6E10"/>
    <w:rsid w:val="1934019F"/>
    <w:rsid w:val="19341F4D"/>
    <w:rsid w:val="19353F17"/>
    <w:rsid w:val="19393A07"/>
    <w:rsid w:val="19397563"/>
    <w:rsid w:val="193E101D"/>
    <w:rsid w:val="19445F08"/>
    <w:rsid w:val="19455539"/>
    <w:rsid w:val="194D300E"/>
    <w:rsid w:val="19502AFF"/>
    <w:rsid w:val="195E6FCA"/>
    <w:rsid w:val="19616ABA"/>
    <w:rsid w:val="19636CD6"/>
    <w:rsid w:val="19686E4A"/>
    <w:rsid w:val="197131A1"/>
    <w:rsid w:val="19766A09"/>
    <w:rsid w:val="19856C4C"/>
    <w:rsid w:val="198660B6"/>
    <w:rsid w:val="19962C07"/>
    <w:rsid w:val="1997072D"/>
    <w:rsid w:val="19AA220F"/>
    <w:rsid w:val="19AC41D9"/>
    <w:rsid w:val="19AD1CFF"/>
    <w:rsid w:val="19B250D3"/>
    <w:rsid w:val="19B337B9"/>
    <w:rsid w:val="19B9268B"/>
    <w:rsid w:val="19C01A32"/>
    <w:rsid w:val="19C71013"/>
    <w:rsid w:val="19D35C0A"/>
    <w:rsid w:val="19D379B8"/>
    <w:rsid w:val="19DB686C"/>
    <w:rsid w:val="19DD0836"/>
    <w:rsid w:val="19F53DD2"/>
    <w:rsid w:val="19F85670"/>
    <w:rsid w:val="1A165AF6"/>
    <w:rsid w:val="1A240213"/>
    <w:rsid w:val="1A2C0FB5"/>
    <w:rsid w:val="1A2D3B86"/>
    <w:rsid w:val="1A390616"/>
    <w:rsid w:val="1A3A17E5"/>
    <w:rsid w:val="1A3B37AF"/>
    <w:rsid w:val="1A3B555D"/>
    <w:rsid w:val="1A3D7527"/>
    <w:rsid w:val="1A404921"/>
    <w:rsid w:val="1A4E34E2"/>
    <w:rsid w:val="1A4E7CD0"/>
    <w:rsid w:val="1A676352"/>
    <w:rsid w:val="1A69031C"/>
    <w:rsid w:val="1A7D7923"/>
    <w:rsid w:val="1A7F5449"/>
    <w:rsid w:val="1A8213DE"/>
    <w:rsid w:val="1A8B64E4"/>
    <w:rsid w:val="1A951111"/>
    <w:rsid w:val="1A9544D2"/>
    <w:rsid w:val="1A9A2283"/>
    <w:rsid w:val="1AA44EB0"/>
    <w:rsid w:val="1AAB4BCA"/>
    <w:rsid w:val="1AAC0209"/>
    <w:rsid w:val="1AAC1FB7"/>
    <w:rsid w:val="1AB23A71"/>
    <w:rsid w:val="1AC11F06"/>
    <w:rsid w:val="1AC76DF0"/>
    <w:rsid w:val="1ACA3608"/>
    <w:rsid w:val="1AE23C2A"/>
    <w:rsid w:val="1AF20311"/>
    <w:rsid w:val="1AF851FC"/>
    <w:rsid w:val="1AFA43A5"/>
    <w:rsid w:val="1AFD2812"/>
    <w:rsid w:val="1B0167A6"/>
    <w:rsid w:val="1B063DBD"/>
    <w:rsid w:val="1B065B6B"/>
    <w:rsid w:val="1B09565B"/>
    <w:rsid w:val="1B195AED"/>
    <w:rsid w:val="1B261D69"/>
    <w:rsid w:val="1B26620D"/>
    <w:rsid w:val="1B267FBB"/>
    <w:rsid w:val="1B291859"/>
    <w:rsid w:val="1B351FAC"/>
    <w:rsid w:val="1B395F40"/>
    <w:rsid w:val="1B430B6D"/>
    <w:rsid w:val="1B4641B9"/>
    <w:rsid w:val="1B4A3CA9"/>
    <w:rsid w:val="1B4D72F6"/>
    <w:rsid w:val="1B5508A0"/>
    <w:rsid w:val="1B590390"/>
    <w:rsid w:val="1B610FF3"/>
    <w:rsid w:val="1B724FAE"/>
    <w:rsid w:val="1B781C36"/>
    <w:rsid w:val="1B7D7315"/>
    <w:rsid w:val="1B830F69"/>
    <w:rsid w:val="1B8371BB"/>
    <w:rsid w:val="1B862808"/>
    <w:rsid w:val="1B8F3DB2"/>
    <w:rsid w:val="1B9118D8"/>
    <w:rsid w:val="1B9370A5"/>
    <w:rsid w:val="1B970EB9"/>
    <w:rsid w:val="1B983488"/>
    <w:rsid w:val="1B9C027D"/>
    <w:rsid w:val="1BA809D0"/>
    <w:rsid w:val="1BAF1D5E"/>
    <w:rsid w:val="1BAF7FB0"/>
    <w:rsid w:val="1BB27AA1"/>
    <w:rsid w:val="1BBB0703"/>
    <w:rsid w:val="1BCD48DA"/>
    <w:rsid w:val="1BCF3911"/>
    <w:rsid w:val="1BD01CD5"/>
    <w:rsid w:val="1BD21EF1"/>
    <w:rsid w:val="1BD91F10"/>
    <w:rsid w:val="1BF14E41"/>
    <w:rsid w:val="1BF713A7"/>
    <w:rsid w:val="1BFB74E9"/>
    <w:rsid w:val="1BFD6F6E"/>
    <w:rsid w:val="1BFE2CE6"/>
    <w:rsid w:val="1BFE4A94"/>
    <w:rsid w:val="1C093B64"/>
    <w:rsid w:val="1C0C71B1"/>
    <w:rsid w:val="1C0D4CD7"/>
    <w:rsid w:val="1C0E117B"/>
    <w:rsid w:val="1C13053F"/>
    <w:rsid w:val="1C146065"/>
    <w:rsid w:val="1C1C4F1A"/>
    <w:rsid w:val="1C1D13BE"/>
    <w:rsid w:val="1C27223D"/>
    <w:rsid w:val="1C4120E1"/>
    <w:rsid w:val="1C4306F9"/>
    <w:rsid w:val="1C4C1CA3"/>
    <w:rsid w:val="1C5172BA"/>
    <w:rsid w:val="1C533032"/>
    <w:rsid w:val="1C5A43C0"/>
    <w:rsid w:val="1C623275"/>
    <w:rsid w:val="1C7A236C"/>
    <w:rsid w:val="1C7D00AF"/>
    <w:rsid w:val="1C844763"/>
    <w:rsid w:val="1C8925AF"/>
    <w:rsid w:val="1C8B1AAD"/>
    <w:rsid w:val="1C8C20A0"/>
    <w:rsid w:val="1C8C6544"/>
    <w:rsid w:val="1C8F393E"/>
    <w:rsid w:val="1C931680"/>
    <w:rsid w:val="1C93342E"/>
    <w:rsid w:val="1C964CCC"/>
    <w:rsid w:val="1CAA0778"/>
    <w:rsid w:val="1CB735C0"/>
    <w:rsid w:val="1CBE045D"/>
    <w:rsid w:val="1CC25AC1"/>
    <w:rsid w:val="1CC47A8B"/>
    <w:rsid w:val="1CC57360"/>
    <w:rsid w:val="1CD557F5"/>
    <w:rsid w:val="1CD852E5"/>
    <w:rsid w:val="1CE26164"/>
    <w:rsid w:val="1CF0262F"/>
    <w:rsid w:val="1CF163A7"/>
    <w:rsid w:val="1CF3211F"/>
    <w:rsid w:val="1CF55E97"/>
    <w:rsid w:val="1CFC5A46"/>
    <w:rsid w:val="1D0205B4"/>
    <w:rsid w:val="1D1502E7"/>
    <w:rsid w:val="1D2C79A7"/>
    <w:rsid w:val="1D322C47"/>
    <w:rsid w:val="1D3502B9"/>
    <w:rsid w:val="1D3C3AC6"/>
    <w:rsid w:val="1D464944"/>
    <w:rsid w:val="1D61352C"/>
    <w:rsid w:val="1D64056B"/>
    <w:rsid w:val="1D660B43"/>
    <w:rsid w:val="1D666D95"/>
    <w:rsid w:val="1D752B34"/>
    <w:rsid w:val="1D7768AC"/>
    <w:rsid w:val="1D7B2840"/>
    <w:rsid w:val="1D807E56"/>
    <w:rsid w:val="1D864D41"/>
    <w:rsid w:val="1D884F5D"/>
    <w:rsid w:val="1D8F0099"/>
    <w:rsid w:val="1D90796E"/>
    <w:rsid w:val="1D954F84"/>
    <w:rsid w:val="1D970CFC"/>
    <w:rsid w:val="1D990F18"/>
    <w:rsid w:val="1D9F104A"/>
    <w:rsid w:val="1DA578BD"/>
    <w:rsid w:val="1DC35F95"/>
    <w:rsid w:val="1DC37D43"/>
    <w:rsid w:val="1DC55869"/>
    <w:rsid w:val="1DCF493A"/>
    <w:rsid w:val="1DCF66E8"/>
    <w:rsid w:val="1DDB32DF"/>
    <w:rsid w:val="1DDE2DCF"/>
    <w:rsid w:val="1DDE692B"/>
    <w:rsid w:val="1DE2466D"/>
    <w:rsid w:val="1DFB572F"/>
    <w:rsid w:val="1DFB74DD"/>
    <w:rsid w:val="1DFE6FCD"/>
    <w:rsid w:val="1E086AA1"/>
    <w:rsid w:val="1E087E4C"/>
    <w:rsid w:val="1E0A7720"/>
    <w:rsid w:val="1E164317"/>
    <w:rsid w:val="1E1A3944"/>
    <w:rsid w:val="1E214A6A"/>
    <w:rsid w:val="1E264941"/>
    <w:rsid w:val="1E2A7DC2"/>
    <w:rsid w:val="1E2F342B"/>
    <w:rsid w:val="1E334EC9"/>
    <w:rsid w:val="1E4569AA"/>
    <w:rsid w:val="1E5B441F"/>
    <w:rsid w:val="1E635082"/>
    <w:rsid w:val="1E6A4663"/>
    <w:rsid w:val="1E6E4153"/>
    <w:rsid w:val="1E6E5F01"/>
    <w:rsid w:val="1E8079E2"/>
    <w:rsid w:val="1E827BFE"/>
    <w:rsid w:val="1E875215"/>
    <w:rsid w:val="1E876FC3"/>
    <w:rsid w:val="1E9C71C6"/>
    <w:rsid w:val="1EA00084"/>
    <w:rsid w:val="1EA47B74"/>
    <w:rsid w:val="1EAE09F3"/>
    <w:rsid w:val="1EBA2EF4"/>
    <w:rsid w:val="1EC45B21"/>
    <w:rsid w:val="1ECE2E43"/>
    <w:rsid w:val="1ED8781E"/>
    <w:rsid w:val="1EDC730E"/>
    <w:rsid w:val="1EDD4E34"/>
    <w:rsid w:val="1EE2069D"/>
    <w:rsid w:val="1EE461C3"/>
    <w:rsid w:val="1EEC32CA"/>
    <w:rsid w:val="1F095C2A"/>
    <w:rsid w:val="1F0B3750"/>
    <w:rsid w:val="1F0C571A"/>
    <w:rsid w:val="1F106FB8"/>
    <w:rsid w:val="1F136AA8"/>
    <w:rsid w:val="1F1620F4"/>
    <w:rsid w:val="1F1840BF"/>
    <w:rsid w:val="1F18707F"/>
    <w:rsid w:val="1F1B770B"/>
    <w:rsid w:val="1F234F3D"/>
    <w:rsid w:val="1F2760B0"/>
    <w:rsid w:val="1F282554"/>
    <w:rsid w:val="1F2D7B6A"/>
    <w:rsid w:val="1F3C7DAD"/>
    <w:rsid w:val="1F3D3B25"/>
    <w:rsid w:val="1F413615"/>
    <w:rsid w:val="1F5011E6"/>
    <w:rsid w:val="1F574CD6"/>
    <w:rsid w:val="1F5C3FAB"/>
    <w:rsid w:val="1F6317DE"/>
    <w:rsid w:val="1F75506D"/>
    <w:rsid w:val="1F78690B"/>
    <w:rsid w:val="1F7D3F22"/>
    <w:rsid w:val="1F824712"/>
    <w:rsid w:val="1F8D0609"/>
    <w:rsid w:val="1F923E71"/>
    <w:rsid w:val="1F9951FF"/>
    <w:rsid w:val="1F9D6372"/>
    <w:rsid w:val="1F9F20EA"/>
    <w:rsid w:val="1FA0658E"/>
    <w:rsid w:val="1FA47700"/>
    <w:rsid w:val="1FAA740D"/>
    <w:rsid w:val="1FAB6CE1"/>
    <w:rsid w:val="1FAE21BC"/>
    <w:rsid w:val="1FB97650"/>
    <w:rsid w:val="1FBA5176"/>
    <w:rsid w:val="1FC14756"/>
    <w:rsid w:val="1FC87893"/>
    <w:rsid w:val="1FCF0C21"/>
    <w:rsid w:val="1FD219CC"/>
    <w:rsid w:val="1FDA1374"/>
    <w:rsid w:val="1FDE2C12"/>
    <w:rsid w:val="1FE43FA1"/>
    <w:rsid w:val="1FE75286"/>
    <w:rsid w:val="1FEB43AC"/>
    <w:rsid w:val="1FEF3071"/>
    <w:rsid w:val="1FF266BE"/>
    <w:rsid w:val="1FFB37C4"/>
    <w:rsid w:val="20062169"/>
    <w:rsid w:val="20120B0E"/>
    <w:rsid w:val="20146634"/>
    <w:rsid w:val="201E5705"/>
    <w:rsid w:val="202820DF"/>
    <w:rsid w:val="203171E6"/>
    <w:rsid w:val="20320ECE"/>
    <w:rsid w:val="203C5B8B"/>
    <w:rsid w:val="203D202F"/>
    <w:rsid w:val="203E5DA7"/>
    <w:rsid w:val="2040567B"/>
    <w:rsid w:val="204131A1"/>
    <w:rsid w:val="204213F3"/>
    <w:rsid w:val="20427645"/>
    <w:rsid w:val="204D5FEA"/>
    <w:rsid w:val="205630F0"/>
    <w:rsid w:val="206375BB"/>
    <w:rsid w:val="207B2B57"/>
    <w:rsid w:val="207D067D"/>
    <w:rsid w:val="207F2647"/>
    <w:rsid w:val="208E2651"/>
    <w:rsid w:val="208F6602"/>
    <w:rsid w:val="20927281"/>
    <w:rsid w:val="20971013"/>
    <w:rsid w:val="2098552C"/>
    <w:rsid w:val="20992FDD"/>
    <w:rsid w:val="209E05F3"/>
    <w:rsid w:val="20A976C4"/>
    <w:rsid w:val="20B120D5"/>
    <w:rsid w:val="20B41BC5"/>
    <w:rsid w:val="20B816B5"/>
    <w:rsid w:val="20C4005A"/>
    <w:rsid w:val="20C53DD2"/>
    <w:rsid w:val="20CA763A"/>
    <w:rsid w:val="20CC5161"/>
    <w:rsid w:val="20D504B9"/>
    <w:rsid w:val="20DB1848"/>
    <w:rsid w:val="20DF30E6"/>
    <w:rsid w:val="20E00C0C"/>
    <w:rsid w:val="20E406FC"/>
    <w:rsid w:val="20F621DE"/>
    <w:rsid w:val="20FA1CCE"/>
    <w:rsid w:val="2107656B"/>
    <w:rsid w:val="210A7A37"/>
    <w:rsid w:val="210E7527"/>
    <w:rsid w:val="211A411E"/>
    <w:rsid w:val="211A5ECC"/>
    <w:rsid w:val="211B39F2"/>
    <w:rsid w:val="212154AC"/>
    <w:rsid w:val="21386C61"/>
    <w:rsid w:val="213A47C0"/>
    <w:rsid w:val="213C3352"/>
    <w:rsid w:val="2149055F"/>
    <w:rsid w:val="215D225D"/>
    <w:rsid w:val="216E7FC6"/>
    <w:rsid w:val="21815F4B"/>
    <w:rsid w:val="218C669E"/>
    <w:rsid w:val="21920158"/>
    <w:rsid w:val="21933B4E"/>
    <w:rsid w:val="21A63C04"/>
    <w:rsid w:val="21AB1E45"/>
    <w:rsid w:val="21B52099"/>
    <w:rsid w:val="21B7196D"/>
    <w:rsid w:val="21DA565B"/>
    <w:rsid w:val="21DB292C"/>
    <w:rsid w:val="21EB1616"/>
    <w:rsid w:val="21EB5ABA"/>
    <w:rsid w:val="21EF7359"/>
    <w:rsid w:val="21F26E49"/>
    <w:rsid w:val="22000907"/>
    <w:rsid w:val="220A5F40"/>
    <w:rsid w:val="22105FB5"/>
    <w:rsid w:val="222039B6"/>
    <w:rsid w:val="22222E58"/>
    <w:rsid w:val="22224E1B"/>
    <w:rsid w:val="2228286B"/>
    <w:rsid w:val="2230171F"/>
    <w:rsid w:val="22364F87"/>
    <w:rsid w:val="22433200"/>
    <w:rsid w:val="2245454D"/>
    <w:rsid w:val="22536AC3"/>
    <w:rsid w:val="225B679C"/>
    <w:rsid w:val="225D0766"/>
    <w:rsid w:val="226118D9"/>
    <w:rsid w:val="226474FD"/>
    <w:rsid w:val="22745AB0"/>
    <w:rsid w:val="22883309"/>
    <w:rsid w:val="228C7205"/>
    <w:rsid w:val="22910410"/>
    <w:rsid w:val="229677D4"/>
    <w:rsid w:val="229C0B63"/>
    <w:rsid w:val="229E2B2D"/>
    <w:rsid w:val="22A16179"/>
    <w:rsid w:val="22A77C33"/>
    <w:rsid w:val="22B45EAC"/>
    <w:rsid w:val="22B91715"/>
    <w:rsid w:val="22CA3922"/>
    <w:rsid w:val="22D36C7A"/>
    <w:rsid w:val="22E542B8"/>
    <w:rsid w:val="22F15352"/>
    <w:rsid w:val="22F83FEB"/>
    <w:rsid w:val="22FB3ADB"/>
    <w:rsid w:val="22FF35CB"/>
    <w:rsid w:val="230304F3"/>
    <w:rsid w:val="23045086"/>
    <w:rsid w:val="231A0405"/>
    <w:rsid w:val="231A178A"/>
    <w:rsid w:val="231D1CA3"/>
    <w:rsid w:val="231E77CA"/>
    <w:rsid w:val="232474D6"/>
    <w:rsid w:val="23356FED"/>
    <w:rsid w:val="233F7E6C"/>
    <w:rsid w:val="2342795C"/>
    <w:rsid w:val="23437A88"/>
    <w:rsid w:val="234611FA"/>
    <w:rsid w:val="23533917"/>
    <w:rsid w:val="2358717F"/>
    <w:rsid w:val="2366189C"/>
    <w:rsid w:val="236D231F"/>
    <w:rsid w:val="236D2C2B"/>
    <w:rsid w:val="237D0994"/>
    <w:rsid w:val="237F470C"/>
    <w:rsid w:val="238910E7"/>
    <w:rsid w:val="2389558B"/>
    <w:rsid w:val="239F090A"/>
    <w:rsid w:val="23A423C5"/>
    <w:rsid w:val="23A45F21"/>
    <w:rsid w:val="23BC14BC"/>
    <w:rsid w:val="23BF0FAD"/>
    <w:rsid w:val="23C14D25"/>
    <w:rsid w:val="23D627A5"/>
    <w:rsid w:val="23D762F6"/>
    <w:rsid w:val="23DC1B5F"/>
    <w:rsid w:val="23E133C7"/>
    <w:rsid w:val="23EE53EE"/>
    <w:rsid w:val="23F52C20"/>
    <w:rsid w:val="23F5677C"/>
    <w:rsid w:val="23F70746"/>
    <w:rsid w:val="23FC5D5D"/>
    <w:rsid w:val="240B5FA0"/>
    <w:rsid w:val="2412732E"/>
    <w:rsid w:val="241C1F5B"/>
    <w:rsid w:val="2423153B"/>
    <w:rsid w:val="243E0123"/>
    <w:rsid w:val="244119C2"/>
    <w:rsid w:val="244A6AC8"/>
    <w:rsid w:val="244B2840"/>
    <w:rsid w:val="244F2331"/>
    <w:rsid w:val="245142FB"/>
    <w:rsid w:val="2455546D"/>
    <w:rsid w:val="245711E5"/>
    <w:rsid w:val="24612064"/>
    <w:rsid w:val="24661428"/>
    <w:rsid w:val="246F4781"/>
    <w:rsid w:val="247104F9"/>
    <w:rsid w:val="247B4ED4"/>
    <w:rsid w:val="24861ACA"/>
    <w:rsid w:val="2492046F"/>
    <w:rsid w:val="24A106B2"/>
    <w:rsid w:val="24AC1531"/>
    <w:rsid w:val="24B623B0"/>
    <w:rsid w:val="24BE3012"/>
    <w:rsid w:val="24C20D54"/>
    <w:rsid w:val="24C34ACD"/>
    <w:rsid w:val="24C77BCA"/>
    <w:rsid w:val="24CC1BD3"/>
    <w:rsid w:val="24CF521F"/>
    <w:rsid w:val="24D046C0"/>
    <w:rsid w:val="24D171E9"/>
    <w:rsid w:val="24D740D4"/>
    <w:rsid w:val="24E76A0D"/>
    <w:rsid w:val="25021151"/>
    <w:rsid w:val="25050C41"/>
    <w:rsid w:val="250E3F9A"/>
    <w:rsid w:val="250F1AC0"/>
    <w:rsid w:val="251B66B7"/>
    <w:rsid w:val="252B4B4C"/>
    <w:rsid w:val="253D03DB"/>
    <w:rsid w:val="253F05F7"/>
    <w:rsid w:val="25423C43"/>
    <w:rsid w:val="254B7C87"/>
    <w:rsid w:val="254E083A"/>
    <w:rsid w:val="255A71DF"/>
    <w:rsid w:val="255D3476"/>
    <w:rsid w:val="256242E5"/>
    <w:rsid w:val="256B13EC"/>
    <w:rsid w:val="256B319A"/>
    <w:rsid w:val="256E67E6"/>
    <w:rsid w:val="25755DC7"/>
    <w:rsid w:val="25967862"/>
    <w:rsid w:val="25AE752B"/>
    <w:rsid w:val="25B222C3"/>
    <w:rsid w:val="25C12DBA"/>
    <w:rsid w:val="25C51470"/>
    <w:rsid w:val="25D56865"/>
    <w:rsid w:val="25DA20CE"/>
    <w:rsid w:val="25DD3DEF"/>
    <w:rsid w:val="25EB7E37"/>
    <w:rsid w:val="25ED1E01"/>
    <w:rsid w:val="25F413E1"/>
    <w:rsid w:val="25FD5DBC"/>
    <w:rsid w:val="25FE400E"/>
    <w:rsid w:val="26031625"/>
    <w:rsid w:val="260B392E"/>
    <w:rsid w:val="26117D22"/>
    <w:rsid w:val="262477ED"/>
    <w:rsid w:val="26282E39"/>
    <w:rsid w:val="263317DE"/>
    <w:rsid w:val="263A0DBE"/>
    <w:rsid w:val="2641214D"/>
    <w:rsid w:val="26412A64"/>
    <w:rsid w:val="26451C3D"/>
    <w:rsid w:val="264F486A"/>
    <w:rsid w:val="265170F2"/>
    <w:rsid w:val="265A320F"/>
    <w:rsid w:val="265C2AE3"/>
    <w:rsid w:val="266A3452"/>
    <w:rsid w:val="266B71CA"/>
    <w:rsid w:val="2677791D"/>
    <w:rsid w:val="26804A23"/>
    <w:rsid w:val="269313B5"/>
    <w:rsid w:val="269C7383"/>
    <w:rsid w:val="26A56238"/>
    <w:rsid w:val="26A821CC"/>
    <w:rsid w:val="26AC3A6A"/>
    <w:rsid w:val="26B11081"/>
    <w:rsid w:val="26B172D2"/>
    <w:rsid w:val="26B96187"/>
    <w:rsid w:val="26CC7C68"/>
    <w:rsid w:val="26FB3D55"/>
    <w:rsid w:val="27005B64"/>
    <w:rsid w:val="270E64D3"/>
    <w:rsid w:val="27147861"/>
    <w:rsid w:val="271C2272"/>
    <w:rsid w:val="271E423C"/>
    <w:rsid w:val="272555CB"/>
    <w:rsid w:val="27337CE7"/>
    <w:rsid w:val="27343A60"/>
    <w:rsid w:val="273B094A"/>
    <w:rsid w:val="2753038A"/>
    <w:rsid w:val="27532138"/>
    <w:rsid w:val="27565784"/>
    <w:rsid w:val="275E288B"/>
    <w:rsid w:val="275E318B"/>
    <w:rsid w:val="276C144B"/>
    <w:rsid w:val="276E6F72"/>
    <w:rsid w:val="276F6846"/>
    <w:rsid w:val="27734588"/>
    <w:rsid w:val="277B168E"/>
    <w:rsid w:val="277F5534"/>
    <w:rsid w:val="278C564A"/>
    <w:rsid w:val="278C672D"/>
    <w:rsid w:val="27962024"/>
    <w:rsid w:val="27985D9D"/>
    <w:rsid w:val="279F2A60"/>
    <w:rsid w:val="27A42993"/>
    <w:rsid w:val="27A504B9"/>
    <w:rsid w:val="27A97FAA"/>
    <w:rsid w:val="27B16E5E"/>
    <w:rsid w:val="27B34984"/>
    <w:rsid w:val="27BA5736"/>
    <w:rsid w:val="27C052F3"/>
    <w:rsid w:val="27C46B92"/>
    <w:rsid w:val="27C923FA"/>
    <w:rsid w:val="27CC5A46"/>
    <w:rsid w:val="27D019DA"/>
    <w:rsid w:val="27E92DC7"/>
    <w:rsid w:val="27EE3C0E"/>
    <w:rsid w:val="27F21951"/>
    <w:rsid w:val="27FA25B3"/>
    <w:rsid w:val="27FA6A57"/>
    <w:rsid w:val="28037FA1"/>
    <w:rsid w:val="28064053"/>
    <w:rsid w:val="280D0539"/>
    <w:rsid w:val="28101DD7"/>
    <w:rsid w:val="28123DA1"/>
    <w:rsid w:val="2813017B"/>
    <w:rsid w:val="281A2C55"/>
    <w:rsid w:val="281C077C"/>
    <w:rsid w:val="281F28D7"/>
    <w:rsid w:val="28302479"/>
    <w:rsid w:val="28305FD5"/>
    <w:rsid w:val="28336FFE"/>
    <w:rsid w:val="283A32F8"/>
    <w:rsid w:val="283C7070"/>
    <w:rsid w:val="283C7D9D"/>
    <w:rsid w:val="283E4B96"/>
    <w:rsid w:val="284321AC"/>
    <w:rsid w:val="285C501C"/>
    <w:rsid w:val="286133E5"/>
    <w:rsid w:val="287405B8"/>
    <w:rsid w:val="287A36F4"/>
    <w:rsid w:val="288325A9"/>
    <w:rsid w:val="28920A3E"/>
    <w:rsid w:val="28940C5A"/>
    <w:rsid w:val="28A16ED3"/>
    <w:rsid w:val="28A569C3"/>
    <w:rsid w:val="28AC5FA3"/>
    <w:rsid w:val="28C07C97"/>
    <w:rsid w:val="28C130D1"/>
    <w:rsid w:val="28C57065"/>
    <w:rsid w:val="28CB3F50"/>
    <w:rsid w:val="28CF3A40"/>
    <w:rsid w:val="28D252DE"/>
    <w:rsid w:val="28D92401"/>
    <w:rsid w:val="28DA4193"/>
    <w:rsid w:val="28DC43AF"/>
    <w:rsid w:val="28DE3C83"/>
    <w:rsid w:val="28E05C4D"/>
    <w:rsid w:val="28E15521"/>
    <w:rsid w:val="28E514B5"/>
    <w:rsid w:val="28E55011"/>
    <w:rsid w:val="28EB63A0"/>
    <w:rsid w:val="28F25980"/>
    <w:rsid w:val="28F60FCD"/>
    <w:rsid w:val="28F96D0F"/>
    <w:rsid w:val="28FD69FA"/>
    <w:rsid w:val="290F208E"/>
    <w:rsid w:val="291C47AB"/>
    <w:rsid w:val="2926568A"/>
    <w:rsid w:val="29387837"/>
    <w:rsid w:val="293D309F"/>
    <w:rsid w:val="293E0BC6"/>
    <w:rsid w:val="294206B6"/>
    <w:rsid w:val="29475CCC"/>
    <w:rsid w:val="295B1778"/>
    <w:rsid w:val="29620A37"/>
    <w:rsid w:val="296D18B9"/>
    <w:rsid w:val="2973086F"/>
    <w:rsid w:val="29736AC1"/>
    <w:rsid w:val="297445E7"/>
    <w:rsid w:val="29746395"/>
    <w:rsid w:val="29816AA0"/>
    <w:rsid w:val="29932CBF"/>
    <w:rsid w:val="29A21154"/>
    <w:rsid w:val="29A30A29"/>
    <w:rsid w:val="29AC3D81"/>
    <w:rsid w:val="29B33362"/>
    <w:rsid w:val="29B5668F"/>
    <w:rsid w:val="29BA649E"/>
    <w:rsid w:val="29C54E43"/>
    <w:rsid w:val="29C72969"/>
    <w:rsid w:val="29CA2459"/>
    <w:rsid w:val="29DA08EE"/>
    <w:rsid w:val="29DB43E1"/>
    <w:rsid w:val="29E05285"/>
    <w:rsid w:val="29E452C9"/>
    <w:rsid w:val="29E67293"/>
    <w:rsid w:val="29E7300B"/>
    <w:rsid w:val="29FD282F"/>
    <w:rsid w:val="2A005376"/>
    <w:rsid w:val="2A025DDB"/>
    <w:rsid w:val="2A094D30"/>
    <w:rsid w:val="2A0B0AA8"/>
    <w:rsid w:val="2A0E0598"/>
    <w:rsid w:val="2A110088"/>
    <w:rsid w:val="2A17569E"/>
    <w:rsid w:val="2A1F27A5"/>
    <w:rsid w:val="2A24600D"/>
    <w:rsid w:val="2A3004CC"/>
    <w:rsid w:val="2A306760"/>
    <w:rsid w:val="2A3C5105"/>
    <w:rsid w:val="2A444A48"/>
    <w:rsid w:val="2A4E6BE6"/>
    <w:rsid w:val="2A500BB0"/>
    <w:rsid w:val="2A510485"/>
    <w:rsid w:val="2A585CB7"/>
    <w:rsid w:val="2A61691A"/>
    <w:rsid w:val="2A756869"/>
    <w:rsid w:val="2A77438F"/>
    <w:rsid w:val="2A7A79DB"/>
    <w:rsid w:val="2A7E571E"/>
    <w:rsid w:val="2A860B8C"/>
    <w:rsid w:val="2A8645D2"/>
    <w:rsid w:val="2A8D3BB3"/>
    <w:rsid w:val="2A9036E6"/>
    <w:rsid w:val="2A944F41"/>
    <w:rsid w:val="2AA9206F"/>
    <w:rsid w:val="2AB32EED"/>
    <w:rsid w:val="2AB94FB3"/>
    <w:rsid w:val="2ABC7FF4"/>
    <w:rsid w:val="2AC60E73"/>
    <w:rsid w:val="2AC84BEB"/>
    <w:rsid w:val="2ACB6489"/>
    <w:rsid w:val="2ACE1AD5"/>
    <w:rsid w:val="2AE82B97"/>
    <w:rsid w:val="2AF552B4"/>
    <w:rsid w:val="2B073965"/>
    <w:rsid w:val="2B084FE7"/>
    <w:rsid w:val="2B0D0850"/>
    <w:rsid w:val="2B0F281A"/>
    <w:rsid w:val="2B14398C"/>
    <w:rsid w:val="2B1716CE"/>
    <w:rsid w:val="2B1A7508"/>
    <w:rsid w:val="2B2168FA"/>
    <w:rsid w:val="2B261911"/>
    <w:rsid w:val="2B2C33CC"/>
    <w:rsid w:val="2B2D0EF2"/>
    <w:rsid w:val="2B3109E2"/>
    <w:rsid w:val="2B33475A"/>
    <w:rsid w:val="2B34402E"/>
    <w:rsid w:val="2B3C2EE3"/>
    <w:rsid w:val="2B434271"/>
    <w:rsid w:val="2B4B2AFB"/>
    <w:rsid w:val="2B514BE0"/>
    <w:rsid w:val="2B593A95"/>
    <w:rsid w:val="2B632B65"/>
    <w:rsid w:val="2B634913"/>
    <w:rsid w:val="2B674404"/>
    <w:rsid w:val="2B6C1A1A"/>
    <w:rsid w:val="2B703976"/>
    <w:rsid w:val="2B764647"/>
    <w:rsid w:val="2B77216D"/>
    <w:rsid w:val="2B786611"/>
    <w:rsid w:val="2B7D7783"/>
    <w:rsid w:val="2B7F799F"/>
    <w:rsid w:val="2B820819"/>
    <w:rsid w:val="2B8723B0"/>
    <w:rsid w:val="2B886128"/>
    <w:rsid w:val="2B8D373E"/>
    <w:rsid w:val="2B990335"/>
    <w:rsid w:val="2B996587"/>
    <w:rsid w:val="2B9F3B9D"/>
    <w:rsid w:val="2BA80578"/>
    <w:rsid w:val="2BAA42F0"/>
    <w:rsid w:val="2BB1742D"/>
    <w:rsid w:val="2BBE7D9C"/>
    <w:rsid w:val="2BC03B14"/>
    <w:rsid w:val="2BC929C8"/>
    <w:rsid w:val="2BCC24B9"/>
    <w:rsid w:val="2BDD6474"/>
    <w:rsid w:val="2BE05F64"/>
    <w:rsid w:val="2BF0173C"/>
    <w:rsid w:val="2C02237E"/>
    <w:rsid w:val="2C027C88"/>
    <w:rsid w:val="2C057779"/>
    <w:rsid w:val="2C106849"/>
    <w:rsid w:val="2C1520B2"/>
    <w:rsid w:val="2C153E60"/>
    <w:rsid w:val="2C1D0F66"/>
    <w:rsid w:val="2C204F13"/>
    <w:rsid w:val="2C4974D2"/>
    <w:rsid w:val="2C526E62"/>
    <w:rsid w:val="2C55425C"/>
    <w:rsid w:val="2C583D4C"/>
    <w:rsid w:val="2C5F157F"/>
    <w:rsid w:val="2C680433"/>
    <w:rsid w:val="2C6E531E"/>
    <w:rsid w:val="2C6E5E3A"/>
    <w:rsid w:val="2C70553A"/>
    <w:rsid w:val="2C7C3EDF"/>
    <w:rsid w:val="2C882884"/>
    <w:rsid w:val="2C892158"/>
    <w:rsid w:val="2C902915"/>
    <w:rsid w:val="2C9034E6"/>
    <w:rsid w:val="2C9C1A8C"/>
    <w:rsid w:val="2CA451E4"/>
    <w:rsid w:val="2CA62D0A"/>
    <w:rsid w:val="2CB73169"/>
    <w:rsid w:val="2CB74F17"/>
    <w:rsid w:val="2CE03D2B"/>
    <w:rsid w:val="2CED6B8B"/>
    <w:rsid w:val="2CF73565"/>
    <w:rsid w:val="2CFC7029"/>
    <w:rsid w:val="2D0068BE"/>
    <w:rsid w:val="2D0A3299"/>
    <w:rsid w:val="2D0B5263"/>
    <w:rsid w:val="2D1063D5"/>
    <w:rsid w:val="2D1660E1"/>
    <w:rsid w:val="2D172DB1"/>
    <w:rsid w:val="2D2105E2"/>
    <w:rsid w:val="2D265EC5"/>
    <w:rsid w:val="2D2B320F"/>
    <w:rsid w:val="2D430559"/>
    <w:rsid w:val="2D4367AA"/>
    <w:rsid w:val="2D460049"/>
    <w:rsid w:val="2D5B1D46"/>
    <w:rsid w:val="2D652BC5"/>
    <w:rsid w:val="2D653D1D"/>
    <w:rsid w:val="2D684463"/>
    <w:rsid w:val="2D7352E2"/>
    <w:rsid w:val="2D744BB6"/>
    <w:rsid w:val="2D796670"/>
    <w:rsid w:val="2D7B4196"/>
    <w:rsid w:val="2D872B3B"/>
    <w:rsid w:val="2D8B2AC1"/>
    <w:rsid w:val="2D8C1F00"/>
    <w:rsid w:val="2D8C63A3"/>
    <w:rsid w:val="2D917516"/>
    <w:rsid w:val="2D9E60D7"/>
    <w:rsid w:val="2DA37249"/>
    <w:rsid w:val="2DA57465"/>
    <w:rsid w:val="2DA853C9"/>
    <w:rsid w:val="2DAE5947"/>
    <w:rsid w:val="2DB41456"/>
    <w:rsid w:val="2DB476A8"/>
    <w:rsid w:val="2DB94CBF"/>
    <w:rsid w:val="2DC25921"/>
    <w:rsid w:val="2DC40BBF"/>
    <w:rsid w:val="2DC84F02"/>
    <w:rsid w:val="2DD45655"/>
    <w:rsid w:val="2DD83397"/>
    <w:rsid w:val="2DDB69E3"/>
    <w:rsid w:val="2DDD50DC"/>
    <w:rsid w:val="2DDE64D3"/>
    <w:rsid w:val="2DDF4725"/>
    <w:rsid w:val="2DEC7614"/>
    <w:rsid w:val="2DEF248E"/>
    <w:rsid w:val="2DF45CF7"/>
    <w:rsid w:val="2DF67CC1"/>
    <w:rsid w:val="2DF950BB"/>
    <w:rsid w:val="2E0979F4"/>
    <w:rsid w:val="2E162111"/>
    <w:rsid w:val="2E1E4B22"/>
    <w:rsid w:val="2E2B5E45"/>
    <w:rsid w:val="2E310CF9"/>
    <w:rsid w:val="2E334A71"/>
    <w:rsid w:val="2E3B3926"/>
    <w:rsid w:val="2E3D144C"/>
    <w:rsid w:val="2E410EF0"/>
    <w:rsid w:val="2E496043"/>
    <w:rsid w:val="2E4C168F"/>
    <w:rsid w:val="2E5549E7"/>
    <w:rsid w:val="2E620EB2"/>
    <w:rsid w:val="2E625356"/>
    <w:rsid w:val="2E666BF4"/>
    <w:rsid w:val="2E76670C"/>
    <w:rsid w:val="2E7A26A0"/>
    <w:rsid w:val="2EA80FBB"/>
    <w:rsid w:val="2EA8720D"/>
    <w:rsid w:val="2EB3170E"/>
    <w:rsid w:val="2EB72FAC"/>
    <w:rsid w:val="2EB84F76"/>
    <w:rsid w:val="2EC1207D"/>
    <w:rsid w:val="2EC456C9"/>
    <w:rsid w:val="2ED51684"/>
    <w:rsid w:val="2EDE2C2F"/>
    <w:rsid w:val="2EE46948"/>
    <w:rsid w:val="2EEF6BEA"/>
    <w:rsid w:val="2EF51D26"/>
    <w:rsid w:val="2EFF2BA5"/>
    <w:rsid w:val="2F0E4B96"/>
    <w:rsid w:val="2F1142EB"/>
    <w:rsid w:val="2F124686"/>
    <w:rsid w:val="2F1C72B3"/>
    <w:rsid w:val="2F2148C9"/>
    <w:rsid w:val="2F25260C"/>
    <w:rsid w:val="2F256515"/>
    <w:rsid w:val="2F37233F"/>
    <w:rsid w:val="2F3A3BDD"/>
    <w:rsid w:val="2F414F6C"/>
    <w:rsid w:val="2F4B1946"/>
    <w:rsid w:val="2F4C28B1"/>
    <w:rsid w:val="2F4F58DB"/>
    <w:rsid w:val="2F5C7FF7"/>
    <w:rsid w:val="2F5F53F2"/>
    <w:rsid w:val="2F6E3407"/>
    <w:rsid w:val="2F805A94"/>
    <w:rsid w:val="2F8D010B"/>
    <w:rsid w:val="2F923A19"/>
    <w:rsid w:val="2F990904"/>
    <w:rsid w:val="2FB120F1"/>
    <w:rsid w:val="2FB361F0"/>
    <w:rsid w:val="2FBE1904"/>
    <w:rsid w:val="2FD23E16"/>
    <w:rsid w:val="2FD47B8E"/>
    <w:rsid w:val="2FEA2A57"/>
    <w:rsid w:val="2FEC4ED7"/>
    <w:rsid w:val="2FF16992"/>
    <w:rsid w:val="2FF81244"/>
    <w:rsid w:val="2FF975F4"/>
    <w:rsid w:val="30032221"/>
    <w:rsid w:val="3009773D"/>
    <w:rsid w:val="300D4E4E"/>
    <w:rsid w:val="300E12F2"/>
    <w:rsid w:val="30142680"/>
    <w:rsid w:val="301D32E3"/>
    <w:rsid w:val="30204B81"/>
    <w:rsid w:val="302208F9"/>
    <w:rsid w:val="302503E9"/>
    <w:rsid w:val="30283CC0"/>
    <w:rsid w:val="302F1268"/>
    <w:rsid w:val="303135DC"/>
    <w:rsid w:val="303845C1"/>
    <w:rsid w:val="305667F5"/>
    <w:rsid w:val="30586A11"/>
    <w:rsid w:val="30590CE2"/>
    <w:rsid w:val="305E56A9"/>
    <w:rsid w:val="3062163D"/>
    <w:rsid w:val="30656A38"/>
    <w:rsid w:val="306E3B3E"/>
    <w:rsid w:val="307F7AFA"/>
    <w:rsid w:val="30934E27"/>
    <w:rsid w:val="309612E7"/>
    <w:rsid w:val="309C4B4F"/>
    <w:rsid w:val="30AB4D93"/>
    <w:rsid w:val="30B04157"/>
    <w:rsid w:val="30B4376B"/>
    <w:rsid w:val="30BF439A"/>
    <w:rsid w:val="30C57D0B"/>
    <w:rsid w:val="30CB0F91"/>
    <w:rsid w:val="30CF2347"/>
    <w:rsid w:val="30D00355"/>
    <w:rsid w:val="30D37E45"/>
    <w:rsid w:val="30DF4A3C"/>
    <w:rsid w:val="30F32296"/>
    <w:rsid w:val="30F54260"/>
    <w:rsid w:val="30FA3624"/>
    <w:rsid w:val="30FF6E8C"/>
    <w:rsid w:val="31012C04"/>
    <w:rsid w:val="31033252"/>
    <w:rsid w:val="310B3EA9"/>
    <w:rsid w:val="311A1F18"/>
    <w:rsid w:val="31224929"/>
    <w:rsid w:val="312B1A2F"/>
    <w:rsid w:val="31327ECB"/>
    <w:rsid w:val="31374878"/>
    <w:rsid w:val="31412E1B"/>
    <w:rsid w:val="31442AF1"/>
    <w:rsid w:val="31490108"/>
    <w:rsid w:val="314B0324"/>
    <w:rsid w:val="315A0567"/>
    <w:rsid w:val="31660CB9"/>
    <w:rsid w:val="31772EC7"/>
    <w:rsid w:val="3183186B"/>
    <w:rsid w:val="31A041CB"/>
    <w:rsid w:val="31A31F0E"/>
    <w:rsid w:val="31A33CBC"/>
    <w:rsid w:val="31AD4B3A"/>
    <w:rsid w:val="31C14142"/>
    <w:rsid w:val="31D65E3F"/>
    <w:rsid w:val="31DF79A9"/>
    <w:rsid w:val="31EC7411"/>
    <w:rsid w:val="31EF6F01"/>
    <w:rsid w:val="31F2079F"/>
    <w:rsid w:val="31F6028F"/>
    <w:rsid w:val="320A7897"/>
    <w:rsid w:val="32110C25"/>
    <w:rsid w:val="321237B9"/>
    <w:rsid w:val="32186662"/>
    <w:rsid w:val="321B5F48"/>
    <w:rsid w:val="3220355E"/>
    <w:rsid w:val="32250B75"/>
    <w:rsid w:val="323B5CA2"/>
    <w:rsid w:val="323D5EBE"/>
    <w:rsid w:val="324059AE"/>
    <w:rsid w:val="32456B21"/>
    <w:rsid w:val="32534AFB"/>
    <w:rsid w:val="32582CF8"/>
    <w:rsid w:val="32584AA6"/>
    <w:rsid w:val="325D3E6B"/>
    <w:rsid w:val="32676A97"/>
    <w:rsid w:val="326807A5"/>
    <w:rsid w:val="326E42CA"/>
    <w:rsid w:val="32713DBA"/>
    <w:rsid w:val="327613D0"/>
    <w:rsid w:val="32894C60"/>
    <w:rsid w:val="328A6C2A"/>
    <w:rsid w:val="328C4750"/>
    <w:rsid w:val="329655CE"/>
    <w:rsid w:val="3296737C"/>
    <w:rsid w:val="32A777DC"/>
    <w:rsid w:val="32A95302"/>
    <w:rsid w:val="32AC4DF2"/>
    <w:rsid w:val="32B617CD"/>
    <w:rsid w:val="32BF68D3"/>
    <w:rsid w:val="32C263C3"/>
    <w:rsid w:val="32D549D9"/>
    <w:rsid w:val="32D63C1D"/>
    <w:rsid w:val="32DC7485"/>
    <w:rsid w:val="32E620B2"/>
    <w:rsid w:val="32E7407C"/>
    <w:rsid w:val="32E93950"/>
    <w:rsid w:val="32EA70EF"/>
    <w:rsid w:val="32F04CDF"/>
    <w:rsid w:val="32F803B4"/>
    <w:rsid w:val="32FC7B27"/>
    <w:rsid w:val="3310712F"/>
    <w:rsid w:val="33114C55"/>
    <w:rsid w:val="33152997"/>
    <w:rsid w:val="331C1F78"/>
    <w:rsid w:val="33226E62"/>
    <w:rsid w:val="33291F9F"/>
    <w:rsid w:val="33354DE7"/>
    <w:rsid w:val="33370B5F"/>
    <w:rsid w:val="333746BC"/>
    <w:rsid w:val="333A23FE"/>
    <w:rsid w:val="333F7A14"/>
    <w:rsid w:val="335214F5"/>
    <w:rsid w:val="335C05C6"/>
    <w:rsid w:val="335F00B6"/>
    <w:rsid w:val="336631F3"/>
    <w:rsid w:val="33727DEA"/>
    <w:rsid w:val="337F42B4"/>
    <w:rsid w:val="33865643"/>
    <w:rsid w:val="338F1230"/>
    <w:rsid w:val="33927DE1"/>
    <w:rsid w:val="33941B0E"/>
    <w:rsid w:val="339733AC"/>
    <w:rsid w:val="33A1247D"/>
    <w:rsid w:val="33AD2BD0"/>
    <w:rsid w:val="33AD497E"/>
    <w:rsid w:val="33B05E45"/>
    <w:rsid w:val="33BC2E13"/>
    <w:rsid w:val="33BE4DDD"/>
    <w:rsid w:val="33BE6B8B"/>
    <w:rsid w:val="33E67E90"/>
    <w:rsid w:val="33E71CFD"/>
    <w:rsid w:val="33EA7980"/>
    <w:rsid w:val="33EF143A"/>
    <w:rsid w:val="340D18C0"/>
    <w:rsid w:val="341B61E9"/>
    <w:rsid w:val="341D7D55"/>
    <w:rsid w:val="341E7629"/>
    <w:rsid w:val="34266DEB"/>
    <w:rsid w:val="342D6CBE"/>
    <w:rsid w:val="34357FFF"/>
    <w:rsid w:val="34362BC5"/>
    <w:rsid w:val="34375596"/>
    <w:rsid w:val="343D21A6"/>
    <w:rsid w:val="344165C4"/>
    <w:rsid w:val="34433534"/>
    <w:rsid w:val="34503BF8"/>
    <w:rsid w:val="34524761"/>
    <w:rsid w:val="34572B3B"/>
    <w:rsid w:val="3457457F"/>
    <w:rsid w:val="34574B0E"/>
    <w:rsid w:val="34592D57"/>
    <w:rsid w:val="34594B05"/>
    <w:rsid w:val="34610250"/>
    <w:rsid w:val="34637732"/>
    <w:rsid w:val="346C2A8B"/>
    <w:rsid w:val="34892DBF"/>
    <w:rsid w:val="348A4CBF"/>
    <w:rsid w:val="348C4EDB"/>
    <w:rsid w:val="348E47AF"/>
    <w:rsid w:val="34930017"/>
    <w:rsid w:val="34993154"/>
    <w:rsid w:val="34A43FD3"/>
    <w:rsid w:val="34AA710F"/>
    <w:rsid w:val="34AC10D9"/>
    <w:rsid w:val="34B32468"/>
    <w:rsid w:val="34C208FD"/>
    <w:rsid w:val="34CA77B1"/>
    <w:rsid w:val="34CE091C"/>
    <w:rsid w:val="34D523DE"/>
    <w:rsid w:val="34E40873"/>
    <w:rsid w:val="34E93222"/>
    <w:rsid w:val="34E97C37"/>
    <w:rsid w:val="34FA3BF3"/>
    <w:rsid w:val="34FB5BBD"/>
    <w:rsid w:val="35011425"/>
    <w:rsid w:val="35066A3B"/>
    <w:rsid w:val="35092088"/>
    <w:rsid w:val="350C7DCA"/>
    <w:rsid w:val="350E3B42"/>
    <w:rsid w:val="3511718E"/>
    <w:rsid w:val="351849C1"/>
    <w:rsid w:val="351D5B33"/>
    <w:rsid w:val="35215623"/>
    <w:rsid w:val="352275ED"/>
    <w:rsid w:val="35357321"/>
    <w:rsid w:val="35374E47"/>
    <w:rsid w:val="354237EC"/>
    <w:rsid w:val="35441312"/>
    <w:rsid w:val="354632DC"/>
    <w:rsid w:val="354B26A0"/>
    <w:rsid w:val="354B444E"/>
    <w:rsid w:val="35531555"/>
    <w:rsid w:val="35551771"/>
    <w:rsid w:val="3555351F"/>
    <w:rsid w:val="355D6DC1"/>
    <w:rsid w:val="355E02A5"/>
    <w:rsid w:val="356E2833"/>
    <w:rsid w:val="35731BF7"/>
    <w:rsid w:val="357339A5"/>
    <w:rsid w:val="35773495"/>
    <w:rsid w:val="357C6CFE"/>
    <w:rsid w:val="35843E04"/>
    <w:rsid w:val="35984CB2"/>
    <w:rsid w:val="359A53D6"/>
    <w:rsid w:val="359C73A0"/>
    <w:rsid w:val="35A87AF3"/>
    <w:rsid w:val="35AA386B"/>
    <w:rsid w:val="35AD5109"/>
    <w:rsid w:val="35B71AE4"/>
    <w:rsid w:val="35D07049"/>
    <w:rsid w:val="35DC154A"/>
    <w:rsid w:val="35E13004"/>
    <w:rsid w:val="35E6631F"/>
    <w:rsid w:val="35F73632"/>
    <w:rsid w:val="360016DD"/>
    <w:rsid w:val="3600792F"/>
    <w:rsid w:val="360311CD"/>
    <w:rsid w:val="361B2A2D"/>
    <w:rsid w:val="361C228F"/>
    <w:rsid w:val="362178A5"/>
    <w:rsid w:val="362B4280"/>
    <w:rsid w:val="362F1FC2"/>
    <w:rsid w:val="36392E40"/>
    <w:rsid w:val="363C023B"/>
    <w:rsid w:val="363D46DF"/>
    <w:rsid w:val="363E0457"/>
    <w:rsid w:val="36415851"/>
    <w:rsid w:val="36455341"/>
    <w:rsid w:val="365B4B65"/>
    <w:rsid w:val="36657792"/>
    <w:rsid w:val="366A4DA8"/>
    <w:rsid w:val="366B28CE"/>
    <w:rsid w:val="36745C27"/>
    <w:rsid w:val="36776163"/>
    <w:rsid w:val="36853990"/>
    <w:rsid w:val="36873BAC"/>
    <w:rsid w:val="36910587"/>
    <w:rsid w:val="369260AD"/>
    <w:rsid w:val="36932551"/>
    <w:rsid w:val="36962041"/>
    <w:rsid w:val="369A2841"/>
    <w:rsid w:val="369D517D"/>
    <w:rsid w:val="369D6F2B"/>
    <w:rsid w:val="36A209E6"/>
    <w:rsid w:val="36A42101"/>
    <w:rsid w:val="36AC3612"/>
    <w:rsid w:val="36AF255F"/>
    <w:rsid w:val="36AF4EB1"/>
    <w:rsid w:val="36B349A1"/>
    <w:rsid w:val="36B97848"/>
    <w:rsid w:val="36C56482"/>
    <w:rsid w:val="36CF7301"/>
    <w:rsid w:val="36D02516"/>
    <w:rsid w:val="36D772E4"/>
    <w:rsid w:val="36E0506A"/>
    <w:rsid w:val="36F40B16"/>
    <w:rsid w:val="36F62AE0"/>
    <w:rsid w:val="36F87C76"/>
    <w:rsid w:val="37024FE0"/>
    <w:rsid w:val="37092813"/>
    <w:rsid w:val="371116C7"/>
    <w:rsid w:val="371511B8"/>
    <w:rsid w:val="372901C1"/>
    <w:rsid w:val="37353608"/>
    <w:rsid w:val="37433AD4"/>
    <w:rsid w:val="375A12C0"/>
    <w:rsid w:val="37667C65"/>
    <w:rsid w:val="376E08C8"/>
    <w:rsid w:val="377038F8"/>
    <w:rsid w:val="37781747"/>
    <w:rsid w:val="377C4D93"/>
    <w:rsid w:val="37893954"/>
    <w:rsid w:val="378D51F2"/>
    <w:rsid w:val="379851DD"/>
    <w:rsid w:val="37B95FE7"/>
    <w:rsid w:val="37C8447C"/>
    <w:rsid w:val="37C93D50"/>
    <w:rsid w:val="37D01583"/>
    <w:rsid w:val="37D83F93"/>
    <w:rsid w:val="37DD15AA"/>
    <w:rsid w:val="37DE5A4E"/>
    <w:rsid w:val="37DF3574"/>
    <w:rsid w:val="37E33064"/>
    <w:rsid w:val="37F30DCD"/>
    <w:rsid w:val="37FA03AE"/>
    <w:rsid w:val="37FA215C"/>
    <w:rsid w:val="37FF59C4"/>
    <w:rsid w:val="38121A39"/>
    <w:rsid w:val="381256F7"/>
    <w:rsid w:val="38151DB4"/>
    <w:rsid w:val="382A0C93"/>
    <w:rsid w:val="382C4A0B"/>
    <w:rsid w:val="383E029A"/>
    <w:rsid w:val="38415FDC"/>
    <w:rsid w:val="3842422E"/>
    <w:rsid w:val="384255EB"/>
    <w:rsid w:val="384D2BD3"/>
    <w:rsid w:val="385D3B18"/>
    <w:rsid w:val="38653A79"/>
    <w:rsid w:val="386A108F"/>
    <w:rsid w:val="38832151"/>
    <w:rsid w:val="388F6D48"/>
    <w:rsid w:val="3891486E"/>
    <w:rsid w:val="38946271"/>
    <w:rsid w:val="38991974"/>
    <w:rsid w:val="38A10829"/>
    <w:rsid w:val="38A722E3"/>
    <w:rsid w:val="38AC5B4C"/>
    <w:rsid w:val="38BD1B07"/>
    <w:rsid w:val="38BD5663"/>
    <w:rsid w:val="38BE3048"/>
    <w:rsid w:val="38C033A5"/>
    <w:rsid w:val="38C42E95"/>
    <w:rsid w:val="38C56C0D"/>
    <w:rsid w:val="38C904AC"/>
    <w:rsid w:val="38CC1CD4"/>
    <w:rsid w:val="38DE1A7D"/>
    <w:rsid w:val="38E1010B"/>
    <w:rsid w:val="38E2331B"/>
    <w:rsid w:val="38E52E0C"/>
    <w:rsid w:val="38E56968"/>
    <w:rsid w:val="38E946AA"/>
    <w:rsid w:val="38EE7F12"/>
    <w:rsid w:val="38EF3C8A"/>
    <w:rsid w:val="390019F4"/>
    <w:rsid w:val="39052111"/>
    <w:rsid w:val="390A4620"/>
    <w:rsid w:val="39161217"/>
    <w:rsid w:val="39162FC5"/>
    <w:rsid w:val="39224840"/>
    <w:rsid w:val="39292CF8"/>
    <w:rsid w:val="392A6A70"/>
    <w:rsid w:val="392B4CC2"/>
    <w:rsid w:val="392C0A3B"/>
    <w:rsid w:val="392C4597"/>
    <w:rsid w:val="39311BAD"/>
    <w:rsid w:val="3934169D"/>
    <w:rsid w:val="393B2A2C"/>
    <w:rsid w:val="39423DBA"/>
    <w:rsid w:val="39514911"/>
    <w:rsid w:val="3958538C"/>
    <w:rsid w:val="396401D4"/>
    <w:rsid w:val="3971644D"/>
    <w:rsid w:val="39882115"/>
    <w:rsid w:val="398E0DAD"/>
    <w:rsid w:val="39910F9D"/>
    <w:rsid w:val="39924D42"/>
    <w:rsid w:val="39930ABA"/>
    <w:rsid w:val="39981C2C"/>
    <w:rsid w:val="39B50A30"/>
    <w:rsid w:val="39BA3262"/>
    <w:rsid w:val="39C3314D"/>
    <w:rsid w:val="39C649EB"/>
    <w:rsid w:val="39CE1AF2"/>
    <w:rsid w:val="39D13C2E"/>
    <w:rsid w:val="39D877FB"/>
    <w:rsid w:val="39E430C3"/>
    <w:rsid w:val="39F552D0"/>
    <w:rsid w:val="39FA6443"/>
    <w:rsid w:val="3A013C4A"/>
    <w:rsid w:val="3A0278D1"/>
    <w:rsid w:val="3A0D6176"/>
    <w:rsid w:val="3A184B1B"/>
    <w:rsid w:val="3A22275E"/>
    <w:rsid w:val="3A2B2AA0"/>
    <w:rsid w:val="3A2D05C6"/>
    <w:rsid w:val="3A3A0F35"/>
    <w:rsid w:val="3A3C4CAD"/>
    <w:rsid w:val="3A40479E"/>
    <w:rsid w:val="3A437DEA"/>
    <w:rsid w:val="3A4A1178"/>
    <w:rsid w:val="3A4A561C"/>
    <w:rsid w:val="3A4F49E1"/>
    <w:rsid w:val="3A537178"/>
    <w:rsid w:val="3A555D6F"/>
    <w:rsid w:val="3A571AE7"/>
    <w:rsid w:val="3A59760D"/>
    <w:rsid w:val="3A777A93"/>
    <w:rsid w:val="3A976388"/>
    <w:rsid w:val="3AA0523C"/>
    <w:rsid w:val="3AA840F1"/>
    <w:rsid w:val="3ABC194A"/>
    <w:rsid w:val="3ACA050B"/>
    <w:rsid w:val="3ACA22B9"/>
    <w:rsid w:val="3AD153F6"/>
    <w:rsid w:val="3AD3639A"/>
    <w:rsid w:val="3ADC3D9A"/>
    <w:rsid w:val="3AE07D2F"/>
    <w:rsid w:val="3AE72E6B"/>
    <w:rsid w:val="3AE74C19"/>
    <w:rsid w:val="3AEA64B7"/>
    <w:rsid w:val="3AF465A2"/>
    <w:rsid w:val="3AF86E26"/>
    <w:rsid w:val="3AFD443D"/>
    <w:rsid w:val="3AFD61EB"/>
    <w:rsid w:val="3B003F2D"/>
    <w:rsid w:val="3B057795"/>
    <w:rsid w:val="3B0C4680"/>
    <w:rsid w:val="3B1654FE"/>
    <w:rsid w:val="3B251346"/>
    <w:rsid w:val="3B3B6D13"/>
    <w:rsid w:val="3B3C5B77"/>
    <w:rsid w:val="3B3F51A6"/>
    <w:rsid w:val="3B4200A1"/>
    <w:rsid w:val="3B424545"/>
    <w:rsid w:val="3B4A33FA"/>
    <w:rsid w:val="3B50220D"/>
    <w:rsid w:val="3B5F0C53"/>
    <w:rsid w:val="3B677B08"/>
    <w:rsid w:val="3B6B3A9C"/>
    <w:rsid w:val="3B7A3CDF"/>
    <w:rsid w:val="3B844B5E"/>
    <w:rsid w:val="3B9308FD"/>
    <w:rsid w:val="3B936B4F"/>
    <w:rsid w:val="3B984165"/>
    <w:rsid w:val="3B9D79CE"/>
    <w:rsid w:val="3BA26D92"/>
    <w:rsid w:val="3BA725FA"/>
    <w:rsid w:val="3BAA174F"/>
    <w:rsid w:val="3BB52F69"/>
    <w:rsid w:val="3BBF16F2"/>
    <w:rsid w:val="3BC9431F"/>
    <w:rsid w:val="3BCE5DD9"/>
    <w:rsid w:val="3BD258C9"/>
    <w:rsid w:val="3BD3519D"/>
    <w:rsid w:val="3BDB4052"/>
    <w:rsid w:val="3BE63123"/>
    <w:rsid w:val="3BF84C04"/>
    <w:rsid w:val="3C065573"/>
    <w:rsid w:val="3C0D6901"/>
    <w:rsid w:val="3C177780"/>
    <w:rsid w:val="3C221C81"/>
    <w:rsid w:val="3C277297"/>
    <w:rsid w:val="3C2E61B3"/>
    <w:rsid w:val="3C300842"/>
    <w:rsid w:val="3C337A30"/>
    <w:rsid w:val="3C3A521C"/>
    <w:rsid w:val="3C4E2A76"/>
    <w:rsid w:val="3C52477E"/>
    <w:rsid w:val="3C5C08B1"/>
    <w:rsid w:val="3C5C33E5"/>
    <w:rsid w:val="3C5F4C83"/>
    <w:rsid w:val="3C6127A9"/>
    <w:rsid w:val="3C616C4D"/>
    <w:rsid w:val="3C6504EB"/>
    <w:rsid w:val="3C6B3628"/>
    <w:rsid w:val="3C722C08"/>
    <w:rsid w:val="3C7921E9"/>
    <w:rsid w:val="3C8A1D00"/>
    <w:rsid w:val="3C9056B7"/>
    <w:rsid w:val="3CA01523"/>
    <w:rsid w:val="3CA10ED6"/>
    <w:rsid w:val="3CAF5C0A"/>
    <w:rsid w:val="3CB054DF"/>
    <w:rsid w:val="3CB44FCF"/>
    <w:rsid w:val="3CB46D7D"/>
    <w:rsid w:val="3CB52AF5"/>
    <w:rsid w:val="3CC82828"/>
    <w:rsid w:val="3CD4741F"/>
    <w:rsid w:val="3CDB07AE"/>
    <w:rsid w:val="3CDE029E"/>
    <w:rsid w:val="3CE1087B"/>
    <w:rsid w:val="3CE753A4"/>
    <w:rsid w:val="3CEA279F"/>
    <w:rsid w:val="3CED228F"/>
    <w:rsid w:val="3CF33D49"/>
    <w:rsid w:val="3CF950D8"/>
    <w:rsid w:val="3D0E0B83"/>
    <w:rsid w:val="3D143CBF"/>
    <w:rsid w:val="3D1912D6"/>
    <w:rsid w:val="3D1B32A0"/>
    <w:rsid w:val="3D1E4B3E"/>
    <w:rsid w:val="3D1E68EC"/>
    <w:rsid w:val="3D235CB1"/>
    <w:rsid w:val="3D393726"/>
    <w:rsid w:val="3D4F2F4A"/>
    <w:rsid w:val="3D5A3635"/>
    <w:rsid w:val="3D791D75"/>
    <w:rsid w:val="3D7B789B"/>
    <w:rsid w:val="3D801355"/>
    <w:rsid w:val="3D956BAE"/>
    <w:rsid w:val="3D9848F1"/>
    <w:rsid w:val="3D9E0B2B"/>
    <w:rsid w:val="3DA037A5"/>
    <w:rsid w:val="3DAC214A"/>
    <w:rsid w:val="3DC15BF5"/>
    <w:rsid w:val="3DC72AE0"/>
    <w:rsid w:val="3DCE20C0"/>
    <w:rsid w:val="3DD671C7"/>
    <w:rsid w:val="3DD7152B"/>
    <w:rsid w:val="3DD84CED"/>
    <w:rsid w:val="3DDF42CD"/>
    <w:rsid w:val="3DE2791A"/>
    <w:rsid w:val="3DF00289"/>
    <w:rsid w:val="3DFA4C63"/>
    <w:rsid w:val="3E012496"/>
    <w:rsid w:val="3E0B50C2"/>
    <w:rsid w:val="3E1C2E2C"/>
    <w:rsid w:val="3E1F3045"/>
    <w:rsid w:val="3E2717D1"/>
    <w:rsid w:val="3E2D5039"/>
    <w:rsid w:val="3E2E0DB1"/>
    <w:rsid w:val="3E470745"/>
    <w:rsid w:val="3E4D49D4"/>
    <w:rsid w:val="3E5E1696"/>
    <w:rsid w:val="3E6447D3"/>
    <w:rsid w:val="3E693B97"/>
    <w:rsid w:val="3E864749"/>
    <w:rsid w:val="3E894239"/>
    <w:rsid w:val="3E8B7FB1"/>
    <w:rsid w:val="3EA370A9"/>
    <w:rsid w:val="3EA90437"/>
    <w:rsid w:val="3EA97DA4"/>
    <w:rsid w:val="3EAD7F28"/>
    <w:rsid w:val="3EC05EAD"/>
    <w:rsid w:val="3EC84D62"/>
    <w:rsid w:val="3ECD05CA"/>
    <w:rsid w:val="3ED01E68"/>
    <w:rsid w:val="3ED25BE0"/>
    <w:rsid w:val="3EE020AB"/>
    <w:rsid w:val="3EED6576"/>
    <w:rsid w:val="3EF43DA9"/>
    <w:rsid w:val="3EF67B21"/>
    <w:rsid w:val="3F057D64"/>
    <w:rsid w:val="3F0C10F2"/>
    <w:rsid w:val="3F171382"/>
    <w:rsid w:val="3F281CA4"/>
    <w:rsid w:val="3F2F3033"/>
    <w:rsid w:val="3F310B59"/>
    <w:rsid w:val="3F3348D1"/>
    <w:rsid w:val="3F340649"/>
    <w:rsid w:val="3F3E27B9"/>
    <w:rsid w:val="3F3E6DD2"/>
    <w:rsid w:val="3F422D66"/>
    <w:rsid w:val="3F43088C"/>
    <w:rsid w:val="3F4940F4"/>
    <w:rsid w:val="3F4A1C1A"/>
    <w:rsid w:val="3F4D34B9"/>
    <w:rsid w:val="3F520ACF"/>
    <w:rsid w:val="3F5465F5"/>
    <w:rsid w:val="3F5B3E28"/>
    <w:rsid w:val="3F5D7BA0"/>
    <w:rsid w:val="3F620D12"/>
    <w:rsid w:val="3F7B1DD4"/>
    <w:rsid w:val="3F8213B4"/>
    <w:rsid w:val="3F9B5FD2"/>
    <w:rsid w:val="3FA550A3"/>
    <w:rsid w:val="3FAC4C90"/>
    <w:rsid w:val="3FAE03FB"/>
    <w:rsid w:val="3FAE3F57"/>
    <w:rsid w:val="3FB86B84"/>
    <w:rsid w:val="3FBE7F13"/>
    <w:rsid w:val="3FC574F3"/>
    <w:rsid w:val="3FD339BE"/>
    <w:rsid w:val="3FD6525C"/>
    <w:rsid w:val="3FDD10A8"/>
    <w:rsid w:val="3FF014E1"/>
    <w:rsid w:val="40041DC9"/>
    <w:rsid w:val="40063D93"/>
    <w:rsid w:val="400C5122"/>
    <w:rsid w:val="40181D19"/>
    <w:rsid w:val="40183AC7"/>
    <w:rsid w:val="40191C22"/>
    <w:rsid w:val="401A339B"/>
    <w:rsid w:val="402D7572"/>
    <w:rsid w:val="4037219F"/>
    <w:rsid w:val="40416B7A"/>
    <w:rsid w:val="404228F2"/>
    <w:rsid w:val="40464190"/>
    <w:rsid w:val="404B79F8"/>
    <w:rsid w:val="404F6CA7"/>
    <w:rsid w:val="405014B2"/>
    <w:rsid w:val="405640BE"/>
    <w:rsid w:val="40583EC3"/>
    <w:rsid w:val="406805AA"/>
    <w:rsid w:val="406867FC"/>
    <w:rsid w:val="407C5E04"/>
    <w:rsid w:val="407D1B7C"/>
    <w:rsid w:val="407F76A2"/>
    <w:rsid w:val="40860A30"/>
    <w:rsid w:val="4093314D"/>
    <w:rsid w:val="40953369"/>
    <w:rsid w:val="409C0254"/>
    <w:rsid w:val="40A610D2"/>
    <w:rsid w:val="40A9471F"/>
    <w:rsid w:val="40AF61D9"/>
    <w:rsid w:val="40B437EF"/>
    <w:rsid w:val="40B84842"/>
    <w:rsid w:val="40C61775"/>
    <w:rsid w:val="40CB0B39"/>
    <w:rsid w:val="40CD48B1"/>
    <w:rsid w:val="40D043A1"/>
    <w:rsid w:val="40DE086C"/>
    <w:rsid w:val="40E045E4"/>
    <w:rsid w:val="40EB11DB"/>
    <w:rsid w:val="40F24318"/>
    <w:rsid w:val="40FA1BF6"/>
    <w:rsid w:val="40FA31CC"/>
    <w:rsid w:val="41006A35"/>
    <w:rsid w:val="410302D3"/>
    <w:rsid w:val="410B7187"/>
    <w:rsid w:val="410D4CAE"/>
    <w:rsid w:val="411E335F"/>
    <w:rsid w:val="41232723"/>
    <w:rsid w:val="412A3AB2"/>
    <w:rsid w:val="412E4C07"/>
    <w:rsid w:val="41313092"/>
    <w:rsid w:val="41344930"/>
    <w:rsid w:val="413D1A37"/>
    <w:rsid w:val="41432DC5"/>
    <w:rsid w:val="414D59F2"/>
    <w:rsid w:val="414F52C6"/>
    <w:rsid w:val="41546D80"/>
    <w:rsid w:val="415A3663"/>
    <w:rsid w:val="415E375B"/>
    <w:rsid w:val="41676AB4"/>
    <w:rsid w:val="416A65A4"/>
    <w:rsid w:val="41766CF7"/>
    <w:rsid w:val="417B430D"/>
    <w:rsid w:val="417F6E70"/>
    <w:rsid w:val="418238EE"/>
    <w:rsid w:val="4185518C"/>
    <w:rsid w:val="4185788C"/>
    <w:rsid w:val="418D4040"/>
    <w:rsid w:val="419158DF"/>
    <w:rsid w:val="41935615"/>
    <w:rsid w:val="41943621"/>
    <w:rsid w:val="41961147"/>
    <w:rsid w:val="41970A1B"/>
    <w:rsid w:val="41990C37"/>
    <w:rsid w:val="41A526BD"/>
    <w:rsid w:val="41AF3FB7"/>
    <w:rsid w:val="41C42079"/>
    <w:rsid w:val="41C470D5"/>
    <w:rsid w:val="41C51A2C"/>
    <w:rsid w:val="41C71300"/>
    <w:rsid w:val="41C77552"/>
    <w:rsid w:val="41D574F9"/>
    <w:rsid w:val="41EE0F83"/>
    <w:rsid w:val="41EF2605"/>
    <w:rsid w:val="41F01EAA"/>
    <w:rsid w:val="41F540C0"/>
    <w:rsid w:val="420A5691"/>
    <w:rsid w:val="420E33D3"/>
    <w:rsid w:val="420E5181"/>
    <w:rsid w:val="421D3616"/>
    <w:rsid w:val="421F4DB2"/>
    <w:rsid w:val="423A7D24"/>
    <w:rsid w:val="42417305"/>
    <w:rsid w:val="425C413F"/>
    <w:rsid w:val="42621029"/>
    <w:rsid w:val="42664FBD"/>
    <w:rsid w:val="42666D6B"/>
    <w:rsid w:val="4267663F"/>
    <w:rsid w:val="4269060A"/>
    <w:rsid w:val="426E45CA"/>
    <w:rsid w:val="427174BE"/>
    <w:rsid w:val="42764AD5"/>
    <w:rsid w:val="428042FE"/>
    <w:rsid w:val="428B0580"/>
    <w:rsid w:val="428E0070"/>
    <w:rsid w:val="42976F25"/>
    <w:rsid w:val="429D02B3"/>
    <w:rsid w:val="42A33B1C"/>
    <w:rsid w:val="42A87384"/>
    <w:rsid w:val="42B07FE6"/>
    <w:rsid w:val="42B45D29"/>
    <w:rsid w:val="42C817D4"/>
    <w:rsid w:val="42C910A8"/>
    <w:rsid w:val="42D31F27"/>
    <w:rsid w:val="42D9578F"/>
    <w:rsid w:val="42E14644"/>
    <w:rsid w:val="42EE59F1"/>
    <w:rsid w:val="42F44377"/>
    <w:rsid w:val="42FE0D52"/>
    <w:rsid w:val="42FF4ACA"/>
    <w:rsid w:val="43100A85"/>
    <w:rsid w:val="4315253F"/>
    <w:rsid w:val="43160791"/>
    <w:rsid w:val="431F6F1A"/>
    <w:rsid w:val="432033BE"/>
    <w:rsid w:val="43210EE4"/>
    <w:rsid w:val="4339622E"/>
    <w:rsid w:val="43476B9D"/>
    <w:rsid w:val="4348021F"/>
    <w:rsid w:val="4355293C"/>
    <w:rsid w:val="435C6144"/>
    <w:rsid w:val="435E3EE6"/>
    <w:rsid w:val="435E7A42"/>
    <w:rsid w:val="43681D2F"/>
    <w:rsid w:val="436C03B1"/>
    <w:rsid w:val="436F7EA2"/>
    <w:rsid w:val="4371739D"/>
    <w:rsid w:val="43721740"/>
    <w:rsid w:val="437234EE"/>
    <w:rsid w:val="43741014"/>
    <w:rsid w:val="437C611B"/>
    <w:rsid w:val="437E6C9A"/>
    <w:rsid w:val="438F3899"/>
    <w:rsid w:val="438F40A0"/>
    <w:rsid w:val="4391606A"/>
    <w:rsid w:val="439F5B10"/>
    <w:rsid w:val="43A062AD"/>
    <w:rsid w:val="43A74F98"/>
    <w:rsid w:val="43AD4526"/>
    <w:rsid w:val="43B41D58"/>
    <w:rsid w:val="43C401ED"/>
    <w:rsid w:val="43D1290A"/>
    <w:rsid w:val="43D61CCF"/>
    <w:rsid w:val="43D67F21"/>
    <w:rsid w:val="43DD12AF"/>
    <w:rsid w:val="43E17924"/>
    <w:rsid w:val="43E32D55"/>
    <w:rsid w:val="43ED0DC6"/>
    <w:rsid w:val="44017717"/>
    <w:rsid w:val="44022AC4"/>
    <w:rsid w:val="44024872"/>
    <w:rsid w:val="440305EA"/>
    <w:rsid w:val="4404683C"/>
    <w:rsid w:val="440C56F0"/>
    <w:rsid w:val="4416031D"/>
    <w:rsid w:val="441647C1"/>
    <w:rsid w:val="441F5424"/>
    <w:rsid w:val="44223166"/>
    <w:rsid w:val="443133A9"/>
    <w:rsid w:val="4436451B"/>
    <w:rsid w:val="443846E8"/>
    <w:rsid w:val="443B7D84"/>
    <w:rsid w:val="444924A1"/>
    <w:rsid w:val="44613C8E"/>
    <w:rsid w:val="44654E01"/>
    <w:rsid w:val="446B4F27"/>
    <w:rsid w:val="446E0159"/>
    <w:rsid w:val="446E1F07"/>
    <w:rsid w:val="447339C1"/>
    <w:rsid w:val="447F2366"/>
    <w:rsid w:val="44850357"/>
    <w:rsid w:val="44906321"/>
    <w:rsid w:val="44926D8E"/>
    <w:rsid w:val="449556E6"/>
    <w:rsid w:val="44B02520"/>
    <w:rsid w:val="44B55D88"/>
    <w:rsid w:val="44BC7116"/>
    <w:rsid w:val="44C658D2"/>
    <w:rsid w:val="44CA2F7C"/>
    <w:rsid w:val="44D51F86"/>
    <w:rsid w:val="44D75CFE"/>
    <w:rsid w:val="44D83825"/>
    <w:rsid w:val="44D97CC8"/>
    <w:rsid w:val="44EB1039"/>
    <w:rsid w:val="44EB17AA"/>
    <w:rsid w:val="44ED79A4"/>
    <w:rsid w:val="44F22B38"/>
    <w:rsid w:val="44FA19ED"/>
    <w:rsid w:val="45107462"/>
    <w:rsid w:val="4521341D"/>
    <w:rsid w:val="45264590"/>
    <w:rsid w:val="452B24C8"/>
    <w:rsid w:val="452E1696"/>
    <w:rsid w:val="453A003B"/>
    <w:rsid w:val="4545710C"/>
    <w:rsid w:val="454D7D6F"/>
    <w:rsid w:val="455C4456"/>
    <w:rsid w:val="455E3D2A"/>
    <w:rsid w:val="4565155C"/>
    <w:rsid w:val="457277D5"/>
    <w:rsid w:val="45740942"/>
    <w:rsid w:val="4574179F"/>
    <w:rsid w:val="45765517"/>
    <w:rsid w:val="4577303D"/>
    <w:rsid w:val="457E617A"/>
    <w:rsid w:val="459260C9"/>
    <w:rsid w:val="4594599D"/>
    <w:rsid w:val="45973006"/>
    <w:rsid w:val="45994F64"/>
    <w:rsid w:val="459B4F7E"/>
    <w:rsid w:val="45A1630C"/>
    <w:rsid w:val="45A71B75"/>
    <w:rsid w:val="45AC0F39"/>
    <w:rsid w:val="45AD58E9"/>
    <w:rsid w:val="45B778DE"/>
    <w:rsid w:val="45BC4EF4"/>
    <w:rsid w:val="45BE0C6C"/>
    <w:rsid w:val="45C049E4"/>
    <w:rsid w:val="45C142B9"/>
    <w:rsid w:val="45C30031"/>
    <w:rsid w:val="45CD0EAF"/>
    <w:rsid w:val="45D71D2E"/>
    <w:rsid w:val="45E16709"/>
    <w:rsid w:val="45EC3A2B"/>
    <w:rsid w:val="45EC57D9"/>
    <w:rsid w:val="45F621B4"/>
    <w:rsid w:val="45F8417E"/>
    <w:rsid w:val="46007705"/>
    <w:rsid w:val="46027484"/>
    <w:rsid w:val="46032B23"/>
    <w:rsid w:val="460C5E7C"/>
    <w:rsid w:val="46115240"/>
    <w:rsid w:val="46162856"/>
    <w:rsid w:val="46164604"/>
    <w:rsid w:val="462F3918"/>
    <w:rsid w:val="462F3C85"/>
    <w:rsid w:val="4631143E"/>
    <w:rsid w:val="46337169"/>
    <w:rsid w:val="463D4287"/>
    <w:rsid w:val="463D7DE3"/>
    <w:rsid w:val="4645313C"/>
    <w:rsid w:val="46472A10"/>
    <w:rsid w:val="464771BE"/>
    <w:rsid w:val="4654512D"/>
    <w:rsid w:val="465670F7"/>
    <w:rsid w:val="465771CD"/>
    <w:rsid w:val="465F41FD"/>
    <w:rsid w:val="4679217C"/>
    <w:rsid w:val="467F664E"/>
    <w:rsid w:val="46817E08"/>
    <w:rsid w:val="468772B0"/>
    <w:rsid w:val="46916381"/>
    <w:rsid w:val="46935C55"/>
    <w:rsid w:val="46955E71"/>
    <w:rsid w:val="46963997"/>
    <w:rsid w:val="469A6FE4"/>
    <w:rsid w:val="469C3FEF"/>
    <w:rsid w:val="46A936CA"/>
    <w:rsid w:val="46AC4F69"/>
    <w:rsid w:val="46BB51AC"/>
    <w:rsid w:val="46BF4C9C"/>
    <w:rsid w:val="46C44060"/>
    <w:rsid w:val="46D324F5"/>
    <w:rsid w:val="46D63D94"/>
    <w:rsid w:val="46D70238"/>
    <w:rsid w:val="46E84662"/>
    <w:rsid w:val="46F30DEA"/>
    <w:rsid w:val="46F34946"/>
    <w:rsid w:val="46F72688"/>
    <w:rsid w:val="46F93E9F"/>
    <w:rsid w:val="47017063"/>
    <w:rsid w:val="4703102D"/>
    <w:rsid w:val="471072A6"/>
    <w:rsid w:val="47170634"/>
    <w:rsid w:val="47190850"/>
    <w:rsid w:val="471D091C"/>
    <w:rsid w:val="47290367"/>
    <w:rsid w:val="4729480B"/>
    <w:rsid w:val="473016F6"/>
    <w:rsid w:val="473236C0"/>
    <w:rsid w:val="47332F94"/>
    <w:rsid w:val="473D5B0B"/>
    <w:rsid w:val="47411B55"/>
    <w:rsid w:val="4748112D"/>
    <w:rsid w:val="47486A40"/>
    <w:rsid w:val="474D43C2"/>
    <w:rsid w:val="47523D62"/>
    <w:rsid w:val="47590C4D"/>
    <w:rsid w:val="475A6773"/>
    <w:rsid w:val="476B6BD2"/>
    <w:rsid w:val="47723ABC"/>
    <w:rsid w:val="47751B21"/>
    <w:rsid w:val="47797541"/>
    <w:rsid w:val="477C2B8D"/>
    <w:rsid w:val="477E06B3"/>
    <w:rsid w:val="479034DF"/>
    <w:rsid w:val="47971775"/>
    <w:rsid w:val="47A520E4"/>
    <w:rsid w:val="47AD0F98"/>
    <w:rsid w:val="47C87B80"/>
    <w:rsid w:val="47D26C51"/>
    <w:rsid w:val="47D93B3C"/>
    <w:rsid w:val="47E0311C"/>
    <w:rsid w:val="47E758BF"/>
    <w:rsid w:val="47F0441B"/>
    <w:rsid w:val="47FD5DF2"/>
    <w:rsid w:val="48111527"/>
    <w:rsid w:val="482C6361"/>
    <w:rsid w:val="482D3E87"/>
    <w:rsid w:val="48313978"/>
    <w:rsid w:val="48315726"/>
    <w:rsid w:val="48396CD0"/>
    <w:rsid w:val="483B47F6"/>
    <w:rsid w:val="483D1A09"/>
    <w:rsid w:val="484F02A2"/>
    <w:rsid w:val="48561630"/>
    <w:rsid w:val="486A6E89"/>
    <w:rsid w:val="486D6AFC"/>
    <w:rsid w:val="48743864"/>
    <w:rsid w:val="48853CC3"/>
    <w:rsid w:val="488717E9"/>
    <w:rsid w:val="48904B42"/>
    <w:rsid w:val="48A24875"/>
    <w:rsid w:val="48A26623"/>
    <w:rsid w:val="48A62240"/>
    <w:rsid w:val="48A94357"/>
    <w:rsid w:val="48A979B2"/>
    <w:rsid w:val="48CE7418"/>
    <w:rsid w:val="48F549A5"/>
    <w:rsid w:val="48F74BC1"/>
    <w:rsid w:val="48FF75D2"/>
    <w:rsid w:val="490746D8"/>
    <w:rsid w:val="490948F4"/>
    <w:rsid w:val="4917157A"/>
    <w:rsid w:val="49331971"/>
    <w:rsid w:val="4933371F"/>
    <w:rsid w:val="493F3E72"/>
    <w:rsid w:val="49425710"/>
    <w:rsid w:val="49463453"/>
    <w:rsid w:val="495C4A24"/>
    <w:rsid w:val="496658A3"/>
    <w:rsid w:val="496F0BFB"/>
    <w:rsid w:val="496F29A9"/>
    <w:rsid w:val="4977360C"/>
    <w:rsid w:val="49793828"/>
    <w:rsid w:val="497955D6"/>
    <w:rsid w:val="49847CA8"/>
    <w:rsid w:val="49865F45"/>
    <w:rsid w:val="498B355B"/>
    <w:rsid w:val="498B5309"/>
    <w:rsid w:val="498B70B7"/>
    <w:rsid w:val="498F64FC"/>
    <w:rsid w:val="499C7517"/>
    <w:rsid w:val="49A0740E"/>
    <w:rsid w:val="49A308A5"/>
    <w:rsid w:val="49A32653"/>
    <w:rsid w:val="49B6261E"/>
    <w:rsid w:val="49B77EAC"/>
    <w:rsid w:val="49BB5BEF"/>
    <w:rsid w:val="49BC54C3"/>
    <w:rsid w:val="49C30B37"/>
    <w:rsid w:val="49C425C9"/>
    <w:rsid w:val="49CC7DFC"/>
    <w:rsid w:val="49CD5922"/>
    <w:rsid w:val="49CF169A"/>
    <w:rsid w:val="49DE7B2F"/>
    <w:rsid w:val="49E05655"/>
    <w:rsid w:val="49E30CA1"/>
    <w:rsid w:val="49EA2030"/>
    <w:rsid w:val="49ED7D72"/>
    <w:rsid w:val="49F66C27"/>
    <w:rsid w:val="49F70BF1"/>
    <w:rsid w:val="49FA4868"/>
    <w:rsid w:val="49FA5FEB"/>
    <w:rsid w:val="49FD6A0D"/>
    <w:rsid w:val="4A08695A"/>
    <w:rsid w:val="4A0C644A"/>
    <w:rsid w:val="4A0F5F3A"/>
    <w:rsid w:val="4A143551"/>
    <w:rsid w:val="4A1B48DF"/>
    <w:rsid w:val="4A1C2405"/>
    <w:rsid w:val="4A200666"/>
    <w:rsid w:val="4A201EF6"/>
    <w:rsid w:val="4A2F038B"/>
    <w:rsid w:val="4A2F3EE7"/>
    <w:rsid w:val="4A361719"/>
    <w:rsid w:val="4A392FB7"/>
    <w:rsid w:val="4A3F507F"/>
    <w:rsid w:val="4A4D0811"/>
    <w:rsid w:val="4A573306"/>
    <w:rsid w:val="4A5971B6"/>
    <w:rsid w:val="4A5D4EF8"/>
    <w:rsid w:val="4A615F8A"/>
    <w:rsid w:val="4A6B2C0C"/>
    <w:rsid w:val="4A6F2535"/>
    <w:rsid w:val="4A7E09CA"/>
    <w:rsid w:val="4A805AFA"/>
    <w:rsid w:val="4A8C640F"/>
    <w:rsid w:val="4A8E50B1"/>
    <w:rsid w:val="4A8E6E5F"/>
    <w:rsid w:val="4A913263"/>
    <w:rsid w:val="4A9202C4"/>
    <w:rsid w:val="4A946440"/>
    <w:rsid w:val="4A954692"/>
    <w:rsid w:val="4A993A56"/>
    <w:rsid w:val="4A9B332A"/>
    <w:rsid w:val="4AA77F21"/>
    <w:rsid w:val="4AB2387D"/>
    <w:rsid w:val="4AB7218C"/>
    <w:rsid w:val="4AC26B09"/>
    <w:rsid w:val="4AC46D25"/>
    <w:rsid w:val="4ACC0719"/>
    <w:rsid w:val="4ACF1226"/>
    <w:rsid w:val="4AD30D16"/>
    <w:rsid w:val="4AD8632C"/>
    <w:rsid w:val="4AD93E52"/>
    <w:rsid w:val="4ADA20A4"/>
    <w:rsid w:val="4AE01685"/>
    <w:rsid w:val="4AE64290"/>
    <w:rsid w:val="4AEA6060"/>
    <w:rsid w:val="4AF313B8"/>
    <w:rsid w:val="4AF60EA8"/>
    <w:rsid w:val="4AF869CF"/>
    <w:rsid w:val="4B074E64"/>
    <w:rsid w:val="4B1530DD"/>
    <w:rsid w:val="4B15553F"/>
    <w:rsid w:val="4B1650A7"/>
    <w:rsid w:val="4B1D6F30"/>
    <w:rsid w:val="4B2060AE"/>
    <w:rsid w:val="4B35552D"/>
    <w:rsid w:val="4B3B06EC"/>
    <w:rsid w:val="4B3D0885"/>
    <w:rsid w:val="4B404757"/>
    <w:rsid w:val="4B441C14"/>
    <w:rsid w:val="4B4734B2"/>
    <w:rsid w:val="4B4B4D50"/>
    <w:rsid w:val="4B517E8D"/>
    <w:rsid w:val="4B663938"/>
    <w:rsid w:val="4B6B04E5"/>
    <w:rsid w:val="4B6E0A3F"/>
    <w:rsid w:val="4B747EAF"/>
    <w:rsid w:val="4B75001F"/>
    <w:rsid w:val="4B7818BD"/>
    <w:rsid w:val="4B814C16"/>
    <w:rsid w:val="4B8D35BB"/>
    <w:rsid w:val="4B8D5369"/>
    <w:rsid w:val="4B8F7333"/>
    <w:rsid w:val="4BA24A06"/>
    <w:rsid w:val="4BB40B47"/>
    <w:rsid w:val="4BC30D8B"/>
    <w:rsid w:val="4BC36FDC"/>
    <w:rsid w:val="4BC84812"/>
    <w:rsid w:val="4BCA036B"/>
    <w:rsid w:val="4BCD7E5B"/>
    <w:rsid w:val="4BD016F9"/>
    <w:rsid w:val="4BDA4326"/>
    <w:rsid w:val="4BEE392E"/>
    <w:rsid w:val="4BEF7DD1"/>
    <w:rsid w:val="4BF76C86"/>
    <w:rsid w:val="4C0373D9"/>
    <w:rsid w:val="4C06511B"/>
    <w:rsid w:val="4C07336D"/>
    <w:rsid w:val="4C0B1536"/>
    <w:rsid w:val="4C0B2731"/>
    <w:rsid w:val="4C184A8A"/>
    <w:rsid w:val="4C194E4E"/>
    <w:rsid w:val="4C1E4213"/>
    <w:rsid w:val="4C2630C7"/>
    <w:rsid w:val="4C417F01"/>
    <w:rsid w:val="4C4719BC"/>
    <w:rsid w:val="4C6B4F7E"/>
    <w:rsid w:val="4C714E75"/>
    <w:rsid w:val="4C871DB8"/>
    <w:rsid w:val="4C982217"/>
    <w:rsid w:val="4C9D5A7F"/>
    <w:rsid w:val="4CA23096"/>
    <w:rsid w:val="4CAA3CF8"/>
    <w:rsid w:val="4CAC181F"/>
    <w:rsid w:val="4CB37051"/>
    <w:rsid w:val="4CB86415"/>
    <w:rsid w:val="4CC13F00"/>
    <w:rsid w:val="4CC415D7"/>
    <w:rsid w:val="4CC56D84"/>
    <w:rsid w:val="4CCC1EC1"/>
    <w:rsid w:val="4CCE3E8B"/>
    <w:rsid w:val="4CD174D7"/>
    <w:rsid w:val="4CDE39A2"/>
    <w:rsid w:val="4CE0596C"/>
    <w:rsid w:val="4CE70AA9"/>
    <w:rsid w:val="4CE76E93"/>
    <w:rsid w:val="4CE92A73"/>
    <w:rsid w:val="4CF03E01"/>
    <w:rsid w:val="4CF907DC"/>
    <w:rsid w:val="4CFD651E"/>
    <w:rsid w:val="4D001B6A"/>
    <w:rsid w:val="4D007DBC"/>
    <w:rsid w:val="4D01600E"/>
    <w:rsid w:val="4D021D86"/>
    <w:rsid w:val="4D096C71"/>
    <w:rsid w:val="4D1473C4"/>
    <w:rsid w:val="4D1901AE"/>
    <w:rsid w:val="4D2E00B9"/>
    <w:rsid w:val="4D3161C8"/>
    <w:rsid w:val="4D355CB8"/>
    <w:rsid w:val="4D355F0D"/>
    <w:rsid w:val="4D415CBF"/>
    <w:rsid w:val="4D4B1038"/>
    <w:rsid w:val="4D5220F5"/>
    <w:rsid w:val="4D534390"/>
    <w:rsid w:val="4D5A571F"/>
    <w:rsid w:val="4D6D5452"/>
    <w:rsid w:val="4D7A7B6F"/>
    <w:rsid w:val="4D834C75"/>
    <w:rsid w:val="4D8E53C8"/>
    <w:rsid w:val="4D907392"/>
    <w:rsid w:val="4D924EB8"/>
    <w:rsid w:val="4D981DA3"/>
    <w:rsid w:val="4D986247"/>
    <w:rsid w:val="4DA30E74"/>
    <w:rsid w:val="4DAD1CF2"/>
    <w:rsid w:val="4DB10A21"/>
    <w:rsid w:val="4DB90697"/>
    <w:rsid w:val="4DC4528E"/>
    <w:rsid w:val="4DC66910"/>
    <w:rsid w:val="4DCA3F0D"/>
    <w:rsid w:val="4DDE1EAC"/>
    <w:rsid w:val="4DE70E92"/>
    <w:rsid w:val="4DEE5E67"/>
    <w:rsid w:val="4DF06B51"/>
    <w:rsid w:val="4DF37DF0"/>
    <w:rsid w:val="4DFA2A5E"/>
    <w:rsid w:val="4DFC03F6"/>
    <w:rsid w:val="4DFC0584"/>
    <w:rsid w:val="4E0F02B7"/>
    <w:rsid w:val="4E10612E"/>
    <w:rsid w:val="4E125FF9"/>
    <w:rsid w:val="4E151645"/>
    <w:rsid w:val="4E2127BB"/>
    <w:rsid w:val="4E265601"/>
    <w:rsid w:val="4E287D9F"/>
    <w:rsid w:val="4E2D698F"/>
    <w:rsid w:val="4E3046D1"/>
    <w:rsid w:val="4E3221F7"/>
    <w:rsid w:val="4E3E294A"/>
    <w:rsid w:val="4E41243B"/>
    <w:rsid w:val="4E451F2B"/>
    <w:rsid w:val="4E4A12EF"/>
    <w:rsid w:val="4E4C150B"/>
    <w:rsid w:val="4E4D5283"/>
    <w:rsid w:val="4E52289A"/>
    <w:rsid w:val="4E6D76D3"/>
    <w:rsid w:val="4E6F51FA"/>
    <w:rsid w:val="4E712D20"/>
    <w:rsid w:val="4E791BD4"/>
    <w:rsid w:val="4E7E543D"/>
    <w:rsid w:val="4E880069"/>
    <w:rsid w:val="4E8F764A"/>
    <w:rsid w:val="4E9B7D9D"/>
    <w:rsid w:val="4E9C58C3"/>
    <w:rsid w:val="4E9E788D"/>
    <w:rsid w:val="4EA03605"/>
    <w:rsid w:val="4EA12ED9"/>
    <w:rsid w:val="4EA330F5"/>
    <w:rsid w:val="4EAF1A9A"/>
    <w:rsid w:val="4EB40E5E"/>
    <w:rsid w:val="4EC372F3"/>
    <w:rsid w:val="4ECA68D4"/>
    <w:rsid w:val="4ECC7F56"/>
    <w:rsid w:val="4ECF5C98"/>
    <w:rsid w:val="4ED212E5"/>
    <w:rsid w:val="4ED223D5"/>
    <w:rsid w:val="4ED908C5"/>
    <w:rsid w:val="4EE310C8"/>
    <w:rsid w:val="4EF23735"/>
    <w:rsid w:val="4EF37BD9"/>
    <w:rsid w:val="4F053468"/>
    <w:rsid w:val="4F1162B1"/>
    <w:rsid w:val="4F1C60BB"/>
    <w:rsid w:val="4F1D6A04"/>
    <w:rsid w:val="4F251D5C"/>
    <w:rsid w:val="4F323574"/>
    <w:rsid w:val="4F3D67AC"/>
    <w:rsid w:val="4F5166AD"/>
    <w:rsid w:val="4F532425"/>
    <w:rsid w:val="4F55619D"/>
    <w:rsid w:val="4F5C76B9"/>
    <w:rsid w:val="4F5D14F6"/>
    <w:rsid w:val="4F62687A"/>
    <w:rsid w:val="4F652159"/>
    <w:rsid w:val="4F675ED1"/>
    <w:rsid w:val="4F6B59C1"/>
    <w:rsid w:val="4F6E54B1"/>
    <w:rsid w:val="4F74239C"/>
    <w:rsid w:val="4F7725B8"/>
    <w:rsid w:val="4F813436"/>
    <w:rsid w:val="4F8B6063"/>
    <w:rsid w:val="4F9547EC"/>
    <w:rsid w:val="4F9D7B44"/>
    <w:rsid w:val="4F9F566B"/>
    <w:rsid w:val="4FA26F09"/>
    <w:rsid w:val="4FAD5E6E"/>
    <w:rsid w:val="4FB37368"/>
    <w:rsid w:val="4FB87605"/>
    <w:rsid w:val="4FBC446F"/>
    <w:rsid w:val="4FBE01E7"/>
    <w:rsid w:val="4FC33B8C"/>
    <w:rsid w:val="4FC55866"/>
    <w:rsid w:val="4FC60E49"/>
    <w:rsid w:val="4FC7696F"/>
    <w:rsid w:val="4FCD042A"/>
    <w:rsid w:val="4FD5108C"/>
    <w:rsid w:val="4FD712A8"/>
    <w:rsid w:val="4FE319FB"/>
    <w:rsid w:val="4FE37C4D"/>
    <w:rsid w:val="4FE90FDC"/>
    <w:rsid w:val="50055E16"/>
    <w:rsid w:val="50067238"/>
    <w:rsid w:val="50083210"/>
    <w:rsid w:val="500D4CCA"/>
    <w:rsid w:val="500F0A42"/>
    <w:rsid w:val="5023629C"/>
    <w:rsid w:val="503009B9"/>
    <w:rsid w:val="504306EC"/>
    <w:rsid w:val="504D156B"/>
    <w:rsid w:val="50504BB7"/>
    <w:rsid w:val="505226DD"/>
    <w:rsid w:val="505F4DFA"/>
    <w:rsid w:val="50615016"/>
    <w:rsid w:val="50632B3C"/>
    <w:rsid w:val="50811214"/>
    <w:rsid w:val="50845547"/>
    <w:rsid w:val="50937D24"/>
    <w:rsid w:val="509E3B74"/>
    <w:rsid w:val="50A05B3E"/>
    <w:rsid w:val="50AA076B"/>
    <w:rsid w:val="50AC6291"/>
    <w:rsid w:val="50B05655"/>
    <w:rsid w:val="50B129D4"/>
    <w:rsid w:val="50BB2978"/>
    <w:rsid w:val="50BB64D4"/>
    <w:rsid w:val="50BC3FFA"/>
    <w:rsid w:val="50CE26AB"/>
    <w:rsid w:val="50CF3D2E"/>
    <w:rsid w:val="50D650BC"/>
    <w:rsid w:val="50D91B6D"/>
    <w:rsid w:val="50DC434B"/>
    <w:rsid w:val="50E33C7D"/>
    <w:rsid w:val="50E377D9"/>
    <w:rsid w:val="50F25C6E"/>
    <w:rsid w:val="50F814D6"/>
    <w:rsid w:val="50F87728"/>
    <w:rsid w:val="510A120A"/>
    <w:rsid w:val="510C6D30"/>
    <w:rsid w:val="51112598"/>
    <w:rsid w:val="51114346"/>
    <w:rsid w:val="511300BE"/>
    <w:rsid w:val="51143E36"/>
    <w:rsid w:val="5119144D"/>
    <w:rsid w:val="512247A5"/>
    <w:rsid w:val="512322CB"/>
    <w:rsid w:val="512C1180"/>
    <w:rsid w:val="512C73D2"/>
    <w:rsid w:val="512F2A1E"/>
    <w:rsid w:val="513D15DF"/>
    <w:rsid w:val="514C1822"/>
    <w:rsid w:val="515F02C5"/>
    <w:rsid w:val="516721B8"/>
    <w:rsid w:val="51713037"/>
    <w:rsid w:val="51736DAF"/>
    <w:rsid w:val="5176064D"/>
    <w:rsid w:val="51933489"/>
    <w:rsid w:val="519876B8"/>
    <w:rsid w:val="519A0C31"/>
    <w:rsid w:val="519B6306"/>
    <w:rsid w:val="51A0391C"/>
    <w:rsid w:val="51A258E6"/>
    <w:rsid w:val="51A4340C"/>
    <w:rsid w:val="51A90A23"/>
    <w:rsid w:val="51AC0513"/>
    <w:rsid w:val="51B64EEE"/>
    <w:rsid w:val="51B7313F"/>
    <w:rsid w:val="51C15D6C"/>
    <w:rsid w:val="51CB7655"/>
    <w:rsid w:val="51D10659"/>
    <w:rsid w:val="51ED5DCB"/>
    <w:rsid w:val="52097713"/>
    <w:rsid w:val="521045FE"/>
    <w:rsid w:val="5212481A"/>
    <w:rsid w:val="521A36CE"/>
    <w:rsid w:val="521F0CE5"/>
    <w:rsid w:val="52287B99"/>
    <w:rsid w:val="522956BF"/>
    <w:rsid w:val="523C1897"/>
    <w:rsid w:val="523C3645"/>
    <w:rsid w:val="52483D98"/>
    <w:rsid w:val="52540C15"/>
    <w:rsid w:val="525E35BB"/>
    <w:rsid w:val="52666F88"/>
    <w:rsid w:val="526A0C2E"/>
    <w:rsid w:val="527032EE"/>
    <w:rsid w:val="527E5A0B"/>
    <w:rsid w:val="528943B0"/>
    <w:rsid w:val="52946FDD"/>
    <w:rsid w:val="5299416C"/>
    <w:rsid w:val="52A1794C"/>
    <w:rsid w:val="52A511EA"/>
    <w:rsid w:val="52A5743C"/>
    <w:rsid w:val="52AA4A52"/>
    <w:rsid w:val="52AD62F0"/>
    <w:rsid w:val="52BA27BB"/>
    <w:rsid w:val="52C33D66"/>
    <w:rsid w:val="52C75604"/>
    <w:rsid w:val="52DE294E"/>
    <w:rsid w:val="52E31D12"/>
    <w:rsid w:val="52F45CCD"/>
    <w:rsid w:val="530028C4"/>
    <w:rsid w:val="5302663C"/>
    <w:rsid w:val="53071EA5"/>
    <w:rsid w:val="53085A69"/>
    <w:rsid w:val="530A3743"/>
    <w:rsid w:val="530F48B5"/>
    <w:rsid w:val="53310CD0"/>
    <w:rsid w:val="53334A48"/>
    <w:rsid w:val="533802B0"/>
    <w:rsid w:val="534A7FE3"/>
    <w:rsid w:val="535920E8"/>
    <w:rsid w:val="535B7AFB"/>
    <w:rsid w:val="53670B95"/>
    <w:rsid w:val="536A5F90"/>
    <w:rsid w:val="53733096"/>
    <w:rsid w:val="53841AA0"/>
    <w:rsid w:val="538501A4"/>
    <w:rsid w:val="53856D4C"/>
    <w:rsid w:val="5394300C"/>
    <w:rsid w:val="53986FA1"/>
    <w:rsid w:val="53A05E55"/>
    <w:rsid w:val="53B06098"/>
    <w:rsid w:val="53B51901"/>
    <w:rsid w:val="53C47D96"/>
    <w:rsid w:val="53D14261"/>
    <w:rsid w:val="53D65ED8"/>
    <w:rsid w:val="53DC50DF"/>
    <w:rsid w:val="53EC4BF7"/>
    <w:rsid w:val="53EE6BC1"/>
    <w:rsid w:val="53FA7313"/>
    <w:rsid w:val="540E7263"/>
    <w:rsid w:val="54120B01"/>
    <w:rsid w:val="541465B0"/>
    <w:rsid w:val="542332CD"/>
    <w:rsid w:val="542B1BC3"/>
    <w:rsid w:val="543F741C"/>
    <w:rsid w:val="54482775"/>
    <w:rsid w:val="54505185"/>
    <w:rsid w:val="54646E83"/>
    <w:rsid w:val="546649A9"/>
    <w:rsid w:val="546D3F89"/>
    <w:rsid w:val="547215A0"/>
    <w:rsid w:val="54752E3E"/>
    <w:rsid w:val="54754BEC"/>
    <w:rsid w:val="547846DC"/>
    <w:rsid w:val="5479292E"/>
    <w:rsid w:val="547E7F44"/>
    <w:rsid w:val="54817A35"/>
    <w:rsid w:val="548A4B3B"/>
    <w:rsid w:val="548E3F00"/>
    <w:rsid w:val="549C0AA6"/>
    <w:rsid w:val="549E4208"/>
    <w:rsid w:val="549F4981"/>
    <w:rsid w:val="54A656ED"/>
    <w:rsid w:val="54A83213"/>
    <w:rsid w:val="54B25E40"/>
    <w:rsid w:val="54BC0A6D"/>
    <w:rsid w:val="54C142D5"/>
    <w:rsid w:val="54CA318A"/>
    <w:rsid w:val="54D44008"/>
    <w:rsid w:val="54D9517B"/>
    <w:rsid w:val="54EC75A4"/>
    <w:rsid w:val="54F14BBA"/>
    <w:rsid w:val="54F621D1"/>
    <w:rsid w:val="55050666"/>
    <w:rsid w:val="550F6DEF"/>
    <w:rsid w:val="55110DB9"/>
    <w:rsid w:val="551408A9"/>
    <w:rsid w:val="55172147"/>
    <w:rsid w:val="551B1C37"/>
    <w:rsid w:val="552705DC"/>
    <w:rsid w:val="552F7491"/>
    <w:rsid w:val="55432093"/>
    <w:rsid w:val="555313D1"/>
    <w:rsid w:val="55562C6F"/>
    <w:rsid w:val="55684751"/>
    <w:rsid w:val="55825812"/>
    <w:rsid w:val="55833339"/>
    <w:rsid w:val="5588094F"/>
    <w:rsid w:val="558A2919"/>
    <w:rsid w:val="559E0172"/>
    <w:rsid w:val="55A75279"/>
    <w:rsid w:val="55AF412E"/>
    <w:rsid w:val="55BA31FE"/>
    <w:rsid w:val="55C67DF5"/>
    <w:rsid w:val="55C74997"/>
    <w:rsid w:val="55CE0A58"/>
    <w:rsid w:val="55D02A22"/>
    <w:rsid w:val="55DA73FC"/>
    <w:rsid w:val="55DB13C7"/>
    <w:rsid w:val="55DB3175"/>
    <w:rsid w:val="55E11DAD"/>
    <w:rsid w:val="55FB7373"/>
    <w:rsid w:val="56037691"/>
    <w:rsid w:val="56075D18"/>
    <w:rsid w:val="560C77D2"/>
    <w:rsid w:val="561346BC"/>
    <w:rsid w:val="561D553B"/>
    <w:rsid w:val="563805C7"/>
    <w:rsid w:val="563D18DA"/>
    <w:rsid w:val="56503B63"/>
    <w:rsid w:val="56530F5D"/>
    <w:rsid w:val="565D002E"/>
    <w:rsid w:val="565F3DA6"/>
    <w:rsid w:val="56625644"/>
    <w:rsid w:val="566D0271"/>
    <w:rsid w:val="56705FB3"/>
    <w:rsid w:val="56723AD9"/>
    <w:rsid w:val="56821842"/>
    <w:rsid w:val="569E385F"/>
    <w:rsid w:val="56AD4B11"/>
    <w:rsid w:val="56AE2637"/>
    <w:rsid w:val="56B55774"/>
    <w:rsid w:val="56B91708"/>
    <w:rsid w:val="56BA722E"/>
    <w:rsid w:val="56C63E25"/>
    <w:rsid w:val="56CF0F2B"/>
    <w:rsid w:val="56D73EF4"/>
    <w:rsid w:val="56DA6CB5"/>
    <w:rsid w:val="56E90D97"/>
    <w:rsid w:val="56EF4990"/>
    <w:rsid w:val="56F049FE"/>
    <w:rsid w:val="56F97D56"/>
    <w:rsid w:val="57045E05"/>
    <w:rsid w:val="570877D5"/>
    <w:rsid w:val="570A0D4E"/>
    <w:rsid w:val="570F1328"/>
    <w:rsid w:val="5721105B"/>
    <w:rsid w:val="57284198"/>
    <w:rsid w:val="57340D8E"/>
    <w:rsid w:val="573B7ACB"/>
    <w:rsid w:val="574865E8"/>
    <w:rsid w:val="574A6804"/>
    <w:rsid w:val="574C7C0E"/>
    <w:rsid w:val="575D6537"/>
    <w:rsid w:val="57763155"/>
    <w:rsid w:val="578F4217"/>
    <w:rsid w:val="579161E1"/>
    <w:rsid w:val="57A2219C"/>
    <w:rsid w:val="57A53A3A"/>
    <w:rsid w:val="57AF2B0B"/>
    <w:rsid w:val="57AF6667"/>
    <w:rsid w:val="57B10631"/>
    <w:rsid w:val="57B7551B"/>
    <w:rsid w:val="57BF2D4E"/>
    <w:rsid w:val="57C81A02"/>
    <w:rsid w:val="57D4431F"/>
    <w:rsid w:val="57D961AD"/>
    <w:rsid w:val="57E62D59"/>
    <w:rsid w:val="57E74053"/>
    <w:rsid w:val="57EC78BB"/>
    <w:rsid w:val="57EE10A0"/>
    <w:rsid w:val="57EF1159"/>
    <w:rsid w:val="57F10A2D"/>
    <w:rsid w:val="57F549C2"/>
    <w:rsid w:val="57F86260"/>
    <w:rsid w:val="57FA3D86"/>
    <w:rsid w:val="57FF75EE"/>
    <w:rsid w:val="58003366"/>
    <w:rsid w:val="581D5CC6"/>
    <w:rsid w:val="58240E03"/>
    <w:rsid w:val="582E7A95"/>
    <w:rsid w:val="583077A8"/>
    <w:rsid w:val="58333B00"/>
    <w:rsid w:val="58366D88"/>
    <w:rsid w:val="583C439E"/>
    <w:rsid w:val="58405511"/>
    <w:rsid w:val="58421BF7"/>
    <w:rsid w:val="5844018D"/>
    <w:rsid w:val="58466FCB"/>
    <w:rsid w:val="58492617"/>
    <w:rsid w:val="584C035A"/>
    <w:rsid w:val="584E40D2"/>
    <w:rsid w:val="584E5E80"/>
    <w:rsid w:val="5853793A"/>
    <w:rsid w:val="585651F5"/>
    <w:rsid w:val="585C67EF"/>
    <w:rsid w:val="58647451"/>
    <w:rsid w:val="586631C9"/>
    <w:rsid w:val="58773629"/>
    <w:rsid w:val="587873A1"/>
    <w:rsid w:val="58977827"/>
    <w:rsid w:val="58A14202"/>
    <w:rsid w:val="58B008E9"/>
    <w:rsid w:val="58B47662"/>
    <w:rsid w:val="58B8154B"/>
    <w:rsid w:val="58BC103B"/>
    <w:rsid w:val="58C15992"/>
    <w:rsid w:val="58C46142"/>
    <w:rsid w:val="58C54444"/>
    <w:rsid w:val="58D00F8B"/>
    <w:rsid w:val="58D2260D"/>
    <w:rsid w:val="58D740C7"/>
    <w:rsid w:val="58DF11CE"/>
    <w:rsid w:val="58E467E4"/>
    <w:rsid w:val="58ED5699"/>
    <w:rsid w:val="58FA1B64"/>
    <w:rsid w:val="59097FF9"/>
    <w:rsid w:val="59140FD7"/>
    <w:rsid w:val="591946E0"/>
    <w:rsid w:val="591C1ADA"/>
    <w:rsid w:val="591E3AA4"/>
    <w:rsid w:val="5923730C"/>
    <w:rsid w:val="592A069B"/>
    <w:rsid w:val="593A6404"/>
    <w:rsid w:val="59401C6C"/>
    <w:rsid w:val="59457283"/>
    <w:rsid w:val="59480B21"/>
    <w:rsid w:val="595079D6"/>
    <w:rsid w:val="5952374E"/>
    <w:rsid w:val="59570D64"/>
    <w:rsid w:val="59594ADC"/>
    <w:rsid w:val="595E20F3"/>
    <w:rsid w:val="59673DE0"/>
    <w:rsid w:val="59684D1F"/>
    <w:rsid w:val="596B201C"/>
    <w:rsid w:val="596F2552"/>
    <w:rsid w:val="596F44DB"/>
    <w:rsid w:val="598B6C60"/>
    <w:rsid w:val="598C4EB2"/>
    <w:rsid w:val="599124C8"/>
    <w:rsid w:val="59973856"/>
    <w:rsid w:val="599E2E37"/>
    <w:rsid w:val="59A3044D"/>
    <w:rsid w:val="59A57D21"/>
    <w:rsid w:val="59AB4B00"/>
    <w:rsid w:val="59AE0884"/>
    <w:rsid w:val="59B166C6"/>
    <w:rsid w:val="59BE5287"/>
    <w:rsid w:val="59C7413C"/>
    <w:rsid w:val="59CA3C2C"/>
    <w:rsid w:val="59D625D1"/>
    <w:rsid w:val="59D80FE8"/>
    <w:rsid w:val="59E52814"/>
    <w:rsid w:val="59E7658C"/>
    <w:rsid w:val="59F705C5"/>
    <w:rsid w:val="59FC0B73"/>
    <w:rsid w:val="59FD5DAF"/>
    <w:rsid w:val="5A0F7891"/>
    <w:rsid w:val="5A1B4488"/>
    <w:rsid w:val="5A274BDA"/>
    <w:rsid w:val="5A2F3A8F"/>
    <w:rsid w:val="5A315A59"/>
    <w:rsid w:val="5A32392B"/>
    <w:rsid w:val="5A372539"/>
    <w:rsid w:val="5A396CCA"/>
    <w:rsid w:val="5A3F0176"/>
    <w:rsid w:val="5A3F1F24"/>
    <w:rsid w:val="5A50129C"/>
    <w:rsid w:val="5A555BBE"/>
    <w:rsid w:val="5A5B2AD6"/>
    <w:rsid w:val="5A627595"/>
    <w:rsid w:val="5A6951F3"/>
    <w:rsid w:val="5A7445FC"/>
    <w:rsid w:val="5A7476F4"/>
    <w:rsid w:val="5A767910"/>
    <w:rsid w:val="5A7D2A4C"/>
    <w:rsid w:val="5A8B4B30"/>
    <w:rsid w:val="5AA004E9"/>
    <w:rsid w:val="5AA63D51"/>
    <w:rsid w:val="5AA93841"/>
    <w:rsid w:val="5AB83A84"/>
    <w:rsid w:val="5ACB1A0A"/>
    <w:rsid w:val="5ACC12DE"/>
    <w:rsid w:val="5ADC7773"/>
    <w:rsid w:val="5AEC799D"/>
    <w:rsid w:val="5AEE6358"/>
    <w:rsid w:val="5AF96577"/>
    <w:rsid w:val="5B084A0C"/>
    <w:rsid w:val="5B164001"/>
    <w:rsid w:val="5B242EC8"/>
    <w:rsid w:val="5B2757EE"/>
    <w:rsid w:val="5B296730"/>
    <w:rsid w:val="5B3F7D02"/>
    <w:rsid w:val="5B413A7A"/>
    <w:rsid w:val="5B4377F2"/>
    <w:rsid w:val="5B490B80"/>
    <w:rsid w:val="5B4B48F9"/>
    <w:rsid w:val="5B597015"/>
    <w:rsid w:val="5B6339F0"/>
    <w:rsid w:val="5B7025B1"/>
    <w:rsid w:val="5B721E85"/>
    <w:rsid w:val="5B793214"/>
    <w:rsid w:val="5B7E082A"/>
    <w:rsid w:val="5B8A71CF"/>
    <w:rsid w:val="5B977B3E"/>
    <w:rsid w:val="5B9E2C7A"/>
    <w:rsid w:val="5BA65FD3"/>
    <w:rsid w:val="5BAA5AC3"/>
    <w:rsid w:val="5BAE3877"/>
    <w:rsid w:val="5BBE156E"/>
    <w:rsid w:val="5BE014E5"/>
    <w:rsid w:val="5BE03293"/>
    <w:rsid w:val="5BE2700B"/>
    <w:rsid w:val="5BE72873"/>
    <w:rsid w:val="5BE74621"/>
    <w:rsid w:val="5BF154A0"/>
    <w:rsid w:val="5BF925A6"/>
    <w:rsid w:val="5C0276AD"/>
    <w:rsid w:val="5C186ED1"/>
    <w:rsid w:val="5C205D85"/>
    <w:rsid w:val="5C245875"/>
    <w:rsid w:val="5C272C70"/>
    <w:rsid w:val="5C292E8C"/>
    <w:rsid w:val="5C2F7D76"/>
    <w:rsid w:val="5C321615"/>
    <w:rsid w:val="5C4F21C6"/>
    <w:rsid w:val="5C602626"/>
    <w:rsid w:val="5C653798"/>
    <w:rsid w:val="5C6739B4"/>
    <w:rsid w:val="5C6E4D42"/>
    <w:rsid w:val="5C700ABB"/>
    <w:rsid w:val="5C8111E6"/>
    <w:rsid w:val="5C9522CF"/>
    <w:rsid w:val="5C98591B"/>
    <w:rsid w:val="5C9A78E6"/>
    <w:rsid w:val="5C9E3C9E"/>
    <w:rsid w:val="5CAE3391"/>
    <w:rsid w:val="5CB87D6C"/>
    <w:rsid w:val="5CBA3AE4"/>
    <w:rsid w:val="5CBF559E"/>
    <w:rsid w:val="5CDC6150"/>
    <w:rsid w:val="5CDD3C76"/>
    <w:rsid w:val="5CE21E33"/>
    <w:rsid w:val="5CE80AA9"/>
    <w:rsid w:val="5CF214D0"/>
    <w:rsid w:val="5CF8460C"/>
    <w:rsid w:val="5CFA4828"/>
    <w:rsid w:val="5D066D29"/>
    <w:rsid w:val="5D096819"/>
    <w:rsid w:val="5D13716E"/>
    <w:rsid w:val="5D177188"/>
    <w:rsid w:val="5D1A4582"/>
    <w:rsid w:val="5D1C479E"/>
    <w:rsid w:val="5D211DB5"/>
    <w:rsid w:val="5D2673CB"/>
    <w:rsid w:val="5D3715D8"/>
    <w:rsid w:val="5D59154F"/>
    <w:rsid w:val="5D6879E4"/>
    <w:rsid w:val="5D6B74D4"/>
    <w:rsid w:val="5D72616D"/>
    <w:rsid w:val="5D740137"/>
    <w:rsid w:val="5D753EAF"/>
    <w:rsid w:val="5D7B06E4"/>
    <w:rsid w:val="5D8365CC"/>
    <w:rsid w:val="5D8D11F8"/>
    <w:rsid w:val="5D9702C9"/>
    <w:rsid w:val="5D9A3915"/>
    <w:rsid w:val="5DA402F0"/>
    <w:rsid w:val="5DA87DE0"/>
    <w:rsid w:val="5DAD3649"/>
    <w:rsid w:val="5DB669A1"/>
    <w:rsid w:val="5DC6470A"/>
    <w:rsid w:val="5DCC7F73"/>
    <w:rsid w:val="5DCF35BF"/>
    <w:rsid w:val="5DE132F2"/>
    <w:rsid w:val="5DEB5F1F"/>
    <w:rsid w:val="5DEF1EB3"/>
    <w:rsid w:val="5DF41277"/>
    <w:rsid w:val="5DF9688E"/>
    <w:rsid w:val="5E03770C"/>
    <w:rsid w:val="5E127950"/>
    <w:rsid w:val="5E2A4C99"/>
    <w:rsid w:val="5E345B18"/>
    <w:rsid w:val="5E413D91"/>
    <w:rsid w:val="5E420235"/>
    <w:rsid w:val="5E4C4C10"/>
    <w:rsid w:val="5E59732C"/>
    <w:rsid w:val="5E5D6E1D"/>
    <w:rsid w:val="5E6F6D72"/>
    <w:rsid w:val="5E766130"/>
    <w:rsid w:val="5E767EDE"/>
    <w:rsid w:val="5E7A5C21"/>
    <w:rsid w:val="5E7B766E"/>
    <w:rsid w:val="5E7E6D93"/>
    <w:rsid w:val="5E962147"/>
    <w:rsid w:val="5E96232F"/>
    <w:rsid w:val="5EA10DB3"/>
    <w:rsid w:val="5EA20CD3"/>
    <w:rsid w:val="5EA52572"/>
    <w:rsid w:val="5EA83F26"/>
    <w:rsid w:val="5EAB402C"/>
    <w:rsid w:val="5EB629D1"/>
    <w:rsid w:val="5EBA601D"/>
    <w:rsid w:val="5EC56770"/>
    <w:rsid w:val="5EC92704"/>
    <w:rsid w:val="5ECE1AC8"/>
    <w:rsid w:val="5ECE50C9"/>
    <w:rsid w:val="5EE035AA"/>
    <w:rsid w:val="5EE17A4E"/>
    <w:rsid w:val="5EF64B7B"/>
    <w:rsid w:val="5EF7101F"/>
    <w:rsid w:val="5EFD23AE"/>
    <w:rsid w:val="5EFF39EF"/>
    <w:rsid w:val="5F053010"/>
    <w:rsid w:val="5F061196"/>
    <w:rsid w:val="5F0674B4"/>
    <w:rsid w:val="5F092B01"/>
    <w:rsid w:val="5F1A29DF"/>
    <w:rsid w:val="5F2636B2"/>
    <w:rsid w:val="5F357D99"/>
    <w:rsid w:val="5F3758C0"/>
    <w:rsid w:val="5F381638"/>
    <w:rsid w:val="5F3833E6"/>
    <w:rsid w:val="5F531FCE"/>
    <w:rsid w:val="5F6441DB"/>
    <w:rsid w:val="5F6661A5"/>
    <w:rsid w:val="5F697A43"/>
    <w:rsid w:val="5F7558A0"/>
    <w:rsid w:val="5F7A39FE"/>
    <w:rsid w:val="5F7D704B"/>
    <w:rsid w:val="5F816B3B"/>
    <w:rsid w:val="5F9745B0"/>
    <w:rsid w:val="5FA46419"/>
    <w:rsid w:val="5FA6034F"/>
    <w:rsid w:val="5FA647F3"/>
    <w:rsid w:val="5FAB1E0A"/>
    <w:rsid w:val="5FB011CE"/>
    <w:rsid w:val="5FB213EA"/>
    <w:rsid w:val="5FBA6BA5"/>
    <w:rsid w:val="5FC37153"/>
    <w:rsid w:val="5FCB425A"/>
    <w:rsid w:val="5FD924D3"/>
    <w:rsid w:val="5FDE21DF"/>
    <w:rsid w:val="5FED41D0"/>
    <w:rsid w:val="5FEF1CF6"/>
    <w:rsid w:val="5FF94923"/>
    <w:rsid w:val="5FFE63DD"/>
    <w:rsid w:val="6008725C"/>
    <w:rsid w:val="60107EBF"/>
    <w:rsid w:val="60123C37"/>
    <w:rsid w:val="6017749F"/>
    <w:rsid w:val="60326087"/>
    <w:rsid w:val="60395667"/>
    <w:rsid w:val="603E2C7E"/>
    <w:rsid w:val="604162CA"/>
    <w:rsid w:val="604C7149"/>
    <w:rsid w:val="604D4C6F"/>
    <w:rsid w:val="605424A1"/>
    <w:rsid w:val="606049A2"/>
    <w:rsid w:val="6065645C"/>
    <w:rsid w:val="606B7E4D"/>
    <w:rsid w:val="606C1599"/>
    <w:rsid w:val="606F4BE5"/>
    <w:rsid w:val="607E4136"/>
    <w:rsid w:val="6085265B"/>
    <w:rsid w:val="60885CA7"/>
    <w:rsid w:val="60932FCA"/>
    <w:rsid w:val="60941A8A"/>
    <w:rsid w:val="60961E24"/>
    <w:rsid w:val="6098413C"/>
    <w:rsid w:val="609B1E7E"/>
    <w:rsid w:val="609D79A4"/>
    <w:rsid w:val="60A056E7"/>
    <w:rsid w:val="60A32AE1"/>
    <w:rsid w:val="60A54AAB"/>
    <w:rsid w:val="60A7067E"/>
    <w:rsid w:val="60AC7DBB"/>
    <w:rsid w:val="60B46A9C"/>
    <w:rsid w:val="60B60A66"/>
    <w:rsid w:val="60BA0556"/>
    <w:rsid w:val="60C03693"/>
    <w:rsid w:val="60D0204F"/>
    <w:rsid w:val="60DB671F"/>
    <w:rsid w:val="60DF7FBD"/>
    <w:rsid w:val="60E750C3"/>
    <w:rsid w:val="60EC26DA"/>
    <w:rsid w:val="60EC4488"/>
    <w:rsid w:val="60F021CA"/>
    <w:rsid w:val="60FB0B6F"/>
    <w:rsid w:val="60FD48E7"/>
    <w:rsid w:val="6109328C"/>
    <w:rsid w:val="61112140"/>
    <w:rsid w:val="611F08A9"/>
    <w:rsid w:val="612C0D28"/>
    <w:rsid w:val="612E2CF2"/>
    <w:rsid w:val="613B0F6B"/>
    <w:rsid w:val="613C71BD"/>
    <w:rsid w:val="614B11AE"/>
    <w:rsid w:val="616B1426"/>
    <w:rsid w:val="6170330B"/>
    <w:rsid w:val="61707DCC"/>
    <w:rsid w:val="61734BA9"/>
    <w:rsid w:val="617D60DC"/>
    <w:rsid w:val="61814373"/>
    <w:rsid w:val="618648DC"/>
    <w:rsid w:val="61AC49A4"/>
    <w:rsid w:val="61AD00BB"/>
    <w:rsid w:val="61AD3C17"/>
    <w:rsid w:val="61B256D1"/>
    <w:rsid w:val="61C3168D"/>
    <w:rsid w:val="61C80A51"/>
    <w:rsid w:val="61C827FF"/>
    <w:rsid w:val="61DF3FED"/>
    <w:rsid w:val="61F23D20"/>
    <w:rsid w:val="61F45CEA"/>
    <w:rsid w:val="61FA2BD4"/>
    <w:rsid w:val="61FA4982"/>
    <w:rsid w:val="62007770"/>
    <w:rsid w:val="62015D11"/>
    <w:rsid w:val="6208709F"/>
    <w:rsid w:val="620A72BB"/>
    <w:rsid w:val="621912AD"/>
    <w:rsid w:val="62195750"/>
    <w:rsid w:val="622639C9"/>
    <w:rsid w:val="622814F0"/>
    <w:rsid w:val="622A170C"/>
    <w:rsid w:val="622D2FAA"/>
    <w:rsid w:val="622E3D73"/>
    <w:rsid w:val="62347E94"/>
    <w:rsid w:val="624A76B8"/>
    <w:rsid w:val="62586279"/>
    <w:rsid w:val="62854B94"/>
    <w:rsid w:val="628D3A49"/>
    <w:rsid w:val="628D57F7"/>
    <w:rsid w:val="62917095"/>
    <w:rsid w:val="629F3AD3"/>
    <w:rsid w:val="62A74B0A"/>
    <w:rsid w:val="62B31701"/>
    <w:rsid w:val="62B86D17"/>
    <w:rsid w:val="62B9483E"/>
    <w:rsid w:val="62C54F90"/>
    <w:rsid w:val="62CD2097"/>
    <w:rsid w:val="62DC2232"/>
    <w:rsid w:val="62E23D94"/>
    <w:rsid w:val="62E96ED1"/>
    <w:rsid w:val="62EC076F"/>
    <w:rsid w:val="62F31AFE"/>
    <w:rsid w:val="62F835B8"/>
    <w:rsid w:val="62F87114"/>
    <w:rsid w:val="63065CD5"/>
    <w:rsid w:val="630E2DDB"/>
    <w:rsid w:val="63100901"/>
    <w:rsid w:val="632919C3"/>
    <w:rsid w:val="633914DA"/>
    <w:rsid w:val="633D0FCB"/>
    <w:rsid w:val="63506F50"/>
    <w:rsid w:val="63576530"/>
    <w:rsid w:val="63660521"/>
    <w:rsid w:val="636B3D8A"/>
    <w:rsid w:val="637B1AF3"/>
    <w:rsid w:val="63846BFA"/>
    <w:rsid w:val="63864720"/>
    <w:rsid w:val="638C5AAE"/>
    <w:rsid w:val="63927568"/>
    <w:rsid w:val="63932865"/>
    <w:rsid w:val="63974B7F"/>
    <w:rsid w:val="639D5F0D"/>
    <w:rsid w:val="63A66D95"/>
    <w:rsid w:val="63AE011A"/>
    <w:rsid w:val="63B55005"/>
    <w:rsid w:val="63BC2837"/>
    <w:rsid w:val="63C11BFC"/>
    <w:rsid w:val="63C67212"/>
    <w:rsid w:val="63C76CDE"/>
    <w:rsid w:val="63C90AB0"/>
    <w:rsid w:val="63D556A7"/>
    <w:rsid w:val="63D57455"/>
    <w:rsid w:val="63E87188"/>
    <w:rsid w:val="63F975E8"/>
    <w:rsid w:val="63FA6EBC"/>
    <w:rsid w:val="63FC0E86"/>
    <w:rsid w:val="63FC2C34"/>
    <w:rsid w:val="63FE4BFE"/>
    <w:rsid w:val="64085A7D"/>
    <w:rsid w:val="64237217"/>
    <w:rsid w:val="64243F39"/>
    <w:rsid w:val="64265F03"/>
    <w:rsid w:val="64283A29"/>
    <w:rsid w:val="642B3519"/>
    <w:rsid w:val="64393E88"/>
    <w:rsid w:val="643B19AE"/>
    <w:rsid w:val="64460353"/>
    <w:rsid w:val="644840CB"/>
    <w:rsid w:val="64485E79"/>
    <w:rsid w:val="64534108"/>
    <w:rsid w:val="6457430E"/>
    <w:rsid w:val="645B2050"/>
    <w:rsid w:val="645E569D"/>
    <w:rsid w:val="64610CE9"/>
    <w:rsid w:val="64616F3B"/>
    <w:rsid w:val="646D3B32"/>
    <w:rsid w:val="647749B0"/>
    <w:rsid w:val="64790728"/>
    <w:rsid w:val="647E189B"/>
    <w:rsid w:val="64813139"/>
    <w:rsid w:val="648669A1"/>
    <w:rsid w:val="64872E45"/>
    <w:rsid w:val="648D1ADE"/>
    <w:rsid w:val="64986E00"/>
    <w:rsid w:val="649E3CEB"/>
    <w:rsid w:val="64A15589"/>
    <w:rsid w:val="64AD03D2"/>
    <w:rsid w:val="64BD6867"/>
    <w:rsid w:val="64C319A4"/>
    <w:rsid w:val="64C644FC"/>
    <w:rsid w:val="64CC6AAA"/>
    <w:rsid w:val="64CF20F6"/>
    <w:rsid w:val="64D4770D"/>
    <w:rsid w:val="64D63485"/>
    <w:rsid w:val="64E060B2"/>
    <w:rsid w:val="64E33DF4"/>
    <w:rsid w:val="64FE29DC"/>
    <w:rsid w:val="65031DA0"/>
    <w:rsid w:val="650A5824"/>
    <w:rsid w:val="651A5A67"/>
    <w:rsid w:val="65206DF6"/>
    <w:rsid w:val="65295CAB"/>
    <w:rsid w:val="652A557F"/>
    <w:rsid w:val="653A1C66"/>
    <w:rsid w:val="65493C57"/>
    <w:rsid w:val="654A5C21"/>
    <w:rsid w:val="656C3FFF"/>
    <w:rsid w:val="657A02B4"/>
    <w:rsid w:val="65986A82"/>
    <w:rsid w:val="659D21F5"/>
    <w:rsid w:val="65AB2B63"/>
    <w:rsid w:val="65AB4911"/>
    <w:rsid w:val="65C71020"/>
    <w:rsid w:val="65D33E68"/>
    <w:rsid w:val="65D5373C"/>
    <w:rsid w:val="65DC2D1D"/>
    <w:rsid w:val="65E63B9C"/>
    <w:rsid w:val="65EB11B2"/>
    <w:rsid w:val="65EC4433"/>
    <w:rsid w:val="65EE47FE"/>
    <w:rsid w:val="65EF70E9"/>
    <w:rsid w:val="65F71905"/>
    <w:rsid w:val="65FF4C5D"/>
    <w:rsid w:val="66044022"/>
    <w:rsid w:val="6609788A"/>
    <w:rsid w:val="66154481"/>
    <w:rsid w:val="661F2C0A"/>
    <w:rsid w:val="662B7800"/>
    <w:rsid w:val="66303069"/>
    <w:rsid w:val="663544CC"/>
    <w:rsid w:val="66377F53"/>
    <w:rsid w:val="66391F1D"/>
    <w:rsid w:val="663C7C5F"/>
    <w:rsid w:val="663F505A"/>
    <w:rsid w:val="66432D9C"/>
    <w:rsid w:val="66576847"/>
    <w:rsid w:val="665E7BD6"/>
    <w:rsid w:val="667B50FD"/>
    <w:rsid w:val="667C005C"/>
    <w:rsid w:val="667C62AE"/>
    <w:rsid w:val="66840E00"/>
    <w:rsid w:val="669453A6"/>
    <w:rsid w:val="66A31A8D"/>
    <w:rsid w:val="66A650D9"/>
    <w:rsid w:val="66B15F58"/>
    <w:rsid w:val="66B45A48"/>
    <w:rsid w:val="66B75538"/>
    <w:rsid w:val="66C814F3"/>
    <w:rsid w:val="66CA7019"/>
    <w:rsid w:val="66CD08B8"/>
    <w:rsid w:val="66CD6B09"/>
    <w:rsid w:val="66CF4630"/>
    <w:rsid w:val="66D62845"/>
    <w:rsid w:val="66E3030C"/>
    <w:rsid w:val="66EA76BB"/>
    <w:rsid w:val="66F3668F"/>
    <w:rsid w:val="670C7632"/>
    <w:rsid w:val="67193AFD"/>
    <w:rsid w:val="672030DD"/>
    <w:rsid w:val="67226E55"/>
    <w:rsid w:val="672506F4"/>
    <w:rsid w:val="672C3830"/>
    <w:rsid w:val="673D4944"/>
    <w:rsid w:val="673F17B5"/>
    <w:rsid w:val="674E0CAE"/>
    <w:rsid w:val="67564D51"/>
    <w:rsid w:val="6764121C"/>
    <w:rsid w:val="67672ABA"/>
    <w:rsid w:val="67717495"/>
    <w:rsid w:val="67746F85"/>
    <w:rsid w:val="67810DF0"/>
    <w:rsid w:val="6784541A"/>
    <w:rsid w:val="67876CB8"/>
    <w:rsid w:val="67982FB2"/>
    <w:rsid w:val="679A4C3E"/>
    <w:rsid w:val="679A69EC"/>
    <w:rsid w:val="67A94E81"/>
    <w:rsid w:val="67B53825"/>
    <w:rsid w:val="67BF11A0"/>
    <w:rsid w:val="67BF46A4"/>
    <w:rsid w:val="67C27CF0"/>
    <w:rsid w:val="67C840F4"/>
    <w:rsid w:val="67D0065F"/>
    <w:rsid w:val="67D11C12"/>
    <w:rsid w:val="67DA7730"/>
    <w:rsid w:val="67DB7004"/>
    <w:rsid w:val="67F464DC"/>
    <w:rsid w:val="67FA56DC"/>
    <w:rsid w:val="67FD51CC"/>
    <w:rsid w:val="68040309"/>
    <w:rsid w:val="68077DF9"/>
    <w:rsid w:val="6808604B"/>
    <w:rsid w:val="68103152"/>
    <w:rsid w:val="68150768"/>
    <w:rsid w:val="68212C69"/>
    <w:rsid w:val="68224AD1"/>
    <w:rsid w:val="68437083"/>
    <w:rsid w:val="685079F2"/>
    <w:rsid w:val="68664B20"/>
    <w:rsid w:val="686B65DA"/>
    <w:rsid w:val="686E1C26"/>
    <w:rsid w:val="68790CF7"/>
    <w:rsid w:val="687E4C2E"/>
    <w:rsid w:val="687F5BE1"/>
    <w:rsid w:val="68844FC1"/>
    <w:rsid w:val="688D38DD"/>
    <w:rsid w:val="68994EF5"/>
    <w:rsid w:val="68A13DAA"/>
    <w:rsid w:val="68A4460C"/>
    <w:rsid w:val="68A45648"/>
    <w:rsid w:val="68AF4719"/>
    <w:rsid w:val="68B03FED"/>
    <w:rsid w:val="68BC5088"/>
    <w:rsid w:val="68C77CB4"/>
    <w:rsid w:val="68CA77A4"/>
    <w:rsid w:val="68D221B5"/>
    <w:rsid w:val="68D66149"/>
    <w:rsid w:val="68EA6364"/>
    <w:rsid w:val="68EC771B"/>
    <w:rsid w:val="68ED3493"/>
    <w:rsid w:val="68FD36D6"/>
    <w:rsid w:val="6901137F"/>
    <w:rsid w:val="69076303"/>
    <w:rsid w:val="690A7BA1"/>
    <w:rsid w:val="69112CDD"/>
    <w:rsid w:val="69166546"/>
    <w:rsid w:val="691E53FA"/>
    <w:rsid w:val="69272501"/>
    <w:rsid w:val="692E7D33"/>
    <w:rsid w:val="69392234"/>
    <w:rsid w:val="693E5A9D"/>
    <w:rsid w:val="69482477"/>
    <w:rsid w:val="69505512"/>
    <w:rsid w:val="69531548"/>
    <w:rsid w:val="69715F8B"/>
    <w:rsid w:val="69733998"/>
    <w:rsid w:val="69855479"/>
    <w:rsid w:val="6990454A"/>
    <w:rsid w:val="69980C6A"/>
    <w:rsid w:val="69A2427D"/>
    <w:rsid w:val="69A578CA"/>
    <w:rsid w:val="69AA4EE0"/>
    <w:rsid w:val="69AE49D0"/>
    <w:rsid w:val="69B0699A"/>
    <w:rsid w:val="69BB0E9B"/>
    <w:rsid w:val="69BF098B"/>
    <w:rsid w:val="69CE6E20"/>
    <w:rsid w:val="69D65CD5"/>
    <w:rsid w:val="69DB32EB"/>
    <w:rsid w:val="69E95A08"/>
    <w:rsid w:val="69F0323B"/>
    <w:rsid w:val="69F36887"/>
    <w:rsid w:val="69F820EF"/>
    <w:rsid w:val="6A0171F6"/>
    <w:rsid w:val="6A026ACA"/>
    <w:rsid w:val="6A0B1E23"/>
    <w:rsid w:val="6A1707C7"/>
    <w:rsid w:val="6A1F142A"/>
    <w:rsid w:val="6A3053E5"/>
    <w:rsid w:val="6A331379"/>
    <w:rsid w:val="6A333F49"/>
    <w:rsid w:val="6A372C18"/>
    <w:rsid w:val="6A3824EC"/>
    <w:rsid w:val="6A4D243B"/>
    <w:rsid w:val="6A682DD1"/>
    <w:rsid w:val="6A70612A"/>
    <w:rsid w:val="6A786D8C"/>
    <w:rsid w:val="6A7B723E"/>
    <w:rsid w:val="6A7F45BF"/>
    <w:rsid w:val="6A8676FB"/>
    <w:rsid w:val="6A90057A"/>
    <w:rsid w:val="6A935974"/>
    <w:rsid w:val="6A94006A"/>
    <w:rsid w:val="6A952428"/>
    <w:rsid w:val="6A984704"/>
    <w:rsid w:val="6AB029CA"/>
    <w:rsid w:val="6AB44268"/>
    <w:rsid w:val="6AC10733"/>
    <w:rsid w:val="6AC67AF8"/>
    <w:rsid w:val="6ACB15B2"/>
    <w:rsid w:val="6ACD532A"/>
    <w:rsid w:val="6AD06BC8"/>
    <w:rsid w:val="6ADC37BF"/>
    <w:rsid w:val="6AE85CC0"/>
    <w:rsid w:val="6AE93ACF"/>
    <w:rsid w:val="6AEF704E"/>
    <w:rsid w:val="6AF26E82"/>
    <w:rsid w:val="6AF723A7"/>
    <w:rsid w:val="6AF85B1F"/>
    <w:rsid w:val="6AFE3735"/>
    <w:rsid w:val="6B054AC4"/>
    <w:rsid w:val="6B064398"/>
    <w:rsid w:val="6B1673E4"/>
    <w:rsid w:val="6B225676"/>
    <w:rsid w:val="6B27617D"/>
    <w:rsid w:val="6B2D401B"/>
    <w:rsid w:val="6B3158B9"/>
    <w:rsid w:val="6B3B2294"/>
    <w:rsid w:val="6B3B6738"/>
    <w:rsid w:val="6B3E7DF1"/>
    <w:rsid w:val="6B4F3F91"/>
    <w:rsid w:val="6B6537B4"/>
    <w:rsid w:val="6B655563"/>
    <w:rsid w:val="6B674B73"/>
    <w:rsid w:val="6B713F07"/>
    <w:rsid w:val="6B7C465A"/>
    <w:rsid w:val="6B8C6F93"/>
    <w:rsid w:val="6B9A16B0"/>
    <w:rsid w:val="6BA50055"/>
    <w:rsid w:val="6BAC4F3F"/>
    <w:rsid w:val="6BB42046"/>
    <w:rsid w:val="6BC229B5"/>
    <w:rsid w:val="6BC54253"/>
    <w:rsid w:val="6BC71D79"/>
    <w:rsid w:val="6BCE4EB6"/>
    <w:rsid w:val="6BDB5825"/>
    <w:rsid w:val="6BE446D9"/>
    <w:rsid w:val="6BEE37AA"/>
    <w:rsid w:val="6BF123BD"/>
    <w:rsid w:val="6BF30DC0"/>
    <w:rsid w:val="6C0024CA"/>
    <w:rsid w:val="6C030E4B"/>
    <w:rsid w:val="6C092392"/>
    <w:rsid w:val="6C0F54CE"/>
    <w:rsid w:val="6C103720"/>
    <w:rsid w:val="6C16685D"/>
    <w:rsid w:val="6C1D45C3"/>
    <w:rsid w:val="6C21592D"/>
    <w:rsid w:val="6C2B1798"/>
    <w:rsid w:val="6C305B70"/>
    <w:rsid w:val="6C30786C"/>
    <w:rsid w:val="6C313697"/>
    <w:rsid w:val="6C315445"/>
    <w:rsid w:val="6C521745"/>
    <w:rsid w:val="6C557385"/>
    <w:rsid w:val="6C5D623A"/>
    <w:rsid w:val="6C621AA2"/>
    <w:rsid w:val="6C657D25"/>
    <w:rsid w:val="6C6B4DFB"/>
    <w:rsid w:val="6C702411"/>
    <w:rsid w:val="6C7F08A6"/>
    <w:rsid w:val="6C97174C"/>
    <w:rsid w:val="6C9854C4"/>
    <w:rsid w:val="6CA02C98"/>
    <w:rsid w:val="6CA34594"/>
    <w:rsid w:val="6CA64C4A"/>
    <w:rsid w:val="6CA725D6"/>
    <w:rsid w:val="6CAB169B"/>
    <w:rsid w:val="6CB20D00"/>
    <w:rsid w:val="6CB70040"/>
    <w:rsid w:val="6CC60283"/>
    <w:rsid w:val="6CD429A0"/>
    <w:rsid w:val="6CDE55CC"/>
    <w:rsid w:val="6CDF1345"/>
    <w:rsid w:val="6CE30E35"/>
    <w:rsid w:val="6CE34991"/>
    <w:rsid w:val="6CE40709"/>
    <w:rsid w:val="6CEB2A7E"/>
    <w:rsid w:val="6CED5810"/>
    <w:rsid w:val="6CF22E26"/>
    <w:rsid w:val="6CF51963"/>
    <w:rsid w:val="6CFA7F2C"/>
    <w:rsid w:val="6D0C0889"/>
    <w:rsid w:val="6D12171A"/>
    <w:rsid w:val="6D17288C"/>
    <w:rsid w:val="6D284222"/>
    <w:rsid w:val="6D4318D3"/>
    <w:rsid w:val="6D594C53"/>
    <w:rsid w:val="6D602485"/>
    <w:rsid w:val="6D6655C2"/>
    <w:rsid w:val="6D6F0992"/>
    <w:rsid w:val="6D725D15"/>
    <w:rsid w:val="6D765805"/>
    <w:rsid w:val="6D8048D6"/>
    <w:rsid w:val="6D8A12B0"/>
    <w:rsid w:val="6D910891"/>
    <w:rsid w:val="6D99255B"/>
    <w:rsid w:val="6DA32372"/>
    <w:rsid w:val="6DA5433C"/>
    <w:rsid w:val="6DA85BDA"/>
    <w:rsid w:val="6DB12CE1"/>
    <w:rsid w:val="6DB63E53"/>
    <w:rsid w:val="6DC76061"/>
    <w:rsid w:val="6DD4077E"/>
    <w:rsid w:val="6DDE33AA"/>
    <w:rsid w:val="6DEF7365"/>
    <w:rsid w:val="6E001573"/>
    <w:rsid w:val="6E054DDB"/>
    <w:rsid w:val="6E080427"/>
    <w:rsid w:val="6E0E0133"/>
    <w:rsid w:val="6E0E1EE1"/>
    <w:rsid w:val="6E153270"/>
    <w:rsid w:val="6E240A96"/>
    <w:rsid w:val="6E292877"/>
    <w:rsid w:val="6E2C05BA"/>
    <w:rsid w:val="6E3631E6"/>
    <w:rsid w:val="6E376F24"/>
    <w:rsid w:val="6E462548"/>
    <w:rsid w:val="6E494CC8"/>
    <w:rsid w:val="6E4B4EE4"/>
    <w:rsid w:val="6E4E22DE"/>
    <w:rsid w:val="6E5B0FF3"/>
    <w:rsid w:val="6E5B49FB"/>
    <w:rsid w:val="6E5D0773"/>
    <w:rsid w:val="6E695935"/>
    <w:rsid w:val="6E7004A6"/>
    <w:rsid w:val="6E71421E"/>
    <w:rsid w:val="6E7D0E15"/>
    <w:rsid w:val="6E8201DA"/>
    <w:rsid w:val="6E895A0C"/>
    <w:rsid w:val="6E8B3532"/>
    <w:rsid w:val="6E9028F6"/>
    <w:rsid w:val="6E963C85"/>
    <w:rsid w:val="6E970129"/>
    <w:rsid w:val="6E971ED7"/>
    <w:rsid w:val="6EA03A54"/>
    <w:rsid w:val="6EAB5982"/>
    <w:rsid w:val="6EBC3990"/>
    <w:rsid w:val="6EBD1212"/>
    <w:rsid w:val="6EC627BC"/>
    <w:rsid w:val="6EC72090"/>
    <w:rsid w:val="6EC922AC"/>
    <w:rsid w:val="6ED8429D"/>
    <w:rsid w:val="6EDF73DA"/>
    <w:rsid w:val="6EE40E94"/>
    <w:rsid w:val="6EF74724"/>
    <w:rsid w:val="6EF94F93"/>
    <w:rsid w:val="6EFE3D04"/>
    <w:rsid w:val="6EFF7A7C"/>
    <w:rsid w:val="6F0137F4"/>
    <w:rsid w:val="6F082622"/>
    <w:rsid w:val="6F084B83"/>
    <w:rsid w:val="6F0912E7"/>
    <w:rsid w:val="6F174DC6"/>
    <w:rsid w:val="6F1B2B08"/>
    <w:rsid w:val="6F1E6154"/>
    <w:rsid w:val="6F20011E"/>
    <w:rsid w:val="6F3B6D06"/>
    <w:rsid w:val="6F481423"/>
    <w:rsid w:val="6F484F7F"/>
    <w:rsid w:val="6F51652A"/>
    <w:rsid w:val="6F563B40"/>
    <w:rsid w:val="6F59718C"/>
    <w:rsid w:val="6F616041"/>
    <w:rsid w:val="6F6618A9"/>
    <w:rsid w:val="6F683873"/>
    <w:rsid w:val="6F6F69B0"/>
    <w:rsid w:val="6F881820"/>
    <w:rsid w:val="6F8A5598"/>
    <w:rsid w:val="6F936B31"/>
    <w:rsid w:val="6F9603E0"/>
    <w:rsid w:val="6F9D176F"/>
    <w:rsid w:val="6FB940CF"/>
    <w:rsid w:val="6FC565D0"/>
    <w:rsid w:val="6FCE7B7A"/>
    <w:rsid w:val="6FCF56A0"/>
    <w:rsid w:val="6FD42CB7"/>
    <w:rsid w:val="6FD54BD8"/>
    <w:rsid w:val="6FD838D9"/>
    <w:rsid w:val="6FE21015"/>
    <w:rsid w:val="6FE253D4"/>
    <w:rsid w:val="6FEA10F6"/>
    <w:rsid w:val="6FEE1E4E"/>
    <w:rsid w:val="6FF173C5"/>
    <w:rsid w:val="6FF356A3"/>
    <w:rsid w:val="6FFB2D23"/>
    <w:rsid w:val="70194B6E"/>
    <w:rsid w:val="701B6B38"/>
    <w:rsid w:val="701D465E"/>
    <w:rsid w:val="70313C65"/>
    <w:rsid w:val="7036571F"/>
    <w:rsid w:val="70390D6C"/>
    <w:rsid w:val="705020FD"/>
    <w:rsid w:val="70514307"/>
    <w:rsid w:val="706C7393"/>
    <w:rsid w:val="707149AA"/>
    <w:rsid w:val="70763D6E"/>
    <w:rsid w:val="70781894"/>
    <w:rsid w:val="7080699B"/>
    <w:rsid w:val="70875F7B"/>
    <w:rsid w:val="70903082"/>
    <w:rsid w:val="70910BA8"/>
    <w:rsid w:val="70980188"/>
    <w:rsid w:val="70B14DA6"/>
    <w:rsid w:val="70B52AE8"/>
    <w:rsid w:val="70B623BC"/>
    <w:rsid w:val="70BB0D44"/>
    <w:rsid w:val="70BF4ACA"/>
    <w:rsid w:val="70D016D0"/>
    <w:rsid w:val="70D25448"/>
    <w:rsid w:val="70D50A94"/>
    <w:rsid w:val="70D6056F"/>
    <w:rsid w:val="70D71480"/>
    <w:rsid w:val="70D72A5F"/>
    <w:rsid w:val="70DC0075"/>
    <w:rsid w:val="70E4517B"/>
    <w:rsid w:val="70EB475C"/>
    <w:rsid w:val="70EE5FFA"/>
    <w:rsid w:val="70F21646"/>
    <w:rsid w:val="70F829D5"/>
    <w:rsid w:val="70FD7FEB"/>
    <w:rsid w:val="71094BE2"/>
    <w:rsid w:val="71105F71"/>
    <w:rsid w:val="71107D1F"/>
    <w:rsid w:val="712437CA"/>
    <w:rsid w:val="71265794"/>
    <w:rsid w:val="712E4649"/>
    <w:rsid w:val="713C0A66"/>
    <w:rsid w:val="713C0B14"/>
    <w:rsid w:val="713E0DE6"/>
    <w:rsid w:val="713E488C"/>
    <w:rsid w:val="713F6856"/>
    <w:rsid w:val="714125CE"/>
    <w:rsid w:val="714479C8"/>
    <w:rsid w:val="714E0847"/>
    <w:rsid w:val="715045BF"/>
    <w:rsid w:val="71627754"/>
    <w:rsid w:val="71632544"/>
    <w:rsid w:val="716562BC"/>
    <w:rsid w:val="716B536C"/>
    <w:rsid w:val="71722787"/>
    <w:rsid w:val="71844269"/>
    <w:rsid w:val="718B55F7"/>
    <w:rsid w:val="718F6E95"/>
    <w:rsid w:val="71940950"/>
    <w:rsid w:val="719721EE"/>
    <w:rsid w:val="71995F66"/>
    <w:rsid w:val="719B1CDE"/>
    <w:rsid w:val="719B725E"/>
    <w:rsid w:val="71A16BC9"/>
    <w:rsid w:val="71A36DE5"/>
    <w:rsid w:val="71AB6D53"/>
    <w:rsid w:val="71AB7A47"/>
    <w:rsid w:val="71C32FE3"/>
    <w:rsid w:val="71CB4BFC"/>
    <w:rsid w:val="71D15700"/>
    <w:rsid w:val="71D451F0"/>
    <w:rsid w:val="71ED62B2"/>
    <w:rsid w:val="71F118FE"/>
    <w:rsid w:val="71F907B3"/>
    <w:rsid w:val="71FC02A3"/>
    <w:rsid w:val="72007A43"/>
    <w:rsid w:val="720A6E64"/>
    <w:rsid w:val="721970A7"/>
    <w:rsid w:val="72263C29"/>
    <w:rsid w:val="72284FDE"/>
    <w:rsid w:val="722C6DDA"/>
    <w:rsid w:val="72323CC5"/>
    <w:rsid w:val="72356ABA"/>
    <w:rsid w:val="723F6B0D"/>
    <w:rsid w:val="7249798C"/>
    <w:rsid w:val="72563E57"/>
    <w:rsid w:val="725D51E5"/>
    <w:rsid w:val="726227FC"/>
    <w:rsid w:val="72671BC0"/>
    <w:rsid w:val="726A345E"/>
    <w:rsid w:val="726C367A"/>
    <w:rsid w:val="72730565"/>
    <w:rsid w:val="729D55E2"/>
    <w:rsid w:val="72A46970"/>
    <w:rsid w:val="72A9667D"/>
    <w:rsid w:val="72B5390F"/>
    <w:rsid w:val="72BC0E0D"/>
    <w:rsid w:val="72C15774"/>
    <w:rsid w:val="72C44108"/>
    <w:rsid w:val="72C47013"/>
    <w:rsid w:val="72C62D8B"/>
    <w:rsid w:val="72CC4119"/>
    <w:rsid w:val="72CE4243"/>
    <w:rsid w:val="72D51220"/>
    <w:rsid w:val="72D54D7C"/>
    <w:rsid w:val="72DD1E82"/>
    <w:rsid w:val="72EE0533"/>
    <w:rsid w:val="72F13B62"/>
    <w:rsid w:val="730D6C0C"/>
    <w:rsid w:val="73133AF6"/>
    <w:rsid w:val="7316439E"/>
    <w:rsid w:val="731735E6"/>
    <w:rsid w:val="73263829"/>
    <w:rsid w:val="732E6B82"/>
    <w:rsid w:val="73326672"/>
    <w:rsid w:val="735C549D"/>
    <w:rsid w:val="73614861"/>
    <w:rsid w:val="737C7606"/>
    <w:rsid w:val="737C78ED"/>
    <w:rsid w:val="73830C7C"/>
    <w:rsid w:val="738467A2"/>
    <w:rsid w:val="738D1AFA"/>
    <w:rsid w:val="738E13CF"/>
    <w:rsid w:val="739509AF"/>
    <w:rsid w:val="739A7D73"/>
    <w:rsid w:val="739B5403"/>
    <w:rsid w:val="73A70156"/>
    <w:rsid w:val="73BD5FCC"/>
    <w:rsid w:val="73CA68AB"/>
    <w:rsid w:val="73CD0149"/>
    <w:rsid w:val="73D239B1"/>
    <w:rsid w:val="73D74B24"/>
    <w:rsid w:val="73D9089C"/>
    <w:rsid w:val="73DC038C"/>
    <w:rsid w:val="73DC65DE"/>
    <w:rsid w:val="73DD4830"/>
    <w:rsid w:val="73F751C6"/>
    <w:rsid w:val="74017DF2"/>
    <w:rsid w:val="74054476"/>
    <w:rsid w:val="74055B35"/>
    <w:rsid w:val="740B2A1F"/>
    <w:rsid w:val="74126B30"/>
    <w:rsid w:val="7419513C"/>
    <w:rsid w:val="741C4C2C"/>
    <w:rsid w:val="741F7825"/>
    <w:rsid w:val="742064CB"/>
    <w:rsid w:val="74235813"/>
    <w:rsid w:val="74312486"/>
    <w:rsid w:val="743957DE"/>
    <w:rsid w:val="74534AF2"/>
    <w:rsid w:val="74654825"/>
    <w:rsid w:val="746A3BEA"/>
    <w:rsid w:val="74726B6E"/>
    <w:rsid w:val="74732A9E"/>
    <w:rsid w:val="7476433D"/>
    <w:rsid w:val="74844CAB"/>
    <w:rsid w:val="748527D2"/>
    <w:rsid w:val="748C590E"/>
    <w:rsid w:val="748E6D46"/>
    <w:rsid w:val="74933140"/>
    <w:rsid w:val="74942A15"/>
    <w:rsid w:val="749B262E"/>
    <w:rsid w:val="749F1AE5"/>
    <w:rsid w:val="74A0585D"/>
    <w:rsid w:val="74A76BEC"/>
    <w:rsid w:val="74A964C0"/>
    <w:rsid w:val="74AF784E"/>
    <w:rsid w:val="74B11819"/>
    <w:rsid w:val="74BA691F"/>
    <w:rsid w:val="74BD640F"/>
    <w:rsid w:val="74BF5CE3"/>
    <w:rsid w:val="74DB6895"/>
    <w:rsid w:val="750E2950"/>
    <w:rsid w:val="751029E3"/>
    <w:rsid w:val="751A73BE"/>
    <w:rsid w:val="752B15CB"/>
    <w:rsid w:val="7530273D"/>
    <w:rsid w:val="753541F8"/>
    <w:rsid w:val="75383CE8"/>
    <w:rsid w:val="753A180E"/>
    <w:rsid w:val="753C5586"/>
    <w:rsid w:val="753D12FE"/>
    <w:rsid w:val="753D283B"/>
    <w:rsid w:val="75422471"/>
    <w:rsid w:val="75470D10"/>
    <w:rsid w:val="754E52B9"/>
    <w:rsid w:val="75510906"/>
    <w:rsid w:val="75563DE9"/>
    <w:rsid w:val="755C79D6"/>
    <w:rsid w:val="755F3023"/>
    <w:rsid w:val="75614247"/>
    <w:rsid w:val="757271FA"/>
    <w:rsid w:val="75752846"/>
    <w:rsid w:val="757C1E26"/>
    <w:rsid w:val="757D16FB"/>
    <w:rsid w:val="75826D11"/>
    <w:rsid w:val="758B3E18"/>
    <w:rsid w:val="75976C60"/>
    <w:rsid w:val="759A04FF"/>
    <w:rsid w:val="759F5B15"/>
    <w:rsid w:val="75A8912D"/>
    <w:rsid w:val="75AB44BA"/>
    <w:rsid w:val="75B3511C"/>
    <w:rsid w:val="75B55338"/>
    <w:rsid w:val="75B710B1"/>
    <w:rsid w:val="75C15E3F"/>
    <w:rsid w:val="75CE1F56"/>
    <w:rsid w:val="75D02172"/>
    <w:rsid w:val="75D237F5"/>
    <w:rsid w:val="75D91027"/>
    <w:rsid w:val="75DC0B17"/>
    <w:rsid w:val="75EF084A"/>
    <w:rsid w:val="75F61BD9"/>
    <w:rsid w:val="75FE283B"/>
    <w:rsid w:val="7601057E"/>
    <w:rsid w:val="760140DA"/>
    <w:rsid w:val="76022CF1"/>
    <w:rsid w:val="76045978"/>
    <w:rsid w:val="760A11E0"/>
    <w:rsid w:val="760F4A49"/>
    <w:rsid w:val="761E2EDE"/>
    <w:rsid w:val="76200A04"/>
    <w:rsid w:val="763B583E"/>
    <w:rsid w:val="763E7860"/>
    <w:rsid w:val="764364A0"/>
    <w:rsid w:val="76472434"/>
    <w:rsid w:val="764D5571"/>
    <w:rsid w:val="7657019E"/>
    <w:rsid w:val="765E777E"/>
    <w:rsid w:val="7660015C"/>
    <w:rsid w:val="766A6123"/>
    <w:rsid w:val="76722653"/>
    <w:rsid w:val="769907B6"/>
    <w:rsid w:val="769B452E"/>
    <w:rsid w:val="769F401E"/>
    <w:rsid w:val="76AE4262"/>
    <w:rsid w:val="76BB072D"/>
    <w:rsid w:val="76D66828"/>
    <w:rsid w:val="76EB7264"/>
    <w:rsid w:val="76F15606"/>
    <w:rsid w:val="770520FC"/>
    <w:rsid w:val="771B11CB"/>
    <w:rsid w:val="7722255A"/>
    <w:rsid w:val="77300D1C"/>
    <w:rsid w:val="773B1404"/>
    <w:rsid w:val="773C186D"/>
    <w:rsid w:val="7745314F"/>
    <w:rsid w:val="774B1AB0"/>
    <w:rsid w:val="774E15A1"/>
    <w:rsid w:val="77550B81"/>
    <w:rsid w:val="775B5A6C"/>
    <w:rsid w:val="77626DFA"/>
    <w:rsid w:val="77644920"/>
    <w:rsid w:val="776B670E"/>
    <w:rsid w:val="77754D7F"/>
    <w:rsid w:val="777D3C34"/>
    <w:rsid w:val="77A80CB1"/>
    <w:rsid w:val="77B27D81"/>
    <w:rsid w:val="77B37656"/>
    <w:rsid w:val="77B533CE"/>
    <w:rsid w:val="77B92EBE"/>
    <w:rsid w:val="77CB2BF1"/>
    <w:rsid w:val="77D01FB6"/>
    <w:rsid w:val="77DC4DFE"/>
    <w:rsid w:val="77E12415"/>
    <w:rsid w:val="77EB5041"/>
    <w:rsid w:val="77F2017E"/>
    <w:rsid w:val="77F24622"/>
    <w:rsid w:val="78054355"/>
    <w:rsid w:val="781E10F6"/>
    <w:rsid w:val="781F4CEB"/>
    <w:rsid w:val="782642CC"/>
    <w:rsid w:val="78280044"/>
    <w:rsid w:val="78281DF2"/>
    <w:rsid w:val="783E7867"/>
    <w:rsid w:val="784A1D68"/>
    <w:rsid w:val="78654DF4"/>
    <w:rsid w:val="786646C8"/>
    <w:rsid w:val="786D3CA8"/>
    <w:rsid w:val="786E49F0"/>
    <w:rsid w:val="78715547"/>
    <w:rsid w:val="78754E4A"/>
    <w:rsid w:val="788259A6"/>
    <w:rsid w:val="78827754"/>
    <w:rsid w:val="7883527A"/>
    <w:rsid w:val="788A485A"/>
    <w:rsid w:val="788C05D2"/>
    <w:rsid w:val="78986F77"/>
    <w:rsid w:val="789B25C4"/>
    <w:rsid w:val="78A36E64"/>
    <w:rsid w:val="78A51694"/>
    <w:rsid w:val="78A70F68"/>
    <w:rsid w:val="78A84CE1"/>
    <w:rsid w:val="78AE679B"/>
    <w:rsid w:val="78B96EEE"/>
    <w:rsid w:val="78BE2756"/>
    <w:rsid w:val="78D9133E"/>
    <w:rsid w:val="78DB249B"/>
    <w:rsid w:val="78EF290F"/>
    <w:rsid w:val="78F32400"/>
    <w:rsid w:val="790C34C1"/>
    <w:rsid w:val="79102FB2"/>
    <w:rsid w:val="79352A18"/>
    <w:rsid w:val="793E0316"/>
    <w:rsid w:val="794A4D1D"/>
    <w:rsid w:val="794A5D98"/>
    <w:rsid w:val="794C1B10"/>
    <w:rsid w:val="794E7636"/>
    <w:rsid w:val="7956298E"/>
    <w:rsid w:val="795D3D1D"/>
    <w:rsid w:val="796C21B2"/>
    <w:rsid w:val="796E5F2A"/>
    <w:rsid w:val="79703A50"/>
    <w:rsid w:val="797C23F5"/>
    <w:rsid w:val="79856DD0"/>
    <w:rsid w:val="79876FEC"/>
    <w:rsid w:val="79907C4E"/>
    <w:rsid w:val="79954710"/>
    <w:rsid w:val="79960FDD"/>
    <w:rsid w:val="799A6D1F"/>
    <w:rsid w:val="79A47B9E"/>
    <w:rsid w:val="79A52C5D"/>
    <w:rsid w:val="79A96F62"/>
    <w:rsid w:val="79B576B5"/>
    <w:rsid w:val="79B853F7"/>
    <w:rsid w:val="79BA084C"/>
    <w:rsid w:val="79BF22E2"/>
    <w:rsid w:val="79C142AC"/>
    <w:rsid w:val="79C93160"/>
    <w:rsid w:val="79DA536E"/>
    <w:rsid w:val="79E306C6"/>
    <w:rsid w:val="79F301DD"/>
    <w:rsid w:val="79F503F9"/>
    <w:rsid w:val="79F63C5C"/>
    <w:rsid w:val="7A0643B5"/>
    <w:rsid w:val="7A077F60"/>
    <w:rsid w:val="7A214D4A"/>
    <w:rsid w:val="7A28257D"/>
    <w:rsid w:val="7A287E87"/>
    <w:rsid w:val="7A3525A4"/>
    <w:rsid w:val="7A3902E6"/>
    <w:rsid w:val="7A392094"/>
    <w:rsid w:val="7A3C7DD6"/>
    <w:rsid w:val="7A410F49"/>
    <w:rsid w:val="7A450285"/>
    <w:rsid w:val="7A454EDD"/>
    <w:rsid w:val="7A592736"/>
    <w:rsid w:val="7A5E7D4D"/>
    <w:rsid w:val="7A603AC5"/>
    <w:rsid w:val="7A65732D"/>
    <w:rsid w:val="7A664E53"/>
    <w:rsid w:val="7A707A80"/>
    <w:rsid w:val="7A7120BD"/>
    <w:rsid w:val="7A7128B7"/>
    <w:rsid w:val="7A8014A6"/>
    <w:rsid w:val="7A805F15"/>
    <w:rsid w:val="7A8438B9"/>
    <w:rsid w:val="7A8A0B42"/>
    <w:rsid w:val="7A8F7F06"/>
    <w:rsid w:val="7A996FD7"/>
    <w:rsid w:val="7A9A19F2"/>
    <w:rsid w:val="7AA240DD"/>
    <w:rsid w:val="7AAC4F5C"/>
    <w:rsid w:val="7AB160CE"/>
    <w:rsid w:val="7AB94F83"/>
    <w:rsid w:val="7ABB519F"/>
    <w:rsid w:val="7ACB4CB6"/>
    <w:rsid w:val="7ACC115A"/>
    <w:rsid w:val="7ACF370E"/>
    <w:rsid w:val="7AE244DA"/>
    <w:rsid w:val="7AE61B10"/>
    <w:rsid w:val="7AE71AF0"/>
    <w:rsid w:val="7AF4245F"/>
    <w:rsid w:val="7B002BB2"/>
    <w:rsid w:val="7B130B37"/>
    <w:rsid w:val="7B191EC6"/>
    <w:rsid w:val="7B1D62C4"/>
    <w:rsid w:val="7B272834"/>
    <w:rsid w:val="7B2F5245"/>
    <w:rsid w:val="7B38059E"/>
    <w:rsid w:val="7B3E36DA"/>
    <w:rsid w:val="7B444040"/>
    <w:rsid w:val="7B466960"/>
    <w:rsid w:val="7B475D80"/>
    <w:rsid w:val="7B476A33"/>
    <w:rsid w:val="7B4927AB"/>
    <w:rsid w:val="7B580D75"/>
    <w:rsid w:val="7B5A6766"/>
    <w:rsid w:val="7B5D6256"/>
    <w:rsid w:val="7B5F3D7C"/>
    <w:rsid w:val="7B6E3FBF"/>
    <w:rsid w:val="7B7B492E"/>
    <w:rsid w:val="7B8D1873"/>
    <w:rsid w:val="7B98103C"/>
    <w:rsid w:val="7B9A3006"/>
    <w:rsid w:val="7BA9149B"/>
    <w:rsid w:val="7BAC2D3A"/>
    <w:rsid w:val="7BB0282A"/>
    <w:rsid w:val="7BB10350"/>
    <w:rsid w:val="7BB8348D"/>
    <w:rsid w:val="7BBC3014"/>
    <w:rsid w:val="7BD61B65"/>
    <w:rsid w:val="7BDF6C6B"/>
    <w:rsid w:val="7BE2675B"/>
    <w:rsid w:val="7BE40E5D"/>
    <w:rsid w:val="7BF02C26"/>
    <w:rsid w:val="7BF1074D"/>
    <w:rsid w:val="7BF538C2"/>
    <w:rsid w:val="7BF72207"/>
    <w:rsid w:val="7BFFE7CF"/>
    <w:rsid w:val="7C036DFE"/>
    <w:rsid w:val="7C044924"/>
    <w:rsid w:val="7C0E7550"/>
    <w:rsid w:val="7C131926"/>
    <w:rsid w:val="7C1F175E"/>
    <w:rsid w:val="7C232FFC"/>
    <w:rsid w:val="7C37047A"/>
    <w:rsid w:val="7C3A20F4"/>
    <w:rsid w:val="7C3C5E6C"/>
    <w:rsid w:val="7C3E7E36"/>
    <w:rsid w:val="7C413482"/>
    <w:rsid w:val="7C43544C"/>
    <w:rsid w:val="7C456945"/>
    <w:rsid w:val="7C52743D"/>
    <w:rsid w:val="7C541407"/>
    <w:rsid w:val="7C5E2286"/>
    <w:rsid w:val="7C701FB9"/>
    <w:rsid w:val="7C743857"/>
    <w:rsid w:val="7CA12173"/>
    <w:rsid w:val="7CB47DAA"/>
    <w:rsid w:val="7CB579CC"/>
    <w:rsid w:val="7CC04CEF"/>
    <w:rsid w:val="7CC55E61"/>
    <w:rsid w:val="7CCD2C16"/>
    <w:rsid w:val="7CDC31AB"/>
    <w:rsid w:val="7CDC660C"/>
    <w:rsid w:val="7CE85FF3"/>
    <w:rsid w:val="7CE8714F"/>
    <w:rsid w:val="7CED7166"/>
    <w:rsid w:val="7CF14EA8"/>
    <w:rsid w:val="7CFB5D27"/>
    <w:rsid w:val="7D097714"/>
    <w:rsid w:val="7D242DF7"/>
    <w:rsid w:val="7D256900"/>
    <w:rsid w:val="7D360B0D"/>
    <w:rsid w:val="7D3B25C7"/>
    <w:rsid w:val="7D52346D"/>
    <w:rsid w:val="7D545437"/>
    <w:rsid w:val="7D5B67C5"/>
    <w:rsid w:val="7D605B8A"/>
    <w:rsid w:val="7D625DA6"/>
    <w:rsid w:val="7D6531A0"/>
    <w:rsid w:val="7D6A07B6"/>
    <w:rsid w:val="7D6A4C5A"/>
    <w:rsid w:val="7D6A6A08"/>
    <w:rsid w:val="7D6F401F"/>
    <w:rsid w:val="7D6F4A28"/>
    <w:rsid w:val="7D753CFF"/>
    <w:rsid w:val="7D7A5CE2"/>
    <w:rsid w:val="7D7D04EA"/>
    <w:rsid w:val="7D847ACA"/>
    <w:rsid w:val="7D8555F0"/>
    <w:rsid w:val="7D8C2E23"/>
    <w:rsid w:val="7D8E0CD4"/>
    <w:rsid w:val="7D9121E7"/>
    <w:rsid w:val="7D9C58DF"/>
    <w:rsid w:val="7D9F2B56"/>
    <w:rsid w:val="7DA63EE4"/>
    <w:rsid w:val="7DBF4FA6"/>
    <w:rsid w:val="7DC223A1"/>
    <w:rsid w:val="7DC66335"/>
    <w:rsid w:val="7DD722F0"/>
    <w:rsid w:val="7DDE1BA2"/>
    <w:rsid w:val="7DE22A43"/>
    <w:rsid w:val="7DEB5D9B"/>
    <w:rsid w:val="7DEC38C1"/>
    <w:rsid w:val="7DF75804"/>
    <w:rsid w:val="7DF82266"/>
    <w:rsid w:val="7DFA5FDE"/>
    <w:rsid w:val="7E002EC9"/>
    <w:rsid w:val="7E0B3D48"/>
    <w:rsid w:val="7E266DD3"/>
    <w:rsid w:val="7E2748F9"/>
    <w:rsid w:val="7E2D0162"/>
    <w:rsid w:val="7E417769"/>
    <w:rsid w:val="7E4436FD"/>
    <w:rsid w:val="7E474901"/>
    <w:rsid w:val="7E486D4A"/>
    <w:rsid w:val="7E53749D"/>
    <w:rsid w:val="7E5C05A5"/>
    <w:rsid w:val="7E5C27F5"/>
    <w:rsid w:val="7E5D773C"/>
    <w:rsid w:val="7E677CA0"/>
    <w:rsid w:val="7E682F48"/>
    <w:rsid w:val="7E6B2A38"/>
    <w:rsid w:val="7E7062A0"/>
    <w:rsid w:val="7E722019"/>
    <w:rsid w:val="7E747B3F"/>
    <w:rsid w:val="7E7933A7"/>
    <w:rsid w:val="7E8104AE"/>
    <w:rsid w:val="7E834226"/>
    <w:rsid w:val="7E955828"/>
    <w:rsid w:val="7EAB552B"/>
    <w:rsid w:val="7EAD3051"/>
    <w:rsid w:val="7EB84CBC"/>
    <w:rsid w:val="7EC14D4E"/>
    <w:rsid w:val="7EC64112"/>
    <w:rsid w:val="7EC81C39"/>
    <w:rsid w:val="7ED14F91"/>
    <w:rsid w:val="7EF649F8"/>
    <w:rsid w:val="7EF716DF"/>
    <w:rsid w:val="7EF77B5C"/>
    <w:rsid w:val="7EFC5D86"/>
    <w:rsid w:val="7EFE38AC"/>
    <w:rsid w:val="7EFE565A"/>
    <w:rsid w:val="7F0013D2"/>
    <w:rsid w:val="7F08297D"/>
    <w:rsid w:val="7F182BC0"/>
    <w:rsid w:val="7F3B240A"/>
    <w:rsid w:val="7F3B68AE"/>
    <w:rsid w:val="7F4734A5"/>
    <w:rsid w:val="7F501B14"/>
    <w:rsid w:val="7F511C2E"/>
    <w:rsid w:val="7F5434CC"/>
    <w:rsid w:val="7F60187B"/>
    <w:rsid w:val="7F62208D"/>
    <w:rsid w:val="7F625BE9"/>
    <w:rsid w:val="7F637BB3"/>
    <w:rsid w:val="7F642CC6"/>
    <w:rsid w:val="7F645E05"/>
    <w:rsid w:val="7F6A7194"/>
    <w:rsid w:val="7F6F0306"/>
    <w:rsid w:val="7F71407E"/>
    <w:rsid w:val="7F737DF6"/>
    <w:rsid w:val="7F792F33"/>
    <w:rsid w:val="7F7B314F"/>
    <w:rsid w:val="7F9560E2"/>
    <w:rsid w:val="7F966C81"/>
    <w:rsid w:val="7F967F89"/>
    <w:rsid w:val="7F995383"/>
    <w:rsid w:val="7F9A24D6"/>
    <w:rsid w:val="7FA51F7A"/>
    <w:rsid w:val="7FA75CF2"/>
    <w:rsid w:val="7FAA7590"/>
    <w:rsid w:val="7FB15F3A"/>
    <w:rsid w:val="7FD36AE7"/>
    <w:rsid w:val="7FD840FD"/>
    <w:rsid w:val="7FDA60C7"/>
    <w:rsid w:val="7FDF50FB"/>
    <w:rsid w:val="7FF32CE5"/>
    <w:rsid w:val="7FFB603E"/>
    <w:rsid w:val="7FFE4755"/>
    <w:rsid w:val="7FFF5B2E"/>
    <w:rsid w:val="DE5DEF6B"/>
    <w:rsid w:val="DFFFF867"/>
    <w:rsid w:val="EE3BCAFE"/>
    <w:rsid w:val="FE7B5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5" w:lineRule="auto"/>
      <w:ind w:firstLine="200" w:firstLineChars="200"/>
      <w:jc w:val="center"/>
      <w:outlineLvl w:val="1"/>
    </w:pPr>
    <w:rPr>
      <w:rFonts w:ascii="Arial" w:hAnsi="Arial" w:eastAsia="幼圆" w:cs="Arial"/>
      <w:b/>
      <w:bCs/>
      <w:sz w:val="44"/>
      <w:szCs w:val="44"/>
    </w:rPr>
  </w:style>
  <w:style w:type="paragraph" w:styleId="6">
    <w:name w:val="heading 3"/>
    <w:basedOn w:val="1"/>
    <w:next w:val="7"/>
    <w:qFormat/>
    <w:uiPriority w:val="0"/>
    <w:pPr>
      <w:keepNext/>
      <w:keepLines/>
      <w:spacing w:before="260" w:after="260" w:line="416" w:lineRule="auto"/>
      <w:outlineLvl w:val="2"/>
    </w:pPr>
    <w:rPr>
      <w:b/>
      <w:bCs/>
      <w:sz w:val="32"/>
      <w:szCs w:val="32"/>
    </w:rPr>
  </w:style>
  <w:style w:type="paragraph" w:styleId="8">
    <w:name w:val="heading 4"/>
    <w:basedOn w:val="1"/>
    <w:next w:val="7"/>
    <w:autoRedefine/>
    <w:qFormat/>
    <w:uiPriority w:val="9"/>
    <w:pPr>
      <w:keepNext/>
      <w:keepLines/>
      <w:spacing w:line="376" w:lineRule="auto"/>
      <w:outlineLvl w:val="3"/>
    </w:pPr>
    <w:rPr>
      <w:rFonts w:ascii="Cambria" w:hAnsi="Cambria" w:cs="Times New Roman"/>
      <w:b/>
      <w:bCs/>
      <w:kern w:val="0"/>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411"/>
    <w:basedOn w:val="1"/>
    <w:next w:val="3"/>
    <w:qFormat/>
    <w:uiPriority w:val="0"/>
    <w:pPr>
      <w:spacing w:before="34"/>
      <w:ind w:left="358"/>
      <w:outlineLvl w:val="3"/>
    </w:pPr>
    <w:rPr>
      <w:rFonts w:ascii="宋体" w:hAnsi="宋体" w:eastAsia="宋体"/>
      <w:b/>
      <w:bCs/>
      <w:sz w:val="24"/>
      <w:szCs w:val="24"/>
    </w:rPr>
  </w:style>
  <w:style w:type="paragraph" w:customStyle="1" w:styleId="3">
    <w:name w:val="正文缩进11"/>
    <w:basedOn w:val="1"/>
    <w:qFormat/>
    <w:uiPriority w:val="0"/>
    <w:pPr>
      <w:ind w:firstLine="420"/>
    </w:pPr>
  </w:style>
  <w:style w:type="paragraph" w:styleId="7">
    <w:name w:val="Normal Indent"/>
    <w:basedOn w:val="1"/>
    <w:qFormat/>
    <w:uiPriority w:val="99"/>
    <w:pPr>
      <w:ind w:firstLine="420"/>
    </w:pPr>
    <w:rPr>
      <w:rFonts w:ascii="Times New Roman" w:hAnsi="Times New Roman"/>
      <w:kern w:val="0"/>
      <w:sz w:val="20"/>
      <w:szCs w:val="21"/>
    </w:rPr>
  </w:style>
  <w:style w:type="paragraph" w:styleId="9">
    <w:name w:val="annotation text"/>
    <w:basedOn w:val="1"/>
    <w:autoRedefine/>
    <w:qFormat/>
    <w:uiPriority w:val="0"/>
    <w:pPr>
      <w:jc w:val="left"/>
    </w:pPr>
  </w:style>
  <w:style w:type="paragraph" w:styleId="10">
    <w:name w:val="Body Text"/>
    <w:basedOn w:val="1"/>
    <w:next w:val="11"/>
    <w:autoRedefine/>
    <w:unhideWhenUsed/>
    <w:qFormat/>
    <w:uiPriority w:val="99"/>
    <w:pPr>
      <w:spacing w:after="120"/>
    </w:pPr>
  </w:style>
  <w:style w:type="paragraph" w:styleId="11">
    <w:name w:val="Body Text 2"/>
    <w:basedOn w:val="1"/>
    <w:autoRedefine/>
    <w:semiHidden/>
    <w:unhideWhenUsed/>
    <w:qFormat/>
    <w:uiPriority w:val="99"/>
    <w:pPr>
      <w:spacing w:after="120" w:line="480" w:lineRule="auto"/>
    </w:pPr>
  </w:style>
  <w:style w:type="paragraph" w:styleId="12">
    <w:name w:val="Body Text Indent"/>
    <w:basedOn w:val="1"/>
    <w:next w:val="13"/>
    <w:autoRedefine/>
    <w:qFormat/>
    <w:uiPriority w:val="99"/>
    <w:pPr>
      <w:spacing w:line="440" w:lineRule="exact"/>
      <w:ind w:firstLine="403"/>
    </w:pPr>
    <w:rPr>
      <w:rFonts w:ascii="宋体" w:hAnsi="宋体" w:cs="宋体"/>
    </w:rPr>
  </w:style>
  <w:style w:type="paragraph" w:styleId="13">
    <w:name w:val="envelope return"/>
    <w:basedOn w:val="1"/>
    <w:autoRedefine/>
    <w:qFormat/>
    <w:uiPriority w:val="0"/>
    <w:rPr>
      <w:rFonts w:ascii="Arial" w:hAnsi="Arial"/>
    </w:rPr>
  </w:style>
  <w:style w:type="paragraph" w:styleId="14">
    <w:name w:val="Block Text"/>
    <w:basedOn w:val="1"/>
    <w:autoRedefine/>
    <w:unhideWhenUsed/>
    <w:qFormat/>
    <w:uiPriority w:val="99"/>
    <w:pPr>
      <w:spacing w:after="120"/>
      <w:ind w:left="1440" w:leftChars="700" w:right="1440" w:rightChars="700"/>
    </w:pPr>
    <w:rPr>
      <w:rFonts w:cs="Times New Roman"/>
      <w:szCs w:val="22"/>
    </w:rPr>
  </w:style>
  <w:style w:type="paragraph" w:styleId="15">
    <w:name w:val="Plain Text"/>
    <w:basedOn w:val="1"/>
    <w:link w:val="30"/>
    <w:autoRedefine/>
    <w:qFormat/>
    <w:uiPriority w:val="0"/>
    <w:rPr>
      <w:rFonts w:ascii="宋体" w:hAnsi="Courier New" w:cs="Courier New"/>
    </w:rPr>
  </w:style>
  <w:style w:type="paragraph" w:styleId="16">
    <w:name w:val="Balloon Text"/>
    <w:basedOn w:val="1"/>
    <w:link w:val="31"/>
    <w:autoRedefine/>
    <w:qFormat/>
    <w:uiPriority w:val="0"/>
    <w:rPr>
      <w:sz w:val="18"/>
      <w:szCs w:val="18"/>
    </w:rPr>
  </w:style>
  <w:style w:type="paragraph" w:styleId="17">
    <w:name w:val="footer"/>
    <w:basedOn w:val="1"/>
    <w:autoRedefine/>
    <w:qFormat/>
    <w:uiPriority w:val="0"/>
    <w:pPr>
      <w:tabs>
        <w:tab w:val="center" w:pos="4153"/>
        <w:tab w:val="right" w:pos="8306"/>
      </w:tabs>
      <w:snapToGrid w:val="0"/>
      <w:spacing w:line="360" w:lineRule="auto"/>
      <w:ind w:firstLine="200" w:firstLineChars="200"/>
      <w:jc w:val="left"/>
    </w:pPr>
    <w:rPr>
      <w:rFonts w:ascii="Times New Roman" w:hAnsi="Times New Roman" w:cs="Times New Roman"/>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spacing w:line="360" w:lineRule="auto"/>
      <w:ind w:firstLine="200" w:firstLineChars="200"/>
      <w:jc w:val="center"/>
    </w:pPr>
    <w:rPr>
      <w:rFonts w:ascii="Times New Roman" w:hAnsi="Times New Roman" w:cs="Times New Roman"/>
      <w:sz w:val="18"/>
      <w:szCs w:val="18"/>
    </w:rPr>
  </w:style>
  <w:style w:type="paragraph" w:styleId="19">
    <w:name w:val="toc 1"/>
    <w:basedOn w:val="1"/>
    <w:next w:val="1"/>
    <w:autoRedefine/>
    <w:qFormat/>
    <w:uiPriority w:val="39"/>
    <w:pPr>
      <w:spacing w:before="120" w:after="120"/>
      <w:jc w:val="left"/>
    </w:pPr>
    <w:rPr>
      <w:b/>
      <w:bCs/>
      <w:caps/>
      <w:sz w:val="20"/>
      <w:szCs w:val="20"/>
    </w:rPr>
  </w:style>
  <w:style w:type="paragraph" w:styleId="20">
    <w:name w:val="toc 2"/>
    <w:basedOn w:val="1"/>
    <w:next w:val="1"/>
    <w:autoRedefine/>
    <w:qFormat/>
    <w:uiPriority w:val="39"/>
    <w:pPr>
      <w:ind w:left="210"/>
      <w:jc w:val="left"/>
    </w:pPr>
    <w:rPr>
      <w:smallCaps/>
      <w:sz w:val="20"/>
      <w:szCs w:val="20"/>
    </w:r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12"/>
    <w:next w:val="1"/>
    <w:link w:val="47"/>
    <w:autoRedefine/>
    <w:qFormat/>
    <w:uiPriority w:val="99"/>
    <w:pPr>
      <w:ind w:firstLine="420" w:firstLineChars="200"/>
    </w:pPr>
  </w:style>
  <w:style w:type="table" w:styleId="24">
    <w:name w:val="Table Grid"/>
    <w:basedOn w:val="2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bCs/>
    </w:rPr>
  </w:style>
  <w:style w:type="character" w:styleId="27">
    <w:name w:val="FollowedHyperlink"/>
    <w:basedOn w:val="25"/>
    <w:autoRedefine/>
    <w:unhideWhenUsed/>
    <w:qFormat/>
    <w:uiPriority w:val="99"/>
    <w:rPr>
      <w:color w:val="800080"/>
      <w:u w:val="single"/>
    </w:rPr>
  </w:style>
  <w:style w:type="character" w:styleId="28">
    <w:name w:val="Hyperlink"/>
    <w:basedOn w:val="25"/>
    <w:autoRedefine/>
    <w:qFormat/>
    <w:uiPriority w:val="99"/>
    <w:rPr>
      <w:color w:val="0563C1" w:themeColor="hyperlink"/>
      <w:u w:val="single"/>
      <w14:textFill>
        <w14:solidFill>
          <w14:schemeClr w14:val="hlink"/>
        </w14:solidFill>
      </w14:textFill>
    </w:rPr>
  </w:style>
  <w:style w:type="character" w:customStyle="1" w:styleId="29">
    <w:name w:val="标题 1 Char"/>
    <w:basedOn w:val="25"/>
    <w:link w:val="4"/>
    <w:autoRedefine/>
    <w:qFormat/>
    <w:uiPriority w:val="9"/>
    <w:rPr>
      <w:rFonts w:ascii="Calibri" w:hAnsi="Calibri" w:eastAsia="宋体" w:cs="Calibri"/>
      <w:b/>
      <w:bCs/>
      <w:kern w:val="44"/>
      <w:sz w:val="44"/>
      <w:szCs w:val="44"/>
    </w:rPr>
  </w:style>
  <w:style w:type="character" w:customStyle="1" w:styleId="30">
    <w:name w:val="纯文本 Char"/>
    <w:basedOn w:val="25"/>
    <w:link w:val="15"/>
    <w:autoRedefine/>
    <w:qFormat/>
    <w:uiPriority w:val="0"/>
    <w:rPr>
      <w:rFonts w:ascii="宋体" w:hAnsi="Courier New" w:eastAsia="宋体" w:cs="Courier New"/>
      <w:kern w:val="2"/>
      <w:sz w:val="21"/>
      <w:szCs w:val="21"/>
    </w:rPr>
  </w:style>
  <w:style w:type="character" w:customStyle="1" w:styleId="31">
    <w:name w:val="批注框文本 Char"/>
    <w:basedOn w:val="25"/>
    <w:link w:val="16"/>
    <w:autoRedefine/>
    <w:qFormat/>
    <w:uiPriority w:val="0"/>
    <w:rPr>
      <w:rFonts w:ascii="Calibri" w:hAnsi="Calibri" w:eastAsia="宋体" w:cs="Calibri"/>
      <w:kern w:val="2"/>
      <w:sz w:val="18"/>
      <w:szCs w:val="18"/>
    </w:rPr>
  </w:style>
  <w:style w:type="paragraph" w:customStyle="1" w:styleId="32">
    <w:name w:val="普通正文"/>
    <w:basedOn w:val="1"/>
    <w:autoRedefine/>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33">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一级目录"/>
    <w:next w:val="1"/>
    <w:autoRedefine/>
    <w:qFormat/>
    <w:uiPriority w:val="99"/>
    <w:pPr>
      <w:spacing w:afterLines="100"/>
      <w:jc w:val="center"/>
      <w:outlineLvl w:val="0"/>
    </w:pPr>
    <w:rPr>
      <w:rFonts w:ascii="黑体" w:hAnsi="Times New Roman" w:eastAsia="黑体" w:cs="Times New Roman"/>
      <w:b/>
      <w:bCs/>
      <w:kern w:val="2"/>
      <w:sz w:val="44"/>
      <w:szCs w:val="44"/>
      <w:lang w:val="en-US" w:eastAsia="zh-CN" w:bidi="ar-SA"/>
    </w:rPr>
  </w:style>
  <w:style w:type="paragraph" w:customStyle="1" w:styleId="35">
    <w:name w:val="二级目录"/>
    <w:next w:val="1"/>
    <w:link w:val="36"/>
    <w:autoRedefine/>
    <w:qFormat/>
    <w:uiPriority w:val="99"/>
    <w:pPr>
      <w:tabs>
        <w:tab w:val="left" w:pos="720"/>
      </w:tabs>
      <w:ind w:left="720" w:hanging="720"/>
      <w:outlineLvl w:val="1"/>
    </w:pPr>
    <w:rPr>
      <w:rFonts w:ascii="Calibri" w:hAnsi="Calibri" w:eastAsia="宋体" w:cs="Times New Roman"/>
      <w:b/>
      <w:bCs/>
      <w:kern w:val="2"/>
      <w:sz w:val="28"/>
      <w:szCs w:val="28"/>
      <w:lang w:val="en-US" w:eastAsia="zh-CN" w:bidi="ar-SA"/>
    </w:rPr>
  </w:style>
  <w:style w:type="character" w:customStyle="1" w:styleId="36">
    <w:name w:val="二级目录 Char"/>
    <w:link w:val="35"/>
    <w:autoRedefine/>
    <w:qFormat/>
    <w:locked/>
    <w:uiPriority w:val="99"/>
    <w:rPr>
      <w:rFonts w:ascii="Calibri" w:hAnsi="Calibri" w:eastAsia="宋体" w:cs="Times New Roman"/>
      <w:b/>
      <w:bCs/>
      <w:kern w:val="2"/>
      <w:sz w:val="28"/>
      <w:szCs w:val="28"/>
    </w:rPr>
  </w:style>
  <w:style w:type="paragraph" w:customStyle="1" w:styleId="37">
    <w:name w:val="列出段落1"/>
    <w:basedOn w:val="1"/>
    <w:autoRedefine/>
    <w:qFormat/>
    <w:uiPriority w:val="99"/>
    <w:pPr>
      <w:ind w:firstLine="420" w:firstLineChars="200"/>
    </w:pPr>
  </w:style>
  <w:style w:type="paragraph" w:customStyle="1" w:styleId="38">
    <w:name w:val="_Style 3"/>
    <w:basedOn w:val="1"/>
    <w:next w:val="1"/>
    <w:autoRedefine/>
    <w:qFormat/>
    <w:uiPriority w:val="99"/>
    <w:pPr>
      <w:widowControl/>
      <w:pBdr>
        <w:bottom w:val="single" w:color="auto" w:sz="6" w:space="1"/>
      </w:pBdr>
      <w:jc w:val="center"/>
    </w:pPr>
    <w:rPr>
      <w:rFonts w:ascii="Arial" w:hAnsi="Arial" w:cs="Arial"/>
      <w:vanish/>
      <w:kern w:val="0"/>
      <w:sz w:val="16"/>
      <w:szCs w:val="16"/>
    </w:rPr>
  </w:style>
  <w:style w:type="paragraph" w:customStyle="1" w:styleId="39">
    <w:name w:val="Char1"/>
    <w:basedOn w:val="1"/>
    <w:autoRedefine/>
    <w:qFormat/>
    <w:uiPriority w:val="99"/>
    <w:rPr>
      <w:rFonts w:ascii="Tahoma" w:hAnsi="Tahoma" w:cs="Tahoma"/>
      <w:sz w:val="24"/>
      <w:szCs w:val="24"/>
    </w:rPr>
  </w:style>
  <w:style w:type="paragraph" w:customStyle="1" w:styleId="40">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styleId="41">
    <w:name w:val="List Paragraph"/>
    <w:basedOn w:val="1"/>
    <w:autoRedefine/>
    <w:qFormat/>
    <w:uiPriority w:val="99"/>
    <w:pPr>
      <w:widowControl/>
      <w:ind w:left="720"/>
      <w:contextualSpacing/>
      <w:jc w:val="left"/>
    </w:pPr>
    <w:rPr>
      <w:rFonts w:cs="Times New Roman"/>
      <w:kern w:val="0"/>
      <w:sz w:val="24"/>
      <w:szCs w:val="24"/>
      <w:lang w:eastAsia="en-US" w:bidi="en-US"/>
    </w:rPr>
  </w:style>
  <w:style w:type="paragraph" w:customStyle="1" w:styleId="42">
    <w:name w:val="正文_8_0"/>
    <w:autoRedefine/>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3">
    <w:name w:val="font21"/>
    <w:basedOn w:val="25"/>
    <w:autoRedefine/>
    <w:qFormat/>
    <w:uiPriority w:val="0"/>
    <w:rPr>
      <w:rFonts w:hint="eastAsia" w:ascii="宋体" w:hAnsi="宋体" w:eastAsia="宋体" w:cs="宋体"/>
      <w:color w:val="000000"/>
      <w:sz w:val="24"/>
      <w:szCs w:val="24"/>
      <w:u w:val="none"/>
    </w:rPr>
  </w:style>
  <w:style w:type="paragraph" w:customStyle="1" w:styleId="44">
    <w:name w:val="附录1"/>
    <w:autoRedefine/>
    <w:qFormat/>
    <w:uiPriority w:val="0"/>
    <w:pPr>
      <w:tabs>
        <w:tab w:val="left" w:pos="720"/>
        <w:tab w:val="left" w:pos="907"/>
      </w:tabs>
      <w:snapToGrid w:val="0"/>
      <w:spacing w:before="240" w:line="600" w:lineRule="atLeast"/>
      <w:ind w:left="720" w:hanging="720"/>
    </w:pPr>
    <w:rPr>
      <w:rFonts w:ascii="Times New Roman" w:hAnsi="Times New Roman" w:eastAsia="宋体" w:cs="Times New Roman"/>
      <w:b/>
      <w:i/>
      <w:sz w:val="28"/>
      <w:lang w:val="en-US" w:eastAsia="zh-CN" w:bidi="ar-SA"/>
    </w:rPr>
  </w:style>
  <w:style w:type="paragraph" w:customStyle="1" w:styleId="45">
    <w:name w:val="报告正文"/>
    <w:basedOn w:val="1"/>
    <w:autoRedefine/>
    <w:qFormat/>
    <w:uiPriority w:val="0"/>
    <w:pPr>
      <w:adjustRightInd w:val="0"/>
      <w:snapToGrid w:val="0"/>
      <w:ind w:firstLine="560" w:firstLineChars="200"/>
    </w:pPr>
    <w:rPr>
      <w:rFonts w:eastAsiaTheme="minorEastAsia"/>
      <w:kern w:val="0"/>
      <w:szCs w:val="20"/>
      <w:lang w:val="zh-CN"/>
    </w:rPr>
  </w:style>
  <w:style w:type="paragraph" w:customStyle="1" w:styleId="46">
    <w:name w:val="正文首行缩进 21"/>
    <w:basedOn w:val="1"/>
    <w:next w:val="1"/>
    <w:autoRedefine/>
    <w:qFormat/>
    <w:uiPriority w:val="0"/>
    <w:pPr>
      <w:snapToGrid w:val="0"/>
      <w:spacing w:line="440" w:lineRule="exact"/>
      <w:ind w:firstLine="420" w:firstLineChars="200"/>
    </w:pPr>
    <w:rPr>
      <w:rFonts w:eastAsiaTheme="minorEastAsia"/>
    </w:rPr>
  </w:style>
  <w:style w:type="character" w:customStyle="1" w:styleId="47">
    <w:name w:val="正文首行缩进 2 Char"/>
    <w:basedOn w:val="25"/>
    <w:link w:val="22"/>
    <w:autoRedefine/>
    <w:qFormat/>
    <w:uiPriority w:val="99"/>
    <w:rPr>
      <w:rFonts w:ascii="Calibri" w:hAnsi="Calibri" w:eastAsia="宋体" w:cs="Calibri"/>
      <w:kern w:val="2"/>
      <w:sz w:val="21"/>
      <w:szCs w:val="21"/>
    </w:rPr>
  </w:style>
  <w:style w:type="paragraph" w:customStyle="1" w:styleId="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font8"/>
    <w:basedOn w:val="1"/>
    <w:autoRedefine/>
    <w:qFormat/>
    <w:uiPriority w:val="0"/>
    <w:pPr>
      <w:widowControl/>
      <w:spacing w:before="100" w:beforeAutospacing="1" w:after="100" w:afterAutospacing="1"/>
      <w:jc w:val="left"/>
    </w:pPr>
    <w:rPr>
      <w:rFonts w:ascii="宋体" w:hAnsi="宋体" w:cs="宋体"/>
      <w:kern w:val="0"/>
      <w:sz w:val="17"/>
      <w:szCs w:val="17"/>
    </w:rPr>
  </w:style>
  <w:style w:type="paragraph" w:customStyle="1" w:styleId="52">
    <w:name w:val="font9"/>
    <w:basedOn w:val="1"/>
    <w:autoRedefine/>
    <w:qFormat/>
    <w:uiPriority w:val="0"/>
    <w:pPr>
      <w:widowControl/>
      <w:spacing w:before="100" w:beforeAutospacing="1" w:after="100" w:afterAutospacing="1"/>
      <w:jc w:val="left"/>
    </w:pPr>
    <w:rPr>
      <w:rFonts w:ascii="宋体" w:hAnsi="宋体" w:cs="宋体"/>
      <w:b/>
      <w:bCs/>
      <w:kern w:val="0"/>
      <w:sz w:val="17"/>
      <w:szCs w:val="17"/>
    </w:rPr>
  </w:style>
  <w:style w:type="paragraph" w:customStyle="1" w:styleId="53">
    <w:name w:val="xl63"/>
    <w:basedOn w:val="1"/>
    <w:autoRedefine/>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54">
    <w:name w:val="xl64"/>
    <w:basedOn w:val="1"/>
    <w:autoRedefine/>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56">
    <w:name w:val="xl66"/>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5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5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b/>
      <w:bCs/>
      <w:kern w:val="0"/>
      <w:sz w:val="18"/>
      <w:szCs w:val="18"/>
    </w:rPr>
  </w:style>
  <w:style w:type="paragraph" w:customStyle="1" w:styleId="59">
    <w:name w:val="xl69"/>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right"/>
      <w:textAlignment w:val="center"/>
    </w:pPr>
    <w:rPr>
      <w:rFonts w:ascii="宋体" w:hAnsi="宋体" w:cs="宋体"/>
      <w:b/>
      <w:bCs/>
      <w:kern w:val="0"/>
      <w:sz w:val="18"/>
      <w:szCs w:val="18"/>
    </w:rPr>
  </w:style>
  <w:style w:type="paragraph" w:customStyle="1" w:styleId="60">
    <w:name w:val="xl70"/>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6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62">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7"/>
      <w:szCs w:val="17"/>
    </w:rPr>
  </w:style>
  <w:style w:type="paragraph" w:customStyle="1" w:styleId="6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64">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65">
    <w:name w:val="xl75"/>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6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9"/>
      <w:szCs w:val="19"/>
    </w:rPr>
  </w:style>
  <w:style w:type="paragraph" w:customStyle="1" w:styleId="67">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9"/>
      <w:szCs w:val="19"/>
    </w:rPr>
  </w:style>
  <w:style w:type="paragraph" w:customStyle="1" w:styleId="68">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9"/>
      <w:szCs w:val="19"/>
    </w:rPr>
  </w:style>
  <w:style w:type="paragraph" w:customStyle="1" w:styleId="6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0"/>
      <w:szCs w:val="20"/>
    </w:rPr>
  </w:style>
  <w:style w:type="paragraph" w:customStyle="1" w:styleId="70">
    <w:name w:val="xl80"/>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71">
    <w:name w:val="xl81"/>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7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3">
    <w:name w:val="xl83"/>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74">
    <w:name w:val="xl84"/>
    <w:basedOn w:val="1"/>
    <w:autoRedefine/>
    <w:qFormat/>
    <w:uiPriority w:val="0"/>
    <w:pPr>
      <w:widowControl/>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75">
    <w:name w:val="xl85"/>
    <w:basedOn w:val="1"/>
    <w:autoRedefine/>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76">
    <w:name w:val="xl86"/>
    <w:basedOn w:val="1"/>
    <w:autoRedefine/>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7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78">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79">
    <w:name w:val="xl89"/>
    <w:basedOn w:val="1"/>
    <w:autoRedefine/>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80">
    <w:name w:val="xl90"/>
    <w:basedOn w:val="1"/>
    <w:autoRedefine/>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81">
    <w:name w:val="xl91"/>
    <w:basedOn w:val="1"/>
    <w:autoRedefine/>
    <w:qFormat/>
    <w:uiPriority w:val="0"/>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82">
    <w:name w:val="xl92"/>
    <w:basedOn w:val="1"/>
    <w:autoRedefine/>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83">
    <w:name w:val="xl93"/>
    <w:basedOn w:val="1"/>
    <w:autoRedefine/>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84">
    <w:name w:val="xl9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85">
    <w:name w:val="xl95"/>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86">
    <w:name w:val="xl9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87">
    <w:name w:val="xl97"/>
    <w:basedOn w:val="1"/>
    <w:autoRedefine/>
    <w:qFormat/>
    <w:uiPriority w:val="0"/>
    <w:pPr>
      <w:widowControl/>
      <w:shd w:val="clear" w:color="000000" w:fill="FFFFFF"/>
      <w:spacing w:before="100" w:beforeAutospacing="1" w:after="100" w:afterAutospacing="1"/>
      <w:jc w:val="left"/>
    </w:pPr>
    <w:rPr>
      <w:rFonts w:ascii="宋体" w:hAnsi="宋体" w:cs="宋体"/>
      <w:b/>
      <w:bCs/>
      <w:kern w:val="0"/>
      <w:sz w:val="24"/>
      <w:szCs w:val="24"/>
    </w:rPr>
  </w:style>
  <w:style w:type="paragraph" w:customStyle="1" w:styleId="88">
    <w:name w:val="xl98"/>
    <w:basedOn w:val="1"/>
    <w:autoRedefine/>
    <w:qFormat/>
    <w:uiPriority w:val="0"/>
    <w:pPr>
      <w:widowControl/>
      <w:shd w:val="clear" w:color="000000" w:fill="FFFFFF"/>
      <w:spacing w:before="100" w:beforeAutospacing="1" w:after="100" w:afterAutospacing="1"/>
      <w:jc w:val="right"/>
    </w:pPr>
    <w:rPr>
      <w:rFonts w:ascii="宋体" w:hAnsi="宋体" w:cs="宋体"/>
      <w:b/>
      <w:bCs/>
      <w:kern w:val="0"/>
      <w:sz w:val="24"/>
      <w:szCs w:val="24"/>
    </w:rPr>
  </w:style>
  <w:style w:type="paragraph" w:customStyle="1" w:styleId="89">
    <w:name w:val="xl99"/>
    <w:basedOn w:val="1"/>
    <w:autoRedefine/>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90">
    <w:name w:val="正文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
    <w:basedOn w:val="1"/>
    <w:qFormat/>
    <w:uiPriority w:val="0"/>
    <w:pPr>
      <w:tabs>
        <w:tab w:val="left" w:pos="360"/>
      </w:tabs>
      <w:ind w:firstLine="200"/>
    </w:pPr>
    <w:rPr>
      <w:sz w:val="28"/>
      <w:szCs w:val="30"/>
    </w:rPr>
  </w:style>
  <w:style w:type="paragraph" w:customStyle="1" w:styleId="92">
    <w:name w:val="首行缩进"/>
    <w:basedOn w:val="1"/>
    <w:qFormat/>
    <w:uiPriority w:val="99"/>
    <w:pPr>
      <w:spacing w:line="360" w:lineRule="auto"/>
      <w:ind w:firstLine="480"/>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28159</Words>
  <Characters>31851</Characters>
  <Lines>369</Lines>
  <Paragraphs>103</Paragraphs>
  <TotalTime>32</TotalTime>
  <ScaleCrop>false</ScaleCrop>
  <LinksUpToDate>false</LinksUpToDate>
  <CharactersWithSpaces>33259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2022-02-25T09:21:00Z</dcterms:created>
  <dc:creator>oem</dc:creator>
  <cp:lastModifiedBy>牛牛又马马</cp:lastModifiedBy>
  <dcterms:modified xsi:type="dcterms:W3CDTF">2026-06-18T07:59:57Z</dcterms:modified>
  <cp:revision>911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26D481BEBD7641CC87252B59FF09C156</vt:lpwstr>
  </property>
  <property fmtid="{D5CDD505-2E9C-101B-9397-08002B2CF9AE}" pid="4" name="KSOTemplateDocerSaveRecord">
    <vt:lpwstr>eyJoZGlkIjoiZTI0ZGY2MWQ2NzE3Nzg0NjkzMmViMjc4N2QxZWQyYjAiLCJ1c2VySWQiOiI0MzM3NjQxNTcifQ==</vt:lpwstr>
  </property>
</Properties>
</file>