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8DC5F0">
      <w:pPr>
        <w:jc w:val="center"/>
        <w:rPr>
          <w:rFonts w:hint="default" w:ascii="Times New Roman" w:hAnsi="Times New Roman" w:cs="Times New Roman"/>
          <w:bCs/>
          <w:color w:val="000000" w:themeColor="text1"/>
          <w:spacing w:val="20"/>
          <w:sz w:val="72"/>
          <w:szCs w:val="72"/>
          <w:vertAlign w:val="superscript"/>
          <w14:textFill>
            <w14:solidFill>
              <w14:schemeClr w14:val="tx1"/>
            </w14:solidFill>
          </w14:textFill>
        </w:rPr>
      </w:pPr>
      <w:bookmarkStart w:id="0" w:name="_Hlk148364563"/>
      <w:bookmarkEnd w:id="0"/>
    </w:p>
    <w:p w14:paraId="1928A842">
      <w:pPr>
        <w:jc w:val="center"/>
        <w:rPr>
          <w:rFonts w:hint="default" w:ascii="Times New Roman" w:hAnsi="Times New Roman" w:cs="Times New Roman"/>
          <w:bCs/>
          <w:color w:val="000000" w:themeColor="text1"/>
          <w:spacing w:val="20"/>
          <w:sz w:val="72"/>
          <w:szCs w:val="72"/>
          <w14:textFill>
            <w14:solidFill>
              <w14:schemeClr w14:val="tx1"/>
            </w14:solidFill>
          </w14:textFill>
        </w:rPr>
      </w:pPr>
      <w:r>
        <w:rPr>
          <w:rFonts w:hint="default" w:ascii="Times New Roman" w:hAnsi="Times New Roman" w:cs="Times New Roman"/>
          <w:bCs/>
          <w:color w:val="000000" w:themeColor="text1"/>
          <w:spacing w:val="20"/>
          <w:sz w:val="72"/>
          <w:szCs w:val="72"/>
          <w14:textFill>
            <w14:solidFill>
              <w14:schemeClr w14:val="tx1"/>
            </w14:solidFill>
          </w14:textFill>
        </w:rPr>
        <w:t>无 锡 市 政 府 采 购</w:t>
      </w:r>
    </w:p>
    <w:p w14:paraId="46614CFD">
      <w:pPr>
        <w:rPr>
          <w:rFonts w:hint="default" w:ascii="Times New Roman" w:hAnsi="Times New Roman" w:cs="Times New Roman"/>
          <w:bCs/>
          <w:color w:val="000000" w:themeColor="text1"/>
          <w:sz w:val="30"/>
          <w14:textFill>
            <w14:solidFill>
              <w14:schemeClr w14:val="tx1"/>
            </w14:solidFill>
          </w14:textFill>
        </w:rPr>
      </w:pPr>
    </w:p>
    <w:p w14:paraId="362EE97E">
      <w:pPr>
        <w:jc w:val="center"/>
        <w:rPr>
          <w:rFonts w:hint="default" w:ascii="Times New Roman" w:hAnsi="Times New Roman" w:cs="Times New Roman"/>
          <w:bCs/>
          <w:color w:val="000000" w:themeColor="text1"/>
          <w:spacing w:val="20"/>
          <w:sz w:val="52"/>
          <w:szCs w:val="52"/>
          <w14:textFill>
            <w14:solidFill>
              <w14:schemeClr w14:val="tx1"/>
            </w14:solidFill>
          </w14:textFill>
        </w:rPr>
      </w:pPr>
      <w:r>
        <w:rPr>
          <w:rFonts w:hint="default" w:ascii="Times New Roman" w:hAnsi="Times New Roman" w:cs="Times New Roman"/>
          <w:bCs/>
          <w:color w:val="000000" w:themeColor="text1"/>
          <w:spacing w:val="20"/>
          <w:sz w:val="52"/>
          <w:szCs w:val="52"/>
          <w14:textFill>
            <w14:solidFill>
              <w14:schemeClr w14:val="tx1"/>
            </w14:solidFill>
          </w14:textFill>
        </w:rPr>
        <w:t>公   开</w:t>
      </w:r>
    </w:p>
    <w:p w14:paraId="113BC926">
      <w:pPr>
        <w:jc w:val="center"/>
        <w:rPr>
          <w:rFonts w:hint="default" w:ascii="Times New Roman" w:hAnsi="Times New Roman" w:cs="Times New Roman"/>
          <w:bCs/>
          <w:color w:val="000000" w:themeColor="text1"/>
          <w:spacing w:val="20"/>
          <w:sz w:val="52"/>
          <w:szCs w:val="52"/>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mC/f+tcAAAAJAQAADwAAAAAA&#10;AAABACAAAAAiAAAAZHJzL2Rvd25yZXYueG1sUEsBAhQAFAAAAAgAh07iQK2yIYDbAQAAywMAAA4A&#10;AAAAAAAAAQAgAAAAJgEAAGRycy9lMm9Eb2MueG1sUEsFBgAAAAAGAAYAWQEAAHMFAAAAAA==&#10;">
                <v:fill on="f" focussize="0,0"/>
                <v:stroke color="#000000" joinstyle="round"/>
                <v:imagedata o:title=""/>
                <o:lock v:ext="edit" aspectratio="f"/>
              </v:line>
            </w:pict>
          </mc:Fallback>
        </mc:AlternateContent>
      </w:r>
      <w:r>
        <w:rPr>
          <w:rFonts w:hint="default" w:ascii="Times New Roman" w:hAnsi="Times New Roman" w:cs="Times New Roman"/>
          <w:bCs/>
          <w:color w:val="000000" w:themeColor="text1"/>
          <w:spacing w:val="20"/>
          <w:sz w:val="52"/>
          <w:szCs w:val="52"/>
          <w14:textFill>
            <w14:solidFill>
              <w14:schemeClr w14:val="tx1"/>
            </w14:solidFill>
          </w14:textFill>
        </w:rPr>
        <w:t>招  标  文  件</w:t>
      </w:r>
    </w:p>
    <w:p w14:paraId="02D38522">
      <w:pPr>
        <w:snapToGrid w:val="0"/>
        <w:spacing w:line="480" w:lineRule="auto"/>
        <w:rPr>
          <w:rFonts w:hint="default" w:ascii="Times New Roman" w:hAnsi="Times New Roman" w:cs="Times New Roman"/>
          <w:bCs/>
          <w:color w:val="000000" w:themeColor="text1"/>
          <w:sz w:val="30"/>
          <w:szCs w:val="30"/>
          <w14:textFill>
            <w14:solidFill>
              <w14:schemeClr w14:val="tx1"/>
            </w14:solidFill>
          </w14:textFill>
        </w:rPr>
      </w:pPr>
    </w:p>
    <w:p w14:paraId="4659A1EB">
      <w:pPr>
        <w:snapToGrid w:val="0"/>
        <w:spacing w:line="480" w:lineRule="auto"/>
        <w:ind w:firstLine="900" w:firstLineChars="300"/>
        <w:rPr>
          <w:rFonts w:hint="default" w:ascii="Times New Roman" w:hAnsi="Times New Roman" w:cs="Times New Roman"/>
          <w:bCs/>
          <w:color w:val="000000" w:themeColor="text1"/>
          <w:sz w:val="30"/>
          <w:szCs w:val="30"/>
          <w14:textFill>
            <w14:solidFill>
              <w14:schemeClr w14:val="tx1"/>
            </w14:solidFill>
          </w14:textFill>
        </w:rPr>
      </w:pPr>
    </w:p>
    <w:p w14:paraId="4F4E14F0">
      <w:pPr>
        <w:snapToGrid w:val="0"/>
        <w:spacing w:line="480" w:lineRule="auto"/>
        <w:ind w:left="3595" w:leftChars="426" w:hanging="2700" w:hangingChars="900"/>
        <w:rPr>
          <w:rFonts w:hint="default" w:ascii="Times New Roman" w:hAnsi="Times New Roman" w:cs="Times New Roman"/>
          <w:bCs/>
          <w:color w:val="000000" w:themeColor="text1"/>
          <w:sz w:val="30"/>
          <w:szCs w:val="30"/>
          <w:lang w:eastAsia="zh-CN"/>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政府采购编号：</w:t>
      </w:r>
      <w:r>
        <w:rPr>
          <w:rFonts w:hint="default" w:ascii="Times New Roman" w:hAnsi="Times New Roman" w:cs="Times New Roman"/>
          <w:bCs/>
          <w:color w:val="000000" w:themeColor="text1"/>
          <w:sz w:val="30"/>
          <w:szCs w:val="30"/>
          <w:lang w:eastAsia="zh-CN"/>
          <w14:textFill>
            <w14:solidFill>
              <w14:schemeClr w14:val="tx1"/>
            </w14:solidFill>
          </w14:textFill>
        </w:rPr>
        <w:t>ZZ066026V7ZC01119</w:t>
      </w:r>
    </w:p>
    <w:p w14:paraId="4F29685D">
      <w:pPr>
        <w:snapToGrid w:val="0"/>
        <w:spacing w:line="480" w:lineRule="auto"/>
        <w:ind w:left="3584" w:leftChars="1278" w:hanging="900" w:hangingChars="300"/>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highlight w:val="none"/>
          <w14:textFill>
            <w14:solidFill>
              <w14:schemeClr w14:val="tx1"/>
            </w14:solidFill>
          </w14:textFill>
        </w:rPr>
        <w:t>（</w:t>
      </w:r>
      <w:r>
        <w:rPr>
          <w:rFonts w:hint="eastAsia" w:cs="Times New Roman"/>
          <w:bCs/>
          <w:color w:val="000000" w:themeColor="text1"/>
          <w:sz w:val="30"/>
          <w:szCs w:val="30"/>
          <w:highlight w:val="none"/>
          <w:lang w:eastAsia="zh-CN"/>
          <w14:textFill>
            <w14:solidFill>
              <w14:schemeClr w14:val="tx1"/>
            </w14:solidFill>
          </w14:textFill>
        </w:rPr>
        <w:t>JSZC-320200-JCEC-G2026-0141</w:t>
      </w:r>
      <w:r>
        <w:rPr>
          <w:rFonts w:hint="default" w:ascii="Times New Roman" w:hAnsi="Times New Roman" w:cs="Times New Roman"/>
          <w:bCs/>
          <w:color w:val="000000" w:themeColor="text1"/>
          <w:sz w:val="30"/>
          <w:szCs w:val="30"/>
          <w:highlight w:val="none"/>
          <w14:textFill>
            <w14:solidFill>
              <w14:schemeClr w14:val="tx1"/>
            </w14:solidFill>
          </w14:textFill>
        </w:rPr>
        <w:t xml:space="preserve">） </w:t>
      </w:r>
    </w:p>
    <w:p w14:paraId="6246CFFF">
      <w:pPr>
        <w:snapToGrid w:val="0"/>
        <w:spacing w:line="480" w:lineRule="auto"/>
        <w:ind w:left="2995" w:leftChars="426" w:hanging="2100" w:hangingChars="700"/>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采购项目名称：无锡市检验检测认证研究院</w:t>
      </w:r>
      <w:r>
        <w:rPr>
          <w:rFonts w:hint="default" w:ascii="Times New Roman" w:hAnsi="Times New Roman" w:cs="Times New Roman"/>
          <w:bCs/>
          <w:color w:val="000000" w:themeColor="text1"/>
          <w:sz w:val="30"/>
          <w:szCs w:val="30"/>
          <w:lang w:eastAsia="zh-CN"/>
          <w14:textFill>
            <w14:solidFill>
              <w14:schemeClr w14:val="tx1"/>
            </w14:solidFill>
          </w14:textFill>
        </w:rPr>
        <w:t>燃烧实验室设备</w:t>
      </w:r>
      <w:r>
        <w:rPr>
          <w:rFonts w:hint="default" w:ascii="Times New Roman" w:hAnsi="Times New Roman" w:cs="Times New Roman"/>
          <w:bCs/>
          <w:color w:val="000000" w:themeColor="text1"/>
          <w:sz w:val="30"/>
          <w:szCs w:val="30"/>
          <w14:textFill>
            <w14:solidFill>
              <w14:schemeClr w14:val="tx1"/>
            </w14:solidFill>
          </w14:textFill>
        </w:rPr>
        <w:t>采购项目</w:t>
      </w:r>
    </w:p>
    <w:p w14:paraId="586F6BB9">
      <w:pPr>
        <w:snapToGrid w:val="0"/>
        <w:spacing w:line="480" w:lineRule="auto"/>
        <w:ind w:left="2995" w:leftChars="426" w:hanging="2100" w:hangingChars="700"/>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采   购   人：无锡市检验检测认证研究院</w:t>
      </w:r>
    </w:p>
    <w:p w14:paraId="089C9911">
      <w:pPr>
        <w:snapToGrid w:val="0"/>
        <w:spacing w:line="480" w:lineRule="auto"/>
        <w:ind w:firstLine="900" w:firstLineChars="300"/>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 xml:space="preserve">采购代理机构：江苏省设备成套股份有限公司 </w:t>
      </w:r>
    </w:p>
    <w:p w14:paraId="496DA95E">
      <w:pPr>
        <w:jc w:val="center"/>
        <w:rPr>
          <w:rFonts w:hint="default" w:ascii="Times New Roman" w:hAnsi="Times New Roman" w:cs="Times New Roman"/>
          <w:bCs/>
          <w:color w:val="000000" w:themeColor="text1"/>
          <w:sz w:val="32"/>
          <w14:textFill>
            <w14:solidFill>
              <w14:schemeClr w14:val="tx1"/>
            </w14:solidFill>
          </w14:textFill>
        </w:rPr>
      </w:pPr>
    </w:p>
    <w:p w14:paraId="599EC41E">
      <w:pPr>
        <w:jc w:val="center"/>
        <w:rPr>
          <w:rFonts w:hint="default" w:ascii="Times New Roman" w:hAnsi="Times New Roman" w:cs="Times New Roman"/>
          <w:bCs/>
          <w:color w:val="000000" w:themeColor="text1"/>
          <w:sz w:val="44"/>
          <w:szCs w:val="44"/>
          <w14:textFill>
            <w14:solidFill>
              <w14:schemeClr w14:val="tx1"/>
            </w14:solidFill>
          </w14:textFill>
        </w:rPr>
      </w:pPr>
      <w:r>
        <w:rPr>
          <w:rFonts w:hint="default" w:ascii="Times New Roman" w:hAnsi="Times New Roman" w:cs="Times New Roman"/>
          <w:bCs/>
          <w:color w:val="000000" w:themeColor="text1"/>
          <w:sz w:val="44"/>
          <w:szCs w:val="44"/>
          <w14:textFill>
            <w14:solidFill>
              <w14:schemeClr w14:val="tx1"/>
            </w14:solidFill>
          </w14:textFill>
        </w:rPr>
        <w:t>二〇二六年</w:t>
      </w:r>
      <w:r>
        <w:rPr>
          <w:rFonts w:hint="eastAsia" w:cs="Times New Roman"/>
          <w:bCs/>
          <w:color w:val="000000" w:themeColor="text1"/>
          <w:sz w:val="44"/>
          <w:szCs w:val="44"/>
          <w:lang w:val="en-US" w:eastAsia="zh-CN"/>
          <w14:textFill>
            <w14:solidFill>
              <w14:schemeClr w14:val="tx1"/>
            </w14:solidFill>
          </w14:textFill>
        </w:rPr>
        <w:t>五</w:t>
      </w:r>
      <w:r>
        <w:rPr>
          <w:rFonts w:hint="default" w:ascii="Times New Roman" w:hAnsi="Times New Roman" w:cs="Times New Roman"/>
          <w:bCs/>
          <w:color w:val="000000" w:themeColor="text1"/>
          <w:sz w:val="44"/>
          <w:szCs w:val="44"/>
          <w14:textFill>
            <w14:solidFill>
              <w14:schemeClr w14:val="tx1"/>
            </w14:solidFill>
          </w14:textFill>
        </w:rPr>
        <w:t>月</w:t>
      </w:r>
    </w:p>
    <w:p w14:paraId="39E2D297">
      <w:pPr>
        <w:pStyle w:val="91"/>
        <w:spacing w:line="360" w:lineRule="auto"/>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val="zh-CN"/>
          <w14:textFill>
            <w14:solidFill>
              <w14:schemeClr w14:val="tx1"/>
            </w14:solidFill>
          </w14:textFill>
        </w:rPr>
        <w:t>目  录</w:t>
      </w:r>
    </w:p>
    <w:p w14:paraId="509BADA3">
      <w:pPr>
        <w:pStyle w:val="30"/>
        <w:tabs>
          <w:tab w:val="right" w:leader="dot" w:pos="8296"/>
        </w:tabs>
        <w:spacing w:line="360" w:lineRule="auto"/>
        <w:rPr>
          <w:rFonts w:hint="default" w:ascii="Times New Roman" w:hAnsi="Times New Roman" w:cs="Times New Roman"/>
          <w:color w:val="000000" w:themeColor="text1"/>
          <w:sz w:val="24"/>
          <w14:textFill>
            <w14:solidFill>
              <w14:schemeClr w14:val="tx1"/>
            </w14:solidFill>
          </w14:textFill>
        </w:rPr>
      </w:pPr>
    </w:p>
    <w:p w14:paraId="372333BA">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color w:val="000000" w:themeColor="text1"/>
          <w:sz w:val="24"/>
          <w14:textFill>
            <w14:solidFill>
              <w14:schemeClr w14:val="tx1"/>
            </w14:solidFill>
          </w14:textFill>
        </w:rPr>
        <w:fldChar w:fldCharType="begin"/>
      </w:r>
      <w:r>
        <w:rPr>
          <w:rFonts w:hint="default" w:ascii="Times New Roman" w:hAnsi="Times New Roman" w:cs="Times New Roman"/>
          <w:color w:val="000000" w:themeColor="text1"/>
          <w:sz w:val="24"/>
          <w14:textFill>
            <w14:solidFill>
              <w14:schemeClr w14:val="tx1"/>
            </w14:solidFill>
          </w14:textFill>
        </w:rPr>
        <w:instrText xml:space="preserve"> TOC \o "1-1" \h \z \u </w:instrText>
      </w:r>
      <w:r>
        <w:rPr>
          <w:rFonts w:hint="default" w:ascii="Times New Roman" w:hAnsi="Times New Roman" w:cs="Times New Roman"/>
          <w:color w:val="000000" w:themeColor="text1"/>
          <w:sz w:val="24"/>
          <w14:textFill>
            <w14:solidFill>
              <w14:schemeClr w14:val="tx1"/>
            </w14:solidFill>
          </w14:textFill>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"_Toc177025985"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14:textFill>
            <w14:solidFill>
              <w14:schemeClr w14:val="tx1"/>
            </w14:solidFill>
          </w14:textFill>
        </w:rPr>
        <w:t>第一章 投标邀请函</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_Toc177025985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p>
    <w:p w14:paraId="24217EBC">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"_Toc177025986"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14:textFill>
            <w14:solidFill>
              <w14:schemeClr w14:val="tx1"/>
            </w14:solidFill>
          </w14:textFill>
        </w:rPr>
        <w:t>第二章 投标人须知</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_Toc177025986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6</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p>
    <w:p w14:paraId="49A3955F">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"_Toc177025987"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kern w:val="0"/>
          <w14:textFill>
            <w14:solidFill>
              <w14:schemeClr w14:val="tx1"/>
            </w14:solidFill>
          </w14:textFill>
        </w:rPr>
        <w:t>第三章</w:t>
      </w:r>
      <w:r>
        <w:rPr>
          <w:rStyle w:val="51"/>
          <w:rFonts w:hint="default" w:ascii="Times New Roman" w:hAnsi="Times New Roman" w:cs="Times New Roman"/>
          <w:color w:val="000000" w:themeColor="text1"/>
          <w14:textFill>
            <w14:solidFill>
              <w14:schemeClr w14:val="tx1"/>
            </w14:solidFill>
          </w14:textFill>
        </w:rPr>
        <w:t xml:space="preserve">  </w:t>
      </w:r>
      <w:r>
        <w:rPr>
          <w:rStyle w:val="51"/>
          <w:rFonts w:hint="default" w:ascii="Times New Roman" w:hAnsi="Times New Roman" w:cs="Times New Roman"/>
          <w:color w:val="000000" w:themeColor="text1"/>
          <w:kern w:val="0"/>
          <w14:textFill>
            <w14:solidFill>
              <w14:schemeClr w14:val="tx1"/>
            </w14:solidFill>
          </w14:textFill>
        </w:rPr>
        <w:t>评标标准</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_Toc177025987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23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p>
    <w:p w14:paraId="077ACCF7">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"_Toc177025988"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kern w:val="0"/>
          <w14:textFill>
            <w14:solidFill>
              <w14:schemeClr w14:val="tx1"/>
            </w14:solidFill>
          </w14:textFill>
        </w:rPr>
        <w:t>第四章 项目需求</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_Toc177025988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31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p>
    <w:p w14:paraId="3C67FCD8">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"_Toc177025989"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kern w:val="0"/>
          <w14:textFill>
            <w14:solidFill>
              <w14:schemeClr w14:val="tx1"/>
            </w14:solidFill>
          </w14:textFill>
        </w:rPr>
        <w:t>第五章 合同主要条款及格式</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1</w:t>
      </w:r>
    </w:p>
    <w:p w14:paraId="5D726B22">
      <w:pPr>
        <w:pStyle w:val="30"/>
        <w:tabs>
          <w:tab w:val="right" w:leader="dot" w:pos="8302"/>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"_Toc177025990" </w:instrText>
      </w:r>
      <w:r>
        <w:rPr>
          <w:rFonts w:hint="default" w:ascii="Times New Roman" w:hAnsi="Times New Roman" w:cs="Times New Roman"/>
        </w:rPr>
        <w:fldChar w:fldCharType="separate"/>
      </w:r>
      <w:r>
        <w:rPr>
          <w:rStyle w:val="51"/>
          <w:rFonts w:hint="default" w:ascii="Times New Roman" w:hAnsi="Times New Roman" w:cs="Times New Roman"/>
          <w:color w:val="000000" w:themeColor="text1"/>
          <w:lang w:val="zh-CN"/>
          <w14:textFill>
            <w14:solidFill>
              <w14:schemeClr w14:val="tx1"/>
            </w14:solidFill>
          </w14:textFill>
        </w:rPr>
        <w:t>第六章</w:t>
      </w:r>
      <w:r>
        <w:rPr>
          <w:rStyle w:val="51"/>
          <w:rFonts w:hint="default" w:ascii="Times New Roman" w:hAnsi="Times New Roman" w:cs="Times New Roman"/>
          <w:color w:val="000000" w:themeColor="text1"/>
          <w14:textFill>
            <w14:solidFill>
              <w14:schemeClr w14:val="tx1"/>
            </w14:solidFill>
          </w14:textFill>
        </w:rPr>
        <w:t xml:space="preserve">  </w:t>
      </w:r>
      <w:r>
        <w:rPr>
          <w:rStyle w:val="51"/>
          <w:rFonts w:hint="default" w:ascii="Times New Roman" w:hAnsi="Times New Roman" w:cs="Times New Roman"/>
          <w:color w:val="000000" w:themeColor="text1"/>
          <w:lang w:val="zh-CN"/>
          <w14:textFill>
            <w14:solidFill>
              <w14:schemeClr w14:val="tx1"/>
            </w14:solidFill>
          </w14:textFill>
        </w:rPr>
        <w:t>附</w:t>
      </w:r>
      <w:r>
        <w:rPr>
          <w:rStyle w:val="51"/>
          <w:rFonts w:hint="default" w:ascii="Times New Roman" w:hAnsi="Times New Roman" w:cs="Times New Roman"/>
          <w:color w:val="000000" w:themeColor="text1"/>
          <w14:textFill>
            <w14:solidFill>
              <w14:schemeClr w14:val="tx1"/>
            </w14:solidFill>
          </w14:textFill>
        </w:rPr>
        <w:t xml:space="preserve">  </w:t>
      </w:r>
      <w:r>
        <w:rPr>
          <w:rStyle w:val="51"/>
          <w:rFonts w:hint="default" w:ascii="Times New Roman" w:hAnsi="Times New Roman" w:cs="Times New Roman"/>
          <w:color w:val="000000" w:themeColor="text1"/>
          <w:lang w:val="zh-CN"/>
          <w14:textFill>
            <w14:solidFill>
              <w14:schemeClr w14:val="tx1"/>
            </w14:solidFill>
          </w14:textFill>
        </w:rPr>
        <w:t>件</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_Toc177025990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47</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p>
    <w:p w14:paraId="4BF17964">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fldChar w:fldCharType="end"/>
      </w:r>
    </w:p>
    <w:p w14:paraId="1928971D">
      <w:pPr>
        <w:widowControl/>
        <w:shd w:val="clear" w:color="auto" w:fill="FFFFFF"/>
        <w:spacing w:line="360" w:lineRule="auto"/>
        <w:jc w:val="center"/>
        <w:rPr>
          <w:rFonts w:hint="default" w:ascii="Times New Roman" w:hAnsi="Times New Roman" w:cs="Times New Roman"/>
          <w:b/>
          <w:color w:val="000000" w:themeColor="text1"/>
          <w:kern w:val="0"/>
          <w:szCs w:val="21"/>
          <w14:textFill>
            <w14:solidFill>
              <w14:schemeClr w14:val="tx1"/>
            </w14:solidFill>
          </w14:textFill>
        </w:rPr>
      </w:pPr>
    </w:p>
    <w:p w14:paraId="54067C30">
      <w:pPr>
        <w:widowControl/>
        <w:spacing w:line="360" w:lineRule="auto"/>
        <w:jc w:val="left"/>
        <w:rPr>
          <w:rFonts w:hint="default" w:ascii="Times New Roman" w:hAnsi="Times New Roman" w:cs="Times New Roman"/>
          <w:b/>
          <w:bCs/>
          <w:color w:val="000000" w:themeColor="text1"/>
          <w:kern w:val="0"/>
          <w:szCs w:val="21"/>
          <w14:textFill>
            <w14:solidFill>
              <w14:schemeClr w14:val="tx1"/>
            </w14:solidFill>
          </w14:textFill>
        </w:rPr>
        <w:sectPr>
          <w:headerReference r:id="rId5" w:type="default"/>
          <w:footerReference r:id="rId7" w:type="default"/>
          <w:headerReference r:id="rId6" w:type="even"/>
          <w:pgSz w:w="11906" w:h="16838"/>
          <w:pgMar w:top="1440" w:right="1797" w:bottom="1440" w:left="1797" w:header="851" w:footer="992" w:gutter="0"/>
          <w:pgNumType w:start="1"/>
          <w:cols w:space="720" w:num="1"/>
          <w:titlePg/>
          <w:docGrid w:type="lines" w:linePitch="312" w:charSpace="0"/>
        </w:sectPr>
      </w:pPr>
    </w:p>
    <w:p w14:paraId="3B1FC5AD">
      <w:pPr>
        <w:pStyle w:val="3"/>
        <w:spacing w:line="360" w:lineRule="auto"/>
        <w:rPr>
          <w:rFonts w:hint="default" w:ascii="Times New Roman" w:hAnsi="Times New Roman" w:cs="Times New Roman"/>
          <w:color w:val="000000" w:themeColor="text1"/>
          <w:sz w:val="28"/>
          <w:szCs w:val="28"/>
          <w14:textFill>
            <w14:solidFill>
              <w14:schemeClr w14:val="tx1"/>
            </w14:solidFill>
          </w14:textFill>
        </w:rPr>
      </w:pPr>
      <w:bookmarkStart w:id="1" w:name="_Toc481057143"/>
      <w:bookmarkStart w:id="2" w:name="OLE_LINK1"/>
      <w:bookmarkStart w:id="3" w:name="_Hlk82872521"/>
      <w:r>
        <w:rPr>
          <w:rFonts w:hint="default" w:ascii="Times New Roman" w:hAnsi="Times New Roman" w:cs="Times New Roman"/>
          <w:color w:val="000000" w:themeColor="text1"/>
          <w:sz w:val="28"/>
          <w:szCs w:val="28"/>
          <w14:textFill>
            <w14:solidFill>
              <w14:schemeClr w14:val="tx1"/>
            </w14:solidFill>
          </w14:textFill>
        </w:rPr>
        <w:t xml:space="preserve"> </w:t>
      </w:r>
      <w:bookmarkEnd w:id="1"/>
      <w:bookmarkEnd w:id="2"/>
      <w:bookmarkStart w:id="4" w:name="_Toc177025985"/>
      <w:r>
        <w:rPr>
          <w:rFonts w:hint="default" w:ascii="Times New Roman" w:hAnsi="Times New Roman" w:cs="Times New Roman"/>
          <w:color w:val="000000" w:themeColor="text1"/>
          <w:sz w:val="28"/>
          <w:szCs w:val="28"/>
          <w14:textFill>
            <w14:solidFill>
              <w14:schemeClr w14:val="tx1"/>
            </w14:solidFill>
          </w14:textFill>
        </w:rPr>
        <w:t>投标邀请函</w:t>
      </w:r>
      <w:bookmarkEnd w:id="4"/>
    </w:p>
    <w:p w14:paraId="5DD122DA">
      <w:pPr>
        <w:spacing w:line="36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我司受无锡市检验检测认证研究院委托，对其无锡市检验检测认证研究院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燃烧实验室设备</w:t>
      </w:r>
      <w:r>
        <w:rPr>
          <w:rFonts w:hint="default" w:ascii="Times New Roman" w:hAnsi="Times New Roman" w:cs="Times New Roman"/>
          <w:bCs/>
          <w:color w:val="000000" w:themeColor="text1"/>
          <w:sz w:val="24"/>
          <w14:textFill>
            <w14:solidFill>
              <w14:schemeClr w14:val="tx1"/>
            </w14:solidFill>
          </w14:textFill>
        </w:rPr>
        <w:t>采购项目进行公开招标采购，欢迎你单位参加投标并提请注意下列附表中的相关事项：</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7886"/>
      </w:tblGrid>
      <w:tr w14:paraId="6FD1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72" w:type="pct"/>
            <w:tcBorders>
              <w:top w:val="single" w:color="auto" w:sz="4" w:space="0"/>
              <w:left w:val="single" w:color="auto" w:sz="4" w:space="0"/>
              <w:bottom w:val="single" w:color="auto" w:sz="4" w:space="0"/>
              <w:right w:val="single" w:color="auto" w:sz="4" w:space="0"/>
            </w:tcBorders>
          </w:tcPr>
          <w:p w14:paraId="738388DE">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序号</w:t>
            </w:r>
          </w:p>
        </w:tc>
        <w:tc>
          <w:tcPr>
            <w:tcW w:w="4627" w:type="pct"/>
            <w:tcBorders>
              <w:top w:val="single" w:color="auto" w:sz="4" w:space="0"/>
              <w:left w:val="single" w:color="auto" w:sz="4" w:space="0"/>
              <w:bottom w:val="single" w:color="auto" w:sz="4" w:space="0"/>
              <w:right w:val="single" w:color="auto" w:sz="4" w:space="0"/>
            </w:tcBorders>
          </w:tcPr>
          <w:p w14:paraId="3B129DE3">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内    容</w:t>
            </w:r>
          </w:p>
        </w:tc>
      </w:tr>
      <w:tr w14:paraId="0687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372" w:type="pct"/>
            <w:tcBorders>
              <w:top w:val="single" w:color="auto" w:sz="4" w:space="0"/>
              <w:left w:val="single" w:color="auto" w:sz="4" w:space="0"/>
              <w:bottom w:val="single" w:color="auto" w:sz="4" w:space="0"/>
              <w:right w:val="single" w:color="auto" w:sz="4" w:space="0"/>
            </w:tcBorders>
            <w:vAlign w:val="center"/>
          </w:tcPr>
          <w:p w14:paraId="2E7EC23B">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1</w:t>
            </w:r>
          </w:p>
        </w:tc>
        <w:tc>
          <w:tcPr>
            <w:tcW w:w="4627" w:type="pct"/>
            <w:tcBorders>
              <w:top w:val="single" w:color="auto" w:sz="4" w:space="0"/>
              <w:left w:val="single" w:color="auto" w:sz="4" w:space="0"/>
              <w:bottom w:val="single" w:color="auto" w:sz="4" w:space="0"/>
              <w:right w:val="single" w:color="auto" w:sz="4" w:space="0"/>
            </w:tcBorders>
          </w:tcPr>
          <w:p w14:paraId="7F434C01">
            <w:pPr>
              <w:tabs>
                <w:tab w:val="left" w:pos="6090"/>
              </w:tabs>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项目名称：无锡市检验检测认证研究院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燃烧实验室设备</w:t>
            </w:r>
            <w:r>
              <w:rPr>
                <w:rFonts w:hint="default" w:ascii="Times New Roman" w:hAnsi="Times New Roman" w:cs="Times New Roman"/>
                <w:bCs/>
                <w:color w:val="000000" w:themeColor="text1"/>
                <w:sz w:val="24"/>
                <w14:textFill>
                  <w14:solidFill>
                    <w14:schemeClr w14:val="tx1"/>
                  </w14:solidFill>
                </w14:textFill>
              </w:rPr>
              <w:t>采购项目</w:t>
            </w:r>
          </w:p>
          <w:p w14:paraId="3AD3492F">
            <w:pPr>
              <w:tabs>
                <w:tab w:val="left" w:pos="6090"/>
              </w:tabs>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采购编号：</w:t>
            </w:r>
            <w:r>
              <w:rPr>
                <w:rFonts w:hint="default" w:ascii="Times New Roman" w:hAnsi="Times New Roman" w:cs="Times New Roman"/>
                <w:bCs/>
                <w:color w:val="000000" w:themeColor="text1"/>
                <w:sz w:val="24"/>
                <w:lang w:eastAsia="zh-CN"/>
                <w14:textFill>
                  <w14:solidFill>
                    <w14:schemeClr w14:val="tx1"/>
                  </w14:solidFill>
                </w14:textFill>
              </w:rPr>
              <w:t>ZZ066026V7Z</w:t>
            </w:r>
            <w:r>
              <w:rPr>
                <w:rFonts w:hint="default" w:ascii="Times New Roman" w:hAnsi="Times New Roman" w:cs="Times New Roman"/>
                <w:bCs/>
                <w:color w:val="000000" w:themeColor="text1"/>
                <w:sz w:val="24"/>
                <w:highlight w:val="none"/>
                <w:lang w:eastAsia="zh-CN"/>
                <w14:textFill>
                  <w14:solidFill>
                    <w14:schemeClr w14:val="tx1"/>
                  </w14:solidFill>
                </w14:textFill>
              </w:rPr>
              <w:t>C01119</w:t>
            </w:r>
            <w:r>
              <w:rPr>
                <w:rFonts w:hint="default" w:ascii="Times New Roman" w:hAnsi="Times New Roman" w:cs="Times New Roman"/>
                <w:bCs/>
                <w:color w:val="000000" w:themeColor="text1"/>
                <w:sz w:val="24"/>
                <w:highlight w:val="none"/>
                <w14:textFill>
                  <w14:solidFill>
                    <w14:schemeClr w14:val="tx1"/>
                  </w14:solidFill>
                </w14:textFill>
              </w:rPr>
              <w:t>（</w:t>
            </w:r>
            <w:r>
              <w:rPr>
                <w:rFonts w:hint="eastAsia" w:cs="Times New Roman"/>
                <w:bCs/>
                <w:color w:val="000000" w:themeColor="text1"/>
                <w:sz w:val="24"/>
                <w:highlight w:val="none"/>
                <w:lang w:eastAsia="zh-CN"/>
                <w14:textFill>
                  <w14:solidFill>
                    <w14:schemeClr w14:val="tx1"/>
                  </w14:solidFill>
                </w14:textFill>
              </w:rPr>
              <w:t>JSZC-320200-JCEC-G2026-0141</w:t>
            </w:r>
            <w:r>
              <w:rPr>
                <w:rFonts w:hint="default" w:ascii="Times New Roman" w:hAnsi="Times New Roman" w:cs="Times New Roman"/>
                <w:bCs/>
                <w:color w:val="000000" w:themeColor="text1"/>
                <w:sz w:val="24"/>
                <w:highlight w:val="none"/>
                <w14:textFill>
                  <w14:solidFill>
                    <w14:schemeClr w14:val="tx1"/>
                  </w14:solidFill>
                </w14:textFill>
              </w:rPr>
              <w:t>）</w:t>
            </w:r>
          </w:p>
          <w:p w14:paraId="124778EC">
            <w:pPr>
              <w:tabs>
                <w:tab w:val="left" w:pos="6090"/>
              </w:tabs>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采购人：无锡市检验检测认证研究院  </w:t>
            </w:r>
          </w:p>
          <w:p w14:paraId="5EB6D1D4">
            <w:pPr>
              <w:tabs>
                <w:tab w:val="left" w:pos="6090"/>
              </w:tabs>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采购方式：公开招标</w:t>
            </w:r>
          </w:p>
        </w:tc>
      </w:tr>
      <w:tr w14:paraId="23A6B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372" w:type="pct"/>
            <w:tcBorders>
              <w:top w:val="single" w:color="auto" w:sz="4" w:space="0"/>
              <w:left w:val="single" w:color="auto" w:sz="4" w:space="0"/>
              <w:bottom w:val="single" w:color="auto" w:sz="4" w:space="0"/>
              <w:right w:val="single" w:color="auto" w:sz="4" w:space="0"/>
            </w:tcBorders>
            <w:vAlign w:val="center"/>
          </w:tcPr>
          <w:p w14:paraId="11D38E5A">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2</w:t>
            </w:r>
          </w:p>
        </w:tc>
        <w:tc>
          <w:tcPr>
            <w:tcW w:w="4627" w:type="pct"/>
            <w:tcBorders>
              <w:top w:val="single" w:color="auto" w:sz="4" w:space="0"/>
              <w:left w:val="single" w:color="auto" w:sz="4" w:space="0"/>
              <w:bottom w:val="single" w:color="auto" w:sz="4" w:space="0"/>
              <w:right w:val="single" w:color="auto" w:sz="4" w:space="0"/>
            </w:tcBorders>
          </w:tcPr>
          <w:p w14:paraId="035BE32C">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采购代理机构：江苏省设备成套股份有限公司</w:t>
            </w:r>
          </w:p>
          <w:p w14:paraId="2713AB27">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采购机构地址：无锡市梁溪区汇太路33号积高科技园315室</w:t>
            </w:r>
          </w:p>
        </w:tc>
      </w:tr>
      <w:tr w14:paraId="589A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 w:type="pct"/>
            <w:tcBorders>
              <w:top w:val="single" w:color="auto" w:sz="4" w:space="0"/>
              <w:left w:val="single" w:color="auto" w:sz="4" w:space="0"/>
              <w:bottom w:val="single" w:color="auto" w:sz="4" w:space="0"/>
              <w:right w:val="single" w:color="auto" w:sz="4" w:space="0"/>
            </w:tcBorders>
            <w:vAlign w:val="center"/>
          </w:tcPr>
          <w:p w14:paraId="04F6162B">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3</w:t>
            </w:r>
          </w:p>
        </w:tc>
        <w:tc>
          <w:tcPr>
            <w:tcW w:w="4627" w:type="pct"/>
            <w:tcBorders>
              <w:top w:val="single" w:color="auto" w:sz="4" w:space="0"/>
              <w:left w:val="single" w:color="auto" w:sz="4" w:space="0"/>
              <w:bottom w:val="single" w:color="auto" w:sz="4" w:space="0"/>
              <w:right w:val="single" w:color="auto" w:sz="4" w:space="0"/>
            </w:tcBorders>
          </w:tcPr>
          <w:p w14:paraId="74CA8642">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采购项目概况、要求：</w:t>
            </w:r>
          </w:p>
          <w:p w14:paraId="556B71D5">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燃烧实验室设备</w:t>
            </w:r>
            <w:r>
              <w:rPr>
                <w:rFonts w:hint="default" w:ascii="Times New Roman" w:hAnsi="Times New Roman" w:cs="Times New Roman"/>
                <w:bCs/>
                <w:color w:val="000000" w:themeColor="text1"/>
                <w:sz w:val="24"/>
                <w14:textFill>
                  <w14:solidFill>
                    <w14:schemeClr w14:val="tx1"/>
                  </w14:solidFill>
                </w14:textFill>
              </w:rPr>
              <w:t>采购项目；</w:t>
            </w:r>
          </w:p>
          <w:p w14:paraId="1CAD2845">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完工期：六个月(包括安装调试验收)</w:t>
            </w:r>
          </w:p>
          <w:p w14:paraId="35F30F4C">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质量要求：符合国家标准、行业标准、地方标准或者其他标准、规范；</w:t>
            </w:r>
          </w:p>
          <w:p w14:paraId="6BF18C13">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免费质保期：1年</w:t>
            </w:r>
          </w:p>
          <w:p w14:paraId="4ED93CCC">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交货地点：锡山基地防火实验室场地</w:t>
            </w:r>
          </w:p>
          <w:p w14:paraId="6D1B45DA">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本项目是否专门面向中小企业：</w:t>
            </w:r>
            <w:r>
              <w:rPr>
                <w:rFonts w:hint="default" w:ascii="Times New Roman" w:hAnsi="Times New Roman" w:cs="Times New Roman"/>
                <w:bCs/>
                <w:color w:val="000000" w:themeColor="text1"/>
                <w:sz w:val="24"/>
                <w:lang w:val="en-US" w:eastAsia="zh-CN"/>
                <w14:textFill>
                  <w14:solidFill>
                    <w14:schemeClr w14:val="tx1"/>
                  </w14:solidFill>
                </w14:textFill>
              </w:rPr>
              <w:t>是</w:t>
            </w:r>
            <w:r>
              <w:rPr>
                <w:rFonts w:hint="default" w:ascii="Times New Roman" w:hAnsi="Times New Roman" w:cs="Times New Roman"/>
                <w:bCs/>
                <w:color w:val="000000" w:themeColor="text1"/>
                <w:sz w:val="24"/>
                <w14:textFill>
                  <w14:solidFill>
                    <w14:schemeClr w14:val="tx1"/>
                  </w14:solidFill>
                </w14:textFill>
              </w:rPr>
              <w:t>；</w:t>
            </w:r>
          </w:p>
          <w:p w14:paraId="28259220">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bookmarkStart w:id="5" w:name="_Hlk177028689"/>
            <w:r>
              <w:rPr>
                <w:rFonts w:hint="default" w:ascii="Times New Roman" w:hAnsi="Times New Roman" w:cs="Times New Roman"/>
                <w:bCs/>
                <w:color w:val="000000" w:themeColor="text1"/>
                <w:sz w:val="24"/>
                <w14:textFill>
                  <w14:solidFill>
                    <w14:schemeClr w14:val="tx1"/>
                  </w14:solidFill>
                </w14:textFill>
              </w:rPr>
              <w:t>本项目（是/否）接受联合体投标：否</w:t>
            </w:r>
            <w:bookmarkEnd w:id="5"/>
            <w:r>
              <w:rPr>
                <w:rFonts w:hint="default" w:ascii="Times New Roman" w:hAnsi="Times New Roman" w:cs="Times New Roman"/>
                <w:bCs/>
                <w:color w:val="000000" w:themeColor="text1"/>
                <w:sz w:val="24"/>
                <w14:textFill>
                  <w14:solidFill>
                    <w14:schemeClr w14:val="tx1"/>
                  </w14:solidFill>
                </w14:textFill>
              </w:rPr>
              <w:t>；</w:t>
            </w:r>
          </w:p>
          <w:p w14:paraId="6332D3DA">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本项目标的所属行业：工业；</w:t>
            </w:r>
          </w:p>
          <w:p w14:paraId="614E6F14">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采购预算金额：110万元，项目设备如下：单体燃烧试验机</w:t>
            </w:r>
            <w:r>
              <w:rPr>
                <w:rFonts w:hint="default" w:ascii="Times New Roman" w:hAnsi="Times New Roman" w:cs="Times New Roman"/>
                <w:bCs/>
                <w:color w:val="000000"/>
                <w:sz w:val="24"/>
              </w:rPr>
              <w:t>55万元；</w:t>
            </w:r>
            <w:r>
              <w:rPr>
                <w:rFonts w:hint="default" w:ascii="Times New Roman" w:hAnsi="Times New Roman" w:cs="Times New Roman"/>
                <w:bCs/>
                <w:sz w:val="24"/>
              </w:rPr>
              <w:t>尾气处理系统55万元。</w:t>
            </w:r>
          </w:p>
          <w:p w14:paraId="2C0554E3">
            <w:pPr>
              <w:spacing w:after="0" w:line="240" w:lineRule="auto"/>
              <w:ind w:firstLine="480" w:firstLineChars="200"/>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最高限价：</w:t>
            </w:r>
            <w:r>
              <w:rPr>
                <w:rFonts w:hint="default" w:ascii="Times New Roman" w:hAnsi="Times New Roman" w:cs="Times New Roman"/>
                <w:color w:val="000000" w:themeColor="text1"/>
                <w:sz w:val="24"/>
                <w:lang w:val="en-US" w:eastAsia="zh-CN"/>
                <w14:textFill>
                  <w14:solidFill>
                    <w14:schemeClr w14:val="tx1"/>
                  </w14:solidFill>
                </w14:textFill>
              </w:rPr>
              <w:t>103.03</w:t>
            </w:r>
            <w:r>
              <w:rPr>
                <w:rFonts w:hint="default" w:ascii="Times New Roman" w:hAnsi="Times New Roman" w:cs="Times New Roman"/>
                <w:bCs/>
                <w:color w:val="000000" w:themeColor="text1"/>
                <w:sz w:val="24"/>
                <w14:textFill>
                  <w14:solidFill>
                    <w14:schemeClr w14:val="tx1"/>
                  </w14:solidFill>
                </w14:textFill>
              </w:rPr>
              <w:t>万元，项目设备如下：单体燃烧试验机</w:t>
            </w:r>
            <w:r>
              <w:rPr>
                <w:rFonts w:hint="default" w:ascii="Times New Roman" w:hAnsi="Times New Roman" w:cs="Times New Roman"/>
                <w:bCs/>
                <w:color w:val="000000" w:themeColor="text1"/>
                <w:sz w:val="24"/>
                <w:lang w:val="en-US" w:eastAsia="zh-CN"/>
                <w14:textFill>
                  <w14:solidFill>
                    <w14:schemeClr w14:val="tx1"/>
                  </w14:solidFill>
                </w14:textFill>
              </w:rPr>
              <w:t>51.33</w:t>
            </w:r>
            <w:r>
              <w:rPr>
                <w:rFonts w:hint="default" w:ascii="Times New Roman" w:hAnsi="Times New Roman" w:cs="Times New Roman"/>
                <w:bCs/>
                <w:color w:val="000000"/>
                <w:sz w:val="24"/>
              </w:rPr>
              <w:t>万元；</w:t>
            </w:r>
            <w:r>
              <w:rPr>
                <w:rFonts w:hint="default" w:ascii="Times New Roman" w:hAnsi="Times New Roman" w:cs="Times New Roman"/>
                <w:bCs/>
                <w:sz w:val="24"/>
              </w:rPr>
              <w:t>尾气处理系统</w:t>
            </w:r>
            <w:r>
              <w:rPr>
                <w:rFonts w:hint="default" w:ascii="Times New Roman" w:hAnsi="Times New Roman" w:cs="Times New Roman"/>
                <w:bCs/>
                <w:sz w:val="24"/>
                <w:lang w:val="en-US" w:eastAsia="zh-CN"/>
              </w:rPr>
              <w:t>51.7</w:t>
            </w:r>
            <w:r>
              <w:rPr>
                <w:rFonts w:hint="default" w:ascii="Times New Roman" w:hAnsi="Times New Roman" w:cs="Times New Roman"/>
                <w:bCs/>
                <w:sz w:val="24"/>
              </w:rPr>
              <w:t>万元。</w:t>
            </w:r>
          </w:p>
        </w:tc>
      </w:tr>
      <w:tr w14:paraId="4E01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72" w:type="pct"/>
            <w:tcBorders>
              <w:top w:val="single" w:color="auto" w:sz="4" w:space="0"/>
              <w:left w:val="single" w:color="auto" w:sz="4" w:space="0"/>
              <w:bottom w:val="single" w:color="auto" w:sz="4" w:space="0"/>
              <w:right w:val="single" w:color="auto" w:sz="4" w:space="0"/>
            </w:tcBorders>
            <w:vAlign w:val="center"/>
          </w:tcPr>
          <w:p w14:paraId="713EB7EC">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4</w:t>
            </w:r>
          </w:p>
        </w:tc>
        <w:tc>
          <w:tcPr>
            <w:tcW w:w="4627" w:type="pct"/>
            <w:tcBorders>
              <w:top w:val="single" w:color="auto" w:sz="4" w:space="0"/>
              <w:left w:val="single" w:color="auto" w:sz="4" w:space="0"/>
              <w:bottom w:val="single" w:color="auto" w:sz="4" w:space="0"/>
              <w:right w:val="single" w:color="auto" w:sz="4" w:space="0"/>
            </w:tcBorders>
          </w:tcPr>
          <w:p w14:paraId="57BFADB5">
            <w:pPr>
              <w:widowControl/>
              <w:spacing w:after="0" w:line="240" w:lineRule="auto"/>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bCs/>
                <w:color w:val="000000" w:themeColor="text1"/>
                <w:kern w:val="0"/>
                <w:sz w:val="24"/>
                <w:szCs w:val="21"/>
                <w14:textFill>
                  <w14:solidFill>
                    <w14:schemeClr w14:val="tx1"/>
                  </w14:solidFill>
                </w14:textFill>
              </w:rPr>
              <w:t>投标供应商条件：</w:t>
            </w:r>
          </w:p>
          <w:p w14:paraId="50885B77">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1.具备《中华人民共和国政府采购法》第二十二条规定的条件；</w:t>
            </w:r>
          </w:p>
          <w:p w14:paraId="339D515D">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2.落实政府采购政策需满足的资格要求：无</w:t>
            </w:r>
          </w:p>
          <w:p w14:paraId="67129893">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3.具备采购人根据招标项目的特殊要求规定的以下特定条件：</w:t>
            </w:r>
          </w:p>
          <w:p w14:paraId="397F08BC">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（1）未被“信用中国”网站列入失信被执行人、</w:t>
            </w:r>
            <w:r>
              <w:rPr>
                <w:rFonts w:hint="eastAsia" w:cs="Times New Roman"/>
                <w:color w:val="000000" w:themeColor="text1"/>
                <w:kern w:val="0"/>
                <w:sz w:val="24"/>
                <w:szCs w:val="21"/>
                <w:lang w:eastAsia="zh-CN"/>
                <w14:textFill>
                  <w14:solidFill>
                    <w14:schemeClr w14:val="tx1"/>
                  </w14:solidFill>
                </w14:textFill>
              </w:rPr>
              <w:t>重大税收违法失信主体</w:t>
            </w:r>
            <w:r>
              <w:rPr>
                <w:rFonts w:hint="default" w:ascii="Times New Roman" w:hAnsi="Times New Roman" w:cs="Times New Roman"/>
                <w:color w:val="000000" w:themeColor="text1"/>
                <w:kern w:val="0"/>
                <w:sz w:val="24"/>
                <w:szCs w:val="21"/>
                <w14:textFill>
                  <w14:solidFill>
                    <w14:schemeClr w14:val="tx1"/>
                  </w14:solidFill>
                </w14:textFill>
              </w:rPr>
              <w:t>、政府采购严重违法失信行为记录名单；</w:t>
            </w:r>
          </w:p>
          <w:p w14:paraId="38FFFA8F">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（2）投标供应商在中国大陆境内合法注册；</w:t>
            </w:r>
          </w:p>
          <w:p w14:paraId="775E0386">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（3）投标供应商为具备相关产品制造或销售能力的制造商或者代理商；</w:t>
            </w:r>
          </w:p>
          <w:p w14:paraId="6E4DBFA7">
            <w:pPr>
              <w:widowControl/>
              <w:spacing w:after="0" w:line="240" w:lineRule="auto"/>
              <w:ind w:firstLine="480"/>
              <w:jc w:val="left"/>
              <w:rPr>
                <w:rFonts w:hint="default" w:ascii="Times New Roman" w:hAnsi="Times New Roman" w:cs="Times New Roman"/>
                <w:color w:val="000000" w:themeColor="text1"/>
                <w:kern w:val="0"/>
                <w:sz w:val="24"/>
                <w:szCs w:val="21"/>
                <w14:textFill>
                  <w14:solidFill>
                    <w14:schemeClr w14:val="tx1"/>
                  </w14:solidFill>
                </w14:textFill>
              </w:rPr>
            </w:pPr>
            <w:r>
              <w:rPr>
                <w:rFonts w:hint="default" w:ascii="Times New Roman" w:hAnsi="Times New Roman" w:cs="Times New Roman"/>
                <w:color w:val="000000" w:themeColor="text1"/>
                <w:kern w:val="0"/>
                <w:sz w:val="24"/>
                <w:szCs w:val="21"/>
                <w14:textFill>
                  <w14:solidFill>
                    <w14:schemeClr w14:val="tx1"/>
                  </w14:solidFill>
                </w14:textFill>
              </w:rPr>
              <w:t>（4）本项目不接受联合投标。</w:t>
            </w:r>
          </w:p>
          <w:p w14:paraId="7A633DD6">
            <w:pPr>
              <w:widowControl/>
              <w:spacing w:after="0" w:line="240" w:lineRule="auto"/>
              <w:ind w:firstLine="480"/>
              <w:jc w:val="left"/>
              <w:rPr>
                <w:rFonts w:hint="default" w:ascii="Times New Roman" w:hAnsi="Times New Roman" w:cs="Times New Roman"/>
              </w:rPr>
            </w:pPr>
            <w:r>
              <w:rPr>
                <w:rFonts w:hint="default" w:ascii="Times New Roman" w:hAnsi="Times New Roman" w:cs="Times New Roman"/>
                <w:color w:val="000000" w:themeColor="text1"/>
                <w:kern w:val="0"/>
                <w:sz w:val="24"/>
                <w:szCs w:val="21"/>
                <w14:textFill>
                  <w14:solidFill>
                    <w14:schemeClr w14:val="tx1"/>
                  </w14:solidFill>
                </w14:textFill>
              </w:rPr>
              <w:t>（5）授权委托人应为投标供应商在职职工；</w:t>
            </w:r>
          </w:p>
        </w:tc>
      </w:tr>
      <w:tr w14:paraId="2A70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72" w:type="pct"/>
            <w:tcBorders>
              <w:top w:val="single" w:color="auto" w:sz="4" w:space="0"/>
              <w:left w:val="single" w:color="auto" w:sz="4" w:space="0"/>
              <w:bottom w:val="single" w:color="auto" w:sz="4" w:space="0"/>
              <w:right w:val="single" w:color="auto" w:sz="4" w:space="0"/>
            </w:tcBorders>
            <w:vAlign w:val="center"/>
          </w:tcPr>
          <w:p w14:paraId="1F222A66">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5</w:t>
            </w:r>
          </w:p>
        </w:tc>
        <w:tc>
          <w:tcPr>
            <w:tcW w:w="4627" w:type="pct"/>
            <w:tcBorders>
              <w:top w:val="single" w:color="auto" w:sz="4" w:space="0"/>
              <w:left w:val="single" w:color="auto" w:sz="4" w:space="0"/>
              <w:bottom w:val="single" w:color="auto" w:sz="4" w:space="0"/>
              <w:right w:val="single" w:color="auto" w:sz="4" w:space="0"/>
            </w:tcBorders>
          </w:tcPr>
          <w:p w14:paraId="1BE92F54">
            <w:pPr>
              <w:spacing w:after="0" w:line="240" w:lineRule="auto"/>
              <w:ind w:left="-59" w:leftChars="-28"/>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答疑会时间：无</w:t>
            </w:r>
          </w:p>
          <w:p w14:paraId="1F809124">
            <w:pPr>
              <w:spacing w:after="0" w:line="240" w:lineRule="auto"/>
              <w:ind w:left="-59" w:leftChars="-28"/>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答疑会地点：无</w:t>
            </w:r>
          </w:p>
        </w:tc>
      </w:tr>
      <w:tr w14:paraId="0394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72" w:type="pct"/>
            <w:tcBorders>
              <w:top w:val="single" w:color="auto" w:sz="4" w:space="0"/>
              <w:left w:val="single" w:color="auto" w:sz="4" w:space="0"/>
              <w:bottom w:val="single" w:color="auto" w:sz="4" w:space="0"/>
              <w:right w:val="single" w:color="auto" w:sz="4" w:space="0"/>
            </w:tcBorders>
            <w:vAlign w:val="center"/>
          </w:tcPr>
          <w:p w14:paraId="5C8B2895">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6</w:t>
            </w:r>
          </w:p>
        </w:tc>
        <w:tc>
          <w:tcPr>
            <w:tcW w:w="4627" w:type="pct"/>
            <w:tcBorders>
              <w:top w:val="single" w:color="auto" w:sz="4" w:space="0"/>
              <w:left w:val="single" w:color="auto" w:sz="4" w:space="0"/>
              <w:bottom w:val="single" w:color="auto" w:sz="4" w:space="0"/>
              <w:right w:val="single" w:color="auto" w:sz="4" w:space="0"/>
            </w:tcBorders>
            <w:vAlign w:val="center"/>
          </w:tcPr>
          <w:p w14:paraId="4BBCC95E">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投标有效期：投标截止之日起60天</w:t>
            </w:r>
          </w:p>
        </w:tc>
      </w:tr>
      <w:tr w14:paraId="295E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372" w:type="pct"/>
            <w:tcBorders>
              <w:top w:val="single" w:color="auto" w:sz="4" w:space="0"/>
              <w:left w:val="single" w:color="auto" w:sz="4" w:space="0"/>
              <w:bottom w:val="single" w:color="auto" w:sz="4" w:space="0"/>
              <w:right w:val="single" w:color="auto" w:sz="4" w:space="0"/>
            </w:tcBorders>
            <w:vAlign w:val="center"/>
          </w:tcPr>
          <w:p w14:paraId="42F8CA01">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7</w:t>
            </w:r>
          </w:p>
        </w:tc>
        <w:tc>
          <w:tcPr>
            <w:tcW w:w="4627" w:type="pct"/>
            <w:tcBorders>
              <w:top w:val="single" w:color="auto" w:sz="4" w:space="0"/>
              <w:left w:val="single" w:color="auto" w:sz="4" w:space="0"/>
              <w:bottom w:val="single" w:color="auto" w:sz="4" w:space="0"/>
              <w:right w:val="single" w:color="auto" w:sz="4" w:space="0"/>
            </w:tcBorders>
          </w:tcPr>
          <w:p w14:paraId="1EE9E238">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投标文件开始接受时间：2026年</w:t>
            </w:r>
            <w:r>
              <w:rPr>
                <w:rFonts w:hint="eastAsia" w:cs="Times New Roman"/>
                <w:color w:val="000000" w:themeColor="text1"/>
                <w:sz w:val="24"/>
                <w:szCs w:val="20"/>
                <w:lang w:val="en-US" w:eastAsia="zh-CN"/>
                <w14:textFill>
                  <w14:solidFill>
                    <w14:schemeClr w14:val="tx1"/>
                  </w14:solidFill>
                </w14:textFill>
              </w:rPr>
              <w:t>6月11日</w:t>
            </w:r>
            <w:r>
              <w:rPr>
                <w:rFonts w:hint="default" w:ascii="Times New Roman" w:hAnsi="Times New Roman" w:cs="Times New Roman"/>
                <w:color w:val="000000" w:themeColor="text1"/>
                <w:sz w:val="24"/>
                <w:szCs w:val="20"/>
                <w14:textFill>
                  <w14:solidFill>
                    <w14:schemeClr w14:val="tx1"/>
                  </w14:solidFill>
                </w14:textFill>
              </w:rPr>
              <w:t>13:00始</w:t>
            </w:r>
          </w:p>
          <w:p w14:paraId="0F5880A8">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投标文件接收截止时间：2026年</w:t>
            </w:r>
            <w:r>
              <w:rPr>
                <w:rFonts w:hint="eastAsia" w:cs="Times New Roman"/>
                <w:color w:val="000000" w:themeColor="text1"/>
                <w:sz w:val="24"/>
                <w:szCs w:val="20"/>
                <w:lang w:val="en-US" w:eastAsia="zh-CN"/>
                <w14:textFill>
                  <w14:solidFill>
                    <w14:schemeClr w14:val="tx1"/>
                  </w14:solidFill>
                </w14:textFill>
              </w:rPr>
              <w:t>6月11日</w:t>
            </w:r>
            <w:r>
              <w:rPr>
                <w:rFonts w:hint="default" w:ascii="Times New Roman" w:hAnsi="Times New Roman" w:cs="Times New Roman"/>
                <w:color w:val="000000" w:themeColor="text1"/>
                <w:sz w:val="24"/>
                <w:szCs w:val="20"/>
                <w14:textFill>
                  <w14:solidFill>
                    <w14:schemeClr w14:val="tx1"/>
                  </w14:solidFill>
                </w14:textFill>
              </w:rPr>
              <w:t>13:30止</w:t>
            </w:r>
          </w:p>
          <w:p w14:paraId="7220F9A7">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截止期后的投标文件恕不接收。</w:t>
            </w:r>
          </w:p>
          <w:p w14:paraId="33E20F6D">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投标地点：苏采云平台</w:t>
            </w:r>
          </w:p>
        </w:tc>
      </w:tr>
      <w:tr w14:paraId="594E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372" w:type="pct"/>
            <w:tcBorders>
              <w:top w:val="single" w:color="auto" w:sz="4" w:space="0"/>
              <w:left w:val="single" w:color="auto" w:sz="4" w:space="0"/>
              <w:bottom w:val="single" w:color="auto" w:sz="4" w:space="0"/>
              <w:right w:val="single" w:color="auto" w:sz="4" w:space="0"/>
            </w:tcBorders>
            <w:vAlign w:val="center"/>
          </w:tcPr>
          <w:p w14:paraId="4D833CF2">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8</w:t>
            </w:r>
          </w:p>
        </w:tc>
        <w:tc>
          <w:tcPr>
            <w:tcW w:w="4627" w:type="pct"/>
            <w:tcBorders>
              <w:top w:val="single" w:color="auto" w:sz="4" w:space="0"/>
              <w:left w:val="single" w:color="auto" w:sz="4" w:space="0"/>
              <w:bottom w:val="single" w:color="auto" w:sz="4" w:space="0"/>
              <w:right w:val="single" w:color="auto" w:sz="4" w:space="0"/>
            </w:tcBorders>
            <w:vAlign w:val="center"/>
          </w:tcPr>
          <w:p w14:paraId="20096C9E">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开标时间：2026年</w:t>
            </w:r>
            <w:r>
              <w:rPr>
                <w:rFonts w:hint="eastAsia" w:cs="Times New Roman"/>
                <w:color w:val="000000" w:themeColor="text1"/>
                <w:sz w:val="24"/>
                <w:szCs w:val="20"/>
                <w:lang w:val="en-US" w:eastAsia="zh-CN"/>
                <w14:textFill>
                  <w14:solidFill>
                    <w14:schemeClr w14:val="tx1"/>
                  </w14:solidFill>
                </w14:textFill>
              </w:rPr>
              <w:t>6月11日</w:t>
            </w:r>
            <w:r>
              <w:rPr>
                <w:rFonts w:hint="default" w:ascii="Times New Roman" w:hAnsi="Times New Roman" w:cs="Times New Roman"/>
                <w:color w:val="000000" w:themeColor="text1"/>
                <w:sz w:val="24"/>
                <w:szCs w:val="20"/>
                <w14:textFill>
                  <w14:solidFill>
                    <w14:schemeClr w14:val="tx1"/>
                  </w14:solidFill>
                </w14:textFill>
              </w:rPr>
              <w:t>13:30</w:t>
            </w:r>
          </w:p>
          <w:p w14:paraId="22991F43">
            <w:pPr>
              <w:widowControl/>
              <w:tabs>
                <w:tab w:val="left" w:pos="0"/>
              </w:tabs>
              <w:spacing w:after="0" w:line="240" w:lineRule="auto"/>
              <w:jc w:val="left"/>
              <w:rPr>
                <w:rFonts w:hint="default" w:ascii="Times New Roman" w:hAnsi="Times New Roman" w:cs="Times New Roman"/>
                <w:color w:val="000000" w:themeColor="text1"/>
                <w:kern w:val="0"/>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开标地点：苏采云平台</w:t>
            </w:r>
          </w:p>
        </w:tc>
      </w:tr>
      <w:tr w14:paraId="26048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372" w:type="pct"/>
            <w:tcBorders>
              <w:top w:val="single" w:color="auto" w:sz="4" w:space="0"/>
              <w:left w:val="single" w:color="auto" w:sz="4" w:space="0"/>
              <w:bottom w:val="single" w:color="auto" w:sz="4" w:space="0"/>
              <w:right w:val="single" w:color="auto" w:sz="4" w:space="0"/>
            </w:tcBorders>
            <w:vAlign w:val="center"/>
          </w:tcPr>
          <w:p w14:paraId="5087D71D">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9</w:t>
            </w:r>
          </w:p>
        </w:tc>
        <w:tc>
          <w:tcPr>
            <w:tcW w:w="4627" w:type="pct"/>
            <w:tcBorders>
              <w:top w:val="single" w:color="auto" w:sz="4" w:space="0"/>
              <w:left w:val="single" w:color="auto" w:sz="4" w:space="0"/>
              <w:bottom w:val="single" w:color="auto" w:sz="4" w:space="0"/>
              <w:right w:val="single" w:color="auto" w:sz="4" w:space="0"/>
            </w:tcBorders>
          </w:tcPr>
          <w:p w14:paraId="18D45790">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评标时间：2026年</w:t>
            </w:r>
            <w:r>
              <w:rPr>
                <w:rFonts w:hint="eastAsia" w:cs="Times New Roman"/>
                <w:color w:val="000000" w:themeColor="text1"/>
                <w:sz w:val="24"/>
                <w:szCs w:val="20"/>
                <w:lang w:val="en-US" w:eastAsia="zh-CN"/>
                <w14:textFill>
                  <w14:solidFill>
                    <w14:schemeClr w14:val="tx1"/>
                  </w14:solidFill>
                </w14:textFill>
              </w:rPr>
              <w:t>6月11日</w:t>
            </w:r>
            <w:r>
              <w:rPr>
                <w:rFonts w:hint="default" w:ascii="Times New Roman" w:hAnsi="Times New Roman" w:cs="Times New Roman"/>
                <w:color w:val="000000" w:themeColor="text1"/>
                <w:sz w:val="24"/>
                <w:szCs w:val="20"/>
                <w14:textFill>
                  <w14:solidFill>
                    <w14:schemeClr w14:val="tx1"/>
                  </w14:solidFill>
                </w14:textFill>
              </w:rPr>
              <w:t>13:30</w:t>
            </w:r>
          </w:p>
          <w:p w14:paraId="07842F23">
            <w:pPr>
              <w:widowControl/>
              <w:topLinePunct/>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评标地点：苏采云平台</w:t>
            </w:r>
          </w:p>
        </w:tc>
      </w:tr>
      <w:tr w14:paraId="2563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372" w:type="pct"/>
            <w:tcBorders>
              <w:top w:val="single" w:color="auto" w:sz="4" w:space="0"/>
              <w:left w:val="single" w:color="auto" w:sz="4" w:space="0"/>
              <w:bottom w:val="single" w:color="auto" w:sz="4" w:space="0"/>
              <w:right w:val="single" w:color="auto" w:sz="4" w:space="0"/>
            </w:tcBorders>
            <w:vAlign w:val="center"/>
          </w:tcPr>
          <w:p w14:paraId="6108CCE5">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10</w:t>
            </w:r>
          </w:p>
        </w:tc>
        <w:tc>
          <w:tcPr>
            <w:tcW w:w="4627" w:type="pct"/>
            <w:tcBorders>
              <w:top w:val="single" w:color="auto" w:sz="4" w:space="0"/>
              <w:left w:val="single" w:color="auto" w:sz="4" w:space="0"/>
              <w:bottom w:val="single" w:color="auto" w:sz="4" w:space="0"/>
              <w:right w:val="single" w:color="auto" w:sz="4" w:space="0"/>
            </w:tcBorders>
          </w:tcPr>
          <w:p w14:paraId="463B341E">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确定中标单位时间：2026年</w:t>
            </w:r>
            <w:r>
              <w:rPr>
                <w:rFonts w:hint="eastAsia" w:cs="Times New Roman"/>
                <w:color w:val="000000" w:themeColor="text1"/>
                <w:sz w:val="24"/>
                <w:szCs w:val="20"/>
                <w:lang w:val="en-US" w:eastAsia="zh-CN"/>
                <w14:textFill>
                  <w14:solidFill>
                    <w14:schemeClr w14:val="tx1"/>
                  </w14:solidFill>
                </w14:textFill>
              </w:rPr>
              <w:t>6月11日</w:t>
            </w:r>
            <w:r>
              <w:rPr>
                <w:rFonts w:hint="default" w:ascii="Times New Roman" w:hAnsi="Times New Roman" w:cs="Times New Roman"/>
                <w:color w:val="000000" w:themeColor="text1"/>
                <w:sz w:val="24"/>
                <w:szCs w:val="20"/>
                <w14:textFill>
                  <w14:solidFill>
                    <w14:schemeClr w14:val="tx1"/>
                  </w14:solidFill>
                </w14:textFill>
              </w:rPr>
              <w:t>评审结束</w:t>
            </w:r>
          </w:p>
          <w:p w14:paraId="429F54A3">
            <w:pPr>
              <w:widowControl/>
              <w:topLinePunct/>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确定中标单位地点：苏采云平台</w:t>
            </w:r>
          </w:p>
        </w:tc>
      </w:tr>
      <w:tr w14:paraId="3B33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372" w:type="pct"/>
            <w:tcBorders>
              <w:top w:val="single" w:color="auto" w:sz="4" w:space="0"/>
              <w:left w:val="single" w:color="auto" w:sz="4" w:space="0"/>
              <w:bottom w:val="single" w:color="auto" w:sz="4" w:space="0"/>
              <w:right w:val="single" w:color="auto" w:sz="4" w:space="0"/>
            </w:tcBorders>
            <w:vAlign w:val="center"/>
          </w:tcPr>
          <w:p w14:paraId="01E9F144">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11</w:t>
            </w:r>
          </w:p>
        </w:tc>
        <w:tc>
          <w:tcPr>
            <w:tcW w:w="4627" w:type="pct"/>
            <w:tcBorders>
              <w:top w:val="single" w:color="auto" w:sz="4" w:space="0"/>
              <w:left w:val="single" w:color="auto" w:sz="4" w:space="0"/>
              <w:bottom w:val="single" w:color="auto" w:sz="4" w:space="0"/>
              <w:right w:val="single" w:color="auto" w:sz="4" w:space="0"/>
            </w:tcBorders>
          </w:tcPr>
          <w:p w14:paraId="75A1B57C">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1、采购代理机构：江苏省设备成套股份有限公司</w:t>
            </w:r>
          </w:p>
          <w:p w14:paraId="737EF1D4">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联系人：张杰、路紫明</w:t>
            </w:r>
          </w:p>
          <w:p w14:paraId="2DD604A6">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联系电话：025-86633685、13701405790</w:t>
            </w:r>
          </w:p>
          <w:p w14:paraId="3F558A33">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联系地址：无锡市梁溪区汇太路33号积高科技园315室</w:t>
            </w:r>
          </w:p>
          <w:p w14:paraId="441F2095">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2、采购人：无锡市检验检测认证研究院</w:t>
            </w:r>
          </w:p>
          <w:p w14:paraId="6FF03FC3">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联系人：杨晓霞</w:t>
            </w:r>
          </w:p>
          <w:p w14:paraId="19D08728">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联系电话：</w:t>
            </w:r>
            <w:r>
              <w:rPr>
                <w:rFonts w:hint="default" w:ascii="Times New Roman" w:hAnsi="Times New Roman" w:cs="Times New Roman"/>
                <w:color w:val="000000"/>
                <w:sz w:val="24"/>
                <w:szCs w:val="20"/>
              </w:rPr>
              <w:t>0510-88209485</w:t>
            </w:r>
          </w:p>
          <w:p w14:paraId="0802BFCF">
            <w:pPr>
              <w:widowControl/>
              <w:topLinePunct/>
              <w:spacing w:after="0" w:line="240" w:lineRule="auto"/>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联系地址：无锡市锡山区东亭春新东路8号</w:t>
            </w:r>
          </w:p>
        </w:tc>
      </w:tr>
      <w:tr w14:paraId="6A77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5" w:hRule="atLeast"/>
        </w:trPr>
        <w:tc>
          <w:tcPr>
            <w:tcW w:w="372" w:type="pct"/>
            <w:tcBorders>
              <w:top w:val="single" w:color="auto" w:sz="4" w:space="0"/>
              <w:left w:val="single" w:color="auto" w:sz="4" w:space="0"/>
              <w:bottom w:val="single" w:color="auto" w:sz="4" w:space="0"/>
              <w:right w:val="single" w:color="auto" w:sz="4" w:space="0"/>
            </w:tcBorders>
            <w:vAlign w:val="center"/>
          </w:tcPr>
          <w:p w14:paraId="174DBAD7">
            <w:pPr>
              <w:spacing w:after="0" w:line="240" w:lineRule="auto"/>
              <w:jc w:val="center"/>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12</w:t>
            </w:r>
          </w:p>
        </w:tc>
        <w:tc>
          <w:tcPr>
            <w:tcW w:w="4627" w:type="pct"/>
            <w:tcBorders>
              <w:top w:val="single" w:color="auto" w:sz="4" w:space="0"/>
              <w:left w:val="single" w:color="auto" w:sz="4" w:space="0"/>
              <w:bottom w:val="single" w:color="auto" w:sz="4" w:space="0"/>
              <w:right w:val="single" w:color="auto" w:sz="4" w:space="0"/>
            </w:tcBorders>
          </w:tcPr>
          <w:p w14:paraId="07CF12C4">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注：（一）供应商注册</w:t>
            </w:r>
          </w:p>
          <w:p w14:paraId="5B42FBAA">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1.请有意参加本项目采购活动的供应商按以下流程进行操作：</w:t>
            </w:r>
          </w:p>
          <w:p w14:paraId="3242334D">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（1）访问“江苏省政府采购（苏采云）平台”（以下简称“苏采云”）进行账号注册，注册完成后需在系统中填写资质信息并提交审核。也可以直接通过http://jszfcg.jsczt.cn/进入注册界面。</w:t>
            </w:r>
          </w:p>
          <w:p w14:paraId="058BCCF9">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（2）办理“意源”CA数字证书和“方正”电子签章（办理地址：无锡市滨湖区观山路199号12号楼二楼9号、10号窗口 咨询电话：0510-81827781），办理指南链接：http://jsxcmm.com/help/help.html。</w:t>
            </w:r>
          </w:p>
          <w:p w14:paraId="69B33434">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（3）CA驱动下载：在“江苏省政府采购（苏采云）平台”账号登录页面，点击“驱动下载”链接中的“政务CA、方正签章控件驱动安装包及安装说明”可以直接下载驱动安装包，安装包中附有驱动安装手册。</w:t>
            </w:r>
          </w:p>
          <w:p w14:paraId="24B80AF3">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2.完成苏采云注册的供应商方可在苏采云中进行CA绑定。登录“江苏省政府采购（苏采云）平台”，插入CA后，点击【账号设置】——【绑定CA】。</w:t>
            </w:r>
          </w:p>
          <w:p w14:paraId="4BC789F7">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3.供应商应按上述要求提供相关材料及注册登记信息，所提供的材料应均是真实的、准确的，若有违背，供应商自行承担由此而产生的一切后果。</w:t>
            </w:r>
          </w:p>
          <w:p w14:paraId="3855E35F">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4.如供应商未按上述要求操作，由此所产生的损失及风险由供应商自行承担。具体操作步骤详见《“苏采云”系统供应商操作手册》（以下简称《操作手册》），下载地址：无锡市公共资源交易中心网站——资料下载（供应商）——“苏采云”系统供应商操作手册。</w:t>
            </w:r>
          </w:p>
          <w:p w14:paraId="1257BCB3">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技术服务电话：16651529117（服务时间：工作日 9:00-11:30,13:00-17:00）</w:t>
            </w:r>
          </w:p>
          <w:p w14:paraId="62263A95">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（二）获取采购文件，完成项目参与</w:t>
            </w:r>
          </w:p>
          <w:p w14:paraId="7B31A716">
            <w:pPr>
              <w:widowControl/>
              <w:topLinePunct/>
              <w:spacing w:after="0" w:line="240" w:lineRule="auto"/>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1.供应商可在项目采购公告中查看采购需求，如确定参加本次采购活动，必须在采购公告提供期限内从苏采云平台中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595AC3B">
            <w:pPr>
              <w:widowControl/>
              <w:topLinePunct/>
              <w:spacing w:after="0" w:line="24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2.供应商通过苏采云平台提交数据电文形式的响应文件，通过苏采云平台进入“开标大厅”开启（解密）响应文件。推荐使用谷歌浏览器，参与苏采云平台不见面开标。</w:t>
            </w:r>
            <w:r>
              <w:rPr>
                <w:rFonts w:hint="default" w:ascii="Times New Roman" w:hAnsi="Times New Roman" w:cs="Times New Roman"/>
                <w:color w:val="000000" w:themeColor="text1"/>
                <w14:textFill>
                  <w14:solidFill>
                    <w14:schemeClr w14:val="tx1"/>
                  </w14:solidFill>
                </w14:textFill>
              </w:rPr>
              <w:t xml:space="preserve"> </w:t>
            </w:r>
          </w:p>
        </w:tc>
      </w:tr>
    </w:tbl>
    <w:p w14:paraId="49593D59">
      <w:pPr>
        <w:pStyle w:val="3"/>
        <w:spacing w:line="360" w:lineRule="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b w:val="0"/>
          <w:bCs w:val="0"/>
          <w:color w:val="000000" w:themeColor="text1"/>
          <w14:textFill>
            <w14:solidFill>
              <w14:schemeClr w14:val="tx1"/>
            </w14:solidFill>
          </w14:textFill>
        </w:rPr>
        <w:br w:type="page"/>
      </w:r>
      <w:bookmarkEnd w:id="3"/>
      <w:r>
        <w:rPr>
          <w:rFonts w:hint="default" w:ascii="Times New Roman" w:hAnsi="Times New Roman" w:cs="Times New Roman"/>
          <w:b w:val="0"/>
          <w:bCs w:val="0"/>
          <w:color w:val="000000" w:themeColor="text1"/>
          <w14:textFill>
            <w14:solidFill>
              <w14:schemeClr w14:val="tx1"/>
            </w14:solidFill>
          </w14:textFill>
        </w:rPr>
        <w:t xml:space="preserve"> </w:t>
      </w:r>
      <w:bookmarkStart w:id="6" w:name="_Toc177025986"/>
      <w:bookmarkStart w:id="7" w:name="_Toc452625218"/>
      <w:r>
        <w:rPr>
          <w:rFonts w:hint="default" w:ascii="Times New Roman" w:hAnsi="Times New Roman" w:cs="Times New Roman"/>
          <w:color w:val="000000" w:themeColor="text1"/>
          <w:sz w:val="28"/>
          <w:szCs w:val="28"/>
          <w14:textFill>
            <w14:solidFill>
              <w14:schemeClr w14:val="tx1"/>
            </w14:solidFill>
          </w14:textFill>
        </w:rPr>
        <w:t>投标人须知</w:t>
      </w:r>
      <w:bookmarkEnd w:id="6"/>
      <w:bookmarkEnd w:id="7"/>
    </w:p>
    <w:p w14:paraId="39837758">
      <w:pPr>
        <w:widowControl/>
        <w:shd w:val="clear" w:color="auto" w:fill="FFFFFF"/>
        <w:spacing w:line="360" w:lineRule="auto"/>
        <w:ind w:firstLine="424" w:firstLineChars="201"/>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一、总 则</w:t>
      </w:r>
    </w:p>
    <w:p w14:paraId="0A1B684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1、参照法律</w:t>
      </w:r>
    </w:p>
    <w:p w14:paraId="6C1EF00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 本次招标参照《中华人民共和国政府采购法》（以下简称政府采购法）、《中华人民共和国政府采购法实施条例》（以下简称政府采购法实施条例）、《政府采购货物和服务招标投标管理办法》等法律、行政法规、部门规章和规范性文件。</w:t>
      </w:r>
    </w:p>
    <w:p w14:paraId="0C42DB3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2、采购人、供应商、采购代理机构、投标人</w:t>
      </w:r>
    </w:p>
    <w:p w14:paraId="086E1E3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2.1采购人是指依法进行政府采购的国家机关、事业单位、团体组织。</w:t>
      </w:r>
    </w:p>
    <w:p w14:paraId="69B3CC6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2.2供应商是指向采购人提供货物、工程或者服务的法人、其他组织或者自然人。</w:t>
      </w:r>
    </w:p>
    <w:p w14:paraId="6189581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2.3采购代理机构是指集中采购机构和集中采购机构以外的采购代理机构，集中采购机构以外的采购代理机构，是从事采购代理业务的社会中介机构。</w:t>
      </w:r>
    </w:p>
    <w:p w14:paraId="4998725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2.4投标人，是指响应招标、参加投标竞争的法人、其他组织或者自然人。</w:t>
      </w:r>
    </w:p>
    <w:p w14:paraId="2D952461">
      <w:pPr>
        <w:widowControl/>
        <w:shd w:val="clear" w:color="auto" w:fill="FFFFFF"/>
        <w:spacing w:line="360" w:lineRule="auto"/>
        <w:ind w:firstLine="420"/>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3、货物和服务定义</w:t>
      </w:r>
    </w:p>
    <w:p w14:paraId="3C10F2A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3.1“货物和服务”指本招标文件中所述</w:t>
      </w:r>
      <w:r>
        <w:rPr>
          <w:rFonts w:hint="default" w:ascii="Times New Roman" w:hAnsi="Times New Roman" w:cs="Times New Roman"/>
          <w:bCs/>
          <w:color w:val="000000" w:themeColor="text1"/>
          <w:kern w:val="0"/>
          <w:szCs w:val="21"/>
          <w14:textFill>
            <w14:solidFill>
              <w14:schemeClr w14:val="tx1"/>
            </w14:solidFill>
          </w14:textFill>
        </w:rPr>
        <w:t>产品</w:t>
      </w:r>
      <w:r>
        <w:rPr>
          <w:rFonts w:hint="default" w:ascii="Times New Roman" w:hAnsi="Times New Roman" w:cs="Times New Roman"/>
          <w:color w:val="000000" w:themeColor="text1"/>
          <w:kern w:val="0"/>
          <w:szCs w:val="21"/>
          <w14:textFill>
            <w14:solidFill>
              <w14:schemeClr w14:val="tx1"/>
            </w14:solidFill>
          </w14:textFill>
        </w:rPr>
        <w:t>及相关服务。</w:t>
      </w:r>
    </w:p>
    <w:p w14:paraId="778E233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4、政策功能</w:t>
      </w:r>
    </w:p>
    <w:p w14:paraId="11F0CB1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31B97B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9BF22B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1A650A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认证机构详见市场监管总局发布的《参与实施政府采购节能产品认证机构名录》和《参与实施政府采购环境标志产品认证机构名录》。</w:t>
      </w:r>
    </w:p>
    <w:p w14:paraId="503EFFC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4.5 强制采购信息安全产品。参加政府采购活动的信息安全产品投标人应当选择经国家认证的信息安全产品投标，并提供由国家信息安全认证中心按国家标准认证颁发的有效认证证书。</w:t>
      </w:r>
    </w:p>
    <w:p w14:paraId="18B80BD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4.6进口产品政策</w:t>
      </w:r>
    </w:p>
    <w:p w14:paraId="77811BE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（1）除招标公告载明接受进口产品参加外，不允许进口产品参加。进口产品认定依照《财政部关于政府采购进口产品管理有关问题的通知》（财办库〔2008〕248号）的规定。</w:t>
      </w:r>
    </w:p>
    <w:p w14:paraId="42D1DA1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（2）允许进口产品参加的，满足需求的国内产品可以参加。</w:t>
      </w:r>
    </w:p>
    <w:p w14:paraId="1DAA465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（3）允许进口产品参加的，优先采购向我国企业转让技术、与我国企业签订消化吸收再创新方案的投标人的进口产品。</w:t>
      </w:r>
    </w:p>
    <w:p w14:paraId="4453DB08">
      <w:pPr>
        <w:widowControl/>
        <w:shd w:val="clear" w:color="auto" w:fill="FFFFFF"/>
        <w:spacing w:line="360" w:lineRule="auto"/>
        <w:ind w:firstLine="420"/>
        <w:rPr>
          <w:rFonts w:hint="default" w:ascii="Times New Roman" w:hAnsi="Times New Roman" w:cs="Times New Roman"/>
          <w:color w:val="000000"/>
          <w:kern w:val="0"/>
          <w:szCs w:val="21"/>
        </w:rPr>
      </w:pPr>
      <w:r>
        <w:rPr>
          <w:rFonts w:hint="default" w:ascii="Times New Roman" w:hAnsi="Times New Roman" w:cs="Times New Roman"/>
          <w:color w:val="000000" w:themeColor="text1"/>
          <w:kern w:val="0"/>
          <w:szCs w:val="21"/>
          <w14:textFill>
            <w14:solidFill>
              <w14:schemeClr w14:val="tx1"/>
            </w14:solidFill>
          </w14:textFill>
        </w:rPr>
        <w:t>4.7</w:t>
      </w:r>
      <w:r>
        <w:rPr>
          <w:rFonts w:hint="default" w:ascii="Times New Roman" w:hAnsi="Times New Roman" w:cs="Times New Roman"/>
          <w:color w:val="000000"/>
          <w:kern w:val="0"/>
          <w:szCs w:val="21"/>
        </w:rPr>
        <w:t>本国产品支持政策</w:t>
      </w:r>
    </w:p>
    <w:p w14:paraId="573DCED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956A3D7">
      <w:pPr>
        <w:widowControl/>
        <w:shd w:val="clear" w:color="auto" w:fill="FFFFFF"/>
        <w:spacing w:line="360" w:lineRule="auto"/>
        <w:ind w:firstLine="424" w:firstLineChars="201"/>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二、招标文件构成</w:t>
      </w:r>
    </w:p>
    <w:p w14:paraId="4135D26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5、招标文件组成</w:t>
      </w:r>
    </w:p>
    <w:p w14:paraId="20C3646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5.1 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8D3C18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5.2 招标的最小单位是包。招标货物数量及技术要求中未分包的，投标人对要求提供的货物和服务不得部分投标；招标货物数量及技术要求中已经分包的，可以以包为单位投标。</w:t>
      </w:r>
    </w:p>
    <w:p w14:paraId="690B324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5.3 代理机构如果要求投标人按照招标文件规定提交</w:t>
      </w:r>
      <w:bookmarkStart w:id="8" w:name="_Hlk176271128"/>
      <w:r>
        <w:rPr>
          <w:rFonts w:hint="default" w:ascii="Times New Roman" w:hAnsi="Times New Roman" w:cs="Times New Roman"/>
          <w:color w:val="000000" w:themeColor="text1"/>
          <w:kern w:val="0"/>
          <w:szCs w:val="21"/>
          <w14:textFill>
            <w14:solidFill>
              <w14:schemeClr w14:val="tx1"/>
            </w14:solidFill>
          </w14:textFill>
        </w:rPr>
        <w:t>备选</w:t>
      </w:r>
      <w:bookmarkEnd w:id="8"/>
      <w:r>
        <w:rPr>
          <w:rFonts w:hint="default" w:ascii="Times New Roman" w:hAnsi="Times New Roman" w:cs="Times New Roman"/>
          <w:color w:val="000000" w:themeColor="text1"/>
          <w:kern w:val="0"/>
          <w:szCs w:val="21"/>
          <w14:textFill>
            <w14:solidFill>
              <w14:schemeClr w14:val="tx1"/>
            </w14:solidFill>
          </w14:textFill>
        </w:rPr>
        <w:t>投标方案的，投标人可以提交备选方案；否则，备选方案将被拒绝。</w:t>
      </w:r>
    </w:p>
    <w:p w14:paraId="6009CF8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6、招标文件的澄清或者修改</w:t>
      </w:r>
    </w:p>
    <w:p w14:paraId="38EB38E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采购人或者采购代理机构可以对已发出的招标文件进行必要的澄清或者修改。澄清或者修改将在原公告发布媒体上发布澄清公告。澄清或者修改的内容为招标文件的组成部分。</w:t>
      </w:r>
    </w:p>
    <w:p w14:paraId="2E0EEA8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p>
    <w:p w14:paraId="6EBFB41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三、投标文件的编制</w:t>
      </w:r>
    </w:p>
    <w:p w14:paraId="35DF0A3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7、投标文件的语言、计量单位、货币和编制</w:t>
      </w:r>
    </w:p>
    <w:p w14:paraId="573CEB9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0CD92F0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7.2 投标人所使用的计量单位应为国家法定计量单位。</w:t>
      </w:r>
    </w:p>
    <w:p w14:paraId="3386A1A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7.3 投标人应用人民币报价。投标产品如果是进口产品的，应提供人民币与</w:t>
      </w:r>
      <w:r>
        <w:rPr>
          <w:rFonts w:hint="default" w:ascii="Times New Roman" w:hAnsi="Times New Roman" w:cs="Times New Roman"/>
          <w:b/>
          <w:bCs/>
          <w:color w:val="000000" w:themeColor="text1"/>
          <w:kern w:val="0"/>
          <w:szCs w:val="21"/>
          <w14:textFill>
            <w14:solidFill>
              <w14:schemeClr w14:val="tx1"/>
            </w14:solidFill>
          </w14:textFill>
        </w:rPr>
        <w:t>外币之间的汇率；报价单位为“元”。</w:t>
      </w:r>
    </w:p>
    <w:p w14:paraId="103712F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7.4 投标文件应字迹清楚、内容齐全、不得涂改。如有修改，修改处须有投标人公章或投标专用章和法定代表人或其授权的投标人代表签字。</w:t>
      </w:r>
    </w:p>
    <w:p w14:paraId="0D9D00A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7.5 投标文件应按照招标文件规定的顺序编制，由于编排混乱导致投标文件被误读或查找不到，责任由投标人承担。</w:t>
      </w:r>
    </w:p>
    <w:p w14:paraId="78979CF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7.6 投标人应在投标文件中写清相应的项目编号、项目名称、投标人全称、地址、电话、传真等。</w:t>
      </w:r>
    </w:p>
    <w:p w14:paraId="0C2B97D2">
      <w:pPr>
        <w:widowControl/>
        <w:shd w:val="clear" w:color="auto" w:fill="FFFFFF"/>
        <w:spacing w:line="360" w:lineRule="auto"/>
        <w:ind w:firstLine="412"/>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7.7</w:t>
      </w:r>
      <w:r>
        <w:rPr>
          <w:rFonts w:hint="default" w:ascii="Times New Roman" w:hAnsi="Times New Roman" w:cs="Times New Roman"/>
          <w:color w:val="000000" w:themeColor="text1"/>
          <w:kern w:val="0"/>
          <w:szCs w:val="21"/>
          <w14:textFill>
            <w14:solidFill>
              <w14:schemeClr w14:val="tx1"/>
            </w14:solidFill>
          </w14:textFill>
        </w:rPr>
        <w:t> 投标人根据招标文件载明的标的采购项目实际情况，拟在中标后将中标项目的非主体、非关键性工作交由他人完成的，应当在投标文件中载明。</w:t>
      </w:r>
    </w:p>
    <w:p w14:paraId="3D0C9D2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8、投标文件的组成、编制和递交</w:t>
      </w:r>
    </w:p>
    <w:p w14:paraId="240CD1D9">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8.1 供应商从苏采云平台中下载文件（“项目参与”找到需要获取征集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1B32563">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8.2投标的有效期为开标后60天。</w:t>
      </w:r>
    </w:p>
    <w:p w14:paraId="79898DCE">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8.3投标费用自理。</w:t>
      </w:r>
    </w:p>
    <w:p w14:paraId="4F2AD607">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8.4 投标人应当根据招标文件要求编制投标文件，投标文件应对招标文件提出的要求和条件作出实质性响应，并在《商务条款偏离表》和《技术规格偏离表》等处逐条标明满足与否。</w:t>
      </w:r>
    </w:p>
    <w:p w14:paraId="5C396ED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8.5 投标文件由商务部分、技术部分、价格部分以及其他部分组成。</w:t>
      </w:r>
    </w:p>
    <w:p w14:paraId="3F82563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8.6本项目不接受纸质投标文件</w:t>
      </w:r>
    </w:p>
    <w:p w14:paraId="328E1E6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9、投标文件的商务部分</w:t>
      </w:r>
    </w:p>
    <w:p w14:paraId="1AB6231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9.1 商务部分是证明投标人有资格参加投标和中标后有能力履行合同的文件，这些文件应能满足招标的要求，包括但不限于下列文件：</w:t>
      </w:r>
    </w:p>
    <w:p w14:paraId="28A48679">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（1）投标函（投标申请及声明）</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格式见附件</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t>
      </w:r>
    </w:p>
    <w:p w14:paraId="3DD5F594">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（2）法定代表人授权委托书及委托代理人的身份证明文件的扫描件</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格式见附件</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t>
      </w:r>
    </w:p>
    <w:p w14:paraId="539BA4FE">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投标人法定代表人委托代理人身份证复印件、委托代理人与企业签订的劳动合同，由法定的社保收缴部门出具的2025年</w:t>
      </w:r>
      <w:r>
        <w:rPr>
          <w:rFonts w:hint="eastAsia" w:cs="Times New Roman"/>
          <w:color w:val="000000" w:themeColor="text1"/>
          <w:kern w:val="0"/>
          <w:szCs w:val="21"/>
          <w:lang w:val="en-US" w:eastAsia="zh-CN"/>
          <w14:textFill>
            <w14:solidFill>
              <w14:schemeClr w14:val="tx1"/>
            </w14:solidFill>
          </w14:textFill>
        </w:rPr>
        <w:t>11</w:t>
      </w:r>
      <w:r>
        <w:rPr>
          <w:rFonts w:hint="default" w:ascii="Times New Roman" w:hAnsi="Times New Roman" w:cs="Times New Roman"/>
          <w:color w:val="000000" w:themeColor="text1"/>
          <w:kern w:val="0"/>
          <w:szCs w:val="21"/>
          <w14:textFill>
            <w14:solidFill>
              <w14:schemeClr w14:val="tx1"/>
            </w14:solidFill>
          </w14:textFill>
        </w:rPr>
        <w:t>月-2026年</w:t>
      </w:r>
      <w:r>
        <w:rPr>
          <w:rFonts w:hint="eastAsia" w:cs="Times New Roman"/>
          <w:color w:val="000000" w:themeColor="text1"/>
          <w:kern w:val="0"/>
          <w:szCs w:val="21"/>
          <w:lang w:val="en-US" w:eastAsia="zh-CN"/>
          <w14:textFill>
            <w14:solidFill>
              <w14:schemeClr w14:val="tx1"/>
            </w14:solidFill>
          </w14:textFill>
        </w:rPr>
        <w:t>4</w:t>
      </w:r>
      <w:r>
        <w:rPr>
          <w:rFonts w:hint="default" w:ascii="Times New Roman" w:hAnsi="Times New Roman" w:cs="Times New Roman"/>
          <w:color w:val="000000" w:themeColor="text1"/>
          <w:kern w:val="0"/>
          <w:szCs w:val="21"/>
          <w14:textFill>
            <w14:solidFill>
              <w14:schemeClr w14:val="tx1"/>
            </w14:solidFill>
          </w14:textFill>
        </w:rPr>
        <w:t>月的投标供应商为其依法缴纳社会保障资金的相关材料（提供相关主管部门证明或银行代扣证明），供应商成立年限不足的，提供自成立至2026年</w:t>
      </w:r>
      <w:r>
        <w:rPr>
          <w:rFonts w:hint="eastAsia" w:cs="Times New Roman"/>
          <w:color w:val="000000" w:themeColor="text1"/>
          <w:kern w:val="0"/>
          <w:szCs w:val="21"/>
          <w:lang w:val="en-US" w:eastAsia="zh-CN"/>
          <w14:textFill>
            <w14:solidFill>
              <w14:schemeClr w14:val="tx1"/>
            </w14:solidFill>
          </w14:textFill>
        </w:rPr>
        <w:t>4</w:t>
      </w:r>
      <w:r>
        <w:rPr>
          <w:rFonts w:hint="default" w:ascii="Times New Roman" w:hAnsi="Times New Roman" w:cs="Times New Roman"/>
          <w:color w:val="000000" w:themeColor="text1"/>
          <w:kern w:val="0"/>
          <w:szCs w:val="21"/>
          <w14:textFill>
            <w14:solidFill>
              <w14:schemeClr w14:val="tx1"/>
            </w14:solidFill>
          </w14:textFill>
        </w:rPr>
        <w:t>月的证明材料。（法定代表人亲自参加投标的除外）</w:t>
      </w:r>
    </w:p>
    <w:p w14:paraId="5B49A6C2">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（3）开标一览表</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格式见附件</w:t>
      </w:r>
      <w:r>
        <w:rPr>
          <w:rFonts w:hint="default" w:ascii="Times New Roman" w:hAnsi="Times New Roman" w:cs="Times New Roman"/>
          <w:bCs/>
          <w:color w:val="000000" w:themeColor="text1"/>
          <w:szCs w:val="21"/>
          <w14:textFill>
            <w14:solidFill>
              <w14:schemeClr w14:val="tx1"/>
            </w14:solidFill>
          </w14:textFill>
        </w:rPr>
        <w:t>）；</w:t>
      </w:r>
    </w:p>
    <w:p w14:paraId="333267E7">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（4）分项报价表</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格式见附件</w:t>
      </w:r>
      <w:r>
        <w:rPr>
          <w:rFonts w:hint="default" w:ascii="Times New Roman" w:hAnsi="Times New Roman" w:cs="Times New Roman"/>
          <w:bCs/>
          <w:color w:val="000000" w:themeColor="text1"/>
          <w:szCs w:val="21"/>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t>
      </w:r>
    </w:p>
    <w:p w14:paraId="0300824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（5）投标人资格资信证明文件：</w:t>
      </w:r>
    </w:p>
    <w:p w14:paraId="6D57D79A">
      <w:pPr>
        <w:numPr>
          <w:ilvl w:val="1"/>
          <w:numId w:val="3"/>
        </w:numPr>
        <w:tabs>
          <w:tab w:val="left" w:pos="945"/>
          <w:tab w:val="left" w:pos="1276"/>
          <w:tab w:val="left" w:pos="5322"/>
          <w:tab w:val="clear" w:pos="928"/>
        </w:tabs>
        <w:spacing w:line="360" w:lineRule="auto"/>
        <w:ind w:left="0" w:firstLine="630" w:firstLineChars="3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具有独立承担民事责任的能力（提供法人或者其他组织的营业执照；供应商为自然人的，提供其身份证）；</w:t>
      </w:r>
    </w:p>
    <w:p w14:paraId="30DD77A0">
      <w:pPr>
        <w:numPr>
          <w:ilvl w:val="1"/>
          <w:numId w:val="3"/>
        </w:numPr>
        <w:tabs>
          <w:tab w:val="left" w:pos="945"/>
          <w:tab w:val="left" w:pos="1276"/>
          <w:tab w:val="left" w:pos="5322"/>
          <w:tab w:val="clear" w:pos="928"/>
        </w:tabs>
        <w:spacing w:line="360" w:lineRule="auto"/>
        <w:ind w:left="0" w:firstLine="630" w:firstLineChars="3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具有良好的商业信誉和健全的财务会计制度（提供2024或2025年财务报表（公司成立不满一年，至少提供投标截止时间前近一个月</w:t>
      </w:r>
      <w:r>
        <w:rPr>
          <w:rFonts w:hint="default" w:ascii="Times New Roman" w:hAnsi="Times New Roman" w:cs="Times New Roman"/>
          <w:color w:val="000000" w:themeColor="text1"/>
          <w:szCs w:val="21"/>
          <w:lang w:val="zh-CN"/>
          <w14:textFill>
            <w14:solidFill>
              <w14:schemeClr w14:val="tx1"/>
            </w14:solidFill>
          </w14:textFill>
        </w:rPr>
        <w:t>的</w:t>
      </w:r>
      <w:r>
        <w:rPr>
          <w:rFonts w:hint="default" w:ascii="Times New Roman" w:hAnsi="Times New Roman" w:cs="Times New Roman"/>
          <w:bCs/>
          <w:color w:val="000000" w:themeColor="text1"/>
          <w:szCs w:val="21"/>
          <w14:textFill>
            <w14:solidFill>
              <w14:schemeClr w14:val="tx1"/>
            </w14:solidFill>
          </w14:textFill>
        </w:rPr>
        <w:t>财务报表），或投标截止时间前六个月内银行出具的资信证明）；</w:t>
      </w:r>
    </w:p>
    <w:p w14:paraId="0A0D0707">
      <w:pPr>
        <w:numPr>
          <w:ilvl w:val="1"/>
          <w:numId w:val="3"/>
        </w:numPr>
        <w:tabs>
          <w:tab w:val="left" w:pos="945"/>
          <w:tab w:val="left" w:pos="1276"/>
          <w:tab w:val="left" w:pos="5322"/>
          <w:tab w:val="clear" w:pos="928"/>
        </w:tabs>
        <w:spacing w:line="360" w:lineRule="auto"/>
        <w:ind w:left="0" w:firstLine="630" w:firstLineChars="3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具有履行合同所必需的设备和专业技术能力（供应商根据履行采购项目合同需要，提供履行合同所必需的设备和专业技术能力的证明材料）；</w:t>
      </w:r>
    </w:p>
    <w:p w14:paraId="7005766E">
      <w:pPr>
        <w:numPr>
          <w:ilvl w:val="1"/>
          <w:numId w:val="3"/>
        </w:numPr>
        <w:tabs>
          <w:tab w:val="left" w:pos="945"/>
          <w:tab w:val="left" w:pos="1276"/>
          <w:tab w:val="left" w:pos="5322"/>
          <w:tab w:val="clear" w:pos="928"/>
        </w:tabs>
        <w:spacing w:line="360" w:lineRule="auto"/>
        <w:ind w:left="0" w:firstLine="630" w:firstLineChars="300"/>
        <w:rPr>
          <w:rFonts w:hint="default" w:ascii="Times New Roman" w:hAnsi="Times New Roman" w:cs="Times New Roman"/>
          <w:bCs/>
          <w:color w:val="000000" w:themeColor="text1"/>
          <w:szCs w:val="21"/>
          <w14:textFill>
            <w14:solidFill>
              <w14:schemeClr w14:val="tx1"/>
            </w14:solidFill>
          </w14:textFill>
        </w:rPr>
      </w:pPr>
      <w:bookmarkStart w:id="9" w:name="_Hlk54797454"/>
      <w:r>
        <w:rPr>
          <w:rFonts w:hint="default" w:ascii="Times New Roman" w:hAnsi="Times New Roman" w:cs="Times New Roman"/>
          <w:bCs/>
          <w:color w:val="000000" w:themeColor="text1"/>
          <w:szCs w:val="21"/>
          <w14:textFill>
            <w14:solidFill>
              <w14:schemeClr w14:val="tx1"/>
            </w14:solidFill>
          </w14:textFill>
        </w:rPr>
        <w:t>有依法缴纳税收和社会保障资金的良好记录（提供参加本次政府采购活动前半年内至少一个月：①提供缴纳税收的凭证；②提供缴纳社会保险的凭据，依法享受免缴、缓缴的，提供证明材料；</w:t>
      </w:r>
    </w:p>
    <w:bookmarkEnd w:id="9"/>
    <w:p w14:paraId="2AA6429D">
      <w:pPr>
        <w:numPr>
          <w:ilvl w:val="1"/>
          <w:numId w:val="3"/>
        </w:numPr>
        <w:tabs>
          <w:tab w:val="left" w:pos="945"/>
          <w:tab w:val="left" w:pos="1276"/>
          <w:tab w:val="left" w:pos="5322"/>
          <w:tab w:val="clear" w:pos="928"/>
        </w:tabs>
        <w:spacing w:line="360" w:lineRule="auto"/>
        <w:ind w:left="0" w:firstLine="630" w:firstLineChars="3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无重大违法记录声明（</w:t>
      </w:r>
      <w:r>
        <w:rPr>
          <w:rFonts w:hint="default" w:ascii="Times New Roman" w:hAnsi="Times New Roman" w:cs="Times New Roman"/>
          <w:b/>
          <w:bCs/>
          <w:color w:val="000000" w:themeColor="text1"/>
          <w:szCs w:val="21"/>
          <w14:textFill>
            <w14:solidFill>
              <w14:schemeClr w14:val="tx1"/>
            </w14:solidFill>
          </w14:textFill>
        </w:rPr>
        <w:t>格式见附件</w:t>
      </w:r>
      <w:r>
        <w:rPr>
          <w:rFonts w:hint="default" w:ascii="Times New Roman" w:hAnsi="Times New Roman" w:cs="Times New Roman"/>
          <w:bCs/>
          <w:color w:val="000000" w:themeColor="text1"/>
          <w:szCs w:val="21"/>
          <w14:textFill>
            <w14:solidFill>
              <w14:schemeClr w14:val="tx1"/>
            </w14:solidFill>
          </w14:textFill>
        </w:rPr>
        <w:t>）；</w:t>
      </w:r>
    </w:p>
    <w:p w14:paraId="6CD96DA3">
      <w:pPr>
        <w:widowControl/>
        <w:shd w:val="clear" w:color="auto" w:fill="FFFFFF"/>
        <w:tabs>
          <w:tab w:val="left" w:pos="945"/>
          <w:tab w:val="left" w:pos="1276"/>
        </w:tabs>
        <w:spacing w:line="360" w:lineRule="auto"/>
        <w:ind w:firstLine="420" w:firstLineChars="20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（6）《商务条款偏离表》；</w:t>
      </w:r>
    </w:p>
    <w:p w14:paraId="2438142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（7）投标人拟投入本项目的设备、人员情况一览表；</w:t>
      </w:r>
    </w:p>
    <w:p w14:paraId="67BA5DC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（8）评分标准中对应的其他所需承诺或证明材料（如有自行添加）；</w:t>
      </w:r>
    </w:p>
    <w:p w14:paraId="434063D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（9）要求采购人提供的配合（如有自拟并自行添加）；</w:t>
      </w:r>
    </w:p>
    <w:p w14:paraId="0047EAB3">
      <w:pPr>
        <w:widowControl/>
        <w:shd w:val="clear" w:color="auto" w:fill="FFFFFF"/>
        <w:spacing w:line="360" w:lineRule="auto"/>
        <w:ind w:firstLine="411" w:firstLineChars="196"/>
        <w:jc w:val="lef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（10）其他（投标人认为有必要提供的声明和文件，如有，自拟并自行添加）。</w:t>
      </w:r>
    </w:p>
    <w:p w14:paraId="4AF55E1C">
      <w:pPr>
        <w:widowControl/>
        <w:shd w:val="clear" w:color="auto" w:fill="FFFFFF"/>
        <w:spacing w:line="360" w:lineRule="auto"/>
        <w:ind w:firstLine="413" w:firstLineChars="196"/>
        <w:jc w:val="lef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上述资格资信证明文件必须全部提供且全部满足招标文件的要求。如上述资格证明文件若遇年检、换证等未能提供的情况，则必须提供法定年检、换证单位出具的有效证明。如上述资格证明文件遇有国家相关政策规定可不具备的，必须提供相关政策规定或相关单位出具的有效证明。招标文件要求提供证书证件等原件电子件的，投标人提供的电子件应是对证书证件等原件通过扫描、拍照等方式进行数字化的可被电子交易平台识别的数字文件，否则评标委员会可以视其未提供。</w:t>
      </w:r>
    </w:p>
    <w:p w14:paraId="3757201C">
      <w:pPr>
        <w:widowControl/>
        <w:shd w:val="clear" w:color="auto" w:fill="FFFFFF"/>
        <w:spacing w:line="360" w:lineRule="auto"/>
        <w:ind w:firstLine="413" w:firstLineChars="196"/>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投标人所提交的资格资信证明文件的完整与否，将直接影响其投标文件的审核结果。</w:t>
      </w:r>
    </w:p>
    <w:p w14:paraId="0E20F81B">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10、投标文件的技术部分</w:t>
      </w:r>
    </w:p>
    <w:p w14:paraId="23B960D2">
      <w:pPr>
        <w:widowControl/>
        <w:adjustRightInd w:val="0"/>
        <w:spacing w:line="360" w:lineRule="auto"/>
        <w:ind w:firstLine="42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技术部分是证明</w:t>
      </w:r>
      <w:r>
        <w:rPr>
          <w:rFonts w:hint="default" w:ascii="Times New Roman" w:hAnsi="Times New Roman" w:cs="Times New Roman"/>
          <w:color w:val="000000" w:themeColor="text1"/>
          <w:szCs w:val="21"/>
          <w14:textFill>
            <w14:solidFill>
              <w14:schemeClr w14:val="tx1"/>
            </w14:solidFill>
          </w14:textFill>
        </w:rPr>
        <w:t>供应商提供的服务是合格的、并符合招标文件要求的证明文件，以及</w:t>
      </w:r>
      <w:r>
        <w:rPr>
          <w:rFonts w:hint="default" w:ascii="Times New Roman" w:hAnsi="Times New Roman" w:cs="Times New Roman"/>
          <w:color w:val="000000" w:themeColor="text1"/>
          <w:szCs w:val="21"/>
          <w:lang w:val="zh-CN"/>
          <w14:textFill>
            <w14:solidFill>
              <w14:schemeClr w14:val="tx1"/>
            </w14:solidFill>
          </w14:textFill>
        </w:rPr>
        <w:t>对服务的详细说明，这些文件可以是文字资料、图纸和数据等。提供的服务如与招标文件要求有不符之处，应说明其差别之所在。包括但不限于下列文件：</w:t>
      </w:r>
    </w:p>
    <w:p w14:paraId="1D139676">
      <w:pPr>
        <w:widowControl/>
        <w:adjustRightInd w:val="0"/>
        <w:spacing w:line="360" w:lineRule="auto"/>
        <w:ind w:firstLine="420"/>
        <w:jc w:val="left"/>
        <w:rPr>
          <w:rFonts w:hint="default" w:ascii="Times New Roman" w:hAnsi="Times New Roman" w:cs="Times New Roman"/>
          <w:color w:val="000000" w:themeColor="text1"/>
          <w:kern w:val="0"/>
          <w:szCs w:val="21"/>
          <w:lang w:val="zh-CN"/>
          <w14:textFill>
            <w14:solidFill>
              <w14:schemeClr w14:val="tx1"/>
            </w14:solidFill>
          </w14:textFill>
        </w:rPr>
      </w:pPr>
      <w:r>
        <w:rPr>
          <w:rFonts w:hint="default" w:ascii="Times New Roman" w:hAnsi="Times New Roman" w:cs="Times New Roman"/>
          <w:color w:val="000000" w:themeColor="text1"/>
          <w:kern w:val="0"/>
          <w:szCs w:val="21"/>
          <w:lang w:val="zh-CN"/>
          <w14:textFill>
            <w14:solidFill>
              <w14:schemeClr w14:val="tx1"/>
            </w14:solidFill>
          </w14:textFill>
        </w:rPr>
        <w:t>（1）实施方案；</w:t>
      </w:r>
    </w:p>
    <w:p w14:paraId="42949AED">
      <w:pPr>
        <w:widowControl/>
        <w:adjustRightInd w:val="0"/>
        <w:spacing w:line="360" w:lineRule="auto"/>
        <w:ind w:firstLine="420"/>
        <w:jc w:val="left"/>
        <w:rPr>
          <w:rFonts w:hint="default" w:ascii="Times New Roman" w:hAnsi="Times New Roman" w:cs="Times New Roman"/>
          <w:color w:val="000000" w:themeColor="text1"/>
          <w:kern w:val="0"/>
          <w:szCs w:val="21"/>
          <w:lang w:val="zh-CN"/>
          <w14:textFill>
            <w14:solidFill>
              <w14:schemeClr w14:val="tx1"/>
            </w14:solidFill>
          </w14:textFill>
        </w:rPr>
      </w:pPr>
      <w:r>
        <w:rPr>
          <w:rFonts w:hint="default" w:ascii="Times New Roman" w:hAnsi="Times New Roman" w:cs="Times New Roman"/>
          <w:color w:val="000000" w:themeColor="text1"/>
          <w:kern w:val="0"/>
          <w:szCs w:val="21"/>
          <w:lang w:val="zh-CN"/>
          <w14:textFill>
            <w14:solidFill>
              <w14:schemeClr w14:val="tx1"/>
            </w14:solidFill>
          </w14:textFill>
        </w:rPr>
        <w:t>（2）《技术条款偏离表》；</w:t>
      </w:r>
    </w:p>
    <w:p w14:paraId="548B6916">
      <w:pPr>
        <w:widowControl/>
        <w:adjustRightInd w:val="0"/>
        <w:spacing w:line="360" w:lineRule="auto"/>
        <w:ind w:firstLine="420"/>
        <w:jc w:val="left"/>
        <w:rPr>
          <w:rFonts w:hint="default" w:ascii="Times New Roman" w:hAnsi="Times New Roman" w:cs="Times New Roman"/>
          <w:color w:val="000000" w:themeColor="text1"/>
          <w:kern w:val="0"/>
          <w:szCs w:val="21"/>
          <w:lang w:val="zh-CN"/>
          <w14:textFill>
            <w14:solidFill>
              <w14:schemeClr w14:val="tx1"/>
            </w14:solidFill>
          </w14:textFill>
        </w:rPr>
      </w:pPr>
      <w:r>
        <w:rPr>
          <w:rFonts w:hint="default" w:ascii="Times New Roman" w:hAnsi="Times New Roman" w:cs="Times New Roman"/>
          <w:color w:val="000000" w:themeColor="text1"/>
          <w:kern w:val="0"/>
          <w:szCs w:val="21"/>
          <w:lang w:val="zh-CN"/>
          <w14:textFill>
            <w14:solidFill>
              <w14:schemeClr w14:val="tx1"/>
            </w14:solidFill>
          </w14:textFill>
        </w:rPr>
        <w:t>（3）售后服务；</w:t>
      </w:r>
    </w:p>
    <w:p w14:paraId="62489C0B">
      <w:pPr>
        <w:widowControl/>
        <w:adjustRightInd w:val="0"/>
        <w:spacing w:line="360" w:lineRule="auto"/>
        <w:ind w:firstLine="420"/>
        <w:jc w:val="left"/>
        <w:rPr>
          <w:rFonts w:hint="default" w:ascii="Times New Roman" w:hAnsi="Times New Roman" w:cs="Times New Roman"/>
          <w:color w:val="000000" w:themeColor="text1"/>
          <w:kern w:val="0"/>
          <w:szCs w:val="21"/>
          <w:lang w:val="zh-CN"/>
          <w14:textFill>
            <w14:solidFill>
              <w14:schemeClr w14:val="tx1"/>
            </w14:solidFill>
          </w14:textFill>
        </w:rPr>
      </w:pPr>
      <w:r>
        <w:rPr>
          <w:rFonts w:hint="default" w:ascii="Times New Roman" w:hAnsi="Times New Roman" w:cs="Times New Roman"/>
          <w:color w:val="000000" w:themeColor="text1"/>
          <w:kern w:val="0"/>
          <w:szCs w:val="21"/>
          <w:lang w:val="zh-CN"/>
          <w14:textFill>
            <w14:solidFill>
              <w14:schemeClr w14:val="tx1"/>
            </w14:solidFill>
          </w14:textFill>
        </w:rPr>
        <w:t>（4）供应商认为需要提供的其他技术资料。</w:t>
      </w:r>
    </w:p>
    <w:p w14:paraId="17CD11B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11、投标文件的价格部分</w:t>
      </w:r>
    </w:p>
    <w:p w14:paraId="17093DE6">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11.1价格部分是对服务价格构成的说明，招标文件如没有特别说明的话，对每一项服务仅接受一个价格。</w:t>
      </w:r>
    </w:p>
    <w:p w14:paraId="1ECE616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11.2报价应包含本次招标项目有关的所有费用</w:t>
      </w:r>
      <w:r>
        <w:rPr>
          <w:rFonts w:hint="default" w:ascii="Times New Roman" w:hAnsi="Times New Roman" w:cs="Times New Roman"/>
          <w:color w:val="000000" w:themeColor="text1"/>
          <w:kern w:val="0"/>
          <w:szCs w:val="21"/>
          <w:lang w:val="zh-CN"/>
          <w14:textFill>
            <w14:solidFill>
              <w14:schemeClr w14:val="tx1"/>
            </w14:solidFill>
          </w14:textFill>
        </w:rPr>
        <w:t>，以及技术资料、支付给员工的工资和国家强制缴纳的各种社会保障资金</w:t>
      </w:r>
      <w:r>
        <w:rPr>
          <w:rFonts w:hint="default" w:ascii="Times New Roman" w:hAnsi="Times New Roman" w:cs="Times New Roman"/>
          <w:bCs/>
          <w:color w:val="000000" w:themeColor="text1"/>
          <w:szCs w:val="21"/>
          <w14:textFill>
            <w14:solidFill>
              <w14:schemeClr w14:val="tx1"/>
            </w14:solidFill>
          </w14:textFill>
        </w:rPr>
        <w:t>，以</w:t>
      </w:r>
      <w:r>
        <w:rPr>
          <w:rFonts w:hint="default" w:ascii="Times New Roman" w:hAnsi="Times New Roman" w:cs="Times New Roman"/>
          <w:color w:val="000000" w:themeColor="text1"/>
          <w:szCs w:val="21"/>
          <w14:textFill>
            <w14:solidFill>
              <w14:schemeClr w14:val="tx1"/>
            </w14:solidFill>
          </w14:textFill>
        </w:rPr>
        <w:t>及投标人认为需要的其他费用等</w:t>
      </w:r>
      <w:r>
        <w:rPr>
          <w:rFonts w:hint="default" w:ascii="Times New Roman" w:hAnsi="Times New Roman" w:cs="Times New Roman"/>
          <w:b/>
          <w:color w:val="000000" w:themeColor="text1"/>
          <w:szCs w:val="21"/>
          <w14:textFill>
            <w14:solidFill>
              <w14:schemeClr w14:val="tx1"/>
            </w14:solidFill>
          </w14:textFill>
        </w:rPr>
        <w:t>。</w:t>
      </w:r>
    </w:p>
    <w:p w14:paraId="6766649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11.3投标人的任何错漏、优惠、竞争性报价不得作为减轻责任、减少服务、增加收费、降低质量的理由。</w:t>
      </w:r>
    </w:p>
    <w:p w14:paraId="435B3DC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11.4 投标人应在《开标一览表》、《投标分项报价》等标明投标货物和服务的单价、总价以及分项报价。</w:t>
      </w:r>
      <w:r>
        <w:rPr>
          <w:rFonts w:hint="default" w:ascii="Times New Roman" w:hAnsi="Times New Roman" w:cs="Times New Roman"/>
          <w:color w:val="000000" w:themeColor="text1"/>
          <w:kern w:val="0"/>
          <w14:textFill>
            <w14:solidFill>
              <w14:schemeClr w14:val="tx1"/>
            </w14:solidFill>
          </w14:textFill>
        </w:rPr>
        <w:t>投标人符合本须知3.1条所述情形的，须在《开标一览表》、《分项报价》中注明</w:t>
      </w:r>
      <w:r>
        <w:rPr>
          <w:rFonts w:hint="default" w:ascii="Times New Roman" w:hAnsi="Times New Roman" w:cs="Times New Roman"/>
          <w:color w:val="000000" w:themeColor="text1"/>
          <w:kern w:val="0"/>
          <w:szCs w:val="21"/>
          <w14:textFill>
            <w14:solidFill>
              <w14:schemeClr w14:val="tx1"/>
            </w14:solidFill>
          </w14:textFill>
        </w:rPr>
        <w:t>。</w:t>
      </w:r>
    </w:p>
    <w:p w14:paraId="1BEE7334">
      <w:pPr>
        <w:widowControl/>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11.5本项目预算为：详见第一章</w:t>
      </w:r>
      <w:r>
        <w:rPr>
          <w:rFonts w:hint="default" w:ascii="Times New Roman" w:hAnsi="Times New Roman" w:cs="Times New Roman"/>
          <w:bCs/>
          <w:color w:val="000000" w:themeColor="text1"/>
          <w:kern w:val="0"/>
          <w:szCs w:val="21"/>
          <w14:textFill>
            <w14:solidFill>
              <w14:schemeClr w14:val="tx1"/>
            </w14:solidFill>
          </w14:textFill>
        </w:rPr>
        <w:t>。</w:t>
      </w:r>
    </w:p>
    <w:p w14:paraId="40A59E6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12、投标文件的其他部分</w:t>
      </w:r>
    </w:p>
    <w:p w14:paraId="1610A5A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12.1 其他部分由投标人根据编制投标文件需要提供的其他相关文件。</w:t>
      </w:r>
    </w:p>
    <w:p w14:paraId="5CFB8398">
      <w:pPr>
        <w:widowControl/>
        <w:shd w:val="clear" w:color="auto" w:fill="FFFFFF"/>
        <w:spacing w:line="360" w:lineRule="auto"/>
        <w:ind w:firstLine="420"/>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13、投标保证金</w:t>
      </w:r>
      <w:bookmarkStart w:id="10" w:name="_Hlk52107577"/>
      <w:r>
        <w:rPr>
          <w:rFonts w:hint="default" w:ascii="Times New Roman" w:hAnsi="Times New Roman" w:cs="Times New Roman"/>
          <w:b/>
          <w:bCs/>
          <w:color w:val="000000" w:themeColor="text1"/>
          <w:kern w:val="0"/>
          <w:szCs w:val="21"/>
          <w14:textFill>
            <w14:solidFill>
              <w14:schemeClr w14:val="tx1"/>
            </w14:solidFill>
          </w14:textFill>
        </w:rPr>
        <w:t>（本项目不涉及）</w:t>
      </w:r>
      <w:bookmarkEnd w:id="10"/>
    </w:p>
    <w:p w14:paraId="4F4EE911">
      <w:pPr>
        <w:widowControl/>
        <w:shd w:val="clear" w:color="auto" w:fill="FFFFFF"/>
        <w:spacing w:line="360" w:lineRule="auto"/>
        <w:ind w:firstLine="420"/>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14、投标有效期</w:t>
      </w:r>
    </w:p>
    <w:p w14:paraId="111835EA">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14.1 自开标之日起</w:t>
      </w:r>
      <w:r>
        <w:rPr>
          <w:rFonts w:hint="default" w:ascii="Times New Roman" w:hAnsi="Times New Roman" w:cs="Times New Roman"/>
          <w:b/>
          <w:color w:val="000000" w:themeColor="text1"/>
          <w:kern w:val="0"/>
          <w:szCs w:val="21"/>
          <w14:textFill>
            <w14:solidFill>
              <w14:schemeClr w14:val="tx1"/>
            </w14:solidFill>
          </w14:textFill>
        </w:rPr>
        <w:t>60</w:t>
      </w:r>
      <w:r>
        <w:rPr>
          <w:rFonts w:hint="default" w:ascii="Times New Roman" w:hAnsi="Times New Roman" w:cs="Times New Roman"/>
          <w:color w:val="000000" w:themeColor="text1"/>
          <w:kern w:val="0"/>
          <w:szCs w:val="21"/>
          <w14:textFill>
            <w14:solidFill>
              <w14:schemeClr w14:val="tx1"/>
            </w14:solidFill>
          </w14:textFill>
        </w:rPr>
        <w:t>天内投标有效。</w:t>
      </w:r>
    </w:p>
    <w:p w14:paraId="7A86B78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14.2 在特殊情况下，在原投标有效期截止之前，代理机构可要求投标人同意延长投标有效期，这种要求与答复均以书面形式提交。投标人可拒绝这种要求。接收延长投标有效期的投标人将不会要求和允许修正其投标。</w:t>
      </w:r>
    </w:p>
    <w:p w14:paraId="3B36F0D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15、投标文件签署</w:t>
      </w:r>
    </w:p>
    <w:p w14:paraId="3C0C671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15.1 投标文件由投标人法人代表或经正式授权并对投标人有约束力的委托代理人签字。</w:t>
      </w:r>
    </w:p>
    <w:p w14:paraId="568C37DB">
      <w:pPr>
        <w:widowControl/>
        <w:shd w:val="clear" w:color="auto" w:fill="FFFFFF"/>
        <w:tabs>
          <w:tab w:val="center" w:pos="5018"/>
        </w:tabs>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16、投标费用</w:t>
      </w:r>
      <w:r>
        <w:rPr>
          <w:rFonts w:hint="default" w:ascii="Times New Roman" w:hAnsi="Times New Roman" w:cs="Times New Roman"/>
          <w:b/>
          <w:bCs/>
          <w:color w:val="000000" w:themeColor="text1"/>
          <w:kern w:val="0"/>
          <w:szCs w:val="21"/>
          <w14:textFill>
            <w14:solidFill>
              <w14:schemeClr w14:val="tx1"/>
            </w14:solidFill>
          </w14:textFill>
        </w:rPr>
        <w:tab/>
      </w:r>
    </w:p>
    <w:p w14:paraId="6F411F4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16.1 投标人应承担所有与准备和参加投标有关的费用，无论采购结果如何，代理机构和采购人在任何情况下均无义务和责任承担这些费用。</w:t>
      </w:r>
    </w:p>
    <w:p w14:paraId="412A5B21">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16.2 招标代理服务费：</w:t>
      </w:r>
      <w:r>
        <w:rPr>
          <w:rFonts w:hint="default" w:ascii="Times New Roman" w:hAnsi="Times New Roman" w:cs="Times New Roman"/>
          <w:bCs/>
          <w:color w:val="000000" w:themeColor="text1"/>
          <w:kern w:val="0"/>
          <w:szCs w:val="21"/>
          <w14:textFill>
            <w14:solidFill>
              <w14:schemeClr w14:val="tx1"/>
            </w14:solidFill>
          </w14:textFill>
        </w:rPr>
        <w:t>本次招标，中标人以成交金额为计费基础，按差额定率累进法计算，代理服务费费率：100万元以下为1.5%，100万元-500万元为1.1%。各投标供应商应将招标代理服务费自行考虑包含在投标报价中，本项费用无需在投标报价表中单列。</w:t>
      </w:r>
    </w:p>
    <w:p w14:paraId="05E794B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四、投标文件的修改和撤回</w:t>
      </w:r>
    </w:p>
    <w:p w14:paraId="5570825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17.1投标人在投标截止时间前，可以对所递交的投标文件进行补充、修改或者撤回。</w:t>
      </w:r>
      <w:r>
        <w:rPr>
          <w:rFonts w:hint="default" w:ascii="Times New Roman" w:hAnsi="Times New Roman" w:cs="Times New Roman"/>
          <w:color w:val="000000" w:themeColor="text1"/>
          <w14:textFill>
            <w14:solidFill>
              <w14:schemeClr w14:val="tx1"/>
            </w14:solidFill>
          </w14:textFill>
        </w:rPr>
        <w:t>投标文件以投标截止时间前完成递交至“苏采云平台”最后一份投标文件为准</w:t>
      </w:r>
      <w:r>
        <w:rPr>
          <w:rFonts w:hint="default" w:ascii="Times New Roman" w:hAnsi="Times New Roman" w:cs="Times New Roman"/>
          <w:color w:val="000000" w:themeColor="text1"/>
          <w:kern w:val="0"/>
          <w:szCs w:val="21"/>
          <w14:textFill>
            <w14:solidFill>
              <w14:schemeClr w14:val="tx1"/>
            </w14:solidFill>
          </w14:textFill>
        </w:rPr>
        <w:t>。</w:t>
      </w:r>
    </w:p>
    <w:p w14:paraId="715AF48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17.2 投标截止时间之后，投标文件不得撤回。</w:t>
      </w:r>
    </w:p>
    <w:p w14:paraId="1693099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18、诚实信用</w:t>
      </w:r>
    </w:p>
    <w:p w14:paraId="27692F6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18.1投标人应当遵循公平竞争的原则，不得恶意串通，不得妨碍其他投标人的竞争行为，不得损害采购人或者其他投标人的合法权益。</w:t>
      </w:r>
    </w:p>
    <w:p w14:paraId="16D7799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在评标过程中发现投标人有上述情形的，评标委员会应当认定其投标无效，并书面报告本级财政部门。</w:t>
      </w:r>
    </w:p>
    <w:p w14:paraId="7CECEEFA">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五、开标、评标与定标</w:t>
      </w:r>
    </w:p>
    <w:p w14:paraId="60E030E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19、开标</w:t>
      </w:r>
    </w:p>
    <w:p w14:paraId="42F689DC">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19.1 代理机构将在招标文件确定的时间和地点进行公开开标。投标人应委派代表准时参加线上开标会。本项目采用远程不见面交易模式。通过不见面交易系统及相应的配套硬件设备（摄像头、话筒、麦克风等）完成远程解密、开标现场异议及回复、开标唱标等交互环节。相关要求和说明如下：</w:t>
      </w:r>
    </w:p>
    <w:p w14:paraId="2C692A7A">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①远程开标项目的时间均以国家授时中心发布的时间为准；</w:t>
      </w:r>
    </w:p>
    <w:p w14:paraId="4361A4DB">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②开标当日，投标人不必抵达开标现场；</w:t>
      </w:r>
    </w:p>
    <w:p w14:paraId="7CBC17FB">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2FB8A006">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21BE4224">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38993E9">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0A08C7C8">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F722F2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049116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19.2投标人不足3家的，不得开标。</w:t>
      </w:r>
    </w:p>
    <w:p w14:paraId="7CDF1C6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19.3投标人未参加开标的，视同认可开标结果。</w:t>
      </w:r>
    </w:p>
    <w:p w14:paraId="5B077E0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19.4投标文件报价出现前后不一致的，除招标文件另有规定外，按照下列规定修正：</w:t>
      </w:r>
    </w:p>
    <w:p w14:paraId="40F4E1A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19.4.1 投标文件中开标一览表（报价表）内容与投标文件中相应内容不一致的，以开标一览表（报价表）为准；</w:t>
      </w:r>
    </w:p>
    <w:p w14:paraId="7441F10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19.4.2 大写金额和小写金额不一致的，以大写金额为准；</w:t>
      </w:r>
    </w:p>
    <w:p w14:paraId="18CB4C5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19.4.3单价金额小数点或者百分比有明显错位的，以开标一览表的总价为准，并修改单价；</w:t>
      </w:r>
    </w:p>
    <w:p w14:paraId="20A5372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19.4.4 总价金额与按单价汇总金额不一致的，以单价金额计算结果为准。</w:t>
      </w:r>
    </w:p>
    <w:p w14:paraId="222E586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同时出现两种以上不一致的，按照前款规定的顺序修正。修正后的报价按照本办法第五十一条第二款的规定经投标人确认后产生约束力，投标人不确认的，其投标无效。</w:t>
      </w:r>
    </w:p>
    <w:p w14:paraId="7639EDB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19.5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p>
    <w:p w14:paraId="11A315C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20、评标</w:t>
      </w:r>
    </w:p>
    <w:p w14:paraId="13321318">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20.1 评标组织</w:t>
      </w:r>
    </w:p>
    <w:p w14:paraId="3B3D9BAC">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20.1.1</w:t>
      </w:r>
      <w:r>
        <w:rPr>
          <w:rFonts w:hint="default" w:ascii="Times New Roman" w:hAnsi="Times New Roman" w:cs="Times New Roman"/>
          <w:bCs/>
          <w:color w:val="000000" w:themeColor="text1"/>
          <w:kern w:val="0"/>
          <w:szCs w:val="21"/>
          <w14:textFill>
            <w14:solidFill>
              <w14:schemeClr w14:val="tx1"/>
            </w14:solidFill>
          </w14:textFill>
        </w:rPr>
        <w:t>评标委员会负责具体评标事务，并独立履行下列职责：</w:t>
      </w:r>
    </w:p>
    <w:p w14:paraId="2CC9D95B">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（一）审查、评价投标文件是否符合招标文件的商务、技术等实质性要求；</w:t>
      </w:r>
    </w:p>
    <w:p w14:paraId="0CEA859A">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（二）要求投标人对投标文件有关事项作出澄清或者说明；</w:t>
      </w:r>
    </w:p>
    <w:p w14:paraId="7AB0F11B">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（三）对投标文件进行比较和评价；</w:t>
      </w:r>
    </w:p>
    <w:p w14:paraId="091B9CD0">
      <w:pPr>
        <w:widowControl/>
        <w:shd w:val="clear" w:color="auto" w:fill="FFFFFF"/>
        <w:spacing w:line="360" w:lineRule="auto"/>
        <w:ind w:firstLine="420"/>
        <w:rPr>
          <w:rFonts w:hint="default" w:ascii="Times New Roman" w:hAnsi="Times New Roman" w:cs="Times New Roman"/>
          <w:bCs/>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（四）确定中标候选人名单，以及根据采购人委托直接确定中标人；</w:t>
      </w:r>
    </w:p>
    <w:p w14:paraId="5C7C772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Cs/>
          <w:color w:val="000000" w:themeColor="text1"/>
          <w:kern w:val="0"/>
          <w:szCs w:val="21"/>
          <w14:textFill>
            <w14:solidFill>
              <w14:schemeClr w14:val="tx1"/>
            </w14:solidFill>
          </w14:textFill>
        </w:rPr>
        <w:t>（五）向采购人、采购代理机构或者有关部门报告评标中发现的违法行为。</w:t>
      </w:r>
    </w:p>
    <w:p w14:paraId="5EB0931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20.1.2 </w:t>
      </w:r>
      <w:r>
        <w:rPr>
          <w:rFonts w:hint="default" w:ascii="Times New Roman" w:hAnsi="Times New Roman" w:cs="Times New Roman"/>
          <w:color w:val="000000" w:themeColor="text1"/>
          <w:kern w:val="0"/>
          <w:szCs w:val="21"/>
          <w14:textFill>
            <w14:solidFill>
              <w14:schemeClr w14:val="tx1"/>
            </w14:solidFill>
          </w14:textFill>
        </w:rPr>
        <w:t>评标委员会由采购人代表和有关技术、经济等方面的专家组成，独立开展评审工作。</w:t>
      </w:r>
    </w:p>
    <w:p w14:paraId="54D1037E">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20.2  评标程序</w:t>
      </w:r>
    </w:p>
    <w:p w14:paraId="2BE5F809">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 xml:space="preserve">20.2.1 </w:t>
      </w:r>
      <w:r>
        <w:rPr>
          <w:rFonts w:hint="default" w:ascii="Times New Roman" w:hAnsi="Times New Roman" w:cs="Times New Roman"/>
          <w:b/>
          <w:bCs/>
          <w:color w:val="000000" w:themeColor="text1"/>
          <w:kern w:val="0"/>
          <w:szCs w:val="21"/>
          <w14:textFill>
            <w14:solidFill>
              <w14:schemeClr w14:val="tx1"/>
            </w14:solidFill>
          </w14:textFill>
        </w:rPr>
        <w:t>投标文件的资格性检查。</w:t>
      </w:r>
      <w:r>
        <w:rPr>
          <w:rFonts w:hint="default" w:ascii="Times New Roman" w:hAnsi="Times New Roman" w:cs="Times New Roman"/>
          <w:color w:val="000000" w:themeColor="text1"/>
          <w:kern w:val="0"/>
          <w:szCs w:val="21"/>
          <w14:textFill>
            <w14:solidFill>
              <w14:schemeClr w14:val="tx1"/>
            </w14:solidFill>
          </w14:textFill>
        </w:rPr>
        <w:t>公开招标采购项目开标结束后，采购人或者采购代理机构应当依法对投标人的资格进行审查。合格投标人不足3家的，不得评标。在单一品目的货物采购招标中，同一品牌的产品有多家供应商参加投标，只能按照一家供应商计算。</w:t>
      </w:r>
    </w:p>
    <w:p w14:paraId="3BAC84ED">
      <w:pPr>
        <w:widowControl/>
        <w:shd w:val="clear" w:color="auto" w:fill="FFFFFF"/>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20.2.2</w:t>
      </w:r>
      <w:r>
        <w:rPr>
          <w:rFonts w:hint="default" w:ascii="Times New Roman" w:hAnsi="Times New Roman" w:cs="Times New Roman"/>
          <w:color w:val="000000" w:themeColor="text1"/>
          <w:kern w:val="0"/>
          <w:szCs w:val="21"/>
          <w14:textFill>
            <w14:solidFill>
              <w14:schemeClr w14:val="tx1"/>
            </w14:solidFill>
          </w14:textFill>
        </w:rPr>
        <w:t xml:space="preserve"> </w:t>
      </w:r>
      <w:r>
        <w:rPr>
          <w:rFonts w:hint="default" w:ascii="Times New Roman" w:hAnsi="Times New Roman" w:cs="Times New Roman"/>
          <w:b/>
          <w:bCs/>
          <w:color w:val="000000" w:themeColor="text1"/>
          <w:kern w:val="0"/>
          <w:szCs w:val="21"/>
          <w14:textFill>
            <w14:solidFill>
              <w14:schemeClr w14:val="tx1"/>
            </w14:solidFill>
          </w14:textFill>
        </w:rPr>
        <w:t>投标文件的符合性审查</w:t>
      </w:r>
      <w:r>
        <w:rPr>
          <w:rFonts w:hint="default" w:ascii="Times New Roman" w:hAnsi="Times New Roman" w:cs="Times New Roman"/>
          <w:color w:val="000000" w:themeColor="text1"/>
          <w:kern w:val="0"/>
          <w:szCs w:val="21"/>
          <w14:textFill>
            <w14:solidFill>
              <w14:schemeClr w14:val="tx1"/>
            </w14:solidFill>
          </w14:textFill>
        </w:rPr>
        <w:t>。评标委员会对符合资格的投标人的投标文件进行符合性审查，以确定其是否满足招标文件的实质性要求。出现下列情形的，按无效投标处理：</w:t>
      </w:r>
    </w:p>
    <w:p w14:paraId="00759531">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投标文件未按</w:t>
      </w:r>
      <w:r>
        <w:rPr>
          <w:rFonts w:hint="default" w:ascii="Times New Roman" w:hAnsi="Times New Roman" w:cs="Times New Roman"/>
          <w:color w:val="000000" w:themeColor="text1"/>
          <w14:textFill>
            <w14:solidFill>
              <w14:schemeClr w14:val="tx1"/>
            </w14:solidFill>
          </w14:textFill>
        </w:rPr>
        <w:t>规定期限投标的，未按照</w:t>
      </w:r>
      <w:r>
        <w:rPr>
          <w:rFonts w:hint="default" w:ascii="Times New Roman" w:hAnsi="Times New Roman" w:cs="Times New Roman"/>
          <w:color w:val="000000" w:themeColor="text1"/>
          <w:szCs w:val="21"/>
          <w14:textFill>
            <w14:solidFill>
              <w14:schemeClr w14:val="tx1"/>
            </w14:solidFill>
          </w14:textFill>
        </w:rPr>
        <w:t>招标文件要求</w:t>
      </w:r>
      <w:r>
        <w:rPr>
          <w:rFonts w:hint="default" w:ascii="Times New Roman" w:hAnsi="Times New Roman" w:cs="Times New Roman"/>
          <w:color w:val="000000" w:themeColor="text1"/>
          <w14:textFill>
            <w14:solidFill>
              <w14:schemeClr w14:val="tx1"/>
            </w14:solidFill>
          </w14:textFill>
        </w:rPr>
        <w:t>上传电子投标文件的，纸质投标文件（如有）未按规定的期限、地点送达的；</w:t>
      </w:r>
    </w:p>
    <w:p w14:paraId="68ADB9EB">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投标文件未按采购文件要求签章的；</w:t>
      </w:r>
    </w:p>
    <w:p w14:paraId="59E96534">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投标人在苏采云系统规定的时间内未成功解密电子投标文件的；</w:t>
      </w:r>
    </w:p>
    <w:p w14:paraId="1B072C81">
      <w:pPr>
        <w:widowControl/>
        <w:numPr>
          <w:ilvl w:val="0"/>
          <w:numId w:val="4"/>
        </w:numPr>
        <w:shd w:val="clear" w:color="auto" w:fill="FFFFFF"/>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投标人的法定代表人授权代表，无法定代表人授权委托书的</w:t>
      </w:r>
      <w:r>
        <w:rPr>
          <w:rFonts w:hint="default" w:ascii="Times New Roman" w:hAnsi="Times New Roman" w:cs="Times New Roman"/>
          <w:color w:val="000000" w:themeColor="text1"/>
          <w:szCs w:val="21"/>
          <w14:textFill>
            <w14:solidFill>
              <w14:schemeClr w14:val="tx1"/>
            </w14:solidFill>
          </w14:textFill>
        </w:rPr>
        <w:t>；</w:t>
      </w:r>
    </w:p>
    <w:p w14:paraId="5A8CE630">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不具备采购</w:t>
      </w:r>
      <w:r>
        <w:rPr>
          <w:rFonts w:hint="default" w:ascii="Times New Roman" w:hAnsi="Times New Roman" w:cs="Times New Roman"/>
          <w:color w:val="000000" w:themeColor="text1"/>
          <w:szCs w:val="21"/>
          <w14:textFill>
            <w14:solidFill>
              <w14:schemeClr w14:val="tx1"/>
            </w14:solidFill>
          </w14:textFill>
        </w:rPr>
        <w:t>文件中规定的</w:t>
      </w:r>
      <w:r>
        <w:rPr>
          <w:rFonts w:hint="default" w:ascii="Times New Roman" w:hAnsi="Times New Roman" w:cs="Times New Roman"/>
          <w:color w:val="000000" w:themeColor="text1"/>
          <w14:textFill>
            <w14:solidFill>
              <w14:schemeClr w14:val="tx1"/>
            </w14:solidFill>
          </w14:textFill>
        </w:rPr>
        <w:t>资格要求或未按采购文件规定的要求提供资格、资信证明文件的；</w:t>
      </w:r>
    </w:p>
    <w:p w14:paraId="5103A615">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被“信用中国”网站（</w:t>
      </w:r>
      <w:r>
        <w:rPr>
          <w:rFonts w:hint="default" w:ascii="Times New Roman" w:hAnsi="Times New Roman" w:cs="Times New Roman"/>
        </w:rPr>
        <w:fldChar w:fldCharType="begin"/>
      </w:r>
      <w:r>
        <w:rPr>
          <w:rFonts w:hint="default" w:ascii="Times New Roman" w:hAnsi="Times New Roman" w:cs="Times New Roman"/>
        </w:rPr>
        <w:instrText xml:space="preserve"> HYPERLINK "http://www.creditchina.gov.cn" </w:instrText>
      </w:r>
      <w:r>
        <w:rPr>
          <w:rFonts w:hint="default" w:ascii="Times New Roman" w:hAnsi="Times New Roman" w:cs="Times New Roman"/>
        </w:rPr>
        <w:fldChar w:fldCharType="separate"/>
      </w:r>
      <w:r>
        <w:rPr>
          <w:rFonts w:hint="default" w:ascii="Times New Roman" w:hAnsi="Times New Roman" w:cs="Times New Roman"/>
          <w:color w:val="000000" w:themeColor="text1"/>
          <w14:textFill>
            <w14:solidFill>
              <w14:schemeClr w14:val="tx1"/>
            </w14:solidFill>
          </w14:textFill>
        </w:rPr>
        <w:t>www.creditchina.gov.cn</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）、中国政府采购网（www.ccgp.gov.cn）列入失信被执行人、</w:t>
      </w:r>
      <w:r>
        <w:rPr>
          <w:rFonts w:hint="eastAsia" w:cs="Times New Roman"/>
          <w:color w:val="000000" w:themeColor="text1"/>
          <w:lang w:eastAsia="zh-CN"/>
          <w14:textFill>
            <w14:solidFill>
              <w14:schemeClr w14:val="tx1"/>
            </w14:solidFill>
          </w14:textFill>
        </w:rPr>
        <w:t>重大税收违法失信主体</w:t>
      </w:r>
      <w:r>
        <w:rPr>
          <w:rFonts w:hint="default" w:ascii="Times New Roman" w:hAnsi="Times New Roman" w:cs="Times New Roman"/>
          <w:color w:val="000000" w:themeColor="text1"/>
          <w14:textFill>
            <w14:solidFill>
              <w14:schemeClr w14:val="tx1"/>
            </w14:solidFill>
          </w14:textFill>
        </w:rPr>
        <w:t>、政府采购严重违法失信行为记录名单的；</w:t>
      </w:r>
    </w:p>
    <w:p w14:paraId="2FFFF76C">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投标文件未按采购文件规定的内容和要求填写的；没有在投标系统指定位置上传对应文件、材料的；</w:t>
      </w:r>
    </w:p>
    <w:p w14:paraId="3FB8FB43">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投标文件图片、字迹模糊不清、无法辨认的；</w:t>
      </w:r>
    </w:p>
    <w:p w14:paraId="11744BB0">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投标文件中有采购文件未允许提供的选择性内容；</w:t>
      </w:r>
    </w:p>
    <w:p w14:paraId="4D13CB25">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不同投标人的投标文件由同一单位</w:t>
      </w:r>
      <w:r>
        <w:rPr>
          <w:rFonts w:hint="default" w:ascii="Times New Roman" w:hAnsi="Times New Roman" w:cs="Times New Roman"/>
          <w:color w:val="000000" w:themeColor="text1"/>
          <w:szCs w:val="21"/>
          <w14:textFill>
            <w14:solidFill>
              <w14:schemeClr w14:val="tx1"/>
            </w14:solidFill>
          </w14:textFill>
        </w:rPr>
        <w:t>或者</w:t>
      </w:r>
      <w:r>
        <w:rPr>
          <w:rFonts w:hint="default" w:ascii="Times New Roman" w:hAnsi="Times New Roman" w:cs="Times New Roman"/>
          <w:color w:val="000000" w:themeColor="text1"/>
          <w14:textFill>
            <w14:solidFill>
              <w14:schemeClr w14:val="tx1"/>
            </w14:solidFill>
          </w14:textFill>
        </w:rPr>
        <w:t>个人编制的；</w:t>
      </w:r>
    </w:p>
    <w:p w14:paraId="33B3CF28">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不同投标人委托同一单位或者个人办理投标事宜的；</w:t>
      </w:r>
    </w:p>
    <w:p w14:paraId="1D97BAD4">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不同投标人的单位负责人为同一人或者存在直接控股、管理关系的；</w:t>
      </w:r>
    </w:p>
    <w:p w14:paraId="77CFB0D6">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不同</w:t>
      </w:r>
      <w:r>
        <w:rPr>
          <w:rFonts w:hint="default" w:ascii="Times New Roman" w:hAnsi="Times New Roman" w:cs="Times New Roman"/>
          <w:color w:val="000000" w:themeColor="text1"/>
          <w:szCs w:val="21"/>
          <w14:textFill>
            <w14:solidFill>
              <w14:schemeClr w14:val="tx1"/>
            </w14:solidFill>
          </w14:textFill>
        </w:rPr>
        <w:t>投标</w:t>
      </w:r>
      <w:r>
        <w:rPr>
          <w:rFonts w:hint="default" w:ascii="Times New Roman" w:hAnsi="Times New Roman" w:cs="Times New Roman"/>
          <w:color w:val="000000" w:themeColor="text1"/>
          <w14:textFill>
            <w14:solidFill>
              <w14:schemeClr w14:val="tx1"/>
            </w14:solidFill>
          </w14:textFill>
        </w:rPr>
        <w:t>人投标</w:t>
      </w:r>
      <w:r>
        <w:rPr>
          <w:rFonts w:hint="default" w:ascii="Times New Roman" w:hAnsi="Times New Roman" w:cs="Times New Roman"/>
          <w:color w:val="000000" w:themeColor="text1"/>
          <w:szCs w:val="21"/>
          <w14:textFill>
            <w14:solidFill>
              <w14:schemeClr w14:val="tx1"/>
            </w14:solidFill>
          </w14:textFill>
        </w:rPr>
        <w:t>文件</w:t>
      </w:r>
      <w:r>
        <w:rPr>
          <w:rFonts w:hint="default" w:ascii="Times New Roman" w:hAnsi="Times New Roman" w:cs="Times New Roman"/>
          <w:color w:val="000000" w:themeColor="text1"/>
          <w14:textFill>
            <w14:solidFill>
              <w14:schemeClr w14:val="tx1"/>
            </w14:solidFill>
          </w14:textFill>
        </w:rPr>
        <w:t>内容存在非正常一致、项目组成员</w:t>
      </w:r>
      <w:r>
        <w:rPr>
          <w:rFonts w:hint="default" w:ascii="Times New Roman" w:hAnsi="Times New Roman" w:cs="Times New Roman"/>
          <w:color w:val="000000" w:themeColor="text1"/>
          <w:szCs w:val="21"/>
          <w14:textFill>
            <w14:solidFill>
              <w14:schemeClr w14:val="tx1"/>
            </w14:solidFill>
          </w14:textFill>
        </w:rPr>
        <w:t>出现</w:t>
      </w:r>
      <w:r>
        <w:rPr>
          <w:rFonts w:hint="default" w:ascii="Times New Roman" w:hAnsi="Times New Roman" w:cs="Times New Roman"/>
          <w:color w:val="000000" w:themeColor="text1"/>
          <w14:textFill>
            <w14:solidFill>
              <w14:schemeClr w14:val="tx1"/>
            </w14:solidFill>
          </w14:textFill>
        </w:rPr>
        <w:t>同一人、投标文件中错误（或异常）</w:t>
      </w:r>
      <w:r>
        <w:rPr>
          <w:rFonts w:hint="default" w:ascii="Times New Roman" w:hAnsi="Times New Roman" w:cs="Times New Roman"/>
          <w:color w:val="000000" w:themeColor="text1"/>
          <w:szCs w:val="21"/>
          <w14:textFill>
            <w14:solidFill>
              <w14:schemeClr w14:val="tx1"/>
            </w14:solidFill>
          </w14:textFill>
        </w:rPr>
        <w:t>一致</w:t>
      </w:r>
      <w:r>
        <w:rPr>
          <w:rFonts w:hint="default" w:ascii="Times New Roman" w:hAnsi="Times New Roman" w:cs="Times New Roman"/>
          <w:color w:val="000000" w:themeColor="text1"/>
          <w14:textFill>
            <w14:solidFill>
              <w14:schemeClr w14:val="tx1"/>
            </w14:solidFill>
          </w14:textFill>
        </w:rPr>
        <w:t>或雷同、电子文档信息一致或雷同的、投标报价呈规律性差异的；</w:t>
      </w:r>
    </w:p>
    <w:p w14:paraId="14AAFF7B">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项目（标段）投标总价超过本项目（标段）预算或最高限价的；</w:t>
      </w:r>
    </w:p>
    <w:p w14:paraId="13CCF058">
      <w:pPr>
        <w:widowControl/>
        <w:numPr>
          <w:ilvl w:val="0"/>
          <w:numId w:val="4"/>
        </w:numPr>
        <w:shd w:val="clear" w:color="auto" w:fill="FFFFFF"/>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提供虚假材料的（包括工商营业执照、财务报表、资格证明文件等）</w:t>
      </w:r>
      <w:r>
        <w:rPr>
          <w:rFonts w:hint="default" w:ascii="Times New Roman" w:hAnsi="Times New Roman" w:cs="Times New Roman"/>
          <w:color w:val="000000" w:themeColor="text1"/>
          <w:szCs w:val="21"/>
          <w14:textFill>
            <w14:solidFill>
              <w14:schemeClr w14:val="tx1"/>
            </w14:solidFill>
          </w14:textFill>
        </w:rPr>
        <w:t>；</w:t>
      </w:r>
    </w:p>
    <w:p w14:paraId="46A604F5">
      <w:pPr>
        <w:widowControl/>
        <w:numPr>
          <w:ilvl w:val="0"/>
          <w:numId w:val="4"/>
        </w:numPr>
        <w:shd w:val="clear" w:color="auto" w:fill="FFFFFF"/>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投标文件含有采购人不能接受的附加条件的；</w:t>
      </w:r>
    </w:p>
    <w:p w14:paraId="68B6C7FB">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评标委员会认定</w:t>
      </w:r>
      <w:r>
        <w:rPr>
          <w:rFonts w:hint="default" w:ascii="Times New Roman" w:hAnsi="Times New Roman" w:cs="Times New Roman"/>
          <w:color w:val="000000" w:themeColor="text1"/>
          <w:szCs w:val="21"/>
          <w14:textFill>
            <w14:solidFill>
              <w14:schemeClr w14:val="tx1"/>
            </w14:solidFill>
          </w14:textFill>
        </w:rPr>
        <w:t>投标</w:t>
      </w:r>
      <w:r>
        <w:rPr>
          <w:rFonts w:hint="default" w:ascii="Times New Roman" w:hAnsi="Times New Roman" w:cs="Times New Roman"/>
          <w:color w:val="000000" w:themeColor="text1"/>
          <w14:textFill>
            <w14:solidFill>
              <w14:schemeClr w14:val="tx1"/>
            </w14:solidFill>
          </w14:textFill>
        </w:rPr>
        <w:t>人的报价明显低于其他通过符合性审查投标人的报价，有可能影响产品质量或者不能诚信履约，将通过“苏采云系统”要求其在评标现场合理的时间内提供书面说明（必要时评标委员会可要求投标人提交相关证明材料）；投标人不能证明其报价合理性的；</w:t>
      </w:r>
    </w:p>
    <w:p w14:paraId="089C6510">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除单一来源采购项目外，为采购项目提供整体设计、规范编制或者项目管理、监理、检测等服务的；</w:t>
      </w:r>
    </w:p>
    <w:p w14:paraId="1EA507E1">
      <w:pPr>
        <w:widowControl/>
        <w:numPr>
          <w:ilvl w:val="0"/>
          <w:numId w:val="4"/>
        </w:numPr>
        <w:shd w:val="clear" w:color="auto" w:fill="FFFFFF"/>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投标</w:t>
      </w:r>
      <w:r>
        <w:rPr>
          <w:rFonts w:hint="default" w:ascii="Times New Roman" w:hAnsi="Times New Roman" w:cs="Times New Roman"/>
          <w:color w:val="000000" w:themeColor="text1"/>
          <w:szCs w:val="21"/>
          <w14:textFill>
            <w14:solidFill>
              <w14:schemeClr w14:val="tx1"/>
            </w14:solidFill>
          </w14:textFill>
        </w:rPr>
        <w:t>文件内容不全或不符合</w:t>
      </w:r>
      <w:r>
        <w:rPr>
          <w:rFonts w:hint="default" w:ascii="Times New Roman" w:hAnsi="Times New Roman" w:cs="Times New Roman"/>
          <w:color w:val="000000" w:themeColor="text1"/>
          <w14:textFill>
            <w14:solidFill>
              <w14:schemeClr w14:val="tx1"/>
            </w14:solidFill>
          </w14:textFill>
        </w:rPr>
        <w:t>采购</w:t>
      </w:r>
      <w:r>
        <w:rPr>
          <w:rFonts w:hint="default" w:ascii="Times New Roman" w:hAnsi="Times New Roman" w:cs="Times New Roman"/>
          <w:color w:val="000000" w:themeColor="text1"/>
          <w:szCs w:val="21"/>
          <w14:textFill>
            <w14:solidFill>
              <w14:schemeClr w14:val="tx1"/>
            </w14:solidFill>
          </w14:textFill>
        </w:rPr>
        <w:t>文件中规定的</w:t>
      </w:r>
      <w:r>
        <w:rPr>
          <w:rFonts w:hint="default" w:ascii="Times New Roman" w:hAnsi="Times New Roman" w:cs="Times New Roman"/>
          <w:color w:val="000000" w:themeColor="text1"/>
          <w14:textFill>
            <w14:solidFill>
              <w14:schemeClr w14:val="tx1"/>
            </w14:solidFill>
          </w14:textFill>
        </w:rPr>
        <w:t>其他</w:t>
      </w:r>
      <w:r>
        <w:rPr>
          <w:rFonts w:hint="default" w:ascii="Times New Roman" w:hAnsi="Times New Roman" w:cs="Times New Roman"/>
          <w:color w:val="000000" w:themeColor="text1"/>
          <w:szCs w:val="21"/>
          <w14:textFill>
            <w14:solidFill>
              <w14:schemeClr w14:val="tx1"/>
            </w14:solidFill>
          </w14:textFill>
        </w:rPr>
        <w:t>实质性要求的；</w:t>
      </w:r>
    </w:p>
    <w:p w14:paraId="77CA5F6B">
      <w:pPr>
        <w:widowControl/>
        <w:numPr>
          <w:ilvl w:val="0"/>
          <w:numId w:val="4"/>
        </w:numPr>
        <w:shd w:val="clear" w:color="auto" w:fill="FFFFFF"/>
        <w:spacing w:line="360" w:lineRule="auto"/>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法律法规和</w:t>
      </w:r>
      <w:r>
        <w:rPr>
          <w:rFonts w:hint="default" w:ascii="Times New Roman" w:hAnsi="Times New Roman" w:cs="Times New Roman"/>
          <w:color w:val="000000" w:themeColor="text1"/>
          <w14:textFill>
            <w14:solidFill>
              <w14:schemeClr w14:val="tx1"/>
            </w14:solidFill>
          </w14:textFill>
        </w:rPr>
        <w:t>采购</w:t>
      </w:r>
      <w:r>
        <w:rPr>
          <w:rFonts w:hint="default" w:ascii="Times New Roman" w:hAnsi="Times New Roman" w:cs="Times New Roman"/>
          <w:color w:val="000000" w:themeColor="text1"/>
          <w:szCs w:val="21"/>
          <w14:textFill>
            <w14:solidFill>
              <w14:schemeClr w14:val="tx1"/>
            </w14:solidFill>
          </w14:textFill>
        </w:rPr>
        <w:t>文件规定的其他无效情形。</w:t>
      </w:r>
    </w:p>
    <w:p w14:paraId="6FE5027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20.2.2.1 实质性要求是指本招标文件中用带星号（“★”）、“必须”或“应（应当）”等其他文字说明的商务和技术要求。</w:t>
      </w:r>
    </w:p>
    <w:p w14:paraId="0909DA6C">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20.2.3</w:t>
      </w:r>
      <w:r>
        <w:rPr>
          <w:rFonts w:hint="default" w:ascii="Times New Roman" w:hAnsi="Times New Roman" w:cs="Times New Roman"/>
          <w:b/>
          <w:bCs/>
          <w:color w:val="000000" w:themeColor="text1"/>
          <w:kern w:val="0"/>
          <w:szCs w:val="21"/>
          <w14:textFill>
            <w14:solidFill>
              <w14:schemeClr w14:val="tx1"/>
            </w14:solidFill>
          </w14:textFill>
        </w:rPr>
        <w:t>澄清有关问题</w:t>
      </w:r>
      <w:r>
        <w:rPr>
          <w:rFonts w:hint="default" w:ascii="Times New Roman" w:hAnsi="Times New Roman" w:cs="Times New Roman"/>
          <w:color w:val="000000" w:themeColor="text1"/>
          <w:kern w:val="0"/>
          <w:szCs w:val="21"/>
          <w14:textFill>
            <w14:solidFill>
              <w14:schemeClr w14:val="tx1"/>
            </w14:solidFill>
          </w14:textFill>
        </w:rPr>
        <w:t>。</w:t>
      </w:r>
    </w:p>
    <w:p w14:paraId="45A28C12">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20.2.3.1对于投标文件中含义不明确、同类问题表述不一致或者有明显文字和计算错误的内容，评标委员会应当以书面形式要求投标人作出必要的澄清、说明或者补正。</w:t>
      </w:r>
    </w:p>
    <w:p w14:paraId="3DA38BDD">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20.2.3.2投标人的澄清、说明或者补正应当采用书面形式，并加盖公章，或者由法定代表人或其授权的代表签字。投标人的澄清、说明或者补正不得超出投标文件的范围或者改变投标文件的实质性内容。</w:t>
      </w:r>
    </w:p>
    <w:p w14:paraId="5AD09E26">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20.2.4 </w:t>
      </w:r>
      <w:r>
        <w:rPr>
          <w:rFonts w:hint="default" w:ascii="Times New Roman" w:hAnsi="Times New Roman" w:cs="Times New Roman"/>
          <w:b/>
          <w:bCs/>
          <w:color w:val="000000" w:themeColor="text1"/>
          <w:kern w:val="0"/>
          <w:szCs w:val="21"/>
          <w14:textFill>
            <w14:solidFill>
              <w14:schemeClr w14:val="tx1"/>
            </w14:solidFill>
          </w14:textFill>
        </w:rPr>
        <w:t>比较与评价。</w:t>
      </w:r>
      <w:r>
        <w:rPr>
          <w:rFonts w:hint="default" w:ascii="Times New Roman" w:hAnsi="Times New Roman" w:cs="Times New Roman"/>
          <w:color w:val="000000" w:themeColor="text1"/>
          <w:kern w:val="0"/>
          <w:szCs w:val="21"/>
          <w14:textFill>
            <w14:solidFill>
              <w14:schemeClr w14:val="tx1"/>
            </w14:solidFill>
          </w14:textFill>
        </w:rPr>
        <w:t>评标委员会应当按照招标文件中规定的评标方法和标准，对符合性审查合格的投标文件进行商务和技术评估，综合比较与评价。</w:t>
      </w:r>
    </w:p>
    <w:p w14:paraId="7F3CC821">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20.3 评标方法和标准</w:t>
      </w:r>
    </w:p>
    <w:p w14:paraId="770AD87C">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20.3.1 采用综合评分法。综合评分法，是指投标文件满足招标文件全部实质性要求，且按照评审因素的量化指标评审得分最高的投标人为中标候选人的评标方法。评标时，评标委员会各成员应当独立对每个投标人的投标文件进行评价，并汇总每个投标人的得分。</w:t>
      </w:r>
    </w:p>
    <w:p w14:paraId="037E4ECD">
      <w:pPr>
        <w:widowControl/>
        <w:shd w:val="clear" w:color="auto" w:fill="FFFFFF"/>
        <w:spacing w:line="360" w:lineRule="auto"/>
        <w:ind w:firstLine="420"/>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20.3.2  评分标准及评审因素：详见第三章</w:t>
      </w:r>
    </w:p>
    <w:p w14:paraId="6EEA3600">
      <w:pPr>
        <w:widowControl/>
        <w:shd w:val="clear" w:color="auto" w:fill="FFFFFF"/>
        <w:spacing w:line="360" w:lineRule="auto"/>
        <w:ind w:firstLine="420"/>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20.4 评标委员会启动异常低价投标审查的情形和具体要求</w:t>
      </w:r>
    </w:p>
    <w:p w14:paraId="5B9E2E2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20.4.1评标过程中出现下列情形之一的，评标委员会应当启动异常低价投标审查程序： </w:t>
      </w:r>
    </w:p>
    <w:p w14:paraId="068CE6A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（1）投标报价低于全部通过符合性审查投标人投标报价平均值50%的，即投标报价&lt;全部通过符合性审查投标人投标报价平均值×50%；</w:t>
      </w:r>
    </w:p>
    <w:p w14:paraId="472EAF2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（2）投标报价低于通过符合性审查的次低报价投标人投标报价50%的，即投标报价&lt;通过符合性审查的次低报价投标人投标报价×50%；</w:t>
      </w:r>
    </w:p>
    <w:p w14:paraId="6C4EF26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（3）投标报价低于本项目最高限价45%的，即投标报价&lt;本项目最高限价×45%；</w:t>
      </w:r>
    </w:p>
    <w:p w14:paraId="61C4DD7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（4）评标委员会基于专业判断，认为投标人报价过低，有可能影响产品质量或者不能诚信履约的其他情形。</w:t>
      </w:r>
    </w:p>
    <w:p w14:paraId="210CE14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20.4.2 评标委员会启动异常低价投标审查后，属于20.4.1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20.4.1条第（3）项情形的，供应商已随投标文件一并提交相关书面说明及必要的证明材料的，在评标现场可不再重复提交。</w:t>
      </w:r>
    </w:p>
    <w:p w14:paraId="06CCF1B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19FF85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20.4.4异常低价投标审查的启动原因、审查意见和审查结果应当在评标报告中记录，并随投标人提供的相关书面说明及证明材料，以及评标委员会有关互联网浏览、查询历史一并归档。</w:t>
      </w:r>
    </w:p>
    <w:p w14:paraId="047B979A">
      <w:pPr>
        <w:widowControl/>
        <w:shd w:val="clear" w:color="auto" w:fill="FFFFFF"/>
        <w:spacing w:line="360" w:lineRule="auto"/>
        <w:ind w:firstLine="420"/>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20.5 </w:t>
      </w:r>
      <w:r>
        <w:rPr>
          <w:rFonts w:hint="default" w:ascii="Times New Roman" w:hAnsi="Times New Roman" w:cs="Times New Roman"/>
          <w:b/>
          <w:color w:val="000000" w:themeColor="text1"/>
          <w:kern w:val="0"/>
          <w:szCs w:val="21"/>
          <w14:textFill>
            <w14:solidFill>
              <w14:schemeClr w14:val="tx1"/>
            </w14:solidFill>
          </w14:textFill>
        </w:rPr>
        <w:t>出现下列情形之一的，应予废标：</w:t>
      </w:r>
    </w:p>
    <w:p w14:paraId="24691CD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（1）符合专业条件的供应商或者对招标文件作实质响应的供应商不足三家的；</w:t>
      </w:r>
    </w:p>
    <w:p w14:paraId="34121F6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（2）出现影响采购公正的违法、违规行为的；</w:t>
      </w:r>
    </w:p>
    <w:p w14:paraId="365F768E">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（3）投标人的报价均超过了采购预算，采购人不能支付的；</w:t>
      </w:r>
    </w:p>
    <w:p w14:paraId="6A799F3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（4）因重大变故，采购任务取消的。</w:t>
      </w:r>
    </w:p>
    <w:p w14:paraId="19B959D4">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在评标期间，通过资格审查或符合性审查的投标人不足3家情形的，比照</w:t>
      </w:r>
      <w:r>
        <w:rPr>
          <w:rFonts w:hint="default" w:ascii="Times New Roman" w:hAnsi="Times New Roman" w:cs="Times New Roman"/>
          <w:b/>
          <w:bCs/>
          <w:color w:val="000000" w:themeColor="text1"/>
          <w:kern w:val="0"/>
          <w:szCs w:val="21"/>
          <w14:textFill>
            <w14:solidFill>
              <w14:schemeClr w14:val="tx1"/>
            </w14:solidFill>
          </w14:textFill>
        </w:rPr>
        <w:t>19.5</w:t>
      </w:r>
      <w:r>
        <w:rPr>
          <w:rFonts w:hint="default" w:ascii="Times New Roman" w:hAnsi="Times New Roman" w:cs="Times New Roman"/>
          <w:color w:val="000000" w:themeColor="text1"/>
          <w:kern w:val="0"/>
          <w:szCs w:val="21"/>
          <w14:textFill>
            <w14:solidFill>
              <w14:schemeClr w14:val="tx1"/>
            </w14:solidFill>
          </w14:textFill>
        </w:rPr>
        <w:t>款执行。</w:t>
      </w:r>
    </w:p>
    <w:p w14:paraId="2BD2E0C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21、确定中标供应商</w:t>
      </w:r>
    </w:p>
    <w:p w14:paraId="229AD1F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FA2571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21.2 中标人确定后，在</w:t>
      </w:r>
      <w:r>
        <w:rPr>
          <w:rStyle w:val="47"/>
          <w:rFonts w:hint="default" w:ascii="Times New Roman" w:hAnsi="Times New Roman" w:cs="Times New Roman"/>
          <w:b w:val="0"/>
          <w:color w:val="000000" w:themeColor="text1"/>
          <w14:textFill>
            <w14:solidFill>
              <w14:schemeClr w14:val="tx1"/>
            </w14:solidFill>
          </w14:textFill>
        </w:rPr>
        <w:t>无锡政府采购网、</w:t>
      </w:r>
      <w:r>
        <w:rPr>
          <w:rFonts w:hint="default" w:ascii="Times New Roman" w:hAnsi="Times New Roman" w:cs="Times New Roman"/>
          <w:color w:val="000000" w:themeColor="text1"/>
          <w:kern w:val="0"/>
          <w:szCs w:val="21"/>
          <w14:textFill>
            <w14:solidFill>
              <w14:schemeClr w14:val="tx1"/>
            </w14:solidFill>
          </w14:textFill>
        </w:rPr>
        <w:t>江苏省政府采购网、中国政府采购网上公告中标结果，中标公告期为1个工作日，公告的同时向中标供应商发出中标通知书。</w:t>
      </w:r>
    </w:p>
    <w:p w14:paraId="42912A6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21.3 中标通知书对采购人和中标供应商具有同等法律效力。</w:t>
      </w:r>
    </w:p>
    <w:p w14:paraId="5AF3B5F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21.4 中标通知书发出后，采购人或中标供应商拒绝签订合同的，拒绝签订合同的一方应至少向另一方支付为招标、投标所发生的有关费用和双方商定的其他补偿。</w:t>
      </w:r>
    </w:p>
    <w:p w14:paraId="00A52BC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21.5 中标通知书发出后，中标供应商无正当理由不与采购人签订合同的，情节严重的，由财政部门将其列入不良行为记录名单，在一至三年内禁止参加政府采购活动，并予以通报。</w:t>
      </w:r>
    </w:p>
    <w:p w14:paraId="39A195D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21.6 所有投标文件不论中标与否，均不退回。</w:t>
      </w:r>
    </w:p>
    <w:p w14:paraId="4DDD32EC">
      <w:pPr>
        <w:widowControl/>
        <w:shd w:val="clear" w:color="auto" w:fill="FFFFFF"/>
        <w:spacing w:line="360" w:lineRule="auto"/>
        <w:ind w:firstLine="412"/>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22、编写评标报告</w:t>
      </w:r>
    </w:p>
    <w:p w14:paraId="001E77C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22.1 评标委员会根据全体评标成员签字的原始评标记录和评标结果编写评标报告。</w:t>
      </w:r>
    </w:p>
    <w:p w14:paraId="243978F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23、评标过程的保密性</w:t>
      </w:r>
    </w:p>
    <w:p w14:paraId="59224F7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23.1 采购人和采购代理机构将采取必要措施，保证评标在严格保密的情况下进行。</w:t>
      </w:r>
    </w:p>
    <w:p w14:paraId="32AD57D0">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23.2 任何单位和个人不得非法干预、影响评标办法的确定，以及评标过程和结果。</w:t>
      </w:r>
    </w:p>
    <w:p w14:paraId="53E8217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23.3 凡是与审查、澄清、评价和比较投标的有关资料等，均不向投标人及与评标无关的其他人员透露。</w:t>
      </w:r>
    </w:p>
    <w:p w14:paraId="0333CB6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六、签订合同</w:t>
      </w:r>
    </w:p>
    <w:p w14:paraId="5C1998F8">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24、签订合同</w:t>
      </w:r>
    </w:p>
    <w:p w14:paraId="547B6388">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24.1 采购人与中标人应当自中标通知书发出之日起30日内，按照招标文件和中标人投标文件的规定，签订书面合同。所签订的合同不得对招标文件确定的事项和中标人投标文件作实质性修改。</w:t>
      </w:r>
    </w:p>
    <w:p w14:paraId="593B007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 24.2采购人不得向中标人提出任何不合理的要求作为签订合同的条件。采购人因不可抗力原因迟延签订合同的，应当自不可抗力事由消除之日起7日内完成合同签订事宜。</w:t>
      </w:r>
    </w:p>
    <w:p w14:paraId="0AC5D67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24.3 中标供应商拒绝与采购人签订合同的，采购人可以按照评审报告推荐的中标或者成交候选人名单排序，确定下一候选人为中标或者成交供应商，也可以重新开展政府采购活动。</w:t>
      </w:r>
    </w:p>
    <w:p w14:paraId="5774672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24.4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0AB60D0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24.5 采购人与中标人应当根据合同的约定依法履行合同义务。</w:t>
      </w:r>
    </w:p>
    <w:p w14:paraId="6E3EB4D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七、质疑和投诉</w:t>
      </w:r>
    </w:p>
    <w:p w14:paraId="62A37C51">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25、质疑</w:t>
      </w:r>
    </w:p>
    <w:p w14:paraId="02EDBA0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25.1 供应商对招标活动事项有疑问的，可以向采购代理机构提出询问，采购代理机构将依法作出答复，但答复的内容不涉及商业秘密</w:t>
      </w:r>
      <w:r>
        <w:rPr>
          <w:rFonts w:hint="default" w:ascii="Times New Roman" w:hAnsi="Times New Roman" w:cs="Times New Roman"/>
          <w:b/>
          <w:bCs/>
          <w:color w:val="000000" w:themeColor="text1"/>
          <w:kern w:val="0"/>
          <w:szCs w:val="21"/>
          <w14:textFill>
            <w14:solidFill>
              <w14:schemeClr w14:val="tx1"/>
            </w14:solidFill>
          </w14:textFill>
        </w:rPr>
        <w:t>。</w:t>
      </w:r>
    </w:p>
    <w:p w14:paraId="7D7F720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25.2 供应商认为采购文件、采购过程和中标结果使自己的合法权益受到损害的，可以在知道或者应知其权益受到损害之日起七个工作日内，将质疑文件原件送达采购人或采购代理机构。</w:t>
      </w:r>
    </w:p>
    <w:p w14:paraId="1D78571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供应商应知其权益受到损害之日，是指：</w:t>
      </w:r>
    </w:p>
    <w:p w14:paraId="3B807FE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（一）对可以质疑的采购文件提出质疑的，为收到采购文件之日或者采购文件公告期限届满之日；</w:t>
      </w:r>
    </w:p>
    <w:p w14:paraId="2520DB8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（二）对采购过程提出质疑的，为各采购程序环节结束之日；</w:t>
      </w:r>
    </w:p>
    <w:p w14:paraId="1E94DCA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（三）对中标或者成交结果提出质疑的，为中标或者成交结果公告期限届满之日。</w:t>
      </w:r>
    </w:p>
    <w:p w14:paraId="447BBCD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5F11DEC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采购代理机构将在一定范围内公开质疑人的名称、质疑事项、质疑处理结果，供有关采购人、财政部门、行业协会查询。</w:t>
      </w:r>
    </w:p>
    <w:p w14:paraId="3AA7F9A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25.4 质疑文件应包括以下主要内容，并按照“谁主张、谁举证”的原则，附上相关证明材料。否则，采购代理机构不予受理：</w:t>
      </w:r>
    </w:p>
    <w:p w14:paraId="741DF649">
      <w:pPr>
        <w:widowControl/>
        <w:shd w:val="clear" w:color="auto" w:fill="FFFFFF"/>
        <w:spacing w:line="360" w:lineRule="auto"/>
        <w:ind w:left="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（1）质疑项目名称、项目编号、包号、招标公告发布时间、开标时间；</w:t>
      </w:r>
    </w:p>
    <w:p w14:paraId="44FCC0C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（2）具体的质疑事项及法律依据（具体条款）；</w:t>
      </w:r>
    </w:p>
    <w:p w14:paraId="7D985FD6">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（3）质疑相关证明文件或证明材料，如果涉及到产品功能或技术指标的，应出具相关制造商的证明文件（友情提示：供应商全部产品线中没有满足技术需求要求的产品才可以对招标产品提出质疑，并提出</w:t>
      </w:r>
      <w:r>
        <w:rPr>
          <w:rFonts w:hint="default" w:ascii="Times New Roman" w:hAnsi="Times New Roman" w:cs="Times New Roman"/>
          <w:b/>
          <w:bCs/>
          <w:color w:val="000000" w:themeColor="text1"/>
          <w:kern w:val="0"/>
          <w:szCs w:val="21"/>
          <w14:textFill>
            <w14:solidFill>
              <w14:schemeClr w14:val="tx1"/>
            </w14:solidFill>
          </w14:textFill>
        </w:rPr>
        <w:t>修改理由</w:t>
      </w:r>
      <w:r>
        <w:rPr>
          <w:rFonts w:hint="default" w:ascii="Times New Roman" w:hAnsi="Times New Roman" w:cs="Times New Roman"/>
          <w:color w:val="000000" w:themeColor="text1"/>
          <w:kern w:val="0"/>
          <w:szCs w:val="21"/>
          <w14:textFill>
            <w14:solidFill>
              <w14:schemeClr w14:val="tx1"/>
            </w14:solidFill>
          </w14:textFill>
        </w:rPr>
        <w:t>和</w:t>
      </w:r>
      <w:r>
        <w:rPr>
          <w:rFonts w:hint="default" w:ascii="Times New Roman" w:hAnsi="Times New Roman" w:cs="Times New Roman"/>
          <w:b/>
          <w:bCs/>
          <w:color w:val="000000" w:themeColor="text1"/>
          <w:kern w:val="0"/>
          <w:szCs w:val="21"/>
          <w14:textFill>
            <w14:solidFill>
              <w14:schemeClr w14:val="tx1"/>
            </w14:solidFill>
          </w14:textFill>
        </w:rPr>
        <w:t>修改建议</w:t>
      </w:r>
      <w:r>
        <w:rPr>
          <w:rFonts w:hint="default" w:ascii="Times New Roman" w:hAnsi="Times New Roman" w:cs="Times New Roman"/>
          <w:color w:val="000000" w:themeColor="text1"/>
          <w:kern w:val="0"/>
          <w:szCs w:val="21"/>
          <w14:textFill>
            <w14:solidFill>
              <w14:schemeClr w14:val="tx1"/>
            </w14:solidFill>
          </w14:textFill>
        </w:rPr>
        <w:t>）；</w:t>
      </w:r>
    </w:p>
    <w:p w14:paraId="2B39A19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（4）质疑供应商名称、地址、联系方式（包括手机、传真号码）；</w:t>
      </w:r>
    </w:p>
    <w:p w14:paraId="01A4E80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（5）法定代表人签署本人姓名或印盖本人姓名章并加盖单位公章，或法定代表人授权委托代理人加盖单位公章，并由参加采购项目的授权委托代理人签署本人姓名或印盖本人姓名章等。</w:t>
      </w:r>
    </w:p>
    <w:p w14:paraId="3DF9A8D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39E446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25.6采购代理机构在收到投标人的书面质疑后将及时组织调查核实，在</w:t>
      </w:r>
      <w:r>
        <w:rPr>
          <w:rFonts w:hint="default" w:ascii="Times New Roman" w:hAnsi="Times New Roman" w:cs="Times New Roman"/>
          <w:b/>
          <w:bCs/>
          <w:color w:val="000000" w:themeColor="text1"/>
          <w:kern w:val="0"/>
          <w:szCs w:val="21"/>
          <w14:textFill>
            <w14:solidFill>
              <w14:schemeClr w14:val="tx1"/>
            </w14:solidFill>
          </w14:textFill>
        </w:rPr>
        <w:t>七个工作日内</w:t>
      </w:r>
      <w:r>
        <w:rPr>
          <w:rFonts w:hint="default" w:ascii="Times New Roman" w:hAnsi="Times New Roman" w:cs="Times New Roman"/>
          <w:color w:val="000000" w:themeColor="text1"/>
          <w:kern w:val="0"/>
          <w:szCs w:val="21"/>
          <w14:textFill>
            <w14:solidFill>
              <w14:schemeClr w14:val="tx1"/>
            </w14:solidFill>
          </w14:textFill>
        </w:rPr>
        <w:t>作出答复，并以书面或在网站公告形式通知质疑投标人和其他有关投标人，答复的内容不涉及商业秘密。代理机构遵循“谁过错谁负担”的原则，有过错的一方承担调查论证费用。</w:t>
      </w:r>
    </w:p>
    <w:p w14:paraId="508E77F9">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26、投诉</w:t>
      </w:r>
    </w:p>
    <w:p w14:paraId="6B5F9543">
      <w:pPr>
        <w:widowControl/>
        <w:shd w:val="clear" w:color="auto" w:fill="FFFFFF"/>
        <w:spacing w:line="360" w:lineRule="auto"/>
        <w:ind w:firstLine="420"/>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26.1 质疑投标人对代理机构的答复不满意，或代理机构未在规定的时间内作出答复的，可以在答复期满后</w:t>
      </w:r>
      <w:r>
        <w:rPr>
          <w:rFonts w:hint="default" w:ascii="Times New Roman" w:hAnsi="Times New Roman" w:cs="Times New Roman"/>
          <w:b/>
          <w:bCs/>
          <w:color w:val="000000" w:themeColor="text1"/>
          <w:kern w:val="0"/>
          <w:szCs w:val="21"/>
          <w14:textFill>
            <w14:solidFill>
              <w14:schemeClr w14:val="tx1"/>
            </w14:solidFill>
          </w14:textFill>
        </w:rPr>
        <w:t>十五个工作日内</w:t>
      </w:r>
      <w:r>
        <w:rPr>
          <w:rFonts w:hint="default" w:ascii="Times New Roman" w:hAnsi="Times New Roman" w:cs="Times New Roman"/>
          <w:color w:val="000000" w:themeColor="text1"/>
          <w:kern w:val="0"/>
          <w:szCs w:val="21"/>
          <w14:textFill>
            <w14:solidFill>
              <w14:schemeClr w14:val="tx1"/>
            </w14:solidFill>
          </w14:textFill>
        </w:rPr>
        <w:t>向采购人同级财政部门投诉。</w:t>
      </w:r>
      <w:r>
        <w:rPr>
          <w:rFonts w:hint="default" w:ascii="Times New Roman" w:hAnsi="Times New Roman" w:cs="Times New Roman"/>
          <w:b/>
          <w:bCs/>
          <w:color w:val="000000" w:themeColor="text1"/>
          <w:kern w:val="0"/>
          <w:szCs w:val="21"/>
          <w14:textFill>
            <w14:solidFill>
              <w14:schemeClr w14:val="tx1"/>
            </w14:solidFill>
          </w14:textFill>
        </w:rPr>
        <w:t> </w:t>
      </w:r>
    </w:p>
    <w:p w14:paraId="288E15A8">
      <w:pPr>
        <w:widowControl/>
        <w:shd w:val="clear" w:color="auto" w:fill="FFFFFF"/>
        <w:spacing w:line="360" w:lineRule="auto"/>
        <w:ind w:firstLine="420"/>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27、履约担保</w:t>
      </w:r>
    </w:p>
    <w:p w14:paraId="0CD383E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27.1履约担保，是指由专业担保机构为中标、成交供应商支付履约保证金的义务向采购人提供的保函担保。专业担保机构根据中标、成交供应商的中标（成交）通知书为凭据，进行资信审查后出具保函,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E4255B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中标、成交供应商可以采用电子履约保函形式，具体操作可登录江苏政府采购网的保险保函模块进行办理，也可通过无锡市政府采购网、“苏采云”系统链接访问（首次使用需注册）。</w:t>
      </w:r>
    </w:p>
    <w:p w14:paraId="1862485D">
      <w:pPr>
        <w:widowControl/>
        <w:tabs>
          <w:tab w:val="left" w:pos="360"/>
          <w:tab w:val="left" w:pos="960"/>
        </w:tabs>
        <w:spacing w:line="360" w:lineRule="auto"/>
        <w:ind w:firstLine="315" w:firstLineChars="150"/>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r>
    </w:p>
    <w:p w14:paraId="7C691A98">
      <w:pPr>
        <w:pStyle w:val="3"/>
        <w:numPr>
          <w:ilvl w:val="0"/>
          <w:numId w:val="0"/>
        </w:numPr>
        <w:spacing w:line="360" w:lineRule="auto"/>
        <w:rPr>
          <w:rFonts w:hint="default" w:ascii="Times New Roman" w:hAnsi="Times New Roman" w:cs="Times New Roman"/>
          <w:color w:val="000000" w:themeColor="text1"/>
          <w:kern w:val="0"/>
          <w:sz w:val="28"/>
          <w:szCs w:val="28"/>
          <w14:textFill>
            <w14:solidFill>
              <w14:schemeClr w14:val="tx1"/>
            </w14:solidFill>
          </w14:textFill>
        </w:rPr>
      </w:pPr>
      <w:bookmarkStart w:id="11" w:name="_Toc481057145"/>
      <w:bookmarkStart w:id="12" w:name="_Toc177025987"/>
      <w:r>
        <w:rPr>
          <w:rFonts w:hint="default" w:ascii="Times New Roman" w:hAnsi="Times New Roman" w:cs="Times New Roman"/>
          <w:color w:val="000000" w:themeColor="text1"/>
          <w:kern w:val="0"/>
          <w:sz w:val="28"/>
          <w:szCs w:val="28"/>
          <w14:textFill>
            <w14:solidFill>
              <w14:schemeClr w14:val="tx1"/>
            </w14:solidFill>
          </w14:textFill>
        </w:rPr>
        <w:t>第三章</w:t>
      </w:r>
      <w:r>
        <w:rPr>
          <w:rFonts w:hint="default" w:ascii="Times New Roman" w:hAnsi="Times New Roman" w:cs="Times New Roman"/>
          <w:color w:val="000000" w:themeColor="text1"/>
          <w:sz w:val="28"/>
          <w:szCs w:val="28"/>
          <w14:textFill>
            <w14:solidFill>
              <w14:schemeClr w14:val="tx1"/>
            </w14:solidFill>
          </w14:textFill>
        </w:rPr>
        <w:t xml:space="preserve"> </w:t>
      </w:r>
      <w:r>
        <w:rPr>
          <w:rFonts w:hint="default" w:ascii="Times New Roman" w:hAnsi="Times New Roman" w:cs="Times New Roman"/>
          <w:color w:val="000000" w:themeColor="text1"/>
          <w:kern w:val="0"/>
          <w:sz w:val="28"/>
          <w:szCs w:val="28"/>
          <w14:textFill>
            <w14:solidFill>
              <w14:schemeClr w14:val="tx1"/>
            </w14:solidFill>
          </w14:textFill>
        </w:rPr>
        <w:t>评标标准</w:t>
      </w:r>
      <w:bookmarkEnd w:id="11"/>
      <w:bookmarkEnd w:id="12"/>
    </w:p>
    <w:p w14:paraId="3EB5475B">
      <w:pPr>
        <w:spacing w:after="0"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本招标项目比较与评价采用综合评分法（计分均保留2位小数）。</w:t>
      </w:r>
    </w:p>
    <w:p w14:paraId="2360EB3B">
      <w:pPr>
        <w:spacing w:after="0" w:line="360" w:lineRule="auto"/>
        <w:ind w:firstLine="420"/>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评审委员会遵循公平、公正、择优原则，独立按照评分标准分别评定投标供应商的分值；各投标供应商的最终得分为各评委所评定分值的平均值，并按高低顺序排列，确定3家中标候选单位，依法确定1家中标供应商。若得分相同，按报价由低到高顺序排列；得分且报价相同，按技术指标优劣顺序排列。</w:t>
      </w:r>
    </w:p>
    <w:p w14:paraId="1B62E42E">
      <w:pPr>
        <w:spacing w:line="360" w:lineRule="auto"/>
        <w:rPr>
          <w:rFonts w:hint="default" w:ascii="Times New Roman" w:hAnsi="Times New Roman" w:cs="Times New Roman"/>
          <w:b/>
          <w:color w:val="000000" w:themeColor="text1"/>
          <w:sz w:val="24"/>
          <w14:textFill>
            <w14:solidFill>
              <w14:schemeClr w14:val="tx1"/>
            </w14:solidFill>
          </w14:textFill>
        </w:rPr>
      </w:pPr>
      <w:r>
        <w:rPr>
          <w:rFonts w:hint="default" w:ascii="Times New Roman" w:hAnsi="Times New Roman" w:cs="Times New Roman"/>
          <w:b/>
          <w:color w:val="000000" w:themeColor="text1"/>
          <w:sz w:val="24"/>
          <w14:textFill>
            <w14:solidFill>
              <w14:schemeClr w14:val="tx1"/>
            </w14:solidFill>
          </w14:textFill>
        </w:rPr>
        <w:t>（一）评分项目及分值（总分100分）</w:t>
      </w:r>
    </w:p>
    <w:p w14:paraId="7EA4DD07">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（1）报价                                30分 </w:t>
      </w:r>
    </w:p>
    <w:p w14:paraId="0A699E08">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（2）投标供应商评价                      12分 </w:t>
      </w:r>
    </w:p>
    <w:p w14:paraId="29976EBE">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（3）设备配置性能                          38分 </w:t>
      </w:r>
    </w:p>
    <w:p w14:paraId="7C2D64F1">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（4）售后服务                                 18分 </w:t>
      </w:r>
    </w:p>
    <w:p w14:paraId="6B3E81AF">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（5）国家政策导向                          2分</w:t>
      </w:r>
    </w:p>
    <w:p w14:paraId="07FA675A">
      <w:pPr>
        <w:spacing w:line="360" w:lineRule="auto"/>
        <w:rPr>
          <w:rFonts w:hint="default" w:ascii="Times New Roman" w:hAnsi="Times New Roman" w:cs="Times New Roman"/>
          <w:b/>
          <w:color w:val="000000" w:themeColor="text1"/>
          <w:sz w:val="24"/>
          <w14:textFill>
            <w14:solidFill>
              <w14:schemeClr w14:val="tx1"/>
            </w14:solidFill>
          </w14:textFill>
        </w:rPr>
      </w:pPr>
      <w:r>
        <w:rPr>
          <w:rFonts w:hint="default" w:ascii="Times New Roman" w:hAnsi="Times New Roman" w:cs="Times New Roman"/>
          <w:b/>
          <w:color w:val="000000" w:themeColor="text1"/>
          <w:sz w:val="24"/>
          <w14:textFill>
            <w14:solidFill>
              <w14:schemeClr w14:val="tx1"/>
            </w14:solidFill>
          </w14:textFill>
        </w:rPr>
        <w:t>（二)各项目评分标准</w:t>
      </w:r>
    </w:p>
    <w:p w14:paraId="29B12F07">
      <w:pPr>
        <w:numPr>
          <w:ilvl w:val="0"/>
          <w:numId w:val="5"/>
        </w:numPr>
        <w:tabs>
          <w:tab w:val="left" w:pos="426"/>
        </w:tabs>
        <w:spacing w:line="360" w:lineRule="auto"/>
        <w:ind w:firstLine="289"/>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报价（30分）</w:t>
      </w:r>
    </w:p>
    <w:p w14:paraId="6CCE2843">
      <w:pPr>
        <w:spacing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各投标供应商的有效投标报价（报价超预算，按无效处理），满足采购文件要求的最低投标报价为评标基准价，其价格为30分。其他投标供应商的价格分统一按照下列公式计算，最高得分为30分：</w:t>
      </w:r>
    </w:p>
    <w:p w14:paraId="5630C8AD">
      <w:pPr>
        <w:spacing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投标报价得分=30×（评标基准价/投标报价)。</w:t>
      </w:r>
    </w:p>
    <w:p w14:paraId="5BDEB1B0">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价格扣除说明：</w:t>
      </w:r>
    </w:p>
    <w:p w14:paraId="790CD34A">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1.小微企业价格扣除</w:t>
      </w:r>
    </w:p>
    <w:p w14:paraId="1BF7BC2F">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1.1对于专门面向中小企业或小型、微型企业的项目，只面向中小企业或小型、微型企业采购。对于非专门面向中小企业的项目，对小型和微型企业的价格给予10%的扣除，用扣除后的价格参与评审。</w:t>
      </w:r>
    </w:p>
    <w:p w14:paraId="76154A53">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6BE3187">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1.3 小企业（含小型、微型企业）应当提供《中小企业声明函》，且符合《政府采购促进中小企业发展办法》（财库〔2020〕46号）的相关规定。</w:t>
      </w:r>
    </w:p>
    <w:p w14:paraId="6753D20A">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2.监狱和戒毒企业的价格扣除</w:t>
      </w:r>
    </w:p>
    <w:p w14:paraId="10659FB2">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2.1 本项目对监狱和戒毒企业，给予10%的价格扣除，用扣除后的价格参与评审。</w:t>
      </w:r>
    </w:p>
    <w:p w14:paraId="59DD895F">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2.2 监狱企业需提供由省级以上监狱管理局、戒毒管理局（含新疆生产建设兵团）出具的属于监狱企业的证明文件。</w:t>
      </w:r>
    </w:p>
    <w:p w14:paraId="6024B126">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2.3 监狱企业标准请参照《关于政府采购支持监狱企业发展有关问题的通知》（财库〔2014〕68号）。</w:t>
      </w:r>
    </w:p>
    <w:p w14:paraId="2A5C9E37">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3.残疾人福利性单位的价格扣除</w:t>
      </w:r>
    </w:p>
    <w:p w14:paraId="77AA55E7">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3.1 本项目对残疾人福利性单位，给予10%的价格扣除，用扣除后的价格参与评审。</w:t>
      </w:r>
    </w:p>
    <w:p w14:paraId="6CA4BF53">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3.2 残疾人福利性单位需提供《残疾人福利性单位声明函》</w:t>
      </w:r>
    </w:p>
    <w:p w14:paraId="16F8E4D5">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3.3 残疾人福利性单位标准请参照《关于促进残疾人就业政府采购政策的通知》（财库〔2017〕141号）。</w:t>
      </w:r>
    </w:p>
    <w:p w14:paraId="63B2A89C">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4. 监狱企业、残疾人福利性单位属于小型、微型企业的，不重复享受政策。</w:t>
      </w:r>
    </w:p>
    <w:p w14:paraId="03478A7A">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5.本国产品的价格扣除</w:t>
      </w:r>
    </w:p>
    <w:p w14:paraId="7AA32946">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5.1本项目依法对本国产品给予价格评审优惠，对本国产品的报价给予20%的价格扣除，用扣除后的价格参与评审。</w:t>
      </w:r>
    </w:p>
    <w:p w14:paraId="7B5FF56F">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5.2本国产品标准、本国产品标准的适用范围、对本国产品的支持政策等详见《国务院办公厅关于在政府采购中实施本国产品标准及相关政策的通知》（国办发〔2025〕34号）。</w:t>
      </w:r>
    </w:p>
    <w:p w14:paraId="2AFBB467">
      <w:pPr>
        <w:tabs>
          <w:tab w:val="left" w:pos="426"/>
        </w:tabs>
        <w:spacing w:after="0" w:line="20" w:lineRule="atLeast"/>
        <w:ind w:firstLine="420" w:firstLineChars="200"/>
        <w:rPr>
          <w:rFonts w:hint="default" w:ascii="Times New Roman" w:hAnsi="Times New Roman" w:cs="Times New Roman"/>
          <w:bCs/>
          <w:color w:val="000000" w:themeColor="text1"/>
          <w:szCs w:val="21"/>
          <w14:textFill>
            <w14:solidFill>
              <w14:schemeClr w14:val="tx1"/>
            </w14:solidFill>
          </w14:textFill>
        </w:rPr>
      </w:pPr>
    </w:p>
    <w:p w14:paraId="4D3E5209">
      <w:pPr>
        <w:numPr>
          <w:ilvl w:val="0"/>
          <w:numId w:val="5"/>
        </w:numPr>
        <w:tabs>
          <w:tab w:val="left" w:pos="426"/>
        </w:tabs>
        <w:spacing w:line="360" w:lineRule="auto"/>
        <w:ind w:firstLine="289"/>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投标供应商评价（12分）</w:t>
      </w:r>
    </w:p>
    <w:p w14:paraId="5D1CA79C">
      <w:pPr>
        <w:widowControl/>
        <w:wordWrap w:val="0"/>
        <w:spacing w:after="0"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1）投标供应商所提供的免费质保期在满足招标文件要求的基础上，每延长1年加2分，本项最高得4分；</w:t>
      </w:r>
    </w:p>
    <w:p w14:paraId="11D834B2">
      <w:pPr>
        <w:widowControl/>
        <w:wordWrap w:val="0"/>
        <w:spacing w:after="0"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2）提供投标</w:t>
      </w:r>
      <w:bookmarkStart w:id="13" w:name="OLE_LINK2"/>
      <w:r>
        <w:rPr>
          <w:rFonts w:hint="default" w:ascii="Times New Roman" w:hAnsi="Times New Roman" w:cs="Times New Roman"/>
          <w:bCs/>
          <w:color w:val="000000" w:themeColor="text1"/>
          <w:szCs w:val="21"/>
          <w14:textFill>
            <w14:solidFill>
              <w14:schemeClr w14:val="tx1"/>
            </w14:solidFill>
          </w14:textFill>
        </w:rPr>
        <w:t>供应商</w:t>
      </w:r>
      <w:bookmarkEnd w:id="13"/>
      <w:r>
        <w:rPr>
          <w:rFonts w:hint="default" w:ascii="Times New Roman" w:hAnsi="Times New Roman" w:cs="Times New Roman"/>
          <w:bCs/>
          <w:color w:val="000000" w:themeColor="text1"/>
          <w:szCs w:val="21"/>
          <w14:textFill>
            <w14:solidFill>
              <w14:schemeClr w14:val="tx1"/>
            </w14:solidFill>
          </w14:textFill>
        </w:rPr>
        <w:t>2022年8月1日以来所投核心产品</w:t>
      </w:r>
      <w:r>
        <w:rPr>
          <w:rFonts w:hint="default" w:ascii="Times New Roman" w:hAnsi="Times New Roman" w:cs="Times New Roman"/>
          <w:bCs/>
          <w:szCs w:val="21"/>
        </w:rPr>
        <w:t>成功销售</w:t>
      </w:r>
      <w:r>
        <w:rPr>
          <w:rFonts w:hint="default" w:ascii="Times New Roman" w:hAnsi="Times New Roman" w:cs="Times New Roman"/>
          <w:bCs/>
          <w:color w:val="000000" w:themeColor="text1"/>
          <w:szCs w:val="21"/>
          <w14:textFill>
            <w14:solidFill>
              <w14:schemeClr w14:val="tx1"/>
            </w14:solidFill>
          </w14:textFill>
        </w:rPr>
        <w:t>案例的一个得2分，本项最高得6分;（注:</w:t>
      </w:r>
      <w:r>
        <w:rPr>
          <w:bCs/>
          <w:color w:val="000000" w:themeColor="text1"/>
          <w:szCs w:val="21"/>
          <w14:textFill>
            <w14:solidFill>
              <w14:schemeClr w14:val="tx1"/>
            </w14:solidFill>
          </w14:textFill>
        </w:rPr>
        <w:t>时间以合同签订时间为准，需提供合同扫描件并加盖供应商电子签章</w:t>
      </w:r>
      <w:r>
        <w:rPr>
          <w:rFonts w:hint="default" w:ascii="Times New Roman" w:hAnsi="Times New Roman" w:cs="Times New Roman"/>
          <w:bCs/>
          <w:color w:val="000000" w:themeColor="text1"/>
          <w:szCs w:val="21"/>
          <w14:textFill>
            <w14:solidFill>
              <w14:schemeClr w14:val="tx1"/>
            </w14:solidFill>
          </w14:textFill>
        </w:rPr>
        <w:t>。同一客户不同时间的合同不重复计取。）；</w:t>
      </w:r>
    </w:p>
    <w:p w14:paraId="68C22FEF">
      <w:pPr>
        <w:widowControl/>
        <w:wordWrap w:val="0"/>
        <w:spacing w:after="0" w:line="360" w:lineRule="auto"/>
        <w:ind w:firstLine="420" w:firstLineChars="200"/>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3）投标供应商具核心产品国家、行业标准和计量检定/校准规程制订并发布的，有一个得1分，本项最高得2分（提供相关证明材料扫描件并加盖公章，提供不全或不提供的不得分）。</w:t>
      </w:r>
    </w:p>
    <w:p w14:paraId="1D7645CA">
      <w:pPr>
        <w:numPr>
          <w:ilvl w:val="0"/>
          <w:numId w:val="5"/>
        </w:numPr>
        <w:tabs>
          <w:tab w:val="left" w:pos="426"/>
        </w:tabs>
        <w:spacing w:line="360" w:lineRule="auto"/>
        <w:ind w:firstLine="289"/>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设备配置性能（38分）</w:t>
      </w:r>
    </w:p>
    <w:p w14:paraId="35AE1E42">
      <w:pPr>
        <w:tabs>
          <w:tab w:val="left" w:pos="0"/>
          <w:tab w:val="left" w:pos="1401"/>
        </w:tabs>
        <w:spacing w:line="360" w:lineRule="auto"/>
        <w:ind w:firstLine="420" w:firstLineChars="200"/>
        <w:jc w:val="left"/>
        <w:rPr>
          <w:rFonts w:hint="default" w:ascii="Times New Roman" w:hAnsi="Times New Roman" w:cs="Times New Roman"/>
          <w:bCs/>
          <w:color w:val="000000"/>
          <w:szCs w:val="21"/>
        </w:rPr>
      </w:pPr>
      <w:r>
        <w:rPr>
          <w:rFonts w:hint="default" w:ascii="Times New Roman" w:hAnsi="Times New Roman" w:cs="Times New Roman"/>
          <w:color w:val="000000" w:themeColor="text1"/>
          <w:szCs w:val="21"/>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技术符合评审（33分）：</w:t>
      </w:r>
      <w:r>
        <w:rPr>
          <w:rFonts w:hint="default" w:ascii="Times New Roman" w:hAnsi="Times New Roman" w:cs="Times New Roman"/>
          <w:bCs/>
          <w:color w:val="000000"/>
          <w:szCs w:val="21"/>
        </w:rPr>
        <w:t>所投货物的技术参数为★号指标的，若出现负偏离即无效标书。所投货物的技术参数为▲号指标的，为重要技术参数单项权重为2分，所投货物的技术参数为未标符号指标的，为普通技术参数单项权重为1分，投标人必须如实地在《附件五 技术规格偏离表》中逐条标明满足与否，并对其真实性负责。</w:t>
      </w:r>
      <w:r>
        <w:rPr>
          <w:rFonts w:hint="default" w:ascii="Times New Roman" w:hAnsi="Times New Roman" w:cs="Times New Roman"/>
          <w:color w:val="000000"/>
          <w:szCs w:val="21"/>
        </w:rPr>
        <w:t>标注“★”“▲”的指标</w:t>
      </w:r>
      <w:r>
        <w:rPr>
          <w:rFonts w:hint="default" w:ascii="Times New Roman" w:hAnsi="Times New Roman" w:cs="Times New Roman"/>
          <w:bCs/>
          <w:color w:val="000000"/>
          <w:szCs w:val="21"/>
        </w:rPr>
        <w:t>必须在投标文件中提供有效证明电子件材料包括但不仅限于（厂家证明、白皮书、彩页、手册、检测报告、说明书、设备照片等），否则视为负偏离，未按要求提供技术支持资料或提供的技术支持资料不能佐证偏离表内容的，视为负偏离。</w:t>
      </w:r>
    </w:p>
    <w:p w14:paraId="2978A061">
      <w:pPr>
        <w:rPr>
          <w:rFonts w:hint="default" w:ascii="Times New Roman" w:hAnsi="Times New Roman" w:cs="Times New Roman"/>
          <w:bCs/>
          <w:color w:val="000000"/>
          <w:szCs w:val="21"/>
        </w:rPr>
      </w:pPr>
      <w:r>
        <w:rPr>
          <w:rFonts w:hint="default" w:ascii="Times New Roman" w:hAnsi="Times New Roman" w:cs="Times New Roman"/>
          <w:bCs/>
          <w:color w:val="000000"/>
          <w:szCs w:val="21"/>
        </w:rPr>
        <w:br w:type="page"/>
      </w:r>
    </w:p>
    <w:p w14:paraId="4F558DCB">
      <w:pPr>
        <w:tabs>
          <w:tab w:val="left" w:pos="0"/>
          <w:tab w:val="left" w:pos="1401"/>
        </w:tabs>
        <w:spacing w:line="360" w:lineRule="auto"/>
        <w:ind w:firstLine="420" w:firstLineChars="200"/>
        <w:jc w:val="left"/>
        <w:rPr>
          <w:rFonts w:hint="default" w:ascii="Times New Roman" w:hAnsi="Times New Roman" w:cs="Times New Roman"/>
          <w:bCs/>
          <w:color w:val="000000"/>
          <w:szCs w:val="21"/>
        </w:rPr>
      </w:pPr>
    </w:p>
    <w:tbl>
      <w:tblPr>
        <w:tblStyle w:val="44"/>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348"/>
        <w:gridCol w:w="865"/>
        <w:gridCol w:w="5496"/>
        <w:gridCol w:w="1422"/>
        <w:gridCol w:w="643"/>
        <w:gridCol w:w="578"/>
      </w:tblGrid>
      <w:tr w14:paraId="7198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3" w:hRule="atLeast"/>
          <w:tblHeader/>
          <w:jc w:val="center"/>
        </w:trPr>
        <w:tc>
          <w:tcPr>
            <w:tcW w:w="9352" w:type="dxa"/>
            <w:gridSpan w:val="6"/>
            <w:vAlign w:val="center"/>
          </w:tcPr>
          <w:p w14:paraId="5D51B5A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技术参数评分表</w:t>
            </w:r>
          </w:p>
        </w:tc>
      </w:tr>
      <w:tr w14:paraId="3A9F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3" w:hRule="atLeast"/>
          <w:tblHeader/>
          <w:jc w:val="center"/>
        </w:trPr>
        <w:tc>
          <w:tcPr>
            <w:tcW w:w="348" w:type="dxa"/>
            <w:vAlign w:val="center"/>
          </w:tcPr>
          <w:p w14:paraId="379162FD">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序号</w:t>
            </w:r>
          </w:p>
        </w:tc>
        <w:tc>
          <w:tcPr>
            <w:tcW w:w="865" w:type="dxa"/>
            <w:vAlign w:val="center"/>
          </w:tcPr>
          <w:p w14:paraId="64BCB151">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名称</w:t>
            </w:r>
          </w:p>
        </w:tc>
        <w:tc>
          <w:tcPr>
            <w:tcW w:w="5496" w:type="dxa"/>
            <w:vAlign w:val="center"/>
          </w:tcPr>
          <w:p w14:paraId="4EFE388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参数</w:t>
            </w:r>
          </w:p>
        </w:tc>
        <w:tc>
          <w:tcPr>
            <w:tcW w:w="1422" w:type="dxa"/>
            <w:vAlign w:val="center"/>
          </w:tcPr>
          <w:p w14:paraId="64FE53C0">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评分标准</w:t>
            </w:r>
          </w:p>
        </w:tc>
        <w:tc>
          <w:tcPr>
            <w:tcW w:w="643" w:type="dxa"/>
            <w:vAlign w:val="center"/>
          </w:tcPr>
          <w:p w14:paraId="0D2D9FD9">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分值下限</w:t>
            </w:r>
          </w:p>
        </w:tc>
        <w:tc>
          <w:tcPr>
            <w:tcW w:w="578" w:type="dxa"/>
            <w:vAlign w:val="center"/>
          </w:tcPr>
          <w:p w14:paraId="490BBEF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分值上限</w:t>
            </w:r>
          </w:p>
        </w:tc>
      </w:tr>
      <w:tr w14:paraId="3AC0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48" w:type="dxa"/>
            <w:vMerge w:val="restart"/>
            <w:vAlign w:val="center"/>
          </w:tcPr>
          <w:p w14:paraId="7817BB7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c>
          <w:tcPr>
            <w:tcW w:w="865" w:type="dxa"/>
            <w:vMerge w:val="restart"/>
            <w:vAlign w:val="center"/>
          </w:tcPr>
          <w:p w14:paraId="21B6F0F3">
            <w:pPr>
              <w:pStyle w:val="19"/>
              <w:ind w:left="0" w:leftChars="0"/>
              <w:rPr>
                <w:rFonts w:hint="default" w:ascii="Times New Roman" w:hAnsi="Times New Roman" w:eastAsia="宋体" w:cs="Times New Roman"/>
                <w:szCs w:val="21"/>
                <w:lang w:eastAsia="zh-CN"/>
              </w:rPr>
            </w:pPr>
            <w:r>
              <w:rPr>
                <w:rFonts w:hint="default" w:ascii="Times New Roman" w:hAnsi="Times New Roman" w:cs="Times New Roman"/>
                <w:szCs w:val="21"/>
              </w:rPr>
              <w:t>单体单体燃烧试验机</w:t>
            </w:r>
          </w:p>
        </w:tc>
        <w:tc>
          <w:tcPr>
            <w:tcW w:w="5496" w:type="dxa"/>
            <w:vAlign w:val="center"/>
          </w:tcPr>
          <w:p w14:paraId="2821C8C8">
            <w:pPr>
              <w:pStyle w:val="19"/>
              <w:ind w:left="0" w:leftChars="0"/>
              <w:rPr>
                <w:rFonts w:hint="default" w:ascii="Times New Roman" w:hAnsi="Times New Roman" w:cs="Times New Roman"/>
                <w:szCs w:val="21"/>
                <w:lang w:val="it-IT"/>
              </w:rPr>
            </w:pPr>
            <w:r>
              <w:rPr>
                <w:rFonts w:hint="default" w:ascii="Times New Roman" w:hAnsi="Times New Roman" w:cs="Times New Roman"/>
                <w:szCs w:val="21"/>
                <w:lang w:val="it-IT"/>
              </w:rPr>
              <w:t>1. 总体要求</w:t>
            </w:r>
          </w:p>
          <w:p w14:paraId="55CE8A79">
            <w:pPr>
              <w:pStyle w:val="19"/>
              <w:ind w:left="0" w:leftChars="0"/>
              <w:rPr>
                <w:rFonts w:hint="default" w:ascii="Times New Roman" w:hAnsi="Times New Roman" w:cs="Times New Roman"/>
                <w:szCs w:val="21"/>
                <w:lang w:val="it-IT"/>
              </w:rPr>
            </w:pPr>
            <w:r>
              <w:rPr>
                <w:rFonts w:hint="default" w:ascii="Times New Roman" w:hAnsi="Times New Roman" w:cs="Times New Roman"/>
                <w:szCs w:val="21"/>
                <w:lang w:val="it-IT"/>
              </w:rPr>
              <w:t>1.1 执行标准：设备必须完全符合 GB/T 20284《建筑材料或制品的单体燃烧试验》 最新有效版本要求，兼容 EN 13823 标准，用于建筑材料及制品燃烧性能分级测试。</w:t>
            </w:r>
          </w:p>
        </w:tc>
        <w:tc>
          <w:tcPr>
            <w:tcW w:w="1422" w:type="dxa"/>
            <w:vAlign w:val="center"/>
          </w:tcPr>
          <w:p w14:paraId="3A595920">
            <w:pPr>
              <w:jc w:val="center"/>
              <w:rPr>
                <w:rFonts w:hint="default" w:ascii="Times New Roman" w:hAnsi="Times New Roman" w:cs="Times New Roman"/>
                <w:szCs w:val="21"/>
                <w:lang w:val="it-IT"/>
              </w:rPr>
            </w:pPr>
            <w:r>
              <w:rPr>
                <w:rFonts w:hint="default" w:ascii="Times New Roman" w:hAnsi="Times New Roman" w:cs="Times New Roman"/>
                <w:szCs w:val="21"/>
              </w:rPr>
              <w:t>符合得</w:t>
            </w:r>
            <w:r>
              <w:rPr>
                <w:rFonts w:hint="default" w:ascii="Times New Roman" w:hAnsi="Times New Roman" w:cs="Times New Roman"/>
                <w:szCs w:val="21"/>
                <w:lang w:val="it-IT"/>
              </w:rPr>
              <w:t>1</w:t>
            </w:r>
            <w:r>
              <w:rPr>
                <w:rFonts w:hint="default" w:ascii="Times New Roman" w:hAnsi="Times New Roman" w:cs="Times New Roman"/>
                <w:szCs w:val="21"/>
              </w:rPr>
              <w:t>分</w:t>
            </w:r>
            <w:r>
              <w:rPr>
                <w:rFonts w:hint="default" w:ascii="Times New Roman" w:hAnsi="Times New Roman" w:cs="Times New Roman"/>
                <w:szCs w:val="21"/>
                <w:lang w:val="it-IT"/>
              </w:rPr>
              <w:t>，</w:t>
            </w:r>
          </w:p>
          <w:p w14:paraId="15D12716">
            <w:pPr>
              <w:jc w:val="center"/>
              <w:rPr>
                <w:rFonts w:hint="default" w:ascii="Times New Roman" w:hAnsi="Times New Roman" w:cs="Times New Roman"/>
                <w:szCs w:val="21"/>
                <w:lang w:val="it-IT"/>
              </w:rPr>
            </w:pPr>
            <w:r>
              <w:rPr>
                <w:rFonts w:hint="default" w:ascii="Times New Roman" w:hAnsi="Times New Roman" w:cs="Times New Roman"/>
                <w:szCs w:val="21"/>
              </w:rPr>
              <w:t>不符合不得分</w:t>
            </w:r>
          </w:p>
        </w:tc>
        <w:tc>
          <w:tcPr>
            <w:tcW w:w="643" w:type="dxa"/>
            <w:vAlign w:val="center"/>
          </w:tcPr>
          <w:p w14:paraId="38EB91EC">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30869677">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33E3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785" w:hRule="atLeast"/>
          <w:jc w:val="center"/>
        </w:trPr>
        <w:tc>
          <w:tcPr>
            <w:tcW w:w="348" w:type="dxa"/>
            <w:vMerge w:val="continue"/>
            <w:vAlign w:val="center"/>
          </w:tcPr>
          <w:p w14:paraId="04D896AC">
            <w:pPr>
              <w:pStyle w:val="19"/>
              <w:ind w:left="0" w:leftChars="0"/>
              <w:jc w:val="center"/>
              <w:rPr>
                <w:rFonts w:hint="default" w:ascii="Times New Roman" w:hAnsi="Times New Roman" w:cs="Times New Roman"/>
                <w:szCs w:val="21"/>
              </w:rPr>
            </w:pPr>
          </w:p>
        </w:tc>
        <w:tc>
          <w:tcPr>
            <w:tcW w:w="865" w:type="dxa"/>
            <w:vMerge w:val="continue"/>
            <w:vAlign w:val="center"/>
          </w:tcPr>
          <w:p w14:paraId="5B2F1FEB">
            <w:pPr>
              <w:pStyle w:val="19"/>
              <w:ind w:left="0" w:leftChars="0"/>
              <w:jc w:val="center"/>
              <w:rPr>
                <w:rFonts w:hint="default" w:ascii="Times New Roman" w:hAnsi="Times New Roman" w:cs="Times New Roman"/>
                <w:szCs w:val="21"/>
              </w:rPr>
            </w:pPr>
          </w:p>
        </w:tc>
        <w:tc>
          <w:tcPr>
            <w:tcW w:w="5496" w:type="dxa"/>
            <w:vAlign w:val="center"/>
          </w:tcPr>
          <w:p w14:paraId="26B29FC6">
            <w:pPr>
              <w:rPr>
                <w:rFonts w:hint="default" w:ascii="Times New Roman" w:hAnsi="Times New Roman" w:cs="Times New Roman"/>
                <w:szCs w:val="21"/>
              </w:rPr>
            </w:pPr>
            <w:r>
              <w:rPr>
                <w:rFonts w:hint="default" w:ascii="Times New Roman" w:hAnsi="Times New Roman" w:cs="Times New Roman"/>
                <w:szCs w:val="21"/>
              </w:rPr>
              <w:t>▲1.3 安全性：设备必须具备完善的燃气安全、电气安全及防火防爆措施，适应防火实验室环境。接触高温、烟气、腐蚀性气体的部件应当采用 304 及以上不锈钢。</w:t>
            </w:r>
          </w:p>
        </w:tc>
        <w:tc>
          <w:tcPr>
            <w:tcW w:w="1422" w:type="dxa"/>
            <w:vAlign w:val="center"/>
          </w:tcPr>
          <w:p w14:paraId="14EFC942">
            <w:pPr>
              <w:jc w:val="center"/>
              <w:rPr>
                <w:rFonts w:hint="default" w:ascii="Times New Roman" w:hAnsi="Times New Roman" w:cs="Times New Roman"/>
                <w:szCs w:val="21"/>
              </w:rPr>
            </w:pPr>
            <w:r>
              <w:rPr>
                <w:rFonts w:hint="default" w:ascii="Times New Roman" w:hAnsi="Times New Roman" w:cs="Times New Roman"/>
                <w:szCs w:val="21"/>
              </w:rPr>
              <w:t>符合得2分，</w:t>
            </w:r>
          </w:p>
          <w:p w14:paraId="28C9F85C">
            <w:pPr>
              <w:jc w:val="center"/>
              <w:rPr>
                <w:rFonts w:hint="default" w:ascii="Times New Roman" w:hAnsi="Times New Roman" w:cs="Times New Roman"/>
                <w:szCs w:val="21"/>
              </w:rPr>
            </w:pPr>
            <w:r>
              <w:rPr>
                <w:rFonts w:hint="default" w:ascii="Times New Roman" w:hAnsi="Times New Roman" w:cs="Times New Roman"/>
                <w:szCs w:val="21"/>
              </w:rPr>
              <w:t>不符合不得分</w:t>
            </w:r>
          </w:p>
        </w:tc>
        <w:tc>
          <w:tcPr>
            <w:tcW w:w="643" w:type="dxa"/>
            <w:vAlign w:val="center"/>
          </w:tcPr>
          <w:p w14:paraId="2AF3A58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7B57C06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7A0E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883" w:hRule="atLeast"/>
          <w:jc w:val="center"/>
        </w:trPr>
        <w:tc>
          <w:tcPr>
            <w:tcW w:w="348" w:type="dxa"/>
            <w:vMerge w:val="continue"/>
            <w:vAlign w:val="center"/>
          </w:tcPr>
          <w:p w14:paraId="5A219A40">
            <w:pPr>
              <w:pStyle w:val="19"/>
              <w:ind w:left="0" w:leftChars="0"/>
              <w:jc w:val="center"/>
              <w:rPr>
                <w:rFonts w:hint="default" w:ascii="Times New Roman" w:hAnsi="Times New Roman" w:cs="Times New Roman"/>
                <w:szCs w:val="21"/>
              </w:rPr>
            </w:pPr>
          </w:p>
        </w:tc>
        <w:tc>
          <w:tcPr>
            <w:tcW w:w="865" w:type="dxa"/>
            <w:vMerge w:val="continue"/>
            <w:vAlign w:val="center"/>
          </w:tcPr>
          <w:p w14:paraId="1F594389">
            <w:pPr>
              <w:pStyle w:val="19"/>
              <w:ind w:left="0" w:leftChars="0"/>
              <w:rPr>
                <w:rFonts w:hint="default" w:ascii="Times New Roman" w:hAnsi="Times New Roman" w:cs="Times New Roman"/>
                <w:szCs w:val="21"/>
              </w:rPr>
            </w:pPr>
          </w:p>
        </w:tc>
        <w:tc>
          <w:tcPr>
            <w:tcW w:w="5496" w:type="dxa"/>
            <w:vAlign w:val="center"/>
          </w:tcPr>
          <w:p w14:paraId="23B35776">
            <w:pPr>
              <w:spacing w:line="400" w:lineRule="exact"/>
              <w:rPr>
                <w:rFonts w:hint="default" w:ascii="Times New Roman" w:hAnsi="Times New Roman" w:cs="Times New Roman"/>
                <w:szCs w:val="21"/>
              </w:rPr>
            </w:pPr>
            <w:r>
              <w:rPr>
                <w:rFonts w:hint="default" w:ascii="Times New Roman" w:hAnsi="Times New Roman" w:cs="Times New Roman"/>
                <w:szCs w:val="21"/>
              </w:rPr>
              <w:t>2. 各组成部分详细技术参数要求</w:t>
            </w:r>
          </w:p>
          <w:p w14:paraId="2CF38E5C">
            <w:pPr>
              <w:spacing w:line="400" w:lineRule="exact"/>
              <w:rPr>
                <w:rFonts w:hint="default" w:ascii="Times New Roman" w:hAnsi="Times New Roman" w:cs="Times New Roman"/>
                <w:szCs w:val="21"/>
              </w:rPr>
            </w:pPr>
            <w:r>
              <w:rPr>
                <w:rFonts w:hint="default" w:ascii="Times New Roman" w:hAnsi="Times New Roman" w:cs="Times New Roman"/>
                <w:szCs w:val="21"/>
              </w:rPr>
              <w:t>2.1 燃烧室系统</w:t>
            </w:r>
          </w:p>
          <w:p w14:paraId="0C5B4F9F">
            <w:pPr>
              <w:spacing w:line="400" w:lineRule="exact"/>
              <w:rPr>
                <w:rFonts w:hint="default" w:ascii="Times New Roman" w:hAnsi="Times New Roman" w:cs="Times New Roman"/>
                <w:szCs w:val="21"/>
              </w:rPr>
            </w:pPr>
            <w:r>
              <w:rPr>
                <w:rFonts w:hint="default" w:ascii="Times New Roman" w:hAnsi="Times New Roman" w:cs="Times New Roman"/>
                <w:szCs w:val="21"/>
              </w:rPr>
              <w:t>2.1.1 内部尺寸：地面 (3.0±0.1)m × (3.0±0.1)m，高度 (2.4±0.1)m。</w:t>
            </w:r>
          </w:p>
          <w:p w14:paraId="6A57D31F">
            <w:pPr>
              <w:spacing w:line="400" w:lineRule="exact"/>
              <w:rPr>
                <w:rFonts w:hint="default" w:ascii="Times New Roman" w:hAnsi="Times New Roman" w:cs="Times New Roman"/>
                <w:szCs w:val="21"/>
              </w:rPr>
            </w:pPr>
            <w:r>
              <w:rPr>
                <w:rFonts w:hint="default" w:ascii="Times New Roman" w:hAnsi="Times New Roman" w:cs="Times New Roman"/>
                <w:szCs w:val="21"/>
              </w:rPr>
              <w:t>2.1.3 房间开口：推车进出口1个，观察窗2个，门1个，烟气收集口1个。</w:t>
            </w:r>
          </w:p>
          <w:p w14:paraId="5038EABF">
            <w:pPr>
              <w:spacing w:line="400" w:lineRule="exact"/>
              <w:rPr>
                <w:rFonts w:hint="default" w:ascii="Times New Roman" w:hAnsi="Times New Roman" w:cs="Times New Roman"/>
                <w:szCs w:val="21"/>
              </w:rPr>
            </w:pPr>
            <w:r>
              <w:rPr>
                <w:rFonts w:hint="default" w:ascii="Times New Roman" w:hAnsi="Times New Roman" w:cs="Times New Roman"/>
                <w:szCs w:val="21"/>
              </w:rPr>
              <w:t>2.1.4 密封性：推车就位关门后，除底部空气入口和顶部排烟口外，无其他漏气点</w:t>
            </w:r>
          </w:p>
          <w:p w14:paraId="3F2F3E32">
            <w:pPr>
              <w:topLinePunct/>
              <w:spacing w:before="60" w:after="60"/>
              <w:rPr>
                <w:rFonts w:hint="default" w:ascii="Times New Roman" w:hAnsi="Times New Roman" w:cs="Times New Roman"/>
                <w:szCs w:val="21"/>
              </w:rPr>
            </w:pPr>
            <w:r>
              <w:rPr>
                <w:rFonts w:hint="default" w:ascii="Times New Roman" w:hAnsi="Times New Roman" w:cs="Times New Roman"/>
                <w:szCs w:val="21"/>
              </w:rPr>
              <w:t>2.2 推车与试样安装</w:t>
            </w:r>
          </w:p>
          <w:p w14:paraId="7D337A0A">
            <w:pPr>
              <w:topLinePunct/>
              <w:spacing w:before="60" w:after="60"/>
              <w:rPr>
                <w:rFonts w:hint="default" w:ascii="Times New Roman" w:hAnsi="Times New Roman" w:cs="Times New Roman"/>
                <w:szCs w:val="21"/>
              </w:rPr>
            </w:pPr>
            <w:r>
              <w:rPr>
                <w:rFonts w:hint="default" w:ascii="Times New Roman" w:hAnsi="Times New Roman" w:cs="Times New Roman"/>
                <w:szCs w:val="21"/>
              </w:rPr>
              <w:t>2.2.1 底板结构：底板水平，三侧设孔径8~12mm，开孔率40%~60%的多孔板。</w:t>
            </w:r>
          </w:p>
          <w:p w14:paraId="016D2F27">
            <w:pPr>
              <w:topLinePunct/>
              <w:spacing w:before="60" w:after="60"/>
              <w:rPr>
                <w:rFonts w:hint="default" w:ascii="Times New Roman" w:hAnsi="Times New Roman" w:cs="Times New Roman"/>
                <w:szCs w:val="21"/>
              </w:rPr>
            </w:pPr>
            <w:r>
              <w:rPr>
                <w:rFonts w:hint="default" w:ascii="Times New Roman" w:hAnsi="Times New Roman" w:cs="Times New Roman"/>
                <w:szCs w:val="21"/>
              </w:rPr>
              <w:t>2.2.2 定位精度：长翼受火面距墙 (2.1±0.1)m，短翼距墙 (2.7±0.1)m，重复定位精度±2mm。</w:t>
            </w:r>
          </w:p>
          <w:p w14:paraId="17910D68">
            <w:pPr>
              <w:spacing w:line="400" w:lineRule="exact"/>
              <w:rPr>
                <w:rFonts w:hint="default" w:ascii="Times New Roman" w:hAnsi="Times New Roman" w:cs="Times New Roman"/>
                <w:szCs w:val="21"/>
              </w:rPr>
            </w:pPr>
            <w:r>
              <w:rPr>
                <w:rFonts w:hint="default" w:ascii="Times New Roman" w:hAnsi="Times New Roman" w:cs="Times New Roman"/>
                <w:szCs w:val="21"/>
              </w:rPr>
              <w:t>2.2.3 背板材质：GB/T 40238 规定的硅酸钙板。</w:t>
            </w:r>
          </w:p>
        </w:tc>
        <w:tc>
          <w:tcPr>
            <w:tcW w:w="1422" w:type="dxa"/>
            <w:vAlign w:val="center"/>
          </w:tcPr>
          <w:p w14:paraId="0876EE5A">
            <w:pPr>
              <w:jc w:val="center"/>
              <w:rPr>
                <w:rFonts w:hint="default" w:ascii="Times New Roman" w:hAnsi="Times New Roman" w:cs="Times New Roman"/>
                <w:szCs w:val="21"/>
              </w:rPr>
            </w:pPr>
            <w:r>
              <w:rPr>
                <w:rFonts w:hint="default" w:ascii="Times New Roman" w:hAnsi="Times New Roman" w:cs="Times New Roman"/>
                <w:szCs w:val="21"/>
              </w:rPr>
              <w:t>符合得1分，</w:t>
            </w:r>
          </w:p>
          <w:p w14:paraId="0876F64F">
            <w:pPr>
              <w:jc w:val="center"/>
              <w:rPr>
                <w:rFonts w:hint="default" w:ascii="Times New Roman" w:hAnsi="Times New Roman" w:cs="Times New Roman"/>
                <w:szCs w:val="21"/>
              </w:rPr>
            </w:pPr>
            <w:r>
              <w:rPr>
                <w:rFonts w:hint="default" w:ascii="Times New Roman" w:hAnsi="Times New Roman" w:cs="Times New Roman"/>
                <w:szCs w:val="21"/>
              </w:rPr>
              <w:t>不符合不得分</w:t>
            </w:r>
          </w:p>
        </w:tc>
        <w:tc>
          <w:tcPr>
            <w:tcW w:w="643" w:type="dxa"/>
            <w:vAlign w:val="center"/>
          </w:tcPr>
          <w:p w14:paraId="105578C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648F027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67FD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613" w:hRule="atLeast"/>
          <w:jc w:val="center"/>
        </w:trPr>
        <w:tc>
          <w:tcPr>
            <w:tcW w:w="348" w:type="dxa"/>
            <w:vMerge w:val="continue"/>
            <w:vAlign w:val="center"/>
          </w:tcPr>
          <w:p w14:paraId="5B85B36A">
            <w:pPr>
              <w:pStyle w:val="19"/>
              <w:ind w:left="0" w:leftChars="0"/>
              <w:jc w:val="center"/>
              <w:rPr>
                <w:rFonts w:hint="default" w:ascii="Times New Roman" w:hAnsi="Times New Roman" w:cs="Times New Roman"/>
                <w:szCs w:val="21"/>
              </w:rPr>
            </w:pPr>
          </w:p>
        </w:tc>
        <w:tc>
          <w:tcPr>
            <w:tcW w:w="865" w:type="dxa"/>
            <w:vMerge w:val="continue"/>
            <w:vAlign w:val="center"/>
          </w:tcPr>
          <w:p w14:paraId="7B0A2EAC">
            <w:pPr>
              <w:pStyle w:val="19"/>
              <w:ind w:left="0" w:leftChars="0"/>
              <w:jc w:val="center"/>
              <w:rPr>
                <w:rFonts w:hint="default" w:ascii="Times New Roman" w:hAnsi="Times New Roman" w:cs="Times New Roman"/>
                <w:szCs w:val="21"/>
              </w:rPr>
            </w:pPr>
          </w:p>
        </w:tc>
        <w:tc>
          <w:tcPr>
            <w:tcW w:w="5496" w:type="dxa"/>
            <w:vAlign w:val="center"/>
          </w:tcPr>
          <w:p w14:paraId="705FFC2B">
            <w:pPr>
              <w:topLinePunct/>
              <w:spacing w:before="60" w:after="60"/>
              <w:rPr>
                <w:rFonts w:hint="default" w:ascii="Times New Roman" w:hAnsi="Times New Roman" w:cs="Times New Roman"/>
                <w:szCs w:val="21"/>
              </w:rPr>
            </w:pPr>
            <w:r>
              <w:rPr>
                <w:rFonts w:hint="default" w:ascii="Times New Roman" w:hAnsi="Times New Roman" w:cs="Times New Roman"/>
                <w:szCs w:val="21"/>
              </w:rPr>
              <w:t>2.2.4 背板尺寸：</w:t>
            </w:r>
          </w:p>
          <w:p w14:paraId="09A9110E">
            <w:pPr>
              <w:topLinePunct/>
              <w:spacing w:before="60" w:after="60"/>
              <w:rPr>
                <w:rFonts w:hint="default" w:ascii="Times New Roman" w:hAnsi="Times New Roman" w:cs="Times New Roman"/>
                <w:szCs w:val="21"/>
              </w:rPr>
            </w:pPr>
            <w:r>
              <w:rPr>
                <w:rFonts w:hint="default" w:ascii="Times New Roman" w:hAnsi="Times New Roman" w:cs="Times New Roman"/>
                <w:szCs w:val="21"/>
              </w:rPr>
              <w:t>短翼：(570+ 试样厚度)mm × (1500±2)mm。</w:t>
            </w:r>
          </w:p>
          <w:p w14:paraId="4C58C2F3">
            <w:pPr>
              <w:topLinePunct/>
              <w:spacing w:before="60" w:after="60"/>
              <w:rPr>
                <w:rFonts w:hint="default" w:ascii="Times New Roman" w:hAnsi="Times New Roman" w:cs="Times New Roman"/>
                <w:szCs w:val="21"/>
              </w:rPr>
            </w:pPr>
            <w:r>
              <w:rPr>
                <w:rFonts w:hint="default" w:ascii="Times New Roman" w:hAnsi="Times New Roman" w:cs="Times New Roman"/>
                <w:szCs w:val="21"/>
              </w:rPr>
              <w:t>长翼：(1020+ 试样厚度)mm × (1500±2)mm。</w:t>
            </w:r>
          </w:p>
        </w:tc>
        <w:tc>
          <w:tcPr>
            <w:tcW w:w="1422" w:type="dxa"/>
            <w:vAlign w:val="center"/>
          </w:tcPr>
          <w:p w14:paraId="47C12CAE">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321B099E">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4D65367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3D5AD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1951" w:hRule="atLeast"/>
          <w:jc w:val="center"/>
        </w:trPr>
        <w:tc>
          <w:tcPr>
            <w:tcW w:w="348" w:type="dxa"/>
            <w:vMerge w:val="continue"/>
            <w:vAlign w:val="center"/>
          </w:tcPr>
          <w:p w14:paraId="33B91929">
            <w:pPr>
              <w:pStyle w:val="19"/>
              <w:ind w:left="0" w:leftChars="0"/>
              <w:jc w:val="center"/>
              <w:rPr>
                <w:rFonts w:hint="default" w:ascii="Times New Roman" w:hAnsi="Times New Roman" w:cs="Times New Roman"/>
                <w:szCs w:val="21"/>
              </w:rPr>
            </w:pPr>
          </w:p>
        </w:tc>
        <w:tc>
          <w:tcPr>
            <w:tcW w:w="865" w:type="dxa"/>
            <w:vMerge w:val="continue"/>
            <w:vAlign w:val="center"/>
          </w:tcPr>
          <w:p w14:paraId="5B0ADE1A">
            <w:pPr>
              <w:pStyle w:val="19"/>
              <w:ind w:left="0" w:leftChars="0"/>
              <w:jc w:val="center"/>
              <w:rPr>
                <w:rFonts w:hint="default" w:ascii="Times New Roman" w:hAnsi="Times New Roman" w:cs="Times New Roman"/>
                <w:szCs w:val="21"/>
              </w:rPr>
            </w:pPr>
          </w:p>
        </w:tc>
        <w:tc>
          <w:tcPr>
            <w:tcW w:w="5496" w:type="dxa"/>
            <w:vAlign w:val="center"/>
          </w:tcPr>
          <w:p w14:paraId="22A756E8">
            <w:pPr>
              <w:topLinePunct/>
              <w:spacing w:before="60" w:after="60"/>
              <w:rPr>
                <w:rFonts w:hint="default" w:ascii="Times New Roman" w:hAnsi="Times New Roman" w:cs="Times New Roman"/>
                <w:szCs w:val="21"/>
              </w:rPr>
            </w:pPr>
            <w:r>
              <w:rPr>
                <w:rFonts w:hint="default" w:ascii="Times New Roman" w:hAnsi="Times New Roman" w:cs="Times New Roman"/>
                <w:szCs w:val="21"/>
              </w:rPr>
              <w:t>2.3 点火源</w:t>
            </w:r>
          </w:p>
          <w:p w14:paraId="52CCA0B3">
            <w:pPr>
              <w:topLinePunct/>
              <w:spacing w:before="60" w:after="60"/>
              <w:rPr>
                <w:rFonts w:hint="default" w:ascii="Times New Roman" w:hAnsi="Times New Roman" w:cs="Times New Roman"/>
                <w:szCs w:val="21"/>
              </w:rPr>
            </w:pPr>
            <w:r>
              <w:rPr>
                <w:rFonts w:hint="default" w:ascii="Times New Roman" w:hAnsi="Times New Roman" w:cs="Times New Roman"/>
                <w:szCs w:val="21"/>
              </w:rPr>
              <w:t>2.3.1 结构与位置</w:t>
            </w:r>
          </w:p>
          <w:p w14:paraId="27EDABF5">
            <w:pPr>
              <w:topLinePunct/>
              <w:spacing w:before="60" w:after="60"/>
              <w:rPr>
                <w:rFonts w:hint="default" w:ascii="Times New Roman" w:hAnsi="Times New Roman" w:cs="Times New Roman"/>
                <w:szCs w:val="21"/>
              </w:rPr>
            </w:pPr>
            <w:r>
              <w:rPr>
                <w:rFonts w:hint="default" w:ascii="Times New Roman" w:hAnsi="Times New Roman" w:cs="Times New Roman"/>
                <w:szCs w:val="21"/>
              </w:rPr>
              <w:t>构造：三角形金属燃烧器。</w:t>
            </w:r>
          </w:p>
          <w:p w14:paraId="34423A4E">
            <w:pPr>
              <w:topLinePunct/>
              <w:spacing w:before="60" w:after="60"/>
              <w:rPr>
                <w:rFonts w:hint="default" w:ascii="Times New Roman" w:hAnsi="Times New Roman" w:cs="Times New Roman"/>
                <w:szCs w:val="21"/>
              </w:rPr>
            </w:pPr>
            <w:r>
              <w:rPr>
                <w:rFonts w:hint="default" w:ascii="Times New Roman" w:hAnsi="Times New Roman" w:cs="Times New Roman"/>
                <w:szCs w:val="21"/>
              </w:rPr>
              <w:t>位置：设在推车底板 U 型槽角落，顶面比 U 型槽顶面高 (25±3) mm。</w:t>
            </w:r>
          </w:p>
          <w:p w14:paraId="7B01025A">
            <w:pPr>
              <w:topLinePunct/>
              <w:spacing w:before="60" w:after="60"/>
              <w:rPr>
                <w:rFonts w:hint="default" w:ascii="Times New Roman" w:hAnsi="Times New Roman" w:cs="Times New Roman"/>
                <w:szCs w:val="21"/>
              </w:rPr>
            </w:pPr>
            <w:r>
              <w:rPr>
                <w:rFonts w:hint="default" w:ascii="Times New Roman" w:hAnsi="Times New Roman" w:cs="Times New Roman"/>
                <w:szCs w:val="21"/>
              </w:rPr>
              <w:t>内部结构：自下而上依次为 10 mm 空气层、50 mm 陶瓷球填充层φ4~8mm、20mm陶瓷球填充层φ2~4mm。</w:t>
            </w:r>
          </w:p>
          <w:p w14:paraId="5910EA46">
            <w:pPr>
              <w:topLinePunct/>
              <w:spacing w:before="60" w:after="60"/>
              <w:rPr>
                <w:rFonts w:hint="default" w:ascii="Times New Roman" w:hAnsi="Times New Roman" w:cs="Times New Roman"/>
                <w:szCs w:val="21"/>
              </w:rPr>
            </w:pPr>
            <w:r>
              <w:rPr>
                <w:rFonts w:hint="default" w:ascii="Times New Roman" w:hAnsi="Times New Roman" w:cs="Times New Roman"/>
                <w:szCs w:val="21"/>
              </w:rPr>
              <w:t>2.3.2 燃气与控制</w:t>
            </w:r>
          </w:p>
          <w:p w14:paraId="7DEC946A">
            <w:pPr>
              <w:topLinePunct/>
              <w:spacing w:before="60" w:after="60"/>
              <w:rPr>
                <w:rFonts w:hint="default" w:ascii="Times New Roman" w:hAnsi="Times New Roman" w:cs="Times New Roman"/>
                <w:szCs w:val="21"/>
              </w:rPr>
            </w:pPr>
            <w:r>
              <w:rPr>
                <w:rFonts w:hint="default" w:ascii="Times New Roman" w:hAnsi="Times New Roman" w:cs="Times New Roman"/>
                <w:szCs w:val="21"/>
              </w:rPr>
              <w:t>丙烷纯度≥95%。</w:t>
            </w:r>
          </w:p>
          <w:p w14:paraId="48B8DA6D">
            <w:pPr>
              <w:topLinePunct/>
              <w:spacing w:before="60" w:after="60"/>
              <w:rPr>
                <w:rFonts w:hint="default" w:ascii="Times New Roman" w:hAnsi="Times New Roman" w:cs="Times New Roman"/>
                <w:szCs w:val="21"/>
              </w:rPr>
            </w:pPr>
            <w:r>
              <w:rPr>
                <w:rFonts w:hint="default" w:ascii="Times New Roman" w:hAnsi="Times New Roman" w:cs="Times New Roman"/>
                <w:szCs w:val="21"/>
              </w:rPr>
              <w:t>质量流量控制器：量程≥0 g/s～2.3 g/s，在0.6 g/s～2.3 g/s范围内精度±1%。</w:t>
            </w:r>
          </w:p>
          <w:p w14:paraId="0FF05882">
            <w:pPr>
              <w:topLinePunct/>
              <w:spacing w:before="60" w:after="60"/>
              <w:rPr>
                <w:rFonts w:hint="default" w:ascii="Times New Roman" w:hAnsi="Times New Roman" w:cs="Times New Roman"/>
                <w:szCs w:val="21"/>
              </w:rPr>
            </w:pPr>
            <w:r>
              <w:rPr>
                <w:rFonts w:hint="default" w:ascii="Times New Roman" w:hAnsi="Times New Roman" w:cs="Times New Roman"/>
                <w:szCs w:val="21"/>
              </w:rPr>
              <w:t>实验室内部的单体仪器管道气路和预留管道。</w:t>
            </w:r>
          </w:p>
          <w:p w14:paraId="07F0A58C">
            <w:pPr>
              <w:topLinePunct/>
              <w:spacing w:before="60" w:after="60"/>
              <w:rPr>
                <w:rFonts w:hint="default" w:ascii="Times New Roman" w:hAnsi="Times New Roman" w:cs="Times New Roman"/>
                <w:szCs w:val="21"/>
              </w:rPr>
            </w:pPr>
            <w:r>
              <w:rPr>
                <w:rFonts w:hint="default" w:ascii="Times New Roman" w:hAnsi="Times New Roman" w:cs="Times New Roman"/>
                <w:szCs w:val="21"/>
              </w:rPr>
              <w:t>2.4 集烟与排烟系统</w:t>
            </w:r>
          </w:p>
          <w:p w14:paraId="1EC5FA86">
            <w:pPr>
              <w:topLinePunct/>
              <w:spacing w:before="60" w:after="60"/>
              <w:rPr>
                <w:rFonts w:hint="default" w:ascii="Times New Roman" w:hAnsi="Times New Roman" w:cs="Times New Roman"/>
                <w:szCs w:val="21"/>
              </w:rPr>
            </w:pPr>
            <w:r>
              <w:rPr>
                <w:rFonts w:hint="default" w:ascii="Times New Roman" w:hAnsi="Times New Roman" w:cs="Times New Roman"/>
                <w:szCs w:val="21"/>
              </w:rPr>
              <w:t>2.4.1 集烟罩：尺寸≥1450×1255mm，连接处密封，顶部设收集器及排烟管道接口。</w:t>
            </w:r>
          </w:p>
        </w:tc>
        <w:tc>
          <w:tcPr>
            <w:tcW w:w="1422" w:type="dxa"/>
            <w:vAlign w:val="center"/>
          </w:tcPr>
          <w:p w14:paraId="13F12E71">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69C20C9F">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638E6832">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45C2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51" w:hRule="atLeast"/>
          <w:jc w:val="center"/>
        </w:trPr>
        <w:tc>
          <w:tcPr>
            <w:tcW w:w="348" w:type="dxa"/>
            <w:vMerge w:val="continue"/>
            <w:vAlign w:val="center"/>
          </w:tcPr>
          <w:p w14:paraId="4CCC668F">
            <w:pPr>
              <w:pStyle w:val="19"/>
              <w:ind w:left="0" w:leftChars="0"/>
              <w:jc w:val="center"/>
              <w:rPr>
                <w:rFonts w:hint="default" w:ascii="Times New Roman" w:hAnsi="Times New Roman" w:cs="Times New Roman"/>
                <w:szCs w:val="21"/>
              </w:rPr>
            </w:pPr>
          </w:p>
        </w:tc>
        <w:tc>
          <w:tcPr>
            <w:tcW w:w="865" w:type="dxa"/>
            <w:vMerge w:val="continue"/>
            <w:vAlign w:val="center"/>
          </w:tcPr>
          <w:p w14:paraId="5D129355">
            <w:pPr>
              <w:pStyle w:val="19"/>
              <w:ind w:left="0" w:leftChars="0"/>
              <w:jc w:val="center"/>
              <w:rPr>
                <w:rFonts w:hint="default" w:ascii="Times New Roman" w:hAnsi="Times New Roman" w:cs="Times New Roman"/>
                <w:szCs w:val="21"/>
              </w:rPr>
            </w:pPr>
          </w:p>
        </w:tc>
        <w:tc>
          <w:tcPr>
            <w:tcW w:w="5496" w:type="dxa"/>
            <w:vAlign w:val="center"/>
          </w:tcPr>
          <w:p w14:paraId="20F4FF42">
            <w:pPr>
              <w:topLinePunct/>
              <w:spacing w:before="60" w:after="60"/>
              <w:rPr>
                <w:rFonts w:hint="default" w:ascii="Times New Roman" w:hAnsi="Times New Roman" w:cs="Times New Roman"/>
                <w:szCs w:val="21"/>
              </w:rPr>
            </w:pPr>
            <w:r>
              <w:rPr>
                <w:rFonts w:hint="default" w:ascii="Times New Roman" w:hAnsi="Times New Roman" w:cs="Times New Roman"/>
                <w:szCs w:val="21"/>
              </w:rPr>
              <w:t>2.4.2 排烟管道：内径 300~400mm，直管段长度≥12D。</w:t>
            </w:r>
          </w:p>
        </w:tc>
        <w:tc>
          <w:tcPr>
            <w:tcW w:w="1422" w:type="dxa"/>
            <w:vAlign w:val="center"/>
          </w:tcPr>
          <w:p w14:paraId="4ECA4D2E">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6C20B328">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2348D178">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55BC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26" w:hRule="atLeast"/>
          <w:jc w:val="center"/>
        </w:trPr>
        <w:tc>
          <w:tcPr>
            <w:tcW w:w="348" w:type="dxa"/>
            <w:vMerge w:val="continue"/>
            <w:vAlign w:val="center"/>
          </w:tcPr>
          <w:p w14:paraId="4BF66725">
            <w:pPr>
              <w:pStyle w:val="19"/>
              <w:ind w:left="0" w:leftChars="0"/>
              <w:jc w:val="center"/>
              <w:rPr>
                <w:rFonts w:hint="default" w:ascii="Times New Roman" w:hAnsi="Times New Roman" w:cs="Times New Roman"/>
                <w:szCs w:val="21"/>
              </w:rPr>
            </w:pPr>
          </w:p>
        </w:tc>
        <w:tc>
          <w:tcPr>
            <w:tcW w:w="865" w:type="dxa"/>
            <w:vMerge w:val="continue"/>
            <w:vAlign w:val="center"/>
          </w:tcPr>
          <w:p w14:paraId="02E294F5">
            <w:pPr>
              <w:pStyle w:val="19"/>
              <w:ind w:left="0" w:leftChars="0"/>
              <w:jc w:val="center"/>
              <w:rPr>
                <w:rFonts w:hint="default" w:ascii="Times New Roman" w:hAnsi="Times New Roman" w:cs="Times New Roman"/>
                <w:szCs w:val="21"/>
              </w:rPr>
            </w:pPr>
          </w:p>
        </w:tc>
        <w:tc>
          <w:tcPr>
            <w:tcW w:w="5496" w:type="dxa"/>
            <w:vAlign w:val="center"/>
          </w:tcPr>
          <w:p w14:paraId="5672E6B1">
            <w:pPr>
              <w:topLinePunct/>
              <w:spacing w:before="60" w:after="60"/>
              <w:rPr>
                <w:rFonts w:hint="default" w:ascii="Times New Roman" w:hAnsi="Times New Roman" w:cs="Times New Roman"/>
                <w:szCs w:val="21"/>
              </w:rPr>
            </w:pPr>
            <w:r>
              <w:rPr>
                <w:rFonts w:hint="default" w:ascii="Times New Roman" w:hAnsi="Times New Roman" w:cs="Times New Roman"/>
                <w:szCs w:val="21"/>
              </w:rPr>
              <w:t>2.5 测量仪器系统</w:t>
            </w:r>
          </w:p>
          <w:p w14:paraId="1B1C5469">
            <w:pPr>
              <w:topLinePunct/>
              <w:spacing w:before="60" w:after="60"/>
              <w:rPr>
                <w:rFonts w:hint="default" w:ascii="Times New Roman" w:hAnsi="Times New Roman" w:cs="Times New Roman"/>
                <w:szCs w:val="21"/>
              </w:rPr>
            </w:pPr>
            <w:r>
              <w:rPr>
                <w:rFonts w:hint="default" w:ascii="Times New Roman" w:hAnsi="Times New Roman" w:cs="Times New Roman"/>
                <w:szCs w:val="21"/>
              </w:rPr>
              <w:t>2.5.1 压差测量：双向或半球形探头，位于距入口≥8 倍管径处，传感器量程 0-200Pa，精度±2Pa，响应时间≤1s。</w:t>
            </w:r>
          </w:p>
          <w:p w14:paraId="1CD26F60">
            <w:pPr>
              <w:topLinePunct/>
              <w:spacing w:before="60" w:after="60"/>
              <w:rPr>
                <w:rFonts w:hint="default" w:ascii="Times New Roman" w:hAnsi="Times New Roman" w:cs="Times New Roman"/>
                <w:szCs w:val="21"/>
              </w:rPr>
            </w:pPr>
            <w:r>
              <w:rPr>
                <w:rFonts w:hint="default" w:ascii="Times New Roman" w:hAnsi="Times New Roman" w:cs="Times New Roman"/>
                <w:szCs w:val="21"/>
              </w:rPr>
              <w:t>2.5.2 温度测量：3 支铠装 K 型热电偶（Φ0.5-1.5mm，Ⅰ级精度）。测压探头后方 100 mm 截面，距圆心 (87±5) mm，夹角 120°。</w:t>
            </w:r>
          </w:p>
          <w:p w14:paraId="0CD836E7">
            <w:pPr>
              <w:topLinePunct/>
              <w:spacing w:before="60" w:after="60"/>
              <w:rPr>
                <w:rFonts w:hint="default" w:ascii="Times New Roman" w:hAnsi="Times New Roman" w:cs="Times New Roman"/>
                <w:szCs w:val="21"/>
              </w:rPr>
            </w:pPr>
            <w:r>
              <w:rPr>
                <w:rFonts w:hint="default" w:ascii="Times New Roman" w:hAnsi="Times New Roman" w:cs="Times New Roman"/>
                <w:szCs w:val="21"/>
              </w:rPr>
              <w:t>2.5.3 气体取样：内径 10mm 圆形管状探头。取样点位于热电偶后方 100mm，孔朝向气流方向。</w:t>
            </w:r>
          </w:p>
          <w:p w14:paraId="022D4C2B">
            <w:pPr>
              <w:topLinePunct/>
              <w:spacing w:before="60" w:after="60"/>
              <w:rPr>
                <w:rFonts w:hint="default" w:ascii="Times New Roman" w:hAnsi="Times New Roman" w:cs="Times New Roman"/>
                <w:szCs w:val="21"/>
              </w:rPr>
            </w:pPr>
            <w:r>
              <w:rPr>
                <w:rFonts w:hint="default" w:ascii="Times New Roman" w:hAnsi="Times New Roman" w:cs="Times New Roman"/>
                <w:szCs w:val="21"/>
              </w:rPr>
              <w:t>包含微粒过滤器：三级过滤系统；过滤精度0.5um；</w:t>
            </w:r>
          </w:p>
          <w:p w14:paraId="5AF48B92">
            <w:pPr>
              <w:topLinePunct/>
              <w:spacing w:before="60" w:after="60"/>
              <w:rPr>
                <w:rFonts w:hint="default" w:ascii="Times New Roman" w:hAnsi="Times New Roman" w:cs="Times New Roman"/>
                <w:szCs w:val="21"/>
              </w:rPr>
            </w:pPr>
            <w:r>
              <w:rPr>
                <w:rFonts w:hint="default" w:ascii="Times New Roman" w:hAnsi="Times New Roman" w:cs="Times New Roman"/>
                <w:szCs w:val="21"/>
              </w:rPr>
              <w:t>冷阱：压缩机原理制冷系统；气体采样温度控制0~5℃；国内一线品牌，保护分析仪稳定及寿命；</w:t>
            </w:r>
          </w:p>
          <w:p w14:paraId="5509DF54">
            <w:pPr>
              <w:topLinePunct/>
              <w:spacing w:before="60" w:after="60"/>
              <w:rPr>
                <w:rFonts w:hint="default" w:ascii="Times New Roman" w:hAnsi="Times New Roman" w:cs="Times New Roman"/>
                <w:szCs w:val="21"/>
              </w:rPr>
            </w:pPr>
            <w:r>
              <w:rPr>
                <w:rFonts w:hint="default" w:ascii="Times New Roman" w:hAnsi="Times New Roman" w:cs="Times New Roman"/>
                <w:szCs w:val="21"/>
              </w:rPr>
              <w:t>知名品牌吸气泵：流量：33L/min，真空度：700㎜Hg，压力：2.5 bar；</w:t>
            </w:r>
          </w:p>
          <w:p w14:paraId="24FC8119">
            <w:pPr>
              <w:topLinePunct/>
              <w:spacing w:before="60" w:after="60"/>
              <w:rPr>
                <w:rFonts w:hint="default" w:ascii="Times New Roman" w:hAnsi="Times New Roman" w:cs="Times New Roman"/>
                <w:szCs w:val="21"/>
              </w:rPr>
            </w:pPr>
            <w:r>
              <w:rPr>
                <w:rFonts w:hint="default" w:ascii="Times New Roman" w:hAnsi="Times New Roman" w:cs="Times New Roman"/>
                <w:szCs w:val="21"/>
              </w:rPr>
              <w:t>干燥筒：分别氧气及二氧化氮分析气路进行干燥及去杂质处理；</w:t>
            </w:r>
          </w:p>
        </w:tc>
        <w:tc>
          <w:tcPr>
            <w:tcW w:w="1422" w:type="dxa"/>
            <w:vAlign w:val="center"/>
          </w:tcPr>
          <w:p w14:paraId="39398534">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7710593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5102D3AF">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75A3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1513" w:hRule="atLeast"/>
          <w:jc w:val="center"/>
        </w:trPr>
        <w:tc>
          <w:tcPr>
            <w:tcW w:w="348" w:type="dxa"/>
            <w:vMerge w:val="continue"/>
            <w:vAlign w:val="center"/>
          </w:tcPr>
          <w:p w14:paraId="6E98E62C">
            <w:pPr>
              <w:pStyle w:val="19"/>
              <w:ind w:left="0" w:leftChars="0"/>
              <w:jc w:val="center"/>
              <w:rPr>
                <w:rFonts w:hint="default" w:ascii="Times New Roman" w:hAnsi="Times New Roman" w:cs="Times New Roman"/>
                <w:szCs w:val="21"/>
              </w:rPr>
            </w:pPr>
          </w:p>
        </w:tc>
        <w:tc>
          <w:tcPr>
            <w:tcW w:w="865" w:type="dxa"/>
            <w:vMerge w:val="continue"/>
            <w:vAlign w:val="center"/>
          </w:tcPr>
          <w:p w14:paraId="76097C0A">
            <w:pPr>
              <w:pStyle w:val="19"/>
              <w:ind w:left="0" w:leftChars="0"/>
              <w:jc w:val="center"/>
              <w:rPr>
                <w:rFonts w:hint="default" w:ascii="Times New Roman" w:hAnsi="Times New Roman" w:cs="Times New Roman"/>
                <w:szCs w:val="21"/>
              </w:rPr>
            </w:pPr>
          </w:p>
        </w:tc>
        <w:tc>
          <w:tcPr>
            <w:tcW w:w="5496" w:type="dxa"/>
            <w:vAlign w:val="center"/>
          </w:tcPr>
          <w:p w14:paraId="478F8356">
            <w:pPr>
              <w:topLinePunct/>
              <w:spacing w:before="60" w:after="60"/>
              <w:rPr>
                <w:rFonts w:hint="default" w:ascii="Times New Roman" w:hAnsi="Times New Roman" w:cs="Times New Roman"/>
                <w:szCs w:val="21"/>
              </w:rPr>
            </w:pPr>
            <w:r>
              <w:rPr>
                <w:rFonts w:hint="default" w:ascii="Times New Roman" w:hAnsi="Times New Roman" w:cs="Times New Roman"/>
                <w:szCs w:val="21"/>
              </w:rPr>
              <w:t>▲2.5.4 烟气透光率：白光光源 (2900±100)K，均匀光束直径≥20mm，检测器的光谱分布响应曲线应与国际照明委员会光视效率函数（V(λ）函数）一致，精度±5%，T90响应时间≤3s，线性度在透光率的3%以内或绝对透光率的0.01以内。</w:t>
            </w:r>
          </w:p>
        </w:tc>
        <w:tc>
          <w:tcPr>
            <w:tcW w:w="1422" w:type="dxa"/>
            <w:vAlign w:val="center"/>
          </w:tcPr>
          <w:p w14:paraId="129EDBF4">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1243C99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4FB65E27">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1CF35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1414" w:hRule="atLeast"/>
          <w:jc w:val="center"/>
        </w:trPr>
        <w:tc>
          <w:tcPr>
            <w:tcW w:w="348" w:type="dxa"/>
            <w:vMerge w:val="continue"/>
            <w:vAlign w:val="center"/>
          </w:tcPr>
          <w:p w14:paraId="4EB7417B">
            <w:pPr>
              <w:pStyle w:val="19"/>
              <w:ind w:left="0" w:leftChars="0"/>
              <w:jc w:val="center"/>
              <w:rPr>
                <w:rFonts w:hint="default" w:ascii="Times New Roman" w:hAnsi="Times New Roman" w:cs="Times New Roman"/>
                <w:szCs w:val="21"/>
              </w:rPr>
            </w:pPr>
          </w:p>
        </w:tc>
        <w:tc>
          <w:tcPr>
            <w:tcW w:w="865" w:type="dxa"/>
            <w:vMerge w:val="continue"/>
            <w:vAlign w:val="center"/>
          </w:tcPr>
          <w:p w14:paraId="1C395632">
            <w:pPr>
              <w:pStyle w:val="19"/>
              <w:ind w:left="0" w:leftChars="0"/>
              <w:jc w:val="center"/>
              <w:rPr>
                <w:rFonts w:hint="default" w:ascii="Times New Roman" w:hAnsi="Times New Roman" w:cs="Times New Roman"/>
                <w:szCs w:val="21"/>
              </w:rPr>
            </w:pPr>
          </w:p>
        </w:tc>
        <w:tc>
          <w:tcPr>
            <w:tcW w:w="5496" w:type="dxa"/>
            <w:vAlign w:val="center"/>
          </w:tcPr>
          <w:p w14:paraId="5973BBBF">
            <w:pPr>
              <w:topLinePunct/>
              <w:spacing w:before="60" w:after="60"/>
              <w:rPr>
                <w:rFonts w:hint="default" w:ascii="Times New Roman" w:hAnsi="Times New Roman" w:cs="Times New Roman"/>
                <w:szCs w:val="21"/>
              </w:rPr>
            </w:pPr>
            <w:r>
              <w:rPr>
                <w:rFonts w:hint="default" w:ascii="Times New Roman" w:hAnsi="Times New Roman" w:cs="Times New Roman"/>
                <w:szCs w:val="21"/>
              </w:rPr>
              <w:t>2.6 气体分析系统</w:t>
            </w:r>
          </w:p>
          <w:p w14:paraId="03C1B41B">
            <w:pPr>
              <w:topLinePunct/>
              <w:spacing w:before="60" w:after="60"/>
              <w:rPr>
                <w:rFonts w:hint="default" w:ascii="Times New Roman" w:hAnsi="Times New Roman" w:cs="Times New Roman"/>
                <w:szCs w:val="21"/>
              </w:rPr>
            </w:pPr>
            <w:r>
              <w:rPr>
                <w:rFonts w:hint="default" w:ascii="Times New Roman" w:hAnsi="Times New Roman" w:cs="Times New Roman"/>
                <w:szCs w:val="21"/>
              </w:rPr>
              <w:t>▲2.6.1 氧气分析仪：顺磁型或等效，量程至少为16%-21%(V氧气/V空气)，分辨率≤0.01%，响应时间≤4s，噪声与漂移≤0.01％，重复性≤满量程±0.5％，具备 CO 交叉干扰补偿功能。</w:t>
            </w:r>
          </w:p>
        </w:tc>
        <w:tc>
          <w:tcPr>
            <w:tcW w:w="1422" w:type="dxa"/>
            <w:vAlign w:val="center"/>
          </w:tcPr>
          <w:p w14:paraId="71FAA53B">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784861FF">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527EC9E6">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3544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1061" w:hRule="atLeast"/>
          <w:jc w:val="center"/>
        </w:trPr>
        <w:tc>
          <w:tcPr>
            <w:tcW w:w="348" w:type="dxa"/>
            <w:vMerge w:val="continue"/>
            <w:vAlign w:val="center"/>
          </w:tcPr>
          <w:p w14:paraId="73549B43">
            <w:pPr>
              <w:pStyle w:val="19"/>
              <w:ind w:left="0" w:leftChars="0"/>
              <w:jc w:val="center"/>
              <w:rPr>
                <w:rFonts w:hint="default" w:ascii="Times New Roman" w:hAnsi="Times New Roman" w:cs="Times New Roman"/>
                <w:szCs w:val="21"/>
              </w:rPr>
            </w:pPr>
          </w:p>
        </w:tc>
        <w:tc>
          <w:tcPr>
            <w:tcW w:w="865" w:type="dxa"/>
            <w:vMerge w:val="continue"/>
            <w:vAlign w:val="center"/>
          </w:tcPr>
          <w:p w14:paraId="6417BB21">
            <w:pPr>
              <w:pStyle w:val="19"/>
              <w:ind w:left="0" w:leftChars="0"/>
              <w:jc w:val="center"/>
              <w:rPr>
                <w:rFonts w:hint="default" w:ascii="Times New Roman" w:hAnsi="Times New Roman" w:cs="Times New Roman"/>
                <w:szCs w:val="21"/>
              </w:rPr>
            </w:pPr>
          </w:p>
        </w:tc>
        <w:tc>
          <w:tcPr>
            <w:tcW w:w="5496" w:type="dxa"/>
            <w:vAlign w:val="center"/>
          </w:tcPr>
          <w:p w14:paraId="31C8EC03">
            <w:pPr>
              <w:topLinePunct/>
              <w:spacing w:before="60" w:after="60"/>
              <w:rPr>
                <w:rFonts w:hint="default" w:ascii="Times New Roman" w:hAnsi="Times New Roman" w:cs="Times New Roman"/>
                <w:szCs w:val="21"/>
              </w:rPr>
            </w:pPr>
            <w:r>
              <w:rPr>
                <w:rFonts w:hint="default" w:ascii="Times New Roman" w:hAnsi="Times New Roman" w:cs="Times New Roman"/>
                <w:szCs w:val="21"/>
              </w:rPr>
              <w:t>▲2.6.2 二氧化碳分析仪：红外型或等效，量程至少为 0%-10%，分辨率≤0.01%，响应时间≤4s，线性度≤满量程±1％，重复性≤满量程±0.5％。</w:t>
            </w:r>
          </w:p>
        </w:tc>
        <w:tc>
          <w:tcPr>
            <w:tcW w:w="1422" w:type="dxa"/>
            <w:vAlign w:val="center"/>
          </w:tcPr>
          <w:p w14:paraId="69D57264">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2C819CB1">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624D2A59">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368B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48" w:type="dxa"/>
            <w:vMerge w:val="continue"/>
            <w:vAlign w:val="center"/>
          </w:tcPr>
          <w:p w14:paraId="5AE7A2D3">
            <w:pPr>
              <w:pStyle w:val="19"/>
              <w:ind w:left="0" w:leftChars="0"/>
              <w:jc w:val="center"/>
              <w:rPr>
                <w:rFonts w:hint="default" w:ascii="Times New Roman" w:hAnsi="Times New Roman" w:cs="Times New Roman"/>
                <w:szCs w:val="21"/>
              </w:rPr>
            </w:pPr>
          </w:p>
        </w:tc>
        <w:tc>
          <w:tcPr>
            <w:tcW w:w="865" w:type="dxa"/>
            <w:vMerge w:val="continue"/>
            <w:vAlign w:val="center"/>
          </w:tcPr>
          <w:p w14:paraId="341BDD87">
            <w:pPr>
              <w:pStyle w:val="19"/>
              <w:ind w:left="0" w:leftChars="0"/>
              <w:jc w:val="center"/>
              <w:rPr>
                <w:rFonts w:hint="default" w:ascii="Times New Roman" w:hAnsi="Times New Roman" w:cs="Times New Roman"/>
                <w:szCs w:val="21"/>
              </w:rPr>
            </w:pPr>
          </w:p>
        </w:tc>
        <w:tc>
          <w:tcPr>
            <w:tcW w:w="5496" w:type="dxa"/>
            <w:vAlign w:val="center"/>
          </w:tcPr>
          <w:p w14:paraId="6363E497">
            <w:pPr>
              <w:topLinePunct/>
              <w:spacing w:before="60" w:after="60"/>
              <w:rPr>
                <w:rFonts w:hint="default" w:ascii="Times New Roman" w:hAnsi="Times New Roman" w:cs="Times New Roman"/>
                <w:szCs w:val="21"/>
              </w:rPr>
            </w:pPr>
            <w:r>
              <w:rPr>
                <w:rFonts w:hint="default" w:ascii="Times New Roman" w:hAnsi="Times New Roman" w:cs="Times New Roman"/>
                <w:szCs w:val="21"/>
              </w:rPr>
              <w:t>▲2.6.3 自动校准：支持远程触发零点/量程校准，标配校准气体接口。</w:t>
            </w:r>
          </w:p>
        </w:tc>
        <w:tc>
          <w:tcPr>
            <w:tcW w:w="1422" w:type="dxa"/>
            <w:vAlign w:val="center"/>
          </w:tcPr>
          <w:p w14:paraId="5A722367">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5AAFC468">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5CD1F19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23F9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21" w:hRule="atLeast"/>
          <w:jc w:val="center"/>
        </w:trPr>
        <w:tc>
          <w:tcPr>
            <w:tcW w:w="348" w:type="dxa"/>
            <w:vMerge w:val="continue"/>
            <w:vAlign w:val="center"/>
          </w:tcPr>
          <w:p w14:paraId="2AF69BB8">
            <w:pPr>
              <w:pStyle w:val="19"/>
              <w:ind w:left="0" w:leftChars="0"/>
              <w:jc w:val="center"/>
              <w:rPr>
                <w:rFonts w:hint="default" w:ascii="Times New Roman" w:hAnsi="Times New Roman" w:cs="Times New Roman"/>
                <w:szCs w:val="21"/>
              </w:rPr>
            </w:pPr>
          </w:p>
        </w:tc>
        <w:tc>
          <w:tcPr>
            <w:tcW w:w="865" w:type="dxa"/>
            <w:vMerge w:val="continue"/>
            <w:vAlign w:val="center"/>
          </w:tcPr>
          <w:p w14:paraId="7B0A2CCA">
            <w:pPr>
              <w:pStyle w:val="19"/>
              <w:ind w:left="0" w:leftChars="0"/>
              <w:jc w:val="center"/>
              <w:rPr>
                <w:rFonts w:hint="default" w:ascii="Times New Roman" w:hAnsi="Times New Roman" w:cs="Times New Roman"/>
                <w:szCs w:val="21"/>
              </w:rPr>
            </w:pPr>
          </w:p>
        </w:tc>
        <w:tc>
          <w:tcPr>
            <w:tcW w:w="5496" w:type="dxa"/>
            <w:vAlign w:val="center"/>
          </w:tcPr>
          <w:p w14:paraId="2D23A07F">
            <w:pPr>
              <w:topLinePunct/>
              <w:spacing w:before="60" w:after="60"/>
              <w:rPr>
                <w:rFonts w:hint="default" w:ascii="Times New Roman" w:hAnsi="Times New Roman" w:cs="Times New Roman"/>
                <w:szCs w:val="21"/>
              </w:rPr>
            </w:pPr>
            <w:r>
              <w:rPr>
                <w:rFonts w:hint="default" w:ascii="Times New Roman" w:hAnsi="Times New Roman" w:cs="Times New Roman"/>
                <w:szCs w:val="21"/>
              </w:rPr>
              <w:t>2.7.2 采样频率：基础参数≥1Hz，关键参数支持 10Hz 高速采集。</w:t>
            </w:r>
          </w:p>
        </w:tc>
        <w:tc>
          <w:tcPr>
            <w:tcW w:w="1422" w:type="dxa"/>
            <w:vAlign w:val="center"/>
          </w:tcPr>
          <w:p w14:paraId="130F100F">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3DA9420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250C50A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0C1E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843" w:hRule="atLeast"/>
          <w:jc w:val="center"/>
        </w:trPr>
        <w:tc>
          <w:tcPr>
            <w:tcW w:w="348" w:type="dxa"/>
            <w:vMerge w:val="continue"/>
            <w:vAlign w:val="center"/>
          </w:tcPr>
          <w:p w14:paraId="45D4E0E2">
            <w:pPr>
              <w:pStyle w:val="19"/>
              <w:ind w:left="0" w:leftChars="0"/>
              <w:jc w:val="center"/>
              <w:rPr>
                <w:rFonts w:hint="default" w:ascii="Times New Roman" w:hAnsi="Times New Roman" w:cs="Times New Roman"/>
                <w:szCs w:val="21"/>
              </w:rPr>
            </w:pPr>
          </w:p>
        </w:tc>
        <w:tc>
          <w:tcPr>
            <w:tcW w:w="865" w:type="dxa"/>
            <w:vMerge w:val="continue"/>
            <w:vAlign w:val="center"/>
          </w:tcPr>
          <w:p w14:paraId="327067FD">
            <w:pPr>
              <w:pStyle w:val="19"/>
              <w:ind w:left="0" w:leftChars="0"/>
              <w:jc w:val="center"/>
              <w:rPr>
                <w:rFonts w:hint="default" w:ascii="Times New Roman" w:hAnsi="Times New Roman" w:cs="Times New Roman"/>
                <w:szCs w:val="21"/>
              </w:rPr>
            </w:pPr>
          </w:p>
        </w:tc>
        <w:tc>
          <w:tcPr>
            <w:tcW w:w="5496" w:type="dxa"/>
            <w:vAlign w:val="center"/>
          </w:tcPr>
          <w:p w14:paraId="4CB83E36">
            <w:pPr>
              <w:topLinePunct/>
              <w:spacing w:before="60" w:after="60"/>
              <w:rPr>
                <w:rFonts w:hint="default" w:ascii="Times New Roman" w:hAnsi="Times New Roman" w:cs="Times New Roman"/>
                <w:szCs w:val="21"/>
              </w:rPr>
            </w:pPr>
            <w:r>
              <w:rPr>
                <w:rFonts w:hint="default" w:ascii="Times New Roman" w:hAnsi="Times New Roman" w:cs="Times New Roman"/>
                <w:szCs w:val="21"/>
              </w:rPr>
              <w:t>▲2.7.3 计算功能：实时计算 HRR、THR、FIGRA、SMOGRA、TSP 等参数，支持燃烧性能分级预判。</w:t>
            </w:r>
          </w:p>
        </w:tc>
        <w:tc>
          <w:tcPr>
            <w:tcW w:w="1422" w:type="dxa"/>
            <w:vAlign w:val="center"/>
          </w:tcPr>
          <w:p w14:paraId="198D36E2">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1E7969DE">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2503E3D9">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669FD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81" w:hRule="atLeast"/>
          <w:jc w:val="center"/>
        </w:trPr>
        <w:tc>
          <w:tcPr>
            <w:tcW w:w="348" w:type="dxa"/>
            <w:vMerge w:val="continue"/>
            <w:vAlign w:val="center"/>
          </w:tcPr>
          <w:p w14:paraId="7FAEDEE8">
            <w:pPr>
              <w:pStyle w:val="19"/>
              <w:ind w:left="0" w:leftChars="0"/>
              <w:jc w:val="center"/>
              <w:rPr>
                <w:rFonts w:hint="default" w:ascii="Times New Roman" w:hAnsi="Times New Roman" w:cs="Times New Roman"/>
                <w:szCs w:val="21"/>
              </w:rPr>
            </w:pPr>
          </w:p>
        </w:tc>
        <w:tc>
          <w:tcPr>
            <w:tcW w:w="865" w:type="dxa"/>
            <w:vMerge w:val="continue"/>
            <w:vAlign w:val="center"/>
          </w:tcPr>
          <w:p w14:paraId="0A982477">
            <w:pPr>
              <w:pStyle w:val="19"/>
              <w:ind w:left="0" w:leftChars="0"/>
              <w:jc w:val="center"/>
              <w:rPr>
                <w:rFonts w:hint="default" w:ascii="Times New Roman" w:hAnsi="Times New Roman" w:cs="Times New Roman"/>
                <w:szCs w:val="21"/>
              </w:rPr>
            </w:pPr>
          </w:p>
        </w:tc>
        <w:tc>
          <w:tcPr>
            <w:tcW w:w="5496" w:type="dxa"/>
            <w:vAlign w:val="center"/>
          </w:tcPr>
          <w:p w14:paraId="53ADD3AB">
            <w:pPr>
              <w:topLinePunct/>
              <w:spacing w:before="60" w:after="60"/>
              <w:rPr>
                <w:rFonts w:hint="default" w:ascii="Times New Roman" w:hAnsi="Times New Roman" w:cs="Times New Roman"/>
                <w:szCs w:val="21"/>
              </w:rPr>
            </w:pPr>
            <w:r>
              <w:rPr>
                <w:rFonts w:hint="default" w:ascii="Times New Roman" w:hAnsi="Times New Roman" w:cs="Times New Roman"/>
                <w:szCs w:val="21"/>
              </w:rPr>
              <w:t>2.7.4 控制界面：提供整个试验中所有关键数据的显示界面，以及所有操作的控制界面。</w:t>
            </w:r>
          </w:p>
        </w:tc>
        <w:tc>
          <w:tcPr>
            <w:tcW w:w="1422" w:type="dxa"/>
            <w:vAlign w:val="center"/>
          </w:tcPr>
          <w:p w14:paraId="761CCDC0">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380DBB56">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5AAC1130">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4F85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71" w:hRule="atLeast"/>
          <w:jc w:val="center"/>
        </w:trPr>
        <w:tc>
          <w:tcPr>
            <w:tcW w:w="348" w:type="dxa"/>
            <w:vMerge w:val="continue"/>
            <w:vAlign w:val="center"/>
          </w:tcPr>
          <w:p w14:paraId="3AD5A85B">
            <w:pPr>
              <w:pStyle w:val="19"/>
              <w:ind w:left="0" w:leftChars="0"/>
              <w:jc w:val="center"/>
              <w:rPr>
                <w:rFonts w:hint="default" w:ascii="Times New Roman" w:hAnsi="Times New Roman" w:cs="Times New Roman"/>
                <w:szCs w:val="21"/>
              </w:rPr>
            </w:pPr>
          </w:p>
        </w:tc>
        <w:tc>
          <w:tcPr>
            <w:tcW w:w="865" w:type="dxa"/>
            <w:vMerge w:val="continue"/>
            <w:vAlign w:val="center"/>
          </w:tcPr>
          <w:p w14:paraId="10BA4C93">
            <w:pPr>
              <w:pStyle w:val="19"/>
              <w:ind w:left="0" w:leftChars="0"/>
              <w:jc w:val="center"/>
              <w:rPr>
                <w:rFonts w:hint="default" w:ascii="Times New Roman" w:hAnsi="Times New Roman" w:cs="Times New Roman"/>
                <w:szCs w:val="21"/>
              </w:rPr>
            </w:pPr>
          </w:p>
        </w:tc>
        <w:tc>
          <w:tcPr>
            <w:tcW w:w="5496" w:type="dxa"/>
            <w:vAlign w:val="center"/>
          </w:tcPr>
          <w:p w14:paraId="60986A4F">
            <w:pPr>
              <w:topLinePunct/>
              <w:spacing w:before="60" w:after="60"/>
              <w:rPr>
                <w:rFonts w:hint="default" w:ascii="Times New Roman" w:hAnsi="Times New Roman" w:cs="Times New Roman"/>
                <w:szCs w:val="21"/>
              </w:rPr>
            </w:pPr>
            <w:r>
              <w:rPr>
                <w:rFonts w:hint="default" w:ascii="Times New Roman" w:hAnsi="Times New Roman" w:cs="Times New Roman"/>
                <w:szCs w:val="21"/>
              </w:rPr>
              <w:t>2.7.5 数据管理：原始数据加密存储，支持 CSV/PDF 导出。</w:t>
            </w:r>
          </w:p>
        </w:tc>
        <w:tc>
          <w:tcPr>
            <w:tcW w:w="1422" w:type="dxa"/>
            <w:vAlign w:val="center"/>
          </w:tcPr>
          <w:p w14:paraId="320563BE">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072E09B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14E8B437">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18FDE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54" w:hRule="atLeast"/>
          <w:jc w:val="center"/>
        </w:trPr>
        <w:tc>
          <w:tcPr>
            <w:tcW w:w="348" w:type="dxa"/>
            <w:vMerge w:val="continue"/>
            <w:vAlign w:val="center"/>
          </w:tcPr>
          <w:p w14:paraId="742A48F4">
            <w:pPr>
              <w:pStyle w:val="19"/>
              <w:ind w:left="0" w:leftChars="0"/>
              <w:jc w:val="center"/>
              <w:rPr>
                <w:rFonts w:hint="default" w:ascii="Times New Roman" w:hAnsi="Times New Roman" w:cs="Times New Roman"/>
                <w:szCs w:val="21"/>
              </w:rPr>
            </w:pPr>
          </w:p>
        </w:tc>
        <w:tc>
          <w:tcPr>
            <w:tcW w:w="865" w:type="dxa"/>
            <w:vMerge w:val="continue"/>
            <w:vAlign w:val="center"/>
          </w:tcPr>
          <w:p w14:paraId="68591935">
            <w:pPr>
              <w:pStyle w:val="19"/>
              <w:ind w:left="0" w:leftChars="0"/>
              <w:jc w:val="center"/>
              <w:rPr>
                <w:rFonts w:hint="default" w:ascii="Times New Roman" w:hAnsi="Times New Roman" w:cs="Times New Roman"/>
                <w:szCs w:val="21"/>
              </w:rPr>
            </w:pPr>
          </w:p>
        </w:tc>
        <w:tc>
          <w:tcPr>
            <w:tcW w:w="5496" w:type="dxa"/>
            <w:vAlign w:val="center"/>
          </w:tcPr>
          <w:p w14:paraId="5AC02E79">
            <w:pPr>
              <w:topLinePunct/>
              <w:spacing w:before="60" w:after="60"/>
              <w:rPr>
                <w:rFonts w:hint="default" w:ascii="Times New Roman" w:hAnsi="Times New Roman" w:cs="Times New Roman"/>
                <w:szCs w:val="21"/>
              </w:rPr>
            </w:pPr>
            <w:r>
              <w:rPr>
                <w:rFonts w:hint="default" w:ascii="Times New Roman" w:hAnsi="Times New Roman" w:cs="Times New Roman"/>
                <w:szCs w:val="21"/>
              </w:rPr>
              <w:t>3. 安全保护系统要求</w:t>
            </w:r>
          </w:p>
          <w:p w14:paraId="308C7724">
            <w:pPr>
              <w:topLinePunct/>
              <w:spacing w:before="60" w:after="60"/>
              <w:rPr>
                <w:rFonts w:hint="default" w:ascii="Times New Roman" w:hAnsi="Times New Roman" w:cs="Times New Roman"/>
                <w:szCs w:val="21"/>
              </w:rPr>
            </w:pPr>
            <w:r>
              <w:rPr>
                <w:rFonts w:hint="default" w:ascii="Times New Roman" w:hAnsi="Times New Roman" w:cs="Times New Roman"/>
                <w:szCs w:val="21"/>
              </w:rPr>
              <w:t>▲3.1 燃气泄漏检测：燃烧室及气路附近安装燃气泄露探测器，联动声光报警及自动切断。</w:t>
            </w:r>
          </w:p>
        </w:tc>
        <w:tc>
          <w:tcPr>
            <w:tcW w:w="1422" w:type="dxa"/>
            <w:vAlign w:val="center"/>
          </w:tcPr>
          <w:p w14:paraId="1108E807">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2E5808B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25E9609F">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050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746" w:hRule="atLeast"/>
          <w:jc w:val="center"/>
        </w:trPr>
        <w:tc>
          <w:tcPr>
            <w:tcW w:w="348" w:type="dxa"/>
            <w:vMerge w:val="continue"/>
            <w:vAlign w:val="center"/>
          </w:tcPr>
          <w:p w14:paraId="449ECD8C">
            <w:pPr>
              <w:pStyle w:val="19"/>
              <w:ind w:left="0" w:leftChars="0"/>
              <w:jc w:val="center"/>
              <w:rPr>
                <w:rFonts w:hint="default" w:ascii="Times New Roman" w:hAnsi="Times New Roman" w:cs="Times New Roman"/>
                <w:szCs w:val="21"/>
              </w:rPr>
            </w:pPr>
          </w:p>
        </w:tc>
        <w:tc>
          <w:tcPr>
            <w:tcW w:w="865" w:type="dxa"/>
            <w:vMerge w:val="continue"/>
            <w:vAlign w:val="center"/>
          </w:tcPr>
          <w:p w14:paraId="06052466">
            <w:pPr>
              <w:pStyle w:val="19"/>
              <w:ind w:left="0" w:leftChars="0"/>
              <w:jc w:val="center"/>
              <w:rPr>
                <w:rFonts w:hint="default" w:ascii="Times New Roman" w:hAnsi="Times New Roman" w:cs="Times New Roman"/>
                <w:szCs w:val="21"/>
              </w:rPr>
            </w:pPr>
          </w:p>
        </w:tc>
        <w:tc>
          <w:tcPr>
            <w:tcW w:w="5496" w:type="dxa"/>
            <w:vAlign w:val="center"/>
          </w:tcPr>
          <w:p w14:paraId="56CA16A8">
            <w:pPr>
              <w:topLinePunct/>
              <w:spacing w:before="60" w:after="60"/>
              <w:rPr>
                <w:rFonts w:hint="default" w:ascii="Times New Roman" w:hAnsi="Times New Roman" w:cs="Times New Roman"/>
                <w:szCs w:val="21"/>
              </w:rPr>
            </w:pPr>
            <w:r>
              <w:rPr>
                <w:rFonts w:hint="default" w:ascii="Times New Roman" w:hAnsi="Times New Roman" w:cs="Times New Roman"/>
                <w:szCs w:val="21"/>
              </w:rPr>
              <w:t>▲3.3 断电保护：配置 UPS（≥30min）或燃气电磁阀，断电自动关闭气源并保存数据。</w:t>
            </w:r>
          </w:p>
        </w:tc>
        <w:tc>
          <w:tcPr>
            <w:tcW w:w="1422" w:type="dxa"/>
            <w:vAlign w:val="center"/>
          </w:tcPr>
          <w:p w14:paraId="65564471">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7ED0A779">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6482F4F2">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4C13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48" w:type="dxa"/>
            <w:vMerge w:val="continue"/>
            <w:vAlign w:val="center"/>
          </w:tcPr>
          <w:p w14:paraId="660752E8">
            <w:pPr>
              <w:pStyle w:val="19"/>
              <w:ind w:left="0" w:leftChars="0"/>
              <w:jc w:val="center"/>
              <w:rPr>
                <w:rFonts w:hint="default" w:ascii="Times New Roman" w:hAnsi="Times New Roman" w:cs="Times New Roman"/>
                <w:szCs w:val="21"/>
              </w:rPr>
            </w:pPr>
          </w:p>
        </w:tc>
        <w:tc>
          <w:tcPr>
            <w:tcW w:w="865" w:type="dxa"/>
            <w:vMerge w:val="continue"/>
            <w:vAlign w:val="center"/>
          </w:tcPr>
          <w:p w14:paraId="2FA73032">
            <w:pPr>
              <w:pStyle w:val="19"/>
              <w:ind w:left="0" w:leftChars="0"/>
              <w:jc w:val="center"/>
              <w:rPr>
                <w:rFonts w:hint="default" w:ascii="Times New Roman" w:hAnsi="Times New Roman" w:cs="Times New Roman"/>
                <w:szCs w:val="21"/>
              </w:rPr>
            </w:pPr>
          </w:p>
        </w:tc>
        <w:tc>
          <w:tcPr>
            <w:tcW w:w="5496" w:type="dxa"/>
            <w:vAlign w:val="center"/>
          </w:tcPr>
          <w:p w14:paraId="357D8DE8">
            <w:pPr>
              <w:topLinePunct/>
              <w:spacing w:before="60" w:after="60"/>
              <w:rPr>
                <w:rFonts w:hint="default" w:ascii="Times New Roman" w:hAnsi="Times New Roman" w:cs="Times New Roman"/>
                <w:szCs w:val="21"/>
              </w:rPr>
            </w:pPr>
            <w:r>
              <w:rPr>
                <w:rFonts w:hint="default" w:ascii="Times New Roman" w:hAnsi="Times New Roman" w:cs="Times New Roman"/>
                <w:szCs w:val="21"/>
              </w:rPr>
              <w:t>3.4 高温防护：设备可接触表面温度≤60℃，高温区域设置警示标识及隔热防护。</w:t>
            </w:r>
          </w:p>
        </w:tc>
        <w:tc>
          <w:tcPr>
            <w:tcW w:w="1422" w:type="dxa"/>
            <w:vAlign w:val="center"/>
          </w:tcPr>
          <w:p w14:paraId="7B0E16E2">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2DC780F9">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4BCE984F">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4767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48" w:type="dxa"/>
            <w:vMerge w:val="continue"/>
            <w:vAlign w:val="center"/>
          </w:tcPr>
          <w:p w14:paraId="41BD7667">
            <w:pPr>
              <w:pStyle w:val="19"/>
              <w:ind w:left="0" w:leftChars="0"/>
              <w:jc w:val="center"/>
              <w:rPr>
                <w:rFonts w:hint="default" w:ascii="Times New Roman" w:hAnsi="Times New Roman" w:cs="Times New Roman"/>
                <w:szCs w:val="21"/>
              </w:rPr>
            </w:pPr>
          </w:p>
        </w:tc>
        <w:tc>
          <w:tcPr>
            <w:tcW w:w="865" w:type="dxa"/>
            <w:vMerge w:val="continue"/>
            <w:vAlign w:val="center"/>
          </w:tcPr>
          <w:p w14:paraId="52105700">
            <w:pPr>
              <w:pStyle w:val="19"/>
              <w:ind w:left="0" w:leftChars="0"/>
              <w:jc w:val="center"/>
              <w:rPr>
                <w:rFonts w:hint="default" w:ascii="Times New Roman" w:hAnsi="Times New Roman" w:cs="Times New Roman"/>
                <w:szCs w:val="21"/>
              </w:rPr>
            </w:pPr>
          </w:p>
        </w:tc>
        <w:tc>
          <w:tcPr>
            <w:tcW w:w="5496" w:type="dxa"/>
            <w:vAlign w:val="center"/>
          </w:tcPr>
          <w:p w14:paraId="5DE5725E">
            <w:pPr>
              <w:topLinePunct/>
              <w:spacing w:before="60" w:after="60"/>
              <w:rPr>
                <w:rFonts w:hint="default" w:ascii="Times New Roman" w:hAnsi="Times New Roman" w:cs="Times New Roman"/>
                <w:szCs w:val="21"/>
              </w:rPr>
            </w:pPr>
            <w:r>
              <w:rPr>
                <w:rFonts w:hint="default" w:ascii="Times New Roman" w:hAnsi="Times New Roman" w:cs="Times New Roman"/>
                <w:szCs w:val="21"/>
              </w:rPr>
              <w:t>3.5 电气安全：控制柜防护等级≥IP54，关键电路具备过载/短路/漏电保护。</w:t>
            </w:r>
          </w:p>
        </w:tc>
        <w:tc>
          <w:tcPr>
            <w:tcW w:w="1422" w:type="dxa"/>
            <w:vAlign w:val="center"/>
          </w:tcPr>
          <w:p w14:paraId="7C0C99F0">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7AC80C0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1823811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34C6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348" w:type="dxa"/>
            <w:vMerge w:val="restart"/>
            <w:vAlign w:val="center"/>
          </w:tcPr>
          <w:p w14:paraId="72A50F6E">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c>
          <w:tcPr>
            <w:tcW w:w="865" w:type="dxa"/>
            <w:vMerge w:val="restart"/>
            <w:vAlign w:val="center"/>
          </w:tcPr>
          <w:p w14:paraId="7D9DC0CC">
            <w:pPr>
              <w:pStyle w:val="19"/>
              <w:ind w:left="0" w:leftChars="0"/>
              <w:jc w:val="center"/>
              <w:rPr>
                <w:rFonts w:hint="default" w:ascii="Times New Roman" w:hAnsi="Times New Roman" w:cs="Times New Roman"/>
                <w:szCs w:val="21"/>
              </w:rPr>
            </w:pPr>
            <w:r>
              <w:rPr>
                <w:rFonts w:hint="default" w:ascii="Times New Roman" w:hAnsi="Times New Roman" w:cs="Times New Roman"/>
                <w:bCs/>
                <w:sz w:val="24"/>
              </w:rPr>
              <w:t>尾气处理系统</w:t>
            </w:r>
          </w:p>
        </w:tc>
        <w:tc>
          <w:tcPr>
            <w:tcW w:w="5496" w:type="dxa"/>
            <w:vAlign w:val="center"/>
          </w:tcPr>
          <w:p w14:paraId="1155B7D9">
            <w:pPr>
              <w:topLinePunct/>
              <w:spacing w:before="60" w:after="60"/>
              <w:rPr>
                <w:rFonts w:hint="default" w:ascii="Times New Roman" w:hAnsi="Times New Roman" w:cs="Times New Roman"/>
                <w:szCs w:val="21"/>
              </w:rPr>
            </w:pPr>
            <w:r>
              <w:rPr>
                <w:rFonts w:hint="default" w:ascii="Times New Roman" w:hAnsi="Times New Roman" w:cs="Times New Roman"/>
                <w:szCs w:val="21"/>
              </w:rPr>
              <w:t>1. 总体结构要求</w:t>
            </w:r>
          </w:p>
          <w:p w14:paraId="7832662F">
            <w:pPr>
              <w:topLinePunct/>
              <w:spacing w:before="60" w:after="60"/>
              <w:rPr>
                <w:rFonts w:hint="default" w:ascii="Times New Roman" w:hAnsi="Times New Roman" w:cs="Times New Roman"/>
                <w:szCs w:val="21"/>
              </w:rPr>
            </w:pPr>
            <w:r>
              <w:rPr>
                <w:rFonts w:hint="default" w:ascii="Times New Roman" w:hAnsi="Times New Roman" w:cs="Times New Roman"/>
                <w:szCs w:val="21"/>
              </w:rPr>
              <w:t>1.1 设备应采用成熟、稳定、自动化的多级净化工艺。</w:t>
            </w:r>
          </w:p>
          <w:p w14:paraId="193FEE52">
            <w:pPr>
              <w:topLinePunct/>
              <w:spacing w:before="60" w:after="60"/>
              <w:rPr>
                <w:rFonts w:hint="default" w:ascii="Times New Roman" w:hAnsi="Times New Roman" w:cs="Times New Roman"/>
                <w:szCs w:val="21"/>
              </w:rPr>
            </w:pPr>
            <w:r>
              <w:rPr>
                <w:rFonts w:hint="default" w:ascii="Times New Roman" w:hAnsi="Times New Roman" w:cs="Times New Roman"/>
                <w:szCs w:val="21"/>
              </w:rPr>
              <w:t>1.2 考虑到防火实验室间歇性高负荷运行的特点，系统应具备抗负荷冲击能力，能够适应防火实验室瞬时高温、高湿、高浓度粉尘、高浓度有害气体的工况。</w:t>
            </w:r>
          </w:p>
          <w:p w14:paraId="28C5C78C">
            <w:pPr>
              <w:topLinePunct/>
              <w:spacing w:before="60" w:after="60"/>
              <w:rPr>
                <w:rFonts w:hint="default" w:ascii="Times New Roman" w:hAnsi="Times New Roman" w:cs="Times New Roman"/>
                <w:szCs w:val="21"/>
              </w:rPr>
            </w:pPr>
            <w:r>
              <w:rPr>
                <w:rFonts w:hint="default" w:ascii="Times New Roman" w:hAnsi="Times New Roman" w:cs="Times New Roman"/>
                <w:szCs w:val="21"/>
              </w:rPr>
              <w:t>3. 核心部件材质与工艺</w:t>
            </w:r>
          </w:p>
          <w:p w14:paraId="01424EDD">
            <w:pPr>
              <w:topLinePunct/>
              <w:spacing w:before="60" w:after="60"/>
              <w:rPr>
                <w:rFonts w:hint="default" w:ascii="Times New Roman" w:hAnsi="Times New Roman" w:cs="Times New Roman"/>
                <w:szCs w:val="21"/>
              </w:rPr>
            </w:pPr>
            <w:r>
              <w:rPr>
                <w:rFonts w:hint="default" w:ascii="Times New Roman" w:hAnsi="Times New Roman" w:cs="Times New Roman"/>
                <w:szCs w:val="21"/>
              </w:rPr>
              <w:t>3.1 耐腐蚀性：所有接触酸雾、喷淋液及高温湿烟气的主体结构（塔体、箱体、管道、风机蜗壳）必须采用耐酸耐腐蚀的材料，焊接处需进行酸洗钝化处理。</w:t>
            </w:r>
          </w:p>
        </w:tc>
        <w:tc>
          <w:tcPr>
            <w:tcW w:w="1422" w:type="dxa"/>
            <w:vAlign w:val="center"/>
          </w:tcPr>
          <w:p w14:paraId="2A8777E5">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0FC3D9FD">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0DCF6E6B">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1386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3205" w:hRule="exact"/>
          <w:jc w:val="center"/>
        </w:trPr>
        <w:tc>
          <w:tcPr>
            <w:tcW w:w="348" w:type="dxa"/>
            <w:vMerge w:val="continue"/>
            <w:vAlign w:val="center"/>
          </w:tcPr>
          <w:p w14:paraId="6F7105A1">
            <w:pPr>
              <w:pStyle w:val="19"/>
              <w:ind w:left="0" w:leftChars="0"/>
              <w:jc w:val="center"/>
              <w:rPr>
                <w:rFonts w:hint="default" w:ascii="Times New Roman" w:hAnsi="Times New Roman" w:cs="Times New Roman"/>
                <w:szCs w:val="21"/>
              </w:rPr>
            </w:pPr>
          </w:p>
        </w:tc>
        <w:tc>
          <w:tcPr>
            <w:tcW w:w="865" w:type="dxa"/>
            <w:vMerge w:val="continue"/>
            <w:vAlign w:val="center"/>
          </w:tcPr>
          <w:p w14:paraId="78CB1C72">
            <w:pPr>
              <w:pStyle w:val="19"/>
              <w:ind w:left="0" w:leftChars="0"/>
              <w:jc w:val="center"/>
              <w:rPr>
                <w:rFonts w:hint="default" w:ascii="Times New Roman" w:hAnsi="Times New Roman" w:cs="Times New Roman"/>
                <w:bCs/>
                <w:sz w:val="24"/>
              </w:rPr>
            </w:pPr>
          </w:p>
        </w:tc>
        <w:tc>
          <w:tcPr>
            <w:tcW w:w="5496" w:type="dxa"/>
            <w:vAlign w:val="center"/>
          </w:tcPr>
          <w:p w14:paraId="76198117">
            <w:pPr>
              <w:topLinePunct/>
              <w:spacing w:before="60" w:after="60"/>
              <w:rPr>
                <w:rFonts w:hint="default" w:ascii="Times New Roman" w:hAnsi="Times New Roman" w:cs="Times New Roman"/>
                <w:szCs w:val="21"/>
              </w:rPr>
            </w:pPr>
            <w:r>
              <w:rPr>
                <w:rFonts w:hint="default" w:ascii="Times New Roman" w:hAnsi="Times New Roman" w:cs="Times New Roman"/>
                <w:szCs w:val="21"/>
              </w:rPr>
              <w:t>3.2 耐高温性：设备前端应能耐受瞬时高温（≥200℃，持续时间≤5min）。若工艺中采用布袋除尘，滤料必须选用耐高温、抗水解、防油防水材质（如PTFE覆膜针刺毡），并配置超温报警及冷风阀旁路保护系统。</w:t>
            </w:r>
          </w:p>
          <w:p w14:paraId="206F44DB">
            <w:pPr>
              <w:topLinePunct/>
              <w:spacing w:before="60" w:after="60"/>
              <w:rPr>
                <w:rFonts w:hint="default" w:ascii="Times New Roman" w:hAnsi="Times New Roman" w:cs="Times New Roman"/>
                <w:szCs w:val="21"/>
              </w:rPr>
            </w:pPr>
            <w:r>
              <w:rPr>
                <w:rFonts w:hint="default" w:ascii="Times New Roman" w:hAnsi="Times New Roman" w:cs="Times New Roman"/>
                <w:szCs w:val="21"/>
              </w:rPr>
              <w:t>5. 环保监测与附属设施</w:t>
            </w:r>
          </w:p>
          <w:p w14:paraId="69F5391C">
            <w:pPr>
              <w:topLinePunct/>
              <w:spacing w:before="60" w:after="60"/>
              <w:rPr>
                <w:rFonts w:hint="default" w:ascii="Times New Roman" w:hAnsi="Times New Roman" w:cs="Times New Roman"/>
                <w:szCs w:val="21"/>
              </w:rPr>
            </w:pPr>
            <w:r>
              <w:rPr>
                <w:rFonts w:hint="default" w:ascii="Times New Roman" w:hAnsi="Times New Roman" w:cs="Times New Roman"/>
                <w:szCs w:val="21"/>
              </w:rPr>
              <w:t>5.1 检修口：设备应当设置合适的检修口，以便对设备各个部分进行独立的检修。</w:t>
            </w:r>
          </w:p>
          <w:p w14:paraId="495E1516">
            <w:pPr>
              <w:topLinePunct/>
              <w:spacing w:before="60" w:after="60"/>
              <w:rPr>
                <w:rFonts w:hint="default" w:ascii="Times New Roman" w:hAnsi="Times New Roman" w:cs="Times New Roman"/>
                <w:szCs w:val="21"/>
              </w:rPr>
            </w:pPr>
            <w:r>
              <w:rPr>
                <w:rFonts w:hint="default" w:ascii="Times New Roman" w:hAnsi="Times New Roman" w:cs="Times New Roman"/>
                <w:szCs w:val="21"/>
              </w:rPr>
              <w:t>6. 控制系统与运行保障：尾气处理装置应当有自动化控制系统，提供界面以便控制启停，同时应具备紧急停机功能。</w:t>
            </w:r>
          </w:p>
        </w:tc>
        <w:tc>
          <w:tcPr>
            <w:tcW w:w="1422" w:type="dxa"/>
            <w:vAlign w:val="center"/>
          </w:tcPr>
          <w:p w14:paraId="36C2DC59">
            <w:pPr>
              <w:jc w:val="center"/>
              <w:rPr>
                <w:rFonts w:hint="default" w:ascii="Times New Roman" w:hAnsi="Times New Roman" w:cs="Times New Roman"/>
                <w:szCs w:val="21"/>
              </w:rPr>
            </w:pPr>
            <w:r>
              <w:rPr>
                <w:rFonts w:hint="default" w:ascii="Times New Roman" w:hAnsi="Times New Roman" w:cs="Times New Roman"/>
                <w:szCs w:val="21"/>
              </w:rPr>
              <w:t>符合得1分，不符合不得分</w:t>
            </w:r>
          </w:p>
        </w:tc>
        <w:tc>
          <w:tcPr>
            <w:tcW w:w="643" w:type="dxa"/>
            <w:vAlign w:val="center"/>
          </w:tcPr>
          <w:p w14:paraId="55933C21">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7CB4CD03">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1</w:t>
            </w:r>
          </w:p>
        </w:tc>
      </w:tr>
      <w:tr w14:paraId="1635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763" w:hRule="exact"/>
          <w:jc w:val="center"/>
        </w:trPr>
        <w:tc>
          <w:tcPr>
            <w:tcW w:w="348" w:type="dxa"/>
            <w:vMerge w:val="continue"/>
            <w:vAlign w:val="center"/>
          </w:tcPr>
          <w:p w14:paraId="23EC8BC0">
            <w:pPr>
              <w:pStyle w:val="19"/>
              <w:ind w:left="0" w:leftChars="0"/>
              <w:jc w:val="center"/>
              <w:rPr>
                <w:rFonts w:hint="default" w:ascii="Times New Roman" w:hAnsi="Times New Roman" w:cs="Times New Roman"/>
                <w:szCs w:val="21"/>
              </w:rPr>
            </w:pPr>
          </w:p>
        </w:tc>
        <w:tc>
          <w:tcPr>
            <w:tcW w:w="865" w:type="dxa"/>
            <w:vMerge w:val="continue"/>
            <w:vAlign w:val="center"/>
          </w:tcPr>
          <w:p w14:paraId="3D1762FA">
            <w:pPr>
              <w:pStyle w:val="19"/>
              <w:ind w:left="0" w:leftChars="0"/>
              <w:jc w:val="center"/>
              <w:rPr>
                <w:rFonts w:hint="default" w:ascii="Times New Roman" w:hAnsi="Times New Roman" w:cs="Times New Roman"/>
                <w:bCs/>
                <w:sz w:val="24"/>
              </w:rPr>
            </w:pPr>
          </w:p>
        </w:tc>
        <w:tc>
          <w:tcPr>
            <w:tcW w:w="5496" w:type="dxa"/>
            <w:vAlign w:val="center"/>
          </w:tcPr>
          <w:p w14:paraId="34544318">
            <w:pPr>
              <w:topLinePunct/>
              <w:spacing w:before="60" w:after="60"/>
              <w:rPr>
                <w:rFonts w:hint="default" w:ascii="Times New Roman" w:hAnsi="Times New Roman" w:cs="Times New Roman"/>
                <w:szCs w:val="21"/>
              </w:rPr>
            </w:pPr>
            <w:r>
              <w:rPr>
                <w:rFonts w:hint="default" w:ascii="Times New Roman" w:hAnsi="Times New Roman" w:cs="Times New Roman"/>
                <w:szCs w:val="21"/>
              </w:rPr>
              <w:t>▲5.2 采样口：在适当位置设置规范的永久性采样平台或采样孔，便于环保检测验收。</w:t>
            </w:r>
          </w:p>
        </w:tc>
        <w:tc>
          <w:tcPr>
            <w:tcW w:w="1422" w:type="dxa"/>
            <w:vAlign w:val="center"/>
          </w:tcPr>
          <w:p w14:paraId="3A35E5ED">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0FDC8744">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7B2341A5">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r w14:paraId="37CF4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683" w:hRule="exact"/>
          <w:jc w:val="center"/>
        </w:trPr>
        <w:tc>
          <w:tcPr>
            <w:tcW w:w="348" w:type="dxa"/>
            <w:vMerge w:val="continue"/>
            <w:vAlign w:val="center"/>
          </w:tcPr>
          <w:p w14:paraId="1E9DA677">
            <w:pPr>
              <w:pStyle w:val="19"/>
              <w:ind w:left="0" w:leftChars="0"/>
              <w:jc w:val="center"/>
              <w:rPr>
                <w:rFonts w:hint="default" w:ascii="Times New Roman" w:hAnsi="Times New Roman" w:cs="Times New Roman"/>
                <w:szCs w:val="21"/>
              </w:rPr>
            </w:pPr>
          </w:p>
        </w:tc>
        <w:tc>
          <w:tcPr>
            <w:tcW w:w="865" w:type="dxa"/>
            <w:vMerge w:val="continue"/>
            <w:vAlign w:val="center"/>
          </w:tcPr>
          <w:p w14:paraId="3ACBE12A">
            <w:pPr>
              <w:pStyle w:val="19"/>
              <w:ind w:left="0" w:leftChars="0"/>
              <w:jc w:val="center"/>
              <w:rPr>
                <w:rFonts w:hint="default" w:ascii="Times New Roman" w:hAnsi="Times New Roman" w:cs="Times New Roman"/>
                <w:bCs/>
                <w:sz w:val="24"/>
              </w:rPr>
            </w:pPr>
          </w:p>
        </w:tc>
        <w:tc>
          <w:tcPr>
            <w:tcW w:w="5496" w:type="dxa"/>
            <w:vAlign w:val="center"/>
          </w:tcPr>
          <w:p w14:paraId="30BAB4F8">
            <w:pPr>
              <w:topLinePunct/>
              <w:spacing w:before="60" w:after="60"/>
              <w:rPr>
                <w:rFonts w:hint="default" w:ascii="Times New Roman" w:hAnsi="Times New Roman" w:cs="Times New Roman"/>
                <w:szCs w:val="21"/>
              </w:rPr>
            </w:pPr>
            <w:r>
              <w:rPr>
                <w:rFonts w:hint="default" w:ascii="Times New Roman" w:hAnsi="Times New Roman" w:cs="Times New Roman"/>
                <w:szCs w:val="21"/>
              </w:rPr>
              <w:t>▲5.3 配套系统：喷淋塔可配置自动补水系统、液位控制系统及废水排放系统(也应符合国家相关排放法律法规)。</w:t>
            </w:r>
          </w:p>
        </w:tc>
        <w:tc>
          <w:tcPr>
            <w:tcW w:w="1422" w:type="dxa"/>
            <w:vAlign w:val="center"/>
          </w:tcPr>
          <w:p w14:paraId="4E758D19">
            <w:pPr>
              <w:jc w:val="center"/>
              <w:rPr>
                <w:rFonts w:hint="default" w:ascii="Times New Roman" w:hAnsi="Times New Roman" w:cs="Times New Roman"/>
                <w:szCs w:val="21"/>
              </w:rPr>
            </w:pPr>
            <w:r>
              <w:rPr>
                <w:rFonts w:hint="default" w:ascii="Times New Roman" w:hAnsi="Times New Roman" w:cs="Times New Roman"/>
                <w:szCs w:val="21"/>
              </w:rPr>
              <w:t>符合得2分，不符合不得分</w:t>
            </w:r>
          </w:p>
        </w:tc>
        <w:tc>
          <w:tcPr>
            <w:tcW w:w="643" w:type="dxa"/>
            <w:vAlign w:val="center"/>
          </w:tcPr>
          <w:p w14:paraId="4332F807">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0</w:t>
            </w:r>
          </w:p>
        </w:tc>
        <w:tc>
          <w:tcPr>
            <w:tcW w:w="578" w:type="dxa"/>
            <w:vAlign w:val="center"/>
          </w:tcPr>
          <w:p w14:paraId="6528792A">
            <w:pPr>
              <w:pStyle w:val="19"/>
              <w:ind w:left="0" w:leftChars="0"/>
              <w:jc w:val="center"/>
              <w:rPr>
                <w:rFonts w:hint="default" w:ascii="Times New Roman" w:hAnsi="Times New Roman" w:cs="Times New Roman"/>
                <w:szCs w:val="21"/>
              </w:rPr>
            </w:pPr>
            <w:r>
              <w:rPr>
                <w:rFonts w:hint="default" w:ascii="Times New Roman" w:hAnsi="Times New Roman" w:cs="Times New Roman"/>
                <w:szCs w:val="21"/>
              </w:rPr>
              <w:t>2</w:t>
            </w:r>
          </w:p>
        </w:tc>
      </w:tr>
    </w:tbl>
    <w:p w14:paraId="022741AC">
      <w:pPr>
        <w:tabs>
          <w:tab w:val="left" w:pos="0"/>
          <w:tab w:val="left" w:pos="1401"/>
        </w:tabs>
        <w:spacing w:line="360" w:lineRule="auto"/>
        <w:ind w:firstLine="420" w:firstLineChars="200"/>
        <w:jc w:val="left"/>
        <w:rPr>
          <w:rFonts w:hint="default" w:ascii="Times New Roman" w:hAnsi="Times New Roman" w:cs="Times New Roman"/>
          <w:bCs/>
          <w:color w:val="000000" w:themeColor="text1"/>
          <w:szCs w:val="21"/>
          <w14:textFill>
            <w14:solidFill>
              <w14:schemeClr w14:val="tx1"/>
            </w14:solidFill>
          </w14:textFill>
        </w:rPr>
      </w:pPr>
    </w:p>
    <w:p w14:paraId="66A17BBC">
      <w:pPr>
        <w:keepNext w:val="0"/>
        <w:keepLines w:val="0"/>
        <w:pageBreakBefore w:val="0"/>
        <w:widowControl w:val="0"/>
        <w:numPr>
          <w:ilvl w:val="0"/>
          <w:numId w:val="0"/>
        </w:numPr>
        <w:tabs>
          <w:tab w:val="left" w:pos="1401"/>
        </w:tabs>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color w:val="000000" w:themeColor="text1"/>
          <w:szCs w:val="21"/>
          <w14:textFill>
            <w14:solidFill>
              <w14:schemeClr w14:val="tx1"/>
            </w14:solidFill>
          </w14:textFill>
        </w:rPr>
      </w:pPr>
      <w:r>
        <w:rPr>
          <w:rFonts w:hint="eastAsia" w:cs="Times New Roman"/>
          <w:bCs/>
          <w:color w:val="000000" w:themeColor="text1"/>
          <w:szCs w:val="21"/>
          <w:lang w:val="en-US" w:eastAsia="zh-CN"/>
          <w14:textFill>
            <w14:solidFill>
              <w14:schemeClr w14:val="tx1"/>
            </w14:solidFill>
          </w14:textFill>
        </w:rPr>
        <w:t>2）</w:t>
      </w:r>
      <w:r>
        <w:rPr>
          <w:rFonts w:hint="default" w:ascii="Times New Roman" w:hAnsi="Times New Roman" w:cs="Times New Roman"/>
          <w:bCs/>
          <w:color w:val="000000" w:themeColor="text1"/>
          <w:szCs w:val="21"/>
          <w14:textFill>
            <w14:solidFill>
              <w14:schemeClr w14:val="tx1"/>
            </w14:solidFill>
          </w14:textFill>
        </w:rPr>
        <w:t>对产品选型、规格、设计的科学性、合理性、材质选用、制造工艺水平等进行评审（5分）。</w:t>
      </w:r>
      <w:bookmarkStart w:id="14" w:name="_Hlk104882544"/>
    </w:p>
    <w:p w14:paraId="60856AF6">
      <w:pPr>
        <w:keepNext w:val="0"/>
        <w:keepLines w:val="0"/>
        <w:pageBreakBefore w:val="0"/>
        <w:widowControl w:val="0"/>
        <w:numPr>
          <w:ilvl w:val="0"/>
          <w:numId w:val="0"/>
        </w:numPr>
        <w:tabs>
          <w:tab w:val="left" w:pos="1401"/>
        </w:tabs>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选型与采购用途完全匹配，系统设计方案科学完整，且具备后期功能升级扩展空间，电气控制系统与安全消防配置齐全，关键部件采用高等级阻燃材料，制造工艺精良，得5分；</w:t>
      </w:r>
    </w:p>
    <w:p w14:paraId="07FAB565">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设备选型与本次采购用途基本匹配，能满足当前实验要求，设计方案基本合理，但无明确的后期功能升级扩展能力，具备常规电气控制与基础安全防护配置，关键部件为普通阻燃等级，制造工艺达标，得3分；</w:t>
      </w:r>
    </w:p>
    <w:p w14:paraId="74D0DC72">
      <w:pPr>
        <w:keepNext w:val="0"/>
        <w:keepLines w:val="0"/>
        <w:pageBreakBefore w:val="0"/>
        <w:widowControl w:val="0"/>
        <w:numPr>
          <w:ilvl w:val="0"/>
          <w:numId w:val="0"/>
        </w:numPr>
        <w:tabs>
          <w:tab w:val="left" w:pos="426"/>
        </w:tabs>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设备选型与采购用途存在偏差，部分核心参数勉强满足要求或需改造后方可使用；设计方案老旧，无扩展能力；设计存在缺陷或安全配置不全，材料阻燃等级低或不耐高温，制造工艺粗糙，得1分；</w:t>
      </w:r>
    </w:p>
    <w:p w14:paraId="5342CA58">
      <w:pPr>
        <w:numPr>
          <w:ilvl w:val="0"/>
          <w:numId w:val="0"/>
        </w:numPr>
        <w:tabs>
          <w:tab w:val="left" w:pos="426"/>
        </w:tabs>
        <w:spacing w:line="360" w:lineRule="auto"/>
        <w:rPr>
          <w:rFonts w:hint="default" w:ascii="Times New Roman" w:hAnsi="Times New Roman" w:cs="Times New Roman"/>
          <w:b/>
          <w:bCs/>
          <w:color w:val="000000" w:themeColor="text1"/>
          <w:sz w:val="24"/>
          <w14:textFill>
            <w14:solidFill>
              <w14:schemeClr w14:val="tx1"/>
            </w14:solidFill>
          </w14:textFill>
        </w:rPr>
      </w:pPr>
      <w:r>
        <w:rPr>
          <w:rFonts w:hint="eastAsia" w:cs="Times New Roman"/>
          <w:b/>
          <w:bCs/>
          <w:color w:val="000000" w:themeColor="text1"/>
          <w:sz w:val="24"/>
          <w:lang w:eastAsia="zh-CN"/>
          <w14:textFill>
            <w14:solidFill>
              <w14:schemeClr w14:val="tx1"/>
            </w14:solidFill>
          </w14:textFill>
        </w:rPr>
        <w:t>（</w:t>
      </w:r>
      <w:r>
        <w:rPr>
          <w:rFonts w:hint="eastAsia" w:cs="Times New Roman"/>
          <w:b/>
          <w:bCs/>
          <w:color w:val="000000" w:themeColor="text1"/>
          <w:sz w:val="24"/>
          <w:lang w:val="en-US" w:eastAsia="zh-CN"/>
          <w14:textFill>
            <w14:solidFill>
              <w14:schemeClr w14:val="tx1"/>
            </w14:solidFill>
          </w14:textFill>
        </w:rPr>
        <w:t>4</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售后服务（18分）</w:t>
      </w:r>
    </w:p>
    <w:p w14:paraId="6810030B">
      <w:pPr>
        <w:spacing w:line="360" w:lineRule="auto"/>
        <w:ind w:firstLine="495" w:firstLineChars="236"/>
        <w:rPr>
          <w:rFonts w:hint="default" w:ascii="Times New Roman" w:hAnsi="Times New Roman" w:cs="Times New Roman"/>
          <w:color w:val="000000" w:themeColor="text1"/>
          <w:szCs w:val="21"/>
          <w14:textFill>
            <w14:solidFill>
              <w14:schemeClr w14:val="tx1"/>
            </w14:solidFill>
          </w14:textFill>
        </w:rPr>
      </w:pPr>
      <w:bookmarkStart w:id="15" w:name="_Hlk104885026"/>
      <w:r>
        <w:rPr>
          <w:rFonts w:hint="default" w:ascii="Times New Roman" w:hAnsi="Times New Roman" w:cs="Times New Roman"/>
          <w:color w:val="000000" w:themeColor="text1"/>
          <w:szCs w:val="21"/>
          <w14:textFill>
            <w14:solidFill>
              <w14:schemeClr w14:val="tx1"/>
            </w14:solidFill>
          </w14:textFill>
        </w:rPr>
        <w:t>包括供货、安装、调试、验收、人员培训等环节安排，售后服务保障及优惠条件、合理化建议等，由投标供应商根据采购文件要求自行编制</w:t>
      </w:r>
    </w:p>
    <w:p w14:paraId="03B85964">
      <w:pPr>
        <w:wordWrap w:val="0"/>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1）根据投标供应商提供的售后服务方案中对各环节是否有清晰描述和相应保障措施等情况由评委根据以上内容进行评分，满分8分。</w:t>
      </w:r>
    </w:p>
    <w:p w14:paraId="5A5AE8A6">
      <w:pPr>
        <w:wordWrap w:val="0"/>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方案详细完整，针对性、科学性强，服务保障措施得当，得8分；</w:t>
      </w:r>
    </w:p>
    <w:p w14:paraId="2695055F">
      <w:pPr>
        <w:wordWrap w:val="0"/>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方案较详细，针对性、科学性较强，服务保障措施较得当，得5分；</w:t>
      </w:r>
    </w:p>
    <w:p w14:paraId="50C1822B">
      <w:pPr>
        <w:wordWrap w:val="0"/>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方案简单，针对性、科学性一般，服务保障措施可行性不高，得3分。 </w:t>
      </w:r>
    </w:p>
    <w:p w14:paraId="52D1B18A">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售后服务优惠条件（除服务响应时间、交货期以外，如：免费质保期满后维保收费及内容、其零配件和维修备品备件的价格及供应保障，设备改造升级技术能力等)由评标委员会以有利于采购人原则根据以上内容进行综合评分，满分8分；</w:t>
      </w:r>
    </w:p>
    <w:p w14:paraId="5D008B7D">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售后服务优惠条件详细完善，有利于采购人项目实施，得8分；</w:t>
      </w:r>
    </w:p>
    <w:p w14:paraId="0C16ECDF">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售后服务优惠条件较详细完善，较有利于采购人项目实施，得5分；</w:t>
      </w:r>
    </w:p>
    <w:p w14:paraId="2B66FD4B">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售后服务优惠条件较差或无其他售后服务优惠条件，得3分；</w:t>
      </w:r>
    </w:p>
    <w:p w14:paraId="745130B6">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3）投标供应商可以提供符合本项目需求的合理化建议，建议切实可操作，对项目成果有一定的帮助提升作用。由评委根据以上内容进行横向对比进行评分，满分2分。</w:t>
      </w:r>
    </w:p>
    <w:p w14:paraId="751FEA2C">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合理化建议方案科学合理，可操作性强，对项目成果有帮助提升作用，得2分；</w:t>
      </w:r>
    </w:p>
    <w:p w14:paraId="2B3BC615">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合理化建议方案科学较合理，可操作性较强，对项目成果有较好的帮助提升作用，得1分；</w:t>
      </w:r>
    </w:p>
    <w:p w14:paraId="171B390E">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合理化建议方案不合理，无可操作性，对项目成果无帮助提升作用或未提供合理化建议方案，不得分。</w:t>
      </w:r>
    </w:p>
    <w:p w14:paraId="54A924A9">
      <w:pPr>
        <w:spacing w:after="0"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p>
    <w:bookmarkEnd w:id="14"/>
    <w:bookmarkEnd w:id="15"/>
    <w:p w14:paraId="5A14A11D">
      <w:pPr>
        <w:numPr>
          <w:ilvl w:val="0"/>
          <w:numId w:val="0"/>
        </w:numPr>
        <w:tabs>
          <w:tab w:val="left" w:pos="426"/>
        </w:tabs>
        <w:spacing w:line="360" w:lineRule="auto"/>
        <w:rPr>
          <w:rFonts w:hint="default" w:ascii="Times New Roman" w:hAnsi="Times New Roman" w:cs="Times New Roman"/>
          <w:b/>
          <w:bCs/>
          <w:color w:val="000000" w:themeColor="text1"/>
          <w:sz w:val="24"/>
          <w14:textFill>
            <w14:solidFill>
              <w14:schemeClr w14:val="tx1"/>
            </w14:solidFill>
          </w14:textFill>
        </w:rPr>
      </w:pPr>
      <w:r>
        <w:rPr>
          <w:rFonts w:hint="eastAsia" w:cs="Times New Roman"/>
          <w:b/>
          <w:bCs/>
          <w:color w:val="000000" w:themeColor="text1"/>
          <w:sz w:val="24"/>
          <w:lang w:eastAsia="zh-CN"/>
          <w14:textFill>
            <w14:solidFill>
              <w14:schemeClr w14:val="tx1"/>
            </w14:solidFill>
          </w14:textFill>
        </w:rPr>
        <w:t>（</w:t>
      </w:r>
      <w:r>
        <w:rPr>
          <w:rFonts w:hint="eastAsia" w:cs="Times New Roman"/>
          <w:b/>
          <w:bCs/>
          <w:color w:val="000000" w:themeColor="text1"/>
          <w:sz w:val="24"/>
          <w:lang w:val="en-US" w:eastAsia="zh-CN"/>
          <w14:textFill>
            <w14:solidFill>
              <w14:schemeClr w14:val="tx1"/>
            </w14:solidFill>
          </w14:textFill>
        </w:rPr>
        <w:t>5</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国家政策导向（2分）</w:t>
      </w:r>
    </w:p>
    <w:p w14:paraId="6A9B9F59">
      <w:pPr>
        <w:spacing w:line="360" w:lineRule="auto"/>
        <w:ind w:firstLine="495" w:firstLineChars="236"/>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1）环境标志产品：投标产品有《环境标志产品政府采购品目清单》内产品，并提供参与实施政府采购环境标志产品认证机构出具的认证证书得1分。</w:t>
      </w:r>
    </w:p>
    <w:p w14:paraId="7E855369">
      <w:pPr>
        <w:spacing w:line="360" w:lineRule="auto"/>
        <w:ind w:firstLine="495" w:firstLineChars="236"/>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2）节能产品：投标产品有《节能产品政府采购品目清单》内产品，并提供参与实施政府采购节能产品认证机构出具的认证证书得1分。</w:t>
      </w:r>
    </w:p>
    <w:p w14:paraId="0104AE52">
      <w:pPr>
        <w:tabs>
          <w:tab w:val="left" w:pos="426"/>
        </w:tabs>
        <w:spacing w:after="0" w:line="20" w:lineRule="atLeast"/>
        <w:ind w:firstLine="422" w:firstLineChars="200"/>
        <w:rPr>
          <w:rFonts w:hint="default" w:ascii="Times New Roman" w:hAnsi="Times New Roman" w:cs="Times New Roman"/>
          <w:b/>
          <w:color w:val="000000" w:themeColor="text1"/>
          <w:szCs w:val="21"/>
          <w14:textFill>
            <w14:solidFill>
              <w14:schemeClr w14:val="tx1"/>
            </w14:solidFill>
          </w14:textFill>
        </w:rPr>
      </w:pPr>
    </w:p>
    <w:p w14:paraId="33FF1A08">
      <w:pPr>
        <w:pStyle w:val="117"/>
        <w:spacing w:after="0" w:line="20" w:lineRule="atLeast"/>
        <w:rPr>
          <w:rFonts w:hint="default" w:ascii="Times New Roman" w:hAnsi="Times New Roman" w:cs="Times New Roman"/>
          <w:b/>
          <w:bCs/>
          <w:color w:val="000000" w:themeColor="text1"/>
          <w:sz w:val="21"/>
          <w:szCs w:val="21"/>
          <w14:textFill>
            <w14:solidFill>
              <w14:schemeClr w14:val="tx1"/>
            </w14:solidFill>
          </w14:textFill>
        </w:rPr>
      </w:pPr>
    </w:p>
    <w:p w14:paraId="201CBD6F">
      <w:pPr>
        <w:pStyle w:val="3"/>
        <w:numPr>
          <w:ilvl w:val="0"/>
          <w:numId w:val="6"/>
        </w:numPr>
        <w:spacing w:line="276" w:lineRule="auto"/>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1"/>
          <w:szCs w:val="21"/>
          <w14:textFill>
            <w14:solidFill>
              <w14:schemeClr w14:val="tx1"/>
            </w14:solidFill>
          </w14:textFill>
        </w:rPr>
        <w:br w:type="page"/>
      </w:r>
      <w:bookmarkStart w:id="38" w:name="_GoBack"/>
      <w:bookmarkEnd w:id="38"/>
      <w:bookmarkStart w:id="16" w:name="_Toc177025988"/>
      <w:bookmarkStart w:id="17" w:name="_Toc481057147"/>
      <w:r>
        <w:rPr>
          <w:rFonts w:hint="default" w:ascii="Times New Roman" w:hAnsi="Times New Roman" w:cs="Times New Roman"/>
          <w:color w:val="000000" w:themeColor="text1"/>
          <w:kern w:val="0"/>
          <w:sz w:val="28"/>
          <w:szCs w:val="28"/>
          <w14:textFill>
            <w14:solidFill>
              <w14:schemeClr w14:val="tx1"/>
            </w14:solidFill>
          </w14:textFill>
        </w:rPr>
        <w:t>项目需求</w:t>
      </w:r>
      <w:bookmarkEnd w:id="16"/>
      <w:bookmarkStart w:id="18" w:name="_Toc177025989"/>
    </w:p>
    <w:p w14:paraId="08CA3E01">
      <w:pPr>
        <w:spacing w:line="360" w:lineRule="auto"/>
        <w:ind w:firstLine="422" w:firstLineChars="200"/>
        <w:jc w:val="left"/>
        <w:rPr>
          <w:rFonts w:hint="default" w:ascii="Times New Roman" w:hAnsi="Times New Roman" w:cs="Times New Roman"/>
          <w:b/>
          <w:bCs/>
          <w:szCs w:val="21"/>
        </w:rPr>
      </w:pPr>
      <w:bookmarkStart w:id="19" w:name="_Hlk6257390"/>
      <w:r>
        <w:rPr>
          <w:rFonts w:hint="default" w:ascii="Times New Roman" w:hAnsi="Times New Roman" w:cs="Times New Roman"/>
          <w:b/>
          <w:bCs/>
          <w:szCs w:val="21"/>
        </w:rPr>
        <w:t>（一）采购标的需实现的功能或者目标，以及为落实政府采购政策需满足的要求：</w:t>
      </w:r>
    </w:p>
    <w:p w14:paraId="6B020241">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lang w:eastAsia="zh-CN"/>
        </w:rPr>
        <w:t>燃烧实验室设备</w:t>
      </w:r>
      <w:r>
        <w:rPr>
          <w:rFonts w:hint="default" w:ascii="Times New Roman" w:hAnsi="Times New Roman" w:cs="Times New Roman"/>
          <w:b/>
          <w:bCs/>
          <w:szCs w:val="21"/>
        </w:rPr>
        <w:t>采购项目</w:t>
      </w:r>
    </w:p>
    <w:p w14:paraId="437A945D">
      <w:pPr>
        <w:spacing w:line="360" w:lineRule="auto"/>
        <w:ind w:firstLine="422" w:firstLineChars="200"/>
        <w:rPr>
          <w:rFonts w:hint="default" w:ascii="Times New Roman" w:hAnsi="Times New Roman" w:eastAsia="宋体" w:cs="Times New Roman"/>
          <w:b/>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单体燃烧试验机</w:t>
      </w:r>
    </w:p>
    <w:p w14:paraId="01FEE296">
      <w:pPr>
        <w:spacing w:line="360" w:lineRule="auto"/>
        <w:ind w:firstLine="371" w:firstLineChars="177"/>
        <w:jc w:val="left"/>
        <w:rPr>
          <w:rFonts w:hint="default" w:ascii="Times New Roman" w:hAnsi="Times New Roman" w:eastAsia="宋体" w:cs="Times New Roman"/>
          <w:bCs/>
          <w:szCs w:val="21"/>
          <w:lang w:eastAsia="zh-CN"/>
        </w:rPr>
      </w:pPr>
      <w:r>
        <w:rPr>
          <w:rFonts w:hint="default" w:ascii="Times New Roman" w:hAnsi="Times New Roman" w:cs="Times New Roman"/>
          <w:bCs/>
          <w:szCs w:val="21"/>
        </w:rPr>
        <w:t>1、采购设备名称： 单体燃烧试验机</w:t>
      </w:r>
    </w:p>
    <w:p w14:paraId="3E5F3840">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2、预  算 价 格：55</w:t>
      </w:r>
      <w:r>
        <w:rPr>
          <w:rFonts w:hint="default" w:ascii="Times New Roman" w:hAnsi="Times New Roman" w:cs="Times New Roman"/>
          <w:szCs w:val="21"/>
        </w:rPr>
        <w:t>万</w:t>
      </w:r>
    </w:p>
    <w:p w14:paraId="1892EFB4">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3、供应商有无特定资格要求：</w:t>
      </w:r>
      <w:r>
        <w:rPr>
          <w:rFonts w:hint="default" w:ascii="Times New Roman" w:hAnsi="Times New Roman" w:cs="Times New Roman"/>
          <w:szCs w:val="21"/>
        </w:rPr>
        <w:t>无</w:t>
      </w:r>
    </w:p>
    <w:p w14:paraId="21EB93C0">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4、是 否 进 口 产品：否</w:t>
      </w:r>
    </w:p>
    <w:p w14:paraId="01F05A81">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5、是否强制节能产品：否</w:t>
      </w:r>
    </w:p>
    <w:p w14:paraId="2528CC51">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6、是否安全信息产品：否</w:t>
      </w:r>
    </w:p>
    <w:p w14:paraId="0226C272">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尾气处理系统</w:t>
      </w:r>
    </w:p>
    <w:p w14:paraId="34FFBE42">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1、采购设备名称： 尾气处理系统</w:t>
      </w:r>
    </w:p>
    <w:p w14:paraId="118F27F4">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2、预  算 价 格：55</w:t>
      </w:r>
      <w:r>
        <w:rPr>
          <w:rFonts w:hint="default" w:ascii="Times New Roman" w:hAnsi="Times New Roman" w:cs="Times New Roman"/>
          <w:szCs w:val="21"/>
        </w:rPr>
        <w:t>万</w:t>
      </w:r>
    </w:p>
    <w:p w14:paraId="09A43DA6">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3、供应商有无特定资格要求：</w:t>
      </w:r>
      <w:r>
        <w:rPr>
          <w:rFonts w:hint="default" w:ascii="Times New Roman" w:hAnsi="Times New Roman" w:cs="Times New Roman"/>
          <w:szCs w:val="21"/>
        </w:rPr>
        <w:t>无</w:t>
      </w:r>
    </w:p>
    <w:p w14:paraId="52264FDF">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4、是 否 进 口 产品：否</w:t>
      </w:r>
    </w:p>
    <w:p w14:paraId="19F07A25">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5、是否强制节能产品：否</w:t>
      </w:r>
    </w:p>
    <w:p w14:paraId="0BE78D4D">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6、是否安全信息产品：否</w:t>
      </w:r>
    </w:p>
    <w:p w14:paraId="1CCC756C">
      <w:pPr>
        <w:spacing w:line="360" w:lineRule="auto"/>
        <w:ind w:firstLine="422" w:firstLineChars="200"/>
        <w:rPr>
          <w:rFonts w:hint="default" w:ascii="Times New Roman" w:hAnsi="Times New Roman" w:cs="Times New Roman"/>
          <w:b/>
          <w:bCs/>
          <w:szCs w:val="21"/>
        </w:rPr>
      </w:pPr>
      <w:r>
        <w:rPr>
          <w:rFonts w:hint="default" w:ascii="Times New Roman" w:hAnsi="Times New Roman" w:cs="Times New Roman"/>
          <w:b/>
          <w:bCs/>
          <w:szCs w:val="21"/>
        </w:rPr>
        <w:t>（二）采购标的需执行的国家相关标准、行业标准、地方标准或者其他标准、规范：</w:t>
      </w:r>
    </w:p>
    <w:p w14:paraId="297AF7F4">
      <w:pPr>
        <w:spacing w:line="360" w:lineRule="auto"/>
        <w:ind w:firstLine="422" w:firstLineChars="200"/>
        <w:rPr>
          <w:rFonts w:hint="default" w:ascii="Times New Roman" w:hAnsi="Times New Roman" w:eastAsia="宋体" w:cs="Times New Roman"/>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单体燃烧试验机</w:t>
      </w:r>
    </w:p>
    <w:p w14:paraId="283C30BA">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color w:val="000000"/>
          <w:szCs w:val="21"/>
        </w:rPr>
        <w:t>符合GB/T 20284中对单体燃烧试验设备的要求</w:t>
      </w:r>
    </w:p>
    <w:p w14:paraId="3FEE68E2">
      <w:pPr>
        <w:spacing w:line="360" w:lineRule="auto"/>
        <w:ind w:firstLine="420" w:firstLineChars="200"/>
        <w:rPr>
          <w:rFonts w:hint="default" w:ascii="Times New Roman" w:hAnsi="Times New Roman" w:cs="Times New Roman"/>
          <w:bCs/>
          <w:szCs w:val="21"/>
        </w:rPr>
      </w:pPr>
    </w:p>
    <w:p w14:paraId="5AFC4DC3">
      <w:pPr>
        <w:spacing w:line="360" w:lineRule="auto"/>
        <w:ind w:firstLine="422" w:firstLineChars="200"/>
        <w:rPr>
          <w:rFonts w:hint="default" w:ascii="Times New Roman" w:hAnsi="Times New Roman" w:cs="Times New Roman"/>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尾气处理系统</w:t>
      </w:r>
    </w:p>
    <w:p w14:paraId="43785E1E">
      <w:pPr>
        <w:spacing w:line="360" w:lineRule="auto"/>
        <w:ind w:firstLine="420" w:firstLineChars="200"/>
        <w:rPr>
          <w:rFonts w:hint="default" w:ascii="Times New Roman" w:hAnsi="Times New Roman" w:cs="Times New Roman"/>
          <w:bCs/>
          <w:szCs w:val="21"/>
        </w:rPr>
      </w:pPr>
      <w:r>
        <w:rPr>
          <w:rFonts w:hint="default" w:ascii="Times New Roman" w:hAnsi="Times New Roman" w:cs="Times New Roman"/>
          <w:bCs/>
          <w:szCs w:val="21"/>
        </w:rPr>
        <w:t>处理风量30000立方每小时，用于对燃烧试验尾气进行处理以满足燃烧实验室环评要求。</w:t>
      </w:r>
    </w:p>
    <w:p w14:paraId="43698F58">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rPr>
        <w:t>（三）采购标的需满足的质量、安全、技术规格、物理特性等要求：</w:t>
      </w:r>
    </w:p>
    <w:p w14:paraId="44B46C57">
      <w:pPr>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单体燃烧试验机</w:t>
      </w:r>
    </w:p>
    <w:p w14:paraId="30F386A9">
      <w:pPr>
        <w:spacing w:line="360" w:lineRule="auto"/>
        <w:rPr>
          <w:rFonts w:hint="default" w:ascii="Times New Roman" w:hAnsi="Times New Roman" w:cs="Times New Roman"/>
          <w:bCs/>
          <w:szCs w:val="21"/>
        </w:rPr>
      </w:pPr>
      <w:r>
        <w:rPr>
          <w:rFonts w:hint="default" w:ascii="Times New Roman" w:hAnsi="Times New Roman" w:cs="Times New Roman"/>
          <w:bCs/>
          <w:szCs w:val="21"/>
        </w:rPr>
        <w:t>1. 总体要求</w:t>
      </w:r>
    </w:p>
    <w:p w14:paraId="23B626DD">
      <w:pPr>
        <w:spacing w:line="360" w:lineRule="auto"/>
        <w:rPr>
          <w:rFonts w:hint="default" w:ascii="Times New Roman" w:hAnsi="Times New Roman" w:cs="Times New Roman"/>
          <w:bCs/>
          <w:szCs w:val="21"/>
        </w:rPr>
      </w:pPr>
      <w:r>
        <w:rPr>
          <w:rFonts w:hint="default" w:ascii="Times New Roman" w:hAnsi="Times New Roman" w:cs="Times New Roman"/>
          <w:bCs/>
          <w:szCs w:val="21"/>
        </w:rPr>
        <w:t>1.1 执行标准：设备必须完全符合 GB/T 20284《建筑材料或制品的单体燃烧试验》 最新有效版本要求，兼容 EN 13823 标准，用于建筑材料及制品燃烧性能分级测试。</w:t>
      </w:r>
    </w:p>
    <w:p w14:paraId="03F8EC4D">
      <w:pPr>
        <w:spacing w:line="360" w:lineRule="auto"/>
        <w:rPr>
          <w:rFonts w:hint="default" w:ascii="Times New Roman" w:hAnsi="Times New Roman" w:cs="Times New Roman"/>
          <w:bCs/>
          <w:szCs w:val="21"/>
        </w:rPr>
      </w:pPr>
      <w:r>
        <w:rPr>
          <w:rFonts w:hint="default" w:ascii="Times New Roman" w:hAnsi="Times New Roman" w:cs="Times New Roman"/>
          <w:bCs/>
          <w:szCs w:val="21"/>
        </w:rPr>
        <w:t>★1.2 系统组成：根据标准要求，设备应为一套完整的、高度集成的自动化测试系统，至少包含燃烧室、推车与试样安装机构、点火源系统、集烟与排烟系统、测量仪器系统、气体分析系统、数据采集与控制软件。同时，应包含从电控柜到设备的电缆及从气瓶房到设备的气体管道。</w:t>
      </w:r>
    </w:p>
    <w:p w14:paraId="256FA94C">
      <w:pPr>
        <w:spacing w:line="360" w:lineRule="auto"/>
        <w:rPr>
          <w:rFonts w:hint="default" w:ascii="Times New Roman" w:hAnsi="Times New Roman" w:cs="Times New Roman"/>
          <w:bCs/>
          <w:szCs w:val="21"/>
        </w:rPr>
      </w:pPr>
      <w:r>
        <w:rPr>
          <w:rFonts w:hint="default" w:ascii="Times New Roman" w:hAnsi="Times New Roman" w:cs="Times New Roman"/>
          <w:bCs/>
          <w:szCs w:val="21"/>
        </w:rPr>
        <w:t>▲1.3 安全性：设备必须具备完善的燃气安全、电气安全及防火防爆措施，适应防火实验室环境。接触高温、烟气、腐蚀性气体的部件应当采用 304 及以上不锈钢。</w:t>
      </w:r>
    </w:p>
    <w:p w14:paraId="6D7CE7C9">
      <w:pPr>
        <w:spacing w:line="360" w:lineRule="auto"/>
        <w:rPr>
          <w:rFonts w:hint="default" w:ascii="Times New Roman" w:hAnsi="Times New Roman" w:cs="Times New Roman"/>
          <w:bCs/>
          <w:szCs w:val="21"/>
        </w:rPr>
      </w:pPr>
      <w:r>
        <w:rPr>
          <w:rFonts w:hint="default" w:ascii="Times New Roman" w:hAnsi="Times New Roman" w:cs="Times New Roman"/>
          <w:bCs/>
          <w:szCs w:val="21"/>
        </w:rPr>
        <w:t>2. 各组成部分详细技术参数要求</w:t>
      </w:r>
    </w:p>
    <w:p w14:paraId="0176484A">
      <w:pPr>
        <w:spacing w:line="360" w:lineRule="auto"/>
        <w:rPr>
          <w:rFonts w:hint="default" w:ascii="Times New Roman" w:hAnsi="Times New Roman" w:cs="Times New Roman"/>
          <w:bCs/>
          <w:szCs w:val="21"/>
        </w:rPr>
      </w:pPr>
      <w:r>
        <w:rPr>
          <w:rFonts w:hint="default" w:ascii="Times New Roman" w:hAnsi="Times New Roman" w:cs="Times New Roman"/>
          <w:bCs/>
          <w:szCs w:val="21"/>
        </w:rPr>
        <w:t>2.1 燃烧室系统</w:t>
      </w:r>
    </w:p>
    <w:p w14:paraId="3270CAD2">
      <w:pPr>
        <w:spacing w:line="360" w:lineRule="auto"/>
        <w:rPr>
          <w:rFonts w:hint="default" w:ascii="Times New Roman" w:hAnsi="Times New Roman" w:cs="Times New Roman"/>
          <w:bCs/>
          <w:szCs w:val="21"/>
        </w:rPr>
      </w:pPr>
      <w:r>
        <w:rPr>
          <w:rFonts w:hint="default" w:ascii="Times New Roman" w:hAnsi="Times New Roman" w:cs="Times New Roman"/>
          <w:bCs/>
          <w:szCs w:val="21"/>
        </w:rPr>
        <w:t>2.1.1 内部尺寸：地面 (3.0±0.1)m × (3.0±0.1)m，高度 (2.4±0.1)m。</w:t>
      </w:r>
    </w:p>
    <w:p w14:paraId="622E6D05">
      <w:pPr>
        <w:spacing w:line="360" w:lineRule="auto"/>
        <w:rPr>
          <w:rFonts w:hint="eastAsia" w:ascii="Times New Roman" w:hAnsi="Times New Roman" w:eastAsia="宋体" w:cs="Times New Roman"/>
          <w:bCs/>
          <w:szCs w:val="21"/>
          <w:lang w:eastAsia="zh-CN"/>
        </w:rPr>
      </w:pPr>
      <w:r>
        <w:rPr>
          <w:rFonts w:hint="default" w:ascii="Times New Roman" w:hAnsi="Times New Roman" w:cs="Times New Roman"/>
          <w:bCs/>
          <w:szCs w:val="21"/>
        </w:rPr>
        <w:t>★2.1.2 墙体材质：墙体、地面、顶棚需达到 GB 8624 不燃 A 级，实体砖墙或钢筋混凝土</w:t>
      </w:r>
      <w:r>
        <w:rPr>
          <w:rFonts w:hint="eastAsia" w:cs="Times New Roman"/>
          <w:bCs/>
          <w:szCs w:val="21"/>
          <w:lang w:eastAsia="zh-CN"/>
        </w:rPr>
        <w:t>。</w:t>
      </w:r>
    </w:p>
    <w:p w14:paraId="78FA870F">
      <w:pPr>
        <w:spacing w:line="360" w:lineRule="auto"/>
        <w:rPr>
          <w:rFonts w:hint="default" w:ascii="Times New Roman" w:hAnsi="Times New Roman" w:cs="Times New Roman"/>
          <w:bCs/>
          <w:szCs w:val="21"/>
        </w:rPr>
      </w:pPr>
      <w:r>
        <w:rPr>
          <w:rFonts w:hint="default" w:ascii="Times New Roman" w:hAnsi="Times New Roman" w:cs="Times New Roman"/>
          <w:bCs/>
          <w:szCs w:val="21"/>
        </w:rPr>
        <w:t>2.1.3 房间开口：推车进出口1个，观察窗2个，门1个，烟气收集口1个。</w:t>
      </w:r>
    </w:p>
    <w:p w14:paraId="185A2052">
      <w:pPr>
        <w:spacing w:line="360" w:lineRule="auto"/>
        <w:rPr>
          <w:rFonts w:hint="default" w:ascii="Times New Roman" w:hAnsi="Times New Roman" w:cs="Times New Roman"/>
          <w:bCs/>
          <w:szCs w:val="21"/>
        </w:rPr>
      </w:pPr>
      <w:r>
        <w:rPr>
          <w:rFonts w:hint="default" w:ascii="Times New Roman" w:hAnsi="Times New Roman" w:cs="Times New Roman"/>
          <w:bCs/>
          <w:szCs w:val="21"/>
        </w:rPr>
        <w:t>2.1.4 密封性：推车就位关门后，除底部空气入口和顶部排烟口外，无其他漏气点，</w:t>
      </w:r>
    </w:p>
    <w:p w14:paraId="73BF8C98">
      <w:pPr>
        <w:spacing w:line="360" w:lineRule="auto"/>
        <w:rPr>
          <w:rFonts w:hint="default" w:ascii="Times New Roman" w:hAnsi="Times New Roman" w:cs="Times New Roman"/>
          <w:bCs/>
          <w:szCs w:val="21"/>
        </w:rPr>
      </w:pPr>
      <w:r>
        <w:rPr>
          <w:rFonts w:hint="default" w:ascii="Times New Roman" w:hAnsi="Times New Roman" w:cs="Times New Roman"/>
          <w:bCs/>
          <w:szCs w:val="21"/>
        </w:rPr>
        <w:t>2.2 推车与试样安装</w:t>
      </w:r>
    </w:p>
    <w:p w14:paraId="5E53655E">
      <w:pPr>
        <w:spacing w:line="360" w:lineRule="auto"/>
        <w:rPr>
          <w:rFonts w:hint="default" w:ascii="Times New Roman" w:hAnsi="Times New Roman" w:cs="Times New Roman"/>
          <w:bCs/>
          <w:szCs w:val="21"/>
        </w:rPr>
      </w:pPr>
      <w:r>
        <w:rPr>
          <w:rFonts w:hint="default" w:ascii="Times New Roman" w:hAnsi="Times New Roman" w:cs="Times New Roman"/>
          <w:bCs/>
          <w:szCs w:val="21"/>
        </w:rPr>
        <w:t>2.2.1 底板结构：底板水平，三侧设孔径8~12mm，开孔率40%~60%的多孔板。</w:t>
      </w:r>
    </w:p>
    <w:p w14:paraId="31170396">
      <w:pPr>
        <w:spacing w:line="360" w:lineRule="auto"/>
        <w:rPr>
          <w:rFonts w:hint="default" w:ascii="Times New Roman" w:hAnsi="Times New Roman" w:cs="Times New Roman"/>
          <w:bCs/>
          <w:szCs w:val="21"/>
        </w:rPr>
      </w:pPr>
      <w:r>
        <w:rPr>
          <w:rFonts w:hint="default" w:ascii="Times New Roman" w:hAnsi="Times New Roman" w:cs="Times New Roman"/>
          <w:bCs/>
          <w:szCs w:val="21"/>
        </w:rPr>
        <w:t>2.2.2 定位精度：长翼受火面距墙 (2.1±0.1)m，短翼距墙 (2.7±0.1)m，重复定位精度±2mm。</w:t>
      </w:r>
    </w:p>
    <w:p w14:paraId="4B2C3AA3">
      <w:pPr>
        <w:spacing w:line="360" w:lineRule="auto"/>
        <w:rPr>
          <w:rFonts w:hint="default" w:ascii="Times New Roman" w:hAnsi="Times New Roman" w:cs="Times New Roman"/>
          <w:bCs/>
          <w:szCs w:val="21"/>
        </w:rPr>
      </w:pPr>
      <w:r>
        <w:rPr>
          <w:rFonts w:hint="default" w:ascii="Times New Roman" w:hAnsi="Times New Roman" w:cs="Times New Roman"/>
          <w:bCs/>
          <w:szCs w:val="21"/>
        </w:rPr>
        <w:t>2.2.3 背板材质：GB/T 40238 规定的硅酸钙板。</w:t>
      </w:r>
    </w:p>
    <w:p w14:paraId="0F7BA7E2">
      <w:pPr>
        <w:spacing w:line="360" w:lineRule="auto"/>
        <w:rPr>
          <w:rFonts w:hint="default" w:ascii="Times New Roman" w:hAnsi="Times New Roman" w:cs="Times New Roman"/>
          <w:bCs/>
          <w:szCs w:val="21"/>
        </w:rPr>
      </w:pPr>
      <w:r>
        <w:rPr>
          <w:rFonts w:hint="default" w:ascii="Times New Roman" w:hAnsi="Times New Roman" w:cs="Times New Roman"/>
          <w:bCs/>
          <w:szCs w:val="21"/>
        </w:rPr>
        <w:t>2.2.4 背板尺寸：</w:t>
      </w:r>
    </w:p>
    <w:p w14:paraId="344CA77A">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短翼：(570+ 试样厚度)mm × (1500±2)mm。</w:t>
      </w:r>
    </w:p>
    <w:p w14:paraId="3C4CDA30">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长翼：(1020+ 试样厚度)mm × (1500±2)mm。</w:t>
      </w:r>
    </w:p>
    <w:p w14:paraId="761780E8">
      <w:pPr>
        <w:spacing w:line="360" w:lineRule="auto"/>
        <w:rPr>
          <w:rFonts w:hint="default" w:ascii="Times New Roman" w:hAnsi="Times New Roman" w:cs="Times New Roman"/>
          <w:bCs/>
          <w:szCs w:val="21"/>
        </w:rPr>
      </w:pPr>
      <w:r>
        <w:rPr>
          <w:rFonts w:hint="default" w:ascii="Times New Roman" w:hAnsi="Times New Roman" w:cs="Times New Roman"/>
          <w:bCs/>
          <w:szCs w:val="21"/>
        </w:rPr>
        <w:t>2.3 点火源</w:t>
      </w:r>
    </w:p>
    <w:p w14:paraId="30FEE695">
      <w:pPr>
        <w:spacing w:line="360" w:lineRule="auto"/>
        <w:rPr>
          <w:rFonts w:hint="default" w:ascii="Times New Roman" w:hAnsi="Times New Roman" w:cs="Times New Roman"/>
          <w:bCs/>
          <w:szCs w:val="21"/>
        </w:rPr>
      </w:pPr>
      <w:r>
        <w:rPr>
          <w:rFonts w:hint="default" w:ascii="Times New Roman" w:hAnsi="Times New Roman" w:cs="Times New Roman"/>
          <w:bCs/>
          <w:szCs w:val="21"/>
        </w:rPr>
        <w:t>2.3.1 结构与位置</w:t>
      </w:r>
    </w:p>
    <w:p w14:paraId="0462E373">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构造：三角形金属燃烧器。</w:t>
      </w:r>
    </w:p>
    <w:p w14:paraId="288D6F46">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位置：设在推车底板 U 型槽角落，顶面比 U 型槽顶面高 (25±3) mm。</w:t>
      </w:r>
    </w:p>
    <w:p w14:paraId="52FA21BF">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内部结构：自下而上依次为 10 mm 空气层、50 mm 陶瓷球填充层φ4~8mm、20mm陶瓷球填充层φ2~4mm。</w:t>
      </w:r>
    </w:p>
    <w:p w14:paraId="27213768">
      <w:pPr>
        <w:spacing w:line="360" w:lineRule="auto"/>
        <w:rPr>
          <w:rFonts w:hint="default" w:ascii="Times New Roman" w:hAnsi="Times New Roman" w:cs="Times New Roman"/>
          <w:bCs/>
          <w:szCs w:val="21"/>
        </w:rPr>
      </w:pPr>
      <w:r>
        <w:rPr>
          <w:rFonts w:hint="default" w:ascii="Times New Roman" w:hAnsi="Times New Roman" w:cs="Times New Roman"/>
          <w:bCs/>
          <w:szCs w:val="21"/>
        </w:rPr>
        <w:t>2.3.2 燃气与控制</w:t>
      </w:r>
    </w:p>
    <w:p w14:paraId="24FAB7BA">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丙烷纯度≥95%。</w:t>
      </w:r>
    </w:p>
    <w:p w14:paraId="1D1F7C80">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质量流量控制器：量程≥0 g/s～2.3 g/s，在0.6 g/s～2.3 g/s范围内精度±1%。</w:t>
      </w:r>
    </w:p>
    <w:p w14:paraId="31CFB0C1">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实验室内部的单体仪器管道气路和预留管道。</w:t>
      </w:r>
    </w:p>
    <w:p w14:paraId="5640E89E">
      <w:pPr>
        <w:spacing w:line="360" w:lineRule="auto"/>
        <w:rPr>
          <w:rFonts w:hint="default" w:ascii="Times New Roman" w:hAnsi="Times New Roman" w:cs="Times New Roman"/>
          <w:bCs/>
          <w:szCs w:val="21"/>
        </w:rPr>
      </w:pPr>
      <w:r>
        <w:rPr>
          <w:rFonts w:hint="default" w:ascii="Times New Roman" w:hAnsi="Times New Roman" w:cs="Times New Roman"/>
          <w:bCs/>
          <w:szCs w:val="21"/>
        </w:rPr>
        <w:t>2.4 集烟与排烟系统</w:t>
      </w:r>
    </w:p>
    <w:p w14:paraId="7DBB798A">
      <w:pPr>
        <w:spacing w:line="360" w:lineRule="auto"/>
        <w:rPr>
          <w:rFonts w:hint="default" w:ascii="Times New Roman" w:hAnsi="Times New Roman" w:cs="Times New Roman"/>
          <w:bCs/>
          <w:szCs w:val="21"/>
        </w:rPr>
      </w:pPr>
      <w:r>
        <w:rPr>
          <w:rFonts w:hint="default" w:ascii="Times New Roman" w:hAnsi="Times New Roman" w:cs="Times New Roman"/>
          <w:bCs/>
          <w:szCs w:val="21"/>
        </w:rPr>
        <w:t>2.4.1 集烟罩：尺寸≥1450×1255mm，连接处密封，顶部设收集器及排烟管道接口。</w:t>
      </w:r>
    </w:p>
    <w:p w14:paraId="408E20F8">
      <w:pPr>
        <w:spacing w:line="360" w:lineRule="auto"/>
        <w:rPr>
          <w:rFonts w:hint="default" w:ascii="Times New Roman" w:hAnsi="Times New Roman" w:cs="Times New Roman"/>
          <w:bCs/>
          <w:szCs w:val="21"/>
        </w:rPr>
      </w:pPr>
      <w:r>
        <w:rPr>
          <w:rFonts w:hint="default" w:ascii="Times New Roman" w:hAnsi="Times New Roman" w:cs="Times New Roman"/>
          <w:bCs/>
          <w:szCs w:val="21"/>
        </w:rPr>
        <w:t>2.4.2 排烟管道：内径 300~400mm，直管段长度≥12D。</w:t>
      </w:r>
    </w:p>
    <w:p w14:paraId="5F2C6FC3">
      <w:pPr>
        <w:spacing w:line="360" w:lineRule="auto"/>
        <w:rPr>
          <w:rFonts w:hint="default" w:ascii="Times New Roman" w:hAnsi="Times New Roman" w:cs="Times New Roman"/>
          <w:bCs/>
          <w:szCs w:val="21"/>
        </w:rPr>
      </w:pPr>
      <w:r>
        <w:rPr>
          <w:rFonts w:hint="default" w:ascii="Times New Roman" w:hAnsi="Times New Roman" w:cs="Times New Roman"/>
          <w:bCs/>
          <w:szCs w:val="21"/>
        </w:rPr>
        <w:t>2.5 测量仪器系统</w:t>
      </w:r>
    </w:p>
    <w:p w14:paraId="13193ABD">
      <w:pPr>
        <w:spacing w:line="360" w:lineRule="auto"/>
        <w:rPr>
          <w:rFonts w:hint="default" w:ascii="Times New Roman" w:hAnsi="Times New Roman" w:cs="Times New Roman"/>
          <w:bCs/>
          <w:szCs w:val="21"/>
        </w:rPr>
      </w:pPr>
      <w:r>
        <w:rPr>
          <w:rFonts w:hint="default" w:ascii="Times New Roman" w:hAnsi="Times New Roman" w:cs="Times New Roman"/>
          <w:bCs/>
          <w:szCs w:val="21"/>
        </w:rPr>
        <w:t>2.5.1 压差测量：双向或半球形探头，位于距入口≥8 倍管径处，传感器量程 0-200Pa，精度±2Pa，响应时间≤1s。</w:t>
      </w:r>
    </w:p>
    <w:p w14:paraId="27C5F4AA">
      <w:pPr>
        <w:spacing w:line="360" w:lineRule="auto"/>
        <w:rPr>
          <w:rFonts w:hint="default" w:ascii="Times New Roman" w:hAnsi="Times New Roman" w:cs="Times New Roman"/>
          <w:bCs/>
          <w:szCs w:val="21"/>
        </w:rPr>
      </w:pPr>
      <w:r>
        <w:rPr>
          <w:rFonts w:hint="default" w:ascii="Times New Roman" w:hAnsi="Times New Roman" w:cs="Times New Roman"/>
          <w:bCs/>
          <w:szCs w:val="21"/>
        </w:rPr>
        <w:t>2.5.2 温度测量：3 支铠装 K 型热电偶（Φ0.5-1.5mm，Ⅰ级精度）。测压探头后方 100 mm 截面，距圆心 (87±5) mm，夹角 120°。</w:t>
      </w:r>
    </w:p>
    <w:p w14:paraId="010FF013">
      <w:pPr>
        <w:spacing w:line="360" w:lineRule="auto"/>
        <w:rPr>
          <w:rFonts w:hint="default" w:ascii="Times New Roman" w:hAnsi="Times New Roman" w:cs="Times New Roman"/>
          <w:bCs/>
          <w:szCs w:val="21"/>
        </w:rPr>
      </w:pPr>
      <w:r>
        <w:rPr>
          <w:rFonts w:hint="default" w:ascii="Times New Roman" w:hAnsi="Times New Roman" w:cs="Times New Roman"/>
          <w:bCs/>
          <w:szCs w:val="21"/>
        </w:rPr>
        <w:t>2.5.3 气体取样：内径 10mm 圆形管状探头。取样点位于热电偶后方 100mm，孔朝向气流方向。</w:t>
      </w:r>
    </w:p>
    <w:p w14:paraId="21F84941">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包含微粒过滤器：三级过滤系统；过滤精度0.5um；</w:t>
      </w:r>
    </w:p>
    <w:p w14:paraId="2E705049">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冷阱：压缩机原理制冷系统；气体采样温度控制0~5℃；国内一线品牌，保护分析仪稳定及寿命；</w:t>
      </w:r>
    </w:p>
    <w:p w14:paraId="56C2A920">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知名品牌吸气泵：流量：33L/min，真空度：700㎜Hg，压力：2.5 bar；</w:t>
      </w:r>
    </w:p>
    <w:p w14:paraId="77D6B4D9">
      <w:pPr>
        <w:spacing w:line="360" w:lineRule="auto"/>
        <w:ind w:left="840"/>
        <w:rPr>
          <w:rFonts w:hint="default" w:ascii="Times New Roman" w:hAnsi="Times New Roman" w:cs="Times New Roman"/>
          <w:bCs/>
          <w:szCs w:val="21"/>
        </w:rPr>
      </w:pPr>
      <w:r>
        <w:rPr>
          <w:rFonts w:hint="default" w:ascii="Times New Roman" w:hAnsi="Times New Roman" w:cs="Times New Roman"/>
          <w:bCs/>
          <w:szCs w:val="21"/>
        </w:rPr>
        <w:t>干燥筒：分别氧气及二氧化氮分析气路进行干燥及去杂质处理；</w:t>
      </w:r>
    </w:p>
    <w:p w14:paraId="15A978D7">
      <w:pPr>
        <w:spacing w:line="360" w:lineRule="auto"/>
        <w:rPr>
          <w:rFonts w:hint="default" w:ascii="Times New Roman" w:hAnsi="Times New Roman" w:cs="Times New Roman"/>
          <w:bCs/>
          <w:szCs w:val="21"/>
        </w:rPr>
      </w:pPr>
      <w:r>
        <w:rPr>
          <w:rFonts w:hint="default" w:ascii="Times New Roman" w:hAnsi="Times New Roman" w:cs="Times New Roman"/>
          <w:bCs/>
          <w:szCs w:val="21"/>
        </w:rPr>
        <w:t>▲2.5.4 烟气透光率：白光光源 (2900±100)K，均匀光束直径≥20mm，检测器的光谱分布响应曲线应与国际照明委员会光视效率函数（V(λ）函数）一致，精度±5%，T90响应时间≤3s，线性度在透光率的3%以内或绝对透光率的0.01以内。</w:t>
      </w:r>
    </w:p>
    <w:p w14:paraId="621FBD59">
      <w:pPr>
        <w:spacing w:line="360" w:lineRule="auto"/>
        <w:rPr>
          <w:rFonts w:hint="default" w:ascii="Times New Roman" w:hAnsi="Times New Roman" w:cs="Times New Roman"/>
          <w:bCs/>
          <w:szCs w:val="21"/>
        </w:rPr>
      </w:pPr>
      <w:r>
        <w:rPr>
          <w:rFonts w:hint="default" w:ascii="Times New Roman" w:hAnsi="Times New Roman" w:cs="Times New Roman"/>
          <w:bCs/>
          <w:szCs w:val="21"/>
        </w:rPr>
        <w:t>2.6 气体分析系统</w:t>
      </w:r>
    </w:p>
    <w:p w14:paraId="0BB8B092">
      <w:pPr>
        <w:spacing w:line="360" w:lineRule="auto"/>
        <w:rPr>
          <w:rFonts w:hint="default" w:ascii="Times New Roman" w:hAnsi="Times New Roman" w:cs="Times New Roman"/>
          <w:bCs/>
          <w:szCs w:val="21"/>
        </w:rPr>
      </w:pPr>
      <w:r>
        <w:rPr>
          <w:rFonts w:hint="default" w:ascii="Times New Roman" w:hAnsi="Times New Roman" w:cs="Times New Roman"/>
          <w:bCs/>
          <w:szCs w:val="21"/>
        </w:rPr>
        <w:t>▲2.6.1 氧气分析仪：顺磁型或等效，量程至少为16%-21%(V</w:t>
      </w:r>
      <w:r>
        <w:rPr>
          <w:rFonts w:hint="default" w:ascii="Times New Roman" w:hAnsi="Times New Roman" w:cs="Times New Roman"/>
          <w:bCs/>
          <w:szCs w:val="21"/>
          <w:vertAlign w:val="subscript"/>
        </w:rPr>
        <w:t>氧气</w:t>
      </w:r>
      <w:r>
        <w:rPr>
          <w:rFonts w:hint="default" w:ascii="Times New Roman" w:hAnsi="Times New Roman" w:cs="Times New Roman"/>
          <w:bCs/>
          <w:szCs w:val="21"/>
        </w:rPr>
        <w:t>/V</w:t>
      </w:r>
      <w:r>
        <w:rPr>
          <w:rFonts w:hint="default" w:ascii="Times New Roman" w:hAnsi="Times New Roman" w:cs="Times New Roman"/>
          <w:bCs/>
          <w:szCs w:val="21"/>
          <w:vertAlign w:val="subscript"/>
        </w:rPr>
        <w:t>空气</w:t>
      </w:r>
      <w:r>
        <w:rPr>
          <w:rFonts w:hint="default" w:ascii="Times New Roman" w:hAnsi="Times New Roman" w:cs="Times New Roman"/>
          <w:bCs/>
          <w:szCs w:val="21"/>
        </w:rPr>
        <w:t>)，分辨率≤0.01%，响应时间≤4s，噪声与漂移≤0.01％，重复性≤满量程±0.5％，具备 CO 交叉干扰补偿功能。</w:t>
      </w:r>
    </w:p>
    <w:p w14:paraId="280E4EF2">
      <w:pPr>
        <w:spacing w:line="360" w:lineRule="auto"/>
        <w:rPr>
          <w:rFonts w:hint="default" w:ascii="Times New Roman" w:hAnsi="Times New Roman" w:cs="Times New Roman"/>
          <w:bCs/>
          <w:szCs w:val="21"/>
        </w:rPr>
      </w:pPr>
      <w:r>
        <w:rPr>
          <w:rFonts w:hint="default" w:ascii="Times New Roman" w:hAnsi="Times New Roman" w:cs="Times New Roman"/>
          <w:bCs/>
          <w:szCs w:val="21"/>
        </w:rPr>
        <w:t>▲2.6.2 二氧化碳分析仪：红外型或等效，量程至少为 0%-10%，分辨率≤0.01%，响应时间≤4s，线性度≤满量程±1％，重复性≤满量程±0.5％。</w:t>
      </w:r>
    </w:p>
    <w:p w14:paraId="614C803E">
      <w:pPr>
        <w:spacing w:line="360" w:lineRule="auto"/>
        <w:rPr>
          <w:rFonts w:hint="default" w:ascii="Times New Roman" w:hAnsi="Times New Roman" w:cs="Times New Roman"/>
          <w:bCs/>
          <w:szCs w:val="21"/>
        </w:rPr>
      </w:pPr>
      <w:r>
        <w:rPr>
          <w:rFonts w:hint="default" w:ascii="Times New Roman" w:hAnsi="Times New Roman" w:cs="Times New Roman"/>
          <w:bCs/>
          <w:szCs w:val="21"/>
        </w:rPr>
        <w:t>▲2.6.3 自动校准：支持远程触发零点/量程校准，标配校准气体接口。</w:t>
      </w:r>
    </w:p>
    <w:p w14:paraId="495F8811">
      <w:pPr>
        <w:spacing w:line="360" w:lineRule="auto"/>
        <w:rPr>
          <w:rFonts w:hint="default" w:ascii="Times New Roman" w:hAnsi="Times New Roman" w:cs="Times New Roman"/>
          <w:bCs/>
          <w:szCs w:val="21"/>
        </w:rPr>
      </w:pPr>
      <w:r>
        <w:rPr>
          <w:rFonts w:hint="default" w:ascii="Times New Roman" w:hAnsi="Times New Roman" w:cs="Times New Roman"/>
          <w:bCs/>
          <w:szCs w:val="21"/>
        </w:rPr>
        <w:t>2.7 数据采集与软件</w:t>
      </w:r>
    </w:p>
    <w:p w14:paraId="4283A882">
      <w:pPr>
        <w:spacing w:line="360" w:lineRule="auto"/>
        <w:rPr>
          <w:rFonts w:hint="default" w:ascii="Times New Roman" w:hAnsi="Times New Roman" w:cs="Times New Roman"/>
          <w:bCs/>
          <w:szCs w:val="21"/>
        </w:rPr>
      </w:pPr>
      <w:r>
        <w:rPr>
          <w:rFonts w:hint="default" w:ascii="Times New Roman" w:hAnsi="Times New Roman" w:cs="Times New Roman"/>
          <w:bCs/>
          <w:szCs w:val="21"/>
        </w:rPr>
        <w:t>★2.7.1 采集精度：热电偶精度1级，相对湿度精度±5%，大气压力±200Pa，O2/CO2精度±0.01%，温度±0.5℃（响应时间不超过6s），时间±0.1s，所有通道同步偏差≤0.1s。</w:t>
      </w:r>
    </w:p>
    <w:p w14:paraId="43E9FE34">
      <w:pPr>
        <w:spacing w:line="360" w:lineRule="auto"/>
        <w:rPr>
          <w:rFonts w:hint="default" w:ascii="Times New Roman" w:hAnsi="Times New Roman" w:cs="Times New Roman"/>
          <w:bCs/>
          <w:szCs w:val="21"/>
        </w:rPr>
      </w:pPr>
      <w:r>
        <w:rPr>
          <w:rFonts w:hint="default" w:ascii="Times New Roman" w:hAnsi="Times New Roman" w:cs="Times New Roman"/>
          <w:bCs/>
          <w:szCs w:val="21"/>
        </w:rPr>
        <w:t>2.7.2 采样频率：基础参数≥1Hz，关键参数支持 10Hz 高速采集。</w:t>
      </w:r>
    </w:p>
    <w:p w14:paraId="5AB25B4D">
      <w:pPr>
        <w:spacing w:line="360" w:lineRule="auto"/>
        <w:rPr>
          <w:rFonts w:hint="default" w:ascii="Times New Roman" w:hAnsi="Times New Roman" w:cs="Times New Roman"/>
          <w:bCs/>
          <w:szCs w:val="21"/>
        </w:rPr>
      </w:pPr>
      <w:r>
        <w:rPr>
          <w:rFonts w:hint="default" w:ascii="Times New Roman" w:hAnsi="Times New Roman" w:cs="Times New Roman"/>
          <w:bCs/>
          <w:szCs w:val="21"/>
        </w:rPr>
        <w:t>▲2.7.3 计算功能：实时计算 HRR、THR、FIGRA、SMOGRA、TSP 等参数，支持燃烧性能分级预判。</w:t>
      </w:r>
    </w:p>
    <w:p w14:paraId="3D23377F">
      <w:pPr>
        <w:spacing w:line="360" w:lineRule="auto"/>
        <w:rPr>
          <w:rFonts w:hint="default" w:ascii="Times New Roman" w:hAnsi="Times New Roman" w:cs="Times New Roman"/>
          <w:bCs/>
          <w:szCs w:val="21"/>
        </w:rPr>
      </w:pPr>
      <w:r>
        <w:rPr>
          <w:rFonts w:hint="default" w:ascii="Times New Roman" w:hAnsi="Times New Roman" w:cs="Times New Roman"/>
          <w:bCs/>
          <w:szCs w:val="21"/>
        </w:rPr>
        <w:t>2.7.4 控制界面：提供整个试验中所有关键数据的显示界面，以及所有操作的控制界面。</w:t>
      </w:r>
    </w:p>
    <w:p w14:paraId="545B2FB9">
      <w:pPr>
        <w:spacing w:line="360" w:lineRule="auto"/>
        <w:rPr>
          <w:rFonts w:hint="default" w:ascii="Times New Roman" w:hAnsi="Times New Roman" w:cs="Times New Roman"/>
          <w:bCs/>
          <w:szCs w:val="21"/>
        </w:rPr>
      </w:pPr>
      <w:r>
        <w:rPr>
          <w:rFonts w:hint="default" w:ascii="Times New Roman" w:hAnsi="Times New Roman" w:cs="Times New Roman"/>
          <w:bCs/>
          <w:szCs w:val="21"/>
        </w:rPr>
        <w:t>2.7.5 数据管理：原始数据加密存储，支持 CSV/PDF 导出。</w:t>
      </w:r>
    </w:p>
    <w:p w14:paraId="335F457B">
      <w:pPr>
        <w:spacing w:line="360" w:lineRule="auto"/>
        <w:rPr>
          <w:rFonts w:hint="default" w:ascii="Times New Roman" w:hAnsi="Times New Roman" w:cs="Times New Roman"/>
          <w:bCs/>
          <w:szCs w:val="21"/>
        </w:rPr>
      </w:pPr>
      <w:r>
        <w:rPr>
          <w:rFonts w:hint="default" w:ascii="Times New Roman" w:hAnsi="Times New Roman" w:cs="Times New Roman"/>
          <w:bCs/>
          <w:szCs w:val="21"/>
        </w:rPr>
        <w:t>3. 安全保护系统要求</w:t>
      </w:r>
    </w:p>
    <w:p w14:paraId="00055280">
      <w:pPr>
        <w:spacing w:line="360" w:lineRule="auto"/>
        <w:rPr>
          <w:rFonts w:hint="default" w:ascii="Times New Roman" w:hAnsi="Times New Roman" w:cs="Times New Roman"/>
          <w:bCs/>
          <w:szCs w:val="21"/>
        </w:rPr>
      </w:pPr>
      <w:r>
        <w:rPr>
          <w:rFonts w:hint="default" w:ascii="Times New Roman" w:hAnsi="Times New Roman" w:cs="Times New Roman"/>
          <w:bCs/>
          <w:szCs w:val="21"/>
        </w:rPr>
        <w:t>▲3.1 燃气泄漏检测：燃烧室及气路附近安装燃气泄露探测器，联动声光报警及自动切断。</w:t>
      </w:r>
    </w:p>
    <w:p w14:paraId="7F637A9B">
      <w:pPr>
        <w:spacing w:line="360" w:lineRule="auto"/>
        <w:rPr>
          <w:rFonts w:hint="default" w:ascii="Times New Roman" w:hAnsi="Times New Roman" w:cs="Times New Roman"/>
          <w:bCs/>
          <w:szCs w:val="21"/>
        </w:rPr>
      </w:pPr>
      <w:r>
        <w:rPr>
          <w:rFonts w:hint="default" w:ascii="Times New Roman" w:hAnsi="Times New Roman" w:cs="Times New Roman"/>
          <w:bCs/>
          <w:szCs w:val="21"/>
        </w:rPr>
        <w:t>★3.2 紧急切断：控制台、燃烧室门口、气源处三处设置急停按钮，硬线连接，响应时间≤1s。</w:t>
      </w:r>
    </w:p>
    <w:p w14:paraId="4D22319D">
      <w:pPr>
        <w:spacing w:line="360" w:lineRule="auto"/>
        <w:rPr>
          <w:rFonts w:hint="default" w:ascii="Times New Roman" w:hAnsi="Times New Roman" w:cs="Times New Roman"/>
          <w:bCs/>
          <w:szCs w:val="21"/>
        </w:rPr>
      </w:pPr>
      <w:r>
        <w:rPr>
          <w:rFonts w:hint="default" w:ascii="Times New Roman" w:hAnsi="Times New Roman" w:cs="Times New Roman"/>
          <w:bCs/>
          <w:szCs w:val="21"/>
        </w:rPr>
        <w:t>▲3.3 断电保护：配置 UPS（≥30min）或燃气电磁阀，断电自动关闭气源并保存数据。</w:t>
      </w:r>
    </w:p>
    <w:p w14:paraId="60F6711D">
      <w:pPr>
        <w:spacing w:line="360" w:lineRule="auto"/>
        <w:rPr>
          <w:rFonts w:hint="default" w:ascii="Times New Roman" w:hAnsi="Times New Roman" w:cs="Times New Roman"/>
          <w:bCs/>
          <w:szCs w:val="21"/>
        </w:rPr>
      </w:pPr>
      <w:r>
        <w:rPr>
          <w:rFonts w:hint="default" w:ascii="Times New Roman" w:hAnsi="Times New Roman" w:cs="Times New Roman"/>
          <w:bCs/>
          <w:szCs w:val="21"/>
        </w:rPr>
        <w:t>3.4 高温防护：设备可接触表面温度≤60℃，高温区域设置警示标识及隔热防护。</w:t>
      </w:r>
    </w:p>
    <w:p w14:paraId="3C6D60ED">
      <w:pPr>
        <w:spacing w:line="360" w:lineRule="auto"/>
        <w:rPr>
          <w:rFonts w:hint="default" w:ascii="Times New Roman" w:hAnsi="Times New Roman" w:cs="Times New Roman"/>
          <w:b/>
          <w:bCs/>
          <w:szCs w:val="21"/>
        </w:rPr>
      </w:pPr>
      <w:r>
        <w:rPr>
          <w:rFonts w:hint="default" w:ascii="Times New Roman" w:hAnsi="Times New Roman" w:cs="Times New Roman"/>
          <w:bCs/>
          <w:szCs w:val="21"/>
        </w:rPr>
        <w:t>3.5 电气安全：控制柜防护等级≥IP54，关键电路具备过载/短路/漏电保护。</w:t>
      </w:r>
    </w:p>
    <w:p w14:paraId="7DC2590F">
      <w:pPr>
        <w:spacing w:line="360" w:lineRule="auto"/>
        <w:rPr>
          <w:rFonts w:hint="default" w:ascii="Times New Roman" w:hAnsi="Times New Roman" w:cs="Times New Roman"/>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尾气处理系统</w:t>
      </w:r>
    </w:p>
    <w:p w14:paraId="73F6D519">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1. 总体结构要求</w:t>
      </w:r>
    </w:p>
    <w:p w14:paraId="3E81B7C5">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1.1 设备应采用成熟、稳定、自动化的多级净化工艺。</w:t>
      </w:r>
    </w:p>
    <w:p w14:paraId="65D2C6C8">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1.2 考虑到防火实验室间歇性高负荷运行的特点，系统应具备抗负荷冲击能力，能够适应防火实验室瞬时高温、高湿、高浓度粉尘、高浓度有害气体的工况。</w:t>
      </w:r>
    </w:p>
    <w:p w14:paraId="46445BE8">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2. 关键性能参数</w:t>
      </w:r>
    </w:p>
    <w:p w14:paraId="7506B647">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★2.1 处理风量：额定处理风量≥30,000 m³/h。风机选型应考虑管道及设备全压损失，预留足够的冗余系数。</w:t>
      </w:r>
    </w:p>
    <w:p w14:paraId="64D92E2B">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★2.2 系统阻力：供应商需提供系统总压损计算书。风机全压应满足在最不利工况下（如布袋轻微堵塞、活性炭吸附饱和末期）仍能保证系统末端风量不衰减，满足排放达标。</w:t>
      </w:r>
    </w:p>
    <w:p w14:paraId="586C1DC4">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★2.3 净化效率：颗粒物/粉尘去除率≥99.9%；酸雾去除率≥95%；VOCs（非甲烷总烃）：去除率≥90%。最终排放标准需严格满足国家《大气污染物综合排放标准》及项目所在地地方环保标准。</w:t>
      </w:r>
    </w:p>
    <w:p w14:paraId="5E95AB0B">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3. 核心部件材质与工艺</w:t>
      </w:r>
    </w:p>
    <w:p w14:paraId="69EA0CDE">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3.1 耐腐蚀性：所有接触酸雾、喷淋液及高温湿烟气的主体结构（塔体、箱体、管道、风机蜗壳）必须采用耐酸耐腐蚀的材料，焊接处需进行酸洗钝化处理。</w:t>
      </w:r>
    </w:p>
    <w:p w14:paraId="4B0F6AAA">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3.2 耐高温性：设备前端应能耐受瞬时高温（≥200℃，持续时间≤5min）。若工艺中采用布袋除尘，滤料必须选用耐高温、抗水解、防油防水材质（如PTFE覆膜针刺毡），并配置超温报警及冷风阀旁路保护系统。</w:t>
      </w:r>
    </w:p>
    <w:p w14:paraId="608BA5EC">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4. 安全与防爆要求</w:t>
      </w:r>
    </w:p>
    <w:p w14:paraId="0A3B72BE">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★4.1 防爆设计：鉴于实验室废气成分不确定性，设备（尤其是除尘器、活性炭吸附箱及管道）应当设置防爆泄爆口。风机及电机应选用防爆型。</w:t>
      </w:r>
    </w:p>
    <w:p w14:paraId="215AC568">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★4.2 电气安全：设备本体必须设置可靠的防静电接地系统。电控柜需具备过载、缺相、短路、漏电保护功能。</w:t>
      </w:r>
    </w:p>
    <w:p w14:paraId="69788E54">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5. 环保监测与附属设施</w:t>
      </w:r>
    </w:p>
    <w:p w14:paraId="32FBC54E">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5.1 检修口：设备应当设置合适的检修口，以便对设备各个部分进行独立的检修。</w:t>
      </w:r>
    </w:p>
    <w:p w14:paraId="4C915E82">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▲5.2 采样口：在适当位置设置规范的永久性采样平台或采样孔，便于环保检测验收。</w:t>
      </w:r>
    </w:p>
    <w:p w14:paraId="38903B18">
      <w:pPr>
        <w:spacing w:line="360" w:lineRule="auto"/>
        <w:jc w:val="left"/>
        <w:rPr>
          <w:rFonts w:hint="default" w:ascii="Times New Roman" w:hAnsi="Times New Roman" w:cs="Times New Roman"/>
          <w:szCs w:val="21"/>
        </w:rPr>
      </w:pPr>
      <w:r>
        <w:rPr>
          <w:rFonts w:hint="default" w:ascii="Times New Roman" w:hAnsi="Times New Roman" w:cs="Times New Roman"/>
          <w:bCs/>
          <w:szCs w:val="21"/>
        </w:rPr>
        <w:t>▲5.3 配套系统：喷淋塔可配置自动补水系统、液位控制系统及废水排放系统(也应符合国家相关排放法律法规)。</w:t>
      </w:r>
    </w:p>
    <w:p w14:paraId="2D65659C">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6. 控制系统与运行保障：尾气处理装置应当有自动化控制系统，提供界面以便控制启停，同时应具备紧急停机功能。</w:t>
      </w:r>
    </w:p>
    <w:p w14:paraId="3C2E5815">
      <w:pPr>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★7. 质保要求：设备安装调试完成后，供应商应协助我方进行第三方检测机构的排放检测和环评，若检测结果未达标或环评未达标视为验收不合格，供应商需免费整改至达标为止。</w:t>
      </w:r>
    </w:p>
    <w:p w14:paraId="259E73C3">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rPr>
        <w:t>（四）采购标的的数量、采购项目交付或者实施的时间和地点：</w:t>
      </w:r>
    </w:p>
    <w:p w14:paraId="02459038">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1.采购数量：单体燃烧试验机1台，尾气处理系统1台</w:t>
      </w:r>
    </w:p>
    <w:p w14:paraId="67EB1FDC">
      <w:pPr>
        <w:spacing w:line="360" w:lineRule="auto"/>
        <w:ind w:firstLine="371" w:firstLineChars="177"/>
        <w:jc w:val="left"/>
        <w:rPr>
          <w:rFonts w:hint="default" w:ascii="Times New Roman" w:hAnsi="Times New Roman" w:cs="Times New Roman"/>
          <w:bCs/>
          <w:szCs w:val="21"/>
        </w:rPr>
      </w:pPr>
      <w:r>
        <w:rPr>
          <w:rFonts w:hint="default" w:ascii="Times New Roman" w:hAnsi="Times New Roman" w:cs="Times New Roman"/>
          <w:bCs/>
          <w:szCs w:val="21"/>
        </w:rPr>
        <w:t>2.服务期：供货期  单体燃烧试验机和尾气处理系统均为六个月(包括安装调试验收)</w:t>
      </w:r>
    </w:p>
    <w:p w14:paraId="08C47BD2">
      <w:pPr>
        <w:spacing w:line="360" w:lineRule="auto"/>
        <w:ind w:firstLine="1421" w:firstLineChars="677"/>
        <w:jc w:val="left"/>
        <w:rPr>
          <w:rFonts w:hint="default" w:ascii="Times New Roman" w:hAnsi="Times New Roman" w:cs="Times New Roman"/>
          <w:bCs/>
          <w:szCs w:val="21"/>
        </w:rPr>
      </w:pPr>
      <w:r>
        <w:rPr>
          <w:rFonts w:hint="default" w:ascii="Times New Roman" w:hAnsi="Times New Roman" w:cs="Times New Roman"/>
          <w:bCs/>
          <w:szCs w:val="21"/>
        </w:rPr>
        <w:t>质保期  单体燃烧试验机和尾气处理系统均至少为一年</w:t>
      </w:r>
    </w:p>
    <w:p w14:paraId="5C5AB7A5">
      <w:pPr>
        <w:spacing w:line="360" w:lineRule="auto"/>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3.本项目实施地点：锡山基地防火实验室场地</w:t>
      </w:r>
    </w:p>
    <w:p w14:paraId="22D4AD57">
      <w:pPr>
        <w:spacing w:line="360" w:lineRule="auto"/>
        <w:ind w:firstLine="210" w:firstLineChars="100"/>
        <w:rPr>
          <w:rFonts w:hint="default" w:ascii="Times New Roman" w:hAnsi="Times New Roman" w:cs="Times New Roman"/>
          <w:bCs/>
          <w:szCs w:val="21"/>
        </w:rPr>
      </w:pPr>
      <w:r>
        <w:rPr>
          <w:rFonts w:hint="default" w:ascii="Times New Roman" w:hAnsi="Times New Roman" w:cs="Times New Roman"/>
          <w:bCs/>
          <w:szCs w:val="21"/>
        </w:rPr>
        <w:t>4.</w:t>
      </w:r>
      <w:r>
        <w:rPr>
          <w:rFonts w:hint="default" w:ascii="Times New Roman" w:hAnsi="Times New Roman" w:cs="Times New Roman"/>
          <w:color w:val="000000"/>
          <w:szCs w:val="21"/>
        </w:rPr>
        <w:t xml:space="preserve"> 付款方式：</w:t>
      </w:r>
      <w:r>
        <w:rPr>
          <w:rFonts w:hint="default" w:ascii="Times New Roman" w:hAnsi="Times New Roman" w:cs="Times New Roman"/>
          <w:bCs/>
          <w:szCs w:val="21"/>
        </w:rPr>
        <w:t>合同签订生效后30日内，支付总货款的30%；货到验收合格交付甲方使用，乙方提供增值税专用发票后30日内支付剩余尾款。</w:t>
      </w:r>
    </w:p>
    <w:p w14:paraId="703B66A1">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rPr>
        <w:t>（五）采购标的需满足的服务标准、期限、效率等要求：</w:t>
      </w:r>
    </w:p>
    <w:p w14:paraId="075CD94F">
      <w:pPr>
        <w:tabs>
          <w:tab w:val="left" w:pos="840"/>
        </w:tabs>
        <w:spacing w:line="360" w:lineRule="auto"/>
        <w:jc w:val="left"/>
        <w:rPr>
          <w:rFonts w:hint="default" w:ascii="Times New Roman" w:hAnsi="Times New Roman" w:cs="Times New Roman"/>
          <w:bCs/>
          <w:szCs w:val="21"/>
        </w:rPr>
      </w:pPr>
      <w:r>
        <w:rPr>
          <w:rFonts w:hint="default" w:ascii="Times New Roman" w:hAnsi="Times New Roman" w:cs="Times New Roman"/>
          <w:bCs/>
          <w:szCs w:val="21"/>
        </w:rPr>
        <w:t xml:space="preserve">    1.四个月内完成供货。</w:t>
      </w:r>
    </w:p>
    <w:p w14:paraId="6363FFC0">
      <w:pPr>
        <w:spacing w:line="360" w:lineRule="auto"/>
        <w:ind w:firstLine="480"/>
        <w:rPr>
          <w:rFonts w:hint="default" w:ascii="Times New Roman" w:hAnsi="Times New Roman" w:cs="Times New Roman"/>
          <w:bCs/>
          <w:szCs w:val="21"/>
        </w:rPr>
      </w:pPr>
      <w:r>
        <w:rPr>
          <w:rFonts w:hint="default" w:ascii="Times New Roman" w:hAnsi="Times New Roman" w:cs="Times New Roman"/>
          <w:bCs/>
          <w:szCs w:val="21"/>
        </w:rPr>
        <w:t>2.供货完成后两个月内完成现场安装、调试，直至设备运行稳定、测试数据正常。</w:t>
      </w:r>
    </w:p>
    <w:p w14:paraId="1CE13B68">
      <w:pPr>
        <w:spacing w:line="360" w:lineRule="auto"/>
        <w:ind w:firstLine="480"/>
        <w:rPr>
          <w:rFonts w:hint="default" w:ascii="Times New Roman" w:hAnsi="Times New Roman" w:cs="Times New Roman"/>
          <w:bCs/>
          <w:szCs w:val="21"/>
        </w:rPr>
      </w:pPr>
      <w:r>
        <w:rPr>
          <w:rFonts w:hint="default" w:ascii="Times New Roman" w:hAnsi="Times New Roman" w:cs="Times New Roman"/>
          <w:bCs/>
          <w:szCs w:val="21"/>
        </w:rPr>
        <w:t>3.提供不少于2个工作日的现场培训，培训内容包括设备操作、软件使用、日常维护、故障排查等，确保采购方至少2名人员能独立完成试验。</w:t>
      </w:r>
    </w:p>
    <w:p w14:paraId="738523A9">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rPr>
        <w:t>（六）采购标的验收标准：</w:t>
      </w:r>
    </w:p>
    <w:p w14:paraId="706048C0">
      <w:pPr>
        <w:spacing w:line="360" w:lineRule="auto"/>
        <w:ind w:firstLine="210" w:firstLineChars="100"/>
        <w:rPr>
          <w:rFonts w:hint="default" w:ascii="Times New Roman" w:hAnsi="Times New Roman" w:cs="Times New Roman"/>
          <w:bCs/>
          <w:szCs w:val="21"/>
        </w:rPr>
      </w:pPr>
      <w:r>
        <w:rPr>
          <w:rFonts w:hint="default" w:ascii="Times New Roman" w:hAnsi="Times New Roman" w:cs="Times New Roman"/>
          <w:bCs/>
          <w:szCs w:val="21"/>
        </w:rPr>
        <w:t>1、货物的验收包括：数量、外观、质量、性能、质保单、包装和乙方承诺的其他指标；</w:t>
      </w:r>
    </w:p>
    <w:p w14:paraId="7EA1044F">
      <w:pPr>
        <w:spacing w:line="360" w:lineRule="auto"/>
        <w:ind w:firstLine="210" w:firstLineChars="100"/>
        <w:rPr>
          <w:rFonts w:hint="default" w:ascii="Times New Roman" w:hAnsi="Times New Roman" w:cs="Times New Roman"/>
          <w:color w:val="000000"/>
          <w:szCs w:val="21"/>
        </w:rPr>
      </w:pPr>
      <w:r>
        <w:rPr>
          <w:rFonts w:hint="default" w:ascii="Times New Roman" w:hAnsi="Times New Roman" w:cs="Times New Roman"/>
          <w:bCs/>
          <w:szCs w:val="21"/>
        </w:rPr>
        <w:t>2、验收标准根据有关规定及技术要求，需通过第三方检测机构的废气排放检测和有关部门的环境影响评价审查。</w:t>
      </w:r>
    </w:p>
    <w:p w14:paraId="4225DD72">
      <w:pPr>
        <w:spacing w:line="360" w:lineRule="auto"/>
        <w:ind w:firstLine="211" w:firstLineChars="100"/>
        <w:rPr>
          <w:rFonts w:hint="default" w:ascii="Times New Roman" w:hAnsi="Times New Roman" w:cs="Times New Roman"/>
          <w:b/>
          <w:bCs/>
          <w:szCs w:val="21"/>
        </w:rPr>
      </w:pPr>
      <w:r>
        <w:rPr>
          <w:rFonts w:hint="default" w:ascii="Times New Roman" w:hAnsi="Times New Roman" w:cs="Times New Roman"/>
          <w:b/>
          <w:bCs/>
          <w:szCs w:val="21"/>
        </w:rPr>
        <w:t>（七）采购标的的其他技术、服务等要求：</w:t>
      </w:r>
    </w:p>
    <w:bookmarkEnd w:id="19"/>
    <w:p w14:paraId="4998253C">
      <w:pPr>
        <w:spacing w:line="360" w:lineRule="auto"/>
        <w:ind w:firstLine="420" w:firstLineChars="200"/>
        <w:jc w:val="left"/>
        <w:rPr>
          <w:rFonts w:hint="default" w:ascii="Times New Roman" w:hAnsi="Times New Roman" w:cs="Times New Roman"/>
          <w:bCs/>
          <w:color w:val="000000"/>
          <w:szCs w:val="21"/>
        </w:rPr>
      </w:pPr>
      <w:r>
        <w:rPr>
          <w:rFonts w:hint="default" w:ascii="Times New Roman" w:hAnsi="Times New Roman" w:cs="Times New Roman"/>
          <w:bCs/>
          <w:color w:val="000000"/>
          <w:szCs w:val="21"/>
        </w:rPr>
        <w:t>1. 及时的售后响应服务，提供7*24小时售后联系方式，承诺2小时内响应，支持线上协助处理技术故障及技术解答问题，严重问题时在24小时内到达现场处理。</w:t>
      </w:r>
    </w:p>
    <w:p w14:paraId="0538C388">
      <w:pPr>
        <w:spacing w:line="360" w:lineRule="auto"/>
        <w:jc w:val="left"/>
        <w:rPr>
          <w:rFonts w:hint="default" w:ascii="Times New Roman" w:hAnsi="Times New Roman" w:cs="Times New Roman"/>
          <w:bCs/>
          <w:szCs w:val="21"/>
        </w:rPr>
      </w:pPr>
      <w:r>
        <w:rPr>
          <w:rFonts w:hint="default" w:ascii="Times New Roman" w:hAnsi="Times New Roman" w:eastAsia="黑体" w:cs="Times New Roman"/>
          <w:b/>
          <w:szCs w:val="21"/>
        </w:rPr>
        <w:t xml:space="preserve">  </w:t>
      </w:r>
      <w:r>
        <w:rPr>
          <w:rFonts w:hint="default" w:ascii="Times New Roman" w:hAnsi="Times New Roman" w:cs="Times New Roman"/>
          <w:bCs/>
          <w:szCs w:val="21"/>
        </w:rPr>
        <w:t>2.投标总报价包括满足本项目要求的所有产品及其配件、包装、运输、安装调试及售后服务等从项目中标起到项目正式交付以及质保期内所发生的一切费用。</w:t>
      </w:r>
    </w:p>
    <w:p w14:paraId="6DB1EB48">
      <w:pPr>
        <w:spacing w:line="360" w:lineRule="auto"/>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3.采购人成立验收小组，按照采购合同的约定对中标供应商的履约情况进行验收，验收时间以采购人发出《履约验收通知单》为准。验收时，采购人按照采购合同约定对每一项技术、商务要求的履约情况进行确认。验收结束后，验收小组给出项目总体评价，双方共同签署并盖章，履约验收的各项资料存档备查。</w:t>
      </w:r>
    </w:p>
    <w:p w14:paraId="5AF300FB">
      <w:pPr>
        <w:tabs>
          <w:tab w:val="center" w:pos="4153"/>
          <w:tab w:val="right" w:pos="8306"/>
        </w:tabs>
        <w:snapToGrid w:val="0"/>
        <w:spacing w:after="0" w:line="360" w:lineRule="auto"/>
        <w:rPr>
          <w:rFonts w:hint="default" w:ascii="Times New Roman" w:hAnsi="Times New Roman" w:cs="Times New Roman"/>
          <w:b/>
          <w:bCs/>
          <w:color w:val="000000" w:themeColor="text1"/>
          <w:szCs w:val="21"/>
          <w14:textFill>
            <w14:solidFill>
              <w14:schemeClr w14:val="tx1"/>
            </w14:solidFill>
          </w14:textFill>
        </w:rPr>
      </w:pPr>
    </w:p>
    <w:p w14:paraId="126CF891">
      <w:pPr>
        <w:widowControl/>
        <w:spacing w:after="0" w:line="24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br w:type="page"/>
      </w:r>
    </w:p>
    <w:p w14:paraId="77CECEED">
      <w:pPr>
        <w:pStyle w:val="3"/>
        <w:numPr>
          <w:ilvl w:val="0"/>
          <w:numId w:val="0"/>
        </w:numPr>
        <w:spacing w:line="276" w:lineRule="auto"/>
        <w:ind w:firstLine="200"/>
        <w:rPr>
          <w:rFonts w:hint="default" w:ascii="Times New Roman" w:hAnsi="Times New Roman" w:cs="Times New Roman"/>
          <w:color w:val="000000" w:themeColor="text1"/>
          <w:kern w:val="0"/>
          <w:sz w:val="28"/>
          <w:szCs w:val="28"/>
          <w14:textFill>
            <w14:solidFill>
              <w14:schemeClr w14:val="tx1"/>
            </w14:solidFill>
          </w14:textFill>
        </w:rPr>
      </w:pPr>
      <w:r>
        <w:rPr>
          <w:rFonts w:hint="default" w:ascii="Times New Roman" w:hAnsi="Times New Roman" w:cs="Times New Roman"/>
          <w:color w:val="000000" w:themeColor="text1"/>
          <w:kern w:val="0"/>
          <w:sz w:val="28"/>
          <w:szCs w:val="28"/>
          <w14:textFill>
            <w14:solidFill>
              <w14:schemeClr w14:val="tx1"/>
            </w14:solidFill>
          </w14:textFill>
        </w:rPr>
        <w:t>第五章 合同主要条款及格式</w:t>
      </w:r>
      <w:bookmarkEnd w:id="17"/>
      <w:bookmarkEnd w:id="18"/>
    </w:p>
    <w:p w14:paraId="512C647E">
      <w:pPr>
        <w:spacing w:line="360" w:lineRule="auto"/>
        <w:jc w:val="left"/>
        <w:rPr>
          <w:rFonts w:hint="default" w:ascii="Times New Roman" w:hAnsi="Times New Roman" w:cs="Times New Roman"/>
          <w:b/>
          <w:bCs/>
          <w:color w:val="000000" w:themeColor="text1"/>
          <w:kern w:val="44"/>
          <w:szCs w:val="21"/>
          <w14:textFill>
            <w14:solidFill>
              <w14:schemeClr w14:val="tx1"/>
            </w14:solidFill>
          </w14:textFill>
        </w:rPr>
      </w:pPr>
      <w:bookmarkStart w:id="20" w:name="_Toc245033596"/>
      <w:r>
        <w:rPr>
          <w:rFonts w:hint="default" w:ascii="Times New Roman" w:hAnsi="Times New Roman" w:cs="Times New Roman"/>
          <w:b/>
          <w:bCs/>
          <w:color w:val="000000" w:themeColor="text1"/>
          <w:kern w:val="44"/>
          <w:szCs w:val="21"/>
          <w14:textFill>
            <w14:solidFill>
              <w14:schemeClr w14:val="tx1"/>
            </w14:solidFill>
          </w14:textFill>
        </w:rPr>
        <w:t>甲方：</w:t>
      </w:r>
    </w:p>
    <w:p w14:paraId="2126EC8B">
      <w:pPr>
        <w:rPr>
          <w:rFonts w:hint="default" w:ascii="Times New Roman" w:hAnsi="Times New Roman" w:cs="Times New Roman"/>
          <w:b/>
          <w:bCs/>
          <w:color w:val="000000" w:themeColor="text1"/>
          <w:kern w:val="44"/>
          <w:szCs w:val="21"/>
          <w14:textFill>
            <w14:solidFill>
              <w14:schemeClr w14:val="tx1"/>
            </w14:solidFill>
          </w14:textFill>
        </w:rPr>
      </w:pPr>
      <w:r>
        <w:rPr>
          <w:rFonts w:hint="default" w:ascii="Times New Roman" w:hAnsi="Times New Roman" w:cs="Times New Roman"/>
          <w:b/>
          <w:bCs/>
          <w:color w:val="000000" w:themeColor="text1"/>
          <w:kern w:val="44"/>
          <w:szCs w:val="21"/>
          <w14:textFill>
            <w14:solidFill>
              <w14:schemeClr w14:val="tx1"/>
            </w14:solidFill>
          </w14:textFill>
        </w:rPr>
        <w:t>乙方：</w:t>
      </w:r>
    </w:p>
    <w:p w14:paraId="1663AB33">
      <w:pPr>
        <w:rPr>
          <w:rFonts w:hint="default" w:ascii="Times New Roman" w:hAnsi="Times New Roman" w:cs="Times New Roman"/>
          <w:b/>
          <w:bCs/>
          <w:color w:val="000000" w:themeColor="text1"/>
          <w:kern w:val="44"/>
          <w:szCs w:val="21"/>
          <w14:textFill>
            <w14:solidFill>
              <w14:schemeClr w14:val="tx1"/>
            </w14:solidFill>
          </w14:textFill>
        </w:rPr>
      </w:pPr>
      <w:r>
        <w:rPr>
          <w:rFonts w:hint="default" w:ascii="Times New Roman" w:hAnsi="Times New Roman" w:cs="Times New Roman"/>
          <w:b/>
          <w:bCs/>
          <w:color w:val="000000" w:themeColor="text1"/>
          <w:kern w:val="44"/>
          <w:szCs w:val="21"/>
          <w14:textFill>
            <w14:solidFill>
              <w14:schemeClr w14:val="tx1"/>
            </w14:solidFill>
          </w14:textFill>
        </w:rPr>
        <w:t>代理机构：</w:t>
      </w:r>
    </w:p>
    <w:p w14:paraId="360BD50E">
      <w:pPr>
        <w:spacing w:line="360" w:lineRule="auto"/>
        <w:jc w:val="center"/>
        <w:outlineLvl w:val="1"/>
        <w:rPr>
          <w:rFonts w:hint="default" w:ascii="Times New Roman" w:hAnsi="Times New Roman" w:cs="Times New Roman"/>
          <w:b/>
          <w:bCs/>
          <w:color w:val="000000" w:themeColor="text1"/>
          <w:kern w:val="44"/>
          <w:szCs w:val="21"/>
          <w14:textFill>
            <w14:solidFill>
              <w14:schemeClr w14:val="tx1"/>
            </w14:solidFill>
          </w14:textFill>
        </w:rPr>
      </w:pPr>
      <w:r>
        <w:rPr>
          <w:rFonts w:hint="default" w:ascii="Times New Roman" w:hAnsi="Times New Roman" w:cs="Times New Roman"/>
          <w:b/>
          <w:bCs/>
          <w:color w:val="000000" w:themeColor="text1"/>
          <w:kern w:val="44"/>
          <w:szCs w:val="21"/>
          <w14:textFill>
            <w14:solidFill>
              <w14:schemeClr w14:val="tx1"/>
            </w14:solidFill>
          </w14:textFill>
        </w:rPr>
        <w:t>第一部分．合同的一般性条款</w:t>
      </w:r>
    </w:p>
    <w:p w14:paraId="7539F23E">
      <w:pPr>
        <w:spacing w:line="400" w:lineRule="exact"/>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一、合同文件</w:t>
      </w:r>
      <w:bookmarkEnd w:id="20"/>
    </w:p>
    <w:p w14:paraId="53BEBCF6">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1、合同文件适用法律</w:t>
      </w:r>
    </w:p>
    <w:p w14:paraId="6EE2FDDD">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 适用于合同文件的法律是中华人民共和国现行法律、法规及甲方所在地的地方性法规。</w:t>
      </w:r>
    </w:p>
    <w:p w14:paraId="1399506F">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2、合同文件组成和解释顺序</w:t>
      </w:r>
    </w:p>
    <w:p w14:paraId="54962A74">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 合同文件的组成和解释顺序如下：</w:t>
      </w:r>
    </w:p>
    <w:p w14:paraId="242FA0B1">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2.1.1 合同的特殊性条款</w:t>
      </w:r>
    </w:p>
    <w:p w14:paraId="0A9CA059">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2.1.2 合同的一般性条款</w:t>
      </w:r>
    </w:p>
    <w:p w14:paraId="25912E6E">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2.1.3 洽商、变更等明确双方权利义务的纪要、协议</w:t>
      </w:r>
    </w:p>
    <w:p w14:paraId="02DE785B">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2.1.4 中标通知书、投标书和招标文件</w:t>
      </w:r>
    </w:p>
    <w:p w14:paraId="64FC7AE8">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2.1.5 有关图纸</w:t>
      </w:r>
    </w:p>
    <w:p w14:paraId="6220C37D">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2.1.6 标准、规范和其他有关技术资料、技术要求</w:t>
      </w:r>
    </w:p>
    <w:p w14:paraId="3FE7CD10">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2.2 合同的特殊性条款的效率优于合同的一般性条款的效力</w:t>
      </w:r>
    </w:p>
    <w:p w14:paraId="42F3AEA9">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3、合同文件使用文字</w:t>
      </w:r>
    </w:p>
    <w:p w14:paraId="4D0035F3">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3.1 合同文件使用中文书写、解释和说明</w:t>
      </w:r>
    </w:p>
    <w:p w14:paraId="0C28D847">
      <w:pPr>
        <w:spacing w:line="400" w:lineRule="exact"/>
        <w:ind w:left="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3.2 合同文件使用特殊性条款约定的国家标准和规范；国家没有相应标准、规范时，可</w:t>
      </w:r>
    </w:p>
    <w:p w14:paraId="424E5459">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使用特殊性条款约定的行业或甲方所在地地方的标准、规范。甲方应按特殊性条款约定的时间向乙方提供一式两份约定的标准和规范。</w:t>
      </w:r>
    </w:p>
    <w:p w14:paraId="55B0A13A">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1" w:name="_Toc245033597"/>
      <w:r>
        <w:rPr>
          <w:rFonts w:hint="default" w:ascii="Times New Roman" w:hAnsi="Times New Roman" w:cs="Times New Roman"/>
          <w:b/>
          <w:bCs/>
          <w:color w:val="000000" w:themeColor="text1"/>
          <w:szCs w:val="21"/>
          <w14:textFill>
            <w14:solidFill>
              <w14:schemeClr w14:val="tx1"/>
            </w14:solidFill>
          </w14:textFill>
        </w:rPr>
        <w:t>二、标的物的一般条款</w:t>
      </w:r>
      <w:bookmarkEnd w:id="21"/>
    </w:p>
    <w:p w14:paraId="104072D1">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4、完整物权</w:t>
      </w:r>
    </w:p>
    <w:p w14:paraId="31F0ABF0">
      <w:pPr>
        <w:spacing w:line="400" w:lineRule="exact"/>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对于出卖的标的物，乙方应当拥有完整物权，并且乙方负有保证第三人不得向甲方主张任何权利（包括知识产权）的义务。</w:t>
      </w:r>
    </w:p>
    <w:p w14:paraId="615187CA">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5、质量保证</w:t>
      </w:r>
    </w:p>
    <w:p w14:paraId="275FD11B">
      <w:pPr>
        <w:spacing w:line="400" w:lineRule="exact"/>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5.1 乙方应保证所供标的物是全新的，未使用过的，并且是非长期积压的库存商品，完</w:t>
      </w:r>
    </w:p>
    <w:p w14:paraId="417DEC0F">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p>
    <w:p w14:paraId="0BD544FE">
      <w:pPr>
        <w:spacing w:line="400" w:lineRule="exact"/>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5.2 根据甲方按检验标准自己检验的结果或当地技监部门的检验结果，或者在质量保证</w:t>
      </w:r>
    </w:p>
    <w:p w14:paraId="4B4635FB">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期内，如果标的物的数量、质量或规格与合同不符或证实标的物是具有缺陷的，包括潜在缺陷或使用不符合要求的材料等，甲方应尽快以书面形式通知乙方并提出索赔。</w:t>
      </w:r>
    </w:p>
    <w:p w14:paraId="59CBD0B7">
      <w:pPr>
        <w:spacing w:line="400" w:lineRule="exact"/>
        <w:ind w:firstLine="420"/>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5.3 除合同特殊条款规定外，合同条款中标的物的质量保证期均自标的物通过最终验收之日起计算，</w:t>
      </w:r>
      <w:r>
        <w:rPr>
          <w:rFonts w:hint="default" w:ascii="Times New Roman" w:hAnsi="Times New Roman" w:cs="Times New Roman"/>
          <w:b/>
          <w:color w:val="000000" w:themeColor="text1"/>
          <w:szCs w:val="21"/>
          <w14:textFill>
            <w14:solidFill>
              <w14:schemeClr w14:val="tx1"/>
            </w14:solidFill>
          </w14:textFill>
        </w:rPr>
        <w:t>且质保期需满足招标文件要求。</w:t>
      </w:r>
    </w:p>
    <w:p w14:paraId="6E3119AD">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6、包装</w:t>
      </w:r>
    </w:p>
    <w:p w14:paraId="0531BB76">
      <w:pPr>
        <w:spacing w:line="400" w:lineRule="exact"/>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p>
    <w:p w14:paraId="2AFF6A64">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7、伴随服务</w:t>
      </w:r>
    </w:p>
    <w:p w14:paraId="651E9508">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 乙方除应履行按期按量交付合格标的物的义务之外，还应提供下列服务：</w:t>
      </w:r>
    </w:p>
    <w:p w14:paraId="7DCBF30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7.1.1 标的物的现场安装、启动、调试、监督（如果必须安装、调试的话）；</w:t>
      </w:r>
    </w:p>
    <w:p w14:paraId="2BC32A75">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7.1.2 提供标的物的组装和一般维修所必需的工具；</w:t>
      </w:r>
    </w:p>
    <w:p w14:paraId="0BBEC878">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7.1.3 在合同规定的期限内对所提供标的物实行运行监督、维修服务的前提条件是该服务并不能免除乙方在质量保证期内所承担的义务；</w:t>
      </w:r>
    </w:p>
    <w:p w14:paraId="5EE8EB4B">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7.1.4  对甲方技术人员的技术指导或培训。</w:t>
      </w:r>
    </w:p>
    <w:p w14:paraId="5C869538">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7.2 除合同另有规定之外，伴随服务的费用均已含在合同价款中，甲方不再另行进行支付。</w:t>
      </w:r>
    </w:p>
    <w:p w14:paraId="4BC0DDB8">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2" w:name="_Toc245033598"/>
      <w:r>
        <w:rPr>
          <w:rFonts w:hint="default" w:ascii="Times New Roman" w:hAnsi="Times New Roman" w:cs="Times New Roman"/>
          <w:b/>
          <w:bCs/>
          <w:color w:val="000000" w:themeColor="text1"/>
          <w:szCs w:val="21"/>
          <w14:textFill>
            <w14:solidFill>
              <w14:schemeClr w14:val="tx1"/>
            </w14:solidFill>
          </w14:textFill>
        </w:rPr>
        <w:t>三、标的物的交付、检验和验收</w:t>
      </w:r>
      <w:bookmarkEnd w:id="22"/>
    </w:p>
    <w:p w14:paraId="346D743D">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8、标的物的交付</w:t>
      </w:r>
    </w:p>
    <w:p w14:paraId="64A7F0ED">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8.1 标的物的所有权自标的物交付时转移。</w:t>
      </w:r>
    </w:p>
    <w:p w14:paraId="7A7D3BE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8.2 乙方应当按照约定的期限和约定的地点交付标的物。</w:t>
      </w:r>
    </w:p>
    <w:p w14:paraId="25C53A3B">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8.3 乙方应当按照约定或者交易习惯向甲方交付提取标的物的单证以外的有关单证和资料。</w:t>
      </w:r>
    </w:p>
    <w:p w14:paraId="10649861">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9、检验和验收</w:t>
      </w:r>
    </w:p>
    <w:p w14:paraId="4D4F9027">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9.1 在交货前，乙方应对标的物的质量、规格、性能、数量等进行详细而全面的检验，并出具一份合格检验证明，合格检验证明作为甲方验收的依据，但不能作为有关标的物质量、规格、数量或性能的最终检验结果。</w:t>
      </w:r>
    </w:p>
    <w:p w14:paraId="22E192DF">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p>
    <w:p w14:paraId="08FBC187">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9.3 验收期限自标的物交付之日起30个工作日内。特殊情况需延长的，双方应在合同的特殊条款中约定。</w:t>
      </w:r>
    </w:p>
    <w:p w14:paraId="03EFAAE0">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9.4 如双方对验收结果有分歧，则以甲方委托的第三方检验结果为准，检验费用由有过失的一方支付。</w:t>
      </w:r>
    </w:p>
    <w:p w14:paraId="2CF57744">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3" w:name="_Toc245033599"/>
      <w:r>
        <w:rPr>
          <w:rFonts w:hint="default" w:ascii="Times New Roman" w:hAnsi="Times New Roman" w:cs="Times New Roman"/>
          <w:b/>
          <w:bCs/>
          <w:color w:val="000000" w:themeColor="text1"/>
          <w:szCs w:val="21"/>
          <w14:textFill>
            <w14:solidFill>
              <w14:schemeClr w14:val="tx1"/>
            </w14:solidFill>
          </w14:textFill>
        </w:rPr>
        <w:t>四、对标的物提出异议的时间和办法</w:t>
      </w:r>
      <w:bookmarkEnd w:id="23"/>
    </w:p>
    <w:p w14:paraId="6A11D546">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10、对标的物提出异议的时间和办法</w:t>
      </w:r>
    </w:p>
    <w:p w14:paraId="375278E1">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10.1 甲方在验收过程中，应当与双方约定的检验期间内将标的物的数量或质量不符合规定的情形及处理方式以书面形式通知乙方。</w:t>
      </w:r>
    </w:p>
    <w:p w14:paraId="6EB8B093">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10.2 如甲方在验收期满后既不出具验收合格证明又未提出书面异议的视为乙方所交标的物符合合同规定。</w:t>
      </w:r>
    </w:p>
    <w:p w14:paraId="483D698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10.3 乙方应在收到甲方书面异议后七天内负责处理问题，否则将视为默认甲方提出的异议和处理意见。</w:t>
      </w:r>
    </w:p>
    <w:p w14:paraId="23641BB8">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4" w:name="_Toc245033600"/>
      <w:r>
        <w:rPr>
          <w:rFonts w:hint="default" w:ascii="Times New Roman" w:hAnsi="Times New Roman" w:cs="Times New Roman"/>
          <w:b/>
          <w:bCs/>
          <w:color w:val="000000" w:themeColor="text1"/>
          <w:szCs w:val="21"/>
          <w14:textFill>
            <w14:solidFill>
              <w14:schemeClr w14:val="tx1"/>
            </w14:solidFill>
          </w14:textFill>
        </w:rPr>
        <w:t>五、合同价款和支付</w:t>
      </w:r>
      <w:bookmarkEnd w:id="24"/>
    </w:p>
    <w:p w14:paraId="4C5C3DEF">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11.1 本合同的结算货币为人民币，总价款为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，单位元，大写：</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，含税。</w:t>
      </w:r>
    </w:p>
    <w:p w14:paraId="141A0CD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11.2 乙方应按照双方签订的合同规定交货并在合同特殊条款规定的期限内持下列单据结算货款。</w:t>
      </w:r>
    </w:p>
    <w:p w14:paraId="0D0078C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11.2.1 合格的销售发票</w:t>
      </w:r>
    </w:p>
    <w:p w14:paraId="5EE93E7F">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11.2.2 甲方盖章签收后的送货回单和验收合格证明。</w:t>
      </w:r>
    </w:p>
    <w:p w14:paraId="3CCF98F7">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11.3 甲方应按合同特殊条款规定的期限和方式付款。</w:t>
      </w:r>
    </w:p>
    <w:p w14:paraId="1B7AF575">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11.4 根据现行税法对甲方征收的与本合同有关的一切税费均由甲方承担；根据现行税法对乙方征收的与本合同有关的一切税费均由乙方承担。</w:t>
      </w:r>
    </w:p>
    <w:p w14:paraId="68578174">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11.5乙方全部履行合同，甲方在收到乙方的付款通知并审定无误后十五个工作日内按期付款。 </w:t>
      </w:r>
    </w:p>
    <w:p w14:paraId="4DB5D3DA">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11.6乙方提前交货的，甲方接货后，仍可按合同规定的付款时间付款。</w:t>
      </w:r>
    </w:p>
    <w:p w14:paraId="11900749">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5" w:name="_Toc245033601"/>
      <w:r>
        <w:rPr>
          <w:rFonts w:hint="default" w:ascii="Times New Roman" w:hAnsi="Times New Roman" w:cs="Times New Roman"/>
          <w:b/>
          <w:bCs/>
          <w:color w:val="000000" w:themeColor="text1"/>
          <w:szCs w:val="21"/>
          <w14:textFill>
            <w14:solidFill>
              <w14:schemeClr w14:val="tx1"/>
            </w14:solidFill>
          </w14:textFill>
        </w:rPr>
        <w:t>六、违约责任</w:t>
      </w:r>
      <w:bookmarkEnd w:id="25"/>
    </w:p>
    <w:p w14:paraId="606A5D52">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12、违约责任</w:t>
      </w:r>
    </w:p>
    <w:p w14:paraId="791A8FF7">
      <w:pPr>
        <w:spacing w:line="400" w:lineRule="exact"/>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合同乙方不履行合同义务或者履行合同义务不符合规定的，应当承担继续履行、采取补救措施或者赔偿损失等违约责任。</w:t>
      </w:r>
    </w:p>
    <w:p w14:paraId="7622D173">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13、甲方违约责任</w:t>
      </w:r>
    </w:p>
    <w:p w14:paraId="6B6FAE02">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13.1 在合同生效后，甲方要求退货的，应向乙方偿付合同总价款的5%，作为违约金，</w:t>
      </w:r>
    </w:p>
    <w:p w14:paraId="12211881">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违约金不足以补偿损失的，乙方有权要求甲方补足。</w:t>
      </w:r>
    </w:p>
    <w:p w14:paraId="352DD5B4">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13.2 甲方逾期付款的应按照逾期付款金额的每天万分之四支付逾期付款违约金。</w:t>
      </w:r>
    </w:p>
    <w:p w14:paraId="02635358">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13.3 甲方违反合同规定，拒绝接受乙方交付的合格标的物，应当承担乙方由此造成的</w:t>
      </w:r>
    </w:p>
    <w:p w14:paraId="38E0F4AC">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损失。</w:t>
      </w:r>
    </w:p>
    <w:p w14:paraId="60B91634">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14、乙方违约责任</w:t>
      </w:r>
    </w:p>
    <w:p w14:paraId="180AF41F">
      <w:pPr>
        <w:spacing w:line="400" w:lineRule="exact"/>
        <w:ind w:left="361" w:leftChars="171" w:hanging="2"/>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14.1 乙方不能交货（逾期超过十五天视为不能交货），或交货不合格从而影响甲方按期正常使用的，应向甲方偿付合同总价款5%的违约金，违约金不足以补偿损失的甲方有权要求乙方补足。</w:t>
      </w:r>
    </w:p>
    <w:p w14:paraId="546B863A">
      <w:pPr>
        <w:spacing w:line="400" w:lineRule="exact"/>
        <w:ind w:left="361" w:leftChars="171" w:hanging="2"/>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14.2 乙方逾期交货的，应在发货前与甲方和政府采购管理部门协商，甲方仍需求的，乙方应立即发货并应按照逾期交货部分货款的每天万分之四支付逾期交货违约金，同时承担甲方因此遭致的损失费用。</w:t>
      </w:r>
    </w:p>
    <w:p w14:paraId="5FF2A363">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15、不可抗力</w:t>
      </w:r>
    </w:p>
    <w:p w14:paraId="68CFC2E9">
      <w:pPr>
        <w:spacing w:line="400" w:lineRule="exact"/>
        <w:ind w:left="361" w:leftChars="171" w:hanging="2"/>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15.1 因不可抗力不能履行合同的，根据不可抗力的影响，部分或者全部免除责任。但合同一方延迟履行后发生不可抗力的，不能免除责任。</w:t>
      </w:r>
    </w:p>
    <w:p w14:paraId="740E7E9F">
      <w:pPr>
        <w:spacing w:line="400" w:lineRule="exact"/>
        <w:ind w:left="361" w:leftChars="171" w:hanging="2"/>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15.2 合同一方因不可抗力不能履行合同的，应当及时通知对方，以减轻可能给对方造成的损失，并应当在合理期限内提供证明。</w:t>
      </w:r>
    </w:p>
    <w:p w14:paraId="062623C7">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6" w:name="_Toc245033602"/>
      <w:r>
        <w:rPr>
          <w:rFonts w:hint="default" w:ascii="Times New Roman" w:hAnsi="Times New Roman" w:cs="Times New Roman"/>
          <w:b/>
          <w:bCs/>
          <w:color w:val="000000" w:themeColor="text1"/>
          <w:szCs w:val="21"/>
          <w14:textFill>
            <w14:solidFill>
              <w14:schemeClr w14:val="tx1"/>
            </w14:solidFill>
          </w14:textFill>
        </w:rPr>
        <w:t>七、索赔</w:t>
      </w:r>
      <w:bookmarkEnd w:id="26"/>
    </w:p>
    <w:p w14:paraId="1B217273">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16、索赔</w:t>
      </w:r>
    </w:p>
    <w:p w14:paraId="0AE665D2">
      <w:pPr>
        <w:autoSpaceDE w:val="0"/>
        <w:autoSpaceDN w:val="0"/>
        <w:adjustRightInd w:val="0"/>
        <w:spacing w:line="400" w:lineRule="exact"/>
        <w:ind w:firstLine="420" w:firstLineChars="20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如在设备交货，安装，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2—5天内应免费维修或更换有缺陷的货物或部件。如果乙方在收到通知后7天内没有弥补缺陷，甲方可采取必要的补救措施，但风险和费用将由乙方承担，同时甲方对乙方行使的其他权利不受影响。索赔方式除上述规定之外，甲方还有权利选择以下方式进行索赔：</w:t>
      </w:r>
    </w:p>
    <w:p w14:paraId="13289311">
      <w:pPr>
        <w:autoSpaceDE w:val="0"/>
        <w:autoSpaceDN w:val="0"/>
        <w:adjustRightInd w:val="0"/>
        <w:spacing w:line="400" w:lineRule="exact"/>
        <w:ind w:firstLine="420" w:firstLineChars="20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16.1乙方同意退货，并双倍返还定金及甲方已支付的合同款，并承担由此发生的一切损失和费用，包括利息，银行手续费，运费，保险费，仓储费，装卸费以及为保护退回货物所需的其他必要费用。</w:t>
      </w:r>
    </w:p>
    <w:p w14:paraId="1AC54550">
      <w:pPr>
        <w:autoSpaceDE w:val="0"/>
        <w:autoSpaceDN w:val="0"/>
        <w:adjustRightInd w:val="0"/>
        <w:spacing w:line="400" w:lineRule="exact"/>
        <w:ind w:firstLine="420" w:firstLineChars="20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16.2根据货物的低劣程度，损坏程度以及甲方遭受损失的数额，经甲乙双方商定降低货物的价格。</w:t>
      </w:r>
    </w:p>
    <w:p w14:paraId="72C8B638">
      <w:pPr>
        <w:autoSpaceDE w:val="0"/>
        <w:autoSpaceDN w:val="0"/>
        <w:adjustRightInd w:val="0"/>
        <w:spacing w:line="400" w:lineRule="exact"/>
        <w:ind w:firstLine="42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16.3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6E984D90">
      <w:pPr>
        <w:autoSpaceDE w:val="0"/>
        <w:autoSpaceDN w:val="0"/>
        <w:adjustRightInd w:val="0"/>
        <w:spacing w:line="400" w:lineRule="exact"/>
        <w:ind w:firstLine="420"/>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16.4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323F39E2">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7" w:name="_Toc245033603"/>
      <w:r>
        <w:rPr>
          <w:rFonts w:hint="default" w:ascii="Times New Roman" w:hAnsi="Times New Roman" w:cs="Times New Roman"/>
          <w:b/>
          <w:bCs/>
          <w:color w:val="000000" w:themeColor="text1"/>
          <w:szCs w:val="21"/>
          <w14:textFill>
            <w14:solidFill>
              <w14:schemeClr w14:val="tx1"/>
            </w14:solidFill>
          </w14:textFill>
        </w:rPr>
        <w:t>八、履约保证金</w:t>
      </w:r>
      <w:bookmarkEnd w:id="27"/>
    </w:p>
    <w:p w14:paraId="784ADB1E">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17、履约保证金 </w:t>
      </w:r>
    </w:p>
    <w:p w14:paraId="69256982">
      <w:pPr>
        <w:autoSpaceDE w:val="0"/>
        <w:autoSpaceDN w:val="0"/>
        <w:adjustRightInd w:val="0"/>
        <w:spacing w:line="400" w:lineRule="exact"/>
        <w:ind w:firstLine="420" w:firstLineChars="2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本项目不约定履约保证金</w:t>
      </w:r>
      <w:r>
        <w:rPr>
          <w:rFonts w:hint="default" w:ascii="Times New Roman" w:hAnsi="Times New Roman" w:cs="Times New Roman"/>
          <w:color w:val="000000" w:themeColor="text1"/>
          <w:szCs w:val="21"/>
          <w:lang w:val="zh-CN"/>
          <w14:textFill>
            <w14:solidFill>
              <w14:schemeClr w14:val="tx1"/>
            </w14:solidFill>
          </w14:textFill>
        </w:rPr>
        <w:t>。</w:t>
      </w:r>
    </w:p>
    <w:p w14:paraId="28ADF11D">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8" w:name="_Toc245033604"/>
      <w:r>
        <w:rPr>
          <w:rFonts w:hint="default" w:ascii="Times New Roman" w:hAnsi="Times New Roman" w:cs="Times New Roman"/>
          <w:b/>
          <w:bCs/>
          <w:color w:val="000000" w:themeColor="text1"/>
          <w:szCs w:val="21"/>
          <w14:textFill>
            <w14:solidFill>
              <w14:schemeClr w14:val="tx1"/>
            </w14:solidFill>
          </w14:textFill>
        </w:rPr>
        <w:t>九、合同的解除和转让</w:t>
      </w:r>
      <w:bookmarkEnd w:id="28"/>
    </w:p>
    <w:p w14:paraId="79097DE7">
      <w:pPr>
        <w:spacing w:line="400" w:lineRule="exact"/>
        <w:ind w:firstLine="238" w:firstLineChars="113"/>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18、合同的解除</w:t>
      </w:r>
    </w:p>
    <w:p w14:paraId="7BD9EE6A">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18.1 甲方和乙方协商一致，可以解除合同。</w:t>
      </w:r>
    </w:p>
    <w:p w14:paraId="73B985F4">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18.2 有下列情形之一，合同一方可以解除合同：</w:t>
      </w:r>
    </w:p>
    <w:p w14:paraId="2CC0AFEF">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18.2.1 因不可抗力致使不能实现合同目的，未受不可抗力影响的一方有权解除合同；</w:t>
      </w:r>
    </w:p>
    <w:p w14:paraId="1EC17413">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18.2.2 因合同一方违约导致合同不能履行，另一方有权解除合同。</w:t>
      </w:r>
    </w:p>
    <w:p w14:paraId="43D57110">
      <w:pPr>
        <w:spacing w:line="400" w:lineRule="exact"/>
        <w:ind w:firstLine="268" w:firstLineChars="128"/>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18.3 有权解除合同的一方，应当在违约事实或不可抗力发生之后三十天内书面通知对方以主张解除合同，合同在书面通知到达对方时解除。</w:t>
      </w:r>
    </w:p>
    <w:p w14:paraId="7547D141">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19、合同的转让</w:t>
      </w:r>
    </w:p>
    <w:p w14:paraId="46E827FB">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 xml:space="preserve"> 合同的部分和全部都不得转让。</w:t>
      </w:r>
    </w:p>
    <w:p w14:paraId="667D932F">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29" w:name="_Toc245033605"/>
      <w:r>
        <w:rPr>
          <w:rFonts w:hint="default" w:ascii="Times New Roman" w:hAnsi="Times New Roman" w:cs="Times New Roman"/>
          <w:b/>
          <w:bCs/>
          <w:color w:val="000000" w:themeColor="text1"/>
          <w:szCs w:val="21"/>
          <w14:textFill>
            <w14:solidFill>
              <w14:schemeClr w14:val="tx1"/>
            </w14:solidFill>
          </w14:textFill>
        </w:rPr>
        <w:t>十、合同的生效</w:t>
      </w:r>
      <w:bookmarkEnd w:id="29"/>
    </w:p>
    <w:p w14:paraId="6C13DE7C">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20、合同的生效</w:t>
      </w:r>
    </w:p>
    <w:p w14:paraId="100FAE62">
      <w:pPr>
        <w:autoSpaceDE w:val="0"/>
        <w:autoSpaceDN w:val="0"/>
        <w:adjustRightInd w:val="0"/>
        <w:spacing w:line="400" w:lineRule="exact"/>
        <w:ind w:firstLine="425"/>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本合同在双方签字</w:t>
      </w:r>
      <w:r>
        <w:rPr>
          <w:rFonts w:hint="default" w:ascii="Times New Roman" w:hAnsi="Times New Roman" w:cs="Times New Roman"/>
          <w:color w:val="000000" w:themeColor="text1"/>
          <w:szCs w:val="21"/>
          <w14:textFill>
            <w14:solidFill>
              <w14:schemeClr w14:val="tx1"/>
            </w14:solidFill>
          </w14:textFill>
        </w:rPr>
        <w:t>盖章，经江苏省设备成套股份有限公司见证后生效。</w:t>
      </w:r>
    </w:p>
    <w:p w14:paraId="4A18B863">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30" w:name="_Toc245033606"/>
      <w:r>
        <w:rPr>
          <w:rFonts w:hint="default" w:ascii="Times New Roman" w:hAnsi="Times New Roman" w:cs="Times New Roman"/>
          <w:b/>
          <w:bCs/>
          <w:color w:val="000000" w:themeColor="text1"/>
          <w:szCs w:val="21"/>
          <w14:textFill>
            <w14:solidFill>
              <w14:schemeClr w14:val="tx1"/>
            </w14:solidFill>
          </w14:textFill>
        </w:rPr>
        <w:t>十一、争议解决</w:t>
      </w:r>
      <w:bookmarkEnd w:id="30"/>
    </w:p>
    <w:p w14:paraId="2627F9A1">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21、争议解决</w:t>
      </w:r>
    </w:p>
    <w:p w14:paraId="3FAD7566">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甲乙双方因合同发生争议，应在招标方的主持下进行调解，协调不成，任何一方均可提请无锡仲裁委员会裁决。</w:t>
      </w:r>
    </w:p>
    <w:p w14:paraId="0D811BEF">
      <w:pPr>
        <w:spacing w:line="400" w:lineRule="exact"/>
        <w:rPr>
          <w:rFonts w:hint="default" w:ascii="Times New Roman" w:hAnsi="Times New Roman" w:cs="Times New Roman"/>
          <w:b/>
          <w:bCs/>
          <w:color w:val="000000" w:themeColor="text1"/>
          <w:szCs w:val="21"/>
          <w14:textFill>
            <w14:solidFill>
              <w14:schemeClr w14:val="tx1"/>
            </w14:solidFill>
          </w14:textFill>
        </w:rPr>
      </w:pPr>
      <w:bookmarkStart w:id="31" w:name="_Toc245033607"/>
      <w:r>
        <w:rPr>
          <w:rFonts w:hint="default" w:ascii="Times New Roman" w:hAnsi="Times New Roman" w:cs="Times New Roman"/>
          <w:b/>
          <w:bCs/>
          <w:color w:val="000000" w:themeColor="text1"/>
          <w:szCs w:val="21"/>
          <w14:textFill>
            <w14:solidFill>
              <w14:schemeClr w14:val="tx1"/>
            </w14:solidFill>
          </w14:textFill>
        </w:rPr>
        <w:t>十二、附则</w:t>
      </w:r>
      <w:bookmarkEnd w:id="31"/>
    </w:p>
    <w:p w14:paraId="14CD38E9">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22、合同份数</w:t>
      </w:r>
    </w:p>
    <w:p w14:paraId="0B61C457">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本协议书一式陆份，具有同等法律效力。供需双方各执贰份，市财政局政府采购管理处、江苏省设备成套股份有限公司各执壹份。</w:t>
      </w:r>
    </w:p>
    <w:p w14:paraId="348AEEC2">
      <w:pPr>
        <w:spacing w:line="400" w:lineRule="exact"/>
        <w:ind w:firstLine="135" w:firstLineChars="64"/>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23、未尽事宜</w:t>
      </w:r>
    </w:p>
    <w:p w14:paraId="2E291A4B">
      <w:pPr>
        <w:spacing w:line="360" w:lineRule="auto"/>
        <w:jc w:val="left"/>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本合同未尽事宜应按《中华人民共和国民法典》、《中华人民共和国产品质量法》、《中华人民共和国政府采购法》之规定解释。</w:t>
      </w:r>
    </w:p>
    <w:p w14:paraId="0B40E065">
      <w:pPr>
        <w:rPr>
          <w:rFonts w:hint="default" w:ascii="Times New Roman" w:hAnsi="Times New Roman" w:cs="Times New Roman"/>
          <w:b/>
          <w:bCs/>
          <w:color w:val="000000" w:themeColor="text1"/>
          <w:kern w:val="44"/>
          <w:szCs w:val="21"/>
          <w14:textFill>
            <w14:solidFill>
              <w14:schemeClr w14:val="tx1"/>
            </w14:solidFill>
          </w14:textFill>
        </w:rPr>
      </w:pPr>
      <w:r>
        <w:rPr>
          <w:rFonts w:hint="default" w:ascii="Times New Roman" w:hAnsi="Times New Roman" w:cs="Times New Roman"/>
          <w:b/>
          <w:bCs/>
          <w:color w:val="000000" w:themeColor="text1"/>
          <w:kern w:val="44"/>
          <w:szCs w:val="21"/>
          <w14:textFill>
            <w14:solidFill>
              <w14:schemeClr w14:val="tx1"/>
            </w14:solidFill>
          </w14:textFill>
        </w:rPr>
        <w:br w:type="page"/>
      </w:r>
    </w:p>
    <w:p w14:paraId="468A5FB3">
      <w:pPr>
        <w:spacing w:line="360" w:lineRule="auto"/>
        <w:jc w:val="center"/>
        <w:outlineLvl w:val="1"/>
        <w:rPr>
          <w:rFonts w:hint="default" w:ascii="Times New Roman" w:hAnsi="Times New Roman" w:cs="Times New Roman"/>
          <w:b/>
          <w:bCs/>
          <w:color w:val="000000" w:themeColor="text1"/>
          <w:kern w:val="44"/>
          <w:szCs w:val="21"/>
          <w14:textFill>
            <w14:solidFill>
              <w14:schemeClr w14:val="tx1"/>
            </w14:solidFill>
          </w14:textFill>
        </w:rPr>
      </w:pPr>
      <w:r>
        <w:rPr>
          <w:rFonts w:hint="default" w:ascii="Times New Roman" w:hAnsi="Times New Roman" w:cs="Times New Roman"/>
          <w:b/>
          <w:bCs/>
          <w:color w:val="000000" w:themeColor="text1"/>
          <w:kern w:val="44"/>
          <w:szCs w:val="21"/>
          <w14:textFill>
            <w14:solidFill>
              <w14:schemeClr w14:val="tx1"/>
            </w14:solidFill>
          </w14:textFill>
        </w:rPr>
        <w:t>第二部分．合同的特殊性条款</w:t>
      </w:r>
    </w:p>
    <w:p w14:paraId="4FF07F6E">
      <w:pPr>
        <w:tabs>
          <w:tab w:val="left" w:pos="1129"/>
        </w:tabs>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一、合同内容：</w:t>
      </w:r>
    </w:p>
    <w:p w14:paraId="23B16746">
      <w:pPr>
        <w:spacing w:line="360" w:lineRule="auto"/>
        <w:ind w:firstLine="210" w:firstLineChars="100"/>
        <w:rPr>
          <w:rFonts w:hint="default" w:ascii="Times New Roman" w:hAnsi="Times New Roman" w:cs="Times New Roman"/>
          <w:b/>
          <w:color w:val="000000" w:themeColor="text1"/>
          <w:szCs w:val="21"/>
          <w:u w:val="single"/>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1、乙方负责完成甲方所需的</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u w:val="single"/>
          <w14:textFill>
            <w14:solidFill>
              <w14:schemeClr w14:val="tx1"/>
            </w14:solidFill>
          </w14:textFill>
        </w:rPr>
        <w:t>。</w:t>
      </w:r>
      <w:r>
        <w:rPr>
          <w:rFonts w:hint="default" w:ascii="Times New Roman" w:hAnsi="Times New Roman" w:cs="Times New Roman"/>
          <w:b/>
          <w:color w:val="000000" w:themeColor="text1"/>
          <w:szCs w:val="21"/>
          <w:u w:val="single"/>
          <w14:textFill>
            <w14:solidFill>
              <w14:schemeClr w14:val="tx1"/>
            </w14:solidFill>
          </w14:textFill>
        </w:rPr>
        <w:t>货物清单及明细报价详见附件1。</w:t>
      </w:r>
    </w:p>
    <w:p w14:paraId="2C9D598C">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2、下列文件为本合同不可分割部分：</w:t>
      </w:r>
    </w:p>
    <w:p w14:paraId="4A433C57">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①中标通知书；</w:t>
      </w:r>
    </w:p>
    <w:p w14:paraId="68D22513">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②乙方中标的投标书；</w:t>
      </w:r>
    </w:p>
    <w:p w14:paraId="4269EC93">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③招标文件；</w:t>
      </w:r>
    </w:p>
    <w:p w14:paraId="0A18257C">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④乙方在招投标过程中所作的其他承诺、声明、书面澄清等。</w:t>
      </w:r>
    </w:p>
    <w:p w14:paraId="5CDDCB9B">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二、价格与支付：</w:t>
      </w:r>
    </w:p>
    <w:p w14:paraId="068F61B2">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1、合同价格按此次中标价格执行，合同总金额为人民币________元，</w:t>
      </w:r>
      <w:r>
        <w:rPr>
          <w:rFonts w:hint="default" w:ascii="Times New Roman" w:hAnsi="Times New Roman" w:cs="Times New Roman"/>
          <w:color w:val="000000" w:themeColor="text1"/>
          <w:kern w:val="0"/>
          <w:szCs w:val="21"/>
          <w14:textFill>
            <w14:solidFill>
              <w14:schemeClr w14:val="tx1"/>
            </w14:solidFill>
          </w14:textFill>
        </w:rPr>
        <w:t>大写：</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u w:val="single"/>
          <w:lang w:eastAsia="zh-Hans"/>
          <w14:textFill>
            <w14:solidFill>
              <w14:schemeClr w14:val="tx1"/>
            </w14:solidFill>
          </w14:textFill>
        </w:rPr>
        <w:t>含税）</w:t>
      </w:r>
      <w:r>
        <w:rPr>
          <w:rFonts w:hint="default" w:ascii="Times New Roman" w:hAnsi="Times New Roman" w:cs="Times New Roman"/>
          <w:color w:val="000000" w:themeColor="text1"/>
          <w:szCs w:val="21"/>
          <w14:textFill>
            <w14:solidFill>
              <w14:schemeClr w14:val="tx1"/>
            </w14:solidFill>
          </w14:textFill>
        </w:rPr>
        <w:t>招标总报价一次报定，包含主机、附（配）件、包装、运输、调试、保险等一切费用。</w:t>
      </w:r>
    </w:p>
    <w:p w14:paraId="484D00C9">
      <w:pPr>
        <w:spacing w:line="360" w:lineRule="auto"/>
        <w:ind w:firstLine="210" w:firstLineChars="100"/>
        <w:rPr>
          <w:rFonts w:hint="default" w:ascii="Times New Roman" w:hAnsi="Times New Roman" w:cs="Times New Roman"/>
          <w:color w:val="000000" w:themeColor="text1"/>
          <w:szCs w:val="21"/>
          <w:u w:val="single"/>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b/>
          <w:bCs/>
          <w:color w:val="000000" w:themeColor="text1"/>
          <w:kern w:val="0"/>
          <w:szCs w:val="21"/>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付款步骤：</w:t>
      </w:r>
      <w:r>
        <w:rPr>
          <w:rFonts w:hint="default" w:ascii="Times New Roman" w:hAnsi="Times New Roman" w:cs="Times New Roman"/>
          <w:bCs/>
          <w:szCs w:val="21"/>
          <w:u w:val="single"/>
        </w:rPr>
        <w:t>合同签订生效后30日内，支付总货款的30%；货到验收合格交付甲方使用，乙方提供增值税专用发票后30日内支付剩余尾款。</w:t>
      </w:r>
    </w:p>
    <w:p w14:paraId="1B3F56E3">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每次付款前，乙方须提供相同金额的税务部门统一监制的正式增值税专用发票。</w:t>
      </w:r>
    </w:p>
    <w:p w14:paraId="47054348">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如因乙方延迟开票造成甲方延期付款的，甲方相应付款期限顺延。采购人原则上应当自收到</w:t>
      </w:r>
      <w:bookmarkStart w:id="32" w:name="OLE_LINK6"/>
      <w:r>
        <w:rPr>
          <w:rFonts w:hint="default" w:ascii="Times New Roman" w:hAnsi="Times New Roman" w:cs="Times New Roman"/>
          <w:color w:val="000000" w:themeColor="text1"/>
          <w:szCs w:val="21"/>
          <w14:textFill>
            <w14:solidFill>
              <w14:schemeClr w14:val="tx1"/>
            </w14:solidFill>
          </w14:textFill>
        </w:rPr>
        <w:t>发票后30日内内将资金支付到合同约定的供应商账户</w:t>
      </w:r>
      <w:bookmarkEnd w:id="32"/>
      <w:r>
        <w:rPr>
          <w:rFonts w:hint="default" w:ascii="Times New Roman" w:hAnsi="Times New Roman" w:cs="Times New Roman"/>
          <w:color w:val="000000" w:themeColor="text1"/>
          <w:szCs w:val="21"/>
          <w14:textFill>
            <w14:solidFill>
              <w14:schemeClr w14:val="tx1"/>
            </w14:solidFill>
          </w14:textFill>
        </w:rPr>
        <w:t>。</w:t>
      </w:r>
    </w:p>
    <w:p w14:paraId="076FC990">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3、付款方式：银行汇票或转账支票。</w:t>
      </w:r>
    </w:p>
    <w:p w14:paraId="5B4F7E92">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三、★交付时间：六个月(包括安装调试验收)</w:t>
      </w:r>
    </w:p>
    <w:p w14:paraId="317D0C69">
      <w:pPr>
        <w:spacing w:line="380" w:lineRule="exact"/>
        <w:ind w:firstLine="422" w:firstLineChars="200"/>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交付地点：锡山基地防火实验室场地</w:t>
      </w:r>
    </w:p>
    <w:p w14:paraId="05F17896">
      <w:pPr>
        <w:spacing w:line="360" w:lineRule="auto"/>
        <w:ind w:firstLine="422" w:firstLineChars="200"/>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2020〕123号））</w:t>
      </w:r>
    </w:p>
    <w:p w14:paraId="52A12AB6">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四、质量与验收</w:t>
      </w:r>
      <w:r>
        <w:rPr>
          <w:rFonts w:hint="default" w:ascii="Times New Roman" w:hAnsi="Times New Roman" w:cs="Times New Roman"/>
          <w:color w:val="000000" w:themeColor="text1"/>
          <w:szCs w:val="21"/>
          <w14:textFill>
            <w14:solidFill>
              <w14:schemeClr w14:val="tx1"/>
            </w14:solidFill>
          </w14:textFill>
        </w:rPr>
        <w:t>：</w:t>
      </w:r>
    </w:p>
    <w:p w14:paraId="385CF34D">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1、乙方应按招标书的有关规定提供合格货物；</w:t>
      </w:r>
    </w:p>
    <w:p w14:paraId="4DB1AFE6">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2、货物质量出现问题，乙方负责包修、包退、包换，费用由乙方承担；</w:t>
      </w:r>
    </w:p>
    <w:p w14:paraId="2DB52197">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3、货物的验收包括：数量、外观、质量、性能、质保单、包装和乙方承诺的其他指标；</w:t>
      </w:r>
    </w:p>
    <w:p w14:paraId="6FDC7321">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4、验收标准根据有关规定及技术要求，验收通过为准；</w:t>
      </w:r>
    </w:p>
    <w:p w14:paraId="23E92E2F">
      <w:pPr>
        <w:spacing w:line="360" w:lineRule="auto"/>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5、乙方交付验收时应先用书面、电传等方式通知甲方，经甲方验收合格后，由甲方出具书面验收合格确认书。</w:t>
      </w:r>
    </w:p>
    <w:p w14:paraId="3F29A0B3">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五、</w:t>
      </w:r>
      <w:r>
        <w:rPr>
          <w:rFonts w:hint="default" w:ascii="Times New Roman" w:hAnsi="Times New Roman" w:cs="Times New Roman"/>
          <w:b/>
          <w:bCs/>
          <w:color w:val="000000" w:themeColor="text1"/>
          <w:kern w:val="0"/>
          <w:szCs w:val="21"/>
          <w14:textFill>
            <w14:solidFill>
              <w14:schemeClr w14:val="tx1"/>
            </w14:solidFill>
          </w14:textFill>
        </w:rPr>
        <w:t>★</w:t>
      </w:r>
      <w:r>
        <w:rPr>
          <w:rFonts w:hint="default" w:ascii="Times New Roman" w:hAnsi="Times New Roman" w:cs="Times New Roman"/>
          <w:b/>
          <w:color w:val="000000" w:themeColor="text1"/>
          <w:szCs w:val="21"/>
          <w14:textFill>
            <w14:solidFill>
              <w14:schemeClr w14:val="tx1"/>
            </w14:solidFill>
          </w14:textFill>
        </w:rPr>
        <w:t>售后服务：</w:t>
      </w:r>
    </w:p>
    <w:p w14:paraId="20D563A3">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质保期：</w:t>
      </w:r>
      <w:r>
        <w:rPr>
          <w:rFonts w:hint="default" w:ascii="Times New Roman" w:hAnsi="Times New Roman" w:cs="Times New Roman"/>
          <w:color w:val="000000" w:themeColor="text1"/>
          <w:szCs w:val="21"/>
          <w:u w:val="single"/>
          <w14:textFill>
            <w14:solidFill>
              <w14:schemeClr w14:val="tx1"/>
            </w14:solidFill>
          </w14:textFill>
        </w:rPr>
        <w:t xml:space="preserve"> 详见第四章采购需求（不低于第四章标准） </w:t>
      </w:r>
      <w:r>
        <w:rPr>
          <w:rFonts w:hint="default" w:ascii="Times New Roman" w:hAnsi="Times New Roman" w:cs="Times New Roman"/>
          <w:color w:val="000000" w:themeColor="text1"/>
          <w:szCs w:val="21"/>
          <w:lang w:val="zh-CN"/>
          <w14:textFill>
            <w14:solidFill>
              <w14:schemeClr w14:val="tx1"/>
            </w14:solidFill>
          </w14:textFill>
        </w:rPr>
        <w:t>，验收合格之日起计算。</w:t>
      </w:r>
    </w:p>
    <w:p w14:paraId="72E4CCC0">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p>
    <w:p w14:paraId="6E446B36">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其他按照招标文件和乙方在投标书中承诺的服务执行。</w:t>
      </w:r>
    </w:p>
    <w:p w14:paraId="539A2301">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（乙方在投标书中承诺的服务优于上述标准的，以承诺的服务为准，未列明的按照招标文件和乙方在投标书中承诺的服务执行。签订时另行细化。）</w:t>
      </w:r>
    </w:p>
    <w:p w14:paraId="67FC4884">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六、违约责任：</w:t>
      </w:r>
    </w:p>
    <w:p w14:paraId="46DF164D">
      <w:pPr>
        <w:spacing w:line="380" w:lineRule="exact"/>
        <w:ind w:firstLine="210" w:firstLineChars="1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按招标文件的规定执行。（</w:t>
      </w:r>
      <w:r>
        <w:rPr>
          <w:rFonts w:hint="default" w:ascii="Times New Roman" w:hAnsi="Times New Roman" w:cs="Times New Roman"/>
          <w:color w:val="000000" w:themeColor="text1"/>
          <w:szCs w:val="21"/>
          <w14:textFill>
            <w14:solidFill>
              <w14:schemeClr w14:val="tx1"/>
            </w14:solidFill>
          </w14:textFill>
        </w:rPr>
        <w:t>乙方应严格履行其对售后服务的承诺，否则，应承担相应的违约责任。）</w:t>
      </w:r>
    </w:p>
    <w:p w14:paraId="0E264E67">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七、合同生效及其他：</w:t>
      </w:r>
    </w:p>
    <w:p w14:paraId="5EF2D969">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1、本协议书一式陆份，具有同等法律效力。供需双方各执贰份，市财政局政府采购管理处壹份、江苏省设备成套股份有限公司壹份。</w:t>
      </w:r>
    </w:p>
    <w:p w14:paraId="686A61C8">
      <w:pPr>
        <w:spacing w:line="380" w:lineRule="exact"/>
        <w:ind w:firstLine="210" w:firstLineChars="100"/>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2、</w:t>
      </w:r>
      <w:r>
        <w:rPr>
          <w:rFonts w:hint="default" w:ascii="Times New Roman" w:hAnsi="Times New Roman" w:cs="Times New Roman"/>
          <w:color w:val="000000" w:themeColor="text1"/>
          <w:szCs w:val="21"/>
          <w:lang w:val="zh-CN"/>
          <w14:textFill>
            <w14:solidFill>
              <w14:schemeClr w14:val="tx1"/>
            </w14:solidFill>
          </w14:textFill>
        </w:rPr>
        <w:t>本协议书经双方代表签字并加盖单位公章后生效。合同在执行过程中出现的未尽事宜，双方在不违背本合同和招标文件的原则下协商解决，协商结果以书面形式盖章记录在案，作为本合同的附件，与本合同具有同等效力，但须向市财政局政府采购管理处提交一份备存。</w:t>
      </w:r>
    </w:p>
    <w:p w14:paraId="33C3052D">
      <w:pPr>
        <w:spacing w:line="380" w:lineRule="exact"/>
        <w:ind w:firstLine="210" w:firstLineChars="100"/>
        <w:rPr>
          <w:rFonts w:hint="default" w:ascii="Times New Roman" w:hAnsi="Times New Roman" w:cs="Times New Roman"/>
          <w:color w:val="000000" w:themeColor="text1"/>
          <w:szCs w:val="21"/>
          <w14:textFill>
            <w14:solidFill>
              <w14:schemeClr w14:val="tx1"/>
            </w14:solidFill>
          </w14:textFill>
        </w:rPr>
      </w:pPr>
    </w:p>
    <w:p w14:paraId="13568F6B">
      <w:pPr>
        <w:spacing w:line="440" w:lineRule="exact"/>
        <w:rPr>
          <w:rFonts w:hint="default" w:ascii="Times New Roman" w:hAnsi="Times New Roman" w:cs="Times New Roman"/>
          <w:bCs/>
          <w:color w:val="000000" w:themeColor="text1"/>
          <w:szCs w:val="21"/>
          <w:u w:val="single"/>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甲方（采购人）：</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（盖章）   乙方（中标方）：</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（盖章）</w:t>
      </w:r>
    </w:p>
    <w:p w14:paraId="0D6FCFC3">
      <w:pPr>
        <w:spacing w:line="440" w:lineRule="exact"/>
        <w:rPr>
          <w:rFonts w:hint="default" w:ascii="Times New Roman" w:hAnsi="Times New Roman" w:cs="Times New Roman"/>
          <w:bCs/>
          <w:color w:val="000000" w:themeColor="text1"/>
          <w:szCs w:val="21"/>
          <w:u w:val="single"/>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地址：</w:t>
      </w:r>
      <w:bookmarkStart w:id="33" w:name="_Hlk110258662"/>
      <w:r>
        <w:rPr>
          <w:rFonts w:hint="default" w:ascii="Times New Roman" w:hAnsi="Times New Roman" w:cs="Times New Roman"/>
          <w:bCs/>
          <w:color w:val="000000" w:themeColor="text1"/>
          <w:szCs w:val="21"/>
          <w:u w:val="single"/>
          <w14:textFill>
            <w14:solidFill>
              <w14:schemeClr w14:val="tx1"/>
            </w14:solidFill>
          </w14:textFill>
        </w:rPr>
        <w:t xml:space="preserve">     </w:t>
      </w:r>
      <w:bookmarkEnd w:id="33"/>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地址：</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w:t>
      </w:r>
      <w:r>
        <w:rPr>
          <w:rFonts w:hint="default" w:ascii="Times New Roman" w:hAnsi="Times New Roman" w:cs="Times New Roman"/>
          <w:bCs/>
          <w:color w:val="000000" w:themeColor="text1"/>
          <w:szCs w:val="21"/>
          <w:u w:val="single" w:color="000000" w:themeColor="text1"/>
          <w14:textFill>
            <w14:solidFill>
              <w14:schemeClr w14:val="tx1"/>
            </w14:solidFill>
          </w14:textFill>
        </w:rPr>
        <w:t xml:space="preserve">  </w:t>
      </w:r>
    </w:p>
    <w:p w14:paraId="1266C88D">
      <w:pPr>
        <w:spacing w:line="440" w:lineRule="exact"/>
        <w:rPr>
          <w:rFonts w:hint="default" w:ascii="Times New Roman" w:hAnsi="Times New Roman" w:cs="Times New Roman"/>
          <w:bCs/>
          <w:color w:val="000000" w:themeColor="text1"/>
          <w:szCs w:val="21"/>
          <w:u w:val="single" w:color="000000" w:themeColor="text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法定（授权）代表人：</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法定（授权）代表人：</w:t>
      </w:r>
      <w:r>
        <w:rPr>
          <w:rFonts w:hint="default" w:ascii="Times New Roman" w:hAnsi="Times New Roman" w:cs="Times New Roman"/>
          <w:bCs/>
          <w:color w:val="000000" w:themeColor="text1"/>
          <w:szCs w:val="21"/>
          <w:u w:val="single" w:color="000000" w:themeColor="text1"/>
          <w14:textFill>
            <w14:solidFill>
              <w14:schemeClr w14:val="tx1"/>
            </w14:solidFill>
          </w14:textFill>
        </w:rPr>
        <w:t xml:space="preserve">      </w:t>
      </w:r>
    </w:p>
    <w:p w14:paraId="5FCFD770">
      <w:pPr>
        <w:spacing w:line="440" w:lineRule="exact"/>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年</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月</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日               </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年</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月</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日 </w:t>
      </w:r>
    </w:p>
    <w:p w14:paraId="582BFD42">
      <w:pPr>
        <w:spacing w:line="440" w:lineRule="exact"/>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中标方户名：                                 </w:t>
      </w:r>
    </w:p>
    <w:p w14:paraId="52504BC5">
      <w:pPr>
        <w:spacing w:line="440" w:lineRule="exact"/>
        <w:jc w:val="lef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中标方开户银行：                                   </w:t>
      </w:r>
    </w:p>
    <w:p w14:paraId="46F13C8B">
      <w:pPr>
        <w:widowControl/>
        <w:spacing w:after="0" w:line="360" w:lineRule="auto"/>
        <w:rPr>
          <w:rFonts w:hint="default" w:ascii="Times New Roman" w:hAnsi="Times New Roman" w:cs="Times New Roman"/>
          <w:bCs/>
          <w:color w:val="000000" w:themeColor="text1"/>
          <w:szCs w:val="21"/>
          <w:u w:val="single"/>
          <w:lang w:bidi="ar"/>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中标方账号：</w:t>
      </w:r>
      <w:r>
        <w:rPr>
          <w:rFonts w:hint="default" w:ascii="Times New Roman" w:hAnsi="Times New Roman" w:cs="Times New Roman"/>
          <w:bCs/>
          <w:color w:val="000000" w:themeColor="text1"/>
          <w:szCs w:val="21"/>
          <w:u w:val="single"/>
          <w:lang w:bidi="ar"/>
          <w14:textFill>
            <w14:solidFill>
              <w14:schemeClr w14:val="tx1"/>
            </w14:solidFill>
          </w14:textFill>
        </w:rPr>
        <w:t xml:space="preserve"> </w:t>
      </w:r>
    </w:p>
    <w:p w14:paraId="074CC6DD">
      <w:pPr>
        <w:widowControl/>
        <w:spacing w:after="0" w:line="360" w:lineRule="auto"/>
        <w:rPr>
          <w:rFonts w:hint="default" w:ascii="Times New Roman" w:hAnsi="Times New Roman" w:cs="Times New Roman"/>
          <w:b/>
          <w:color w:val="000000" w:themeColor="text1"/>
          <w:sz w:val="28"/>
          <w:szCs w:val="28"/>
          <w:u w:val="single"/>
          <w:lang w:bidi="ar"/>
          <w14:textFill>
            <w14:solidFill>
              <w14:schemeClr w14:val="tx1"/>
            </w14:solidFill>
          </w14:textFill>
        </w:rPr>
      </w:pPr>
      <w:r>
        <w:rPr>
          <w:rFonts w:hint="default" w:ascii="Times New Roman" w:hAnsi="Times New Roman" w:cs="Times New Roman"/>
          <w:b/>
          <w:color w:val="000000" w:themeColor="text1"/>
          <w:sz w:val="28"/>
          <w:szCs w:val="28"/>
          <w:u w:val="single"/>
          <w:lang w:bidi="ar"/>
          <w14:textFill>
            <w14:solidFill>
              <w14:schemeClr w14:val="tx1"/>
            </w14:solidFill>
          </w14:textFill>
        </w:rPr>
        <w:t>附件1，货物清单及明细报价</w:t>
      </w:r>
    </w:p>
    <w:tbl>
      <w:tblPr>
        <w:tblStyle w:val="4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93"/>
        <w:gridCol w:w="967"/>
        <w:gridCol w:w="1159"/>
        <w:gridCol w:w="709"/>
        <w:gridCol w:w="708"/>
        <w:gridCol w:w="1110"/>
        <w:gridCol w:w="1134"/>
        <w:gridCol w:w="854"/>
      </w:tblGrid>
      <w:tr w14:paraId="5C6B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2" w:type="dxa"/>
            <w:vAlign w:val="center"/>
          </w:tcPr>
          <w:p w14:paraId="64128737">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序号</w:t>
            </w:r>
          </w:p>
        </w:tc>
        <w:tc>
          <w:tcPr>
            <w:tcW w:w="1193" w:type="dxa"/>
            <w:vAlign w:val="center"/>
          </w:tcPr>
          <w:p w14:paraId="2952A8D3">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名称</w:t>
            </w:r>
          </w:p>
        </w:tc>
        <w:tc>
          <w:tcPr>
            <w:tcW w:w="967" w:type="dxa"/>
            <w:vAlign w:val="center"/>
          </w:tcPr>
          <w:p w14:paraId="21E811A0">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制造商名称</w:t>
            </w:r>
          </w:p>
        </w:tc>
        <w:tc>
          <w:tcPr>
            <w:tcW w:w="1159" w:type="dxa"/>
            <w:vAlign w:val="center"/>
          </w:tcPr>
          <w:p w14:paraId="017D83B1">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型号规格</w:t>
            </w:r>
          </w:p>
        </w:tc>
        <w:tc>
          <w:tcPr>
            <w:tcW w:w="709" w:type="dxa"/>
            <w:vAlign w:val="center"/>
          </w:tcPr>
          <w:p w14:paraId="7A68780A">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单位</w:t>
            </w:r>
          </w:p>
        </w:tc>
        <w:tc>
          <w:tcPr>
            <w:tcW w:w="708" w:type="dxa"/>
            <w:vAlign w:val="center"/>
          </w:tcPr>
          <w:p w14:paraId="703A6131">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数量</w:t>
            </w:r>
          </w:p>
        </w:tc>
        <w:tc>
          <w:tcPr>
            <w:tcW w:w="1110" w:type="dxa"/>
            <w:vAlign w:val="center"/>
          </w:tcPr>
          <w:p w14:paraId="23BABDD3">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单价</w:t>
            </w:r>
          </w:p>
        </w:tc>
        <w:tc>
          <w:tcPr>
            <w:tcW w:w="1134" w:type="dxa"/>
            <w:vAlign w:val="center"/>
          </w:tcPr>
          <w:p w14:paraId="159F2FB5">
            <w:pP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合价</w:t>
            </w:r>
          </w:p>
        </w:tc>
        <w:tc>
          <w:tcPr>
            <w:tcW w:w="854" w:type="dxa"/>
            <w:vAlign w:val="center"/>
          </w:tcPr>
          <w:p w14:paraId="0D1152E2">
            <w:pPr>
              <w:widowControl/>
              <w:jc w:val="center"/>
              <w:rPr>
                <w:rFonts w:hint="default" w:ascii="Times New Roman" w:hAnsi="Times New Roman" w:cs="Times New Roman"/>
                <w:color w:val="000000" w:themeColor="text1"/>
                <w:kern w:val="0"/>
                <w:szCs w:val="21"/>
                <w14:textFill>
                  <w14:solidFill>
                    <w14:schemeClr w14:val="tx1"/>
                  </w14:solidFill>
                </w14:textFill>
              </w:rPr>
            </w:pPr>
          </w:p>
        </w:tc>
      </w:tr>
      <w:tr w14:paraId="6552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27D2FD5">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w:t>
            </w:r>
          </w:p>
        </w:tc>
        <w:tc>
          <w:tcPr>
            <w:tcW w:w="1193" w:type="dxa"/>
            <w:vAlign w:val="center"/>
          </w:tcPr>
          <w:p w14:paraId="25945E74">
            <w:pPr>
              <w:widowControl/>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4DF46C9B">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4943ECB9">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vAlign w:val="center"/>
          </w:tcPr>
          <w:p w14:paraId="37D4043B">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vAlign w:val="center"/>
          </w:tcPr>
          <w:p w14:paraId="52442684">
            <w:pPr>
              <w:widowControl/>
              <w:rPr>
                <w:rFonts w:hint="default" w:ascii="Times New Roman" w:hAnsi="Times New Roman" w:cs="Times New Roman"/>
                <w:color w:val="000000" w:themeColor="text1"/>
                <w:kern w:val="0"/>
                <w:szCs w:val="21"/>
                <w14:textFill>
                  <w14:solidFill>
                    <w14:schemeClr w14:val="tx1"/>
                  </w14:solidFill>
                </w14:textFill>
              </w:rPr>
            </w:pPr>
          </w:p>
        </w:tc>
        <w:tc>
          <w:tcPr>
            <w:tcW w:w="1110" w:type="dxa"/>
            <w:vAlign w:val="center"/>
          </w:tcPr>
          <w:p w14:paraId="5C645934">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02CF0E9E">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7F3DDDBE">
            <w:pPr>
              <w:widowControl/>
              <w:rPr>
                <w:rFonts w:hint="default" w:ascii="Times New Roman" w:hAnsi="Times New Roman" w:cs="Times New Roman"/>
                <w:color w:val="000000" w:themeColor="text1"/>
                <w:kern w:val="0"/>
                <w:szCs w:val="21"/>
                <w14:textFill>
                  <w14:solidFill>
                    <w14:schemeClr w14:val="tx1"/>
                  </w14:solidFill>
                </w14:textFill>
              </w:rPr>
            </w:pPr>
          </w:p>
        </w:tc>
      </w:tr>
      <w:tr w14:paraId="2612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jc w:val="center"/>
        </w:trPr>
        <w:tc>
          <w:tcPr>
            <w:tcW w:w="812" w:type="dxa"/>
            <w:vAlign w:val="center"/>
          </w:tcPr>
          <w:p w14:paraId="3A378555">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w:t>
            </w:r>
          </w:p>
        </w:tc>
        <w:tc>
          <w:tcPr>
            <w:tcW w:w="1193" w:type="dxa"/>
            <w:vAlign w:val="center"/>
          </w:tcPr>
          <w:p w14:paraId="628BD1FE">
            <w:pPr>
              <w:widowControl/>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3E661B1B">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6F40CE72">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6C4156AD">
            <w:pPr>
              <w:rPr>
                <w:rFonts w:hint="default" w:ascii="Times New Roman" w:hAnsi="Times New Roman" w:cs="Times New Roman"/>
                <w:color w:val="000000" w:themeColor="text1"/>
                <w14:textFill>
                  <w14:solidFill>
                    <w14:schemeClr w14:val="tx1"/>
                  </w14:solidFill>
                </w14:textFill>
              </w:rPr>
            </w:pPr>
          </w:p>
        </w:tc>
        <w:tc>
          <w:tcPr>
            <w:tcW w:w="708" w:type="dxa"/>
          </w:tcPr>
          <w:p w14:paraId="0618B86D">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36887BED">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314979A6">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441A2074">
            <w:pPr>
              <w:widowControl/>
              <w:rPr>
                <w:rFonts w:hint="default" w:ascii="Times New Roman" w:hAnsi="Times New Roman" w:cs="Times New Roman"/>
                <w:color w:val="000000" w:themeColor="text1"/>
                <w:kern w:val="0"/>
                <w:szCs w:val="21"/>
                <w14:textFill>
                  <w14:solidFill>
                    <w14:schemeClr w14:val="tx1"/>
                  </w14:solidFill>
                </w14:textFill>
              </w:rPr>
            </w:pPr>
          </w:p>
        </w:tc>
      </w:tr>
      <w:tr w14:paraId="1F38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221FFB60">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w:t>
            </w:r>
          </w:p>
        </w:tc>
        <w:tc>
          <w:tcPr>
            <w:tcW w:w="1193" w:type="dxa"/>
            <w:vAlign w:val="center"/>
          </w:tcPr>
          <w:p w14:paraId="7988B084">
            <w:pPr>
              <w:widowControl/>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7BCE57F3">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3E4BE1A0">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586F3F5B">
            <w:pPr>
              <w:rPr>
                <w:rFonts w:hint="default" w:ascii="Times New Roman" w:hAnsi="Times New Roman" w:cs="Times New Roman"/>
                <w:color w:val="000000" w:themeColor="text1"/>
                <w14:textFill>
                  <w14:solidFill>
                    <w14:schemeClr w14:val="tx1"/>
                  </w14:solidFill>
                </w14:textFill>
              </w:rPr>
            </w:pPr>
          </w:p>
        </w:tc>
        <w:tc>
          <w:tcPr>
            <w:tcW w:w="708" w:type="dxa"/>
          </w:tcPr>
          <w:p w14:paraId="4B850A60">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73FC8B9B">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3258AEC1">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745EE137">
            <w:pPr>
              <w:widowControl/>
              <w:rPr>
                <w:rFonts w:hint="default" w:ascii="Times New Roman" w:hAnsi="Times New Roman" w:cs="Times New Roman"/>
                <w:color w:val="000000" w:themeColor="text1"/>
                <w:kern w:val="0"/>
                <w:szCs w:val="21"/>
                <w14:textFill>
                  <w14:solidFill>
                    <w14:schemeClr w14:val="tx1"/>
                  </w14:solidFill>
                </w14:textFill>
              </w:rPr>
            </w:pPr>
          </w:p>
        </w:tc>
      </w:tr>
      <w:tr w14:paraId="0719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14:paraId="49037FCE">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w:t>
            </w:r>
          </w:p>
        </w:tc>
        <w:tc>
          <w:tcPr>
            <w:tcW w:w="1193" w:type="dxa"/>
            <w:vAlign w:val="center"/>
          </w:tcPr>
          <w:p w14:paraId="4A64BB88">
            <w:pPr>
              <w:widowControl/>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41CBCED6">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75F08A4C">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66D60A87">
            <w:pPr>
              <w:rPr>
                <w:rFonts w:hint="default" w:ascii="Times New Roman" w:hAnsi="Times New Roman" w:cs="Times New Roman"/>
                <w:color w:val="000000" w:themeColor="text1"/>
                <w14:textFill>
                  <w14:solidFill>
                    <w14:schemeClr w14:val="tx1"/>
                  </w14:solidFill>
                </w14:textFill>
              </w:rPr>
            </w:pPr>
          </w:p>
        </w:tc>
        <w:tc>
          <w:tcPr>
            <w:tcW w:w="708" w:type="dxa"/>
          </w:tcPr>
          <w:p w14:paraId="15831561">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35BDEF4D">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264127C6">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20217042">
            <w:pPr>
              <w:widowControl/>
              <w:rPr>
                <w:rFonts w:hint="default" w:ascii="Times New Roman" w:hAnsi="Times New Roman" w:cs="Times New Roman"/>
                <w:color w:val="000000" w:themeColor="text1"/>
                <w:kern w:val="0"/>
                <w:szCs w:val="21"/>
                <w14:textFill>
                  <w14:solidFill>
                    <w14:schemeClr w14:val="tx1"/>
                  </w14:solidFill>
                </w14:textFill>
              </w:rPr>
            </w:pPr>
          </w:p>
        </w:tc>
      </w:tr>
      <w:tr w14:paraId="1E5B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FD55BC5">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w:t>
            </w:r>
          </w:p>
        </w:tc>
        <w:tc>
          <w:tcPr>
            <w:tcW w:w="1193" w:type="dxa"/>
            <w:vAlign w:val="center"/>
          </w:tcPr>
          <w:p w14:paraId="74871855">
            <w:pPr>
              <w:widowControl/>
              <w:jc w:val="center"/>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20A17142">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33AC0CE8">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0705111E">
            <w:pPr>
              <w:rPr>
                <w:rFonts w:hint="default" w:ascii="Times New Roman" w:hAnsi="Times New Roman" w:cs="Times New Roman"/>
                <w:color w:val="000000" w:themeColor="text1"/>
                <w14:textFill>
                  <w14:solidFill>
                    <w14:schemeClr w14:val="tx1"/>
                  </w14:solidFill>
                </w14:textFill>
              </w:rPr>
            </w:pPr>
          </w:p>
        </w:tc>
        <w:tc>
          <w:tcPr>
            <w:tcW w:w="708" w:type="dxa"/>
          </w:tcPr>
          <w:p w14:paraId="3FF81694">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7591C9DC">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588E414B">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4E0BFE88">
            <w:pPr>
              <w:widowControl/>
              <w:rPr>
                <w:rFonts w:hint="default" w:ascii="Times New Roman" w:hAnsi="Times New Roman" w:cs="Times New Roman"/>
                <w:color w:val="000000" w:themeColor="text1"/>
                <w:kern w:val="0"/>
                <w:szCs w:val="21"/>
                <w14:textFill>
                  <w14:solidFill>
                    <w14:schemeClr w14:val="tx1"/>
                  </w14:solidFill>
                </w14:textFill>
              </w:rPr>
            </w:pPr>
          </w:p>
        </w:tc>
      </w:tr>
      <w:tr w14:paraId="2A7A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6A1E3600">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6</w:t>
            </w:r>
          </w:p>
        </w:tc>
        <w:tc>
          <w:tcPr>
            <w:tcW w:w="1193" w:type="dxa"/>
            <w:vAlign w:val="center"/>
          </w:tcPr>
          <w:p w14:paraId="4AD4A86F">
            <w:pPr>
              <w:widowControl/>
              <w:jc w:val="center"/>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19B3CB2F">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31D8D4A5">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2E12F999">
            <w:pPr>
              <w:rPr>
                <w:rFonts w:hint="default" w:ascii="Times New Roman" w:hAnsi="Times New Roman" w:cs="Times New Roman"/>
                <w:color w:val="000000" w:themeColor="text1"/>
                <w14:textFill>
                  <w14:solidFill>
                    <w14:schemeClr w14:val="tx1"/>
                  </w14:solidFill>
                </w14:textFill>
              </w:rPr>
            </w:pPr>
          </w:p>
        </w:tc>
        <w:tc>
          <w:tcPr>
            <w:tcW w:w="708" w:type="dxa"/>
          </w:tcPr>
          <w:p w14:paraId="5CA91AA0">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59DB0E7E">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530CFD30">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22E18FC7">
            <w:pPr>
              <w:widowControl/>
              <w:rPr>
                <w:rFonts w:hint="default" w:ascii="Times New Roman" w:hAnsi="Times New Roman" w:cs="Times New Roman"/>
                <w:color w:val="000000" w:themeColor="text1"/>
                <w:kern w:val="0"/>
                <w:szCs w:val="21"/>
                <w14:textFill>
                  <w14:solidFill>
                    <w14:schemeClr w14:val="tx1"/>
                  </w14:solidFill>
                </w14:textFill>
              </w:rPr>
            </w:pPr>
          </w:p>
        </w:tc>
      </w:tr>
      <w:tr w14:paraId="713A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0933C22C">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w:t>
            </w:r>
          </w:p>
        </w:tc>
        <w:tc>
          <w:tcPr>
            <w:tcW w:w="1193" w:type="dxa"/>
            <w:vAlign w:val="center"/>
          </w:tcPr>
          <w:p w14:paraId="1823AA7C">
            <w:pPr>
              <w:widowControl/>
              <w:jc w:val="center"/>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1D600321">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387273DB">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56859F0C">
            <w:pPr>
              <w:rPr>
                <w:rFonts w:hint="default" w:ascii="Times New Roman" w:hAnsi="Times New Roman" w:cs="Times New Roman"/>
                <w:color w:val="000000" w:themeColor="text1"/>
                <w14:textFill>
                  <w14:solidFill>
                    <w14:schemeClr w14:val="tx1"/>
                  </w14:solidFill>
                </w14:textFill>
              </w:rPr>
            </w:pPr>
          </w:p>
        </w:tc>
        <w:tc>
          <w:tcPr>
            <w:tcW w:w="708" w:type="dxa"/>
          </w:tcPr>
          <w:p w14:paraId="01E05ED4">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049F71F8">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736109B2">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5BE65381">
            <w:pPr>
              <w:widowControl/>
              <w:rPr>
                <w:rFonts w:hint="default" w:ascii="Times New Roman" w:hAnsi="Times New Roman" w:cs="Times New Roman"/>
                <w:color w:val="000000" w:themeColor="text1"/>
                <w:kern w:val="0"/>
                <w:szCs w:val="21"/>
                <w14:textFill>
                  <w14:solidFill>
                    <w14:schemeClr w14:val="tx1"/>
                  </w14:solidFill>
                </w14:textFill>
              </w:rPr>
            </w:pPr>
          </w:p>
        </w:tc>
      </w:tr>
      <w:tr w14:paraId="5CF6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71A7ED3">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w:t>
            </w:r>
          </w:p>
        </w:tc>
        <w:tc>
          <w:tcPr>
            <w:tcW w:w="1193" w:type="dxa"/>
            <w:vAlign w:val="center"/>
          </w:tcPr>
          <w:p w14:paraId="7B1B5E6E">
            <w:pPr>
              <w:widowControl/>
              <w:jc w:val="center"/>
              <w:rPr>
                <w:rFonts w:hint="default" w:ascii="Times New Roman" w:hAnsi="Times New Roman" w:cs="Times New Roman"/>
                <w:color w:val="000000" w:themeColor="text1"/>
                <w:kern w:val="0"/>
                <w:szCs w:val="21"/>
                <w14:textFill>
                  <w14:solidFill>
                    <w14:schemeClr w14:val="tx1"/>
                  </w14:solidFill>
                </w14:textFill>
              </w:rPr>
            </w:pPr>
          </w:p>
        </w:tc>
        <w:tc>
          <w:tcPr>
            <w:tcW w:w="967" w:type="dxa"/>
            <w:vAlign w:val="center"/>
          </w:tcPr>
          <w:p w14:paraId="37F4FB46">
            <w:pPr>
              <w:widowControl/>
              <w:rPr>
                <w:rFonts w:hint="default" w:ascii="Times New Roman" w:hAnsi="Times New Roman" w:cs="Times New Roman"/>
                <w:color w:val="000000" w:themeColor="text1"/>
                <w:kern w:val="0"/>
                <w:szCs w:val="21"/>
                <w14:textFill>
                  <w14:solidFill>
                    <w14:schemeClr w14:val="tx1"/>
                  </w14:solidFill>
                </w14:textFill>
              </w:rPr>
            </w:pPr>
          </w:p>
        </w:tc>
        <w:tc>
          <w:tcPr>
            <w:tcW w:w="1159" w:type="dxa"/>
            <w:vAlign w:val="center"/>
          </w:tcPr>
          <w:p w14:paraId="22EE5687">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Pr>
          <w:p w14:paraId="05C60DCF">
            <w:pPr>
              <w:rPr>
                <w:rFonts w:hint="default" w:ascii="Times New Roman" w:hAnsi="Times New Roman" w:cs="Times New Roman"/>
                <w:color w:val="000000" w:themeColor="text1"/>
                <w14:textFill>
                  <w14:solidFill>
                    <w14:schemeClr w14:val="tx1"/>
                  </w14:solidFill>
                </w14:textFill>
              </w:rPr>
            </w:pPr>
          </w:p>
        </w:tc>
        <w:tc>
          <w:tcPr>
            <w:tcW w:w="708" w:type="dxa"/>
          </w:tcPr>
          <w:p w14:paraId="65AF3FC1">
            <w:pPr>
              <w:rPr>
                <w:rFonts w:hint="default" w:ascii="Times New Roman" w:hAnsi="Times New Roman" w:cs="Times New Roman"/>
                <w:color w:val="000000" w:themeColor="text1"/>
                <w14:textFill>
                  <w14:solidFill>
                    <w14:schemeClr w14:val="tx1"/>
                  </w14:solidFill>
                </w14:textFill>
              </w:rPr>
            </w:pPr>
          </w:p>
        </w:tc>
        <w:tc>
          <w:tcPr>
            <w:tcW w:w="1110" w:type="dxa"/>
            <w:vAlign w:val="center"/>
          </w:tcPr>
          <w:p w14:paraId="13B3346A">
            <w:pPr>
              <w:widowControl/>
              <w:rPr>
                <w:rFonts w:hint="default" w:ascii="Times New Roman" w:hAnsi="Times New Roman" w:cs="Times New Roman"/>
                <w:color w:val="000000" w:themeColor="text1"/>
                <w:kern w:val="0"/>
                <w:szCs w:val="21"/>
                <w14:textFill>
                  <w14:solidFill>
                    <w14:schemeClr w14:val="tx1"/>
                  </w14:solidFill>
                </w14:textFill>
              </w:rPr>
            </w:pPr>
          </w:p>
        </w:tc>
        <w:tc>
          <w:tcPr>
            <w:tcW w:w="1134" w:type="dxa"/>
            <w:vAlign w:val="center"/>
          </w:tcPr>
          <w:p w14:paraId="4E78A822">
            <w:pPr>
              <w:widowControl/>
              <w:rPr>
                <w:rFonts w:hint="default" w:ascii="Times New Roman" w:hAnsi="Times New Roman" w:cs="Times New Roman"/>
                <w:color w:val="000000" w:themeColor="text1"/>
                <w:kern w:val="0"/>
                <w:szCs w:val="21"/>
                <w14:textFill>
                  <w14:solidFill>
                    <w14:schemeClr w14:val="tx1"/>
                  </w14:solidFill>
                </w14:textFill>
              </w:rPr>
            </w:pPr>
          </w:p>
        </w:tc>
        <w:tc>
          <w:tcPr>
            <w:tcW w:w="854" w:type="dxa"/>
            <w:vAlign w:val="center"/>
          </w:tcPr>
          <w:p w14:paraId="56DDB5C8">
            <w:pPr>
              <w:widowControl/>
              <w:rPr>
                <w:rFonts w:hint="default" w:ascii="Times New Roman" w:hAnsi="Times New Roman" w:cs="Times New Roman"/>
                <w:color w:val="000000" w:themeColor="text1"/>
                <w:kern w:val="0"/>
                <w:szCs w:val="21"/>
                <w14:textFill>
                  <w14:solidFill>
                    <w14:schemeClr w14:val="tx1"/>
                  </w14:solidFill>
                </w14:textFill>
              </w:rPr>
            </w:pPr>
          </w:p>
        </w:tc>
      </w:tr>
      <w:tr w14:paraId="37B6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646" w:type="dxa"/>
            <w:gridSpan w:val="9"/>
            <w:vAlign w:val="center"/>
          </w:tcPr>
          <w:p w14:paraId="31E02011">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总报价：大写：</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kern w:val="0"/>
                <w:sz w:val="22"/>
                <w:szCs w:val="22"/>
                <w14:textFill>
                  <w14:solidFill>
                    <w14:schemeClr w14:val="tx1"/>
                  </w14:solidFill>
                </w14:textFill>
              </w:rPr>
              <w:t xml:space="preserve">元整   </w:t>
            </w:r>
            <w:r>
              <w:rPr>
                <w:rFonts w:hint="default" w:ascii="Times New Roman" w:hAnsi="Times New Roman" w:cs="Times New Roman"/>
                <w:color w:val="000000" w:themeColor="text1"/>
                <w:kern w:val="0"/>
                <w:szCs w:val="21"/>
                <w14:textFill>
                  <w14:solidFill>
                    <w14:schemeClr w14:val="tx1"/>
                  </w14:solidFill>
                </w14:textFill>
              </w:rPr>
              <w:t>小写：</w:t>
            </w:r>
            <w:r>
              <w:rPr>
                <w:rFonts w:hint="default" w:ascii="Times New Roman" w:hAnsi="Times New Roman" w:cs="Times New Roman"/>
                <w:color w:val="000000" w:themeColor="text1"/>
                <w:kern w:val="0"/>
                <w:szCs w:val="21"/>
                <w:u w:val="single"/>
                <w14:textFill>
                  <w14:solidFill>
                    <w14:schemeClr w14:val="tx1"/>
                  </w14:solidFill>
                </w14:textFill>
              </w:rPr>
              <w:t xml:space="preserve">              </w:t>
            </w:r>
            <w:r>
              <w:rPr>
                <w:rFonts w:hint="default" w:ascii="Times New Roman" w:hAnsi="Times New Roman" w:cs="Times New Roman"/>
                <w:color w:val="000000" w:themeColor="text1"/>
                <w:kern w:val="0"/>
                <w:szCs w:val="21"/>
                <w14:textFill>
                  <w14:solidFill>
                    <w14:schemeClr w14:val="tx1"/>
                  </w14:solidFill>
                </w14:textFill>
              </w:rPr>
              <w:t>元（含税）</w:t>
            </w:r>
          </w:p>
        </w:tc>
      </w:tr>
    </w:tbl>
    <w:p w14:paraId="77208D9D">
      <w:pPr>
        <w:widowControl/>
        <w:spacing w:after="0" w:line="240" w:lineRule="auto"/>
        <w:jc w:val="left"/>
        <w:rPr>
          <w:rFonts w:hint="default" w:ascii="Times New Roman" w:hAnsi="Times New Roman" w:cs="Times New Roman"/>
          <w:color w:val="000000" w:themeColor="text1"/>
          <w:kern w:val="44"/>
          <w:sz w:val="32"/>
          <w:szCs w:val="44"/>
          <w:lang w:val="zh-CN"/>
          <w14:textFill>
            <w14:solidFill>
              <w14:schemeClr w14:val="tx1"/>
            </w14:solidFill>
          </w14:textFill>
        </w:rPr>
      </w:pPr>
      <w:r>
        <w:rPr>
          <w:rFonts w:hint="default" w:ascii="Times New Roman" w:hAnsi="Times New Roman" w:cs="Times New Roman"/>
          <w:color w:val="000000" w:themeColor="text1"/>
          <w:kern w:val="44"/>
          <w:sz w:val="32"/>
          <w:szCs w:val="44"/>
          <w:lang w:val="zh-CN"/>
          <w14:textFill>
            <w14:solidFill>
              <w14:schemeClr w14:val="tx1"/>
            </w14:solidFill>
          </w14:textFill>
        </w:rPr>
        <w:br w:type="page"/>
      </w:r>
    </w:p>
    <w:p w14:paraId="03168058">
      <w:pPr>
        <w:pStyle w:val="3"/>
        <w:numPr>
          <w:ilvl w:val="0"/>
          <w:numId w:val="0"/>
        </w:numPr>
        <w:rPr>
          <w:rFonts w:hint="default" w:ascii="Times New Roman" w:hAnsi="Times New Roman" w:cs="Times New Roman"/>
          <w:color w:val="000000" w:themeColor="text1"/>
          <w14:textFill>
            <w14:solidFill>
              <w14:schemeClr w14:val="tx1"/>
            </w14:solidFill>
          </w14:textFill>
        </w:rPr>
      </w:pPr>
      <w:bookmarkStart w:id="34" w:name="_Toc177025990"/>
      <w:r>
        <w:rPr>
          <w:rFonts w:hint="default" w:ascii="Times New Roman" w:hAnsi="Times New Roman" w:cs="Times New Roman"/>
          <w:color w:val="000000" w:themeColor="text1"/>
          <w:lang w:val="zh-CN"/>
          <w14:textFill>
            <w14:solidFill>
              <w14:schemeClr w14:val="tx1"/>
            </w14:solidFill>
          </w14:textFill>
        </w:rPr>
        <w:t>第六章</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zh-CN"/>
          <w14:textFill>
            <w14:solidFill>
              <w14:schemeClr w14:val="tx1"/>
            </w14:solidFill>
          </w14:textFill>
        </w:rPr>
        <w:t>附</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zh-CN"/>
          <w14:textFill>
            <w14:solidFill>
              <w14:schemeClr w14:val="tx1"/>
            </w14:solidFill>
          </w14:textFill>
        </w:rPr>
        <w:t>件</w:t>
      </w:r>
      <w:bookmarkEnd w:id="34"/>
    </w:p>
    <w:p w14:paraId="3BD3D73D">
      <w:pPr>
        <w:widowControl/>
        <w:adjustRightInd w:val="0"/>
        <w:spacing w:line="240" w:lineRule="atLeast"/>
        <w:jc w:val="left"/>
        <w:rPr>
          <w:rFonts w:hint="default" w:ascii="Times New Roman" w:hAnsi="Times New Roman" w:cs="Times New Roman"/>
          <w:b/>
          <w:bCs/>
          <w:color w:val="000000" w:themeColor="text1"/>
          <w:szCs w:val="21"/>
          <w14:textFill>
            <w14:solidFill>
              <w14:schemeClr w14:val="tx1"/>
            </w14:solidFill>
          </w14:textFill>
        </w:rPr>
      </w:pPr>
    </w:p>
    <w:p w14:paraId="74B6F90B">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290A602E">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42C381B7">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077E2A09">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3CB638AA">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14AD0254">
      <w:pPr>
        <w:spacing w:line="440" w:lineRule="exact"/>
        <w:rPr>
          <w:rFonts w:hint="default" w:ascii="Times New Roman" w:hAnsi="Times New Roman" w:cs="Times New Roman"/>
          <w:color w:val="000000" w:themeColor="text1"/>
          <w:sz w:val="20"/>
          <w:szCs w:val="20"/>
          <w14:textFill>
            <w14:solidFill>
              <w14:schemeClr w14:val="tx1"/>
            </w14:solidFill>
          </w14:textFill>
        </w:rPr>
      </w:pPr>
    </w:p>
    <w:p w14:paraId="1A61FE1C">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（项目名称）</w:t>
      </w:r>
    </w:p>
    <w:p w14:paraId="78E52921">
      <w:pPr>
        <w:jc w:val="center"/>
        <w:rPr>
          <w:rFonts w:hint="default" w:ascii="Times New Roman" w:hAnsi="Times New Roman" w:cs="Times New Roman"/>
          <w:color w:val="000000" w:themeColor="text1"/>
          <w:sz w:val="20"/>
          <w:szCs w:val="20"/>
          <w14:textFill>
            <w14:solidFill>
              <w14:schemeClr w14:val="tx1"/>
            </w14:solidFill>
          </w14:textFill>
        </w:rPr>
      </w:pPr>
    </w:p>
    <w:p w14:paraId="0F6407B8">
      <w:pPr>
        <w:rPr>
          <w:rFonts w:hint="default" w:ascii="Times New Roman" w:hAnsi="Times New Roman" w:cs="Times New Roman"/>
          <w:color w:val="000000" w:themeColor="text1"/>
          <w:sz w:val="20"/>
          <w:szCs w:val="20"/>
          <w14:textFill>
            <w14:solidFill>
              <w14:schemeClr w14:val="tx1"/>
            </w14:solidFill>
          </w14:textFill>
        </w:rPr>
      </w:pPr>
    </w:p>
    <w:p w14:paraId="5D8C7CDC">
      <w:pPr>
        <w:jc w:val="center"/>
        <w:rPr>
          <w:rFonts w:hint="default" w:ascii="Times New Roman" w:hAnsi="Times New Roman" w:cs="Times New Roman"/>
          <w:color w:val="000000" w:themeColor="text1"/>
          <w:sz w:val="44"/>
          <w:szCs w:val="44"/>
          <w14:textFill>
            <w14:solidFill>
              <w14:schemeClr w14:val="tx1"/>
            </w14:solidFill>
          </w14:textFill>
        </w:rPr>
      </w:pPr>
      <w:r>
        <w:rPr>
          <w:rFonts w:hint="default" w:ascii="Times New Roman" w:hAnsi="Times New Roman" w:cs="Times New Roman"/>
          <w:color w:val="000000" w:themeColor="text1"/>
          <w:sz w:val="44"/>
          <w:szCs w:val="44"/>
          <w14:textFill>
            <w14:solidFill>
              <w14:schemeClr w14:val="tx1"/>
            </w14:solidFill>
          </w14:textFill>
        </w:rPr>
        <w:t>投标文件</w:t>
      </w:r>
    </w:p>
    <w:p w14:paraId="3AF5D601">
      <w:pPr>
        <w:rPr>
          <w:rFonts w:hint="default" w:ascii="Times New Roman" w:hAnsi="Times New Roman" w:cs="Times New Roman"/>
          <w:color w:val="000000" w:themeColor="text1"/>
          <w:sz w:val="28"/>
          <w:szCs w:val="28"/>
          <w14:textFill>
            <w14:solidFill>
              <w14:schemeClr w14:val="tx1"/>
            </w14:solidFill>
          </w14:textFill>
        </w:rPr>
      </w:pPr>
    </w:p>
    <w:p w14:paraId="058EDF2C">
      <w:pPr>
        <w:rPr>
          <w:rFonts w:hint="default" w:ascii="Times New Roman" w:hAnsi="Times New Roman" w:cs="Times New Roman"/>
          <w:color w:val="000000" w:themeColor="text1"/>
          <w:sz w:val="28"/>
          <w:szCs w:val="28"/>
          <w14:textFill>
            <w14:solidFill>
              <w14:schemeClr w14:val="tx1"/>
            </w14:solidFill>
          </w14:textFill>
        </w:rPr>
      </w:pPr>
    </w:p>
    <w:p w14:paraId="3737E992">
      <w:pPr>
        <w:rPr>
          <w:rFonts w:hint="default" w:ascii="Times New Roman" w:hAnsi="Times New Roman" w:cs="Times New Roman"/>
          <w:color w:val="000000" w:themeColor="text1"/>
          <w:sz w:val="28"/>
          <w:szCs w:val="28"/>
          <w14:textFill>
            <w14:solidFill>
              <w14:schemeClr w14:val="tx1"/>
            </w14:solidFill>
          </w14:textFill>
        </w:rPr>
      </w:pPr>
    </w:p>
    <w:p w14:paraId="75B37116">
      <w:pPr>
        <w:jc w:val="center"/>
        <w:rPr>
          <w:rFonts w:hint="default" w:ascii="Times New Roman" w:hAnsi="Times New Roman" w:cs="Times New Roman"/>
          <w:color w:val="000000" w:themeColor="text1"/>
          <w:sz w:val="28"/>
          <w:szCs w:val="28"/>
          <w:u w:val="single"/>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投标人：（盖电子签章）</w:t>
      </w:r>
    </w:p>
    <w:p w14:paraId="5713CBC6">
      <w:pPr>
        <w:jc w:val="center"/>
        <w:rPr>
          <w:rFonts w:hint="default" w:ascii="Times New Roman" w:hAnsi="Times New Roman" w:cs="Times New Roman"/>
          <w:color w:val="000000" w:themeColor="text1"/>
          <w:sz w:val="28"/>
          <w:szCs w:val="28"/>
          <w14:textFill>
            <w14:solidFill>
              <w14:schemeClr w14:val="tx1"/>
            </w14:solidFill>
          </w14:textFill>
        </w:rPr>
      </w:pPr>
    </w:p>
    <w:p w14:paraId="5F80D20B">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年月日</w:t>
      </w:r>
    </w:p>
    <w:p w14:paraId="27BAE92E">
      <w:pPr>
        <w:spacing w:line="360" w:lineRule="auto"/>
        <w:rPr>
          <w:rFonts w:hint="default" w:ascii="Times New Roman" w:hAnsi="Times New Roman" w:cs="Times New Roman"/>
          <w:b/>
          <w:bCs/>
          <w:color w:val="000000" w:themeColor="text1"/>
          <w:kern w:val="0"/>
          <w:szCs w:val="21"/>
          <w14:textFill>
            <w14:solidFill>
              <w14:schemeClr w14:val="tx1"/>
            </w14:solidFill>
          </w14:textFill>
        </w:rPr>
      </w:pPr>
    </w:p>
    <w:p w14:paraId="6FE59896">
      <w:pPr>
        <w:spacing w:line="360" w:lineRule="auto"/>
        <w:rPr>
          <w:rFonts w:hint="default" w:ascii="Times New Roman" w:hAnsi="Times New Roman" w:cs="Times New Roman"/>
          <w:b/>
          <w:bCs/>
          <w:color w:val="000000" w:themeColor="text1"/>
          <w:kern w:val="0"/>
          <w:szCs w:val="21"/>
          <w14:textFill>
            <w14:solidFill>
              <w14:schemeClr w14:val="tx1"/>
            </w14:solidFill>
          </w14:textFill>
        </w:rPr>
      </w:pPr>
    </w:p>
    <w:p w14:paraId="517B6E1C">
      <w:pPr>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附件一、投标申请及声明格式</w:t>
      </w:r>
    </w:p>
    <w:p w14:paraId="7EBC318C">
      <w:pPr>
        <w:widowControl/>
        <w:shd w:val="clear" w:color="auto" w:fill="FFFFFF"/>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投标申请及声明</w:t>
      </w:r>
    </w:p>
    <w:p w14:paraId="4BD201D2">
      <w:pPr>
        <w:widowControl/>
        <w:shd w:val="clear" w:color="auto" w:fill="FFFFFF"/>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致：江苏省设备成套股份有限公司</w:t>
      </w:r>
    </w:p>
    <w:p w14:paraId="68DC3834">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根据贵方</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b/>
          <w:bCs/>
          <w:color w:val="000000" w:themeColor="text1"/>
          <w:kern w:val="0"/>
          <w:szCs w:val="21"/>
          <w:u w:val="single"/>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项目名称） </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（项目编号/标段号）投标邀请，正式授权下述签字人</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(姓名和职务)代表投标人</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（投标人名称），提交投标文件。</w:t>
      </w:r>
    </w:p>
    <w:p w14:paraId="77D4506B">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据此函，签字人兹宣布声明和承诺如下：</w:t>
      </w:r>
    </w:p>
    <w:p w14:paraId="2212B8C7">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w:t>
      </w:r>
      <w:r>
        <w:rPr>
          <w:rFonts w:hint="default" w:ascii="Times New Roman" w:hAnsi="Times New Roman" w:cs="Times New Roman"/>
          <w:b/>
          <w:bCs/>
          <w:color w:val="000000" w:themeColor="text1"/>
          <w:kern w:val="0"/>
          <w:szCs w:val="21"/>
          <w14:textFill>
            <w14:solidFill>
              <w14:schemeClr w14:val="tx1"/>
            </w14:solidFill>
          </w14:textFill>
        </w:rPr>
        <w:t>我们的资格条件完全符合政府采购法和本次招标要求</w:t>
      </w:r>
      <w:r>
        <w:rPr>
          <w:rFonts w:hint="default" w:ascii="Times New Roman" w:hAnsi="Times New Roman" w:cs="Times New Roman"/>
          <w:color w:val="000000" w:themeColor="text1"/>
          <w:kern w:val="0"/>
          <w:szCs w:val="21"/>
          <w14:textFill>
            <w14:solidFill>
              <w14:schemeClr w14:val="tx1"/>
            </w14:solidFill>
          </w14:textFill>
        </w:rPr>
        <w:t>，我们同意并向贵方提供了与投标有关的所有证据和资料。</w:t>
      </w:r>
    </w:p>
    <w:p w14:paraId="11B1943E">
      <w:pPr>
        <w:widowControl/>
        <w:shd w:val="clear" w:color="auto" w:fill="FFFFFF"/>
        <w:spacing w:line="360" w:lineRule="auto"/>
        <w:ind w:left="1470" w:hanging="105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2、按招标要求，我们的投标报价为（大写）</w:t>
      </w:r>
      <w:r>
        <w:rPr>
          <w:rFonts w:hint="default" w:ascii="Times New Roman" w:hAnsi="Times New Roman" w:cs="Times New Roman"/>
          <w:b/>
          <w:bCs/>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 xml:space="preserve">元人民币。 </w:t>
      </w:r>
    </w:p>
    <w:p w14:paraId="4B76F5E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3、本项目交付时间为：</w:t>
      </w:r>
      <w:r>
        <w:rPr>
          <w:rFonts w:hint="default" w:ascii="Times New Roman" w:hAnsi="Times New Roman" w:cs="Times New Roman"/>
          <w:color w:val="000000" w:themeColor="text1"/>
          <w:kern w:val="0"/>
          <w:szCs w:val="21"/>
          <w:u w:val="single"/>
          <w14:textFill>
            <w14:solidFill>
              <w14:schemeClr w14:val="tx1"/>
            </w14:solidFill>
          </w14:textFill>
        </w:rPr>
        <w:t xml:space="preserve">  满足招标文件要求  </w:t>
      </w:r>
      <w:r>
        <w:rPr>
          <w:rFonts w:hint="default" w:ascii="Times New Roman" w:hAnsi="Times New Roman" w:cs="Times New Roman"/>
          <w:color w:val="000000" w:themeColor="text1"/>
          <w:kern w:val="0"/>
          <w:szCs w:val="21"/>
          <w14:textFill>
            <w14:solidFill>
              <w14:schemeClr w14:val="tx1"/>
            </w14:solidFill>
          </w14:textFill>
        </w:rPr>
        <w:t>。</w:t>
      </w:r>
    </w:p>
    <w:p w14:paraId="5D1F62D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4、我们已详细审核全部招标文件及其有效补充文件，我们放弃对招标文件任何误解的权利，提交投标文件后，</w:t>
      </w:r>
      <w:r>
        <w:rPr>
          <w:rFonts w:hint="default" w:ascii="Times New Roman" w:hAnsi="Times New Roman" w:cs="Times New Roman"/>
          <w:b/>
          <w:bCs/>
          <w:color w:val="000000" w:themeColor="text1"/>
          <w:kern w:val="0"/>
          <w:szCs w:val="21"/>
          <w14:textFill>
            <w14:solidFill>
              <w14:schemeClr w14:val="tx1"/>
            </w14:solidFill>
          </w14:textFill>
        </w:rPr>
        <w:t>不对招标文件本身提出质疑</w:t>
      </w:r>
      <w:r>
        <w:rPr>
          <w:rFonts w:hint="default" w:ascii="Times New Roman" w:hAnsi="Times New Roman" w:cs="Times New Roman"/>
          <w:color w:val="000000" w:themeColor="text1"/>
          <w:kern w:val="0"/>
          <w:szCs w:val="21"/>
          <w14:textFill>
            <w14:solidFill>
              <w14:schemeClr w14:val="tx1"/>
            </w14:solidFill>
          </w14:textFill>
        </w:rPr>
        <w:t>。</w:t>
      </w:r>
    </w:p>
    <w:p w14:paraId="23D7896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5、我们同意从规定的开标日期起遵循本投标文件，并在规定的投标有效期期满之前均具有约束力。</w:t>
      </w:r>
    </w:p>
    <w:p w14:paraId="2440C18A">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54D74EA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7、一旦我方中标，我方将根据招标文件的规定严格履行合同，并保证于承诺的时间完成货物的启动/集成、调试等服务，交付采购人验收、使用。</w:t>
      </w:r>
    </w:p>
    <w:p w14:paraId="165C522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C7E7623">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9、与本投标有关的正式联系方式为：</w:t>
      </w:r>
    </w:p>
    <w:p w14:paraId="32765B6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地   址：</w:t>
      </w:r>
      <w:r>
        <w:rPr>
          <w:rFonts w:hint="default" w:ascii="Times New Roman" w:hAnsi="Times New Roman" w:cs="Times New Roman"/>
          <w:color w:val="000000" w:themeColor="text1"/>
          <w:kern w:val="0"/>
          <w:szCs w:val="21"/>
          <w:u w:val="single"/>
          <w14:textFill>
            <w14:solidFill>
              <w14:schemeClr w14:val="tx1"/>
            </w14:solidFill>
          </w14:textFill>
        </w:rPr>
        <w:t>                      </w:t>
      </w:r>
    </w:p>
    <w:p w14:paraId="02570F5C">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电   话：</w:t>
      </w:r>
      <w:r>
        <w:rPr>
          <w:rFonts w:hint="default" w:ascii="Times New Roman" w:hAnsi="Times New Roman" w:cs="Times New Roman"/>
          <w:color w:val="000000" w:themeColor="text1"/>
          <w:kern w:val="0"/>
          <w:szCs w:val="21"/>
          <w:u w:val="single"/>
          <w14:textFill>
            <w14:solidFill>
              <w14:schemeClr w14:val="tx1"/>
            </w14:solidFill>
          </w14:textFill>
        </w:rPr>
        <w:t>                      </w:t>
      </w:r>
    </w:p>
    <w:p w14:paraId="0A236A9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传   真：</w:t>
      </w:r>
      <w:r>
        <w:rPr>
          <w:rFonts w:hint="default" w:ascii="Times New Roman" w:hAnsi="Times New Roman" w:cs="Times New Roman"/>
          <w:color w:val="000000" w:themeColor="text1"/>
          <w:kern w:val="0"/>
          <w:szCs w:val="21"/>
          <w:u w:val="single"/>
          <w14:textFill>
            <w14:solidFill>
              <w14:schemeClr w14:val="tx1"/>
            </w14:solidFill>
          </w14:textFill>
        </w:rPr>
        <w:t>                      </w:t>
      </w:r>
    </w:p>
    <w:p w14:paraId="3E5235BF">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开户银行：</w:t>
      </w:r>
    </w:p>
    <w:p w14:paraId="3C94A835">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银行账号：</w:t>
      </w:r>
    </w:p>
    <w:p w14:paraId="780C6A5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投标人授权代表身份证号：</w:t>
      </w:r>
      <w:r>
        <w:rPr>
          <w:rFonts w:hint="default" w:ascii="Times New Roman" w:hAnsi="Times New Roman" w:cs="Times New Roman"/>
          <w:color w:val="000000" w:themeColor="text1"/>
          <w:kern w:val="0"/>
          <w:szCs w:val="21"/>
          <w:u w:val="single"/>
          <w14:textFill>
            <w14:solidFill>
              <w14:schemeClr w14:val="tx1"/>
            </w14:solidFill>
          </w14:textFill>
        </w:rPr>
        <w:t>        </w:t>
      </w:r>
    </w:p>
    <w:p w14:paraId="34144FB8">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投标人授权代表联系电话（手机/固话）：</w:t>
      </w:r>
      <w:r>
        <w:rPr>
          <w:rFonts w:hint="default" w:ascii="Times New Roman" w:hAnsi="Times New Roman" w:cs="Times New Roman"/>
          <w:color w:val="000000" w:themeColor="text1"/>
          <w:kern w:val="0"/>
          <w:szCs w:val="21"/>
          <w:u w:val="single"/>
          <w14:textFill>
            <w14:solidFill>
              <w14:schemeClr w14:val="tx1"/>
            </w14:solidFill>
          </w14:textFill>
        </w:rPr>
        <w:t>    /    </w:t>
      </w:r>
    </w:p>
    <w:p w14:paraId="4AB89EC2">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投标人名称：</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（盖电子签章）</w:t>
      </w:r>
    </w:p>
    <w:p w14:paraId="6AB1DECD">
      <w:pPr>
        <w:widowControl/>
        <w:shd w:val="clear" w:color="auto" w:fill="FFFFFF"/>
        <w:spacing w:line="360" w:lineRule="auto"/>
        <w:ind w:firstLine="42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日    期：</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年</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月</w:t>
      </w:r>
      <w:r>
        <w:rPr>
          <w:rFonts w:hint="default" w:ascii="Times New Roman" w:hAnsi="Times New Roman" w:cs="Times New Roman"/>
          <w:color w:val="000000" w:themeColor="text1"/>
          <w:kern w:val="0"/>
          <w:szCs w:val="21"/>
          <w:u w:val="single"/>
          <w14:textFill>
            <w14:solidFill>
              <w14:schemeClr w14:val="tx1"/>
            </w14:solidFill>
          </w14:textFill>
        </w:rPr>
        <w:t>    </w:t>
      </w:r>
      <w:r>
        <w:rPr>
          <w:rFonts w:hint="default" w:ascii="Times New Roman" w:hAnsi="Times New Roman" w:cs="Times New Roman"/>
          <w:color w:val="000000" w:themeColor="text1"/>
          <w:kern w:val="0"/>
          <w:szCs w:val="21"/>
          <w14:textFill>
            <w14:solidFill>
              <w14:schemeClr w14:val="tx1"/>
            </w14:solidFill>
          </w14:textFill>
        </w:rPr>
        <w:t>日</w:t>
      </w:r>
    </w:p>
    <w:p w14:paraId="14807DD6">
      <w:pPr>
        <w:widowControl/>
        <w:shd w:val="clear" w:color="auto" w:fill="FFFFFF"/>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附件二、法定代表人授权委托书格式</w:t>
      </w:r>
    </w:p>
    <w:p w14:paraId="66AD200F">
      <w:pPr>
        <w:widowControl/>
        <w:shd w:val="clear" w:color="auto" w:fill="FFFFFF"/>
        <w:spacing w:line="360" w:lineRule="auto"/>
        <w:ind w:firstLine="720"/>
        <w:jc w:val="center"/>
        <w:rPr>
          <w:rFonts w:hint="default" w:ascii="Times New Roman" w:hAnsi="Times New Roman" w:cs="Times New Roman"/>
          <w:color w:val="000000" w:themeColor="text1"/>
          <w:kern w:val="0"/>
          <w:szCs w:val="21"/>
          <w14:textFill>
            <w14:solidFill>
              <w14:schemeClr w14:val="tx1"/>
            </w14:solidFill>
          </w14:textFill>
        </w:rPr>
      </w:pPr>
    </w:p>
    <w:p w14:paraId="36B2E1D2">
      <w:pPr>
        <w:widowControl/>
        <w:shd w:val="clear" w:color="auto" w:fill="FFFFFF"/>
        <w:spacing w:line="360" w:lineRule="auto"/>
        <w:ind w:firstLine="720"/>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法定代表人授权委托书</w:t>
      </w:r>
    </w:p>
    <w:p w14:paraId="33CEDBDF">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p w14:paraId="70A3836A">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致：江苏省设备成套股份有限公司</w:t>
      </w:r>
    </w:p>
    <w:p w14:paraId="7FC60D16">
      <w:pPr>
        <w:pStyle w:val="111"/>
        <w:spacing w:line="480" w:lineRule="exact"/>
        <w:ind w:firstLine="480"/>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本授权书声明：本授权书声明：</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（投标人名称）授权</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（被授权人姓名）作为我方参加编号为</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项目采购活动的合法代理人，以本单位名义全权处理一切与该项目采购有关的事务。</w:t>
      </w:r>
    </w:p>
    <w:p w14:paraId="2CDC8168">
      <w:pPr>
        <w:pStyle w:val="111"/>
        <w:spacing w:line="480" w:lineRule="exact"/>
        <w:ind w:firstLine="480"/>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本授权书自______年____月____日起生效，特此声明。</w:t>
      </w:r>
    </w:p>
    <w:p w14:paraId="46BD6B1E">
      <w:pPr>
        <w:pStyle w:val="111"/>
        <w:spacing w:line="480" w:lineRule="exact"/>
        <w:ind w:firstLine="480"/>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被授权人身份证号码：</w:t>
      </w:r>
    </w:p>
    <w:p w14:paraId="5E8D0F39">
      <w:pPr>
        <w:pStyle w:val="111"/>
        <w:spacing w:line="480" w:lineRule="exact"/>
        <w:ind w:firstLine="480"/>
        <w:rPr>
          <w:rFonts w:hint="default" w:ascii="Times New Roman" w:hAnsi="Times New Roman" w:cs="Times New Roman"/>
          <w:color w:val="000000" w:themeColor="text1"/>
          <w:sz w:val="21"/>
          <w:szCs w:val="21"/>
          <w:u w:val="single"/>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被授权人联系电话：（手机）</w:t>
      </w:r>
    </w:p>
    <w:p w14:paraId="4415DFDB">
      <w:pPr>
        <w:pStyle w:val="111"/>
        <w:spacing w:line="480" w:lineRule="exact"/>
        <w:ind w:firstLine="409" w:firstLineChars="195"/>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单位名称：（加盖电子签章）</w:t>
      </w:r>
    </w:p>
    <w:p w14:paraId="52FD5913">
      <w:pPr>
        <w:pStyle w:val="111"/>
        <w:spacing w:line="480" w:lineRule="exact"/>
        <w:ind w:firstLine="409" w:firstLineChars="195"/>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单位地址：</w:t>
      </w:r>
    </w:p>
    <w:p w14:paraId="5831F00A">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日    期：</w:t>
      </w:r>
    </w:p>
    <w:p w14:paraId="6DE33741">
      <w:pPr>
        <w:widowControl/>
        <w:shd w:val="clear" w:color="auto" w:fill="FFFFFF"/>
        <w:spacing w:line="360" w:lineRule="auto"/>
        <w:ind w:firstLine="840" w:firstLineChars="400"/>
        <w:jc w:val="left"/>
        <w:rPr>
          <w:rFonts w:hint="default" w:ascii="Times New Roman" w:hAnsi="Times New Roman" w:cs="Times New Roman"/>
          <w:color w:val="000000" w:themeColor="text1"/>
          <w:kern w:val="0"/>
          <w:szCs w:val="21"/>
          <w14:textFill>
            <w14:solidFill>
              <w14:schemeClr w14:val="tx1"/>
            </w14:solidFill>
          </w14:textFill>
        </w:rPr>
      </w:pPr>
    </w:p>
    <w:p w14:paraId="02771C44">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委托代理人的身份证明文件的扫描件:</w:t>
      </w:r>
    </w:p>
    <w:p w14:paraId="1D59D505">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5B42F5AE">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6DCD9B22">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法定代表人的身份证明文件的扫描件:</w:t>
      </w:r>
    </w:p>
    <w:p w14:paraId="6A70DED6">
      <w:pPr>
        <w:widowControl/>
        <w:shd w:val="clear" w:color="auto" w:fill="FFFFFF"/>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附件三、开标一览表格式</w:t>
      </w:r>
    </w:p>
    <w:p w14:paraId="3D1FD936">
      <w:pPr>
        <w:widowControl/>
        <w:shd w:val="clear" w:color="auto" w:fill="FFFFFF"/>
        <w:spacing w:line="360" w:lineRule="auto"/>
        <w:ind w:firstLine="3960"/>
        <w:jc w:val="left"/>
        <w:rPr>
          <w:rFonts w:hint="default" w:ascii="Times New Roman" w:hAnsi="Times New Roman" w:cs="Times New Roman"/>
          <w:b/>
          <w:bCs/>
          <w:color w:val="000000" w:themeColor="text1"/>
          <w:kern w:val="0"/>
          <w:sz w:val="24"/>
          <w14:textFill>
            <w14:solidFill>
              <w14:schemeClr w14:val="tx1"/>
            </w14:solidFill>
          </w14:textFill>
        </w:rPr>
      </w:pPr>
      <w:r>
        <w:rPr>
          <w:rFonts w:hint="default" w:ascii="Times New Roman" w:hAnsi="Times New Roman" w:cs="Times New Roman"/>
          <w:b/>
          <w:bCs/>
          <w:color w:val="000000" w:themeColor="text1"/>
          <w:kern w:val="0"/>
          <w:sz w:val="24"/>
          <w14:textFill>
            <w14:solidFill>
              <w14:schemeClr w14:val="tx1"/>
            </w14:solidFill>
          </w14:textFill>
        </w:rPr>
        <w:t>开标一览表</w:t>
      </w:r>
    </w:p>
    <w:p w14:paraId="60EB56F5">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项目名称：                                         项目编号：</w:t>
      </w:r>
    </w:p>
    <w:tbl>
      <w:tblPr>
        <w:tblStyle w:val="4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3"/>
        <w:gridCol w:w="1120"/>
        <w:gridCol w:w="3628"/>
        <w:gridCol w:w="1639"/>
      </w:tblGrid>
      <w:tr w14:paraId="0182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253" w:type="dxa"/>
            <w:tcBorders>
              <w:top w:val="single" w:color="auto" w:sz="4" w:space="0"/>
              <w:left w:val="single" w:color="auto" w:sz="4" w:space="0"/>
              <w:bottom w:val="single" w:color="auto" w:sz="4" w:space="0"/>
              <w:right w:val="single" w:color="auto" w:sz="4" w:space="0"/>
            </w:tcBorders>
            <w:vAlign w:val="center"/>
          </w:tcPr>
          <w:p w14:paraId="1F66E3DE">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48ED2D04">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p>
        </w:tc>
        <w:tc>
          <w:tcPr>
            <w:tcW w:w="1639" w:type="dxa"/>
            <w:tcBorders>
              <w:top w:val="single" w:color="auto" w:sz="4" w:space="0"/>
              <w:left w:val="single" w:color="auto" w:sz="4" w:space="0"/>
              <w:bottom w:val="single" w:color="auto" w:sz="4" w:space="0"/>
              <w:right w:val="single" w:color="auto" w:sz="4" w:space="0"/>
            </w:tcBorders>
            <w:vAlign w:val="center"/>
          </w:tcPr>
          <w:p w14:paraId="12163B64">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备注</w:t>
            </w:r>
          </w:p>
        </w:tc>
      </w:tr>
      <w:tr w14:paraId="53DF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2253" w:type="dxa"/>
            <w:tcBorders>
              <w:top w:val="single" w:color="auto" w:sz="4" w:space="0"/>
              <w:left w:val="single" w:color="auto" w:sz="4" w:space="0"/>
              <w:bottom w:val="single" w:color="auto" w:sz="4" w:space="0"/>
              <w:right w:val="single" w:color="auto" w:sz="4" w:space="0"/>
            </w:tcBorders>
            <w:vAlign w:val="center"/>
          </w:tcPr>
          <w:p w14:paraId="4CECE58D">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投标总价</w:t>
            </w:r>
          </w:p>
        </w:tc>
        <w:tc>
          <w:tcPr>
            <w:tcW w:w="1120" w:type="dxa"/>
            <w:tcBorders>
              <w:top w:val="single" w:color="auto" w:sz="4" w:space="0"/>
              <w:left w:val="single" w:color="auto" w:sz="4" w:space="0"/>
              <w:bottom w:val="single" w:color="auto" w:sz="4" w:space="0"/>
              <w:right w:val="single" w:color="auto" w:sz="4" w:space="0"/>
            </w:tcBorders>
            <w:vAlign w:val="center"/>
          </w:tcPr>
          <w:p w14:paraId="49D696AC">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合计</w:t>
            </w:r>
          </w:p>
        </w:tc>
        <w:tc>
          <w:tcPr>
            <w:tcW w:w="3628" w:type="dxa"/>
            <w:tcBorders>
              <w:top w:val="single" w:color="auto" w:sz="4" w:space="0"/>
              <w:left w:val="single" w:color="auto" w:sz="4" w:space="0"/>
              <w:bottom w:val="single" w:color="auto" w:sz="4" w:space="0"/>
              <w:right w:val="single" w:color="auto" w:sz="4" w:space="0"/>
            </w:tcBorders>
            <w:vAlign w:val="center"/>
          </w:tcPr>
          <w:p w14:paraId="69B99816">
            <w:pPr>
              <w:pStyle w:val="13"/>
              <w:spacing w:line="440" w:lineRule="exact"/>
              <w:ind w:firstLine="0"/>
              <w:rPr>
                <w:rFonts w:hint="default" w:ascii="Times New Roman" w:hAnsi="Times New Roman" w:cs="Times New Roman"/>
                <w:bCs/>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小写：人民币              </w:t>
            </w:r>
            <w:r>
              <w:rPr>
                <w:rFonts w:hint="default" w:ascii="Times New Roman" w:hAnsi="Times New Roman" w:cs="Times New Roman"/>
                <w:bCs/>
                <w:color w:val="000000" w:themeColor="text1"/>
                <w:sz w:val="21"/>
                <w:szCs w:val="21"/>
                <w14:textFill>
                  <w14:solidFill>
                    <w14:schemeClr w14:val="tx1"/>
                  </w14:solidFill>
                </w14:textFill>
              </w:rPr>
              <w:t xml:space="preserve">    </w:t>
            </w:r>
          </w:p>
          <w:p w14:paraId="0B8005A4">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p>
          <w:p w14:paraId="7BD1DE38">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大写：人民币                     </w:t>
            </w:r>
          </w:p>
        </w:tc>
        <w:tc>
          <w:tcPr>
            <w:tcW w:w="1639" w:type="dxa"/>
            <w:tcBorders>
              <w:top w:val="single" w:color="auto" w:sz="4" w:space="0"/>
              <w:left w:val="single" w:color="auto" w:sz="4" w:space="0"/>
              <w:bottom w:val="single" w:color="auto" w:sz="4" w:space="0"/>
              <w:right w:val="single" w:color="auto" w:sz="4" w:space="0"/>
            </w:tcBorders>
            <w:vAlign w:val="center"/>
          </w:tcPr>
          <w:p w14:paraId="56FEEC52">
            <w:pPr>
              <w:pStyle w:val="13"/>
              <w:spacing w:line="440" w:lineRule="exact"/>
              <w:ind w:firstLine="0"/>
              <w:rPr>
                <w:rFonts w:hint="default" w:ascii="Times New Roman" w:hAnsi="Times New Roman" w:cs="Times New Roman"/>
                <w:bCs/>
                <w:color w:val="000000" w:themeColor="text1"/>
                <w:sz w:val="21"/>
                <w:szCs w:val="21"/>
                <w14:textFill>
                  <w14:solidFill>
                    <w14:schemeClr w14:val="tx1"/>
                  </w14:solidFill>
                </w14:textFill>
              </w:rPr>
            </w:pPr>
            <w:r>
              <w:rPr>
                <w:rFonts w:hint="default" w:ascii="Times New Roman" w:hAnsi="Times New Roman" w:cs="Times New Roman"/>
                <w:bCs/>
                <w:color w:val="000000" w:themeColor="text1"/>
                <w:sz w:val="21"/>
                <w:szCs w:val="21"/>
                <w14:textFill>
                  <w14:solidFill>
                    <w14:schemeClr w14:val="tx1"/>
                  </w14:solidFill>
                </w14:textFill>
              </w:rPr>
              <w:t>以“标书制作客户端——基本目录——开标一览表”中填写的金额为准</w:t>
            </w:r>
          </w:p>
          <w:p w14:paraId="3AD2BADC">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p>
        </w:tc>
      </w:tr>
      <w:tr w14:paraId="089E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2253" w:type="dxa"/>
            <w:tcBorders>
              <w:top w:val="single" w:color="auto" w:sz="4" w:space="0"/>
              <w:left w:val="single" w:color="auto" w:sz="4" w:space="0"/>
              <w:bottom w:val="single" w:color="auto" w:sz="4" w:space="0"/>
              <w:right w:val="single" w:color="auto" w:sz="4" w:space="0"/>
            </w:tcBorders>
            <w:vAlign w:val="center"/>
          </w:tcPr>
          <w:p w14:paraId="1D3D3F24">
            <w:pPr>
              <w:pStyle w:val="13"/>
              <w:spacing w:line="440" w:lineRule="exact"/>
              <w:ind w:firstLine="0"/>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服务时间/交付使用时间</w:t>
            </w: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3C53D540">
            <w:pPr>
              <w:pStyle w:val="13"/>
              <w:tabs>
                <w:tab w:val="left" w:pos="3624"/>
              </w:tabs>
              <w:spacing w:line="440" w:lineRule="exact"/>
              <w:ind w:firstLine="474" w:firstLineChars="225"/>
              <w:rPr>
                <w:rFonts w:hint="default" w:ascii="Times New Roman" w:hAnsi="Times New Roman" w:cs="Times New Roman"/>
                <w:color w:val="000000" w:themeColor="text1"/>
                <w:sz w:val="21"/>
                <w:szCs w:val="21"/>
                <w:u w:val="single"/>
                <w14:textFill>
                  <w14:solidFill>
                    <w14:schemeClr w14:val="tx1"/>
                  </w14:solidFill>
                </w14:textFill>
              </w:rPr>
            </w:pPr>
            <w:r>
              <w:rPr>
                <w:rFonts w:hint="default" w:ascii="Times New Roman" w:hAnsi="Times New Roman" w:cs="Times New Roman"/>
                <w:color w:val="000000" w:themeColor="text1"/>
                <w:sz w:val="21"/>
                <w:szCs w:val="21"/>
                <w:u w:val="single"/>
                <w14:textFill>
                  <w14:solidFill>
                    <w14:schemeClr w14:val="tx1"/>
                  </w14:solidFill>
                </w14:textFill>
              </w:rPr>
              <w:t>满足招标文件要求。</w:t>
            </w:r>
          </w:p>
        </w:tc>
        <w:tc>
          <w:tcPr>
            <w:tcW w:w="1639" w:type="dxa"/>
            <w:tcBorders>
              <w:top w:val="single" w:color="auto" w:sz="4" w:space="0"/>
              <w:left w:val="single" w:color="auto" w:sz="4" w:space="0"/>
              <w:bottom w:val="single" w:color="auto" w:sz="4" w:space="0"/>
              <w:right w:val="single" w:color="auto" w:sz="4" w:space="0"/>
            </w:tcBorders>
            <w:vAlign w:val="center"/>
          </w:tcPr>
          <w:p w14:paraId="491D724C">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p>
          <w:p w14:paraId="43528EE1">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p>
        </w:tc>
      </w:tr>
      <w:tr w14:paraId="0F2D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2253" w:type="dxa"/>
            <w:tcBorders>
              <w:top w:val="single" w:color="auto" w:sz="4" w:space="0"/>
              <w:left w:val="single" w:color="auto" w:sz="4" w:space="0"/>
              <w:bottom w:val="single" w:color="auto" w:sz="4" w:space="0"/>
              <w:right w:val="single" w:color="auto" w:sz="4" w:space="0"/>
            </w:tcBorders>
            <w:vAlign w:val="center"/>
          </w:tcPr>
          <w:p w14:paraId="01245B56">
            <w:pPr>
              <w:spacing w:line="440" w:lineRule="exact"/>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投标标的是否全部由小微企业提供</w:t>
            </w:r>
          </w:p>
        </w:tc>
        <w:tc>
          <w:tcPr>
            <w:tcW w:w="4748" w:type="dxa"/>
            <w:gridSpan w:val="2"/>
            <w:tcBorders>
              <w:top w:val="single" w:color="auto" w:sz="4" w:space="0"/>
              <w:left w:val="single" w:color="auto" w:sz="4" w:space="0"/>
              <w:bottom w:val="single" w:color="auto" w:sz="4" w:space="0"/>
              <w:right w:val="single" w:color="auto" w:sz="4" w:space="0"/>
            </w:tcBorders>
            <w:vAlign w:val="center"/>
          </w:tcPr>
          <w:p w14:paraId="01FAE01F">
            <w:pPr>
              <w:spacing w:line="440" w:lineRule="exact"/>
              <w:ind w:firstLine="474" w:firstLineChars="225"/>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（填写“是”或“否”）</w:t>
            </w:r>
          </w:p>
        </w:tc>
        <w:tc>
          <w:tcPr>
            <w:tcW w:w="1639" w:type="dxa"/>
            <w:tcBorders>
              <w:top w:val="single" w:color="auto" w:sz="4" w:space="0"/>
              <w:left w:val="single" w:color="auto" w:sz="4" w:space="0"/>
              <w:bottom w:val="single" w:color="auto" w:sz="4" w:space="0"/>
              <w:right w:val="single" w:color="auto" w:sz="4" w:space="0"/>
            </w:tcBorders>
            <w:vAlign w:val="center"/>
          </w:tcPr>
          <w:p w14:paraId="79ECDC3B">
            <w:pPr>
              <w:pStyle w:val="13"/>
              <w:spacing w:line="440" w:lineRule="exact"/>
              <w:ind w:firstLine="474" w:firstLineChars="225"/>
              <w:rPr>
                <w:rFonts w:hint="default" w:ascii="Times New Roman" w:hAnsi="Times New Roman" w:cs="Times New Roman"/>
                <w:color w:val="000000" w:themeColor="text1"/>
                <w:sz w:val="21"/>
                <w:szCs w:val="21"/>
                <w14:textFill>
                  <w14:solidFill>
                    <w14:schemeClr w14:val="tx1"/>
                  </w14:solidFill>
                </w14:textFill>
              </w:rPr>
            </w:pPr>
          </w:p>
        </w:tc>
      </w:tr>
    </w:tbl>
    <w:p w14:paraId="2268E345">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投标单位（电子签章）： </w:t>
      </w:r>
    </w:p>
    <w:p w14:paraId="3B01BF42">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说明：</w:t>
      </w:r>
    </w:p>
    <w:p w14:paraId="15F068ED">
      <w:pPr>
        <w:widowControl/>
        <w:numPr>
          <w:ilvl w:val="0"/>
          <w:numId w:val="7"/>
        </w:numPr>
        <w:shd w:val="clear" w:color="auto" w:fill="FFFFFF"/>
        <w:spacing w:line="360" w:lineRule="auto"/>
        <w:ind w:firstLine="422" w:firstLineChars="200"/>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本项目仅接受一个价格，不得填报有选择性报价方案。若有优惠条款须注明，但不得影响报价，影响产品整体功能。</w:t>
      </w:r>
    </w:p>
    <w:p w14:paraId="29FE6431">
      <w:pPr>
        <w:widowControl/>
        <w:shd w:val="clear" w:color="auto" w:fill="FFFFFF"/>
        <w:spacing w:line="360" w:lineRule="auto"/>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附件四、分项报价表格式</w:t>
      </w:r>
    </w:p>
    <w:p w14:paraId="03CCCF00">
      <w:pPr>
        <w:widowControl/>
        <w:shd w:val="clear" w:color="auto" w:fill="FFFFFF"/>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分项报价表</w:t>
      </w:r>
    </w:p>
    <w:p w14:paraId="2F1E88C6">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bl>
      <w:tblPr>
        <w:tblStyle w:val="44"/>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809"/>
        <w:gridCol w:w="807"/>
        <w:gridCol w:w="829"/>
        <w:gridCol w:w="709"/>
        <w:gridCol w:w="708"/>
        <w:gridCol w:w="656"/>
        <w:gridCol w:w="904"/>
        <w:gridCol w:w="1536"/>
      </w:tblGrid>
      <w:tr w14:paraId="50FB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58F8921A">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序号</w:t>
            </w:r>
          </w:p>
        </w:tc>
        <w:tc>
          <w:tcPr>
            <w:tcW w:w="1809" w:type="dxa"/>
            <w:tcBorders>
              <w:top w:val="single" w:color="auto" w:sz="4" w:space="0"/>
              <w:left w:val="single" w:color="auto" w:sz="4" w:space="0"/>
              <w:bottom w:val="single" w:color="auto" w:sz="4" w:space="0"/>
              <w:right w:val="single" w:color="auto" w:sz="4" w:space="0"/>
            </w:tcBorders>
            <w:vAlign w:val="center"/>
          </w:tcPr>
          <w:p w14:paraId="6CDB86A9">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分项内容</w:t>
            </w:r>
          </w:p>
        </w:tc>
        <w:tc>
          <w:tcPr>
            <w:tcW w:w="807" w:type="dxa"/>
            <w:tcBorders>
              <w:top w:val="single" w:color="auto" w:sz="4" w:space="0"/>
              <w:left w:val="single" w:color="auto" w:sz="4" w:space="0"/>
              <w:bottom w:val="single" w:color="auto" w:sz="4" w:space="0"/>
              <w:right w:val="single" w:color="auto" w:sz="4" w:space="0"/>
            </w:tcBorders>
            <w:vAlign w:val="center"/>
          </w:tcPr>
          <w:p w14:paraId="78B6087D">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制造商名称</w:t>
            </w:r>
          </w:p>
        </w:tc>
        <w:tc>
          <w:tcPr>
            <w:tcW w:w="829" w:type="dxa"/>
            <w:tcBorders>
              <w:top w:val="single" w:color="auto" w:sz="4" w:space="0"/>
              <w:left w:val="single" w:color="auto" w:sz="4" w:space="0"/>
              <w:bottom w:val="single" w:color="auto" w:sz="4" w:space="0"/>
              <w:right w:val="single" w:color="auto" w:sz="4" w:space="0"/>
            </w:tcBorders>
            <w:vAlign w:val="center"/>
          </w:tcPr>
          <w:p w14:paraId="4E4F36DF">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型号规格</w:t>
            </w:r>
          </w:p>
        </w:tc>
        <w:tc>
          <w:tcPr>
            <w:tcW w:w="709" w:type="dxa"/>
            <w:tcBorders>
              <w:top w:val="single" w:color="auto" w:sz="4" w:space="0"/>
              <w:left w:val="single" w:color="auto" w:sz="4" w:space="0"/>
              <w:bottom w:val="single" w:color="auto" w:sz="4" w:space="0"/>
              <w:right w:val="single" w:color="auto" w:sz="4" w:space="0"/>
            </w:tcBorders>
            <w:vAlign w:val="center"/>
          </w:tcPr>
          <w:p w14:paraId="476DF8C3">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单位</w:t>
            </w:r>
          </w:p>
        </w:tc>
        <w:tc>
          <w:tcPr>
            <w:tcW w:w="708" w:type="dxa"/>
            <w:tcBorders>
              <w:top w:val="single" w:color="auto" w:sz="4" w:space="0"/>
              <w:left w:val="single" w:color="auto" w:sz="4" w:space="0"/>
              <w:bottom w:val="single" w:color="auto" w:sz="4" w:space="0"/>
              <w:right w:val="single" w:color="auto" w:sz="4" w:space="0"/>
            </w:tcBorders>
            <w:vAlign w:val="center"/>
          </w:tcPr>
          <w:p w14:paraId="299ADBE2">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数量</w:t>
            </w:r>
          </w:p>
        </w:tc>
        <w:tc>
          <w:tcPr>
            <w:tcW w:w="656" w:type="dxa"/>
            <w:tcBorders>
              <w:top w:val="single" w:color="auto" w:sz="4" w:space="0"/>
              <w:left w:val="single" w:color="auto" w:sz="4" w:space="0"/>
              <w:bottom w:val="single" w:color="auto" w:sz="4" w:space="0"/>
              <w:right w:val="single" w:color="auto" w:sz="4" w:space="0"/>
            </w:tcBorders>
            <w:vAlign w:val="center"/>
          </w:tcPr>
          <w:p w14:paraId="665982CE">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单价</w:t>
            </w:r>
          </w:p>
        </w:tc>
        <w:tc>
          <w:tcPr>
            <w:tcW w:w="904" w:type="dxa"/>
            <w:tcBorders>
              <w:top w:val="single" w:color="auto" w:sz="4" w:space="0"/>
              <w:left w:val="single" w:color="auto" w:sz="4" w:space="0"/>
              <w:bottom w:val="single" w:color="auto" w:sz="4" w:space="0"/>
              <w:right w:val="single" w:color="auto" w:sz="4" w:space="0"/>
            </w:tcBorders>
            <w:vAlign w:val="center"/>
          </w:tcPr>
          <w:p w14:paraId="3E626875">
            <w:pP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合价</w:t>
            </w:r>
          </w:p>
        </w:tc>
        <w:tc>
          <w:tcPr>
            <w:tcW w:w="1536" w:type="dxa"/>
            <w:tcBorders>
              <w:top w:val="single" w:color="auto" w:sz="4" w:space="0"/>
              <w:left w:val="single" w:color="auto" w:sz="4" w:space="0"/>
              <w:bottom w:val="single" w:color="auto" w:sz="4" w:space="0"/>
              <w:right w:val="single" w:color="auto" w:sz="4" w:space="0"/>
            </w:tcBorders>
            <w:vAlign w:val="center"/>
          </w:tcPr>
          <w:p w14:paraId="7B1D5BE7">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是否小、微企业产品（货物或服务）</w:t>
            </w:r>
          </w:p>
        </w:tc>
      </w:tr>
      <w:tr w14:paraId="0EC0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15E3A861">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1</w:t>
            </w:r>
          </w:p>
        </w:tc>
        <w:tc>
          <w:tcPr>
            <w:tcW w:w="1809" w:type="dxa"/>
            <w:tcBorders>
              <w:top w:val="single" w:color="auto" w:sz="4" w:space="0"/>
              <w:left w:val="single" w:color="auto" w:sz="4" w:space="0"/>
              <w:bottom w:val="single" w:color="auto" w:sz="4" w:space="0"/>
              <w:right w:val="single" w:color="auto" w:sz="4" w:space="0"/>
            </w:tcBorders>
            <w:vAlign w:val="center"/>
          </w:tcPr>
          <w:p w14:paraId="11017D95">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294A1298">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4A7AC98C">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1B7B7E6">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2B3266BC">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4350D908">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BDACA24">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1BDC6B2C">
            <w:pPr>
              <w:widowControl/>
              <w:rPr>
                <w:rFonts w:hint="default" w:ascii="Times New Roman" w:hAnsi="Times New Roman" w:cs="Times New Roman"/>
                <w:color w:val="000000" w:themeColor="text1"/>
                <w:kern w:val="0"/>
                <w:szCs w:val="21"/>
                <w14:textFill>
                  <w14:solidFill>
                    <w14:schemeClr w14:val="tx1"/>
                  </w14:solidFill>
                </w14:textFill>
              </w:rPr>
            </w:pPr>
          </w:p>
        </w:tc>
      </w:tr>
      <w:tr w14:paraId="3F03E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00662826">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2</w:t>
            </w:r>
          </w:p>
        </w:tc>
        <w:tc>
          <w:tcPr>
            <w:tcW w:w="1809" w:type="dxa"/>
            <w:tcBorders>
              <w:top w:val="single" w:color="auto" w:sz="4" w:space="0"/>
              <w:left w:val="single" w:color="auto" w:sz="4" w:space="0"/>
              <w:bottom w:val="single" w:color="auto" w:sz="4" w:space="0"/>
              <w:right w:val="single" w:color="auto" w:sz="4" w:space="0"/>
            </w:tcBorders>
            <w:vAlign w:val="center"/>
          </w:tcPr>
          <w:p w14:paraId="078B84F3">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3A504C08">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641E4D3">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0597A4C">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109F2400">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4C7ADA2">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7D12F5D1">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2CB4464F">
            <w:pPr>
              <w:widowControl/>
              <w:rPr>
                <w:rFonts w:hint="default" w:ascii="Times New Roman" w:hAnsi="Times New Roman" w:cs="Times New Roman"/>
                <w:color w:val="000000" w:themeColor="text1"/>
                <w:kern w:val="0"/>
                <w:szCs w:val="21"/>
                <w14:textFill>
                  <w14:solidFill>
                    <w14:schemeClr w14:val="tx1"/>
                  </w14:solidFill>
                </w14:textFill>
              </w:rPr>
            </w:pPr>
          </w:p>
        </w:tc>
      </w:tr>
      <w:tr w14:paraId="3C044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CF3A914">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3</w:t>
            </w:r>
          </w:p>
        </w:tc>
        <w:tc>
          <w:tcPr>
            <w:tcW w:w="1809" w:type="dxa"/>
            <w:tcBorders>
              <w:top w:val="single" w:color="auto" w:sz="4" w:space="0"/>
              <w:left w:val="single" w:color="auto" w:sz="4" w:space="0"/>
              <w:bottom w:val="single" w:color="auto" w:sz="4" w:space="0"/>
              <w:right w:val="single" w:color="auto" w:sz="4" w:space="0"/>
            </w:tcBorders>
            <w:vAlign w:val="center"/>
          </w:tcPr>
          <w:p w14:paraId="431132C5">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7DA8A307">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5ED6DF97">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1ABDBA5">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11338368">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2AC71D87">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EE1FCFD">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69523100">
            <w:pPr>
              <w:widowControl/>
              <w:rPr>
                <w:rFonts w:hint="default" w:ascii="Times New Roman" w:hAnsi="Times New Roman" w:cs="Times New Roman"/>
                <w:color w:val="000000" w:themeColor="text1"/>
                <w:kern w:val="0"/>
                <w:szCs w:val="21"/>
                <w14:textFill>
                  <w14:solidFill>
                    <w14:schemeClr w14:val="tx1"/>
                  </w14:solidFill>
                </w14:textFill>
              </w:rPr>
            </w:pPr>
          </w:p>
        </w:tc>
      </w:tr>
      <w:tr w14:paraId="7545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2"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F55C722">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4</w:t>
            </w:r>
          </w:p>
        </w:tc>
        <w:tc>
          <w:tcPr>
            <w:tcW w:w="1809" w:type="dxa"/>
            <w:tcBorders>
              <w:top w:val="single" w:color="auto" w:sz="4" w:space="0"/>
              <w:left w:val="single" w:color="auto" w:sz="4" w:space="0"/>
              <w:bottom w:val="single" w:color="auto" w:sz="4" w:space="0"/>
              <w:right w:val="single" w:color="auto" w:sz="4" w:space="0"/>
            </w:tcBorders>
            <w:vAlign w:val="center"/>
          </w:tcPr>
          <w:p w14:paraId="63B95309">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17BD776C">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33A4C492">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2CA7499">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71C801AB">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CD24D2F">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57A8B2F">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6DC3BC3C">
            <w:pPr>
              <w:widowControl/>
              <w:rPr>
                <w:rFonts w:hint="default" w:ascii="Times New Roman" w:hAnsi="Times New Roman" w:cs="Times New Roman"/>
                <w:color w:val="000000" w:themeColor="text1"/>
                <w:kern w:val="0"/>
                <w:szCs w:val="21"/>
                <w14:textFill>
                  <w14:solidFill>
                    <w14:schemeClr w14:val="tx1"/>
                  </w14:solidFill>
                </w14:textFill>
              </w:rPr>
            </w:pPr>
          </w:p>
        </w:tc>
      </w:tr>
      <w:tr w14:paraId="7D3E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7001907C">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5</w:t>
            </w:r>
          </w:p>
        </w:tc>
        <w:tc>
          <w:tcPr>
            <w:tcW w:w="1809" w:type="dxa"/>
            <w:tcBorders>
              <w:top w:val="single" w:color="auto" w:sz="4" w:space="0"/>
              <w:left w:val="single" w:color="auto" w:sz="4" w:space="0"/>
              <w:bottom w:val="single" w:color="auto" w:sz="4" w:space="0"/>
              <w:right w:val="single" w:color="auto" w:sz="4" w:space="0"/>
            </w:tcBorders>
            <w:vAlign w:val="center"/>
          </w:tcPr>
          <w:p w14:paraId="43F40CB9">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66C68321">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0F4CA70F">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0182AEA">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387791C">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1B0827A9">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20707560">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7DF3DF82">
            <w:pPr>
              <w:widowControl/>
              <w:rPr>
                <w:rFonts w:hint="default" w:ascii="Times New Roman" w:hAnsi="Times New Roman" w:cs="Times New Roman"/>
                <w:color w:val="000000" w:themeColor="text1"/>
                <w:kern w:val="0"/>
                <w:szCs w:val="21"/>
                <w14:textFill>
                  <w14:solidFill>
                    <w14:schemeClr w14:val="tx1"/>
                  </w14:solidFill>
                </w14:textFill>
              </w:rPr>
            </w:pPr>
          </w:p>
        </w:tc>
      </w:tr>
      <w:tr w14:paraId="7ABC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17879B1">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6</w:t>
            </w:r>
          </w:p>
        </w:tc>
        <w:tc>
          <w:tcPr>
            <w:tcW w:w="1809" w:type="dxa"/>
            <w:tcBorders>
              <w:top w:val="single" w:color="auto" w:sz="4" w:space="0"/>
              <w:left w:val="single" w:color="auto" w:sz="4" w:space="0"/>
              <w:bottom w:val="single" w:color="auto" w:sz="4" w:space="0"/>
              <w:right w:val="single" w:color="auto" w:sz="4" w:space="0"/>
            </w:tcBorders>
            <w:vAlign w:val="center"/>
          </w:tcPr>
          <w:p w14:paraId="6757DF73">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3D023F3E">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1E7FDB6">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4913791">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61D33832">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A21AE02">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4B841D95">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476BD374">
            <w:pPr>
              <w:widowControl/>
              <w:rPr>
                <w:rFonts w:hint="default" w:ascii="Times New Roman" w:hAnsi="Times New Roman" w:cs="Times New Roman"/>
                <w:color w:val="000000" w:themeColor="text1"/>
                <w:kern w:val="0"/>
                <w:szCs w:val="21"/>
                <w14:textFill>
                  <w14:solidFill>
                    <w14:schemeClr w14:val="tx1"/>
                  </w14:solidFill>
                </w14:textFill>
              </w:rPr>
            </w:pPr>
          </w:p>
        </w:tc>
      </w:tr>
      <w:tr w14:paraId="4272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E3F1551">
            <w:pPr>
              <w:widowControl/>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7</w:t>
            </w:r>
          </w:p>
        </w:tc>
        <w:tc>
          <w:tcPr>
            <w:tcW w:w="1809" w:type="dxa"/>
            <w:tcBorders>
              <w:top w:val="single" w:color="auto" w:sz="4" w:space="0"/>
              <w:left w:val="single" w:color="auto" w:sz="4" w:space="0"/>
              <w:bottom w:val="single" w:color="auto" w:sz="4" w:space="0"/>
              <w:right w:val="single" w:color="auto" w:sz="4" w:space="0"/>
            </w:tcBorders>
            <w:vAlign w:val="center"/>
          </w:tcPr>
          <w:p w14:paraId="0AE91D60">
            <w:pPr>
              <w:widowControl/>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w:t>
            </w:r>
          </w:p>
        </w:tc>
        <w:tc>
          <w:tcPr>
            <w:tcW w:w="807" w:type="dxa"/>
            <w:tcBorders>
              <w:top w:val="single" w:color="auto" w:sz="4" w:space="0"/>
              <w:left w:val="single" w:color="auto" w:sz="4" w:space="0"/>
              <w:bottom w:val="single" w:color="auto" w:sz="4" w:space="0"/>
              <w:right w:val="single" w:color="auto" w:sz="4" w:space="0"/>
            </w:tcBorders>
            <w:vAlign w:val="center"/>
          </w:tcPr>
          <w:p w14:paraId="0F5AF4E7">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6AC48AFC">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A7CAB99">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795676E">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DF4B22E">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9BBDD2B">
            <w:pPr>
              <w:widowControl/>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77613A60">
            <w:pPr>
              <w:widowControl/>
              <w:rPr>
                <w:rFonts w:hint="default" w:ascii="Times New Roman" w:hAnsi="Times New Roman" w:cs="Times New Roman"/>
                <w:color w:val="000000" w:themeColor="text1"/>
                <w:kern w:val="0"/>
                <w:szCs w:val="21"/>
                <w14:textFill>
                  <w14:solidFill>
                    <w14:schemeClr w14:val="tx1"/>
                  </w14:solidFill>
                </w14:textFill>
              </w:rPr>
            </w:pPr>
          </w:p>
        </w:tc>
      </w:tr>
      <w:tr w14:paraId="1DA7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B02581B">
            <w:pPr>
              <w:widowControl/>
              <w:rPr>
                <w:rFonts w:hint="default" w:ascii="Times New Roman" w:hAnsi="Times New Roman" w:cs="Times New Roman"/>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971A6FA">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614465FE">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1B53FB36">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5D797AFD">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D99EE20">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5B6509B5">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013F54CF">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05A725F1">
            <w:pPr>
              <w:widowControl/>
              <w:rPr>
                <w:rFonts w:hint="default" w:ascii="Times New Roman" w:hAnsi="Times New Roman" w:cs="Times New Roman"/>
                <w:color w:val="000000" w:themeColor="text1"/>
                <w:kern w:val="0"/>
                <w:szCs w:val="21"/>
                <w14:textFill>
                  <w14:solidFill>
                    <w14:schemeClr w14:val="tx1"/>
                  </w14:solidFill>
                </w14:textFill>
              </w:rPr>
            </w:pPr>
          </w:p>
        </w:tc>
      </w:tr>
      <w:tr w14:paraId="4A1D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C4B923E">
            <w:pPr>
              <w:widowControl/>
              <w:rPr>
                <w:rFonts w:hint="default" w:ascii="Times New Roman" w:hAnsi="Times New Roman" w:cs="Times New Roman"/>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340F74E">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27516AEE">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5CE05B7F">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CC248CD">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22B915B2">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439D5477">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13FC80C0">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0A2CFB1D">
            <w:pPr>
              <w:widowControl/>
              <w:rPr>
                <w:rFonts w:hint="default" w:ascii="Times New Roman" w:hAnsi="Times New Roman" w:cs="Times New Roman"/>
                <w:color w:val="000000" w:themeColor="text1"/>
                <w:kern w:val="0"/>
                <w:szCs w:val="21"/>
                <w14:textFill>
                  <w14:solidFill>
                    <w14:schemeClr w14:val="tx1"/>
                  </w14:solidFill>
                </w14:textFill>
              </w:rPr>
            </w:pPr>
          </w:p>
        </w:tc>
      </w:tr>
      <w:tr w14:paraId="1839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62B4EEDD">
            <w:pPr>
              <w:widowControl/>
              <w:rPr>
                <w:rFonts w:hint="default" w:ascii="Times New Roman" w:hAnsi="Times New Roman" w:cs="Times New Roman"/>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3FCFA7BD">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55D34AAD">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267BA4B2">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4F9D260">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FD6CE73">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053D00FA">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5A4ECE6E">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3C21EB21">
            <w:pPr>
              <w:widowControl/>
              <w:rPr>
                <w:rFonts w:hint="default" w:ascii="Times New Roman" w:hAnsi="Times New Roman" w:cs="Times New Roman"/>
                <w:color w:val="000000" w:themeColor="text1"/>
                <w:kern w:val="0"/>
                <w:szCs w:val="21"/>
                <w14:textFill>
                  <w14:solidFill>
                    <w14:schemeClr w14:val="tx1"/>
                  </w14:solidFill>
                </w14:textFill>
              </w:rPr>
            </w:pPr>
          </w:p>
        </w:tc>
      </w:tr>
      <w:tr w14:paraId="0CAA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54" w:type="dxa"/>
            <w:tcBorders>
              <w:top w:val="single" w:color="auto" w:sz="4" w:space="0"/>
              <w:left w:val="single" w:color="auto" w:sz="4" w:space="0"/>
              <w:bottom w:val="single" w:color="auto" w:sz="4" w:space="0"/>
              <w:right w:val="single" w:color="auto" w:sz="4" w:space="0"/>
            </w:tcBorders>
            <w:vAlign w:val="center"/>
          </w:tcPr>
          <w:p w14:paraId="382CDA8C">
            <w:pPr>
              <w:widowControl/>
              <w:rPr>
                <w:rFonts w:hint="default" w:ascii="Times New Roman" w:hAnsi="Times New Roman" w:cs="Times New Roman"/>
                <w:color w:val="000000" w:themeColor="text1"/>
                <w:kern w:val="0"/>
                <w:szCs w:val="21"/>
                <w14:textFill>
                  <w14:solidFill>
                    <w14:schemeClr w14:val="tx1"/>
                  </w14:solidFill>
                </w14:textFill>
              </w:rPr>
            </w:pPr>
          </w:p>
        </w:tc>
        <w:tc>
          <w:tcPr>
            <w:tcW w:w="1809" w:type="dxa"/>
            <w:tcBorders>
              <w:top w:val="single" w:color="auto" w:sz="4" w:space="0"/>
              <w:left w:val="single" w:color="auto" w:sz="4" w:space="0"/>
              <w:bottom w:val="single" w:color="auto" w:sz="4" w:space="0"/>
              <w:right w:val="single" w:color="auto" w:sz="4" w:space="0"/>
            </w:tcBorders>
            <w:vAlign w:val="center"/>
          </w:tcPr>
          <w:p w14:paraId="573F01A9">
            <w:pPr>
              <w:widowControl/>
              <w:rPr>
                <w:rFonts w:hint="default" w:ascii="Times New Roman" w:hAnsi="Times New Roman" w:cs="Times New Roman"/>
                <w:color w:val="000000" w:themeColor="text1"/>
                <w:kern w:val="0"/>
                <w:szCs w:val="21"/>
                <w14:textFill>
                  <w14:solidFill>
                    <w14:schemeClr w14:val="tx1"/>
                  </w14:solidFill>
                </w14:textFill>
              </w:rPr>
            </w:pPr>
          </w:p>
        </w:tc>
        <w:tc>
          <w:tcPr>
            <w:tcW w:w="807" w:type="dxa"/>
            <w:tcBorders>
              <w:top w:val="single" w:color="auto" w:sz="4" w:space="0"/>
              <w:left w:val="single" w:color="auto" w:sz="4" w:space="0"/>
              <w:bottom w:val="single" w:color="auto" w:sz="4" w:space="0"/>
              <w:right w:val="single" w:color="auto" w:sz="4" w:space="0"/>
            </w:tcBorders>
            <w:vAlign w:val="center"/>
          </w:tcPr>
          <w:p w14:paraId="1B96F056">
            <w:pPr>
              <w:widowControl/>
              <w:rPr>
                <w:rFonts w:hint="default" w:ascii="Times New Roman" w:hAnsi="Times New Roman" w:cs="Times New Roman"/>
                <w:color w:val="000000" w:themeColor="text1"/>
                <w:kern w:val="0"/>
                <w:szCs w:val="21"/>
                <w14:textFill>
                  <w14:solidFill>
                    <w14:schemeClr w14:val="tx1"/>
                  </w14:solidFill>
                </w14:textFill>
              </w:rPr>
            </w:pPr>
          </w:p>
        </w:tc>
        <w:tc>
          <w:tcPr>
            <w:tcW w:w="829" w:type="dxa"/>
            <w:tcBorders>
              <w:top w:val="single" w:color="auto" w:sz="4" w:space="0"/>
              <w:left w:val="single" w:color="auto" w:sz="4" w:space="0"/>
              <w:bottom w:val="single" w:color="auto" w:sz="4" w:space="0"/>
              <w:right w:val="single" w:color="auto" w:sz="4" w:space="0"/>
            </w:tcBorders>
            <w:vAlign w:val="center"/>
          </w:tcPr>
          <w:p w14:paraId="1B8E2D9C">
            <w:pPr>
              <w:widowControl/>
              <w:rPr>
                <w:rFonts w:hint="default" w:ascii="Times New Roman" w:hAnsi="Times New Roman" w:cs="Times New Roman"/>
                <w:color w:val="000000" w:themeColor="text1"/>
                <w:kern w:val="0"/>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DFDC73C">
            <w:pPr>
              <w:widowControl/>
              <w:rPr>
                <w:rFonts w:hint="default" w:ascii="Times New Roman" w:hAnsi="Times New Roman" w:cs="Times New Roman"/>
                <w:color w:val="000000" w:themeColor="text1"/>
                <w:kern w:val="0"/>
                <w:szCs w:val="21"/>
                <w14:textFill>
                  <w14:solidFill>
                    <w14:schemeClr w14:val="tx1"/>
                  </w14:solidFill>
                </w14:textFill>
              </w:rPr>
            </w:pPr>
          </w:p>
        </w:tc>
        <w:tc>
          <w:tcPr>
            <w:tcW w:w="708" w:type="dxa"/>
            <w:tcBorders>
              <w:top w:val="single" w:color="auto" w:sz="4" w:space="0"/>
              <w:left w:val="single" w:color="auto" w:sz="4" w:space="0"/>
              <w:bottom w:val="single" w:color="auto" w:sz="4" w:space="0"/>
              <w:right w:val="single" w:color="auto" w:sz="4" w:space="0"/>
            </w:tcBorders>
            <w:vAlign w:val="center"/>
          </w:tcPr>
          <w:p w14:paraId="066CC66F">
            <w:pPr>
              <w:widowControl/>
              <w:rPr>
                <w:rFonts w:hint="default" w:ascii="Times New Roman" w:hAnsi="Times New Roman" w:cs="Times New Roman"/>
                <w:color w:val="000000" w:themeColor="text1"/>
                <w:kern w:val="0"/>
                <w:szCs w:val="21"/>
                <w14:textFill>
                  <w14:solidFill>
                    <w14:schemeClr w14:val="tx1"/>
                  </w14:solidFill>
                </w14:textFill>
              </w:rPr>
            </w:pPr>
          </w:p>
        </w:tc>
        <w:tc>
          <w:tcPr>
            <w:tcW w:w="656" w:type="dxa"/>
            <w:tcBorders>
              <w:top w:val="single" w:color="auto" w:sz="4" w:space="0"/>
              <w:left w:val="single" w:color="auto" w:sz="4" w:space="0"/>
              <w:bottom w:val="single" w:color="auto" w:sz="4" w:space="0"/>
              <w:right w:val="single" w:color="auto" w:sz="4" w:space="0"/>
            </w:tcBorders>
            <w:vAlign w:val="center"/>
          </w:tcPr>
          <w:p w14:paraId="65B7AF33">
            <w:pPr>
              <w:widowControl/>
              <w:rPr>
                <w:rFonts w:hint="default" w:ascii="Times New Roman" w:hAnsi="Times New Roman" w:cs="Times New Roman"/>
                <w:color w:val="000000" w:themeColor="text1"/>
                <w:kern w:val="0"/>
                <w:szCs w:val="21"/>
                <w14:textFill>
                  <w14:solidFill>
                    <w14:schemeClr w14:val="tx1"/>
                  </w14:solidFill>
                </w14:textFill>
              </w:rPr>
            </w:pPr>
          </w:p>
        </w:tc>
        <w:tc>
          <w:tcPr>
            <w:tcW w:w="904" w:type="dxa"/>
            <w:tcBorders>
              <w:top w:val="single" w:color="auto" w:sz="4" w:space="0"/>
              <w:left w:val="single" w:color="auto" w:sz="4" w:space="0"/>
              <w:bottom w:val="single" w:color="auto" w:sz="4" w:space="0"/>
              <w:right w:val="single" w:color="auto" w:sz="4" w:space="0"/>
            </w:tcBorders>
            <w:vAlign w:val="center"/>
          </w:tcPr>
          <w:p w14:paraId="252F0671">
            <w:pPr>
              <w:rPr>
                <w:rFonts w:hint="default" w:ascii="Times New Roman" w:hAnsi="Times New Roman" w:cs="Times New Roman"/>
                <w:color w:val="000000" w:themeColor="text1"/>
                <w:kern w:val="0"/>
                <w:szCs w:val="21"/>
                <w14:textFill>
                  <w14:solidFill>
                    <w14:schemeClr w14:val="tx1"/>
                  </w14:solidFill>
                </w14:textFill>
              </w:rPr>
            </w:pPr>
          </w:p>
        </w:tc>
        <w:tc>
          <w:tcPr>
            <w:tcW w:w="1536" w:type="dxa"/>
            <w:tcBorders>
              <w:top w:val="single" w:color="auto" w:sz="4" w:space="0"/>
              <w:left w:val="single" w:color="auto" w:sz="4" w:space="0"/>
              <w:bottom w:val="single" w:color="auto" w:sz="4" w:space="0"/>
              <w:right w:val="single" w:color="auto" w:sz="4" w:space="0"/>
            </w:tcBorders>
            <w:vAlign w:val="center"/>
          </w:tcPr>
          <w:p w14:paraId="4A9F7F93">
            <w:pPr>
              <w:widowControl/>
              <w:rPr>
                <w:rFonts w:hint="default" w:ascii="Times New Roman" w:hAnsi="Times New Roman" w:cs="Times New Roman"/>
                <w:color w:val="000000" w:themeColor="text1"/>
                <w:kern w:val="0"/>
                <w:szCs w:val="21"/>
                <w14:textFill>
                  <w14:solidFill>
                    <w14:schemeClr w14:val="tx1"/>
                  </w14:solidFill>
                </w14:textFill>
              </w:rPr>
            </w:pPr>
          </w:p>
        </w:tc>
      </w:tr>
      <w:tr w14:paraId="6142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2663" w:type="dxa"/>
            <w:gridSpan w:val="2"/>
            <w:tcBorders>
              <w:top w:val="single" w:color="auto" w:sz="4" w:space="0"/>
              <w:left w:val="single" w:color="auto" w:sz="4" w:space="0"/>
              <w:bottom w:val="single" w:color="auto" w:sz="4" w:space="0"/>
              <w:right w:val="single" w:color="auto" w:sz="4" w:space="0"/>
            </w:tcBorders>
            <w:vAlign w:val="center"/>
          </w:tcPr>
          <w:p w14:paraId="0821CAEA">
            <w:pPr>
              <w:widowControl/>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合计：</w:t>
            </w:r>
          </w:p>
        </w:tc>
        <w:tc>
          <w:tcPr>
            <w:tcW w:w="6149" w:type="dxa"/>
            <w:gridSpan w:val="7"/>
            <w:tcBorders>
              <w:top w:val="single" w:color="auto" w:sz="4" w:space="0"/>
              <w:left w:val="single" w:color="auto" w:sz="4" w:space="0"/>
              <w:bottom w:val="single" w:color="auto" w:sz="4" w:space="0"/>
              <w:right w:val="single" w:color="auto" w:sz="4" w:space="0"/>
            </w:tcBorders>
            <w:vAlign w:val="center"/>
          </w:tcPr>
          <w:p w14:paraId="5180F12B">
            <w:pPr>
              <w:widowControl/>
              <w:ind w:firstLine="1680" w:firstLineChars="800"/>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元(小数点保留两位)</w:t>
            </w:r>
          </w:p>
        </w:tc>
      </w:tr>
    </w:tbl>
    <w:p w14:paraId="3C9FF3FB">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p w14:paraId="5E3F7EDF">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         说明：</w:t>
      </w:r>
    </w:p>
    <w:p w14:paraId="20FDB204">
      <w:pPr>
        <w:widowControl/>
        <w:numPr>
          <w:ilvl w:val="0"/>
          <w:numId w:val="8"/>
        </w:numPr>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如果行数不够，请自行增加。</w:t>
      </w:r>
    </w:p>
    <w:p w14:paraId="20E58BED">
      <w:pPr>
        <w:widowControl/>
        <w:numPr>
          <w:ilvl w:val="0"/>
          <w:numId w:val="8"/>
        </w:numPr>
        <w:shd w:val="clear" w:color="auto" w:fill="FFFFFF"/>
        <w:spacing w:after="0"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未注明小微企业的，不享受价格扣除。</w:t>
      </w:r>
    </w:p>
    <w:p w14:paraId="12F3A241">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         投标单位（电子签章）： </w:t>
      </w:r>
    </w:p>
    <w:p w14:paraId="5B3B4F9F">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4658978F">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p w14:paraId="5E62C528">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0045E2F9">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r>
        <w:rPr>
          <w:rFonts w:hint="default" w:ascii="Times New Roman" w:hAnsi="Times New Roman" w:cs="Times New Roman"/>
          <w:b/>
          <w:bCs/>
          <w:color w:val="000000" w:themeColor="text1"/>
          <w:kern w:val="0"/>
          <w:szCs w:val="21"/>
          <w14:textFill>
            <w14:solidFill>
              <w14:schemeClr w14:val="tx1"/>
            </w14:solidFill>
          </w14:textFill>
        </w:rPr>
        <w:t>附件五、技术规格偏离表格式</w:t>
      </w:r>
    </w:p>
    <w:p w14:paraId="78A838F9">
      <w:pPr>
        <w:widowControl/>
        <w:shd w:val="clear" w:color="auto" w:fill="FFFFFF"/>
        <w:spacing w:line="360" w:lineRule="auto"/>
        <w:ind w:left="435"/>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1E234C50">
      <w:pPr>
        <w:widowControl/>
        <w:shd w:val="clear" w:color="auto" w:fill="FFFFFF"/>
        <w:spacing w:line="360" w:lineRule="auto"/>
        <w:ind w:left="420"/>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技术规格偏离表</w:t>
      </w:r>
    </w:p>
    <w:p w14:paraId="24311E6E">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bl>
      <w:tblPr>
        <w:tblStyle w:val="44"/>
        <w:tblW w:w="8326" w:type="dxa"/>
        <w:jc w:val="center"/>
        <w:tblLayout w:type="fixed"/>
        <w:tblCellMar>
          <w:top w:w="0" w:type="dxa"/>
          <w:left w:w="0" w:type="dxa"/>
          <w:bottom w:w="0" w:type="dxa"/>
          <w:right w:w="0" w:type="dxa"/>
        </w:tblCellMar>
      </w:tblPr>
      <w:tblGrid>
        <w:gridCol w:w="642"/>
        <w:gridCol w:w="1495"/>
        <w:gridCol w:w="1931"/>
        <w:gridCol w:w="1329"/>
        <w:gridCol w:w="1683"/>
        <w:gridCol w:w="1246"/>
      </w:tblGrid>
      <w:tr w14:paraId="789726A5">
        <w:tblPrEx>
          <w:tblCellMar>
            <w:top w:w="0" w:type="dxa"/>
            <w:left w:w="0" w:type="dxa"/>
            <w:bottom w:w="0" w:type="dxa"/>
            <w:right w:w="0" w:type="dxa"/>
          </w:tblCellMar>
        </w:tblPrEx>
        <w:trPr>
          <w:trHeight w:val="284" w:hRule="atLeast"/>
          <w:jc w:val="center"/>
        </w:trPr>
        <w:tc>
          <w:tcPr>
            <w:tcW w:w="5397" w:type="dxa"/>
            <w:gridSpan w:val="4"/>
            <w:tcBorders>
              <w:top w:val="nil"/>
              <w:left w:val="nil"/>
              <w:bottom w:val="single" w:color="auto" w:sz="4" w:space="0"/>
              <w:right w:val="nil"/>
            </w:tcBorders>
            <w:tcMar>
              <w:top w:w="0" w:type="dxa"/>
              <w:left w:w="10" w:type="dxa"/>
              <w:bottom w:w="0" w:type="dxa"/>
              <w:right w:w="10" w:type="dxa"/>
            </w:tcMar>
            <w:vAlign w:val="center"/>
          </w:tcPr>
          <w:p w14:paraId="4AACC0DF">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项目名称：</w:t>
            </w:r>
          </w:p>
        </w:tc>
        <w:tc>
          <w:tcPr>
            <w:tcW w:w="2929" w:type="dxa"/>
            <w:gridSpan w:val="2"/>
            <w:tcBorders>
              <w:top w:val="nil"/>
              <w:left w:val="nil"/>
              <w:bottom w:val="single" w:color="auto" w:sz="4" w:space="0"/>
              <w:right w:val="nil"/>
            </w:tcBorders>
            <w:tcMar>
              <w:top w:w="0" w:type="dxa"/>
              <w:left w:w="10" w:type="dxa"/>
              <w:bottom w:w="0" w:type="dxa"/>
              <w:right w:w="10" w:type="dxa"/>
            </w:tcMar>
            <w:vAlign w:val="center"/>
          </w:tcPr>
          <w:p w14:paraId="1AE5DD95">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项目编号：  </w:t>
            </w:r>
          </w:p>
        </w:tc>
      </w:tr>
      <w:tr w14:paraId="33D0F63E">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C9B73E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序号</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81913C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招标文件条目号</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595D11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招标要求规格</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64561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投标响应</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9732A1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偏离</w:t>
            </w:r>
          </w:p>
          <w:p w14:paraId="6FAF8A2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（正/负/无）</w:t>
            </w:r>
          </w:p>
        </w:tc>
      </w:tr>
      <w:tr w14:paraId="0ED921BF">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4F2731F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0F223B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A628B6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7E146E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3FDA4A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1F64EB14">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B347222">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E1F85E2">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7C35A44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13517D4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BC4DD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32D79260">
        <w:tblPrEx>
          <w:tblCellMar>
            <w:top w:w="0" w:type="dxa"/>
            <w:left w:w="0" w:type="dxa"/>
            <w:bottom w:w="0" w:type="dxa"/>
            <w:right w:w="0" w:type="dxa"/>
          </w:tblCellMar>
        </w:tblPrEx>
        <w:trPr>
          <w:trHeight w:val="284" w:hRule="atLeast"/>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9B0E54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52CB34B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2D9D4D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508314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23F1247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72AD53FC">
        <w:tblPrEx>
          <w:tblCellMar>
            <w:top w:w="0" w:type="dxa"/>
            <w:left w:w="0" w:type="dxa"/>
            <w:bottom w:w="0" w:type="dxa"/>
            <w:right w:w="0" w:type="dxa"/>
          </w:tblCellMar>
        </w:tblPrEx>
        <w:trPr>
          <w:jc w:val="center"/>
        </w:trPr>
        <w:tc>
          <w:tcPr>
            <w:tcW w:w="642"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02D08DB9">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495"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74FA65D">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931"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3C48A99C">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3012" w:type="dxa"/>
            <w:gridSpan w:val="2"/>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3397643">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246" w:type="dxa"/>
            <w:tcBorders>
              <w:top w:val="single" w:color="auto" w:sz="4" w:space="0"/>
              <w:left w:val="single" w:color="auto" w:sz="4" w:space="0"/>
              <w:bottom w:val="single" w:color="auto" w:sz="4" w:space="0"/>
              <w:right w:val="single" w:color="auto" w:sz="4" w:space="0"/>
            </w:tcBorders>
            <w:tcMar>
              <w:top w:w="0" w:type="dxa"/>
              <w:left w:w="10" w:type="dxa"/>
              <w:bottom w:w="0" w:type="dxa"/>
              <w:right w:w="10" w:type="dxa"/>
            </w:tcMar>
            <w:vAlign w:val="center"/>
          </w:tcPr>
          <w:p w14:paraId="61FFA357">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4941620F">
        <w:tblPrEx>
          <w:tblCellMar>
            <w:top w:w="0" w:type="dxa"/>
            <w:left w:w="0" w:type="dxa"/>
            <w:bottom w:w="0" w:type="dxa"/>
            <w:right w:w="0" w:type="dxa"/>
          </w:tblCellMar>
        </w:tblPrEx>
        <w:trPr>
          <w:jc w:val="center"/>
        </w:trPr>
        <w:tc>
          <w:tcPr>
            <w:tcW w:w="642" w:type="dxa"/>
            <w:tcBorders>
              <w:top w:val="single" w:color="auto" w:sz="4" w:space="0"/>
              <w:left w:val="single" w:color="auto" w:sz="4" w:space="0"/>
              <w:bottom w:val="single" w:color="auto" w:sz="4" w:space="0"/>
              <w:right w:val="single" w:color="auto" w:sz="4" w:space="0"/>
            </w:tcBorders>
            <w:vAlign w:val="center"/>
          </w:tcPr>
          <w:p w14:paraId="48C396F3">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vAlign w:val="center"/>
          </w:tcPr>
          <w:p w14:paraId="5330B5DD">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1931" w:type="dxa"/>
            <w:tcBorders>
              <w:top w:val="single" w:color="auto" w:sz="4" w:space="0"/>
              <w:left w:val="single" w:color="auto" w:sz="4" w:space="0"/>
              <w:bottom w:val="single" w:color="auto" w:sz="4" w:space="0"/>
              <w:right w:val="single" w:color="auto" w:sz="4" w:space="0"/>
            </w:tcBorders>
            <w:vAlign w:val="center"/>
          </w:tcPr>
          <w:p w14:paraId="17854FF1">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3012" w:type="dxa"/>
            <w:gridSpan w:val="2"/>
            <w:tcBorders>
              <w:top w:val="single" w:color="auto" w:sz="4" w:space="0"/>
              <w:left w:val="single" w:color="auto" w:sz="4" w:space="0"/>
              <w:bottom w:val="single" w:color="auto" w:sz="4" w:space="0"/>
              <w:right w:val="single" w:color="auto" w:sz="4" w:space="0"/>
            </w:tcBorders>
            <w:vAlign w:val="center"/>
          </w:tcPr>
          <w:p w14:paraId="2E4B16F2">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1246" w:type="dxa"/>
            <w:tcBorders>
              <w:top w:val="single" w:color="auto" w:sz="4" w:space="0"/>
              <w:left w:val="single" w:color="auto" w:sz="4" w:space="0"/>
              <w:bottom w:val="single" w:color="auto" w:sz="4" w:space="0"/>
              <w:right w:val="single" w:color="auto" w:sz="4" w:space="0"/>
            </w:tcBorders>
            <w:vAlign w:val="center"/>
          </w:tcPr>
          <w:p w14:paraId="687356D8">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r>
    </w:tbl>
    <w:p w14:paraId="02EC4D53">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说明：</w:t>
      </w:r>
    </w:p>
    <w:p w14:paraId="77A8D9ED">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1、必须对应招标文件第四章的内容逐一响应。如行数不够，请自行增加。</w:t>
      </w:r>
    </w:p>
    <w:p w14:paraId="53A6D577">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投标单位（电子签章）：</w:t>
      </w:r>
    </w:p>
    <w:p w14:paraId="0CDC0855">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3771D73C">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54E173C9">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7B7CB450">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050DC677">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4EF18DFA">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p w14:paraId="352F977F">
      <w:pP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br w:type="page"/>
      </w:r>
    </w:p>
    <w:p w14:paraId="3C9AE88A">
      <w:pPr>
        <w:pStyle w:val="2"/>
        <w:rPr>
          <w:rFonts w:hint="default" w:ascii="Times New Roman" w:hAnsi="Times New Roman" w:eastAsia="宋体" w:cs="Times New Roman"/>
        </w:rPr>
      </w:pPr>
    </w:p>
    <w:p w14:paraId="0EF357EE">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附件六、商务条款偏离表格式</w:t>
      </w:r>
    </w:p>
    <w:p w14:paraId="39449FEC">
      <w:pPr>
        <w:widowControl/>
        <w:shd w:val="clear" w:color="auto" w:fill="FFFFFF"/>
        <w:spacing w:line="360" w:lineRule="auto"/>
        <w:ind w:firstLine="420"/>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07650A7F">
      <w:pPr>
        <w:widowControl/>
        <w:shd w:val="clear" w:color="auto" w:fill="FFFFFF"/>
        <w:spacing w:line="360" w:lineRule="auto"/>
        <w:ind w:left="420"/>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商务条款偏离表</w:t>
      </w:r>
    </w:p>
    <w:p w14:paraId="1B7D76FE">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bl>
      <w:tblPr>
        <w:tblStyle w:val="44"/>
        <w:tblpPr w:leftFromText="180" w:rightFromText="180" w:vertAnchor="text" w:horzAnchor="page" w:tblpX="1787" w:tblpY="642"/>
        <w:tblOverlap w:val="never"/>
        <w:tblW w:w="5000" w:type="pct"/>
        <w:tblInd w:w="0" w:type="dxa"/>
        <w:tblLayout w:type="autofit"/>
        <w:tblCellMar>
          <w:top w:w="0" w:type="dxa"/>
          <w:left w:w="0" w:type="dxa"/>
          <w:bottom w:w="0" w:type="dxa"/>
          <w:right w:w="0" w:type="dxa"/>
        </w:tblCellMar>
      </w:tblPr>
      <w:tblGrid>
        <w:gridCol w:w="560"/>
        <w:gridCol w:w="1319"/>
        <w:gridCol w:w="2240"/>
        <w:gridCol w:w="1247"/>
        <w:gridCol w:w="1758"/>
        <w:gridCol w:w="1202"/>
      </w:tblGrid>
      <w:tr w14:paraId="0CF97EE3">
        <w:tblPrEx>
          <w:tblCellMar>
            <w:top w:w="0" w:type="dxa"/>
            <w:left w:w="0" w:type="dxa"/>
            <w:bottom w:w="0" w:type="dxa"/>
            <w:right w:w="0" w:type="dxa"/>
          </w:tblCellMar>
        </w:tblPrEx>
        <w:trPr>
          <w:trHeight w:val="284" w:hRule="atLeast"/>
          <w:tblHeader/>
        </w:trPr>
        <w:tc>
          <w:tcPr>
            <w:tcW w:w="3222" w:type="pct"/>
            <w:gridSpan w:val="4"/>
            <w:tcBorders>
              <w:top w:val="nil"/>
              <w:left w:val="nil"/>
              <w:bottom w:val="single" w:color="auto" w:sz="8" w:space="0"/>
              <w:right w:val="nil"/>
            </w:tcBorders>
            <w:tcMar>
              <w:top w:w="0" w:type="dxa"/>
              <w:left w:w="10" w:type="dxa"/>
              <w:bottom w:w="0" w:type="dxa"/>
              <w:right w:w="10" w:type="dxa"/>
            </w:tcMar>
            <w:vAlign w:val="center"/>
          </w:tcPr>
          <w:p w14:paraId="6B7B522D">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项目名称：</w:t>
            </w:r>
          </w:p>
        </w:tc>
        <w:tc>
          <w:tcPr>
            <w:tcW w:w="1777" w:type="pct"/>
            <w:gridSpan w:val="2"/>
            <w:tcBorders>
              <w:top w:val="nil"/>
              <w:left w:val="nil"/>
              <w:bottom w:val="single" w:color="auto" w:sz="8" w:space="0"/>
              <w:right w:val="nil"/>
            </w:tcBorders>
            <w:tcMar>
              <w:top w:w="0" w:type="dxa"/>
              <w:left w:w="10" w:type="dxa"/>
              <w:bottom w:w="0" w:type="dxa"/>
              <w:right w:w="10" w:type="dxa"/>
            </w:tcMar>
            <w:vAlign w:val="center"/>
          </w:tcPr>
          <w:p w14:paraId="3FA32D3C">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项目编号：         </w:t>
            </w:r>
          </w:p>
        </w:tc>
      </w:tr>
      <w:tr w14:paraId="575962C9">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49BC1A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序号</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921DE2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招标文件条目号</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1C48652">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招标文件要求的商务条款</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B5B23D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投标响应</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4960CF5">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偏离</w:t>
            </w:r>
          </w:p>
          <w:p w14:paraId="3DDF625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（正/负）</w:t>
            </w:r>
          </w:p>
        </w:tc>
      </w:tr>
      <w:tr w14:paraId="085F4B2C">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ED8565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96372D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A3E504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EA2824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24A99D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1CB9B3D4">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F5B6EC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EF6EFE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E20A5B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58337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1A52634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1C791567">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A8D8FE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2CD5E24">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3AD1C90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2DF622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71BA9CF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637252D7">
        <w:tblPrEx>
          <w:tblCellMar>
            <w:top w:w="0" w:type="dxa"/>
            <w:left w:w="0" w:type="dxa"/>
            <w:bottom w:w="0" w:type="dxa"/>
            <w:right w:w="0" w:type="dxa"/>
          </w:tblCellMar>
        </w:tblPrEx>
        <w:trPr>
          <w:trHeight w:val="284"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6832E4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50C4F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4F81EA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401E495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69E7BF3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18BBA3E0">
        <w:tblPrEx>
          <w:tblCellMar>
            <w:top w:w="0" w:type="dxa"/>
            <w:left w:w="0" w:type="dxa"/>
            <w:bottom w:w="0" w:type="dxa"/>
            <w:right w:w="0" w:type="dxa"/>
          </w:tblCellMar>
        </w:tblPrEx>
        <w:trPr>
          <w:trHeight w:val="538" w:hRule="atLeast"/>
        </w:trPr>
        <w:tc>
          <w:tcPr>
            <w:tcW w:w="336"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927F7B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92"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4A6F28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345"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E30C96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1803" w:type="pct"/>
            <w:gridSpan w:val="2"/>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2DAF74D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c>
          <w:tcPr>
            <w:tcW w:w="721" w:type="pct"/>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5FCAB49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tc>
      </w:tr>
      <w:tr w14:paraId="5F7286A9">
        <w:tblPrEx>
          <w:tblCellMar>
            <w:top w:w="0" w:type="dxa"/>
            <w:left w:w="0" w:type="dxa"/>
            <w:bottom w:w="0" w:type="dxa"/>
            <w:right w:w="0" w:type="dxa"/>
          </w:tblCellMar>
        </w:tblPrEx>
        <w:tc>
          <w:tcPr>
            <w:tcW w:w="5000" w:type="pct"/>
            <w:gridSpan w:val="6"/>
            <w:tcBorders>
              <w:top w:val="single" w:color="auto" w:sz="8" w:space="0"/>
              <w:left w:val="single" w:color="auto" w:sz="8" w:space="0"/>
              <w:bottom w:val="single" w:color="auto" w:sz="8" w:space="0"/>
              <w:right w:val="single" w:color="auto" w:sz="8" w:space="0"/>
            </w:tcBorders>
            <w:tcMar>
              <w:top w:w="0" w:type="dxa"/>
              <w:left w:w="10" w:type="dxa"/>
              <w:bottom w:w="0" w:type="dxa"/>
              <w:right w:w="10" w:type="dxa"/>
            </w:tcMar>
            <w:vAlign w:val="center"/>
          </w:tcPr>
          <w:p w14:paraId="0D31743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除上述条款外均无偏离</w:t>
            </w:r>
          </w:p>
        </w:tc>
      </w:tr>
      <w:tr w14:paraId="554B4FED">
        <w:tblPrEx>
          <w:tblCellMar>
            <w:top w:w="0" w:type="dxa"/>
            <w:left w:w="0" w:type="dxa"/>
            <w:bottom w:w="0" w:type="dxa"/>
            <w:right w:w="0" w:type="dxa"/>
          </w:tblCellMar>
        </w:tblPrEx>
        <w:tc>
          <w:tcPr>
            <w:tcW w:w="336" w:type="pct"/>
            <w:vAlign w:val="center"/>
          </w:tcPr>
          <w:p w14:paraId="132C07EC">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792" w:type="pct"/>
            <w:vAlign w:val="center"/>
          </w:tcPr>
          <w:p w14:paraId="4689710B">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1345" w:type="pct"/>
            <w:vAlign w:val="center"/>
          </w:tcPr>
          <w:p w14:paraId="3B14BC93">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747" w:type="pct"/>
            <w:vAlign w:val="center"/>
          </w:tcPr>
          <w:p w14:paraId="7DB2DBF8">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1056" w:type="pct"/>
            <w:vAlign w:val="center"/>
          </w:tcPr>
          <w:p w14:paraId="5FF7F603">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c>
          <w:tcPr>
            <w:tcW w:w="721" w:type="pct"/>
            <w:vAlign w:val="center"/>
          </w:tcPr>
          <w:p w14:paraId="1C71AFAF">
            <w:pPr>
              <w:widowControl/>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tc>
      </w:tr>
    </w:tbl>
    <w:p w14:paraId="5752A94C">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说明：仅需列明正、负偏离的条款。如行数不够，请自行增加。</w:t>
      </w:r>
    </w:p>
    <w:p w14:paraId="187C5D88">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投标单位（电子签章）：</w:t>
      </w:r>
    </w:p>
    <w:p w14:paraId="220B4D08">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3C78A08B">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w:t>
      </w:r>
    </w:p>
    <w:p w14:paraId="4B440372">
      <w:pPr>
        <w:widowControl/>
        <w:shd w:val="clear" w:color="auto" w:fill="FFFFFF"/>
        <w:spacing w:line="360" w:lineRule="auto"/>
        <w:jc w:val="left"/>
        <w:rPr>
          <w:rFonts w:hint="default" w:ascii="Times New Roman" w:hAnsi="Times New Roman" w:cs="Times New Roman"/>
          <w:color w:val="000000" w:themeColor="text1"/>
          <w:kern w:val="0"/>
          <w:szCs w:val="21"/>
          <w14:textFill>
            <w14:solidFill>
              <w14:schemeClr w14:val="tx1"/>
            </w14:solidFill>
          </w14:textFill>
        </w:rPr>
      </w:pPr>
    </w:p>
    <w:p w14:paraId="19071D8F">
      <w:pPr>
        <w:widowControl/>
        <w:shd w:val="clear" w:color="auto" w:fill="FFFFFF"/>
        <w:spacing w:line="360" w:lineRule="auto"/>
        <w:jc w:val="left"/>
        <w:rPr>
          <w:rFonts w:hint="default" w:ascii="Times New Roman" w:hAnsi="Times New Roman" w:cs="Times New Roman"/>
          <w:b/>
          <w:color w:val="000000" w:themeColor="text1"/>
          <w:szCs w:val="21"/>
          <w:lang w:val="zh-CN"/>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附件七、</w:t>
      </w:r>
      <w:r>
        <w:rPr>
          <w:rFonts w:hint="default" w:ascii="Times New Roman" w:hAnsi="Times New Roman" w:cs="Times New Roman"/>
          <w:b/>
          <w:color w:val="000000" w:themeColor="text1"/>
          <w:szCs w:val="21"/>
          <w:lang w:val="zh-CN"/>
          <w14:textFill>
            <w14:solidFill>
              <w14:schemeClr w14:val="tx1"/>
            </w14:solidFill>
          </w14:textFill>
        </w:rPr>
        <w:t>实施方案与售后服务</w:t>
      </w:r>
    </w:p>
    <w:p w14:paraId="3694307C">
      <w:pPr>
        <w:widowControl/>
        <w:shd w:val="clear" w:color="auto" w:fill="FFFFFF"/>
        <w:spacing w:line="360" w:lineRule="auto"/>
        <w:jc w:val="left"/>
        <w:rPr>
          <w:rFonts w:hint="default" w:ascii="Times New Roman" w:hAnsi="Times New Roman" w:cs="Times New Roman"/>
          <w:b/>
          <w:color w:val="000000" w:themeColor="text1"/>
          <w:szCs w:val="21"/>
          <w:lang w:val="zh-CN"/>
          <w14:textFill>
            <w14:solidFill>
              <w14:schemeClr w14:val="tx1"/>
            </w14:solidFill>
          </w14:textFill>
        </w:rPr>
      </w:pPr>
    </w:p>
    <w:p w14:paraId="7AE31AA0">
      <w:pPr>
        <w:widowControl/>
        <w:adjustRightInd w:val="0"/>
        <w:spacing w:line="360" w:lineRule="auto"/>
        <w:jc w:val="left"/>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附件八：拟参与本项目服务人员一览表</w:t>
      </w:r>
    </w:p>
    <w:p w14:paraId="42220E02">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拟参与本项目服务人员一览表</w:t>
      </w:r>
    </w:p>
    <w:p w14:paraId="0395B579">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 </w:t>
      </w:r>
    </w:p>
    <w:p w14:paraId="03AAEE58">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项目名称：                                 项目编号：</w:t>
      </w:r>
    </w:p>
    <w:tbl>
      <w:tblPr>
        <w:tblStyle w:val="44"/>
        <w:tblW w:w="4996" w:type="pct"/>
        <w:jc w:val="center"/>
        <w:tblLayout w:type="autofit"/>
        <w:tblCellMar>
          <w:top w:w="0" w:type="dxa"/>
          <w:left w:w="108" w:type="dxa"/>
          <w:bottom w:w="0" w:type="dxa"/>
          <w:right w:w="108" w:type="dxa"/>
        </w:tblCellMar>
      </w:tblPr>
      <w:tblGrid>
        <w:gridCol w:w="525"/>
        <w:gridCol w:w="881"/>
        <w:gridCol w:w="651"/>
        <w:gridCol w:w="697"/>
        <w:gridCol w:w="651"/>
        <w:gridCol w:w="1023"/>
        <w:gridCol w:w="835"/>
        <w:gridCol w:w="975"/>
        <w:gridCol w:w="698"/>
        <w:gridCol w:w="836"/>
        <w:gridCol w:w="743"/>
      </w:tblGrid>
      <w:tr w14:paraId="6F60A971">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vAlign w:val="center"/>
          </w:tcPr>
          <w:p w14:paraId="0B1478D1">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序号</w:t>
            </w:r>
          </w:p>
        </w:tc>
        <w:tc>
          <w:tcPr>
            <w:tcW w:w="517" w:type="pct"/>
            <w:tcBorders>
              <w:top w:val="single" w:color="000000" w:sz="4" w:space="0"/>
              <w:left w:val="nil"/>
              <w:bottom w:val="single" w:color="000000" w:sz="4" w:space="0"/>
              <w:right w:val="single" w:color="000000" w:sz="4" w:space="0"/>
            </w:tcBorders>
            <w:vAlign w:val="center"/>
          </w:tcPr>
          <w:p w14:paraId="593A26D3">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姓名</w:t>
            </w:r>
          </w:p>
        </w:tc>
        <w:tc>
          <w:tcPr>
            <w:tcW w:w="382" w:type="pct"/>
            <w:tcBorders>
              <w:top w:val="single" w:color="000000" w:sz="4" w:space="0"/>
              <w:left w:val="nil"/>
              <w:bottom w:val="single" w:color="000000" w:sz="4" w:space="0"/>
              <w:right w:val="single" w:color="000000" w:sz="4" w:space="0"/>
            </w:tcBorders>
            <w:vAlign w:val="center"/>
          </w:tcPr>
          <w:p w14:paraId="05345018">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性别</w:t>
            </w:r>
          </w:p>
        </w:tc>
        <w:tc>
          <w:tcPr>
            <w:tcW w:w="409" w:type="pct"/>
            <w:tcBorders>
              <w:top w:val="single" w:color="000000" w:sz="4" w:space="0"/>
              <w:left w:val="nil"/>
              <w:bottom w:val="single" w:color="000000" w:sz="4" w:space="0"/>
              <w:right w:val="single" w:color="000000" w:sz="4" w:space="0"/>
            </w:tcBorders>
            <w:vAlign w:val="center"/>
          </w:tcPr>
          <w:p w14:paraId="01953655">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年龄</w:t>
            </w:r>
          </w:p>
        </w:tc>
        <w:tc>
          <w:tcPr>
            <w:tcW w:w="382" w:type="pct"/>
            <w:tcBorders>
              <w:top w:val="single" w:color="000000" w:sz="4" w:space="0"/>
              <w:left w:val="nil"/>
              <w:bottom w:val="single" w:color="000000" w:sz="4" w:space="0"/>
              <w:right w:val="single" w:color="000000" w:sz="4" w:space="0"/>
            </w:tcBorders>
            <w:vAlign w:val="center"/>
          </w:tcPr>
          <w:p w14:paraId="69329F91">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专业</w:t>
            </w:r>
          </w:p>
        </w:tc>
        <w:tc>
          <w:tcPr>
            <w:tcW w:w="600" w:type="pct"/>
            <w:tcBorders>
              <w:top w:val="single" w:color="000000" w:sz="4" w:space="0"/>
              <w:left w:val="single" w:color="000000" w:sz="4" w:space="0"/>
              <w:bottom w:val="single" w:color="000000" w:sz="4" w:space="0"/>
              <w:right w:val="single" w:color="000000" w:sz="4" w:space="0"/>
            </w:tcBorders>
            <w:vAlign w:val="center"/>
          </w:tcPr>
          <w:p w14:paraId="2D3FB7FD">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学历</w:t>
            </w:r>
          </w:p>
        </w:tc>
        <w:tc>
          <w:tcPr>
            <w:tcW w:w="490" w:type="pct"/>
            <w:tcBorders>
              <w:top w:val="single" w:color="000000" w:sz="4" w:space="0"/>
              <w:left w:val="nil"/>
              <w:bottom w:val="single" w:color="000000" w:sz="4" w:space="0"/>
              <w:right w:val="single" w:color="000000" w:sz="4" w:space="0"/>
            </w:tcBorders>
            <w:vAlign w:val="center"/>
          </w:tcPr>
          <w:p w14:paraId="4B92F34F">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执业</w:t>
            </w:r>
          </w:p>
          <w:p w14:paraId="1738FD92">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资格</w:t>
            </w:r>
          </w:p>
        </w:tc>
        <w:tc>
          <w:tcPr>
            <w:tcW w:w="572" w:type="pct"/>
            <w:tcBorders>
              <w:top w:val="single" w:color="000000" w:sz="4" w:space="0"/>
              <w:left w:val="nil"/>
              <w:bottom w:val="single" w:color="000000" w:sz="4" w:space="0"/>
              <w:right w:val="single" w:color="000000" w:sz="4" w:space="0"/>
            </w:tcBorders>
            <w:vAlign w:val="center"/>
          </w:tcPr>
          <w:p w14:paraId="66ADD5F4">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证书号</w:t>
            </w:r>
          </w:p>
        </w:tc>
        <w:tc>
          <w:tcPr>
            <w:tcW w:w="409" w:type="pct"/>
            <w:tcBorders>
              <w:top w:val="single" w:color="000000" w:sz="4" w:space="0"/>
              <w:left w:val="nil"/>
              <w:bottom w:val="single" w:color="000000" w:sz="4" w:space="0"/>
              <w:right w:val="single" w:color="000000" w:sz="4" w:space="0"/>
            </w:tcBorders>
            <w:vAlign w:val="center"/>
          </w:tcPr>
          <w:p w14:paraId="2597072C">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技术职称</w:t>
            </w:r>
          </w:p>
        </w:tc>
        <w:tc>
          <w:tcPr>
            <w:tcW w:w="490" w:type="pct"/>
            <w:tcBorders>
              <w:top w:val="single" w:color="000000" w:sz="4" w:space="0"/>
              <w:left w:val="nil"/>
              <w:bottom w:val="single" w:color="000000" w:sz="4" w:space="0"/>
              <w:right w:val="single" w:color="000000" w:sz="4" w:space="0"/>
            </w:tcBorders>
            <w:vAlign w:val="center"/>
          </w:tcPr>
          <w:p w14:paraId="4F9CCA0A">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相关工作年限</w:t>
            </w:r>
          </w:p>
        </w:tc>
        <w:tc>
          <w:tcPr>
            <w:tcW w:w="435" w:type="pct"/>
            <w:tcBorders>
              <w:top w:val="single" w:color="000000" w:sz="4" w:space="0"/>
              <w:left w:val="nil"/>
              <w:bottom w:val="single" w:color="000000" w:sz="4" w:space="0"/>
              <w:right w:val="single" w:color="000000" w:sz="4" w:space="0"/>
            </w:tcBorders>
            <w:vAlign w:val="center"/>
          </w:tcPr>
          <w:p w14:paraId="01130152">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备注</w:t>
            </w:r>
          </w:p>
        </w:tc>
      </w:tr>
      <w:tr w14:paraId="34233BF2">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0B434382">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67E95C7F">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D880F91">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0ED722B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00F59763">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6EBB19FC">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37A50F7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56B21670">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4259DD69">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57D4A5D">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24C83F9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75DE7AEE">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0EEF294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0D00AA5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8468FD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7A61377">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57A4A614">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09C47207">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6841B2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3DCB4D9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32CD1CB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24722E7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1691A72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2029B591">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4A522648">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0EB4CA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6DCDE95E">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11D90EF1">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981B777">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052628A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379431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4B6E76CC">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086D5E6E">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4F850FE">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3068BC7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223DA110">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1506254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D59E790">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C5A2A4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AE99341">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642556AB">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177246BF">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473FACE0">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652F3AD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0A2C25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5CD2B3BE">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6CD92962">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3FE82784">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34DCF20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7AD020CF">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08EA1C32">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337F099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1D810ED">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5034B07F">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3CAA2BB">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438F353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5910774E">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A4D7FD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4B30527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29A7DFAC">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644345A8">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47D559D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5DE4BFD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772551F9">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324162F">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76D5468C">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492EB69">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1263264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B78A41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0D5C61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1853244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30FCAC6B">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78E6593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313D3D9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2D53657">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603BBF5C">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30B71D1C">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408E7564">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177D900F">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5AC16B97">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478726F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73399821">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2727702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r w14:paraId="02B1F2F6">
        <w:tblPrEx>
          <w:tblCellMar>
            <w:top w:w="0" w:type="dxa"/>
            <w:left w:w="108" w:type="dxa"/>
            <w:bottom w:w="0" w:type="dxa"/>
            <w:right w:w="108" w:type="dxa"/>
          </w:tblCellMar>
        </w:tblPrEx>
        <w:trPr>
          <w:jc w:val="center"/>
        </w:trPr>
        <w:tc>
          <w:tcPr>
            <w:tcW w:w="308" w:type="pct"/>
            <w:tcBorders>
              <w:top w:val="single" w:color="000000" w:sz="4" w:space="0"/>
              <w:left w:val="single" w:color="000000" w:sz="4" w:space="0"/>
              <w:bottom w:val="single" w:color="000000" w:sz="4" w:space="0"/>
              <w:right w:val="single" w:color="000000" w:sz="4" w:space="0"/>
            </w:tcBorders>
          </w:tcPr>
          <w:p w14:paraId="7DA671C4">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17" w:type="pct"/>
            <w:tcBorders>
              <w:top w:val="single" w:color="000000" w:sz="4" w:space="0"/>
              <w:left w:val="nil"/>
              <w:bottom w:val="single" w:color="000000" w:sz="4" w:space="0"/>
              <w:right w:val="single" w:color="000000" w:sz="4" w:space="0"/>
            </w:tcBorders>
          </w:tcPr>
          <w:p w14:paraId="099C0D66">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2C65C33D">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5829E540">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382" w:type="pct"/>
            <w:tcBorders>
              <w:top w:val="single" w:color="000000" w:sz="4" w:space="0"/>
              <w:left w:val="nil"/>
              <w:bottom w:val="single" w:color="000000" w:sz="4" w:space="0"/>
              <w:right w:val="single" w:color="000000" w:sz="4" w:space="0"/>
            </w:tcBorders>
          </w:tcPr>
          <w:p w14:paraId="4F83711D">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p>
        </w:tc>
        <w:tc>
          <w:tcPr>
            <w:tcW w:w="600" w:type="pct"/>
            <w:tcBorders>
              <w:top w:val="single" w:color="000000" w:sz="4" w:space="0"/>
              <w:left w:val="single" w:color="000000" w:sz="4" w:space="0"/>
              <w:bottom w:val="single" w:color="000000" w:sz="4" w:space="0"/>
              <w:right w:val="single" w:color="000000" w:sz="4" w:space="0"/>
            </w:tcBorders>
          </w:tcPr>
          <w:p w14:paraId="38F3EA5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66CA8D7A">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572" w:type="pct"/>
            <w:tcBorders>
              <w:top w:val="single" w:color="000000" w:sz="4" w:space="0"/>
              <w:left w:val="nil"/>
              <w:bottom w:val="single" w:color="000000" w:sz="4" w:space="0"/>
              <w:right w:val="single" w:color="000000" w:sz="4" w:space="0"/>
            </w:tcBorders>
          </w:tcPr>
          <w:p w14:paraId="768C0B18">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09" w:type="pct"/>
            <w:tcBorders>
              <w:top w:val="single" w:color="000000" w:sz="4" w:space="0"/>
              <w:left w:val="nil"/>
              <w:bottom w:val="single" w:color="000000" w:sz="4" w:space="0"/>
              <w:right w:val="single" w:color="000000" w:sz="4" w:space="0"/>
            </w:tcBorders>
          </w:tcPr>
          <w:p w14:paraId="2CFA8631">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90" w:type="pct"/>
            <w:tcBorders>
              <w:top w:val="single" w:color="000000" w:sz="4" w:space="0"/>
              <w:left w:val="nil"/>
              <w:bottom w:val="single" w:color="000000" w:sz="4" w:space="0"/>
              <w:right w:val="single" w:color="000000" w:sz="4" w:space="0"/>
            </w:tcBorders>
          </w:tcPr>
          <w:p w14:paraId="08E33038">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c>
          <w:tcPr>
            <w:tcW w:w="435" w:type="pct"/>
            <w:tcBorders>
              <w:top w:val="single" w:color="000000" w:sz="4" w:space="0"/>
              <w:left w:val="nil"/>
              <w:bottom w:val="single" w:color="000000" w:sz="4" w:space="0"/>
              <w:right w:val="single" w:color="000000" w:sz="4" w:space="0"/>
            </w:tcBorders>
          </w:tcPr>
          <w:p w14:paraId="397FDE65">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p>
        </w:tc>
      </w:tr>
    </w:tbl>
    <w:p w14:paraId="3113EA73">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 </w:t>
      </w:r>
    </w:p>
    <w:p w14:paraId="683F6EA2">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投标单位（电子签章）：</w:t>
      </w:r>
    </w:p>
    <w:p w14:paraId="6941B9FC">
      <w:pPr>
        <w:widowControl/>
        <w:adjustRightIn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 xml:space="preserve"> </w:t>
      </w:r>
    </w:p>
    <w:p w14:paraId="5DDDC92B">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说明：</w:t>
      </w:r>
    </w:p>
    <w:p w14:paraId="3625D8B8">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1、“备注”栏，可填写该人员擅长的工程（或工作）种类；</w:t>
      </w:r>
    </w:p>
    <w:p w14:paraId="1C94EC7F">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2、请同时提供以上人员的相关简历、社保证明、职称或执业资格等证明材料。</w:t>
      </w:r>
    </w:p>
    <w:p w14:paraId="6072A938">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 </w:t>
      </w:r>
    </w:p>
    <w:p w14:paraId="404FD365">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br w:type="page"/>
      </w:r>
      <w:r>
        <w:rPr>
          <w:rFonts w:hint="default" w:ascii="Times New Roman" w:hAnsi="Times New Roman" w:cs="Times New Roman"/>
          <w:b/>
          <w:bCs/>
          <w:color w:val="000000" w:themeColor="text1"/>
          <w:kern w:val="0"/>
          <w:szCs w:val="21"/>
          <w14:textFill>
            <w14:solidFill>
              <w14:schemeClr w14:val="tx1"/>
            </w14:solidFill>
          </w14:textFill>
        </w:rPr>
        <w:t>附件九、 投标人类似业绩情况表</w:t>
      </w:r>
    </w:p>
    <w:p w14:paraId="0B4DA1C4">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 </w:t>
      </w:r>
    </w:p>
    <w:p w14:paraId="5F0F8E02">
      <w:pPr>
        <w:widowControl/>
        <w:adjustRightInd w:val="0"/>
        <w:spacing w:line="360" w:lineRule="auto"/>
        <w:jc w:val="center"/>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投标人近三年类似业绩情况表</w:t>
      </w:r>
    </w:p>
    <w:tbl>
      <w:tblPr>
        <w:tblStyle w:val="44"/>
        <w:tblW w:w="4997" w:type="pct"/>
        <w:jc w:val="center"/>
        <w:tblLayout w:type="autofit"/>
        <w:tblCellMar>
          <w:top w:w="0" w:type="dxa"/>
          <w:left w:w="108" w:type="dxa"/>
          <w:bottom w:w="0" w:type="dxa"/>
          <w:right w:w="108" w:type="dxa"/>
        </w:tblCellMar>
      </w:tblPr>
      <w:tblGrid>
        <w:gridCol w:w="611"/>
        <w:gridCol w:w="1402"/>
        <w:gridCol w:w="1277"/>
        <w:gridCol w:w="892"/>
        <w:gridCol w:w="929"/>
        <w:gridCol w:w="1366"/>
        <w:gridCol w:w="1020"/>
        <w:gridCol w:w="1020"/>
      </w:tblGrid>
      <w:tr w14:paraId="22C13AA0">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7F018414">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序号</w:t>
            </w:r>
          </w:p>
        </w:tc>
        <w:tc>
          <w:tcPr>
            <w:tcW w:w="822" w:type="pct"/>
            <w:tcBorders>
              <w:top w:val="single" w:color="000000" w:sz="4" w:space="0"/>
              <w:left w:val="nil"/>
              <w:bottom w:val="single" w:color="000000" w:sz="4" w:space="0"/>
              <w:right w:val="single" w:color="000000" w:sz="4" w:space="0"/>
            </w:tcBorders>
            <w:vAlign w:val="center"/>
          </w:tcPr>
          <w:p w14:paraId="36FFFC45">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项目名称</w:t>
            </w:r>
          </w:p>
        </w:tc>
        <w:tc>
          <w:tcPr>
            <w:tcW w:w="749" w:type="pct"/>
            <w:tcBorders>
              <w:top w:val="single" w:color="000000" w:sz="4" w:space="0"/>
              <w:left w:val="nil"/>
              <w:bottom w:val="single" w:color="000000" w:sz="4" w:space="0"/>
              <w:right w:val="single" w:color="000000" w:sz="4" w:space="0"/>
            </w:tcBorders>
            <w:vAlign w:val="center"/>
          </w:tcPr>
          <w:p w14:paraId="45BB5F1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业主单位</w:t>
            </w:r>
          </w:p>
        </w:tc>
        <w:tc>
          <w:tcPr>
            <w:tcW w:w="523" w:type="pct"/>
            <w:tcBorders>
              <w:top w:val="single" w:color="000000" w:sz="4" w:space="0"/>
              <w:left w:val="nil"/>
              <w:bottom w:val="single" w:color="000000" w:sz="4" w:space="0"/>
              <w:right w:val="single" w:color="000000" w:sz="4" w:space="0"/>
            </w:tcBorders>
            <w:vAlign w:val="center"/>
          </w:tcPr>
          <w:p w14:paraId="685857C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项目</w:t>
            </w:r>
          </w:p>
          <w:p w14:paraId="1CD1BC82">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规模</w:t>
            </w:r>
          </w:p>
        </w:tc>
        <w:tc>
          <w:tcPr>
            <w:tcW w:w="545" w:type="pct"/>
            <w:tcBorders>
              <w:top w:val="single" w:color="000000" w:sz="4" w:space="0"/>
              <w:left w:val="nil"/>
              <w:bottom w:val="single" w:color="000000" w:sz="4" w:space="0"/>
              <w:right w:val="single" w:color="000000" w:sz="4" w:space="0"/>
            </w:tcBorders>
            <w:vAlign w:val="center"/>
          </w:tcPr>
          <w:p w14:paraId="2E8D99B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获奖</w:t>
            </w:r>
          </w:p>
          <w:p w14:paraId="4659BFD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情况</w:t>
            </w:r>
          </w:p>
        </w:tc>
        <w:tc>
          <w:tcPr>
            <w:tcW w:w="801" w:type="pct"/>
            <w:tcBorders>
              <w:top w:val="single" w:color="000000" w:sz="4" w:space="0"/>
              <w:left w:val="nil"/>
              <w:bottom w:val="single" w:color="000000" w:sz="4" w:space="0"/>
              <w:right w:val="single" w:color="000000" w:sz="4" w:space="0"/>
            </w:tcBorders>
          </w:tcPr>
          <w:p w14:paraId="78137FA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签约及服务</w:t>
            </w:r>
          </w:p>
          <w:p w14:paraId="1436D8C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时间</w:t>
            </w:r>
          </w:p>
        </w:tc>
        <w:tc>
          <w:tcPr>
            <w:tcW w:w="598" w:type="pct"/>
            <w:tcBorders>
              <w:top w:val="single" w:color="000000" w:sz="4" w:space="0"/>
              <w:left w:val="nil"/>
              <w:bottom w:val="single" w:color="000000" w:sz="4" w:space="0"/>
              <w:right w:val="single" w:color="000000" w:sz="4" w:space="0"/>
            </w:tcBorders>
          </w:tcPr>
          <w:p w14:paraId="7D2D4D8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联系人及电话</w:t>
            </w:r>
          </w:p>
        </w:tc>
        <w:tc>
          <w:tcPr>
            <w:tcW w:w="598" w:type="pct"/>
            <w:tcBorders>
              <w:top w:val="single" w:color="000000" w:sz="4" w:space="0"/>
              <w:left w:val="nil"/>
              <w:bottom w:val="single" w:color="000000" w:sz="4" w:space="0"/>
              <w:right w:val="single" w:color="000000" w:sz="4" w:space="0"/>
            </w:tcBorders>
          </w:tcPr>
          <w:p w14:paraId="15112CD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备注</w:t>
            </w:r>
          </w:p>
        </w:tc>
      </w:tr>
      <w:tr w14:paraId="2CAF2C1B">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36955A7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3A988D9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2E282881">
            <w:pPr>
              <w:widowControl/>
              <w:spacing w:line="360" w:lineRule="auto"/>
              <w:ind w:firstLine="120"/>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52CE25D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79DCF37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20C3E17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7F0EA9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60BE0B85">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70ECE226">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26662EF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22AFAF2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2EF5CDB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7C4DFF6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0F8771B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64F64BE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93A5E0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C9F8A5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3C2C14DF">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58B368D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48E3916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17AE6B4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4A0730D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4168D37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7C74A59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756553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471C9D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3C82DC87">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62B1DF8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5ABE378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2A89667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29FB410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2C119CD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6A6E25F2">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4B1A43ED">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6018A85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6F58DCAB">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5929DAD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25FAF77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5ADDED84">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68D4E81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1ED6DB9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4A91C71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034014B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39FC516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521E0C4E">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2FACA1E5">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0137493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1235DF5B">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60598469">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74E28A35">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501F5E4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78C64213">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12D594FA">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6C69D6FD">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5F1BC15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3784924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15616E8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2C612D5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4A2EDC86">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527C620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011CC638">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750CD0D1">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r w14:paraId="46C84FB9">
        <w:tblPrEx>
          <w:tblCellMar>
            <w:top w:w="0" w:type="dxa"/>
            <w:left w:w="108" w:type="dxa"/>
            <w:bottom w:w="0" w:type="dxa"/>
            <w:right w:w="108" w:type="dxa"/>
          </w:tblCellMar>
        </w:tblPrEx>
        <w:trPr>
          <w:jc w:val="center"/>
        </w:trPr>
        <w:tc>
          <w:tcPr>
            <w:tcW w:w="359" w:type="pct"/>
            <w:tcBorders>
              <w:top w:val="single" w:color="000000" w:sz="4" w:space="0"/>
              <w:left w:val="single" w:color="000000" w:sz="4" w:space="0"/>
              <w:bottom w:val="single" w:color="000000" w:sz="4" w:space="0"/>
              <w:right w:val="single" w:color="000000" w:sz="4" w:space="0"/>
            </w:tcBorders>
          </w:tcPr>
          <w:p w14:paraId="7E24DFA0">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22" w:type="pct"/>
            <w:tcBorders>
              <w:top w:val="single" w:color="000000" w:sz="4" w:space="0"/>
              <w:left w:val="nil"/>
              <w:bottom w:val="single" w:color="000000" w:sz="4" w:space="0"/>
              <w:right w:val="single" w:color="000000" w:sz="4" w:space="0"/>
            </w:tcBorders>
          </w:tcPr>
          <w:p w14:paraId="4428006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749" w:type="pct"/>
            <w:tcBorders>
              <w:top w:val="single" w:color="000000" w:sz="4" w:space="0"/>
              <w:left w:val="nil"/>
              <w:bottom w:val="single" w:color="000000" w:sz="4" w:space="0"/>
              <w:right w:val="single" w:color="000000" w:sz="4" w:space="0"/>
            </w:tcBorders>
          </w:tcPr>
          <w:p w14:paraId="19D97D8F">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23" w:type="pct"/>
            <w:tcBorders>
              <w:top w:val="single" w:color="000000" w:sz="4" w:space="0"/>
              <w:left w:val="nil"/>
              <w:bottom w:val="single" w:color="000000" w:sz="4" w:space="0"/>
              <w:right w:val="single" w:color="000000" w:sz="4" w:space="0"/>
            </w:tcBorders>
          </w:tcPr>
          <w:p w14:paraId="2C1D24CE">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45" w:type="pct"/>
            <w:tcBorders>
              <w:top w:val="single" w:color="000000" w:sz="4" w:space="0"/>
              <w:left w:val="nil"/>
              <w:bottom w:val="single" w:color="000000" w:sz="4" w:space="0"/>
              <w:right w:val="single" w:color="000000" w:sz="4" w:space="0"/>
            </w:tcBorders>
          </w:tcPr>
          <w:p w14:paraId="66522BA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801" w:type="pct"/>
            <w:tcBorders>
              <w:top w:val="single" w:color="000000" w:sz="4" w:space="0"/>
              <w:left w:val="nil"/>
              <w:bottom w:val="single" w:color="000000" w:sz="4" w:space="0"/>
              <w:right w:val="single" w:color="000000" w:sz="4" w:space="0"/>
            </w:tcBorders>
          </w:tcPr>
          <w:p w14:paraId="4E3B87CC">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5C1FAFB4">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c>
          <w:tcPr>
            <w:tcW w:w="598" w:type="pct"/>
            <w:tcBorders>
              <w:top w:val="single" w:color="000000" w:sz="4" w:space="0"/>
              <w:left w:val="nil"/>
              <w:bottom w:val="single" w:color="000000" w:sz="4" w:space="0"/>
              <w:right w:val="single" w:color="000000" w:sz="4" w:space="0"/>
            </w:tcBorders>
          </w:tcPr>
          <w:p w14:paraId="20F544C7">
            <w:pPr>
              <w:widowControl/>
              <w:spacing w:line="360" w:lineRule="auto"/>
              <w:jc w:val="center"/>
              <w:rPr>
                <w:rFonts w:hint="default" w:ascii="Times New Roman" w:hAnsi="Times New Roman" w:cs="Times New Roman"/>
                <w:color w:val="000000" w:themeColor="text1"/>
                <w:kern w:val="0"/>
                <w:szCs w:val="21"/>
                <w14:textFill>
                  <w14:solidFill>
                    <w14:schemeClr w14:val="tx1"/>
                  </w14:solidFill>
                </w14:textFill>
              </w:rPr>
            </w:pPr>
          </w:p>
        </w:tc>
      </w:tr>
    </w:tbl>
    <w:p w14:paraId="1772563F">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 xml:space="preserve"> </w:t>
      </w:r>
    </w:p>
    <w:p w14:paraId="29DBF155">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说明：请投标人根据本格式要求如实填写业绩情况表，并附业绩合同扫描件与获奖证明。</w:t>
      </w:r>
    </w:p>
    <w:p w14:paraId="7F92DE95">
      <w:pPr>
        <w:widowControl/>
        <w:adjustRightInd w:val="0"/>
        <w:spacing w:line="360" w:lineRule="auto"/>
        <w:rPr>
          <w:rFonts w:hint="default" w:ascii="Times New Roman" w:hAnsi="Times New Roman" w:cs="Times New Roman"/>
          <w:b/>
          <w:bCs/>
          <w:color w:val="000000" w:themeColor="text1"/>
          <w:kern w:val="0"/>
          <w:szCs w:val="21"/>
          <w14:textFill>
            <w14:solidFill>
              <w14:schemeClr w14:val="tx1"/>
            </w14:solidFill>
          </w14:textFill>
        </w:rPr>
      </w:pPr>
      <w:r>
        <w:rPr>
          <w:rFonts w:hint="default" w:ascii="Times New Roman" w:hAnsi="Times New Roman" w:cs="Times New Roman"/>
          <w:b/>
          <w:bCs/>
          <w:color w:val="000000" w:themeColor="text1"/>
          <w:kern w:val="0"/>
          <w:szCs w:val="21"/>
          <w14:textFill>
            <w14:solidFill>
              <w14:schemeClr w14:val="tx1"/>
            </w14:solidFill>
          </w14:textFill>
        </w:rPr>
        <w:t>开标时请携带相应业绩合同原件备查（如涉及）。</w:t>
      </w:r>
    </w:p>
    <w:p w14:paraId="50B63C90">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kern w:val="0"/>
          <w:szCs w:val="21"/>
          <w14:textFill>
            <w14:solidFill>
              <w14:schemeClr w14:val="tx1"/>
            </w14:solidFill>
          </w14:textFill>
        </w:rPr>
        <w:t>投标单位（电子签章）：</w:t>
      </w:r>
    </w:p>
    <w:p w14:paraId="677541AE">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br w:type="page"/>
      </w:r>
      <w:r>
        <w:rPr>
          <w:rFonts w:hint="default" w:ascii="Times New Roman" w:hAnsi="Times New Roman" w:cs="Times New Roman"/>
          <w:b/>
          <w:color w:val="000000" w:themeColor="text1"/>
          <w:szCs w:val="21"/>
          <w14:textFill>
            <w14:solidFill>
              <w14:schemeClr w14:val="tx1"/>
            </w14:solidFill>
          </w14:textFill>
        </w:rPr>
        <w:t>附件十、</w:t>
      </w:r>
      <w:r>
        <w:rPr>
          <w:rFonts w:hint="default" w:ascii="Times New Roman" w:hAnsi="Times New Roman" w:cs="Times New Roman"/>
          <w:b/>
          <w:bCs/>
          <w:color w:val="000000" w:themeColor="text1"/>
          <w:kern w:val="0"/>
          <w:szCs w:val="21"/>
          <w14:textFill>
            <w14:solidFill>
              <w14:schemeClr w14:val="tx1"/>
            </w14:solidFill>
          </w14:textFill>
        </w:rPr>
        <w:t>小微企业声明函格式</w:t>
      </w:r>
    </w:p>
    <w:p w14:paraId="7DDAF671">
      <w:pPr>
        <w:widowControl/>
        <w:shd w:val="clear" w:color="auto" w:fill="FFFFFF"/>
        <w:spacing w:before="312" w:beforeLines="100" w:line="360" w:lineRule="auto"/>
        <w:jc w:val="center"/>
        <w:rPr>
          <w:rFonts w:hint="default" w:ascii="Times New Roman" w:hAnsi="Times New Roman" w:cs="Times New Roman"/>
          <w:color w:val="000000" w:themeColor="text1"/>
          <w:szCs w:val="21"/>
          <w14:textFill>
            <w14:solidFill>
              <w14:schemeClr w14:val="tx1"/>
            </w14:solidFill>
          </w14:textFill>
        </w:rPr>
      </w:pPr>
      <w:bookmarkStart w:id="35" w:name="OLE_LINK13"/>
      <w:bookmarkStart w:id="36" w:name="OLE_LINK14"/>
      <w:r>
        <w:rPr>
          <w:rFonts w:hint="default" w:ascii="Times New Roman" w:hAnsi="Times New Roman" w:cs="Times New Roman"/>
          <w:b/>
          <w:color w:val="000000" w:themeColor="text1"/>
          <w:kern w:val="0"/>
          <w:szCs w:val="21"/>
          <w14:textFill>
            <w14:solidFill>
              <w14:schemeClr w14:val="tx1"/>
            </w14:solidFill>
          </w14:textFill>
        </w:rPr>
        <w:t>中小企业声明函（货物）</w:t>
      </w:r>
    </w:p>
    <w:p w14:paraId="6C534F01">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本公司（联合体）郑重声明，根据《政府采购促进中小企业发展管理办法》（财库﹝2020﹞46号）的规定，本公司（联合体）参加</w:t>
      </w:r>
      <w:r>
        <w:rPr>
          <w:rFonts w:hint="default" w:ascii="Times New Roman" w:hAnsi="Times New Roman" w:cs="Times New Roman"/>
          <w:color w:val="000000" w:themeColor="text1"/>
          <w:szCs w:val="21"/>
          <w:u w:val="single"/>
          <w14:textFill>
            <w14:solidFill>
              <w14:schemeClr w14:val="tx1"/>
            </w14:solidFill>
          </w14:textFill>
        </w:rPr>
        <w:t>（单位名称）</w:t>
      </w:r>
      <w:r>
        <w:rPr>
          <w:rFonts w:hint="default" w:ascii="Times New Roman" w:hAnsi="Times New Roman" w:cs="Times New Roman"/>
          <w:color w:val="000000" w:themeColor="text1"/>
          <w:szCs w:val="21"/>
          <w14:textFill>
            <w14:solidFill>
              <w14:schemeClr w14:val="tx1"/>
            </w14:solidFill>
          </w14:textFill>
        </w:rPr>
        <w:t>的</w:t>
      </w:r>
      <w:r>
        <w:rPr>
          <w:rFonts w:hint="default" w:ascii="Times New Roman" w:hAnsi="Times New Roman" w:cs="Times New Roman"/>
          <w:color w:val="000000" w:themeColor="text1"/>
          <w:szCs w:val="21"/>
          <w:u w:val="single"/>
          <w14:textFill>
            <w14:solidFill>
              <w14:schemeClr w14:val="tx1"/>
            </w14:solidFill>
          </w14:textFill>
        </w:rPr>
        <w:t>（项目名称）</w:t>
      </w:r>
      <w:r>
        <w:rPr>
          <w:rFonts w:hint="default" w:ascii="Times New Roman" w:hAnsi="Times New Roman" w:cs="Times New Roman"/>
          <w:color w:val="000000" w:themeColor="text1"/>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14:paraId="48B47404">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 </w:t>
      </w:r>
      <w:r>
        <w:rPr>
          <w:rFonts w:hint="default" w:ascii="Times New Roman" w:hAnsi="Times New Roman" w:cs="Times New Roman"/>
          <w:color w:val="000000" w:themeColor="text1"/>
          <w:szCs w:val="21"/>
          <w:u w:val="single"/>
          <w14:textFill>
            <w14:solidFill>
              <w14:schemeClr w14:val="tx1"/>
            </w14:solidFill>
          </w14:textFill>
        </w:rPr>
        <w:t>（标的名称）</w:t>
      </w:r>
      <w:r>
        <w:rPr>
          <w:rFonts w:hint="default" w:ascii="Times New Roman" w:hAnsi="Times New Roman" w:cs="Times New Roman"/>
          <w:color w:val="000000" w:themeColor="text1"/>
          <w:szCs w:val="21"/>
          <w14:textFill>
            <w14:solidFill>
              <w14:schemeClr w14:val="tx1"/>
            </w14:solidFill>
          </w14:textFill>
        </w:rPr>
        <w:t xml:space="preserve"> ，属于</w:t>
      </w:r>
      <w:r>
        <w:rPr>
          <w:rFonts w:hint="default" w:ascii="Times New Roman" w:hAnsi="Times New Roman" w:cs="Times New Roman"/>
          <w:color w:val="000000" w:themeColor="text1"/>
          <w:szCs w:val="21"/>
          <w:u w:val="single"/>
          <w14:textFill>
            <w14:solidFill>
              <w14:schemeClr w14:val="tx1"/>
            </w14:solidFill>
          </w14:textFill>
        </w:rPr>
        <w:t>（采购文件中明确的所属行业）行业</w:t>
      </w:r>
      <w:r>
        <w:rPr>
          <w:rFonts w:hint="default" w:ascii="Times New Roman" w:hAnsi="Times New Roman" w:cs="Times New Roman"/>
          <w:color w:val="000000" w:themeColor="text1"/>
          <w:szCs w:val="21"/>
          <w14:textFill>
            <w14:solidFill>
              <w14:schemeClr w14:val="tx1"/>
            </w14:solidFill>
          </w14:textFill>
        </w:rPr>
        <w:t>；制造商为</w:t>
      </w:r>
      <w:r>
        <w:rPr>
          <w:rFonts w:hint="default" w:ascii="Times New Roman" w:hAnsi="Times New Roman" w:cs="Times New Roman"/>
          <w:color w:val="000000" w:themeColor="text1"/>
          <w:szCs w:val="21"/>
          <w:u w:val="single"/>
          <w14:textFill>
            <w14:solidFill>
              <w14:schemeClr w14:val="tx1"/>
            </w14:solidFill>
          </w14:textFill>
        </w:rPr>
        <w:t>（企业名称）</w:t>
      </w:r>
      <w:r>
        <w:rPr>
          <w:rFonts w:hint="default" w:ascii="Times New Roman" w:hAnsi="Times New Roman" w:cs="Times New Roman"/>
          <w:color w:val="000000" w:themeColor="text1"/>
          <w:szCs w:val="21"/>
          <w14:textFill>
            <w14:solidFill>
              <w14:schemeClr w14:val="tx1"/>
            </w14:solidFill>
          </w14:textFill>
        </w:rPr>
        <w:t>，从业人员</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人，营业收入为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万元，资产总额为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万元</w:t>
      </w:r>
      <w:r>
        <w:rPr>
          <w:rFonts w:hint="default" w:ascii="Times New Roman" w:hAnsi="Times New Roman" w:cs="Times New Roman"/>
          <w:color w:val="000000" w:themeColor="text1"/>
          <w:szCs w:val="21"/>
          <w:vertAlign w:val="superscript"/>
          <w14:textFill>
            <w14:solidFill>
              <w14:schemeClr w14:val="tx1"/>
            </w14:solidFill>
          </w14:textFill>
        </w:rPr>
        <w:t>1</w:t>
      </w:r>
      <w:r>
        <w:rPr>
          <w:rFonts w:hint="default" w:ascii="Times New Roman" w:hAnsi="Times New Roman" w:cs="Times New Roman"/>
          <w:color w:val="000000" w:themeColor="text1"/>
          <w:szCs w:val="21"/>
          <w14:textFill>
            <w14:solidFill>
              <w14:schemeClr w14:val="tx1"/>
            </w14:solidFill>
          </w14:textFill>
        </w:rPr>
        <w:t>，属于</w:t>
      </w:r>
      <w:r>
        <w:rPr>
          <w:rFonts w:hint="default" w:ascii="Times New Roman" w:hAnsi="Times New Roman" w:cs="Times New Roman"/>
          <w:color w:val="000000" w:themeColor="text1"/>
          <w:szCs w:val="21"/>
          <w:u w:val="single"/>
          <w14:textFill>
            <w14:solidFill>
              <w14:schemeClr w14:val="tx1"/>
            </w14:solidFill>
          </w14:textFill>
        </w:rPr>
        <w:t>（中型企业、小型企业、微型企业）</w:t>
      </w:r>
      <w:r>
        <w:rPr>
          <w:rFonts w:hint="default" w:ascii="Times New Roman" w:hAnsi="Times New Roman" w:cs="Times New Roman"/>
          <w:color w:val="000000" w:themeColor="text1"/>
          <w:szCs w:val="21"/>
          <w14:textFill>
            <w14:solidFill>
              <w14:schemeClr w14:val="tx1"/>
            </w14:solidFill>
          </w14:textFill>
        </w:rPr>
        <w:t>；</w:t>
      </w:r>
    </w:p>
    <w:p w14:paraId="6F9C7C6D">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 </w:t>
      </w:r>
      <w:r>
        <w:rPr>
          <w:rFonts w:hint="default" w:ascii="Times New Roman" w:hAnsi="Times New Roman" w:cs="Times New Roman"/>
          <w:color w:val="000000" w:themeColor="text1"/>
          <w:szCs w:val="21"/>
          <w:u w:val="single"/>
          <w14:textFill>
            <w14:solidFill>
              <w14:schemeClr w14:val="tx1"/>
            </w14:solidFill>
          </w14:textFill>
        </w:rPr>
        <w:t>（标的名称）</w:t>
      </w:r>
      <w:r>
        <w:rPr>
          <w:rFonts w:hint="default" w:ascii="Times New Roman" w:hAnsi="Times New Roman" w:cs="Times New Roman"/>
          <w:color w:val="000000" w:themeColor="text1"/>
          <w:szCs w:val="21"/>
          <w14:textFill>
            <w14:solidFill>
              <w14:schemeClr w14:val="tx1"/>
            </w14:solidFill>
          </w14:textFill>
        </w:rPr>
        <w:t xml:space="preserve"> ，属于</w:t>
      </w:r>
      <w:r>
        <w:rPr>
          <w:rFonts w:hint="default" w:ascii="Times New Roman" w:hAnsi="Times New Roman" w:cs="Times New Roman"/>
          <w:color w:val="000000" w:themeColor="text1"/>
          <w:szCs w:val="21"/>
          <w:u w:val="single"/>
          <w14:textFill>
            <w14:solidFill>
              <w14:schemeClr w14:val="tx1"/>
            </w14:solidFill>
          </w14:textFill>
        </w:rPr>
        <w:t>（采购文件中明确的所属行业）行业</w:t>
      </w:r>
      <w:r>
        <w:rPr>
          <w:rFonts w:hint="default" w:ascii="Times New Roman" w:hAnsi="Times New Roman" w:cs="Times New Roman"/>
          <w:color w:val="000000" w:themeColor="text1"/>
          <w:szCs w:val="21"/>
          <w14:textFill>
            <w14:solidFill>
              <w14:schemeClr w14:val="tx1"/>
            </w14:solidFill>
          </w14:textFill>
        </w:rPr>
        <w:t>；制造商为</w:t>
      </w:r>
      <w:r>
        <w:rPr>
          <w:rFonts w:hint="default" w:ascii="Times New Roman" w:hAnsi="Times New Roman" w:cs="Times New Roman"/>
          <w:color w:val="000000" w:themeColor="text1"/>
          <w:szCs w:val="21"/>
          <w:u w:val="single"/>
          <w14:textFill>
            <w14:solidFill>
              <w14:schemeClr w14:val="tx1"/>
            </w14:solidFill>
          </w14:textFill>
        </w:rPr>
        <w:t>（企业名称）</w:t>
      </w:r>
      <w:r>
        <w:rPr>
          <w:rFonts w:hint="default" w:ascii="Times New Roman" w:hAnsi="Times New Roman" w:cs="Times New Roman"/>
          <w:color w:val="000000" w:themeColor="text1"/>
          <w:szCs w:val="21"/>
          <w14:textFill>
            <w14:solidFill>
              <w14:schemeClr w14:val="tx1"/>
            </w14:solidFill>
          </w14:textFill>
        </w:rPr>
        <w:t>，从业人员</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人，营业收入为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万元，资产总额为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万元，属于</w:t>
      </w:r>
      <w:r>
        <w:rPr>
          <w:rFonts w:hint="default" w:ascii="Times New Roman" w:hAnsi="Times New Roman" w:cs="Times New Roman"/>
          <w:color w:val="000000" w:themeColor="text1"/>
          <w:szCs w:val="21"/>
          <w:u w:val="single"/>
          <w14:textFill>
            <w14:solidFill>
              <w14:schemeClr w14:val="tx1"/>
            </w14:solidFill>
          </w14:textFill>
        </w:rPr>
        <w:t>（中型企业、小型企业、微型企业）</w:t>
      </w:r>
      <w:r>
        <w:rPr>
          <w:rFonts w:hint="default" w:ascii="Times New Roman" w:hAnsi="Times New Roman" w:cs="Times New Roman"/>
          <w:color w:val="000000" w:themeColor="text1"/>
          <w:szCs w:val="21"/>
          <w14:textFill>
            <w14:solidFill>
              <w14:schemeClr w14:val="tx1"/>
            </w14:solidFill>
          </w14:textFill>
        </w:rPr>
        <w:t>；</w:t>
      </w:r>
    </w:p>
    <w:p w14:paraId="272E76BD">
      <w:pPr>
        <w:spacing w:line="360" w:lineRule="auto"/>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w:t>
      </w:r>
    </w:p>
    <w:p w14:paraId="07B0BC1B">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673AFC5A">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本企业对上述声明内容的真实性负责。如有虚假，将依法承担相应责任。</w:t>
      </w:r>
    </w:p>
    <w:p w14:paraId="3379EB0D">
      <w:pPr>
        <w:widowControl/>
        <w:spacing w:line="360"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p>
    <w:p w14:paraId="1A188530">
      <w:pPr>
        <w:wordWrap w:val="0"/>
        <w:spacing w:line="360" w:lineRule="auto"/>
        <w:jc w:val="righ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投标单位（电子签章）： </w:t>
      </w:r>
    </w:p>
    <w:p w14:paraId="03069F84">
      <w:pPr>
        <w:wordWrap w:val="0"/>
        <w:spacing w:line="360" w:lineRule="auto"/>
        <w:jc w:val="righ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日期：                </w:t>
      </w:r>
    </w:p>
    <w:p w14:paraId="2157E000">
      <w:pPr>
        <w:spacing w:after="0" w:line="240" w:lineRule="auto"/>
        <w:ind w:firstLine="361" w:firstLineChars="200"/>
        <w:rPr>
          <w:rFonts w:hint="default" w:ascii="Times New Roman" w:hAnsi="Times New Roman" w:cs="Times New Roman"/>
          <w:b/>
          <w:bCs/>
          <w:color w:val="000000" w:themeColor="text1"/>
          <w:sz w:val="18"/>
          <w:szCs w:val="18"/>
          <w14:textFill>
            <w14:solidFill>
              <w14:schemeClr w14:val="tx1"/>
            </w14:solidFill>
          </w14:textFill>
        </w:rPr>
      </w:pPr>
      <w:r>
        <w:rPr>
          <w:rFonts w:hint="default" w:ascii="Times New Roman" w:hAnsi="Times New Roman" w:cs="Times New Roman"/>
          <w:b/>
          <w:bCs/>
          <w:color w:val="000000" w:themeColor="text1"/>
          <w:sz w:val="18"/>
          <w:szCs w:val="18"/>
          <w14:textFill>
            <w14:solidFill>
              <w14:schemeClr w14:val="tx1"/>
            </w14:solidFill>
          </w14:textFill>
        </w:rPr>
        <w:t>1.从业人员、营业收入、资产总额填报上一年度数据，无上一年度数据的新成立企业可不填报。</w:t>
      </w:r>
    </w:p>
    <w:p w14:paraId="33830EB3">
      <w:pPr>
        <w:spacing w:after="0" w:line="240" w:lineRule="auto"/>
        <w:ind w:firstLine="361" w:firstLineChars="200"/>
        <w:rPr>
          <w:rFonts w:hint="default" w:ascii="Times New Roman" w:hAnsi="Times New Roman" w:cs="Times New Roman"/>
          <w:b/>
          <w:bCs/>
          <w:color w:val="000000" w:themeColor="text1"/>
          <w:sz w:val="18"/>
          <w:szCs w:val="18"/>
          <w14:textFill>
            <w14:solidFill>
              <w14:schemeClr w14:val="tx1"/>
            </w14:solidFill>
          </w14:textFill>
        </w:rPr>
      </w:pPr>
      <w:bookmarkStart w:id="37" w:name="_Hlk106197948"/>
      <w:r>
        <w:rPr>
          <w:rFonts w:hint="default" w:ascii="Times New Roman" w:hAnsi="Times New Roman" w:cs="Times New Roman"/>
          <w:b/>
          <w:bCs/>
          <w:color w:val="000000" w:themeColor="text1"/>
          <w:sz w:val="18"/>
          <w:szCs w:val="18"/>
          <w14:textFill>
            <w14:solidFill>
              <w14:schemeClr w14:val="tx1"/>
            </w14:solidFill>
          </w14:textFill>
        </w:rPr>
        <w:t>2.中标供应商的《中小企业声明函》将随中标公告进行公示。供应商按照本办法规定提供声明函内容不实的，属于提供虚假材料谋取中标、成交，依照《中华人民共和国政府采购法》等国家有关规定追究相应责任。</w:t>
      </w:r>
    </w:p>
    <w:bookmarkEnd w:id="37"/>
    <w:p w14:paraId="091C7704">
      <w:pPr>
        <w:jc w:val="cente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r>
      <w:r>
        <w:rPr>
          <w:rFonts w:hint="default" w:ascii="Times New Roman" w:hAnsi="Times New Roman" w:cs="Times New Roman"/>
          <w:b/>
          <w:bCs/>
          <w:color w:val="000000" w:themeColor="text1"/>
          <w:szCs w:val="21"/>
          <w14:textFill>
            <w14:solidFill>
              <w14:schemeClr w14:val="tx1"/>
            </w14:solidFill>
          </w14:textFill>
        </w:rPr>
        <w:t>残疾人福利性单位声明函</w:t>
      </w:r>
    </w:p>
    <w:p w14:paraId="002CFA43">
      <w:pPr>
        <w:jc w:val="cente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（非残疾人福利性单位无需填写提供）</w:t>
      </w:r>
    </w:p>
    <w:bookmarkEnd w:id="35"/>
    <w:bookmarkEnd w:id="36"/>
    <w:p w14:paraId="5C52563D">
      <w:pPr>
        <w:widowControl/>
        <w:spacing w:line="360" w:lineRule="auto"/>
        <w:ind w:firstLine="420" w:firstLineChars="200"/>
        <w:jc w:val="left"/>
        <w:rPr>
          <w:rFonts w:hint="default" w:ascii="Times New Roman" w:hAnsi="Times New Roman" w:cs="Times New Roman"/>
          <w:snapToGrid w:val="0"/>
          <w:color w:val="000000" w:themeColor="text1"/>
          <w:kern w:val="0"/>
          <w:szCs w:val="21"/>
          <w14:textFill>
            <w14:solidFill>
              <w14:schemeClr w14:val="tx1"/>
            </w14:solidFill>
          </w14:textFill>
        </w:rPr>
      </w:pPr>
      <w:r>
        <w:rPr>
          <w:rFonts w:hint="default" w:ascii="Times New Roman" w:hAnsi="Times New Roman" w:cs="Times New Roman"/>
          <w:snapToGrid w:val="0"/>
          <w:color w:val="000000" w:themeColor="text1"/>
          <w:kern w:val="0"/>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02F69A">
      <w:pPr>
        <w:widowControl/>
        <w:spacing w:line="360" w:lineRule="auto"/>
        <w:ind w:firstLine="420" w:firstLineChars="200"/>
        <w:jc w:val="left"/>
        <w:rPr>
          <w:rFonts w:hint="default" w:ascii="Times New Roman" w:hAnsi="Times New Roman" w:cs="Times New Roman"/>
          <w:snapToGrid w:val="0"/>
          <w:color w:val="000000" w:themeColor="text1"/>
          <w:kern w:val="0"/>
          <w:szCs w:val="21"/>
          <w14:textFill>
            <w14:solidFill>
              <w14:schemeClr w14:val="tx1"/>
            </w14:solidFill>
          </w14:textFill>
        </w:rPr>
      </w:pPr>
      <w:r>
        <w:rPr>
          <w:rFonts w:hint="default" w:ascii="Times New Roman" w:hAnsi="Times New Roman" w:cs="Times New Roman"/>
          <w:snapToGrid w:val="0"/>
          <w:color w:val="000000" w:themeColor="text1"/>
          <w:kern w:val="0"/>
          <w:szCs w:val="21"/>
          <w14:textFill>
            <w14:solidFill>
              <w14:schemeClr w14:val="tx1"/>
            </w14:solidFill>
          </w14:textFill>
        </w:rPr>
        <w:t>本单位对上述声明的真实性负责。如有虚假，将依法承担相应责任。</w:t>
      </w:r>
    </w:p>
    <w:p w14:paraId="5EEC0BBB">
      <w:pPr>
        <w:widowControl/>
        <w:spacing w:line="360" w:lineRule="auto"/>
        <w:ind w:firstLine="5040" w:firstLineChars="2400"/>
        <w:jc w:val="left"/>
        <w:rPr>
          <w:rFonts w:hint="default" w:ascii="Times New Roman" w:hAnsi="Times New Roman" w:cs="Times New Roman"/>
          <w:snapToGrid w:val="0"/>
          <w:color w:val="000000" w:themeColor="text1"/>
          <w:kern w:val="0"/>
          <w:szCs w:val="21"/>
          <w14:textFill>
            <w14:solidFill>
              <w14:schemeClr w14:val="tx1"/>
            </w14:solidFill>
          </w14:textFill>
        </w:rPr>
      </w:pPr>
      <w:r>
        <w:rPr>
          <w:rFonts w:hint="default" w:ascii="Times New Roman" w:hAnsi="Times New Roman" w:cs="Times New Roman"/>
          <w:snapToGrid w:val="0"/>
          <w:color w:val="000000" w:themeColor="text1"/>
          <w:kern w:val="0"/>
          <w:szCs w:val="21"/>
          <w14:textFill>
            <w14:solidFill>
              <w14:schemeClr w14:val="tx1"/>
            </w14:solidFill>
          </w14:textFill>
        </w:rPr>
        <w:t>投标单位（电子签章）：</w:t>
      </w:r>
    </w:p>
    <w:p w14:paraId="2FC99CF7">
      <w:pPr>
        <w:widowControl/>
        <w:spacing w:line="360" w:lineRule="auto"/>
        <w:ind w:firstLine="5040" w:firstLineChars="2400"/>
        <w:jc w:val="left"/>
        <w:rPr>
          <w:rFonts w:hint="default" w:ascii="Times New Roman" w:hAnsi="Times New Roman" w:cs="Times New Roman"/>
          <w:snapToGrid w:val="0"/>
          <w:color w:val="000000" w:themeColor="text1"/>
          <w:kern w:val="0"/>
          <w:szCs w:val="21"/>
          <w14:textFill>
            <w14:solidFill>
              <w14:schemeClr w14:val="tx1"/>
            </w14:solidFill>
          </w14:textFill>
        </w:rPr>
      </w:pPr>
      <w:r>
        <w:rPr>
          <w:rFonts w:hint="default" w:ascii="Times New Roman" w:hAnsi="Times New Roman" w:cs="Times New Roman"/>
          <w:snapToGrid w:val="0"/>
          <w:color w:val="000000" w:themeColor="text1"/>
          <w:kern w:val="0"/>
          <w:szCs w:val="21"/>
          <w14:textFill>
            <w14:solidFill>
              <w14:schemeClr w14:val="tx1"/>
            </w14:solidFill>
          </w14:textFill>
        </w:rPr>
        <w:t>日  期：</w:t>
      </w:r>
    </w:p>
    <w:p w14:paraId="02D9462B">
      <w:pPr>
        <w:spacing w:line="360" w:lineRule="auto"/>
        <w:rPr>
          <w:rFonts w:hint="default" w:ascii="Times New Roman" w:hAnsi="Times New Roman" w:cs="Times New Roman"/>
          <w:b/>
          <w:bCs/>
          <w:color w:val="000000" w:themeColor="text1"/>
          <w:szCs w:val="21"/>
          <w14:textFill>
            <w14:solidFill>
              <w14:schemeClr w14:val="tx1"/>
            </w14:solidFill>
          </w14:textFill>
        </w:rPr>
      </w:pPr>
    </w:p>
    <w:p w14:paraId="1ABD9E2B">
      <w:pPr>
        <w:spacing w:line="360" w:lineRule="auto"/>
        <w:rPr>
          <w:rFonts w:hint="default" w:ascii="Times New Roman" w:hAnsi="Times New Roman" w:cs="Times New Roman"/>
          <w:b/>
          <w:bCs/>
          <w:color w:val="000000" w:themeColor="text1"/>
          <w:szCs w:val="21"/>
          <w14:textFill>
            <w14:solidFill>
              <w14:schemeClr w14:val="tx1"/>
            </w14:solidFill>
          </w14:textFill>
        </w:rPr>
      </w:pPr>
    </w:p>
    <w:p w14:paraId="212ED6C5">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r>
    </w:p>
    <w:p w14:paraId="3263B32D">
      <w:pPr>
        <w:pStyle w:val="38"/>
        <w:shd w:val="clear" w:color="auto" w:fill="FFFFFF"/>
        <w:spacing w:before="24" w:beforeAutospacing="0" w:after="24" w:afterAutospacing="0" w:line="360" w:lineRule="auto"/>
        <w:jc w:val="center"/>
        <w:rPr>
          <w:rStyle w:val="47"/>
          <w:rFonts w:hint="default" w:ascii="Times New Roman" w:hAnsi="Times New Roman" w:cs="Times New Roman"/>
          <w:color w:val="333333"/>
          <w:sz w:val="21"/>
          <w:szCs w:val="21"/>
          <w:shd w:val="clear" w:color="auto" w:fill="FFFFFF"/>
        </w:rPr>
      </w:pPr>
    </w:p>
    <w:p w14:paraId="02E901E2">
      <w:pPr>
        <w:pStyle w:val="38"/>
        <w:shd w:val="clear" w:color="auto" w:fill="FFFFFF"/>
        <w:spacing w:before="24" w:beforeAutospacing="0" w:after="24" w:afterAutospacing="0" w:line="360" w:lineRule="auto"/>
        <w:jc w:val="center"/>
        <w:rPr>
          <w:rFonts w:hint="default" w:ascii="Times New Roman" w:hAnsi="Times New Roman" w:cs="Times New Roman"/>
          <w:color w:val="333333"/>
          <w:sz w:val="21"/>
          <w:szCs w:val="21"/>
        </w:rPr>
      </w:pPr>
      <w:r>
        <w:rPr>
          <w:rStyle w:val="47"/>
          <w:rFonts w:hint="default" w:ascii="Times New Roman" w:hAnsi="Times New Roman" w:cs="Times New Roman"/>
          <w:color w:val="333333"/>
          <w:sz w:val="21"/>
          <w:szCs w:val="21"/>
          <w:shd w:val="clear" w:color="auto" w:fill="FFFFFF"/>
        </w:rPr>
        <w:t>关于符合本国产品标准的声明函</w:t>
      </w:r>
    </w:p>
    <w:p w14:paraId="16165DA5">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140BB5A">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1.</w:t>
      </w:r>
      <w:r>
        <w:rPr>
          <w:rStyle w:val="50"/>
          <w:rFonts w:hint="default" w:ascii="Times New Roman" w:hAnsi="Times New Roman" w:cs="Times New Roman"/>
          <w:color w:val="333333"/>
          <w:sz w:val="21"/>
          <w:szCs w:val="21"/>
          <w:shd w:val="clear" w:color="auto" w:fill="FFFFFF"/>
        </w:rPr>
        <w:t>（产品名称1）</w:t>
      </w:r>
      <w:r>
        <w:rPr>
          <w:rStyle w:val="50"/>
          <w:rFonts w:hint="default" w:ascii="Times New Roman" w:hAnsi="Times New Roman" w:cs="Times New Roman"/>
          <w:color w:val="333333"/>
          <w:sz w:val="21"/>
          <w:szCs w:val="21"/>
          <w:shd w:val="clear" w:color="auto" w:fill="FFFFFF"/>
          <w:vertAlign w:val="superscript"/>
        </w:rPr>
        <w:t>1</w:t>
      </w:r>
      <w:r>
        <w:rPr>
          <w:rFonts w:hint="default" w:ascii="Times New Roman" w:hAnsi="Times New Roman" w:cs="Times New Roman"/>
          <w:color w:val="333333"/>
          <w:sz w:val="21"/>
          <w:szCs w:val="21"/>
          <w:shd w:val="clear" w:color="auto" w:fill="FFFFFF"/>
        </w:rPr>
        <w:t>，生产厂为</w:t>
      </w:r>
      <w:r>
        <w:rPr>
          <w:rStyle w:val="50"/>
          <w:rFonts w:hint="default" w:ascii="Times New Roman" w:hAnsi="Times New Roman" w:cs="Times New Roman"/>
          <w:color w:val="333333"/>
          <w:sz w:val="21"/>
          <w:szCs w:val="21"/>
          <w:shd w:val="clear" w:color="auto" w:fill="FFFFFF"/>
        </w:rPr>
        <w:t>（厂名）</w:t>
      </w:r>
      <w:r>
        <w:rPr>
          <w:rStyle w:val="50"/>
          <w:rFonts w:hint="default" w:ascii="Times New Roman" w:hAnsi="Times New Roman" w:cs="Times New Roman"/>
          <w:color w:val="333333"/>
          <w:sz w:val="21"/>
          <w:szCs w:val="21"/>
          <w:shd w:val="clear" w:color="auto" w:fill="FFFFFF"/>
          <w:vertAlign w:val="superscript"/>
        </w:rPr>
        <w:t>2</w:t>
      </w:r>
      <w:r>
        <w:rPr>
          <w:rFonts w:hint="default" w:ascii="Times New Roman" w:hAnsi="Times New Roman" w:cs="Times New Roman"/>
          <w:color w:val="333333"/>
          <w:sz w:val="21"/>
          <w:szCs w:val="21"/>
          <w:shd w:val="clear" w:color="auto" w:fill="FFFFFF"/>
        </w:rPr>
        <w:t>，厂址为</w:t>
      </w:r>
      <w:r>
        <w:rPr>
          <w:rStyle w:val="50"/>
          <w:rFonts w:hint="default" w:ascii="Times New Roman" w:hAnsi="Times New Roman" w:cs="Times New Roman"/>
          <w:color w:val="333333"/>
          <w:sz w:val="21"/>
          <w:szCs w:val="21"/>
          <w:shd w:val="clear" w:color="auto" w:fill="FFFFFF"/>
        </w:rPr>
        <w:t>（生产厂址）</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的中国境内生产的组件成本占比≥</w:t>
      </w:r>
      <w:r>
        <w:rPr>
          <w:rStyle w:val="50"/>
          <w:rFonts w:hint="default" w:ascii="Times New Roman" w:hAnsi="Times New Roman" w:cs="Times New Roman"/>
          <w:color w:val="333333"/>
          <w:sz w:val="21"/>
          <w:szCs w:val="21"/>
          <w:shd w:val="clear" w:color="auto" w:fill="FFFFFF"/>
        </w:rPr>
        <w:t>（规定比例）</w:t>
      </w:r>
      <w:r>
        <w:rPr>
          <w:rStyle w:val="50"/>
          <w:rFonts w:hint="default" w:ascii="Times New Roman" w:hAnsi="Times New Roman" w:cs="Times New Roman"/>
          <w:color w:val="333333"/>
          <w:sz w:val="21"/>
          <w:szCs w:val="21"/>
          <w:shd w:val="clear" w:color="auto" w:fill="FFFFFF"/>
          <w:vertAlign w:val="superscript"/>
        </w:rPr>
        <w:t>3</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（关键组件）</w:t>
      </w:r>
      <w:r>
        <w:rPr>
          <w:rStyle w:val="50"/>
          <w:rFonts w:hint="default" w:ascii="Times New Roman" w:hAnsi="Times New Roman" w:cs="Times New Roman"/>
          <w:color w:val="333333"/>
          <w:sz w:val="21"/>
          <w:szCs w:val="21"/>
          <w:shd w:val="clear" w:color="auto" w:fill="FFFFFF"/>
          <w:vertAlign w:val="superscript"/>
        </w:rPr>
        <w:t>4</w:t>
      </w:r>
      <w:r>
        <w:rPr>
          <w:rFonts w:hint="default" w:ascii="Times New Roman" w:hAnsi="Times New Roman" w:cs="Times New Roman"/>
          <w:color w:val="333333"/>
          <w:sz w:val="21"/>
          <w:szCs w:val="21"/>
          <w:shd w:val="clear" w:color="auto" w:fill="FFFFFF"/>
        </w:rPr>
        <w:t>在中国境内生产。</w:t>
      </w:r>
      <w:r>
        <w:rPr>
          <w:rStyle w:val="50"/>
          <w:rFonts w:hint="default" w:ascii="Times New Roman" w:hAnsi="Times New Roman" w:cs="Times New Roman"/>
          <w:color w:val="333333"/>
          <w:sz w:val="21"/>
          <w:szCs w:val="21"/>
          <w:shd w:val="clear" w:color="auto" w:fill="FFFFFF"/>
        </w:rPr>
        <w:t>（产品名称1）</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（关键工序）</w:t>
      </w:r>
      <w:r>
        <w:rPr>
          <w:rStyle w:val="50"/>
          <w:rFonts w:hint="default" w:ascii="Times New Roman" w:hAnsi="Times New Roman" w:cs="Times New Roman"/>
          <w:color w:val="333333"/>
          <w:sz w:val="21"/>
          <w:szCs w:val="21"/>
          <w:shd w:val="clear" w:color="auto" w:fill="FFFFFF"/>
          <w:vertAlign w:val="superscript"/>
        </w:rPr>
        <w:t>5</w:t>
      </w:r>
      <w:r>
        <w:rPr>
          <w:rFonts w:hint="default" w:ascii="Times New Roman" w:hAnsi="Times New Roman" w:cs="Times New Roman"/>
          <w:color w:val="333333"/>
          <w:sz w:val="21"/>
          <w:szCs w:val="21"/>
          <w:shd w:val="clear" w:color="auto" w:fill="FFFFFF"/>
        </w:rPr>
        <w:t>在中国境内完成。</w:t>
      </w:r>
    </w:p>
    <w:p w14:paraId="1ADA3458">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2.</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，生产厂为</w:t>
      </w:r>
      <w:r>
        <w:rPr>
          <w:rStyle w:val="50"/>
          <w:rFonts w:hint="default" w:ascii="Times New Roman" w:hAnsi="Times New Roman" w:cs="Times New Roman"/>
          <w:color w:val="333333"/>
          <w:sz w:val="21"/>
          <w:szCs w:val="21"/>
          <w:shd w:val="clear" w:color="auto" w:fill="FFFFFF"/>
        </w:rPr>
        <w:t>（厂名）</w:t>
      </w:r>
      <w:r>
        <w:rPr>
          <w:rFonts w:hint="default" w:ascii="Times New Roman" w:hAnsi="Times New Roman" w:cs="Times New Roman"/>
          <w:color w:val="333333"/>
          <w:sz w:val="21"/>
          <w:szCs w:val="21"/>
          <w:shd w:val="clear" w:color="auto" w:fill="FFFFFF"/>
        </w:rPr>
        <w:t>，厂址为</w:t>
      </w:r>
      <w:r>
        <w:rPr>
          <w:rStyle w:val="50"/>
          <w:rFonts w:hint="default" w:ascii="Times New Roman" w:hAnsi="Times New Roman" w:cs="Times New Roman"/>
          <w:color w:val="333333"/>
          <w:sz w:val="21"/>
          <w:szCs w:val="21"/>
          <w:shd w:val="clear" w:color="auto" w:fill="FFFFFF"/>
        </w:rPr>
        <w:t>（生产厂址）</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的中国境内生产的组件成本占比≥</w:t>
      </w:r>
      <w:r>
        <w:rPr>
          <w:rStyle w:val="50"/>
          <w:rFonts w:hint="default" w:ascii="Times New Roman" w:hAnsi="Times New Roman" w:cs="Times New Roman"/>
          <w:color w:val="333333"/>
          <w:sz w:val="21"/>
          <w:szCs w:val="21"/>
          <w:shd w:val="clear" w:color="auto" w:fill="FFFFFF"/>
        </w:rPr>
        <w:t>（规定比例）</w:t>
      </w:r>
      <w:r>
        <w:rPr>
          <w:rFonts w:hint="default" w:ascii="Times New Roman" w:hAnsi="Times New Roman" w:cs="Times New Roman"/>
          <w:color w:val="333333"/>
          <w:sz w:val="21"/>
          <w:szCs w:val="21"/>
          <w:shd w:val="clear" w:color="auto" w:fill="FFFFFF"/>
        </w:rPr>
        <w:t>。</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（关键组件）</w:t>
      </w:r>
      <w:r>
        <w:rPr>
          <w:rFonts w:hint="default" w:ascii="Times New Roman" w:hAnsi="Times New Roman" w:cs="Times New Roman"/>
          <w:color w:val="333333"/>
          <w:sz w:val="21"/>
          <w:szCs w:val="21"/>
          <w:shd w:val="clear" w:color="auto" w:fill="FFFFFF"/>
        </w:rPr>
        <w:t>在中国境内生产。</w:t>
      </w:r>
      <w:r>
        <w:rPr>
          <w:rStyle w:val="50"/>
          <w:rFonts w:hint="default" w:ascii="Times New Roman" w:hAnsi="Times New Roman" w:cs="Times New Roman"/>
          <w:color w:val="333333"/>
          <w:sz w:val="21"/>
          <w:szCs w:val="21"/>
          <w:shd w:val="clear" w:color="auto" w:fill="FFFFFF"/>
        </w:rPr>
        <w:t>（产品名称2）</w:t>
      </w:r>
      <w:r>
        <w:rPr>
          <w:rFonts w:hint="default" w:ascii="Times New Roman" w:hAnsi="Times New Roman" w:cs="Times New Roman"/>
          <w:color w:val="333333"/>
          <w:sz w:val="21"/>
          <w:szCs w:val="21"/>
          <w:shd w:val="clear" w:color="auto" w:fill="FFFFFF"/>
        </w:rPr>
        <w:t>的</w:t>
      </w:r>
      <w:r>
        <w:rPr>
          <w:rStyle w:val="50"/>
          <w:rFonts w:hint="default" w:ascii="Times New Roman" w:hAnsi="Times New Roman" w:cs="Times New Roman"/>
          <w:color w:val="333333"/>
          <w:sz w:val="21"/>
          <w:szCs w:val="21"/>
          <w:shd w:val="clear" w:color="auto" w:fill="FFFFFF"/>
        </w:rPr>
        <w:t>（关键工序）</w:t>
      </w:r>
      <w:r>
        <w:rPr>
          <w:rFonts w:hint="default" w:ascii="Times New Roman" w:hAnsi="Times New Roman" w:cs="Times New Roman"/>
          <w:color w:val="333333"/>
          <w:sz w:val="21"/>
          <w:szCs w:val="21"/>
          <w:shd w:val="clear" w:color="auto" w:fill="FFFFFF"/>
        </w:rPr>
        <w:t>在中国境内完成。</w:t>
      </w:r>
    </w:p>
    <w:p w14:paraId="4464A57B">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w:t>
      </w:r>
    </w:p>
    <w:p w14:paraId="32AB7627">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本公司（单位）对上述声明内容的真实性负责。如有虚假，愿承担相应法律责任。</w:t>
      </w:r>
    </w:p>
    <w:p w14:paraId="4FAA5AE9">
      <w:pPr>
        <w:pStyle w:val="38"/>
        <w:shd w:val="clear" w:color="auto" w:fill="FFFFFF"/>
        <w:spacing w:before="24" w:beforeAutospacing="0" w:after="24" w:afterAutospacing="0" w:line="360" w:lineRule="auto"/>
        <w:ind w:firstLine="420"/>
        <w:jc w:val="right"/>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公司（单位）名称（盖章）：      </w:t>
      </w:r>
    </w:p>
    <w:p w14:paraId="4BA3B5E9">
      <w:pPr>
        <w:pStyle w:val="38"/>
        <w:shd w:val="clear" w:color="auto" w:fill="FFFFFF"/>
        <w:spacing w:before="24" w:beforeAutospacing="0" w:after="24" w:afterAutospacing="0" w:line="360" w:lineRule="auto"/>
        <w:ind w:firstLine="420"/>
        <w:jc w:val="right"/>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日期：　　　　　年　　月　日    </w:t>
      </w:r>
    </w:p>
    <w:p w14:paraId="3BB41ADC">
      <w:pPr>
        <w:pStyle w:val="38"/>
        <w:shd w:val="clear" w:color="auto" w:fill="FFFFFF"/>
        <w:spacing w:before="0" w:beforeAutospacing="0" w:after="0" w:afterAutospacing="0" w:line="240" w:lineRule="auto"/>
        <w:rPr>
          <w:rFonts w:hint="default" w:ascii="Times New Roman" w:hAnsi="Times New Roman" w:cs="Times New Roman"/>
          <w:color w:val="333333"/>
          <w:sz w:val="28"/>
          <w:szCs w:val="28"/>
        </w:rPr>
      </w:pPr>
      <w:r>
        <w:rPr>
          <w:rFonts w:hint="default" w:ascii="Times New Roman" w:hAnsi="Times New Roman" w:cs="Times New Roman"/>
          <w:color w:val="333333"/>
          <w:sz w:val="28"/>
          <w:szCs w:val="28"/>
          <w:shd w:val="clear" w:color="auto" w:fill="FFFFFF"/>
        </w:rPr>
        <w:t>_____________________________</w:t>
      </w:r>
    </w:p>
    <w:p w14:paraId="7289C76D">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1.产品如有型号，请在“产品名称”栏一并填写。</w:t>
      </w:r>
    </w:p>
    <w:p w14:paraId="2742C650">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2.生产厂名与厂址应与生产厂营业执照载明的相关信息保持一致。</w:t>
      </w:r>
    </w:p>
    <w:p w14:paraId="25A4ECC2">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3.该产品的中国境内生产的组件成本占比相关要求实施前，“规定比例”栏可不填，下同。</w:t>
      </w:r>
    </w:p>
    <w:p w14:paraId="3C210F4C">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4.该产品的关键组件要求实施前，“关键组件”栏可不填，下同。</w:t>
      </w:r>
    </w:p>
    <w:p w14:paraId="133ADA65">
      <w:pPr>
        <w:pStyle w:val="38"/>
        <w:shd w:val="clear" w:color="auto" w:fill="FFFFFF"/>
        <w:spacing w:before="0" w:beforeAutospacing="0" w:after="0" w:afterAutospacing="0" w:line="240" w:lineRule="auto"/>
        <w:ind w:firstLine="420"/>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5.该产品的关键工序要求实施前，“关键工序”栏可不填，下同。</w:t>
      </w:r>
    </w:p>
    <w:p w14:paraId="1DFF8EEA">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r>
    </w:p>
    <w:p w14:paraId="31D38950">
      <w:pPr>
        <w:spacing w:line="360" w:lineRule="auto"/>
        <w:rPr>
          <w:rFonts w:hint="default" w:ascii="Times New Roman" w:hAnsi="Times New Roman" w:cs="Times New Roman"/>
          <w:b/>
          <w:bCs/>
          <w:color w:val="000000" w:themeColor="text1"/>
          <w:szCs w:val="21"/>
          <w14:textFill>
            <w14:solidFill>
              <w14:schemeClr w14:val="tx1"/>
            </w14:solidFill>
          </w14:textFill>
        </w:rPr>
      </w:pPr>
    </w:p>
    <w:p w14:paraId="427EA82C">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附件</w:t>
      </w:r>
      <w:r>
        <w:rPr>
          <w:rFonts w:hint="default" w:ascii="Times New Roman" w:hAnsi="Times New Roman" w:cs="Times New Roman"/>
          <w:b/>
          <w:bCs/>
          <w:color w:val="000000" w:themeColor="text1"/>
          <w:szCs w:val="21"/>
          <w14:textFill>
            <w14:solidFill>
              <w14:schemeClr w14:val="tx1"/>
            </w14:solidFill>
          </w14:textFill>
        </w:rPr>
        <w:t>十一：</w:t>
      </w:r>
    </w:p>
    <w:p w14:paraId="35C4127F">
      <w:pPr>
        <w:spacing w:line="360" w:lineRule="auto"/>
        <w:jc w:val="cente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属于监狱企业的证明文件</w:t>
      </w:r>
    </w:p>
    <w:p w14:paraId="5099D790">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（提供由省级以上监狱管理局、戒毒管理局(含新疆生产建设兵团)出具的属于监狱企业的证明文件）</w:t>
      </w:r>
    </w:p>
    <w:p w14:paraId="2CFC0CCA">
      <w:pPr>
        <w:spacing w:line="360" w:lineRule="auto"/>
        <w:rPr>
          <w:rFonts w:hint="default" w:ascii="Times New Roman" w:hAnsi="Times New Roman" w:cs="Times New Roman"/>
          <w:b/>
          <w:bCs/>
          <w:color w:val="000000" w:themeColor="text1"/>
          <w:szCs w:val="21"/>
          <w14:textFill>
            <w14:solidFill>
              <w14:schemeClr w14:val="tx1"/>
            </w14:solidFill>
          </w14:textFill>
        </w:rPr>
      </w:pPr>
    </w:p>
    <w:p w14:paraId="70A883B4">
      <w:pPr>
        <w:spacing w:line="360" w:lineRule="auto"/>
        <w:rPr>
          <w:rFonts w:hint="default" w:ascii="Times New Roman" w:hAnsi="Times New Roman" w:cs="Times New Roman"/>
          <w:b/>
          <w:bCs/>
          <w:color w:val="000000" w:themeColor="text1"/>
          <w:szCs w:val="21"/>
          <w14:textFill>
            <w14:solidFill>
              <w14:schemeClr w14:val="tx1"/>
            </w14:solidFill>
          </w14:textFill>
        </w:rPr>
      </w:pPr>
    </w:p>
    <w:p w14:paraId="1A6006A5">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lang w:val="zh-CN"/>
          <w14:textFill>
            <w14:solidFill>
              <w14:schemeClr w14:val="tx1"/>
            </w14:solidFill>
          </w14:textFill>
        </w:rPr>
        <w:br w:type="page"/>
      </w:r>
      <w:r>
        <w:rPr>
          <w:rFonts w:hint="default" w:ascii="Times New Roman" w:hAnsi="Times New Roman" w:cs="Times New Roman"/>
          <w:b/>
          <w:color w:val="000000" w:themeColor="text1"/>
          <w:szCs w:val="21"/>
          <w14:textFill>
            <w14:solidFill>
              <w14:schemeClr w14:val="tx1"/>
            </w14:solidFill>
          </w14:textFill>
        </w:rPr>
        <w:t>附件十二、无重大违法记录声明格式</w:t>
      </w:r>
    </w:p>
    <w:p w14:paraId="7110C9DD">
      <w:pPr>
        <w:spacing w:line="360" w:lineRule="auto"/>
        <w:jc w:val="center"/>
        <w:rPr>
          <w:rFonts w:hint="default" w:ascii="Times New Roman" w:hAnsi="Times New Roman" w:cs="Times New Roman"/>
          <w:color w:val="000000" w:themeColor="text1"/>
          <w:szCs w:val="21"/>
          <w14:textFill>
            <w14:solidFill>
              <w14:schemeClr w14:val="tx1"/>
            </w14:solidFill>
          </w14:textFill>
        </w:rPr>
      </w:pPr>
    </w:p>
    <w:p w14:paraId="1B14DD69">
      <w:pPr>
        <w:spacing w:line="360" w:lineRule="auto"/>
        <w:jc w:val="cente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无重大违法记录声明</w:t>
      </w:r>
    </w:p>
    <w:p w14:paraId="6BC0805E">
      <w:pPr>
        <w:spacing w:line="360" w:lineRule="auto"/>
        <w:rPr>
          <w:rFonts w:hint="default" w:ascii="Times New Roman" w:hAnsi="Times New Roman" w:cs="Times New Roman"/>
          <w:color w:val="000000" w:themeColor="text1"/>
          <w:szCs w:val="21"/>
          <w14:textFill>
            <w14:solidFill>
              <w14:schemeClr w14:val="tx1"/>
            </w14:solidFill>
          </w14:textFill>
        </w:rPr>
      </w:pPr>
    </w:p>
    <w:p w14:paraId="2E6BA5E9">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江苏省设备成套股份有限公司：</w:t>
      </w:r>
    </w:p>
    <w:p w14:paraId="4C91D906">
      <w:pPr>
        <w:spacing w:line="360" w:lineRule="auto"/>
        <w:rPr>
          <w:rFonts w:hint="default" w:ascii="Times New Roman" w:hAnsi="Times New Roman" w:cs="Times New Roman"/>
          <w:color w:val="000000" w:themeColor="text1"/>
          <w:szCs w:val="21"/>
          <w14:textFill>
            <w14:solidFill>
              <w14:schemeClr w14:val="tx1"/>
            </w14:solidFill>
          </w14:textFill>
        </w:rPr>
      </w:pPr>
    </w:p>
    <w:p w14:paraId="742DE1A1">
      <w:pPr>
        <w:spacing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我单位</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（供应商名称）郑重声明：</w:t>
      </w:r>
    </w:p>
    <w:p w14:paraId="2557C08B">
      <w:pPr>
        <w:spacing w:line="360" w:lineRule="auto"/>
        <w:ind w:firstLine="420" w:firstLineChars="20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参加政府采购活动前3年内在经营活动中</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（在下划线上如实填写：有或没有）重大违法记录。</w:t>
      </w:r>
    </w:p>
    <w:p w14:paraId="77BC1CE1">
      <w:pPr>
        <w:spacing w:line="360" w:lineRule="auto"/>
        <w:ind w:firstLine="315" w:firstLineChars="15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（说明：政府采购法第二十二条第一款第五项所称重大违法记录，是指供应商因违法经营受到刑事处罚或者责令停产停业、吊销许可证或者执照、较大数额罚款等行政处罚。）</w:t>
      </w:r>
    </w:p>
    <w:p w14:paraId="2D57981F">
      <w:pPr>
        <w:spacing w:line="360" w:lineRule="auto"/>
        <w:rPr>
          <w:rFonts w:hint="default" w:ascii="Times New Roman" w:hAnsi="Times New Roman" w:cs="Times New Roman"/>
          <w:color w:val="000000" w:themeColor="text1"/>
          <w:szCs w:val="21"/>
          <w14:textFill>
            <w14:solidFill>
              <w14:schemeClr w14:val="tx1"/>
            </w14:solidFill>
          </w14:textFill>
        </w:rPr>
      </w:pPr>
    </w:p>
    <w:p w14:paraId="1A9AACE3">
      <w:pPr>
        <w:spacing w:line="360" w:lineRule="auto"/>
        <w:rPr>
          <w:rFonts w:hint="default" w:ascii="Times New Roman" w:hAnsi="Times New Roman" w:cs="Times New Roman"/>
          <w:color w:val="000000" w:themeColor="text1"/>
          <w:szCs w:val="21"/>
          <w14:textFill>
            <w14:solidFill>
              <w14:schemeClr w14:val="tx1"/>
            </w14:solidFill>
          </w14:textFill>
        </w:rPr>
      </w:pPr>
    </w:p>
    <w:p w14:paraId="740911B2">
      <w:pPr>
        <w:spacing w:line="360" w:lineRule="auto"/>
        <w:ind w:firstLine="4935" w:firstLineChars="235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snapToGrid w:val="0"/>
          <w:color w:val="000000" w:themeColor="text1"/>
          <w:kern w:val="0"/>
          <w:szCs w:val="21"/>
          <w14:textFill>
            <w14:solidFill>
              <w14:schemeClr w14:val="tx1"/>
            </w14:solidFill>
          </w14:textFill>
        </w:rPr>
        <w:t>投标单位（电子签章）：</w:t>
      </w:r>
    </w:p>
    <w:p w14:paraId="726512C5">
      <w:pPr>
        <w:autoSpaceDE w:val="0"/>
        <w:autoSpaceDN w:val="0"/>
        <w:adjustRightInd w:val="0"/>
        <w:spacing w:line="360" w:lineRule="auto"/>
        <w:jc w:val="lef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日        期：        年    月    </w:t>
      </w:r>
      <w:r>
        <w:rPr>
          <w:rFonts w:hint="default" w:ascii="Times New Roman" w:hAnsi="Times New Roman" w:cs="Times New Roman"/>
          <w:b/>
          <w:color w:val="000000" w:themeColor="text1"/>
          <w:szCs w:val="21"/>
          <w:lang w:val="zh-CN"/>
          <w14:textFill>
            <w14:solidFill>
              <w14:schemeClr w14:val="tx1"/>
            </w14:solidFill>
          </w14:textFill>
        </w:rPr>
        <w:br w:type="page"/>
      </w:r>
      <w:r>
        <w:rPr>
          <w:rFonts w:hint="default" w:ascii="Times New Roman" w:hAnsi="Times New Roman" w:cs="Times New Roman"/>
          <w:b/>
          <w:color w:val="000000" w:themeColor="text1"/>
          <w:szCs w:val="21"/>
          <w14:textFill>
            <w14:solidFill>
              <w14:schemeClr w14:val="tx1"/>
            </w14:solidFill>
          </w14:textFill>
        </w:rPr>
        <w:t>附件十三、资格资信证明文件</w:t>
      </w:r>
    </w:p>
    <w:p w14:paraId="59FD999F">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p>
    <w:p w14:paraId="2E3C3D4A">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p>
    <w:p w14:paraId="2391915E">
      <w:pPr>
        <w:autoSpaceDE w:val="0"/>
        <w:autoSpaceDN w:val="0"/>
        <w:adjustRightInd w:val="0"/>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附件十四、 其他</w:t>
      </w:r>
    </w:p>
    <w:p w14:paraId="742387FA">
      <w:pPr>
        <w:spacing w:line="360" w:lineRule="auto"/>
        <w:rPr>
          <w:rFonts w:hint="default" w:ascii="Times New Roman" w:hAnsi="Times New Roman" w:cs="Times New Roman"/>
          <w:color w:val="000000" w:themeColor="text1"/>
          <w:szCs w:val="21"/>
          <w14:textFill>
            <w14:solidFill>
              <w14:schemeClr w14:val="tx1"/>
            </w14:solidFill>
          </w14:textFill>
        </w:rPr>
      </w:pPr>
    </w:p>
    <w:p w14:paraId="3C75609E">
      <w:pPr>
        <w:widowControl/>
        <w:shd w:val="clear" w:color="auto" w:fill="FFFFFF"/>
        <w:spacing w:line="360" w:lineRule="auto"/>
        <w:jc w:val="left"/>
        <w:rPr>
          <w:rFonts w:hint="default" w:ascii="Times New Roman" w:hAnsi="Times New Roman" w:cs="Times New Roman"/>
          <w:b/>
          <w:color w:val="000000" w:themeColor="text1"/>
          <w:szCs w:val="21"/>
          <w14:textFill>
            <w14:solidFill>
              <w14:schemeClr w14:val="tx1"/>
            </w14:solidFill>
          </w14:textFill>
        </w:rPr>
      </w:pPr>
    </w:p>
    <w:p w14:paraId="6A176C61">
      <w:pPr>
        <w:rPr>
          <w:rFonts w:hint="default" w:ascii="Times New Roman" w:hAnsi="Times New Roman" w:cs="Times New Roman"/>
          <w:color w:val="000000" w:themeColor="text1"/>
          <w14:textFill>
            <w14:solidFill>
              <w14:schemeClr w14:val="tx1"/>
            </w14:solidFill>
          </w14:textFill>
        </w:rPr>
      </w:pPr>
    </w:p>
    <w:p w14:paraId="078E213B">
      <w:pPr>
        <w:rPr>
          <w:rFonts w:hint="default" w:ascii="Times New Roman" w:hAnsi="Times New Roman" w:cs="Times New Roman"/>
          <w:color w:val="000000" w:themeColor="text1"/>
          <w14:textFill>
            <w14:solidFill>
              <w14:schemeClr w14:val="tx1"/>
            </w14:solidFill>
          </w14:textFill>
        </w:rPr>
      </w:pPr>
    </w:p>
    <w:p w14:paraId="5D0662BF">
      <w:pPr>
        <w:rPr>
          <w:rFonts w:hint="default" w:ascii="Times New Roman" w:hAnsi="Times New Roman" w:cs="Times New Roman"/>
          <w:color w:val="000000" w:themeColor="text1"/>
          <w14:textFill>
            <w14:solidFill>
              <w14:schemeClr w14:val="tx1"/>
            </w14:solidFill>
          </w14:textFill>
        </w:rPr>
      </w:pPr>
    </w:p>
    <w:p w14:paraId="58CBF6F7">
      <w:pPr>
        <w:rPr>
          <w:rFonts w:hint="default" w:ascii="Times New Roman" w:hAnsi="Times New Roman" w:cs="Times New Roman"/>
          <w:color w:val="000000" w:themeColor="text1"/>
          <w14:textFill>
            <w14:solidFill>
              <w14:schemeClr w14:val="tx1"/>
            </w14:solidFill>
          </w14:textFill>
        </w:rPr>
      </w:pPr>
    </w:p>
    <w:p w14:paraId="5F3652FA">
      <w:pPr>
        <w:rPr>
          <w:rFonts w:hint="default" w:ascii="Times New Roman" w:hAnsi="Times New Roman" w:cs="Times New Roman"/>
          <w:color w:val="000000" w:themeColor="text1"/>
          <w14:textFill>
            <w14:solidFill>
              <w14:schemeClr w14:val="tx1"/>
            </w14:solidFill>
          </w14:textFill>
        </w:rPr>
      </w:pPr>
    </w:p>
    <w:p w14:paraId="723D80F8">
      <w:pPr>
        <w:rPr>
          <w:rFonts w:hint="default" w:ascii="Times New Roman" w:hAnsi="Times New Roman" w:cs="Times New Roman"/>
          <w:color w:val="000000" w:themeColor="text1"/>
          <w14:textFill>
            <w14:solidFill>
              <w14:schemeClr w14:val="tx1"/>
            </w14:solidFill>
          </w14:textFill>
        </w:rPr>
      </w:pPr>
    </w:p>
    <w:p w14:paraId="32AB8AE0">
      <w:pPr>
        <w:rPr>
          <w:rFonts w:hint="default" w:ascii="Times New Roman" w:hAnsi="Times New Roman" w:cs="Times New Roman"/>
          <w:color w:val="000000" w:themeColor="text1"/>
          <w14:textFill>
            <w14:solidFill>
              <w14:schemeClr w14:val="tx1"/>
            </w14:solidFill>
          </w14:textFill>
        </w:rPr>
      </w:pPr>
    </w:p>
    <w:p w14:paraId="13991ADC">
      <w:pPr>
        <w:rPr>
          <w:rFonts w:hint="default" w:ascii="Times New Roman" w:hAnsi="Times New Roman" w:cs="Times New Roman"/>
          <w:color w:val="000000" w:themeColor="text1"/>
          <w14:textFill>
            <w14:solidFill>
              <w14:schemeClr w14:val="tx1"/>
            </w14:solidFill>
          </w14:textFill>
        </w:rPr>
      </w:pPr>
    </w:p>
    <w:p w14:paraId="6251700C">
      <w:pPr>
        <w:rPr>
          <w:rFonts w:hint="default" w:ascii="Times New Roman" w:hAnsi="Times New Roman" w:cs="Times New Roman"/>
          <w:color w:val="000000" w:themeColor="text1"/>
          <w14:textFill>
            <w14:solidFill>
              <w14:schemeClr w14:val="tx1"/>
            </w14:solidFill>
          </w14:textFill>
        </w:rPr>
      </w:pPr>
    </w:p>
    <w:p w14:paraId="0CBA0F4A">
      <w:pPr>
        <w:rPr>
          <w:rFonts w:hint="default" w:ascii="Times New Roman" w:hAnsi="Times New Roman" w:cs="Times New Roman"/>
          <w:color w:val="000000" w:themeColor="text1"/>
          <w14:textFill>
            <w14:solidFill>
              <w14:schemeClr w14:val="tx1"/>
            </w14:solidFill>
          </w14:textFill>
        </w:rPr>
      </w:pPr>
    </w:p>
    <w:p w14:paraId="4595C40A">
      <w:pPr>
        <w:rPr>
          <w:rFonts w:hint="default" w:ascii="Times New Roman" w:hAnsi="Times New Roman" w:cs="Times New Roman"/>
          <w:color w:val="000000" w:themeColor="text1"/>
          <w14:textFill>
            <w14:solidFill>
              <w14:schemeClr w14:val="tx1"/>
            </w14:solidFill>
          </w14:textFill>
        </w:rPr>
      </w:pPr>
    </w:p>
    <w:p w14:paraId="65425CFD">
      <w:pPr>
        <w:rPr>
          <w:rFonts w:hint="default" w:ascii="Times New Roman" w:hAnsi="Times New Roman" w:cs="Times New Roman"/>
          <w:color w:val="000000" w:themeColor="text1"/>
          <w14:textFill>
            <w14:solidFill>
              <w14:schemeClr w14:val="tx1"/>
            </w14:solidFill>
          </w14:textFill>
        </w:rPr>
      </w:pPr>
    </w:p>
    <w:p w14:paraId="512206EC">
      <w:pPr>
        <w:rPr>
          <w:rFonts w:hint="default" w:ascii="Times New Roman" w:hAnsi="Times New Roman" w:cs="Times New Roman"/>
          <w:color w:val="000000" w:themeColor="text1"/>
          <w14:textFill>
            <w14:solidFill>
              <w14:schemeClr w14:val="tx1"/>
            </w14:solidFill>
          </w14:textFill>
        </w:rPr>
      </w:pPr>
    </w:p>
    <w:p w14:paraId="2F135A13">
      <w:pPr>
        <w:rPr>
          <w:rFonts w:hint="default" w:ascii="Times New Roman" w:hAnsi="Times New Roman" w:cs="Times New Roman"/>
          <w:color w:val="000000" w:themeColor="text1"/>
          <w14:textFill>
            <w14:solidFill>
              <w14:schemeClr w14:val="tx1"/>
            </w14:solidFill>
          </w14:textFill>
        </w:rPr>
      </w:pPr>
    </w:p>
    <w:p w14:paraId="2B6A4BA2">
      <w:pPr>
        <w:rPr>
          <w:rFonts w:hint="default" w:ascii="Times New Roman" w:hAnsi="Times New Roman" w:cs="Times New Roman"/>
          <w:color w:val="000000" w:themeColor="text1"/>
          <w14:textFill>
            <w14:solidFill>
              <w14:schemeClr w14:val="tx1"/>
            </w14:solidFill>
          </w14:textFill>
        </w:rPr>
      </w:pPr>
    </w:p>
    <w:p w14:paraId="004648CB">
      <w:pPr>
        <w:rPr>
          <w:rFonts w:hint="default" w:ascii="Times New Roman" w:hAnsi="Times New Roman" w:cs="Times New Roman"/>
          <w:color w:val="000000" w:themeColor="text1"/>
          <w14:textFill>
            <w14:solidFill>
              <w14:schemeClr w14:val="tx1"/>
            </w14:solidFill>
          </w14:textFill>
        </w:rPr>
      </w:pPr>
    </w:p>
    <w:p w14:paraId="29E497DB">
      <w:pPr>
        <w:rPr>
          <w:rFonts w:hint="default" w:ascii="Times New Roman" w:hAnsi="Times New Roman" w:cs="Times New Roman"/>
          <w:color w:val="000000" w:themeColor="text1"/>
          <w14:textFill>
            <w14:solidFill>
              <w14:schemeClr w14:val="tx1"/>
            </w14:solidFill>
          </w14:textFill>
        </w:rPr>
      </w:pPr>
    </w:p>
    <w:p w14:paraId="6AA51C80">
      <w:pPr>
        <w:rPr>
          <w:rFonts w:hint="default" w:ascii="Times New Roman" w:hAnsi="Times New Roman" w:cs="Times New Roman"/>
          <w:color w:val="000000" w:themeColor="text1"/>
          <w14:textFill>
            <w14:solidFill>
              <w14:schemeClr w14:val="tx1"/>
            </w14:solidFill>
          </w14:textFill>
        </w:rPr>
      </w:pPr>
    </w:p>
    <w:p w14:paraId="0227F9C4">
      <w:pPr>
        <w:rPr>
          <w:rFonts w:hint="default" w:ascii="Times New Roman" w:hAnsi="Times New Roman" w:cs="Times New Roman"/>
          <w:color w:val="000000" w:themeColor="text1"/>
          <w14:textFill>
            <w14:solidFill>
              <w14:schemeClr w14:val="tx1"/>
            </w14:solidFill>
          </w14:textFill>
        </w:rPr>
      </w:pPr>
    </w:p>
    <w:p w14:paraId="6FE26EE1">
      <w:pPr>
        <w:jc w:val="center"/>
        <w:rPr>
          <w:rFonts w:hint="default" w:ascii="Times New Roman" w:hAnsi="Times New Roman" w:cs="Times New Roman"/>
          <w:color w:val="000000" w:themeColor="text1"/>
          <w14:textFill>
            <w14:solidFill>
              <w14:schemeClr w14:val="tx1"/>
            </w14:solidFill>
          </w14:textFill>
        </w:rPr>
      </w:pPr>
    </w:p>
    <w:sectPr>
      <w:footerReference r:id="rId9" w:type="first"/>
      <w:footerReference r:id="rId8" w:type="default"/>
      <w:pgSz w:w="11906" w:h="16838"/>
      <w:pgMar w:top="1440" w:right="1800" w:bottom="1440" w:left="1800" w:header="907" w:footer="567"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algun Gothic">
    <w:panose1 w:val="020B0503020000020004"/>
    <w:charset w:val="81"/>
    <w:family w:val="swiss"/>
    <w:pitch w:val="default"/>
    <w:sig w:usb0="9000002F" w:usb1="29D77CFB" w:usb2="00000012" w:usb3="00000000" w:csb0="00080001"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KNLe">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8355727"/>
    </w:sdtPr>
    <w:sdtContent>
      <w:sdt>
        <w:sdtPr>
          <w:id w:val="1728636285"/>
        </w:sdtPr>
        <w:sdtContent>
          <w:p w14:paraId="1F19683A">
            <w:pPr>
              <w:pStyle w:val="2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63</w:t>
            </w:r>
            <w:r>
              <w:rPr>
                <w:b/>
                <w:bCs/>
                <w:sz w:val="24"/>
                <w:szCs w:val="24"/>
              </w:rPr>
              <w:fldChar w:fldCharType="end"/>
            </w:r>
          </w:p>
        </w:sdtContent>
      </w:sdt>
    </w:sdtContent>
  </w:sdt>
  <w:p w14:paraId="6DC16B5B">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6981555"/>
    </w:sdtPr>
    <w:sdtContent>
      <w:sdt>
        <w:sdtPr>
          <w:id w:val="-1407994486"/>
        </w:sdtPr>
        <w:sdtContent>
          <w:p w14:paraId="58D148E8">
            <w:pPr>
              <w:pStyle w:val="2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63</w:t>
            </w:r>
            <w:r>
              <w:rPr>
                <w:b/>
                <w:bCs/>
                <w:sz w:val="24"/>
                <w:szCs w:val="24"/>
              </w:rPr>
              <w:fldChar w:fldCharType="end"/>
            </w:r>
          </w:p>
        </w:sdtContent>
      </w:sdt>
    </w:sdtContent>
  </w:sdt>
  <w:p w14:paraId="2A9565B3">
    <w:pPr>
      <w:pStyle w:val="2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2871176"/>
    </w:sdtPr>
    <w:sdtContent>
      <w:sdt>
        <w:sdtPr>
          <w:id w:val="44731622"/>
        </w:sdtPr>
        <w:sdtContent>
          <w:p w14:paraId="3057C8F2">
            <w:pPr>
              <w:pStyle w:val="2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55</w:t>
            </w:r>
            <w:r>
              <w:rPr>
                <w:b/>
                <w:bCs/>
                <w:sz w:val="24"/>
                <w:szCs w:val="24"/>
              </w:rPr>
              <w:fldChar w:fldCharType="end"/>
            </w:r>
          </w:p>
        </w:sdtContent>
      </w:sdt>
    </w:sdtContent>
  </w:sdt>
  <w:p w14:paraId="4D517C6B">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A9283">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A3CC7">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75BFC7"/>
    <w:multiLevelType w:val="singleLevel"/>
    <w:tmpl w:val="9875BFC7"/>
    <w:lvl w:ilvl="0" w:tentative="0">
      <w:start w:val="1"/>
      <w:numFmt w:val="decimal"/>
      <w:suff w:val="nothing"/>
      <w:lvlText w:val="（%1）"/>
      <w:lvlJc w:val="left"/>
      <w:pPr>
        <w:ind w:left="0" w:firstLine="0"/>
      </w:pPr>
    </w:lvl>
  </w:abstractNum>
  <w:abstractNum w:abstractNumId="1">
    <w:nsid w:val="FCCB4592"/>
    <w:multiLevelType w:val="singleLevel"/>
    <w:tmpl w:val="FCCB4592"/>
    <w:lvl w:ilvl="0" w:tentative="0">
      <w:start w:val="4"/>
      <w:numFmt w:val="chineseCounting"/>
      <w:suff w:val="space"/>
      <w:lvlText w:val="第%1章"/>
      <w:lvlJc w:val="left"/>
      <w:rPr>
        <w:rFonts w:hint="eastAsia"/>
      </w:rPr>
    </w:lvl>
  </w:abstractNum>
  <w:abstractNum w:abstractNumId="2">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3">
    <w:nsid w:val="00000028"/>
    <w:multiLevelType w:val="multilevel"/>
    <w:tmpl w:val="00000028"/>
    <w:lvl w:ilvl="0" w:tentative="0">
      <w:start w:val="1"/>
      <w:numFmt w:val="decimal"/>
      <w:lvlText w:val="（%1）"/>
      <w:lvlJc w:val="right"/>
      <w:pPr>
        <w:tabs>
          <w:tab w:val="left" w:pos="0"/>
        </w:tabs>
        <w:ind w:left="420" w:hanging="420"/>
      </w:pPr>
    </w:lvl>
    <w:lvl w:ilvl="1" w:tentative="0">
      <w:start w:val="1"/>
      <w:numFmt w:val="lowerLetter"/>
      <w:lvlText w:val="%2)"/>
      <w:lvlJc w:val="left"/>
      <w:pPr>
        <w:tabs>
          <w:tab w:val="left" w:pos="0"/>
        </w:tabs>
        <w:ind w:left="1408" w:hanging="420"/>
      </w:pPr>
    </w:lvl>
    <w:lvl w:ilvl="2" w:tentative="0">
      <w:start w:val="1"/>
      <w:numFmt w:val="lowerRoman"/>
      <w:lvlText w:val="%3."/>
      <w:lvlJc w:val="right"/>
      <w:pPr>
        <w:tabs>
          <w:tab w:val="left" w:pos="0"/>
        </w:tabs>
        <w:ind w:left="1828" w:hanging="420"/>
      </w:pPr>
    </w:lvl>
    <w:lvl w:ilvl="3" w:tentative="0">
      <w:start w:val="1"/>
      <w:numFmt w:val="decimal"/>
      <w:lvlText w:val="%4."/>
      <w:lvlJc w:val="left"/>
      <w:pPr>
        <w:tabs>
          <w:tab w:val="left" w:pos="0"/>
        </w:tabs>
        <w:ind w:left="2248" w:hanging="420"/>
      </w:pPr>
    </w:lvl>
    <w:lvl w:ilvl="4" w:tentative="0">
      <w:start w:val="1"/>
      <w:numFmt w:val="lowerLetter"/>
      <w:lvlText w:val="%5)"/>
      <w:lvlJc w:val="left"/>
      <w:pPr>
        <w:tabs>
          <w:tab w:val="left" w:pos="0"/>
        </w:tabs>
        <w:ind w:left="2668" w:hanging="420"/>
      </w:pPr>
    </w:lvl>
    <w:lvl w:ilvl="5" w:tentative="0">
      <w:start w:val="1"/>
      <w:numFmt w:val="lowerRoman"/>
      <w:lvlText w:val="%6."/>
      <w:lvlJc w:val="right"/>
      <w:pPr>
        <w:tabs>
          <w:tab w:val="left" w:pos="0"/>
        </w:tabs>
        <w:ind w:left="3088" w:hanging="420"/>
      </w:pPr>
    </w:lvl>
    <w:lvl w:ilvl="6" w:tentative="0">
      <w:start w:val="1"/>
      <w:numFmt w:val="decimal"/>
      <w:lvlText w:val="%7."/>
      <w:lvlJc w:val="left"/>
      <w:pPr>
        <w:tabs>
          <w:tab w:val="left" w:pos="0"/>
        </w:tabs>
        <w:ind w:left="3508" w:hanging="420"/>
      </w:pPr>
    </w:lvl>
    <w:lvl w:ilvl="7" w:tentative="0">
      <w:start w:val="1"/>
      <w:numFmt w:val="lowerLetter"/>
      <w:lvlText w:val="%8)"/>
      <w:lvlJc w:val="left"/>
      <w:pPr>
        <w:tabs>
          <w:tab w:val="left" w:pos="0"/>
        </w:tabs>
        <w:ind w:left="3928" w:hanging="420"/>
      </w:pPr>
    </w:lvl>
    <w:lvl w:ilvl="8" w:tentative="0">
      <w:start w:val="1"/>
      <w:numFmt w:val="lowerRoman"/>
      <w:lvlText w:val="%9."/>
      <w:lvlJc w:val="right"/>
      <w:pPr>
        <w:tabs>
          <w:tab w:val="left" w:pos="0"/>
        </w:tabs>
        <w:ind w:left="4348" w:hanging="420"/>
      </w:pPr>
    </w:lvl>
  </w:abstractNum>
  <w:abstractNum w:abstractNumId="4">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28"/>
        </w:tabs>
        <w:ind w:left="928"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5">
    <w:nsid w:val="130A2188"/>
    <w:multiLevelType w:val="multilevel"/>
    <w:tmpl w:val="130A2188"/>
    <w:lvl w:ilvl="0" w:tentative="0">
      <w:start w:val="1"/>
      <w:numFmt w:val="chineseCountingThousand"/>
      <w:pStyle w:val="124"/>
      <w:lvlText w:val="%1"/>
      <w:lvlJc w:val="left"/>
      <w:pPr>
        <w:ind w:left="425" w:hanging="425"/>
      </w:pPr>
      <w:rPr>
        <w:rFonts w:hint="eastAsia" w:ascii="Arial Unicode MS" w:hAnsi="Arial Unicode MS" w:eastAsia="微软雅黑"/>
        <w:b/>
        <w:i w:val="0"/>
        <w:lang w:val="en-US"/>
      </w:rPr>
    </w:lvl>
    <w:lvl w:ilvl="1" w:tentative="0">
      <w:start w:val="1"/>
      <w:numFmt w:val="decimal"/>
      <w:pStyle w:val="126"/>
      <w:isLgl/>
      <w:lvlText w:val="%1.%2"/>
      <w:lvlJc w:val="left"/>
      <w:pPr>
        <w:ind w:left="425" w:hanging="425"/>
      </w:pPr>
      <w:rPr>
        <w:rFonts w:hint="eastAsia" w:ascii="Arial Unicode MS" w:hAnsi="Arial Unicode MS" w:eastAsia="微软雅黑"/>
        <w:b/>
        <w:i w:val="0"/>
      </w:rPr>
    </w:lvl>
    <w:lvl w:ilvl="2" w:tentative="0">
      <w:start w:val="1"/>
      <w:numFmt w:val="decimal"/>
      <w:pStyle w:val="20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lvl>
    <w:lvl w:ilvl="6" w:tentative="0">
      <w:start w:val="1"/>
      <w:numFmt w:val="decimal"/>
      <w:lvlText w:val="%1.%2.%3.%4.%5.%6.%7"/>
      <w:lvlJc w:val="left"/>
      <w:pPr>
        <w:ind w:left="425" w:hanging="425"/>
      </w:pPr>
    </w:lvl>
    <w:lvl w:ilvl="7" w:tentative="0">
      <w:start w:val="1"/>
      <w:numFmt w:val="decimal"/>
      <w:lvlText w:val="%1.%2.%3.%4.%5.%6.%7.%8"/>
      <w:lvlJc w:val="left"/>
      <w:pPr>
        <w:ind w:left="425" w:hanging="425"/>
      </w:pPr>
    </w:lvl>
    <w:lvl w:ilvl="8" w:tentative="0">
      <w:start w:val="1"/>
      <w:numFmt w:val="decimal"/>
      <w:lvlText w:val="%1.%2.%3.%4.%5.%6.%7.%8.%9"/>
      <w:lvlJc w:val="left"/>
      <w:pPr>
        <w:ind w:left="425" w:hanging="425"/>
      </w:pPr>
    </w:lvl>
  </w:abstractNum>
  <w:abstractNum w:abstractNumId="6">
    <w:nsid w:val="49FD3DA1"/>
    <w:multiLevelType w:val="multilevel"/>
    <w:tmpl w:val="49FD3DA1"/>
    <w:lvl w:ilvl="0" w:tentative="0">
      <w:start w:val="1"/>
      <w:numFmt w:val="decimal"/>
      <w:lvlText w:val="%1、"/>
      <w:lvlJc w:val="left"/>
      <w:pPr>
        <w:ind w:left="1290" w:hanging="360"/>
      </w:pPr>
    </w:lvl>
    <w:lvl w:ilvl="1" w:tentative="0">
      <w:start w:val="1"/>
      <w:numFmt w:val="lowerLetter"/>
      <w:lvlText w:val="%2)"/>
      <w:lvlJc w:val="left"/>
      <w:pPr>
        <w:ind w:left="1770" w:hanging="420"/>
      </w:pPr>
    </w:lvl>
    <w:lvl w:ilvl="2" w:tentative="0">
      <w:start w:val="1"/>
      <w:numFmt w:val="lowerRoman"/>
      <w:lvlText w:val="%3."/>
      <w:lvlJc w:val="right"/>
      <w:pPr>
        <w:ind w:left="2190" w:hanging="420"/>
      </w:pPr>
    </w:lvl>
    <w:lvl w:ilvl="3" w:tentative="0">
      <w:start w:val="1"/>
      <w:numFmt w:val="decimal"/>
      <w:lvlText w:val="%4."/>
      <w:lvlJc w:val="left"/>
      <w:pPr>
        <w:ind w:left="2610" w:hanging="420"/>
      </w:pPr>
    </w:lvl>
    <w:lvl w:ilvl="4" w:tentative="0">
      <w:start w:val="1"/>
      <w:numFmt w:val="lowerLetter"/>
      <w:lvlText w:val="%5)"/>
      <w:lvlJc w:val="left"/>
      <w:pPr>
        <w:ind w:left="3030" w:hanging="420"/>
      </w:pPr>
    </w:lvl>
    <w:lvl w:ilvl="5" w:tentative="0">
      <w:start w:val="1"/>
      <w:numFmt w:val="lowerRoman"/>
      <w:lvlText w:val="%6."/>
      <w:lvlJc w:val="right"/>
      <w:pPr>
        <w:ind w:left="3450" w:hanging="420"/>
      </w:pPr>
    </w:lvl>
    <w:lvl w:ilvl="6" w:tentative="0">
      <w:start w:val="1"/>
      <w:numFmt w:val="decimal"/>
      <w:lvlText w:val="%7."/>
      <w:lvlJc w:val="left"/>
      <w:pPr>
        <w:ind w:left="3870" w:hanging="420"/>
      </w:pPr>
    </w:lvl>
    <w:lvl w:ilvl="7" w:tentative="0">
      <w:start w:val="1"/>
      <w:numFmt w:val="lowerLetter"/>
      <w:lvlText w:val="%8)"/>
      <w:lvlJc w:val="left"/>
      <w:pPr>
        <w:ind w:left="4290" w:hanging="420"/>
      </w:pPr>
    </w:lvl>
    <w:lvl w:ilvl="8" w:tentative="0">
      <w:start w:val="1"/>
      <w:numFmt w:val="lowerRoman"/>
      <w:lvlText w:val="%9."/>
      <w:lvlJc w:val="right"/>
      <w:pPr>
        <w:ind w:left="4710" w:hanging="420"/>
      </w:pPr>
    </w:lvl>
  </w:abstractNum>
  <w:abstractNum w:abstractNumId="7">
    <w:nsid w:val="5915610C"/>
    <w:multiLevelType w:val="singleLevel"/>
    <w:tmpl w:val="5915610C"/>
    <w:lvl w:ilvl="0" w:tentative="0">
      <w:start w:val="1"/>
      <w:numFmt w:val="decimal"/>
      <w:suff w:val="nothing"/>
      <w:lvlText w:val="%1、"/>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lvlOverride w:ilvl="0">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425"/>
  <w:drawingGridHorizontalSpacing w:val="105"/>
  <w:drawingGridVerticalSpacing w:val="156"/>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0YWEzZjhlM2FkNGUyNDA4MjA2NzZlNzVjYjQ1ZTQifQ=="/>
  </w:docVars>
  <w:rsids>
    <w:rsidRoot w:val="0057098D"/>
    <w:rsid w:val="000006F3"/>
    <w:rsid w:val="00002F9C"/>
    <w:rsid w:val="00007422"/>
    <w:rsid w:val="0001370A"/>
    <w:rsid w:val="00022695"/>
    <w:rsid w:val="00023E87"/>
    <w:rsid w:val="000251A5"/>
    <w:rsid w:val="00026890"/>
    <w:rsid w:val="00026943"/>
    <w:rsid w:val="000347F5"/>
    <w:rsid w:val="00041B94"/>
    <w:rsid w:val="00041D77"/>
    <w:rsid w:val="000422BC"/>
    <w:rsid w:val="00050AAC"/>
    <w:rsid w:val="000537AE"/>
    <w:rsid w:val="00053C72"/>
    <w:rsid w:val="000546ED"/>
    <w:rsid w:val="0005622A"/>
    <w:rsid w:val="00056917"/>
    <w:rsid w:val="00056DBD"/>
    <w:rsid w:val="00060D8C"/>
    <w:rsid w:val="00061711"/>
    <w:rsid w:val="00063EBC"/>
    <w:rsid w:val="00064E03"/>
    <w:rsid w:val="00071FAF"/>
    <w:rsid w:val="00077FF1"/>
    <w:rsid w:val="000819E1"/>
    <w:rsid w:val="000834FE"/>
    <w:rsid w:val="00084586"/>
    <w:rsid w:val="000849D7"/>
    <w:rsid w:val="00085BC5"/>
    <w:rsid w:val="0009178B"/>
    <w:rsid w:val="00091E51"/>
    <w:rsid w:val="000978C1"/>
    <w:rsid w:val="000A367C"/>
    <w:rsid w:val="000A416C"/>
    <w:rsid w:val="000A5C50"/>
    <w:rsid w:val="000A77FE"/>
    <w:rsid w:val="000A7D3D"/>
    <w:rsid w:val="000B1ED9"/>
    <w:rsid w:val="000B2DD8"/>
    <w:rsid w:val="000B2EBF"/>
    <w:rsid w:val="000B7578"/>
    <w:rsid w:val="000C4FD1"/>
    <w:rsid w:val="000C5540"/>
    <w:rsid w:val="000C6879"/>
    <w:rsid w:val="000C6A57"/>
    <w:rsid w:val="000D5660"/>
    <w:rsid w:val="000E0D08"/>
    <w:rsid w:val="000F09A6"/>
    <w:rsid w:val="000F3701"/>
    <w:rsid w:val="000F69C8"/>
    <w:rsid w:val="00100790"/>
    <w:rsid w:val="00100D83"/>
    <w:rsid w:val="001030DD"/>
    <w:rsid w:val="00104E58"/>
    <w:rsid w:val="00105B41"/>
    <w:rsid w:val="00112631"/>
    <w:rsid w:val="00113B1B"/>
    <w:rsid w:val="0011616D"/>
    <w:rsid w:val="001305C3"/>
    <w:rsid w:val="00132A0D"/>
    <w:rsid w:val="0013506F"/>
    <w:rsid w:val="001367AB"/>
    <w:rsid w:val="001368E4"/>
    <w:rsid w:val="0014036A"/>
    <w:rsid w:val="001431FA"/>
    <w:rsid w:val="00143E5F"/>
    <w:rsid w:val="00150E96"/>
    <w:rsid w:val="00153B8F"/>
    <w:rsid w:val="00154132"/>
    <w:rsid w:val="00157E18"/>
    <w:rsid w:val="00160603"/>
    <w:rsid w:val="00161938"/>
    <w:rsid w:val="00161B37"/>
    <w:rsid w:val="00170849"/>
    <w:rsid w:val="00172E78"/>
    <w:rsid w:val="00176518"/>
    <w:rsid w:val="00181C28"/>
    <w:rsid w:val="00181D32"/>
    <w:rsid w:val="001856D5"/>
    <w:rsid w:val="00185A0B"/>
    <w:rsid w:val="00191A17"/>
    <w:rsid w:val="00191DDD"/>
    <w:rsid w:val="00193F9D"/>
    <w:rsid w:val="001A1FE5"/>
    <w:rsid w:val="001A377B"/>
    <w:rsid w:val="001A4859"/>
    <w:rsid w:val="001A64FE"/>
    <w:rsid w:val="001B0259"/>
    <w:rsid w:val="001B3526"/>
    <w:rsid w:val="001B53AD"/>
    <w:rsid w:val="001C1DE2"/>
    <w:rsid w:val="001C20D5"/>
    <w:rsid w:val="001C53D2"/>
    <w:rsid w:val="001C646C"/>
    <w:rsid w:val="001E0510"/>
    <w:rsid w:val="001E19B2"/>
    <w:rsid w:val="001E6018"/>
    <w:rsid w:val="001E7086"/>
    <w:rsid w:val="001F07A1"/>
    <w:rsid w:val="001F3386"/>
    <w:rsid w:val="001F65D0"/>
    <w:rsid w:val="00201B8F"/>
    <w:rsid w:val="0020304A"/>
    <w:rsid w:val="00205843"/>
    <w:rsid w:val="002068C3"/>
    <w:rsid w:val="00213FCA"/>
    <w:rsid w:val="00216A90"/>
    <w:rsid w:val="002212DF"/>
    <w:rsid w:val="00227C0A"/>
    <w:rsid w:val="0023220B"/>
    <w:rsid w:val="002343F8"/>
    <w:rsid w:val="00236B19"/>
    <w:rsid w:val="00237A78"/>
    <w:rsid w:val="00241183"/>
    <w:rsid w:val="00246E07"/>
    <w:rsid w:val="00250A26"/>
    <w:rsid w:val="002615E5"/>
    <w:rsid w:val="00277270"/>
    <w:rsid w:val="00277705"/>
    <w:rsid w:val="00281180"/>
    <w:rsid w:val="002841C0"/>
    <w:rsid w:val="00291C3E"/>
    <w:rsid w:val="00292030"/>
    <w:rsid w:val="0029253A"/>
    <w:rsid w:val="00294E82"/>
    <w:rsid w:val="00296DE0"/>
    <w:rsid w:val="00297ADB"/>
    <w:rsid w:val="002A204B"/>
    <w:rsid w:val="002A3FC8"/>
    <w:rsid w:val="002A5B1B"/>
    <w:rsid w:val="002A61B9"/>
    <w:rsid w:val="002B203F"/>
    <w:rsid w:val="002B2FE1"/>
    <w:rsid w:val="002B3E52"/>
    <w:rsid w:val="002B531F"/>
    <w:rsid w:val="002B5491"/>
    <w:rsid w:val="002B7E7E"/>
    <w:rsid w:val="002C1BA5"/>
    <w:rsid w:val="002C3FD1"/>
    <w:rsid w:val="002D25DE"/>
    <w:rsid w:val="002D79D4"/>
    <w:rsid w:val="002E3EE0"/>
    <w:rsid w:val="002F363F"/>
    <w:rsid w:val="002F5292"/>
    <w:rsid w:val="003008B3"/>
    <w:rsid w:val="00303677"/>
    <w:rsid w:val="00304540"/>
    <w:rsid w:val="00305EDE"/>
    <w:rsid w:val="003111CF"/>
    <w:rsid w:val="00311B14"/>
    <w:rsid w:val="00311DA7"/>
    <w:rsid w:val="00311F69"/>
    <w:rsid w:val="00312712"/>
    <w:rsid w:val="00312D11"/>
    <w:rsid w:val="003139A9"/>
    <w:rsid w:val="00314398"/>
    <w:rsid w:val="00321F0B"/>
    <w:rsid w:val="00332767"/>
    <w:rsid w:val="003328C3"/>
    <w:rsid w:val="00332CC2"/>
    <w:rsid w:val="00332FB7"/>
    <w:rsid w:val="00335A5A"/>
    <w:rsid w:val="00342AFD"/>
    <w:rsid w:val="00345F56"/>
    <w:rsid w:val="00350EAE"/>
    <w:rsid w:val="003510CC"/>
    <w:rsid w:val="003519B1"/>
    <w:rsid w:val="0035634A"/>
    <w:rsid w:val="003572E3"/>
    <w:rsid w:val="00360FE9"/>
    <w:rsid w:val="00364889"/>
    <w:rsid w:val="00365489"/>
    <w:rsid w:val="00367770"/>
    <w:rsid w:val="00370849"/>
    <w:rsid w:val="003726D6"/>
    <w:rsid w:val="003745E0"/>
    <w:rsid w:val="00376D2F"/>
    <w:rsid w:val="00377B5B"/>
    <w:rsid w:val="003827C1"/>
    <w:rsid w:val="00384F6B"/>
    <w:rsid w:val="003858AD"/>
    <w:rsid w:val="003951B8"/>
    <w:rsid w:val="00395F2D"/>
    <w:rsid w:val="003A3CDA"/>
    <w:rsid w:val="003A4A66"/>
    <w:rsid w:val="003B40A9"/>
    <w:rsid w:val="003B676C"/>
    <w:rsid w:val="003D2402"/>
    <w:rsid w:val="003D3616"/>
    <w:rsid w:val="003D3F25"/>
    <w:rsid w:val="003D434C"/>
    <w:rsid w:val="003D471F"/>
    <w:rsid w:val="003E14A4"/>
    <w:rsid w:val="003E2464"/>
    <w:rsid w:val="003E380D"/>
    <w:rsid w:val="003E3CE5"/>
    <w:rsid w:val="003E7CC2"/>
    <w:rsid w:val="003F1B69"/>
    <w:rsid w:val="003F5761"/>
    <w:rsid w:val="00400C15"/>
    <w:rsid w:val="004017B3"/>
    <w:rsid w:val="00404954"/>
    <w:rsid w:val="00410623"/>
    <w:rsid w:val="00414B14"/>
    <w:rsid w:val="00417396"/>
    <w:rsid w:val="00417A9C"/>
    <w:rsid w:val="00420D20"/>
    <w:rsid w:val="004236D8"/>
    <w:rsid w:val="00423FC1"/>
    <w:rsid w:val="00425E33"/>
    <w:rsid w:val="00426028"/>
    <w:rsid w:val="00427E2D"/>
    <w:rsid w:val="004319F9"/>
    <w:rsid w:val="00433BA8"/>
    <w:rsid w:val="00433E45"/>
    <w:rsid w:val="00434E0D"/>
    <w:rsid w:val="004356D9"/>
    <w:rsid w:val="004363A1"/>
    <w:rsid w:val="00441A47"/>
    <w:rsid w:val="00441AEC"/>
    <w:rsid w:val="00446191"/>
    <w:rsid w:val="00450CAE"/>
    <w:rsid w:val="00452CEE"/>
    <w:rsid w:val="00454739"/>
    <w:rsid w:val="00456816"/>
    <w:rsid w:val="0046592A"/>
    <w:rsid w:val="004714C0"/>
    <w:rsid w:val="0047506B"/>
    <w:rsid w:val="00481911"/>
    <w:rsid w:val="00482B66"/>
    <w:rsid w:val="00483325"/>
    <w:rsid w:val="00483FC8"/>
    <w:rsid w:val="00484655"/>
    <w:rsid w:val="0048533E"/>
    <w:rsid w:val="004869E1"/>
    <w:rsid w:val="004928FB"/>
    <w:rsid w:val="0049323F"/>
    <w:rsid w:val="0049363E"/>
    <w:rsid w:val="004941EE"/>
    <w:rsid w:val="00494DC3"/>
    <w:rsid w:val="004A2246"/>
    <w:rsid w:val="004A2C28"/>
    <w:rsid w:val="004A58BF"/>
    <w:rsid w:val="004A5AAA"/>
    <w:rsid w:val="004C07A2"/>
    <w:rsid w:val="004C574E"/>
    <w:rsid w:val="004C72E8"/>
    <w:rsid w:val="004D6824"/>
    <w:rsid w:val="004D7C29"/>
    <w:rsid w:val="004E04F1"/>
    <w:rsid w:val="004E0A04"/>
    <w:rsid w:val="004E5018"/>
    <w:rsid w:val="004F10AA"/>
    <w:rsid w:val="004F2610"/>
    <w:rsid w:val="004F4A2A"/>
    <w:rsid w:val="004F5105"/>
    <w:rsid w:val="004F7711"/>
    <w:rsid w:val="004F7D44"/>
    <w:rsid w:val="004F7D8A"/>
    <w:rsid w:val="00502769"/>
    <w:rsid w:val="005054DE"/>
    <w:rsid w:val="00505C88"/>
    <w:rsid w:val="00507EE8"/>
    <w:rsid w:val="00512225"/>
    <w:rsid w:val="00512A2C"/>
    <w:rsid w:val="00515873"/>
    <w:rsid w:val="00516C1D"/>
    <w:rsid w:val="00516FEC"/>
    <w:rsid w:val="005173F6"/>
    <w:rsid w:val="00517602"/>
    <w:rsid w:val="0052128D"/>
    <w:rsid w:val="005218FA"/>
    <w:rsid w:val="00521CB8"/>
    <w:rsid w:val="0052617E"/>
    <w:rsid w:val="00526342"/>
    <w:rsid w:val="00536037"/>
    <w:rsid w:val="00536726"/>
    <w:rsid w:val="005368AD"/>
    <w:rsid w:val="00541959"/>
    <w:rsid w:val="00546552"/>
    <w:rsid w:val="00553739"/>
    <w:rsid w:val="00553E79"/>
    <w:rsid w:val="00556A55"/>
    <w:rsid w:val="00556DE4"/>
    <w:rsid w:val="00563ADD"/>
    <w:rsid w:val="00564EBD"/>
    <w:rsid w:val="0057098D"/>
    <w:rsid w:val="00571AA6"/>
    <w:rsid w:val="0057446F"/>
    <w:rsid w:val="005747F8"/>
    <w:rsid w:val="00575BE3"/>
    <w:rsid w:val="00577F37"/>
    <w:rsid w:val="00581C9E"/>
    <w:rsid w:val="0058352E"/>
    <w:rsid w:val="00583E2D"/>
    <w:rsid w:val="005944D0"/>
    <w:rsid w:val="00594C66"/>
    <w:rsid w:val="005A1A07"/>
    <w:rsid w:val="005A48F6"/>
    <w:rsid w:val="005A57F0"/>
    <w:rsid w:val="005A5F7D"/>
    <w:rsid w:val="005B1A80"/>
    <w:rsid w:val="005B2048"/>
    <w:rsid w:val="005B619A"/>
    <w:rsid w:val="005B74B2"/>
    <w:rsid w:val="005C2724"/>
    <w:rsid w:val="005C5639"/>
    <w:rsid w:val="005D1ACC"/>
    <w:rsid w:val="005D31AC"/>
    <w:rsid w:val="005E167A"/>
    <w:rsid w:val="005E344F"/>
    <w:rsid w:val="005E3E49"/>
    <w:rsid w:val="005E4450"/>
    <w:rsid w:val="005E63EA"/>
    <w:rsid w:val="005F090A"/>
    <w:rsid w:val="005F2394"/>
    <w:rsid w:val="005F5EA4"/>
    <w:rsid w:val="005F6B0D"/>
    <w:rsid w:val="005F7202"/>
    <w:rsid w:val="005F75CE"/>
    <w:rsid w:val="00600334"/>
    <w:rsid w:val="00601A93"/>
    <w:rsid w:val="0060293C"/>
    <w:rsid w:val="00610F1B"/>
    <w:rsid w:val="00613E3B"/>
    <w:rsid w:val="00616547"/>
    <w:rsid w:val="00623A15"/>
    <w:rsid w:val="0062436E"/>
    <w:rsid w:val="006247F2"/>
    <w:rsid w:val="00632DF9"/>
    <w:rsid w:val="00633397"/>
    <w:rsid w:val="00634ACD"/>
    <w:rsid w:val="006369D9"/>
    <w:rsid w:val="00637AEA"/>
    <w:rsid w:val="006433D8"/>
    <w:rsid w:val="006461D3"/>
    <w:rsid w:val="00646357"/>
    <w:rsid w:val="006471A1"/>
    <w:rsid w:val="00647698"/>
    <w:rsid w:val="006614DE"/>
    <w:rsid w:val="00661882"/>
    <w:rsid w:val="00662898"/>
    <w:rsid w:val="00664267"/>
    <w:rsid w:val="00664593"/>
    <w:rsid w:val="0066518A"/>
    <w:rsid w:val="006656BE"/>
    <w:rsid w:val="00672E41"/>
    <w:rsid w:val="00674ED4"/>
    <w:rsid w:val="0067734F"/>
    <w:rsid w:val="0067798D"/>
    <w:rsid w:val="00681ABA"/>
    <w:rsid w:val="00682BF6"/>
    <w:rsid w:val="00683EF1"/>
    <w:rsid w:val="0068433D"/>
    <w:rsid w:val="0068681B"/>
    <w:rsid w:val="00686EAB"/>
    <w:rsid w:val="006912CA"/>
    <w:rsid w:val="006937E6"/>
    <w:rsid w:val="00693B4C"/>
    <w:rsid w:val="00693CD1"/>
    <w:rsid w:val="00693EFC"/>
    <w:rsid w:val="00696494"/>
    <w:rsid w:val="006967D2"/>
    <w:rsid w:val="006976C8"/>
    <w:rsid w:val="006A3B9D"/>
    <w:rsid w:val="006A4CC5"/>
    <w:rsid w:val="006B17BA"/>
    <w:rsid w:val="006C178B"/>
    <w:rsid w:val="006C21D9"/>
    <w:rsid w:val="006C361F"/>
    <w:rsid w:val="006C4B45"/>
    <w:rsid w:val="006C52E9"/>
    <w:rsid w:val="006C6822"/>
    <w:rsid w:val="006C7769"/>
    <w:rsid w:val="006D233A"/>
    <w:rsid w:val="006D2CB6"/>
    <w:rsid w:val="006D52E4"/>
    <w:rsid w:val="006D5BC7"/>
    <w:rsid w:val="006D63C6"/>
    <w:rsid w:val="006E2000"/>
    <w:rsid w:val="006E275D"/>
    <w:rsid w:val="006F0199"/>
    <w:rsid w:val="006F2A7B"/>
    <w:rsid w:val="006F2D80"/>
    <w:rsid w:val="006F71B9"/>
    <w:rsid w:val="00704882"/>
    <w:rsid w:val="007107B4"/>
    <w:rsid w:val="0071102F"/>
    <w:rsid w:val="00712895"/>
    <w:rsid w:val="00713EA2"/>
    <w:rsid w:val="0072028B"/>
    <w:rsid w:val="00720528"/>
    <w:rsid w:val="007244A6"/>
    <w:rsid w:val="00726C77"/>
    <w:rsid w:val="007279E0"/>
    <w:rsid w:val="00727F0C"/>
    <w:rsid w:val="007302E0"/>
    <w:rsid w:val="00731AB6"/>
    <w:rsid w:val="00732E39"/>
    <w:rsid w:val="00734863"/>
    <w:rsid w:val="0073525F"/>
    <w:rsid w:val="0074121B"/>
    <w:rsid w:val="007448CD"/>
    <w:rsid w:val="007455C1"/>
    <w:rsid w:val="00746554"/>
    <w:rsid w:val="0075095A"/>
    <w:rsid w:val="0075274D"/>
    <w:rsid w:val="0075504C"/>
    <w:rsid w:val="00755278"/>
    <w:rsid w:val="00755F73"/>
    <w:rsid w:val="00761C25"/>
    <w:rsid w:val="00763B32"/>
    <w:rsid w:val="00767F6F"/>
    <w:rsid w:val="00776DDB"/>
    <w:rsid w:val="0078120D"/>
    <w:rsid w:val="0078181C"/>
    <w:rsid w:val="00782B21"/>
    <w:rsid w:val="007877AC"/>
    <w:rsid w:val="007913A7"/>
    <w:rsid w:val="0079249E"/>
    <w:rsid w:val="0079393E"/>
    <w:rsid w:val="00794990"/>
    <w:rsid w:val="00794F1B"/>
    <w:rsid w:val="0079606A"/>
    <w:rsid w:val="007960D5"/>
    <w:rsid w:val="007971F9"/>
    <w:rsid w:val="00797B10"/>
    <w:rsid w:val="00797FF9"/>
    <w:rsid w:val="007A44C0"/>
    <w:rsid w:val="007A51E6"/>
    <w:rsid w:val="007A6465"/>
    <w:rsid w:val="007A793C"/>
    <w:rsid w:val="007B4AE5"/>
    <w:rsid w:val="007B5D7B"/>
    <w:rsid w:val="007B6BFA"/>
    <w:rsid w:val="007B7409"/>
    <w:rsid w:val="007B7E16"/>
    <w:rsid w:val="007C0DFB"/>
    <w:rsid w:val="007C5608"/>
    <w:rsid w:val="007D094B"/>
    <w:rsid w:val="007D1080"/>
    <w:rsid w:val="007D283A"/>
    <w:rsid w:val="007D3BDD"/>
    <w:rsid w:val="007D5366"/>
    <w:rsid w:val="007D5746"/>
    <w:rsid w:val="007D6948"/>
    <w:rsid w:val="007D7522"/>
    <w:rsid w:val="007E04CC"/>
    <w:rsid w:val="007E58EC"/>
    <w:rsid w:val="007F0FCD"/>
    <w:rsid w:val="007F1727"/>
    <w:rsid w:val="007F7881"/>
    <w:rsid w:val="0080250C"/>
    <w:rsid w:val="00802D57"/>
    <w:rsid w:val="00810CA9"/>
    <w:rsid w:val="0081269D"/>
    <w:rsid w:val="00815D88"/>
    <w:rsid w:val="00816A81"/>
    <w:rsid w:val="00817BDF"/>
    <w:rsid w:val="00820547"/>
    <w:rsid w:val="00823538"/>
    <w:rsid w:val="008272D5"/>
    <w:rsid w:val="0082780C"/>
    <w:rsid w:val="0083161F"/>
    <w:rsid w:val="00835990"/>
    <w:rsid w:val="00836D57"/>
    <w:rsid w:val="00836FF5"/>
    <w:rsid w:val="008503D0"/>
    <w:rsid w:val="0085477E"/>
    <w:rsid w:val="0085600B"/>
    <w:rsid w:val="00857A24"/>
    <w:rsid w:val="00861454"/>
    <w:rsid w:val="0086515A"/>
    <w:rsid w:val="00866056"/>
    <w:rsid w:val="0087086E"/>
    <w:rsid w:val="008731ED"/>
    <w:rsid w:val="00880688"/>
    <w:rsid w:val="00891EF0"/>
    <w:rsid w:val="00892E02"/>
    <w:rsid w:val="00894FF2"/>
    <w:rsid w:val="008A2FD2"/>
    <w:rsid w:val="008A4A75"/>
    <w:rsid w:val="008A4D3B"/>
    <w:rsid w:val="008A55D3"/>
    <w:rsid w:val="008A5667"/>
    <w:rsid w:val="008B19E0"/>
    <w:rsid w:val="008B510D"/>
    <w:rsid w:val="008B511C"/>
    <w:rsid w:val="008B526D"/>
    <w:rsid w:val="008C1CA6"/>
    <w:rsid w:val="008D33E0"/>
    <w:rsid w:val="008D4E20"/>
    <w:rsid w:val="008D6696"/>
    <w:rsid w:val="008D6CF0"/>
    <w:rsid w:val="008E79D8"/>
    <w:rsid w:val="008F0C6A"/>
    <w:rsid w:val="008F4CED"/>
    <w:rsid w:val="008F4EEC"/>
    <w:rsid w:val="008F7796"/>
    <w:rsid w:val="00906336"/>
    <w:rsid w:val="0091232E"/>
    <w:rsid w:val="0091413B"/>
    <w:rsid w:val="00917478"/>
    <w:rsid w:val="00923CEC"/>
    <w:rsid w:val="009259FE"/>
    <w:rsid w:val="00926692"/>
    <w:rsid w:val="00932710"/>
    <w:rsid w:val="00941C94"/>
    <w:rsid w:val="00951D9B"/>
    <w:rsid w:val="009564F2"/>
    <w:rsid w:val="00961E20"/>
    <w:rsid w:val="0096502F"/>
    <w:rsid w:val="00970714"/>
    <w:rsid w:val="00970F53"/>
    <w:rsid w:val="00972405"/>
    <w:rsid w:val="00972856"/>
    <w:rsid w:val="00973C43"/>
    <w:rsid w:val="00976216"/>
    <w:rsid w:val="00980EF1"/>
    <w:rsid w:val="00986028"/>
    <w:rsid w:val="00986E82"/>
    <w:rsid w:val="009904BF"/>
    <w:rsid w:val="009A0A3C"/>
    <w:rsid w:val="009A51BB"/>
    <w:rsid w:val="009A5859"/>
    <w:rsid w:val="009A5EE1"/>
    <w:rsid w:val="009B3097"/>
    <w:rsid w:val="009B4A6A"/>
    <w:rsid w:val="009B6F41"/>
    <w:rsid w:val="009B722B"/>
    <w:rsid w:val="009C020F"/>
    <w:rsid w:val="009C1762"/>
    <w:rsid w:val="009C17B8"/>
    <w:rsid w:val="009C1A56"/>
    <w:rsid w:val="009C3DF2"/>
    <w:rsid w:val="009C5C37"/>
    <w:rsid w:val="009C6C75"/>
    <w:rsid w:val="009C7D29"/>
    <w:rsid w:val="009D2278"/>
    <w:rsid w:val="009D5AF0"/>
    <w:rsid w:val="009D6871"/>
    <w:rsid w:val="009D71B2"/>
    <w:rsid w:val="009E2EEE"/>
    <w:rsid w:val="009E5BF0"/>
    <w:rsid w:val="009E6DF8"/>
    <w:rsid w:val="009E7AA3"/>
    <w:rsid w:val="009F440B"/>
    <w:rsid w:val="009F46AF"/>
    <w:rsid w:val="009F530C"/>
    <w:rsid w:val="00A00BF6"/>
    <w:rsid w:val="00A02793"/>
    <w:rsid w:val="00A03FA1"/>
    <w:rsid w:val="00A04079"/>
    <w:rsid w:val="00A044FC"/>
    <w:rsid w:val="00A12A00"/>
    <w:rsid w:val="00A13309"/>
    <w:rsid w:val="00A140D9"/>
    <w:rsid w:val="00A17735"/>
    <w:rsid w:val="00A205E5"/>
    <w:rsid w:val="00A207AC"/>
    <w:rsid w:val="00A20BCE"/>
    <w:rsid w:val="00A22446"/>
    <w:rsid w:val="00A2610C"/>
    <w:rsid w:val="00A26494"/>
    <w:rsid w:val="00A276D5"/>
    <w:rsid w:val="00A3208F"/>
    <w:rsid w:val="00A32C51"/>
    <w:rsid w:val="00A33E7E"/>
    <w:rsid w:val="00A35024"/>
    <w:rsid w:val="00A35193"/>
    <w:rsid w:val="00A40475"/>
    <w:rsid w:val="00A41DEE"/>
    <w:rsid w:val="00A430D2"/>
    <w:rsid w:val="00A452C8"/>
    <w:rsid w:val="00A470BC"/>
    <w:rsid w:val="00A50692"/>
    <w:rsid w:val="00A52295"/>
    <w:rsid w:val="00A53365"/>
    <w:rsid w:val="00A57034"/>
    <w:rsid w:val="00A6072B"/>
    <w:rsid w:val="00A614E8"/>
    <w:rsid w:val="00A622B1"/>
    <w:rsid w:val="00A64EDD"/>
    <w:rsid w:val="00A67C2A"/>
    <w:rsid w:val="00A73441"/>
    <w:rsid w:val="00A75443"/>
    <w:rsid w:val="00A76B7A"/>
    <w:rsid w:val="00A77530"/>
    <w:rsid w:val="00A809F3"/>
    <w:rsid w:val="00A81F23"/>
    <w:rsid w:val="00A835FE"/>
    <w:rsid w:val="00A84171"/>
    <w:rsid w:val="00A8466E"/>
    <w:rsid w:val="00A9300B"/>
    <w:rsid w:val="00A96F73"/>
    <w:rsid w:val="00A97286"/>
    <w:rsid w:val="00A97573"/>
    <w:rsid w:val="00AA1257"/>
    <w:rsid w:val="00AA21ED"/>
    <w:rsid w:val="00AA3606"/>
    <w:rsid w:val="00AA5CDE"/>
    <w:rsid w:val="00AA7776"/>
    <w:rsid w:val="00AB344D"/>
    <w:rsid w:val="00AC4CB9"/>
    <w:rsid w:val="00AC5B17"/>
    <w:rsid w:val="00AD0423"/>
    <w:rsid w:val="00AD12FD"/>
    <w:rsid w:val="00AD1A52"/>
    <w:rsid w:val="00AD4DC2"/>
    <w:rsid w:val="00AE1B1A"/>
    <w:rsid w:val="00AE24AA"/>
    <w:rsid w:val="00AE3E66"/>
    <w:rsid w:val="00AE4C84"/>
    <w:rsid w:val="00AE69E5"/>
    <w:rsid w:val="00AE7B85"/>
    <w:rsid w:val="00AF0537"/>
    <w:rsid w:val="00AF0B2F"/>
    <w:rsid w:val="00AF6F71"/>
    <w:rsid w:val="00AF7F25"/>
    <w:rsid w:val="00B004D5"/>
    <w:rsid w:val="00B05518"/>
    <w:rsid w:val="00B0714D"/>
    <w:rsid w:val="00B07659"/>
    <w:rsid w:val="00B076A5"/>
    <w:rsid w:val="00B10FAA"/>
    <w:rsid w:val="00B13A3B"/>
    <w:rsid w:val="00B1502B"/>
    <w:rsid w:val="00B16C5F"/>
    <w:rsid w:val="00B1766B"/>
    <w:rsid w:val="00B17A88"/>
    <w:rsid w:val="00B22ADF"/>
    <w:rsid w:val="00B23A3A"/>
    <w:rsid w:val="00B23FA3"/>
    <w:rsid w:val="00B246FC"/>
    <w:rsid w:val="00B24CDD"/>
    <w:rsid w:val="00B24CF9"/>
    <w:rsid w:val="00B2512C"/>
    <w:rsid w:val="00B2523D"/>
    <w:rsid w:val="00B3425B"/>
    <w:rsid w:val="00B3442D"/>
    <w:rsid w:val="00B35FE9"/>
    <w:rsid w:val="00B36FAF"/>
    <w:rsid w:val="00B37AD0"/>
    <w:rsid w:val="00B37B9E"/>
    <w:rsid w:val="00B41C50"/>
    <w:rsid w:val="00B43D70"/>
    <w:rsid w:val="00B45495"/>
    <w:rsid w:val="00B4568A"/>
    <w:rsid w:val="00B462E7"/>
    <w:rsid w:val="00B4770D"/>
    <w:rsid w:val="00B502BA"/>
    <w:rsid w:val="00B50B74"/>
    <w:rsid w:val="00B50FA2"/>
    <w:rsid w:val="00B54F48"/>
    <w:rsid w:val="00B55928"/>
    <w:rsid w:val="00B55A9E"/>
    <w:rsid w:val="00B57C09"/>
    <w:rsid w:val="00B60859"/>
    <w:rsid w:val="00B60F05"/>
    <w:rsid w:val="00B6453C"/>
    <w:rsid w:val="00B6714E"/>
    <w:rsid w:val="00B7029A"/>
    <w:rsid w:val="00B7545E"/>
    <w:rsid w:val="00B846C2"/>
    <w:rsid w:val="00B84B27"/>
    <w:rsid w:val="00B851EA"/>
    <w:rsid w:val="00B9077E"/>
    <w:rsid w:val="00B90C2E"/>
    <w:rsid w:val="00BA4167"/>
    <w:rsid w:val="00BB338C"/>
    <w:rsid w:val="00BB4E19"/>
    <w:rsid w:val="00BC6487"/>
    <w:rsid w:val="00BD0C83"/>
    <w:rsid w:val="00BD389A"/>
    <w:rsid w:val="00BD7830"/>
    <w:rsid w:val="00BD7863"/>
    <w:rsid w:val="00BD79A4"/>
    <w:rsid w:val="00BE2C82"/>
    <w:rsid w:val="00BE3633"/>
    <w:rsid w:val="00BE400B"/>
    <w:rsid w:val="00BF05B6"/>
    <w:rsid w:val="00BF267D"/>
    <w:rsid w:val="00BF4B5F"/>
    <w:rsid w:val="00C000CB"/>
    <w:rsid w:val="00C00136"/>
    <w:rsid w:val="00C0103E"/>
    <w:rsid w:val="00C04299"/>
    <w:rsid w:val="00C04ADE"/>
    <w:rsid w:val="00C05A1C"/>
    <w:rsid w:val="00C05FA4"/>
    <w:rsid w:val="00C11D65"/>
    <w:rsid w:val="00C13F41"/>
    <w:rsid w:val="00C17526"/>
    <w:rsid w:val="00C20BC1"/>
    <w:rsid w:val="00C20C1D"/>
    <w:rsid w:val="00C20E0F"/>
    <w:rsid w:val="00C21B65"/>
    <w:rsid w:val="00C22074"/>
    <w:rsid w:val="00C22095"/>
    <w:rsid w:val="00C22E49"/>
    <w:rsid w:val="00C2425E"/>
    <w:rsid w:val="00C259DA"/>
    <w:rsid w:val="00C30B72"/>
    <w:rsid w:val="00C3133C"/>
    <w:rsid w:val="00C3313C"/>
    <w:rsid w:val="00C331F7"/>
    <w:rsid w:val="00C336E3"/>
    <w:rsid w:val="00C3699C"/>
    <w:rsid w:val="00C37397"/>
    <w:rsid w:val="00C40F39"/>
    <w:rsid w:val="00C4148F"/>
    <w:rsid w:val="00C41A21"/>
    <w:rsid w:val="00C43A2E"/>
    <w:rsid w:val="00C45961"/>
    <w:rsid w:val="00C46C7D"/>
    <w:rsid w:val="00C51FB4"/>
    <w:rsid w:val="00C52E3B"/>
    <w:rsid w:val="00C53F89"/>
    <w:rsid w:val="00C575B0"/>
    <w:rsid w:val="00C5765E"/>
    <w:rsid w:val="00C66529"/>
    <w:rsid w:val="00C7344B"/>
    <w:rsid w:val="00C7414B"/>
    <w:rsid w:val="00C84A6E"/>
    <w:rsid w:val="00C90045"/>
    <w:rsid w:val="00C911C3"/>
    <w:rsid w:val="00C91692"/>
    <w:rsid w:val="00C9388D"/>
    <w:rsid w:val="00CA0166"/>
    <w:rsid w:val="00CA0237"/>
    <w:rsid w:val="00CA2E0A"/>
    <w:rsid w:val="00CA469D"/>
    <w:rsid w:val="00CA5D79"/>
    <w:rsid w:val="00CB111F"/>
    <w:rsid w:val="00CB15D4"/>
    <w:rsid w:val="00CB3243"/>
    <w:rsid w:val="00CB3D55"/>
    <w:rsid w:val="00CB47A2"/>
    <w:rsid w:val="00CB5669"/>
    <w:rsid w:val="00CB761F"/>
    <w:rsid w:val="00CC3051"/>
    <w:rsid w:val="00CC5123"/>
    <w:rsid w:val="00CD0120"/>
    <w:rsid w:val="00CD160F"/>
    <w:rsid w:val="00CD5D79"/>
    <w:rsid w:val="00CE00F5"/>
    <w:rsid w:val="00CE43CC"/>
    <w:rsid w:val="00CF0717"/>
    <w:rsid w:val="00CF0DDF"/>
    <w:rsid w:val="00CF25E4"/>
    <w:rsid w:val="00D05FC1"/>
    <w:rsid w:val="00D0789F"/>
    <w:rsid w:val="00D110BD"/>
    <w:rsid w:val="00D149E5"/>
    <w:rsid w:val="00D152A2"/>
    <w:rsid w:val="00D15BD2"/>
    <w:rsid w:val="00D164F7"/>
    <w:rsid w:val="00D2096E"/>
    <w:rsid w:val="00D228C0"/>
    <w:rsid w:val="00D22E29"/>
    <w:rsid w:val="00D230ED"/>
    <w:rsid w:val="00D2327E"/>
    <w:rsid w:val="00D23DD3"/>
    <w:rsid w:val="00D24655"/>
    <w:rsid w:val="00D26CB8"/>
    <w:rsid w:val="00D30B2A"/>
    <w:rsid w:val="00D30B84"/>
    <w:rsid w:val="00D3357F"/>
    <w:rsid w:val="00D34454"/>
    <w:rsid w:val="00D36C35"/>
    <w:rsid w:val="00D40E31"/>
    <w:rsid w:val="00D416AD"/>
    <w:rsid w:val="00D4190F"/>
    <w:rsid w:val="00D4282E"/>
    <w:rsid w:val="00D42FDC"/>
    <w:rsid w:val="00D50451"/>
    <w:rsid w:val="00D51D1F"/>
    <w:rsid w:val="00D51EAE"/>
    <w:rsid w:val="00D52BCC"/>
    <w:rsid w:val="00D53D78"/>
    <w:rsid w:val="00D6130C"/>
    <w:rsid w:val="00D62ACD"/>
    <w:rsid w:val="00D62E69"/>
    <w:rsid w:val="00D6564C"/>
    <w:rsid w:val="00D70F94"/>
    <w:rsid w:val="00D74486"/>
    <w:rsid w:val="00D80458"/>
    <w:rsid w:val="00D80CFC"/>
    <w:rsid w:val="00D85401"/>
    <w:rsid w:val="00D85FBC"/>
    <w:rsid w:val="00D9189E"/>
    <w:rsid w:val="00D91D57"/>
    <w:rsid w:val="00D92527"/>
    <w:rsid w:val="00D97C3B"/>
    <w:rsid w:val="00DA01B2"/>
    <w:rsid w:val="00DA0695"/>
    <w:rsid w:val="00DA11E8"/>
    <w:rsid w:val="00DA1E37"/>
    <w:rsid w:val="00DA5BB8"/>
    <w:rsid w:val="00DA7110"/>
    <w:rsid w:val="00DA7155"/>
    <w:rsid w:val="00DA79BC"/>
    <w:rsid w:val="00DB075F"/>
    <w:rsid w:val="00DB2E57"/>
    <w:rsid w:val="00DB2EFB"/>
    <w:rsid w:val="00DB2FA9"/>
    <w:rsid w:val="00DB44F5"/>
    <w:rsid w:val="00DB455B"/>
    <w:rsid w:val="00DB4A39"/>
    <w:rsid w:val="00DB768D"/>
    <w:rsid w:val="00DC0C5F"/>
    <w:rsid w:val="00DC54E9"/>
    <w:rsid w:val="00DC5B79"/>
    <w:rsid w:val="00DC7EE9"/>
    <w:rsid w:val="00DD1BDB"/>
    <w:rsid w:val="00DD28B2"/>
    <w:rsid w:val="00DD6A33"/>
    <w:rsid w:val="00DE2EC0"/>
    <w:rsid w:val="00DE2F6D"/>
    <w:rsid w:val="00DE6FFE"/>
    <w:rsid w:val="00DF2D28"/>
    <w:rsid w:val="00DF687D"/>
    <w:rsid w:val="00DF6B93"/>
    <w:rsid w:val="00DF75F9"/>
    <w:rsid w:val="00E02E13"/>
    <w:rsid w:val="00E05BED"/>
    <w:rsid w:val="00E10AB8"/>
    <w:rsid w:val="00E131BB"/>
    <w:rsid w:val="00E1423C"/>
    <w:rsid w:val="00E15B27"/>
    <w:rsid w:val="00E16532"/>
    <w:rsid w:val="00E202EA"/>
    <w:rsid w:val="00E206A7"/>
    <w:rsid w:val="00E206E5"/>
    <w:rsid w:val="00E33242"/>
    <w:rsid w:val="00E33BB4"/>
    <w:rsid w:val="00E40F5F"/>
    <w:rsid w:val="00E423C5"/>
    <w:rsid w:val="00E4680F"/>
    <w:rsid w:val="00E4699A"/>
    <w:rsid w:val="00E472EB"/>
    <w:rsid w:val="00E51CDE"/>
    <w:rsid w:val="00E54A2C"/>
    <w:rsid w:val="00E56613"/>
    <w:rsid w:val="00E60623"/>
    <w:rsid w:val="00E60826"/>
    <w:rsid w:val="00E612F3"/>
    <w:rsid w:val="00E62785"/>
    <w:rsid w:val="00E63036"/>
    <w:rsid w:val="00E64B6F"/>
    <w:rsid w:val="00E72C82"/>
    <w:rsid w:val="00E80E6A"/>
    <w:rsid w:val="00E82B69"/>
    <w:rsid w:val="00E84B1E"/>
    <w:rsid w:val="00E8611A"/>
    <w:rsid w:val="00E927D2"/>
    <w:rsid w:val="00E9692A"/>
    <w:rsid w:val="00EA01EE"/>
    <w:rsid w:val="00EA0FD4"/>
    <w:rsid w:val="00EA3013"/>
    <w:rsid w:val="00EA445F"/>
    <w:rsid w:val="00EA5240"/>
    <w:rsid w:val="00EA6B51"/>
    <w:rsid w:val="00EB63F0"/>
    <w:rsid w:val="00EB6AAD"/>
    <w:rsid w:val="00EC3F35"/>
    <w:rsid w:val="00EC5E18"/>
    <w:rsid w:val="00ED2153"/>
    <w:rsid w:val="00ED733A"/>
    <w:rsid w:val="00EE33CC"/>
    <w:rsid w:val="00EE4742"/>
    <w:rsid w:val="00EE488F"/>
    <w:rsid w:val="00EE493B"/>
    <w:rsid w:val="00EE6EF2"/>
    <w:rsid w:val="00EF0470"/>
    <w:rsid w:val="00EF1193"/>
    <w:rsid w:val="00EF2262"/>
    <w:rsid w:val="00EF4145"/>
    <w:rsid w:val="00EF4DBC"/>
    <w:rsid w:val="00F005DB"/>
    <w:rsid w:val="00F03DEF"/>
    <w:rsid w:val="00F043CC"/>
    <w:rsid w:val="00F04FDC"/>
    <w:rsid w:val="00F05E40"/>
    <w:rsid w:val="00F106D7"/>
    <w:rsid w:val="00F13692"/>
    <w:rsid w:val="00F13D2A"/>
    <w:rsid w:val="00F15384"/>
    <w:rsid w:val="00F1561B"/>
    <w:rsid w:val="00F1709F"/>
    <w:rsid w:val="00F178D4"/>
    <w:rsid w:val="00F207B4"/>
    <w:rsid w:val="00F20E96"/>
    <w:rsid w:val="00F21F21"/>
    <w:rsid w:val="00F229B7"/>
    <w:rsid w:val="00F24EE5"/>
    <w:rsid w:val="00F30949"/>
    <w:rsid w:val="00F31947"/>
    <w:rsid w:val="00F32327"/>
    <w:rsid w:val="00F34CC8"/>
    <w:rsid w:val="00F376AD"/>
    <w:rsid w:val="00F40DAC"/>
    <w:rsid w:val="00F42247"/>
    <w:rsid w:val="00F42523"/>
    <w:rsid w:val="00F43A41"/>
    <w:rsid w:val="00F4476C"/>
    <w:rsid w:val="00F45186"/>
    <w:rsid w:val="00F53E49"/>
    <w:rsid w:val="00F55036"/>
    <w:rsid w:val="00F60D1D"/>
    <w:rsid w:val="00F611CE"/>
    <w:rsid w:val="00F6430A"/>
    <w:rsid w:val="00F6641C"/>
    <w:rsid w:val="00F67E0F"/>
    <w:rsid w:val="00F71029"/>
    <w:rsid w:val="00F729FC"/>
    <w:rsid w:val="00F72C3E"/>
    <w:rsid w:val="00F853A8"/>
    <w:rsid w:val="00F90873"/>
    <w:rsid w:val="00F90CBC"/>
    <w:rsid w:val="00F97F65"/>
    <w:rsid w:val="00FA2700"/>
    <w:rsid w:val="00FB0403"/>
    <w:rsid w:val="00FB114A"/>
    <w:rsid w:val="00FB4D29"/>
    <w:rsid w:val="00FC2120"/>
    <w:rsid w:val="00FC4ABD"/>
    <w:rsid w:val="00FC4CFC"/>
    <w:rsid w:val="00FC4EFE"/>
    <w:rsid w:val="00FC523B"/>
    <w:rsid w:val="00FC65F1"/>
    <w:rsid w:val="00FC740A"/>
    <w:rsid w:val="00FD1E28"/>
    <w:rsid w:val="00FD42C8"/>
    <w:rsid w:val="00FD5EF6"/>
    <w:rsid w:val="00FE08A3"/>
    <w:rsid w:val="00FE0E6D"/>
    <w:rsid w:val="00FE14EC"/>
    <w:rsid w:val="00FE2716"/>
    <w:rsid w:val="00FF0ED2"/>
    <w:rsid w:val="00FF1CEE"/>
    <w:rsid w:val="00FF3768"/>
    <w:rsid w:val="00FF40F2"/>
    <w:rsid w:val="00FF4C8A"/>
    <w:rsid w:val="01797F42"/>
    <w:rsid w:val="04874344"/>
    <w:rsid w:val="088A325A"/>
    <w:rsid w:val="089D0727"/>
    <w:rsid w:val="0A236E11"/>
    <w:rsid w:val="0A6F63C8"/>
    <w:rsid w:val="0B521A65"/>
    <w:rsid w:val="0BEB6F66"/>
    <w:rsid w:val="0C060244"/>
    <w:rsid w:val="0D3B59EF"/>
    <w:rsid w:val="0D592441"/>
    <w:rsid w:val="0DCD05CD"/>
    <w:rsid w:val="0E1477A0"/>
    <w:rsid w:val="0E235592"/>
    <w:rsid w:val="0E6B681F"/>
    <w:rsid w:val="104A4BA3"/>
    <w:rsid w:val="11B6417E"/>
    <w:rsid w:val="13AC453B"/>
    <w:rsid w:val="13B551EE"/>
    <w:rsid w:val="14B101A3"/>
    <w:rsid w:val="15C947BC"/>
    <w:rsid w:val="16D018D0"/>
    <w:rsid w:val="176A01D0"/>
    <w:rsid w:val="178845A2"/>
    <w:rsid w:val="17C27715"/>
    <w:rsid w:val="1A7A79E1"/>
    <w:rsid w:val="1B1C17AD"/>
    <w:rsid w:val="1BA14FB0"/>
    <w:rsid w:val="1BD83A25"/>
    <w:rsid w:val="1C545B04"/>
    <w:rsid w:val="1CA34894"/>
    <w:rsid w:val="1D923E77"/>
    <w:rsid w:val="1D997BDD"/>
    <w:rsid w:val="1E8063CD"/>
    <w:rsid w:val="1FA250AD"/>
    <w:rsid w:val="20BB1D9F"/>
    <w:rsid w:val="212E0AC4"/>
    <w:rsid w:val="218B752D"/>
    <w:rsid w:val="22934704"/>
    <w:rsid w:val="2350278F"/>
    <w:rsid w:val="23993668"/>
    <w:rsid w:val="26130F88"/>
    <w:rsid w:val="263D2F26"/>
    <w:rsid w:val="270F7AA5"/>
    <w:rsid w:val="280D001A"/>
    <w:rsid w:val="283757D0"/>
    <w:rsid w:val="28E8296F"/>
    <w:rsid w:val="29CC30EC"/>
    <w:rsid w:val="2A96475F"/>
    <w:rsid w:val="2C387B4E"/>
    <w:rsid w:val="31172428"/>
    <w:rsid w:val="31A33B89"/>
    <w:rsid w:val="31A97B5B"/>
    <w:rsid w:val="325140A7"/>
    <w:rsid w:val="34230656"/>
    <w:rsid w:val="35441640"/>
    <w:rsid w:val="359815F8"/>
    <w:rsid w:val="35B36978"/>
    <w:rsid w:val="368B0479"/>
    <w:rsid w:val="36B86C14"/>
    <w:rsid w:val="37BE5F03"/>
    <w:rsid w:val="3B5747AA"/>
    <w:rsid w:val="3B6C7D73"/>
    <w:rsid w:val="3BBC5FE3"/>
    <w:rsid w:val="3C0C5945"/>
    <w:rsid w:val="3E0B7D71"/>
    <w:rsid w:val="3E54584D"/>
    <w:rsid w:val="3E6C5DAA"/>
    <w:rsid w:val="3EA572C5"/>
    <w:rsid w:val="3F161F71"/>
    <w:rsid w:val="3F85312C"/>
    <w:rsid w:val="405C1C05"/>
    <w:rsid w:val="408628E8"/>
    <w:rsid w:val="40887218"/>
    <w:rsid w:val="40EB7F3B"/>
    <w:rsid w:val="430D4895"/>
    <w:rsid w:val="43EA0614"/>
    <w:rsid w:val="444F11CD"/>
    <w:rsid w:val="44A55BAD"/>
    <w:rsid w:val="44CC6BBF"/>
    <w:rsid w:val="45190AEF"/>
    <w:rsid w:val="453737E0"/>
    <w:rsid w:val="463D2F3F"/>
    <w:rsid w:val="47B40579"/>
    <w:rsid w:val="4830717B"/>
    <w:rsid w:val="4AB54738"/>
    <w:rsid w:val="4B517E8D"/>
    <w:rsid w:val="4C03387D"/>
    <w:rsid w:val="4D77007F"/>
    <w:rsid w:val="4EF8377B"/>
    <w:rsid w:val="4F8359D1"/>
    <w:rsid w:val="4FA61ABB"/>
    <w:rsid w:val="500A0974"/>
    <w:rsid w:val="51184A59"/>
    <w:rsid w:val="5124105E"/>
    <w:rsid w:val="512A7904"/>
    <w:rsid w:val="51894561"/>
    <w:rsid w:val="52A631B4"/>
    <w:rsid w:val="52D95337"/>
    <w:rsid w:val="54CC2F49"/>
    <w:rsid w:val="55412770"/>
    <w:rsid w:val="559C00A2"/>
    <w:rsid w:val="567F61F6"/>
    <w:rsid w:val="568358CB"/>
    <w:rsid w:val="574F79E2"/>
    <w:rsid w:val="583D6EDB"/>
    <w:rsid w:val="585B3AE5"/>
    <w:rsid w:val="5A1E5FAE"/>
    <w:rsid w:val="5B4812AC"/>
    <w:rsid w:val="5B941E5A"/>
    <w:rsid w:val="5E1E17F1"/>
    <w:rsid w:val="5E321A35"/>
    <w:rsid w:val="5EB623FF"/>
    <w:rsid w:val="5FF612D7"/>
    <w:rsid w:val="604326F7"/>
    <w:rsid w:val="60500D00"/>
    <w:rsid w:val="616D381B"/>
    <w:rsid w:val="61F9246E"/>
    <w:rsid w:val="6200423D"/>
    <w:rsid w:val="62776785"/>
    <w:rsid w:val="62B922EA"/>
    <w:rsid w:val="63377261"/>
    <w:rsid w:val="640D3093"/>
    <w:rsid w:val="643D3D79"/>
    <w:rsid w:val="67E91F91"/>
    <w:rsid w:val="67F469EA"/>
    <w:rsid w:val="68B528EA"/>
    <w:rsid w:val="69A42007"/>
    <w:rsid w:val="69AA611C"/>
    <w:rsid w:val="6A630C42"/>
    <w:rsid w:val="6A7B7F20"/>
    <w:rsid w:val="6CF92CB1"/>
    <w:rsid w:val="6D547936"/>
    <w:rsid w:val="6E427DDD"/>
    <w:rsid w:val="6E7001EA"/>
    <w:rsid w:val="706406EE"/>
    <w:rsid w:val="7076063E"/>
    <w:rsid w:val="710B095A"/>
    <w:rsid w:val="712752D3"/>
    <w:rsid w:val="71970440"/>
    <w:rsid w:val="71D074AE"/>
    <w:rsid w:val="739048A5"/>
    <w:rsid w:val="74814849"/>
    <w:rsid w:val="74FF2C95"/>
    <w:rsid w:val="752B15CB"/>
    <w:rsid w:val="752F191D"/>
    <w:rsid w:val="764C78E2"/>
    <w:rsid w:val="76AE27A7"/>
    <w:rsid w:val="777A7DAC"/>
    <w:rsid w:val="77BF424C"/>
    <w:rsid w:val="786354AC"/>
    <w:rsid w:val="78925961"/>
    <w:rsid w:val="797B5CED"/>
    <w:rsid w:val="7A42666B"/>
    <w:rsid w:val="7B7C22FE"/>
    <w:rsid w:val="7D6A24B4"/>
    <w:rsid w:val="7D87580C"/>
    <w:rsid w:val="7E5213B6"/>
    <w:rsid w:val="7E6D595B"/>
    <w:rsid w:val="7EBD634B"/>
    <w:rsid w:val="7FA86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0"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0" w:semiHidden="0" w:name="Body Text First Indent 2"/>
    <w:lsdException w:uiPriority="99" w:name="Note Heading"/>
    <w:lsdException w:uiPriority="99" w:name="Body Text 2"/>
    <w:lsdException w:qFormat="1" w:uiPriority="0" w:semiHidden="0" w:name="Body Text 3"/>
    <w:lsdException w:qFormat="1" w:uiPriority="99" w:semiHidden="0" w:name="Body Text Indent 2"/>
    <w:lsdException w:qFormat="1"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0" w:semiHidden="0"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576" w:lineRule="auto"/>
      <w:jc w:val="center"/>
      <w:outlineLvl w:val="0"/>
    </w:pPr>
    <w:rPr>
      <w:b/>
      <w:bCs/>
      <w:kern w:val="44"/>
      <w:sz w:val="32"/>
      <w:szCs w:val="44"/>
    </w:rPr>
  </w:style>
  <w:style w:type="paragraph" w:styleId="4">
    <w:name w:val="heading 2"/>
    <w:basedOn w:val="1"/>
    <w:next w:val="1"/>
    <w:link w:val="59"/>
    <w:unhideWhenUsed/>
    <w:qFormat/>
    <w:uiPriority w:val="0"/>
    <w:pPr>
      <w:keepNext/>
      <w:keepLines/>
      <w:numPr>
        <w:ilvl w:val="1"/>
        <w:numId w:val="1"/>
      </w:numPr>
      <w:spacing w:before="260" w:after="260" w:line="415" w:lineRule="auto"/>
      <w:outlineLvl w:val="1"/>
    </w:pPr>
    <w:rPr>
      <w:rFonts w:ascii="Cambria" w:hAnsi="Cambria"/>
      <w:b/>
      <w:bCs/>
      <w:sz w:val="32"/>
      <w:szCs w:val="32"/>
    </w:rPr>
  </w:style>
  <w:style w:type="paragraph" w:styleId="5">
    <w:name w:val="heading 3"/>
    <w:basedOn w:val="1"/>
    <w:next w:val="1"/>
    <w:link w:val="60"/>
    <w:unhideWhenUsed/>
    <w:qFormat/>
    <w:uiPriority w:val="0"/>
    <w:pPr>
      <w:keepNext/>
      <w:keepLines/>
      <w:numPr>
        <w:ilvl w:val="2"/>
        <w:numId w:val="1"/>
      </w:numPr>
      <w:spacing w:before="260" w:after="260" w:line="415" w:lineRule="auto"/>
      <w:outlineLvl w:val="2"/>
    </w:pPr>
    <w:rPr>
      <w:b/>
      <w:bCs/>
      <w:sz w:val="32"/>
      <w:szCs w:val="32"/>
    </w:rPr>
  </w:style>
  <w:style w:type="paragraph" w:styleId="6">
    <w:name w:val="heading 4"/>
    <w:basedOn w:val="1"/>
    <w:next w:val="1"/>
    <w:link w:val="61"/>
    <w:unhideWhenUsed/>
    <w:qFormat/>
    <w:uiPriority w:val="0"/>
    <w:pPr>
      <w:keepNext/>
      <w:keepLines/>
      <w:spacing w:before="280" w:after="290" w:line="374" w:lineRule="auto"/>
      <w:outlineLvl w:val="3"/>
    </w:pPr>
    <w:rPr>
      <w:rFonts w:asciiTheme="majorHAnsi" w:hAnsiTheme="majorHAnsi" w:eastAsiaTheme="majorEastAsia" w:cstheme="majorBidi"/>
      <w:b/>
      <w:bCs/>
      <w:sz w:val="28"/>
      <w:szCs w:val="28"/>
    </w:rPr>
  </w:style>
  <w:style w:type="paragraph" w:styleId="7">
    <w:name w:val="heading 5"/>
    <w:basedOn w:val="1"/>
    <w:next w:val="1"/>
    <w:link w:val="62"/>
    <w:unhideWhenUsed/>
    <w:qFormat/>
    <w:uiPriority w:val="0"/>
    <w:pPr>
      <w:keepNext/>
      <w:keepLines/>
      <w:numPr>
        <w:ilvl w:val="4"/>
        <w:numId w:val="1"/>
      </w:numPr>
      <w:spacing w:before="280" w:after="290" w:line="374" w:lineRule="auto"/>
      <w:outlineLvl w:val="4"/>
    </w:pPr>
    <w:rPr>
      <w:b/>
      <w:bCs/>
      <w:sz w:val="28"/>
      <w:szCs w:val="28"/>
    </w:rPr>
  </w:style>
  <w:style w:type="paragraph" w:styleId="8">
    <w:name w:val="heading 6"/>
    <w:basedOn w:val="1"/>
    <w:next w:val="1"/>
    <w:link w:val="63"/>
    <w:unhideWhenUsed/>
    <w:qFormat/>
    <w:uiPriority w:val="0"/>
    <w:pPr>
      <w:keepNext/>
      <w:keepLines/>
      <w:numPr>
        <w:ilvl w:val="5"/>
        <w:numId w:val="1"/>
      </w:numPr>
      <w:spacing w:before="240" w:after="64" w:line="319" w:lineRule="auto"/>
      <w:outlineLvl w:val="5"/>
    </w:pPr>
    <w:rPr>
      <w:rFonts w:ascii="Cambria" w:hAnsi="Cambria"/>
      <w:b/>
      <w:bCs/>
      <w:sz w:val="24"/>
    </w:rPr>
  </w:style>
  <w:style w:type="paragraph" w:styleId="9">
    <w:name w:val="heading 7"/>
    <w:basedOn w:val="1"/>
    <w:next w:val="1"/>
    <w:link w:val="64"/>
    <w:unhideWhenUsed/>
    <w:qFormat/>
    <w:uiPriority w:val="0"/>
    <w:pPr>
      <w:keepNext/>
      <w:keepLines/>
      <w:numPr>
        <w:ilvl w:val="6"/>
        <w:numId w:val="1"/>
      </w:numPr>
      <w:spacing w:before="240" w:after="64" w:line="319" w:lineRule="auto"/>
      <w:outlineLvl w:val="6"/>
    </w:pPr>
    <w:rPr>
      <w:b/>
      <w:bCs/>
      <w:sz w:val="24"/>
    </w:rPr>
  </w:style>
  <w:style w:type="paragraph" w:styleId="10">
    <w:name w:val="heading 8"/>
    <w:basedOn w:val="1"/>
    <w:next w:val="1"/>
    <w:link w:val="65"/>
    <w:unhideWhenUsed/>
    <w:qFormat/>
    <w:uiPriority w:val="0"/>
    <w:pPr>
      <w:keepNext/>
      <w:keepLines/>
      <w:numPr>
        <w:ilvl w:val="7"/>
        <w:numId w:val="1"/>
      </w:numPr>
      <w:spacing w:before="240" w:after="64" w:line="319" w:lineRule="auto"/>
      <w:outlineLvl w:val="7"/>
    </w:pPr>
    <w:rPr>
      <w:rFonts w:ascii="Cambria" w:hAnsi="Cambria"/>
      <w:sz w:val="24"/>
    </w:rPr>
  </w:style>
  <w:style w:type="paragraph" w:styleId="11">
    <w:name w:val="heading 9"/>
    <w:basedOn w:val="1"/>
    <w:next w:val="1"/>
    <w:link w:val="66"/>
    <w:unhideWhenUsed/>
    <w:qFormat/>
    <w:uiPriority w:val="0"/>
    <w:pPr>
      <w:keepNext/>
      <w:keepLines/>
      <w:numPr>
        <w:ilvl w:val="8"/>
        <w:numId w:val="1"/>
      </w:numPr>
      <w:spacing w:before="240" w:after="64" w:line="319"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link w:val="86"/>
    <w:qFormat/>
    <w:uiPriority w:val="34"/>
    <w:pPr>
      <w:ind w:firstLine="420" w:firstLineChars="200"/>
    </w:pPr>
    <w:rPr>
      <w:rFonts w:asciiTheme="minorHAnsi" w:hAnsiTheme="minorHAnsi" w:eastAsiaTheme="minorEastAsia" w:cstheme="minorBidi"/>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unhideWhenUsed/>
    <w:qFormat/>
    <w:uiPriority w:val="99"/>
    <w:pPr>
      <w:ind w:firstLine="420"/>
    </w:pPr>
    <w:rPr>
      <w:b/>
      <w:sz w:val="24"/>
      <w:szCs w:val="20"/>
    </w:rPr>
  </w:style>
  <w:style w:type="paragraph" w:styleId="14">
    <w:name w:val="caption"/>
    <w:basedOn w:val="1"/>
    <w:next w:val="1"/>
    <w:unhideWhenUsed/>
    <w:qFormat/>
    <w:uiPriority w:val="0"/>
    <w:rPr>
      <w:rFonts w:ascii="Cambria" w:hAnsi="Cambria" w:eastAsia="黑体"/>
      <w:sz w:val="20"/>
      <w:szCs w:val="22"/>
    </w:rPr>
  </w:style>
  <w:style w:type="paragraph" w:styleId="15">
    <w:name w:val="Document Map"/>
    <w:basedOn w:val="1"/>
    <w:link w:val="80"/>
    <w:unhideWhenUsed/>
    <w:qFormat/>
    <w:uiPriority w:val="0"/>
    <w:rPr>
      <w:rFonts w:ascii="宋体"/>
      <w:sz w:val="18"/>
      <w:szCs w:val="18"/>
    </w:rPr>
  </w:style>
  <w:style w:type="paragraph" w:styleId="16">
    <w:name w:val="annotation text"/>
    <w:basedOn w:val="1"/>
    <w:link w:val="197"/>
    <w:unhideWhenUsed/>
    <w:qFormat/>
    <w:uiPriority w:val="99"/>
    <w:pPr>
      <w:jc w:val="left"/>
    </w:pPr>
  </w:style>
  <w:style w:type="paragraph" w:styleId="17">
    <w:name w:val="Body Text 3"/>
    <w:basedOn w:val="1"/>
    <w:link w:val="77"/>
    <w:unhideWhenUsed/>
    <w:qFormat/>
    <w:uiPriority w:val="0"/>
    <w:rPr>
      <w:rFonts w:ascii="宋体"/>
      <w:sz w:val="24"/>
      <w:szCs w:val="20"/>
    </w:rPr>
  </w:style>
  <w:style w:type="paragraph" w:styleId="18">
    <w:name w:val="Body Text"/>
    <w:basedOn w:val="1"/>
    <w:next w:val="1"/>
    <w:link w:val="72"/>
    <w:unhideWhenUsed/>
    <w:qFormat/>
    <w:uiPriority w:val="0"/>
    <w:pPr>
      <w:jc w:val="center"/>
    </w:pPr>
    <w:rPr>
      <w:rFonts w:eastAsia="幼圆"/>
      <w:b/>
      <w:bCs/>
      <w:sz w:val="44"/>
    </w:rPr>
  </w:style>
  <w:style w:type="paragraph" w:styleId="19">
    <w:name w:val="Body Text Indent"/>
    <w:basedOn w:val="1"/>
    <w:link w:val="204"/>
    <w:unhideWhenUsed/>
    <w:qFormat/>
    <w:uiPriority w:val="0"/>
    <w:pPr>
      <w:spacing w:after="120"/>
      <w:ind w:left="420" w:leftChars="200"/>
    </w:pPr>
  </w:style>
  <w:style w:type="paragraph" w:styleId="20">
    <w:name w:val="index 4"/>
    <w:basedOn w:val="1"/>
    <w:next w:val="1"/>
    <w:unhideWhenUsed/>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unhideWhenUsed/>
    <w:qFormat/>
    <w:uiPriority w:val="39"/>
    <w:pPr>
      <w:ind w:left="840" w:leftChars="400"/>
    </w:pPr>
    <w:rPr>
      <w:rFonts w:ascii="Calibri" w:hAnsi="Calibri"/>
      <w:szCs w:val="22"/>
    </w:rPr>
  </w:style>
  <w:style w:type="paragraph" w:styleId="23">
    <w:name w:val="Plain Text"/>
    <w:link w:val="81"/>
    <w:unhideWhenUsed/>
    <w:qFormat/>
    <w:uiPriority w:val="99"/>
    <w:pPr>
      <w:spacing w:after="160" w:line="259" w:lineRule="auto"/>
    </w:pPr>
    <w:rPr>
      <w:rFonts w:ascii="Ari" w:hAnsi="Times New Roman" w:eastAsia="宋体" w:cs="Times New Roman"/>
      <w:lang w:val="en-US" w:eastAsia="zh-CN" w:bidi="ar-SA"/>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75"/>
    <w:unhideWhenUsed/>
    <w:qFormat/>
    <w:uiPriority w:val="0"/>
  </w:style>
  <w:style w:type="paragraph" w:styleId="26">
    <w:name w:val="Body Text Indent 2"/>
    <w:basedOn w:val="1"/>
    <w:link w:val="78"/>
    <w:unhideWhenUsed/>
    <w:qFormat/>
    <w:uiPriority w:val="99"/>
    <w:pPr>
      <w:spacing w:line="420" w:lineRule="exact"/>
      <w:ind w:firstLine="525"/>
    </w:pPr>
    <w:rPr>
      <w:rFonts w:ascii="宋体"/>
      <w:kern w:val="0"/>
      <w:sz w:val="20"/>
      <w:szCs w:val="20"/>
    </w:rPr>
  </w:style>
  <w:style w:type="paragraph" w:styleId="27">
    <w:name w:val="Balloon Text"/>
    <w:basedOn w:val="1"/>
    <w:link w:val="83"/>
    <w:unhideWhenUsed/>
    <w:qFormat/>
    <w:uiPriority w:val="0"/>
    <w:rPr>
      <w:sz w:val="18"/>
      <w:szCs w:val="18"/>
    </w:rPr>
  </w:style>
  <w:style w:type="paragraph" w:styleId="28">
    <w:name w:val="footer"/>
    <w:basedOn w:val="1"/>
    <w:link w:val="57"/>
    <w:unhideWhenUsed/>
    <w:qFormat/>
    <w:uiPriority w:val="99"/>
    <w:pPr>
      <w:tabs>
        <w:tab w:val="center" w:pos="4153"/>
        <w:tab w:val="right" w:pos="8306"/>
      </w:tabs>
      <w:snapToGrid w:val="0"/>
      <w:jc w:val="left"/>
    </w:pPr>
    <w:rPr>
      <w:sz w:val="18"/>
      <w:szCs w:val="18"/>
    </w:rPr>
  </w:style>
  <w:style w:type="paragraph" w:styleId="29">
    <w:name w:val="header"/>
    <w:basedOn w:val="1"/>
    <w:link w:val="56"/>
    <w:unhideWhenUsed/>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unhideWhenUsed/>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Subtitle"/>
    <w:basedOn w:val="1"/>
    <w:next w:val="1"/>
    <w:link w:val="74"/>
    <w:qFormat/>
    <w:uiPriority w:val="0"/>
    <w:pPr>
      <w:spacing w:before="240" w:after="60" w:line="312" w:lineRule="auto"/>
      <w:jc w:val="center"/>
      <w:outlineLvl w:val="1"/>
    </w:pPr>
    <w:rPr>
      <w:rFonts w:ascii="Cambria" w:hAnsi="Cambria"/>
      <w:b/>
      <w:bCs/>
      <w:kern w:val="28"/>
      <w:sz w:val="32"/>
      <w:szCs w:val="32"/>
    </w:rPr>
  </w:style>
  <w:style w:type="paragraph" w:styleId="33">
    <w:name w:val="toc 6"/>
    <w:basedOn w:val="1"/>
    <w:next w:val="1"/>
    <w:unhideWhenUsed/>
    <w:qFormat/>
    <w:uiPriority w:val="39"/>
    <w:pPr>
      <w:ind w:left="2100" w:leftChars="1000"/>
    </w:pPr>
    <w:rPr>
      <w:rFonts w:ascii="Calibri" w:hAnsi="Calibri"/>
      <w:szCs w:val="22"/>
    </w:rPr>
  </w:style>
  <w:style w:type="paragraph" w:styleId="34">
    <w:name w:val="Body Text Indent 3"/>
    <w:basedOn w:val="1"/>
    <w:link w:val="79"/>
    <w:unhideWhenUsed/>
    <w:qFormat/>
    <w:uiPriority w:val="0"/>
    <w:pPr>
      <w:spacing w:after="120"/>
      <w:ind w:left="420" w:leftChars="200"/>
    </w:pPr>
    <w:rPr>
      <w:sz w:val="16"/>
      <w:szCs w:val="20"/>
    </w:rPr>
  </w:style>
  <w:style w:type="paragraph" w:styleId="35">
    <w:name w:val="toc 2"/>
    <w:basedOn w:val="1"/>
    <w:next w:val="1"/>
    <w:unhideWhenUsed/>
    <w:qFormat/>
    <w:uiPriority w:val="39"/>
    <w:pPr>
      <w:ind w:left="420" w:leftChars="200"/>
    </w:pPr>
    <w:rPr>
      <w:rFonts w:ascii="Calibri" w:hAnsi="Calibri"/>
      <w:szCs w:val="22"/>
    </w:rPr>
  </w:style>
  <w:style w:type="paragraph" w:styleId="36">
    <w:name w:val="toc 9"/>
    <w:basedOn w:val="1"/>
    <w:next w:val="1"/>
    <w:unhideWhenUsed/>
    <w:qFormat/>
    <w:uiPriority w:val="0"/>
    <w:pPr>
      <w:ind w:left="3360" w:leftChars="1600"/>
    </w:pPr>
    <w:rPr>
      <w:rFonts w:ascii="Calibri" w:hAnsi="Calibri"/>
      <w:szCs w:val="22"/>
    </w:rPr>
  </w:style>
  <w:style w:type="paragraph" w:styleId="37">
    <w:name w:val="HTML Preformatted"/>
    <w:basedOn w:val="1"/>
    <w:link w:val="67"/>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link w:val="68"/>
    <w:unhideWhenUsed/>
    <w:qFormat/>
    <w:uiPriority w:val="0"/>
    <w:pPr>
      <w:widowControl/>
      <w:spacing w:before="100" w:beforeAutospacing="1" w:after="100" w:afterAutospacing="1"/>
      <w:jc w:val="left"/>
    </w:pPr>
    <w:rPr>
      <w:rFonts w:ascii="宋体" w:hAnsi="宋体" w:cs="宋体"/>
      <w:sz w:val="24"/>
    </w:rPr>
  </w:style>
  <w:style w:type="paragraph" w:styleId="39">
    <w:name w:val="index 1"/>
    <w:basedOn w:val="1"/>
    <w:next w:val="1"/>
    <w:unhideWhenUsed/>
    <w:qFormat/>
    <w:uiPriority w:val="0"/>
    <w:pPr>
      <w:spacing w:line="220" w:lineRule="exact"/>
      <w:jc w:val="center"/>
    </w:pPr>
    <w:rPr>
      <w:rFonts w:ascii="仿宋_GB2312" w:hAnsi="Calibri" w:eastAsia="仿宋_GB2312"/>
      <w:szCs w:val="22"/>
    </w:rPr>
  </w:style>
  <w:style w:type="paragraph" w:styleId="40">
    <w:name w:val="Title"/>
    <w:basedOn w:val="1"/>
    <w:link w:val="71"/>
    <w:qFormat/>
    <w:uiPriority w:val="10"/>
    <w:pPr>
      <w:adjustRightInd w:val="0"/>
      <w:spacing w:before="240" w:after="60" w:line="420" w:lineRule="atLeast"/>
      <w:jc w:val="center"/>
      <w:outlineLvl w:val="0"/>
    </w:pPr>
    <w:rPr>
      <w:rFonts w:ascii="Arial" w:hAnsi="Arial"/>
      <w:b/>
      <w:kern w:val="0"/>
      <w:sz w:val="32"/>
      <w:szCs w:val="20"/>
    </w:rPr>
  </w:style>
  <w:style w:type="paragraph" w:styleId="41">
    <w:name w:val="annotation subject"/>
    <w:basedOn w:val="16"/>
    <w:next w:val="16"/>
    <w:link w:val="82"/>
    <w:unhideWhenUsed/>
    <w:qFormat/>
    <w:uiPriority w:val="0"/>
    <w:rPr>
      <w:b/>
      <w:bCs/>
    </w:rPr>
  </w:style>
  <w:style w:type="paragraph" w:styleId="42">
    <w:name w:val="Body Text First Indent"/>
    <w:basedOn w:val="18"/>
    <w:unhideWhenUsed/>
    <w:qFormat/>
    <w:uiPriority w:val="99"/>
    <w:pPr>
      <w:ind w:firstLine="420" w:firstLineChars="100"/>
    </w:pPr>
  </w:style>
  <w:style w:type="paragraph" w:styleId="43">
    <w:name w:val="Body Text First Indent 2"/>
    <w:basedOn w:val="19"/>
    <w:link w:val="76"/>
    <w:unhideWhenUsed/>
    <w:qFormat/>
    <w:uiPriority w:val="0"/>
    <w:pPr>
      <w:spacing w:line="360" w:lineRule="auto"/>
      <w:ind w:firstLine="200" w:firstLineChars="200"/>
    </w:pPr>
    <w:rPr>
      <w:rFonts w:ascii="宋体"/>
      <w:szCs w:val="20"/>
    </w:rPr>
  </w:style>
  <w:style w:type="table" w:styleId="45">
    <w:name w:val="Table Grid"/>
    <w:basedOn w:val="44"/>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basedOn w:val="46"/>
    <w:qFormat/>
    <w:uiPriority w:val="22"/>
    <w:rPr>
      <w:rFonts w:hint="default" w:ascii="Times New Roman" w:hAnsi="Times New Roman" w:cs="Times New Roman"/>
      <w:b/>
    </w:rPr>
  </w:style>
  <w:style w:type="character" w:styleId="48">
    <w:name w:val="page number"/>
    <w:unhideWhenUsed/>
    <w:qFormat/>
    <w:uiPriority w:val="0"/>
    <w:rPr>
      <w:rFonts w:hint="eastAsia" w:ascii="宋体" w:hAnsi="宋体" w:eastAsia="宋体"/>
      <w:b/>
      <w:spacing w:val="0"/>
      <w:kern w:val="2"/>
      <w:sz w:val="24"/>
      <w:szCs w:val="24"/>
      <w:vertAlign w:val="baseline"/>
      <w:lang w:val="en-US" w:eastAsia="zh-CN" w:bidi="ar-SA"/>
    </w:rPr>
  </w:style>
  <w:style w:type="character" w:styleId="49">
    <w:name w:val="FollowedHyperlink"/>
    <w:unhideWhenUsed/>
    <w:qFormat/>
    <w:uiPriority w:val="0"/>
    <w:rPr>
      <w:color w:val="800080"/>
      <w:u w:val="single"/>
    </w:rPr>
  </w:style>
  <w:style w:type="character" w:styleId="50">
    <w:name w:val="Emphasis"/>
    <w:basedOn w:val="46"/>
    <w:qFormat/>
    <w:uiPriority w:val="0"/>
    <w:rPr>
      <w:color w:val="CC0000"/>
    </w:rPr>
  </w:style>
  <w:style w:type="character" w:styleId="51">
    <w:name w:val="Hyperlink"/>
    <w:unhideWhenUsed/>
    <w:qFormat/>
    <w:uiPriority w:val="99"/>
    <w:rPr>
      <w:color w:val="0000FF"/>
      <w:u w:val="single"/>
    </w:rPr>
  </w:style>
  <w:style w:type="character" w:styleId="52">
    <w:name w:val="annotation reference"/>
    <w:unhideWhenUsed/>
    <w:qFormat/>
    <w:uiPriority w:val="99"/>
    <w:rPr>
      <w:sz w:val="21"/>
      <w:szCs w:val="21"/>
    </w:rPr>
  </w:style>
  <w:style w:type="character" w:styleId="53">
    <w:name w:val="HTML Cite"/>
    <w:unhideWhenUsed/>
    <w:qFormat/>
    <w:uiPriority w:val="0"/>
    <w:rPr>
      <w:color w:val="008000"/>
    </w:rPr>
  </w:style>
  <w:style w:type="paragraph" w:customStyle="1" w:styleId="54">
    <w:name w:val="正文文本1"/>
    <w:basedOn w:val="1"/>
    <w:next w:val="55"/>
    <w:qFormat/>
    <w:uiPriority w:val="99"/>
    <w:rPr>
      <w:rFonts w:ascii="华文中宋" w:eastAsia="华文中宋"/>
      <w:bCs/>
      <w:sz w:val="28"/>
    </w:rPr>
  </w:style>
  <w:style w:type="paragraph" w:customStyle="1" w:styleId="55">
    <w:name w:val="正文首行缩进1"/>
    <w:basedOn w:val="54"/>
    <w:next w:val="1"/>
    <w:qFormat/>
    <w:uiPriority w:val="0"/>
    <w:pPr>
      <w:spacing w:after="120"/>
      <w:ind w:firstLine="420"/>
    </w:pPr>
    <w:rPr>
      <w:rFonts w:ascii="Times New Roman" w:eastAsia="宋体"/>
      <w:b/>
      <w:bCs w:val="0"/>
      <w:sz w:val="21"/>
    </w:rPr>
  </w:style>
  <w:style w:type="character" w:customStyle="1" w:styleId="56">
    <w:name w:val="页眉 Char"/>
    <w:basedOn w:val="46"/>
    <w:link w:val="29"/>
    <w:qFormat/>
    <w:uiPriority w:val="0"/>
    <w:rPr>
      <w:sz w:val="18"/>
      <w:szCs w:val="18"/>
    </w:rPr>
  </w:style>
  <w:style w:type="character" w:customStyle="1" w:styleId="57">
    <w:name w:val="页脚 Char"/>
    <w:basedOn w:val="46"/>
    <w:link w:val="28"/>
    <w:qFormat/>
    <w:uiPriority w:val="99"/>
    <w:rPr>
      <w:sz w:val="18"/>
      <w:szCs w:val="18"/>
    </w:rPr>
  </w:style>
  <w:style w:type="character" w:customStyle="1" w:styleId="58">
    <w:name w:val="标题 1 Char1"/>
    <w:basedOn w:val="46"/>
    <w:link w:val="3"/>
    <w:qFormat/>
    <w:uiPriority w:val="0"/>
    <w:rPr>
      <w:rFonts w:ascii="Times New Roman" w:hAnsi="Times New Roman" w:eastAsia="宋体" w:cs="Times New Roman"/>
      <w:b/>
      <w:bCs/>
      <w:kern w:val="44"/>
      <w:sz w:val="32"/>
      <w:szCs w:val="44"/>
    </w:rPr>
  </w:style>
  <w:style w:type="character" w:customStyle="1" w:styleId="59">
    <w:name w:val="标题 2 Char"/>
    <w:basedOn w:val="46"/>
    <w:link w:val="4"/>
    <w:semiHidden/>
    <w:qFormat/>
    <w:uiPriority w:val="0"/>
    <w:rPr>
      <w:rFonts w:ascii="Cambria" w:hAnsi="Cambria" w:eastAsia="宋体" w:cs="Times New Roman"/>
      <w:b/>
      <w:bCs/>
      <w:sz w:val="32"/>
      <w:szCs w:val="32"/>
    </w:rPr>
  </w:style>
  <w:style w:type="character" w:customStyle="1" w:styleId="60">
    <w:name w:val="标题 3 Char"/>
    <w:basedOn w:val="46"/>
    <w:link w:val="5"/>
    <w:semiHidden/>
    <w:qFormat/>
    <w:uiPriority w:val="0"/>
    <w:rPr>
      <w:rFonts w:ascii="Times New Roman" w:hAnsi="Times New Roman" w:eastAsia="宋体" w:cs="Times New Roman"/>
      <w:b/>
      <w:bCs/>
      <w:sz w:val="32"/>
      <w:szCs w:val="32"/>
    </w:rPr>
  </w:style>
  <w:style w:type="character" w:customStyle="1" w:styleId="61">
    <w:name w:val="标题 4 Char"/>
    <w:basedOn w:val="46"/>
    <w:link w:val="6"/>
    <w:qFormat/>
    <w:uiPriority w:val="0"/>
    <w:rPr>
      <w:rFonts w:asciiTheme="majorHAnsi" w:hAnsiTheme="majorHAnsi" w:eastAsiaTheme="majorEastAsia" w:cstheme="majorBidi"/>
      <w:b/>
      <w:bCs/>
      <w:sz w:val="28"/>
      <w:szCs w:val="28"/>
    </w:rPr>
  </w:style>
  <w:style w:type="character" w:customStyle="1" w:styleId="62">
    <w:name w:val="标题 5 Char"/>
    <w:basedOn w:val="46"/>
    <w:link w:val="7"/>
    <w:semiHidden/>
    <w:qFormat/>
    <w:uiPriority w:val="0"/>
    <w:rPr>
      <w:rFonts w:ascii="Times New Roman" w:hAnsi="Times New Roman" w:eastAsia="宋体" w:cs="Times New Roman"/>
      <w:b/>
      <w:bCs/>
      <w:sz w:val="28"/>
      <w:szCs w:val="28"/>
    </w:rPr>
  </w:style>
  <w:style w:type="character" w:customStyle="1" w:styleId="63">
    <w:name w:val="标题 6 Char"/>
    <w:basedOn w:val="46"/>
    <w:link w:val="8"/>
    <w:semiHidden/>
    <w:qFormat/>
    <w:uiPriority w:val="0"/>
    <w:rPr>
      <w:rFonts w:ascii="Cambria" w:hAnsi="Cambria" w:eastAsia="宋体" w:cs="Times New Roman"/>
      <w:b/>
      <w:bCs/>
      <w:sz w:val="24"/>
      <w:szCs w:val="24"/>
    </w:rPr>
  </w:style>
  <w:style w:type="character" w:customStyle="1" w:styleId="64">
    <w:name w:val="标题 7 Char"/>
    <w:basedOn w:val="46"/>
    <w:link w:val="9"/>
    <w:semiHidden/>
    <w:qFormat/>
    <w:uiPriority w:val="0"/>
    <w:rPr>
      <w:rFonts w:ascii="Times New Roman" w:hAnsi="Times New Roman" w:eastAsia="宋体" w:cs="Times New Roman"/>
      <w:b/>
      <w:bCs/>
      <w:sz w:val="24"/>
      <w:szCs w:val="24"/>
    </w:rPr>
  </w:style>
  <w:style w:type="character" w:customStyle="1" w:styleId="65">
    <w:name w:val="标题 8 Char"/>
    <w:basedOn w:val="46"/>
    <w:link w:val="10"/>
    <w:semiHidden/>
    <w:qFormat/>
    <w:uiPriority w:val="0"/>
    <w:rPr>
      <w:rFonts w:ascii="Cambria" w:hAnsi="Cambria" w:eastAsia="宋体" w:cs="Times New Roman"/>
      <w:sz w:val="24"/>
      <w:szCs w:val="24"/>
    </w:rPr>
  </w:style>
  <w:style w:type="character" w:customStyle="1" w:styleId="66">
    <w:name w:val="标题 9 Char"/>
    <w:basedOn w:val="46"/>
    <w:link w:val="11"/>
    <w:semiHidden/>
    <w:qFormat/>
    <w:uiPriority w:val="0"/>
    <w:rPr>
      <w:rFonts w:ascii="Cambria" w:hAnsi="Cambria" w:eastAsia="宋体" w:cs="Times New Roman"/>
      <w:szCs w:val="21"/>
    </w:rPr>
  </w:style>
  <w:style w:type="character" w:customStyle="1" w:styleId="67">
    <w:name w:val="HTML 预设格式 Char"/>
    <w:basedOn w:val="46"/>
    <w:link w:val="37"/>
    <w:semiHidden/>
    <w:qFormat/>
    <w:uiPriority w:val="0"/>
    <w:rPr>
      <w:rFonts w:ascii="宋体" w:hAnsi="宋体" w:eastAsia="宋体" w:cs="Times New Roman"/>
      <w:kern w:val="0"/>
      <w:sz w:val="24"/>
      <w:szCs w:val="24"/>
    </w:rPr>
  </w:style>
  <w:style w:type="character" w:customStyle="1" w:styleId="68">
    <w:name w:val="普通(网站) Char"/>
    <w:link w:val="38"/>
    <w:qFormat/>
    <w:locked/>
    <w:uiPriority w:val="0"/>
    <w:rPr>
      <w:rFonts w:ascii="宋体" w:hAnsi="宋体" w:eastAsia="宋体" w:cs="宋体"/>
      <w:sz w:val="24"/>
      <w:szCs w:val="24"/>
    </w:rPr>
  </w:style>
  <w:style w:type="paragraph" w:customStyle="1" w:styleId="69">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70">
    <w:name w:val="批注文字 字符"/>
    <w:basedOn w:val="46"/>
    <w:qFormat/>
    <w:uiPriority w:val="99"/>
    <w:rPr>
      <w:rFonts w:ascii="Times New Roman" w:hAnsi="Times New Roman" w:eastAsia="宋体" w:cs="Times New Roman"/>
      <w:szCs w:val="24"/>
    </w:rPr>
  </w:style>
  <w:style w:type="character" w:customStyle="1" w:styleId="71">
    <w:name w:val="标题 Char"/>
    <w:basedOn w:val="46"/>
    <w:link w:val="40"/>
    <w:qFormat/>
    <w:uiPriority w:val="0"/>
    <w:rPr>
      <w:rFonts w:ascii="Arial" w:hAnsi="Arial" w:eastAsia="宋体" w:cs="Times New Roman"/>
      <w:b/>
      <w:kern w:val="0"/>
      <w:sz w:val="32"/>
      <w:szCs w:val="20"/>
    </w:rPr>
  </w:style>
  <w:style w:type="character" w:customStyle="1" w:styleId="72">
    <w:name w:val="正文文本 Char3"/>
    <w:basedOn w:val="46"/>
    <w:link w:val="18"/>
    <w:qFormat/>
    <w:uiPriority w:val="0"/>
    <w:rPr>
      <w:rFonts w:ascii="Times New Roman" w:hAnsi="Times New Roman" w:eastAsia="幼圆" w:cs="Times New Roman"/>
      <w:b/>
      <w:bCs/>
      <w:sz w:val="44"/>
      <w:szCs w:val="24"/>
    </w:rPr>
  </w:style>
  <w:style w:type="character" w:customStyle="1" w:styleId="73">
    <w:name w:val="正文文本缩进 字符"/>
    <w:basedOn w:val="46"/>
    <w:semiHidden/>
    <w:qFormat/>
    <w:uiPriority w:val="0"/>
    <w:rPr>
      <w:rFonts w:ascii="Times New Roman" w:hAnsi="Times New Roman" w:eastAsia="宋体" w:cs="Times New Roman"/>
      <w:szCs w:val="24"/>
    </w:rPr>
  </w:style>
  <w:style w:type="character" w:customStyle="1" w:styleId="74">
    <w:name w:val="副标题 Char"/>
    <w:basedOn w:val="46"/>
    <w:link w:val="32"/>
    <w:qFormat/>
    <w:uiPriority w:val="0"/>
    <w:rPr>
      <w:rFonts w:ascii="Cambria" w:hAnsi="Cambria" w:eastAsia="宋体" w:cs="Times New Roman"/>
      <w:b/>
      <w:bCs/>
      <w:kern w:val="28"/>
      <w:sz w:val="32"/>
      <w:szCs w:val="32"/>
    </w:rPr>
  </w:style>
  <w:style w:type="character" w:customStyle="1" w:styleId="75">
    <w:name w:val="日期 Char"/>
    <w:basedOn w:val="46"/>
    <w:link w:val="25"/>
    <w:semiHidden/>
    <w:qFormat/>
    <w:uiPriority w:val="0"/>
    <w:rPr>
      <w:rFonts w:ascii="Times New Roman" w:hAnsi="Times New Roman" w:eastAsia="宋体" w:cs="Times New Roman"/>
      <w:szCs w:val="24"/>
    </w:rPr>
  </w:style>
  <w:style w:type="character" w:customStyle="1" w:styleId="76">
    <w:name w:val="正文首行缩进 2 Char"/>
    <w:basedOn w:val="73"/>
    <w:link w:val="43"/>
    <w:semiHidden/>
    <w:qFormat/>
    <w:uiPriority w:val="0"/>
    <w:rPr>
      <w:rFonts w:ascii="宋体" w:hAnsi="Times New Roman" w:eastAsia="宋体" w:cs="Times New Roman"/>
      <w:szCs w:val="20"/>
    </w:rPr>
  </w:style>
  <w:style w:type="character" w:customStyle="1" w:styleId="77">
    <w:name w:val="正文文本 3 Char"/>
    <w:basedOn w:val="46"/>
    <w:link w:val="17"/>
    <w:semiHidden/>
    <w:qFormat/>
    <w:uiPriority w:val="0"/>
    <w:rPr>
      <w:rFonts w:ascii="宋体" w:hAnsi="Times New Roman" w:eastAsia="宋体" w:cs="Times New Roman"/>
      <w:sz w:val="24"/>
      <w:szCs w:val="20"/>
    </w:rPr>
  </w:style>
  <w:style w:type="character" w:customStyle="1" w:styleId="78">
    <w:name w:val="正文文本缩进 2 Char"/>
    <w:basedOn w:val="46"/>
    <w:link w:val="26"/>
    <w:semiHidden/>
    <w:qFormat/>
    <w:uiPriority w:val="99"/>
    <w:rPr>
      <w:rFonts w:ascii="宋体" w:hAnsi="Times New Roman" w:eastAsia="宋体" w:cs="Times New Roman"/>
      <w:kern w:val="0"/>
      <w:sz w:val="20"/>
      <w:szCs w:val="20"/>
    </w:rPr>
  </w:style>
  <w:style w:type="character" w:customStyle="1" w:styleId="79">
    <w:name w:val="正文文本缩进 3 Char"/>
    <w:basedOn w:val="46"/>
    <w:link w:val="34"/>
    <w:semiHidden/>
    <w:qFormat/>
    <w:uiPriority w:val="0"/>
    <w:rPr>
      <w:rFonts w:ascii="Times New Roman" w:hAnsi="Times New Roman" w:eastAsia="宋体" w:cs="Times New Roman"/>
      <w:sz w:val="16"/>
      <w:szCs w:val="20"/>
    </w:rPr>
  </w:style>
  <w:style w:type="character" w:customStyle="1" w:styleId="80">
    <w:name w:val="文档结构图 Char"/>
    <w:basedOn w:val="46"/>
    <w:link w:val="15"/>
    <w:semiHidden/>
    <w:qFormat/>
    <w:uiPriority w:val="0"/>
    <w:rPr>
      <w:rFonts w:ascii="宋体" w:hAnsi="Times New Roman" w:eastAsia="宋体" w:cs="Times New Roman"/>
      <w:sz w:val="18"/>
      <w:szCs w:val="18"/>
    </w:rPr>
  </w:style>
  <w:style w:type="character" w:customStyle="1" w:styleId="81">
    <w:name w:val="纯文本 Char"/>
    <w:basedOn w:val="46"/>
    <w:link w:val="23"/>
    <w:semiHidden/>
    <w:qFormat/>
    <w:uiPriority w:val="99"/>
    <w:rPr>
      <w:rFonts w:ascii="Ari" w:hAnsi="Times New Roman" w:eastAsia="宋体" w:cs="Times New Roman"/>
      <w:kern w:val="0"/>
      <w:sz w:val="20"/>
      <w:szCs w:val="20"/>
    </w:rPr>
  </w:style>
  <w:style w:type="character" w:customStyle="1" w:styleId="82">
    <w:name w:val="批注主题 Char"/>
    <w:basedOn w:val="70"/>
    <w:link w:val="41"/>
    <w:semiHidden/>
    <w:qFormat/>
    <w:uiPriority w:val="0"/>
    <w:rPr>
      <w:rFonts w:ascii="Times New Roman" w:hAnsi="Times New Roman" w:eastAsia="宋体" w:cs="Times New Roman"/>
      <w:b/>
      <w:bCs/>
      <w:szCs w:val="24"/>
    </w:rPr>
  </w:style>
  <w:style w:type="character" w:customStyle="1" w:styleId="83">
    <w:name w:val="批注框文本 Char"/>
    <w:basedOn w:val="46"/>
    <w:link w:val="27"/>
    <w:semiHidden/>
    <w:qFormat/>
    <w:uiPriority w:val="0"/>
    <w:rPr>
      <w:rFonts w:ascii="Times New Roman" w:hAnsi="Times New Roman" w:eastAsia="宋体" w:cs="Times New Roman"/>
      <w:sz w:val="18"/>
      <w:szCs w:val="18"/>
    </w:rPr>
  </w:style>
  <w:style w:type="paragraph" w:customStyle="1" w:styleId="84">
    <w:name w:val="无间隔1"/>
    <w:qFormat/>
    <w:uiPriority w:val="1"/>
    <w:pPr>
      <w:widowControl w:val="0"/>
      <w:spacing w:after="160" w:line="259" w:lineRule="auto"/>
      <w:jc w:val="both"/>
    </w:pPr>
    <w:rPr>
      <w:rFonts w:ascii="Times New Roman" w:hAnsi="Times New Roman" w:eastAsia="宋体" w:cs="Times New Roman"/>
      <w:kern w:val="2"/>
      <w:sz w:val="21"/>
      <w:szCs w:val="22"/>
      <w:lang w:val="en-US" w:eastAsia="zh-CN" w:bidi="ar-SA"/>
    </w:rPr>
  </w:style>
  <w:style w:type="paragraph" w:customStyle="1" w:styleId="85">
    <w:name w:val="修订1"/>
    <w:semiHidden/>
    <w:qFormat/>
    <w:uiPriority w:val="0"/>
    <w:pPr>
      <w:spacing w:after="160" w:line="259" w:lineRule="auto"/>
    </w:pPr>
    <w:rPr>
      <w:rFonts w:ascii="Times New Roman" w:hAnsi="Times New Roman" w:eastAsia="宋体" w:cs="Times New Roman"/>
      <w:kern w:val="2"/>
      <w:sz w:val="21"/>
      <w:szCs w:val="24"/>
      <w:lang w:val="en-US" w:eastAsia="zh-CN" w:bidi="ar-SA"/>
    </w:rPr>
  </w:style>
  <w:style w:type="character" w:customStyle="1" w:styleId="86">
    <w:name w:val="列表段落 字符"/>
    <w:link w:val="2"/>
    <w:qFormat/>
    <w:locked/>
    <w:uiPriority w:val="34"/>
    <w:rPr>
      <w:szCs w:val="24"/>
    </w:rPr>
  </w:style>
  <w:style w:type="paragraph" w:customStyle="1" w:styleId="87">
    <w:name w:val="引用1"/>
    <w:basedOn w:val="1"/>
    <w:next w:val="1"/>
    <w:link w:val="88"/>
    <w:qFormat/>
    <w:uiPriority w:val="0"/>
    <w:rPr>
      <w:i/>
      <w:iCs/>
      <w:color w:val="000000"/>
      <w:kern w:val="0"/>
      <w:sz w:val="20"/>
      <w:szCs w:val="20"/>
    </w:rPr>
  </w:style>
  <w:style w:type="character" w:customStyle="1" w:styleId="88">
    <w:name w:val="引用 字符"/>
    <w:basedOn w:val="46"/>
    <w:link w:val="87"/>
    <w:qFormat/>
    <w:uiPriority w:val="0"/>
    <w:rPr>
      <w:rFonts w:ascii="Times New Roman" w:hAnsi="Times New Roman" w:eastAsia="宋体" w:cs="Times New Roman"/>
      <w:i/>
      <w:iCs/>
      <w:color w:val="000000"/>
      <w:kern w:val="0"/>
      <w:sz w:val="20"/>
      <w:szCs w:val="20"/>
    </w:rPr>
  </w:style>
  <w:style w:type="paragraph" w:customStyle="1" w:styleId="89">
    <w:name w:val="明显引用1"/>
    <w:basedOn w:val="1"/>
    <w:next w:val="1"/>
    <w:link w:val="9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0">
    <w:name w:val="明显引用 字符"/>
    <w:basedOn w:val="46"/>
    <w:link w:val="89"/>
    <w:qFormat/>
    <w:uiPriority w:val="0"/>
    <w:rPr>
      <w:rFonts w:ascii="Times New Roman" w:hAnsi="Times New Roman" w:eastAsia="宋体" w:cs="Times New Roman"/>
      <w:b/>
      <w:bCs/>
      <w:i/>
      <w:iCs/>
      <w:color w:val="4F81BD"/>
      <w:kern w:val="0"/>
      <w:sz w:val="20"/>
      <w:szCs w:val="20"/>
    </w:rPr>
  </w:style>
  <w:style w:type="paragraph" w:customStyle="1" w:styleId="91">
    <w:name w:val="TOC 标题1"/>
    <w:basedOn w:val="3"/>
    <w:next w:val="1"/>
    <w:unhideWhenUsed/>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92">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character" w:customStyle="1" w:styleId="93">
    <w:name w:val="列出段落 字符"/>
    <w:link w:val="94"/>
    <w:qFormat/>
    <w:locked/>
    <w:uiPriority w:val="34"/>
    <w:rPr>
      <w:szCs w:val="24"/>
    </w:rPr>
  </w:style>
  <w:style w:type="paragraph" w:customStyle="1" w:styleId="94">
    <w:name w:val="_Style 98"/>
    <w:basedOn w:val="1"/>
    <w:next w:val="2"/>
    <w:link w:val="93"/>
    <w:qFormat/>
    <w:uiPriority w:val="34"/>
    <w:pPr>
      <w:ind w:firstLine="420" w:firstLineChars="200"/>
    </w:pPr>
    <w:rPr>
      <w:rFonts w:asciiTheme="minorHAnsi" w:hAnsiTheme="minorHAnsi" w:eastAsiaTheme="minorEastAsia" w:cstheme="minorBidi"/>
    </w:rPr>
  </w:style>
  <w:style w:type="paragraph" w:customStyle="1" w:styleId="9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96">
    <w:name w:val="flNote"/>
    <w:basedOn w:val="1"/>
    <w:qFormat/>
    <w:uiPriority w:val="0"/>
    <w:pPr>
      <w:adjustRightInd w:val="0"/>
      <w:spacing w:before="320" w:line="360" w:lineRule="atLeast"/>
      <w:jc w:val="center"/>
    </w:pPr>
    <w:rPr>
      <w:rFonts w:ascii="Arial" w:hAnsi="Calibri" w:eastAsia="黑体"/>
      <w:kern w:val="0"/>
      <w:sz w:val="30"/>
      <w:szCs w:val="22"/>
    </w:rPr>
  </w:style>
  <w:style w:type="paragraph" w:customStyle="1" w:styleId="97">
    <w:name w:val="6'"/>
    <w:basedOn w:val="1"/>
    <w:qFormat/>
    <w:uiPriority w:val="0"/>
    <w:pPr>
      <w:autoSpaceDE w:val="0"/>
      <w:autoSpaceDN w:val="0"/>
      <w:adjustRightInd w:val="0"/>
      <w:snapToGrid w:val="0"/>
      <w:spacing w:line="320" w:lineRule="exact"/>
      <w:jc w:val="center"/>
    </w:pPr>
    <w:rPr>
      <w:rFonts w:ascii="Calibri" w:hAnsi="Calibri"/>
      <w:spacing w:val="20"/>
      <w:kern w:val="28"/>
      <w:szCs w:val="22"/>
    </w:rPr>
  </w:style>
  <w:style w:type="paragraph" w:customStyle="1" w:styleId="98">
    <w:name w:val="正文1"/>
    <w:qFormat/>
    <w:uiPriority w:val="0"/>
    <w:pPr>
      <w:widowControl w:val="0"/>
      <w:spacing w:after="160" w:line="259" w:lineRule="auto"/>
      <w:jc w:val="both"/>
    </w:pPr>
    <w:rPr>
      <w:rFonts w:ascii="Times New Roman" w:hAnsi="Times New Roman" w:eastAsia="宋体" w:cs="Times New Roman"/>
      <w:lang w:val="en-US" w:eastAsia="zh-CN" w:bidi="ar-SA"/>
    </w:rPr>
  </w:style>
  <w:style w:type="paragraph" w:customStyle="1" w:styleId="99">
    <w:name w:val="List Paragraph1"/>
    <w:basedOn w:val="1"/>
    <w:qFormat/>
    <w:uiPriority w:val="34"/>
    <w:pPr>
      <w:autoSpaceDE w:val="0"/>
      <w:autoSpaceDN w:val="0"/>
      <w:spacing w:after="200" w:line="276" w:lineRule="auto"/>
      <w:ind w:left="800" w:leftChars="400"/>
    </w:pPr>
    <w:rPr>
      <w:rFonts w:ascii="Malgun Gothic" w:hAnsi="Malgun Gothic" w:eastAsia="Malgun Gothic"/>
      <w:szCs w:val="22"/>
    </w:rPr>
  </w:style>
  <w:style w:type="paragraph" w:customStyle="1" w:styleId="100">
    <w:name w:val="_Style 2"/>
    <w:basedOn w:val="1"/>
    <w:qFormat/>
    <w:uiPriority w:val="99"/>
    <w:pPr>
      <w:spacing w:after="200" w:line="276" w:lineRule="auto"/>
      <w:ind w:firstLine="420" w:firstLineChars="200"/>
    </w:pPr>
  </w:style>
  <w:style w:type="paragraph" w:customStyle="1" w:styleId="101">
    <w:name w:val="Char Char Char Char Char Char Char"/>
    <w:basedOn w:val="1"/>
    <w:qFormat/>
    <w:uiPriority w:val="0"/>
    <w:pPr>
      <w:adjustRightInd w:val="0"/>
      <w:spacing w:line="360" w:lineRule="auto"/>
    </w:pPr>
    <w:rPr>
      <w:kern w:val="0"/>
      <w:sz w:val="24"/>
      <w:szCs w:val="20"/>
    </w:rPr>
  </w:style>
  <w:style w:type="paragraph" w:customStyle="1" w:styleId="102">
    <w:name w:val="_Style 36"/>
    <w:next w:val="1"/>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103">
    <w:name w:val="标题2"/>
    <w:basedOn w:val="4"/>
    <w:next w:val="18"/>
    <w:qFormat/>
    <w:uiPriority w:val="0"/>
    <w:pPr>
      <w:spacing w:before="156" w:after="156" w:line="360" w:lineRule="auto"/>
    </w:pPr>
    <w:rPr>
      <w:bCs w:val="0"/>
      <w:sz w:val="24"/>
    </w:rPr>
  </w:style>
  <w:style w:type="paragraph" w:customStyle="1" w:styleId="104">
    <w:name w:val="表格"/>
    <w:basedOn w:val="1"/>
    <w:qFormat/>
    <w:uiPriority w:val="0"/>
    <w:pPr>
      <w:jc w:val="center"/>
    </w:pPr>
    <w:rPr>
      <w:rFonts w:ascii="华文细黑" w:hAnsi="华文细黑"/>
      <w:kern w:val="0"/>
      <w:szCs w:val="22"/>
    </w:rPr>
  </w:style>
  <w:style w:type="paragraph" w:customStyle="1" w:styleId="105">
    <w:name w:val="列出段落2"/>
    <w:basedOn w:val="1"/>
    <w:qFormat/>
    <w:uiPriority w:val="99"/>
    <w:pPr>
      <w:ind w:firstLine="420" w:firstLineChars="200"/>
    </w:pPr>
  </w:style>
  <w:style w:type="paragraph" w:customStyle="1" w:styleId="10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正文_0_0_0"/>
    <w:qFormat/>
    <w:uiPriority w:val="0"/>
    <w:pPr>
      <w:widowControl w:val="0"/>
      <w:spacing w:after="160" w:line="259" w:lineRule="auto"/>
      <w:jc w:val="both"/>
    </w:pPr>
    <w:rPr>
      <w:rFonts w:ascii="Times New Roman" w:hAnsi="Times New Roman" w:eastAsia="宋体" w:cs="Times New Roman"/>
      <w:lang w:val="en-US" w:eastAsia="zh-CN" w:bidi="ar-SA"/>
    </w:rPr>
  </w:style>
  <w:style w:type="character" w:customStyle="1" w:styleId="108">
    <w:name w:val="标题5 Char Char"/>
    <w:link w:val="109"/>
    <w:qFormat/>
    <w:locked/>
    <w:uiPriority w:val="0"/>
    <w:rPr>
      <w:rFonts w:ascii="Arial" w:hAnsi="Arial" w:cs="Arial"/>
      <w:b/>
      <w:bCs/>
      <w:sz w:val="24"/>
      <w:szCs w:val="32"/>
    </w:rPr>
  </w:style>
  <w:style w:type="paragraph" w:customStyle="1" w:styleId="109">
    <w:name w:val="标题5"/>
    <w:basedOn w:val="5"/>
    <w:link w:val="108"/>
    <w:qFormat/>
    <w:uiPriority w:val="0"/>
    <w:pPr>
      <w:numPr>
        <w:ilvl w:val="0"/>
        <w:numId w:val="0"/>
      </w:numPr>
      <w:spacing w:line="412" w:lineRule="auto"/>
    </w:pPr>
    <w:rPr>
      <w:rFonts w:ascii="Arial" w:hAnsi="Arial" w:cs="Arial" w:eastAsiaTheme="minorEastAsia"/>
      <w:sz w:val="24"/>
    </w:rPr>
  </w:style>
  <w:style w:type="paragraph" w:customStyle="1" w:styleId="110">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11">
    <w:name w:val="Char"/>
    <w:basedOn w:val="1"/>
    <w:qFormat/>
    <w:uiPriority w:val="0"/>
    <w:pPr>
      <w:widowControl/>
      <w:spacing w:line="240" w:lineRule="exact"/>
      <w:jc w:val="left"/>
    </w:pPr>
    <w:rPr>
      <w:rFonts w:ascii="Verdana" w:hAnsi="Verdana"/>
      <w:kern w:val="0"/>
      <w:sz w:val="20"/>
      <w:szCs w:val="20"/>
      <w:lang w:eastAsia="en-US"/>
    </w:rPr>
  </w:style>
  <w:style w:type="paragraph" w:customStyle="1" w:styleId="112">
    <w:name w:val="表格文字"/>
    <w:basedOn w:val="1"/>
    <w:qFormat/>
    <w:uiPriority w:val="0"/>
    <w:pPr>
      <w:adjustRightInd w:val="0"/>
      <w:spacing w:line="420" w:lineRule="atLeast"/>
      <w:jc w:val="left"/>
    </w:pPr>
    <w:rPr>
      <w:rFonts w:ascii="Calibri" w:hAnsi="Calibri"/>
      <w:kern w:val="0"/>
      <w:szCs w:val="22"/>
    </w:rPr>
  </w:style>
  <w:style w:type="paragraph" w:customStyle="1" w:styleId="113">
    <w:name w:val="p0"/>
    <w:basedOn w:val="1"/>
    <w:qFormat/>
    <w:uiPriority w:val="0"/>
    <w:pPr>
      <w:widowControl/>
    </w:pPr>
    <w:rPr>
      <w:b/>
      <w:bCs/>
      <w:kern w:val="0"/>
      <w:sz w:val="24"/>
    </w:rPr>
  </w:style>
  <w:style w:type="paragraph" w:customStyle="1" w:styleId="114">
    <w:name w:val="正文_3"/>
    <w:qFormat/>
    <w:uiPriority w:val="0"/>
    <w:pPr>
      <w:widowControl w:val="0"/>
      <w:spacing w:after="160" w:line="259" w:lineRule="auto"/>
      <w:jc w:val="both"/>
    </w:pPr>
    <w:rPr>
      <w:rFonts w:ascii="Times New Roman" w:hAnsi="Times New Roman" w:eastAsia="宋体" w:cs="Times New Roman"/>
      <w:kern w:val="2"/>
      <w:sz w:val="21"/>
      <w:szCs w:val="22"/>
      <w:lang w:val="en-US" w:eastAsia="zh-CN" w:bidi="ar-SA"/>
    </w:rPr>
  </w:style>
  <w:style w:type="paragraph" w:customStyle="1" w:styleId="115">
    <w:name w:val="标题 11"/>
    <w:basedOn w:val="98"/>
    <w:next w:val="98"/>
    <w:qFormat/>
    <w:uiPriority w:val="0"/>
    <w:pPr>
      <w:keepNext/>
      <w:keepLines/>
      <w:spacing w:before="340" w:after="330" w:line="576" w:lineRule="auto"/>
      <w:outlineLvl w:val="0"/>
    </w:pPr>
    <w:rPr>
      <w:rFonts w:eastAsia="Times New Roman"/>
      <w:b/>
      <w:kern w:val="44"/>
      <w:sz w:val="44"/>
      <w:lang w:val="zh-CN"/>
    </w:rPr>
  </w:style>
  <w:style w:type="paragraph" w:customStyle="1" w:styleId="116">
    <w:name w:val="1"/>
    <w:basedOn w:val="1"/>
    <w:next w:val="1"/>
    <w:qFormat/>
    <w:uiPriority w:val="0"/>
    <w:rPr>
      <w:rFonts w:ascii="Calibri" w:hAnsi="Calibri"/>
      <w:szCs w:val="22"/>
    </w:rPr>
  </w:style>
  <w:style w:type="paragraph" w:customStyle="1" w:styleId="117">
    <w:name w:val="0- 正文"/>
    <w:basedOn w:val="1"/>
    <w:qFormat/>
    <w:uiPriority w:val="0"/>
    <w:pPr>
      <w:widowControl/>
      <w:spacing w:line="360" w:lineRule="auto"/>
      <w:ind w:firstLine="482"/>
      <w:jc w:val="left"/>
    </w:pPr>
    <w:rPr>
      <w:rFonts w:ascii="Calibri" w:hAnsi="Calibri"/>
      <w:sz w:val="24"/>
      <w:szCs w:val="20"/>
    </w:rPr>
  </w:style>
  <w:style w:type="paragraph" w:customStyle="1" w:styleId="11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20">
    <w:name w:val="正文 + 行距: 固定值 20 磅"/>
    <w:basedOn w:val="1"/>
    <w:qFormat/>
    <w:uiPriority w:val="0"/>
    <w:pPr>
      <w:spacing w:line="400" w:lineRule="exact"/>
      <w:ind w:firstLine="716" w:firstLineChars="341"/>
    </w:pPr>
    <w:rPr>
      <w:rFonts w:ascii="Calibri" w:hAnsi="Calibri"/>
      <w:szCs w:val="22"/>
    </w:rPr>
  </w:style>
  <w:style w:type="paragraph" w:customStyle="1" w:styleId="121">
    <w:name w:val="正文_0"/>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122">
    <w:name w:val="文档正文"/>
    <w:basedOn w:val="1"/>
    <w:qFormat/>
    <w:uiPriority w:val="0"/>
    <w:pPr>
      <w:adjustRightInd w:val="0"/>
      <w:spacing w:line="480" w:lineRule="atLeast"/>
      <w:ind w:firstLine="567"/>
    </w:pPr>
    <w:rPr>
      <w:rFonts w:ascii="Ari" w:eastAsia="Ari"/>
      <w:kern w:val="0"/>
      <w:sz w:val="28"/>
      <w:szCs w:val="20"/>
    </w:rPr>
  </w:style>
  <w:style w:type="paragraph" w:customStyle="1" w:styleId="123">
    <w:name w:val="目录 5_0"/>
    <w:basedOn w:val="121"/>
    <w:next w:val="121"/>
    <w:qFormat/>
    <w:uiPriority w:val="39"/>
    <w:pPr>
      <w:ind w:left="1680" w:leftChars="800"/>
    </w:pPr>
    <w:rPr>
      <w:rFonts w:ascii="Calibri" w:hAnsi="Calibri"/>
    </w:rPr>
  </w:style>
  <w:style w:type="paragraph" w:customStyle="1" w:styleId="124">
    <w:name w:val="1方案格式1"/>
    <w:basedOn w:val="3"/>
    <w:qFormat/>
    <w:uiPriority w:val="0"/>
    <w:pPr>
      <w:numPr>
        <w:numId w:val="2"/>
      </w:numPr>
      <w:tabs>
        <w:tab w:val="left" w:pos="360"/>
      </w:tabs>
      <w:spacing w:before="0" w:beforeLines="50" w:after="0" w:afterLines="50" w:line="360" w:lineRule="auto"/>
      <w:ind w:firstLine="0"/>
    </w:pPr>
    <w:rPr>
      <w:rFonts w:eastAsia="微软雅黑"/>
      <w:bCs w:val="0"/>
      <w:sz w:val="48"/>
    </w:rPr>
  </w:style>
  <w:style w:type="paragraph" w:customStyle="1" w:styleId="125">
    <w:name w:val="List Paragraph2"/>
    <w:basedOn w:val="1"/>
    <w:qFormat/>
    <w:uiPriority w:val="99"/>
    <w:pPr>
      <w:widowControl/>
      <w:ind w:left="720"/>
      <w:contextualSpacing/>
      <w:jc w:val="left"/>
    </w:pPr>
    <w:rPr>
      <w:rFonts w:ascii="Arial" w:hAnsi="Arial" w:eastAsia="黑体"/>
      <w:kern w:val="0"/>
      <w:sz w:val="24"/>
      <w:lang w:eastAsia="en-US"/>
    </w:rPr>
  </w:style>
  <w:style w:type="paragraph" w:customStyle="1" w:styleId="126">
    <w:name w:val="2方案格式2"/>
    <w:basedOn w:val="124"/>
    <w:qFormat/>
    <w:uiPriority w:val="0"/>
    <w:pPr>
      <w:numPr>
        <w:ilvl w:val="1"/>
      </w:numPr>
      <w:spacing w:line="240" w:lineRule="auto"/>
      <w:ind w:left="850"/>
      <w:outlineLvl w:val="1"/>
    </w:pPr>
    <w:rPr>
      <w:sz w:val="44"/>
    </w:rPr>
  </w:style>
  <w:style w:type="paragraph" w:customStyle="1" w:styleId="127">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28">
    <w:name w:val="_Style 34"/>
    <w:next w:val="1"/>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129">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character" w:customStyle="1" w:styleId="130">
    <w:name w:val="标题4 Char Char"/>
    <w:link w:val="131"/>
    <w:qFormat/>
    <w:locked/>
    <w:uiPriority w:val="0"/>
    <w:rPr>
      <w:rFonts w:ascii="Arial" w:hAnsi="Arial" w:cs="Arial"/>
      <w:b/>
      <w:bCs/>
      <w:sz w:val="24"/>
      <w:szCs w:val="32"/>
    </w:rPr>
  </w:style>
  <w:style w:type="paragraph" w:customStyle="1" w:styleId="131">
    <w:name w:val="标题4"/>
    <w:basedOn w:val="4"/>
    <w:next w:val="20"/>
    <w:link w:val="130"/>
    <w:qFormat/>
    <w:uiPriority w:val="0"/>
    <w:pPr>
      <w:numPr>
        <w:ilvl w:val="0"/>
        <w:numId w:val="0"/>
      </w:numPr>
      <w:spacing w:line="412" w:lineRule="auto"/>
    </w:pPr>
    <w:rPr>
      <w:rFonts w:ascii="Arial" w:hAnsi="Arial" w:cs="Arial" w:eastAsiaTheme="minorEastAsia"/>
      <w:sz w:val="24"/>
    </w:rPr>
  </w:style>
  <w:style w:type="character" w:customStyle="1" w:styleId="132">
    <w:name w:val="标题 1 Char_0"/>
    <w:link w:val="133"/>
    <w:qFormat/>
    <w:locked/>
    <w:uiPriority w:val="0"/>
    <w:rPr>
      <w:b/>
      <w:bCs/>
      <w:kern w:val="44"/>
      <w:sz w:val="44"/>
      <w:szCs w:val="44"/>
    </w:rPr>
  </w:style>
  <w:style w:type="paragraph" w:customStyle="1" w:styleId="133">
    <w:name w:val="标题 1_0"/>
    <w:basedOn w:val="121"/>
    <w:next w:val="121"/>
    <w:link w:val="132"/>
    <w:qFormat/>
    <w:uiPriority w:val="0"/>
    <w:pPr>
      <w:keepNext/>
      <w:keepLines/>
      <w:spacing w:before="340" w:after="330" w:line="576" w:lineRule="auto"/>
      <w:outlineLvl w:val="0"/>
    </w:pPr>
    <w:rPr>
      <w:rFonts w:asciiTheme="minorHAnsi" w:hAnsiTheme="minorHAnsi" w:eastAsiaTheme="minorEastAsia" w:cstheme="minorBidi"/>
      <w:b/>
      <w:bCs/>
      <w:kern w:val="44"/>
      <w:sz w:val="44"/>
      <w:szCs w:val="44"/>
    </w:rPr>
  </w:style>
  <w:style w:type="paragraph" w:customStyle="1" w:styleId="134">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135">
    <w:name w:val="空半行"/>
    <w:basedOn w:val="1"/>
    <w:qFormat/>
    <w:uiPriority w:val="0"/>
    <w:pPr>
      <w:adjustRightInd w:val="0"/>
      <w:spacing w:line="120" w:lineRule="exact"/>
    </w:pPr>
    <w:rPr>
      <w:rFonts w:ascii="Calibri" w:hAnsi="Calibri" w:eastAsia="仿宋_GB2312"/>
      <w:color w:val="FFFFFF"/>
      <w:kern w:val="0"/>
      <w:sz w:val="30"/>
      <w:szCs w:val="22"/>
    </w:rPr>
  </w:style>
  <w:style w:type="paragraph" w:customStyle="1" w:styleId="136">
    <w:name w:val="正文空2字"/>
    <w:basedOn w:val="1"/>
    <w:qFormat/>
    <w:locked/>
    <w:uiPriority w:val="0"/>
    <w:pPr>
      <w:spacing w:beforeLines="40" w:afterLines="40" w:line="360" w:lineRule="auto"/>
      <w:ind w:firstLine="200" w:firstLineChars="200"/>
    </w:pPr>
    <w:rPr>
      <w:kern w:val="0"/>
      <w:sz w:val="24"/>
      <w:lang w:bidi="en-US"/>
    </w:rPr>
  </w:style>
  <w:style w:type="character" w:customStyle="1" w:styleId="137">
    <w:name w:val="标题 3 Char_0"/>
    <w:link w:val="138"/>
    <w:qFormat/>
    <w:locked/>
    <w:uiPriority w:val="0"/>
    <w:rPr>
      <w:b/>
      <w:bCs/>
      <w:sz w:val="32"/>
      <w:szCs w:val="32"/>
    </w:rPr>
  </w:style>
  <w:style w:type="paragraph" w:customStyle="1" w:styleId="138">
    <w:name w:val="标题 3_0"/>
    <w:basedOn w:val="121"/>
    <w:next w:val="121"/>
    <w:link w:val="137"/>
    <w:qFormat/>
    <w:uiPriority w:val="0"/>
    <w:pPr>
      <w:keepNext/>
      <w:keepLines/>
      <w:spacing w:before="260" w:after="260" w:line="415" w:lineRule="auto"/>
      <w:outlineLvl w:val="2"/>
    </w:pPr>
    <w:rPr>
      <w:rFonts w:asciiTheme="minorHAnsi" w:hAnsiTheme="minorHAnsi" w:eastAsiaTheme="minorEastAsia" w:cstheme="minorBidi"/>
      <w:b/>
      <w:bCs/>
      <w:sz w:val="32"/>
      <w:szCs w:val="32"/>
    </w:rPr>
  </w:style>
  <w:style w:type="character" w:customStyle="1" w:styleId="139">
    <w:name w:val="标题 2 Char_0"/>
    <w:link w:val="140"/>
    <w:qFormat/>
    <w:locked/>
    <w:uiPriority w:val="0"/>
    <w:rPr>
      <w:rFonts w:ascii="Cambria" w:hAnsi="Cambria"/>
      <w:b/>
      <w:bCs/>
      <w:sz w:val="32"/>
      <w:szCs w:val="32"/>
    </w:rPr>
  </w:style>
  <w:style w:type="paragraph" w:customStyle="1" w:styleId="140">
    <w:name w:val="标题 2_0"/>
    <w:basedOn w:val="121"/>
    <w:next w:val="121"/>
    <w:link w:val="139"/>
    <w:qFormat/>
    <w:uiPriority w:val="0"/>
    <w:pPr>
      <w:keepNext/>
      <w:keepLines/>
      <w:spacing w:before="260" w:after="260" w:line="415" w:lineRule="auto"/>
      <w:outlineLvl w:val="1"/>
    </w:pPr>
    <w:rPr>
      <w:rFonts w:ascii="Cambria" w:hAnsi="Cambria" w:eastAsiaTheme="minorEastAsia" w:cstheme="minorBidi"/>
      <w:b/>
      <w:bCs/>
      <w:sz w:val="32"/>
      <w:szCs w:val="32"/>
    </w:rPr>
  </w:style>
  <w:style w:type="character" w:customStyle="1" w:styleId="141">
    <w:name w:val="正文文本 Char_0"/>
    <w:link w:val="142"/>
    <w:qFormat/>
    <w:locked/>
    <w:uiPriority w:val="0"/>
    <w:rPr>
      <w:szCs w:val="24"/>
    </w:rPr>
  </w:style>
  <w:style w:type="paragraph" w:customStyle="1" w:styleId="142">
    <w:name w:val="正文文本_0"/>
    <w:basedOn w:val="121"/>
    <w:link w:val="141"/>
    <w:qFormat/>
    <w:uiPriority w:val="0"/>
    <w:pPr>
      <w:spacing w:after="120"/>
    </w:pPr>
    <w:rPr>
      <w:rFonts w:asciiTheme="minorHAnsi" w:hAnsiTheme="minorHAnsi" w:eastAsiaTheme="minorEastAsia" w:cstheme="minorBidi"/>
    </w:rPr>
  </w:style>
  <w:style w:type="paragraph" w:customStyle="1" w:styleId="143">
    <w:name w:val="目录 3_0"/>
    <w:basedOn w:val="121"/>
    <w:next w:val="121"/>
    <w:qFormat/>
    <w:uiPriority w:val="39"/>
    <w:pPr>
      <w:ind w:left="840" w:leftChars="400"/>
    </w:pPr>
    <w:rPr>
      <w:rFonts w:ascii="Calibri" w:hAnsi="Calibri"/>
    </w:rPr>
  </w:style>
  <w:style w:type="paragraph" w:customStyle="1" w:styleId="144">
    <w:name w:val="列出段落1"/>
    <w:basedOn w:val="1"/>
    <w:qFormat/>
    <w:uiPriority w:val="0"/>
    <w:pPr>
      <w:widowControl/>
      <w:ind w:left="720"/>
      <w:contextualSpacing/>
      <w:jc w:val="left"/>
    </w:pPr>
    <w:rPr>
      <w:rFonts w:ascii="Arial" w:hAnsi="Arial" w:eastAsia="黑体"/>
      <w:kern w:val="0"/>
      <w:sz w:val="24"/>
      <w:lang w:eastAsia="en-US"/>
    </w:rPr>
  </w:style>
  <w:style w:type="paragraph" w:customStyle="1" w:styleId="145">
    <w:name w:val="段"/>
    <w:next w:val="1"/>
    <w:qFormat/>
    <w:uiPriority w:val="0"/>
    <w:pPr>
      <w:autoSpaceDE w:val="0"/>
      <w:autoSpaceDN w:val="0"/>
      <w:adjustRightInd w:val="0"/>
      <w:snapToGrid w:val="0"/>
      <w:spacing w:after="160"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46">
    <w:name w:val="普通正文"/>
    <w:basedOn w:val="1"/>
    <w:qFormat/>
    <w:uiPriority w:val="99"/>
    <w:pPr>
      <w:adjustRightInd w:val="0"/>
      <w:spacing w:before="120" w:after="120" w:line="360" w:lineRule="auto"/>
      <w:ind w:firstLine="480"/>
      <w:jc w:val="left"/>
    </w:pPr>
    <w:rPr>
      <w:rFonts w:ascii="Arial" w:hAnsi="Arial"/>
      <w:kern w:val="0"/>
      <w:sz w:val="24"/>
    </w:rPr>
  </w:style>
  <w:style w:type="paragraph" w:customStyle="1" w:styleId="147">
    <w:name w:val="Default"/>
    <w:qFormat/>
    <w:uiPriority w:val="0"/>
    <w:pPr>
      <w:widowControl w:val="0"/>
      <w:autoSpaceDE w:val="0"/>
      <w:autoSpaceDN w:val="0"/>
      <w:adjustRightInd w:val="0"/>
      <w:spacing w:after="160" w:line="259" w:lineRule="auto"/>
    </w:pPr>
    <w:rPr>
      <w:rFonts w:ascii="宋体" w:hAnsi="Times New Roman" w:eastAsia="宋体" w:cs="宋体"/>
      <w:color w:val="000000"/>
      <w:sz w:val="24"/>
      <w:szCs w:val="24"/>
      <w:lang w:val="en-US" w:eastAsia="zh-CN" w:bidi="ar-SA"/>
    </w:rPr>
  </w:style>
  <w:style w:type="character" w:customStyle="1" w:styleId="148">
    <w:name w:val="不明显强调1"/>
    <w:qFormat/>
    <w:uiPriority w:val="0"/>
    <w:rPr>
      <w:i/>
      <w:iCs/>
      <w:color w:val="808080"/>
    </w:rPr>
  </w:style>
  <w:style w:type="character" w:customStyle="1" w:styleId="149">
    <w:name w:val="明显强调1"/>
    <w:qFormat/>
    <w:uiPriority w:val="0"/>
    <w:rPr>
      <w:b/>
      <w:bCs/>
      <w:i/>
      <w:iCs/>
      <w:color w:val="4F81BD"/>
    </w:rPr>
  </w:style>
  <w:style w:type="character" w:customStyle="1" w:styleId="150">
    <w:name w:val="不明显参考1"/>
    <w:qFormat/>
    <w:uiPriority w:val="0"/>
    <w:rPr>
      <w:smallCaps/>
      <w:color w:val="C0504D"/>
      <w:u w:val="single"/>
    </w:rPr>
  </w:style>
  <w:style w:type="character" w:customStyle="1" w:styleId="151">
    <w:name w:val="明显参考1"/>
    <w:qFormat/>
    <w:uiPriority w:val="0"/>
    <w:rPr>
      <w:b/>
      <w:bCs/>
      <w:smallCaps/>
      <w:color w:val="C0504D"/>
      <w:spacing w:val="5"/>
      <w:u w:val="single"/>
    </w:rPr>
  </w:style>
  <w:style w:type="character" w:customStyle="1" w:styleId="152">
    <w:name w:val="书籍标题1"/>
    <w:qFormat/>
    <w:uiPriority w:val="0"/>
    <w:rPr>
      <w:b/>
      <w:bCs/>
      <w:smallCaps/>
      <w:spacing w:val="5"/>
    </w:rPr>
  </w:style>
  <w:style w:type="character" w:customStyle="1" w:styleId="153">
    <w:name w:val="副标题 Char1"/>
    <w:qFormat/>
    <w:uiPriority w:val="11"/>
    <w:rPr>
      <w:rFonts w:hint="default" w:ascii="Cambria" w:hAnsi="Cambria" w:cs="Times New Roman"/>
      <w:b/>
      <w:bCs/>
      <w:kern w:val="28"/>
      <w:sz w:val="32"/>
      <w:szCs w:val="32"/>
    </w:rPr>
  </w:style>
  <w:style w:type="character" w:customStyle="1" w:styleId="154">
    <w:name w:val="bookmark"/>
    <w:basedOn w:val="46"/>
    <w:qFormat/>
    <w:uiPriority w:val="0"/>
  </w:style>
  <w:style w:type="character" w:customStyle="1" w:styleId="155">
    <w:name w:val="正文文本 Char1"/>
    <w:qFormat/>
    <w:uiPriority w:val="0"/>
    <w:rPr>
      <w:rFonts w:hint="default" w:ascii="Calibri" w:hAnsi="Calibri" w:eastAsia="宋体" w:cs="Times New Roman"/>
    </w:rPr>
  </w:style>
  <w:style w:type="character" w:customStyle="1" w:styleId="156">
    <w:name w:val="font11"/>
    <w:qFormat/>
    <w:uiPriority w:val="0"/>
    <w:rPr>
      <w:rFonts w:hint="eastAsia" w:ascii="宋体" w:hAnsi="宋体" w:eastAsia="宋体" w:cs="宋体"/>
      <w:color w:val="000000"/>
      <w:sz w:val="20"/>
      <w:szCs w:val="20"/>
      <w:u w:val="none"/>
    </w:rPr>
  </w:style>
  <w:style w:type="character" w:customStyle="1" w:styleId="157">
    <w:name w:val="引用 Char1"/>
    <w:qFormat/>
    <w:uiPriority w:val="29"/>
    <w:rPr>
      <w:i/>
      <w:iCs/>
      <w:color w:val="000000"/>
      <w:kern w:val="2"/>
      <w:sz w:val="21"/>
    </w:rPr>
  </w:style>
  <w:style w:type="character" w:customStyle="1" w:styleId="158">
    <w:name w:val="bookmark-item"/>
    <w:basedOn w:val="46"/>
    <w:qFormat/>
    <w:uiPriority w:val="0"/>
  </w:style>
  <w:style w:type="character" w:customStyle="1" w:styleId="159">
    <w:name w:val="批注文字 Char2"/>
    <w:qFormat/>
    <w:uiPriority w:val="0"/>
    <w:rPr>
      <w:kern w:val="2"/>
      <w:sz w:val="21"/>
    </w:rPr>
  </w:style>
  <w:style w:type="character" w:customStyle="1" w:styleId="160">
    <w:name w:val="文档结构图 Char1"/>
    <w:qFormat/>
    <w:uiPriority w:val="0"/>
    <w:rPr>
      <w:rFonts w:hint="eastAsia" w:ascii="宋体" w:hAnsi="Calibri" w:eastAsia="宋体" w:cs="Times New Roman"/>
      <w:sz w:val="18"/>
      <w:szCs w:val="18"/>
    </w:rPr>
  </w:style>
  <w:style w:type="character" w:customStyle="1" w:styleId="161">
    <w:name w:val="页脚 Char1"/>
    <w:semiHidden/>
    <w:qFormat/>
    <w:uiPriority w:val="99"/>
    <w:rPr>
      <w:rFonts w:hint="default" w:ascii="Calibri" w:hAnsi="Calibri" w:eastAsia="宋体" w:cs="Times New Roman"/>
      <w:sz w:val="18"/>
      <w:szCs w:val="18"/>
    </w:rPr>
  </w:style>
  <w:style w:type="character" w:customStyle="1" w:styleId="162">
    <w:name w:val="font31"/>
    <w:qFormat/>
    <w:uiPriority w:val="0"/>
    <w:rPr>
      <w:rFonts w:hint="eastAsia" w:ascii="宋体" w:hAnsi="宋体" w:eastAsia="宋体" w:cs="宋体"/>
      <w:color w:val="000000"/>
      <w:sz w:val="20"/>
      <w:szCs w:val="20"/>
      <w:u w:val="none"/>
    </w:rPr>
  </w:style>
  <w:style w:type="character" w:customStyle="1" w:styleId="163">
    <w:name w:val="标题 Char2"/>
    <w:qFormat/>
    <w:uiPriority w:val="10"/>
    <w:rPr>
      <w:rFonts w:hint="default" w:ascii="Cambria" w:hAnsi="Cambria" w:cs="Times New Roman"/>
      <w:b/>
      <w:bCs/>
      <w:kern w:val="2"/>
      <w:sz w:val="32"/>
      <w:szCs w:val="32"/>
    </w:rPr>
  </w:style>
  <w:style w:type="character" w:customStyle="1" w:styleId="164">
    <w:name w:val="textcontents"/>
    <w:qFormat/>
    <w:uiPriority w:val="0"/>
    <w:rPr>
      <w:rFonts w:hint="default" w:ascii="Times New Roman" w:hAnsi="Times New Roman" w:cs="Times New Roman"/>
    </w:rPr>
  </w:style>
  <w:style w:type="character" w:customStyle="1" w:styleId="165">
    <w:name w:val="引用 Char2"/>
    <w:qFormat/>
    <w:uiPriority w:val="99"/>
    <w:rPr>
      <w:i/>
      <w:iCs/>
      <w:color w:val="000000"/>
      <w:kern w:val="2"/>
      <w:sz w:val="21"/>
      <w:szCs w:val="24"/>
    </w:rPr>
  </w:style>
  <w:style w:type="character" w:customStyle="1" w:styleId="166">
    <w:name w:val="明显引用 Char1"/>
    <w:qFormat/>
    <w:uiPriority w:val="30"/>
    <w:rPr>
      <w:b/>
      <w:bCs/>
      <w:i/>
      <w:iCs/>
      <w:color w:val="4F81BD"/>
      <w:kern w:val="2"/>
      <w:sz w:val="21"/>
    </w:rPr>
  </w:style>
  <w:style w:type="character" w:customStyle="1" w:styleId="167">
    <w:name w:val="批注主题 Char1"/>
    <w:qFormat/>
    <w:uiPriority w:val="0"/>
    <w:rPr>
      <w:b/>
      <w:bCs/>
      <w:kern w:val="2"/>
      <w:sz w:val="21"/>
      <w:szCs w:val="22"/>
    </w:rPr>
  </w:style>
  <w:style w:type="character" w:customStyle="1" w:styleId="168">
    <w:name w:val="标题 Char1"/>
    <w:qFormat/>
    <w:uiPriority w:val="10"/>
    <w:rPr>
      <w:rFonts w:hint="default" w:ascii="Cambria" w:hAnsi="Cambria" w:eastAsia="宋体" w:cs="Times New Roman"/>
      <w:b/>
      <w:bCs/>
      <w:sz w:val="32"/>
      <w:szCs w:val="32"/>
    </w:rPr>
  </w:style>
  <w:style w:type="character" w:customStyle="1" w:styleId="169">
    <w:name w:val="批注文字 Char1"/>
    <w:qFormat/>
    <w:uiPriority w:val="0"/>
    <w:rPr>
      <w:rFonts w:hint="default" w:ascii="Calibri" w:hAnsi="Calibri" w:eastAsia="宋体" w:cs="Times New Roman"/>
    </w:rPr>
  </w:style>
  <w:style w:type="character" w:customStyle="1" w:styleId="170">
    <w:name w:val="页眉 Char1"/>
    <w:semiHidden/>
    <w:qFormat/>
    <w:uiPriority w:val="99"/>
    <w:rPr>
      <w:rFonts w:hint="default" w:ascii="Calibri" w:hAnsi="Calibri" w:eastAsia="宋体" w:cs="Times New Roman"/>
      <w:sz w:val="18"/>
      <w:szCs w:val="18"/>
    </w:rPr>
  </w:style>
  <w:style w:type="character" w:customStyle="1" w:styleId="171">
    <w:name w:val="font161"/>
    <w:qFormat/>
    <w:uiPriority w:val="0"/>
    <w:rPr>
      <w:b/>
      <w:sz w:val="32"/>
    </w:rPr>
  </w:style>
  <w:style w:type="character" w:customStyle="1" w:styleId="172">
    <w:name w:val="正文文本 Char2"/>
    <w:semiHidden/>
    <w:qFormat/>
    <w:uiPriority w:val="99"/>
    <w:rPr>
      <w:rFonts w:hint="default" w:ascii="Calibri" w:hAnsi="Calibri" w:eastAsia="宋体" w:cs="Times New Roman"/>
    </w:rPr>
  </w:style>
  <w:style w:type="character" w:customStyle="1" w:styleId="173">
    <w:name w:val="批注主题 Char2"/>
    <w:qFormat/>
    <w:uiPriority w:val="0"/>
    <w:rPr>
      <w:b/>
      <w:bCs/>
      <w:kern w:val="2"/>
      <w:sz w:val="21"/>
    </w:rPr>
  </w:style>
  <w:style w:type="character" w:customStyle="1" w:styleId="174">
    <w:name w:val="日期 Char1"/>
    <w:qFormat/>
    <w:uiPriority w:val="0"/>
    <w:rPr>
      <w:rFonts w:hint="default" w:ascii="Calibri" w:hAnsi="Calibri" w:eastAsia="宋体" w:cs="Times New Roman"/>
    </w:rPr>
  </w:style>
  <w:style w:type="character" w:customStyle="1" w:styleId="175">
    <w:name w:val="超链接_0"/>
    <w:qFormat/>
    <w:uiPriority w:val="99"/>
    <w:rPr>
      <w:rFonts w:hint="default" w:ascii="Calibri" w:hAnsi="Calibri" w:cs="Calibri"/>
      <w:color w:val="0000FF"/>
      <w:u w:val="single"/>
    </w:rPr>
  </w:style>
  <w:style w:type="paragraph" w:customStyle="1" w:styleId="176">
    <w:name w:val="标题 5_0"/>
    <w:basedOn w:val="121"/>
    <w:next w:val="121"/>
    <w:link w:val="177"/>
    <w:qFormat/>
    <w:uiPriority w:val="0"/>
    <w:pPr>
      <w:keepNext/>
      <w:keepLines/>
      <w:spacing w:before="280" w:after="290" w:line="372" w:lineRule="auto"/>
      <w:outlineLvl w:val="4"/>
    </w:pPr>
    <w:rPr>
      <w:rFonts w:ascii="Calibri" w:hAnsi="Calibri"/>
      <w:b/>
      <w:bCs/>
      <w:kern w:val="0"/>
      <w:sz w:val="28"/>
      <w:szCs w:val="28"/>
    </w:rPr>
  </w:style>
  <w:style w:type="character" w:customStyle="1" w:styleId="177">
    <w:name w:val="标题 5 Char_0"/>
    <w:link w:val="176"/>
    <w:qFormat/>
    <w:locked/>
    <w:uiPriority w:val="0"/>
    <w:rPr>
      <w:rFonts w:ascii="Calibri" w:hAnsi="Calibri" w:eastAsia="宋体" w:cs="Times New Roman"/>
      <w:b/>
      <w:bCs/>
      <w:kern w:val="0"/>
      <w:sz w:val="28"/>
      <w:szCs w:val="28"/>
    </w:rPr>
  </w:style>
  <w:style w:type="character" w:customStyle="1" w:styleId="178">
    <w:name w:val="文档结构图 Char2"/>
    <w:semiHidden/>
    <w:qFormat/>
    <w:uiPriority w:val="99"/>
    <w:rPr>
      <w:rFonts w:hint="eastAsia" w:ascii="宋体" w:hAnsi="Calibri" w:eastAsia="宋体" w:cs="Times New Roman"/>
      <w:sz w:val="18"/>
      <w:szCs w:val="18"/>
    </w:rPr>
  </w:style>
  <w:style w:type="paragraph" w:customStyle="1" w:styleId="179">
    <w:name w:val="标题 4_0"/>
    <w:basedOn w:val="121"/>
    <w:next w:val="121"/>
    <w:link w:val="180"/>
    <w:qFormat/>
    <w:uiPriority w:val="0"/>
    <w:pPr>
      <w:keepNext/>
      <w:keepLines/>
      <w:spacing w:before="280" w:after="290" w:line="374" w:lineRule="auto"/>
      <w:outlineLvl w:val="3"/>
    </w:pPr>
    <w:rPr>
      <w:rFonts w:ascii="Arial" w:hAnsi="Arial" w:eastAsia="黑体"/>
      <w:b/>
      <w:bCs/>
      <w:kern w:val="0"/>
      <w:sz w:val="28"/>
      <w:szCs w:val="28"/>
    </w:rPr>
  </w:style>
  <w:style w:type="character" w:customStyle="1" w:styleId="180">
    <w:name w:val="标题 4 Char_0"/>
    <w:link w:val="179"/>
    <w:qFormat/>
    <w:locked/>
    <w:uiPriority w:val="0"/>
    <w:rPr>
      <w:rFonts w:ascii="Arial" w:hAnsi="Arial" w:eastAsia="黑体" w:cs="Times New Roman"/>
      <w:b/>
      <w:bCs/>
      <w:kern w:val="0"/>
      <w:sz w:val="28"/>
      <w:szCs w:val="28"/>
    </w:rPr>
  </w:style>
  <w:style w:type="character" w:customStyle="1" w:styleId="181">
    <w:name w:val="明显引用 Char2"/>
    <w:qFormat/>
    <w:uiPriority w:val="99"/>
    <w:rPr>
      <w:b/>
      <w:bCs/>
      <w:i/>
      <w:iCs/>
      <w:color w:val="4F81BD"/>
      <w:kern w:val="2"/>
      <w:sz w:val="21"/>
      <w:szCs w:val="24"/>
    </w:rPr>
  </w:style>
  <w:style w:type="character" w:customStyle="1" w:styleId="182">
    <w:name w:val="rvts11"/>
    <w:qFormat/>
    <w:uiPriority w:val="0"/>
    <w:rPr>
      <w:rFonts w:hint="default" w:ascii="KNLe" w:hAnsi="KNLe"/>
      <w:sz w:val="24"/>
      <w:szCs w:val="24"/>
      <w:u w:val="single"/>
    </w:rPr>
  </w:style>
  <w:style w:type="character" w:customStyle="1" w:styleId="183">
    <w:name w:val="副标题 Char2"/>
    <w:qFormat/>
    <w:uiPriority w:val="11"/>
    <w:rPr>
      <w:rFonts w:hint="default" w:ascii="Cambria" w:hAnsi="Cambria" w:cs="Times New Roman"/>
      <w:b/>
      <w:bCs/>
      <w:kern w:val="28"/>
      <w:sz w:val="32"/>
      <w:szCs w:val="32"/>
    </w:rPr>
  </w:style>
  <w:style w:type="character" w:customStyle="1" w:styleId="184">
    <w:name w:val="批注框文本 Char2"/>
    <w:semiHidden/>
    <w:qFormat/>
    <w:uiPriority w:val="99"/>
    <w:rPr>
      <w:rFonts w:hint="default" w:ascii="Calibri" w:hAnsi="Calibri" w:eastAsia="宋体" w:cs="Times New Roman"/>
      <w:sz w:val="18"/>
      <w:szCs w:val="18"/>
    </w:rPr>
  </w:style>
  <w:style w:type="character" w:customStyle="1" w:styleId="185">
    <w:name w:val="正文文本缩进 3 Char1"/>
    <w:semiHidden/>
    <w:qFormat/>
    <w:uiPriority w:val="99"/>
    <w:rPr>
      <w:kern w:val="2"/>
      <w:sz w:val="16"/>
      <w:szCs w:val="16"/>
    </w:rPr>
  </w:style>
  <w:style w:type="character" w:customStyle="1" w:styleId="186">
    <w:name w:val="font21"/>
    <w:qFormat/>
    <w:uiPriority w:val="0"/>
    <w:rPr>
      <w:rFonts w:hint="eastAsia" w:ascii="宋体" w:hAnsi="宋体" w:eastAsia="宋体" w:cs="宋体"/>
      <w:color w:val="000000"/>
      <w:sz w:val="20"/>
      <w:szCs w:val="20"/>
      <w:u w:val="none"/>
    </w:rPr>
  </w:style>
  <w:style w:type="character" w:customStyle="1" w:styleId="187">
    <w:name w:val="日期 Char2"/>
    <w:semiHidden/>
    <w:qFormat/>
    <w:uiPriority w:val="99"/>
    <w:rPr>
      <w:rFonts w:hint="default" w:ascii="Calibri" w:hAnsi="Calibri" w:eastAsia="宋体" w:cs="Times New Roman"/>
    </w:rPr>
  </w:style>
  <w:style w:type="character" w:customStyle="1" w:styleId="188">
    <w:name w:val="正文文本 3 Char1"/>
    <w:semiHidden/>
    <w:qFormat/>
    <w:uiPriority w:val="99"/>
    <w:rPr>
      <w:kern w:val="2"/>
      <w:sz w:val="16"/>
      <w:szCs w:val="16"/>
    </w:rPr>
  </w:style>
  <w:style w:type="character" w:customStyle="1" w:styleId="189">
    <w:name w:val="批注框文本 Char1"/>
    <w:qFormat/>
    <w:uiPriority w:val="0"/>
    <w:rPr>
      <w:kern w:val="2"/>
      <w:sz w:val="18"/>
      <w:szCs w:val="18"/>
    </w:rPr>
  </w:style>
  <w:style w:type="character" w:customStyle="1" w:styleId="190">
    <w:name w:val="标题 1 Char"/>
    <w:qFormat/>
    <w:uiPriority w:val="0"/>
    <w:rPr>
      <w:b/>
      <w:bCs/>
      <w:kern w:val="44"/>
      <w:sz w:val="32"/>
      <w:szCs w:val="44"/>
    </w:rPr>
  </w:style>
  <w:style w:type="character" w:customStyle="1" w:styleId="191">
    <w:name w:val="副标题 字符1"/>
    <w:basedOn w:val="46"/>
    <w:qFormat/>
    <w:uiPriority w:val="11"/>
    <w:rPr>
      <w:rFonts w:hint="eastAsia" w:asciiTheme="minorHAnsi" w:hAnsiTheme="minorHAnsi" w:eastAsiaTheme="minorEastAsia" w:cstheme="minorBidi"/>
      <w:b/>
      <w:bCs/>
      <w:kern w:val="28"/>
      <w:sz w:val="32"/>
      <w:szCs w:val="32"/>
    </w:rPr>
  </w:style>
  <w:style w:type="character" w:customStyle="1" w:styleId="192">
    <w:name w:val="正文文本缩进 2 字符1"/>
    <w:basedOn w:val="46"/>
    <w:semiHidden/>
    <w:qFormat/>
    <w:uiPriority w:val="99"/>
    <w:rPr>
      <w:kern w:val="2"/>
      <w:sz w:val="21"/>
      <w:szCs w:val="24"/>
    </w:rPr>
  </w:style>
  <w:style w:type="character" w:customStyle="1" w:styleId="193">
    <w:name w:val="正文文本 字符1"/>
    <w:basedOn w:val="46"/>
    <w:semiHidden/>
    <w:qFormat/>
    <w:uiPriority w:val="0"/>
    <w:rPr>
      <w:kern w:val="2"/>
      <w:sz w:val="21"/>
      <w:szCs w:val="24"/>
    </w:rPr>
  </w:style>
  <w:style w:type="character" w:customStyle="1" w:styleId="194">
    <w:name w:val="HTML 预设格式 字符1"/>
    <w:basedOn w:val="46"/>
    <w:semiHidden/>
    <w:qFormat/>
    <w:uiPriority w:val="99"/>
    <w:rPr>
      <w:rFonts w:hint="default" w:ascii="Courier New" w:hAnsi="Courier New" w:cs="Courier New"/>
      <w:kern w:val="2"/>
    </w:rPr>
  </w:style>
  <w:style w:type="character" w:customStyle="1" w:styleId="195">
    <w:name w:val="纯文本 字符1"/>
    <w:basedOn w:val="46"/>
    <w:semiHidden/>
    <w:qFormat/>
    <w:uiPriority w:val="99"/>
    <w:rPr>
      <w:rFonts w:hint="eastAsia" w:hAnsi="Courier New" w:cs="Courier New" w:asciiTheme="minorEastAsia" w:eastAsiaTheme="minorEastAsia"/>
      <w:kern w:val="2"/>
      <w:sz w:val="21"/>
      <w:szCs w:val="24"/>
    </w:rPr>
  </w:style>
  <w:style w:type="character" w:customStyle="1" w:styleId="196">
    <w:name w:val="页脚 字符1"/>
    <w:basedOn w:val="46"/>
    <w:semiHidden/>
    <w:qFormat/>
    <w:uiPriority w:val="99"/>
    <w:rPr>
      <w:kern w:val="2"/>
      <w:sz w:val="18"/>
      <w:szCs w:val="18"/>
    </w:rPr>
  </w:style>
  <w:style w:type="character" w:customStyle="1" w:styleId="197">
    <w:name w:val="批注文字 Char"/>
    <w:basedOn w:val="46"/>
    <w:link w:val="16"/>
    <w:qFormat/>
    <w:locked/>
    <w:uiPriority w:val="99"/>
    <w:rPr>
      <w:rFonts w:ascii="Times New Roman" w:hAnsi="Times New Roman" w:eastAsia="宋体" w:cs="Times New Roman"/>
      <w:kern w:val="2"/>
      <w:sz w:val="21"/>
      <w:szCs w:val="24"/>
    </w:rPr>
  </w:style>
  <w:style w:type="character" w:customStyle="1" w:styleId="198">
    <w:name w:val="批注主题 字符1"/>
    <w:basedOn w:val="197"/>
    <w:semiHidden/>
    <w:qFormat/>
    <w:uiPriority w:val="99"/>
    <w:rPr>
      <w:rFonts w:ascii="Times New Roman" w:hAnsi="Times New Roman" w:eastAsia="宋体" w:cs="Times New Roman"/>
      <w:b/>
      <w:bCs/>
      <w:kern w:val="2"/>
      <w:sz w:val="21"/>
      <w:szCs w:val="24"/>
    </w:rPr>
  </w:style>
  <w:style w:type="character" w:customStyle="1" w:styleId="199">
    <w:name w:val="页眉 字符1"/>
    <w:basedOn w:val="46"/>
    <w:semiHidden/>
    <w:qFormat/>
    <w:uiPriority w:val="99"/>
    <w:rPr>
      <w:kern w:val="2"/>
      <w:sz w:val="18"/>
      <w:szCs w:val="18"/>
    </w:rPr>
  </w:style>
  <w:style w:type="character" w:customStyle="1" w:styleId="200">
    <w:name w:val="标题 字符1"/>
    <w:basedOn w:val="46"/>
    <w:qFormat/>
    <w:uiPriority w:val="10"/>
    <w:rPr>
      <w:rFonts w:hint="eastAsia" w:asciiTheme="majorHAnsi" w:hAnsiTheme="majorHAnsi" w:eastAsiaTheme="majorEastAsia" w:cstheme="majorBidi"/>
      <w:b/>
      <w:bCs/>
      <w:kern w:val="2"/>
      <w:sz w:val="32"/>
      <w:szCs w:val="32"/>
    </w:rPr>
  </w:style>
  <w:style w:type="character" w:customStyle="1" w:styleId="201">
    <w:name w:val="批注框文本 字符1"/>
    <w:basedOn w:val="46"/>
    <w:semiHidden/>
    <w:qFormat/>
    <w:uiPriority w:val="99"/>
    <w:rPr>
      <w:kern w:val="2"/>
      <w:sz w:val="18"/>
      <w:szCs w:val="18"/>
    </w:rPr>
  </w:style>
  <w:style w:type="character" w:customStyle="1" w:styleId="202">
    <w:name w:val="明显引用 字符1"/>
    <w:basedOn w:val="46"/>
    <w:qFormat/>
    <w:uiPriority w:val="30"/>
    <w:rPr>
      <w:i/>
      <w:iCs/>
      <w:color w:val="4472C4" w:themeColor="accent1"/>
      <w:kern w:val="2"/>
      <w:sz w:val="21"/>
      <w:szCs w:val="24"/>
      <w14:textFill>
        <w14:solidFill>
          <w14:schemeClr w14:val="accent1"/>
        </w14:solidFill>
      </w14:textFill>
    </w:rPr>
  </w:style>
  <w:style w:type="character" w:customStyle="1" w:styleId="203">
    <w:name w:val="文档结构图 字符1"/>
    <w:basedOn w:val="46"/>
    <w:semiHidden/>
    <w:qFormat/>
    <w:uiPriority w:val="99"/>
    <w:rPr>
      <w:rFonts w:hint="eastAsia" w:ascii="Microsoft YaHei UI" w:hAnsi="Microsoft YaHei UI" w:eastAsia="Microsoft YaHei UI"/>
      <w:kern w:val="2"/>
      <w:sz w:val="18"/>
      <w:szCs w:val="18"/>
    </w:rPr>
  </w:style>
  <w:style w:type="character" w:customStyle="1" w:styleId="204">
    <w:name w:val="正文文本缩进 Char"/>
    <w:basedOn w:val="46"/>
    <w:link w:val="19"/>
    <w:semiHidden/>
    <w:qFormat/>
    <w:locked/>
    <w:uiPriority w:val="0"/>
    <w:rPr>
      <w:rFonts w:ascii="Times New Roman" w:hAnsi="Times New Roman" w:eastAsia="宋体" w:cs="Times New Roman"/>
      <w:szCs w:val="24"/>
    </w:rPr>
  </w:style>
  <w:style w:type="character" w:customStyle="1" w:styleId="205">
    <w:name w:val="正文文本缩进 3 字符1"/>
    <w:basedOn w:val="46"/>
    <w:semiHidden/>
    <w:qFormat/>
    <w:uiPriority w:val="99"/>
    <w:rPr>
      <w:kern w:val="2"/>
      <w:sz w:val="16"/>
      <w:szCs w:val="16"/>
    </w:rPr>
  </w:style>
  <w:style w:type="character" w:customStyle="1" w:styleId="206">
    <w:name w:val="引用 字符1"/>
    <w:basedOn w:val="46"/>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07">
    <w:name w:val="正文文本 3 字符1"/>
    <w:basedOn w:val="46"/>
    <w:semiHidden/>
    <w:qFormat/>
    <w:uiPriority w:val="99"/>
    <w:rPr>
      <w:kern w:val="2"/>
      <w:sz w:val="16"/>
      <w:szCs w:val="16"/>
    </w:rPr>
  </w:style>
  <w:style w:type="character" w:customStyle="1" w:styleId="208">
    <w:name w:val="日期 字符1"/>
    <w:basedOn w:val="46"/>
    <w:semiHidden/>
    <w:qFormat/>
    <w:uiPriority w:val="99"/>
    <w:rPr>
      <w:kern w:val="2"/>
      <w:sz w:val="21"/>
      <w:szCs w:val="24"/>
    </w:rPr>
  </w:style>
  <w:style w:type="paragraph" w:customStyle="1" w:styleId="209">
    <w:name w:val="3方案格式3"/>
    <w:basedOn w:val="126"/>
    <w:qFormat/>
    <w:uiPriority w:val="0"/>
    <w:pPr>
      <w:numPr>
        <w:ilvl w:val="2"/>
      </w:numPr>
      <w:ind w:left="850"/>
      <w:outlineLvl w:val="2"/>
    </w:pPr>
    <w:rPr>
      <w:sz w:val="32"/>
    </w:rPr>
  </w:style>
  <w:style w:type="paragraph" w:customStyle="1" w:styleId="210">
    <w:name w:val="目录 4_0"/>
    <w:basedOn w:val="121"/>
    <w:next w:val="121"/>
    <w:qFormat/>
    <w:uiPriority w:val="39"/>
    <w:pPr>
      <w:ind w:left="1260" w:leftChars="600"/>
    </w:pPr>
    <w:rPr>
      <w:rFonts w:ascii="Calibri" w:hAnsi="Calibri"/>
    </w:rPr>
  </w:style>
  <w:style w:type="paragraph" w:customStyle="1" w:styleId="211">
    <w:name w:val="Blockquote_0"/>
    <w:basedOn w:val="121"/>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212">
    <w:name w:val="_Style 1"/>
    <w:basedOn w:val="1"/>
    <w:qFormat/>
    <w:uiPriority w:val="34"/>
    <w:pPr>
      <w:ind w:firstLine="420" w:firstLineChars="200"/>
    </w:pPr>
  </w:style>
  <w:style w:type="paragraph" w:customStyle="1" w:styleId="213">
    <w:name w:val="修订2"/>
    <w:hidden/>
    <w:semiHidden/>
    <w:qFormat/>
    <w:uiPriority w:val="99"/>
    <w:pPr>
      <w:spacing w:after="160" w:line="259" w:lineRule="auto"/>
    </w:pPr>
    <w:rPr>
      <w:rFonts w:ascii="Times New Roman" w:hAnsi="Times New Roman" w:eastAsia="宋体" w:cs="Times New Roman"/>
      <w:kern w:val="2"/>
      <w:sz w:val="21"/>
      <w:szCs w:val="24"/>
      <w:lang w:val="en-US" w:eastAsia="zh-CN" w:bidi="ar-SA"/>
    </w:rPr>
  </w:style>
  <w:style w:type="paragraph" w:customStyle="1" w:styleId="214">
    <w:name w:val="列表段落2"/>
    <w:basedOn w:val="1"/>
    <w:qFormat/>
    <w:uiPriority w:val="99"/>
    <w:pPr>
      <w:ind w:firstLine="420" w:firstLineChars="200"/>
    </w:pPr>
  </w:style>
  <w:style w:type="paragraph" w:customStyle="1" w:styleId="215">
    <w:name w:val="Überarbeitung1"/>
    <w:hidden/>
    <w:semiHidden/>
    <w:qFormat/>
    <w:uiPriority w:val="99"/>
    <w:pPr>
      <w:spacing w:after="160" w:line="259" w:lineRule="auto"/>
    </w:pPr>
    <w:rPr>
      <w:rFonts w:ascii="Times New Roman" w:hAnsi="Times New Roman" w:eastAsia="宋体" w:cs="Times New Roman"/>
      <w:kern w:val="2"/>
      <w:sz w:val="21"/>
      <w:szCs w:val="24"/>
      <w:lang w:val="en-US" w:eastAsia="zh-CN" w:bidi="ar-SA"/>
    </w:rPr>
  </w:style>
  <w:style w:type="paragraph" w:customStyle="1" w:styleId="216">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217">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18">
    <w:name w:val="列表段落3"/>
    <w:basedOn w:val="1"/>
    <w:qFormat/>
    <w:uiPriority w:val="34"/>
    <w:pPr>
      <w:spacing w:after="0" w:line="240" w:lineRule="auto"/>
      <w:ind w:firstLine="420" w:firstLineChars="200"/>
    </w:pPr>
    <w:rPr>
      <w:rFonts w:ascii="Calibri" w:hAnsi="Calibri"/>
      <w:szCs w:val="22"/>
    </w:rPr>
  </w:style>
  <w:style w:type="paragraph" w:customStyle="1" w:styleId="219">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20">
    <w:name w:val="列表段落4"/>
    <w:basedOn w:val="1"/>
    <w:qFormat/>
    <w:uiPriority w:val="34"/>
    <w:pPr>
      <w:spacing w:after="0" w:line="240" w:lineRule="auto"/>
      <w:ind w:firstLine="420" w:firstLineChars="200"/>
    </w:pPr>
    <w:rPr>
      <w:rFonts w:ascii="Calibri" w:hAnsi="Calibri"/>
      <w:szCs w:val="22"/>
    </w:rPr>
  </w:style>
  <w:style w:type="paragraph" w:styleId="221">
    <w:name w:val="List Paragraph"/>
    <w:basedOn w:val="1"/>
    <w:qFormat/>
    <w:uiPriority w:val="0"/>
    <w:pPr>
      <w:ind w:firstLine="420" w:firstLineChars="200"/>
    </w:pPr>
  </w:style>
  <w:style w:type="paragraph" w:customStyle="1" w:styleId="222">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223">
    <w:name w:val="修订7"/>
    <w:hidden/>
    <w:semiHidden/>
    <w:qFormat/>
    <w:uiPriority w:val="99"/>
    <w:rPr>
      <w:rFonts w:ascii="Times New Roman" w:hAnsi="Times New Roman" w:eastAsia="宋体" w:cs="Times New Roman"/>
      <w:kern w:val="2"/>
      <w:sz w:val="21"/>
      <w:szCs w:val="24"/>
      <w:lang w:val="en-US" w:eastAsia="zh-CN" w:bidi="ar-SA"/>
    </w:rPr>
  </w:style>
  <w:style w:type="character" w:customStyle="1" w:styleId="224">
    <w:name w:val="正文文本 Char"/>
    <w:qFormat/>
    <w:uiPriority w:val="0"/>
    <w:rPr>
      <w:rFonts w:ascii="Times New Roman" w:hAnsi="Times New Roman" w:eastAsia="幼圆"/>
      <w:b/>
      <w:bCs/>
      <w:kern w:val="2"/>
      <w:sz w:val="44"/>
      <w:szCs w:val="24"/>
    </w:rPr>
  </w:style>
  <w:style w:type="character" w:customStyle="1" w:styleId="225">
    <w:name w:val="批注文字 Char3"/>
    <w:qFormat/>
    <w:uiPriority w:val="99"/>
    <w:rPr>
      <w:kern w:val="2"/>
      <w:sz w:val="21"/>
      <w:szCs w:val="24"/>
    </w:rPr>
  </w:style>
  <w:style w:type="paragraph" w:customStyle="1" w:styleId="226">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27">
    <w:name w:val="修订9"/>
    <w:hidden/>
    <w:semiHidden/>
    <w:qFormat/>
    <w:uiPriority w:val="99"/>
    <w:rPr>
      <w:rFonts w:ascii="Times New Roman" w:hAnsi="Times New Roman" w:eastAsia="宋体" w:cs="Times New Roman"/>
      <w:kern w:val="2"/>
      <w:sz w:val="21"/>
      <w:szCs w:val="24"/>
      <w:lang w:val="en-US" w:eastAsia="zh-CN" w:bidi="ar-SA"/>
    </w:rPr>
  </w:style>
  <w:style w:type="paragraph" w:customStyle="1" w:styleId="228">
    <w:name w:val="修订10"/>
    <w:hidden/>
    <w:unhideWhenUsed/>
    <w:qFormat/>
    <w:uiPriority w:val="99"/>
    <w:rPr>
      <w:rFonts w:ascii="Times New Roman" w:hAnsi="Times New Roman" w:eastAsia="宋体" w:cs="Times New Roman"/>
      <w:kern w:val="2"/>
      <w:sz w:val="21"/>
      <w:szCs w:val="24"/>
      <w:lang w:val="en-US" w:eastAsia="zh-CN" w:bidi="ar-SA"/>
    </w:rPr>
  </w:style>
  <w:style w:type="paragraph" w:customStyle="1" w:styleId="229">
    <w:name w:val="修订11"/>
    <w:hidden/>
    <w:unhideWhenUsed/>
    <w:qFormat/>
    <w:uiPriority w:val="99"/>
    <w:rPr>
      <w:rFonts w:ascii="Times New Roman" w:hAnsi="Times New Roman" w:eastAsia="宋体" w:cs="Times New Roman"/>
      <w:kern w:val="2"/>
      <w:sz w:val="21"/>
      <w:szCs w:val="24"/>
      <w:lang w:val="en-US" w:eastAsia="zh-CN" w:bidi="ar-SA"/>
    </w:rPr>
  </w:style>
  <w:style w:type="paragraph" w:customStyle="1" w:styleId="230">
    <w:name w:val="修订12"/>
    <w:hidden/>
    <w:unhideWhenUsed/>
    <w:qFormat/>
    <w:uiPriority w:val="99"/>
    <w:rPr>
      <w:rFonts w:ascii="Times New Roman" w:hAnsi="Times New Roman" w:eastAsia="宋体" w:cs="Times New Roman"/>
      <w:kern w:val="2"/>
      <w:sz w:val="21"/>
      <w:szCs w:val="24"/>
      <w:lang w:val="en-US" w:eastAsia="zh-CN" w:bidi="ar-SA"/>
    </w:rPr>
  </w:style>
  <w:style w:type="paragraph" w:customStyle="1" w:styleId="231">
    <w:name w:val="修订13"/>
    <w:hidden/>
    <w:unhideWhenUsed/>
    <w:qFormat/>
    <w:uiPriority w:val="99"/>
    <w:rPr>
      <w:rFonts w:ascii="Times New Roman" w:hAnsi="Times New Roman" w:eastAsia="宋体" w:cs="Times New Roman"/>
      <w:kern w:val="2"/>
      <w:sz w:val="21"/>
      <w:szCs w:val="24"/>
      <w:lang w:val="en-US" w:eastAsia="zh-CN" w:bidi="ar-SA"/>
    </w:rPr>
  </w:style>
  <w:style w:type="paragraph" w:customStyle="1" w:styleId="232">
    <w:name w:val="正文缩进2字"/>
    <w:basedOn w:val="42"/>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h.a.l.m. Elektronik GmbH</Company>
  <Pages>64</Pages>
  <Words>1947</Words>
  <Characters>2269</Characters>
  <Lines>254</Lines>
  <Paragraphs>71</Paragraphs>
  <TotalTime>23</TotalTime>
  <ScaleCrop>false</ScaleCrop>
  <LinksUpToDate>false</LinksUpToDate>
  <CharactersWithSpaces>2322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2026-04-10T05:59:00Z</dcterms:created>
  <dc:creator>张 其伟</dc:creator>
  <cp:lastModifiedBy>Lenovo</cp:lastModifiedBy>
  <cp:lastPrinted>2022-11-15T01:22:00Z</cp:lastPrinted>
  <dcterms:modified xsi:type="dcterms:W3CDTF">2026-05-19T02:39:51Z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4A7DBC5BCA90433791D2AEA2BAB18EB7_13</vt:lpwstr>
  </property>
  <property fmtid="{D5CDD505-2E9C-101B-9397-08002B2CF9AE}" pid="4" name="_DocHome">
    <vt:i4>-1131788910</vt:i4>
  </property>
  <property fmtid="{D5CDD505-2E9C-101B-9397-08002B2CF9AE}" pid="5" name="KSOTemplateDocerSaveRecord">
    <vt:lpwstr>eyJoZGlkIjoiZWQ0NWNmOWM0MTYxMDU5NDhmNTYxMTc1NGJlYTk1ODAiLCJ1c2VySWQiOiIyMTc3NzUyNDEifQ==</vt:lpwstr>
  </property>
</Properties>
</file>