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35"/>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35"/>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35"/>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35"/>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35"/>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35"/>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35"/>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35"/>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永红街道道路建筑垃圾看护、巡查及无主垃圾的清运消纳项目</w:t>
      </w:r>
      <w:r>
        <w:rPr>
          <w:rFonts w:hint="eastAsia" w:ascii="宋体" w:hAnsi="宋体" w:eastAsia="宋体"/>
          <w:bCs/>
          <w:color w:val="000000"/>
          <w:sz w:val="36"/>
          <w:szCs w:val="36"/>
          <w:highlight w:val="none"/>
          <w:lang w:val="en-US" w:eastAsia="zh-CN"/>
        </w:rPr>
      </w:r>
      <w:r/>
    </w:p>
    <w:p>
      <w:pPr>
        <w:pStyle w:val="1035"/>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项目编号/包号：</w:t>
      </w:r>
      <w:r>
        <w:rPr>
          <w:rFonts w:hint="eastAsia" w:ascii="宋体" w:hAnsi="宋体"/>
          <w:bCs/>
          <w:color w:val="000000"/>
          <w:sz w:val="36"/>
          <w:szCs w:val="36"/>
          <w:highlight w:val="none"/>
        </w:rPr>
        <w:t xml:space="preserve">JSZC-320404004-CZJS-G2026-0001</w:t>
      </w:r>
      <w:r>
        <w:rPr>
          <w:rFonts w:hint="eastAsia" w:ascii="宋体" w:hAnsi="宋体" w:eastAsia="宋体"/>
          <w:bCs/>
          <w:color w:val="000000"/>
          <w:sz w:val="36"/>
          <w:szCs w:val="36"/>
          <w:highlight w:val="none"/>
          <w:lang w:eastAsia="zh-CN"/>
        </w:rPr>
      </w:r>
      <w:r/>
    </w:p>
    <w:p>
      <w:pPr>
        <w:pStyle w:val="1035"/>
        <w:ind w:left="2832" w:hanging="190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lang w:val="en-US" w:eastAsia="zh-CN"/>
        </w:rPr>
        <w:t xml:space="preserve">常州市钟楼区永红街道办事处</w:t>
      </w:r>
      <w:r>
        <w:rPr>
          <w:rFonts w:ascii="宋体" w:hAnsi="宋体" w:eastAsia="宋体"/>
          <w:bCs/>
          <w:color w:val="000000"/>
          <w:sz w:val="36"/>
          <w:szCs w:val="36"/>
          <w:highlight w:val="none"/>
          <w:lang w:val="en-US" w:eastAsia="zh-CN"/>
        </w:rPr>
      </w:r>
      <w:r/>
    </w:p>
    <w:p>
      <w:pPr>
        <w:pStyle w:val="1035"/>
        <w:ind w:left="2832" w:hanging="1900"/>
        <w:jc w:val="left"/>
        <w:spacing w:line="360" w:lineRule="auto"/>
        <w:tabs>
          <w:tab w:val="left" w:pos="3240" w:leader="none"/>
          <w:tab w:val="left" w:pos="3420" w:leader="none"/>
        </w:tabs>
        <w:rPr>
          <w:rFonts w:hint="eastAsia" w:ascii="宋体" w:hAnsi="宋体" w:eastAsia="宋体"/>
          <w:b/>
          <w:color w:val="000000"/>
          <w:sz w:val="72"/>
          <w:highlight w:val="none"/>
          <w:lang w:eastAsia="zh-CN"/>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lang w:eastAsia="zh-CN"/>
        </w:rPr>
        <w:t xml:space="preserve">江苏城致建设管理有限公司</w:t>
      </w:r>
      <w:r>
        <w:rPr>
          <w:rFonts w:hint="eastAsia" w:ascii="宋体" w:hAnsi="宋体" w:eastAsia="宋体"/>
          <w:b/>
          <w:color w:val="000000"/>
          <w:sz w:val="72"/>
          <w:highlight w:val="none"/>
          <w:lang w:eastAsia="zh-CN"/>
        </w:rPr>
      </w:r>
      <w:r/>
    </w:p>
    <w:p>
      <w:pPr>
        <w:pStyle w:val="1035"/>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35"/>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35"/>
        <w:rPr>
          <w:rFonts w:ascii="宋体" w:hAnsi="宋体"/>
          <w:color w:val="000000"/>
          <w:highlight w:val="none"/>
        </w:rPr>
      </w:pPr>
      <w:r>
        <w:rPr>
          <w:rFonts w:ascii="宋体" w:hAnsi="宋体"/>
          <w:color w:val="000000"/>
          <w:highlight w:val="none"/>
        </w:rPr>
      </w:r>
      <w:r/>
    </w:p>
    <w:p>
      <w:pPr>
        <w:pStyle w:val="1035"/>
        <w:rPr>
          <w:rFonts w:ascii="宋体" w:hAnsi="宋体"/>
          <w:color w:val="000000"/>
          <w:highlight w:val="none"/>
        </w:rPr>
      </w:pPr>
      <w:r>
        <w:rPr>
          <w:rFonts w:ascii="宋体" w:hAnsi="宋体"/>
          <w:color w:val="000000"/>
          <w:highlight w:val="none"/>
        </w:rPr>
      </w:r>
      <w:r/>
    </w:p>
    <w:p>
      <w:pPr>
        <w:pStyle w:val="1035"/>
        <w:rPr>
          <w:rFonts w:ascii="宋体" w:hAnsi="宋体"/>
          <w:color w:val="000000"/>
          <w:highlight w:val="none"/>
        </w:rPr>
      </w:pPr>
      <w:r>
        <w:rPr>
          <w:rFonts w:ascii="宋体" w:hAnsi="宋体"/>
          <w:color w:val="000000"/>
          <w:highlight w:val="none"/>
        </w:rPr>
      </w:r>
      <w:r/>
    </w:p>
    <w:p>
      <w:pPr>
        <w:pStyle w:val="1087"/>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08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10"/>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08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10"/>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08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10"/>
          <w:color w:val="000000"/>
          <w:sz w:val="32"/>
          <w:szCs w:val="32"/>
          <w:highlight w:val="none"/>
        </w:rPr>
        <w:t xml:space="preserve">第三章   资</w:t>
      </w:r>
      <w:bookmarkStart w:id="1" w:name="_Hlt100754117"/>
      <w:r>
        <w:rPr>
          <w:rStyle w:val="1110"/>
          <w:color w:val="000000"/>
          <w:sz w:val="32"/>
          <w:szCs w:val="32"/>
          <w:highlight w:val="none"/>
        </w:rPr>
        <w:t xml:space="preserve">格</w:t>
      </w:r>
      <w:bookmarkEnd w:id="1"/>
      <w:r>
        <w:rPr>
          <w:rStyle w:val="1110"/>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08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10"/>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08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10"/>
          <w:color w:val="000000"/>
          <w:sz w:val="32"/>
          <w:szCs w:val="32"/>
          <w:highlight w:val="none"/>
        </w:rPr>
        <w:t xml:space="preserve">第五章   采购</w:t>
      </w:r>
      <w:bookmarkStart w:id="2" w:name="_Hlt100754103"/>
      <w:r/>
      <w:bookmarkStart w:id="3" w:name="_Hlt100754102"/>
      <w:r>
        <w:rPr>
          <w:rStyle w:val="1110"/>
          <w:color w:val="000000"/>
          <w:sz w:val="32"/>
          <w:szCs w:val="32"/>
          <w:highlight w:val="none"/>
        </w:rPr>
        <w:t xml:space="preserve">需</w:t>
      </w:r>
      <w:bookmarkEnd w:id="2"/>
      <w:r/>
      <w:bookmarkEnd w:id="3"/>
      <w:r>
        <w:rPr>
          <w:rStyle w:val="1110"/>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08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10"/>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087"/>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10"/>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48</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087"/>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35"/>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35"/>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35"/>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Times New Roman"/>
          <w:color w:val="000000"/>
          <w:sz w:val="32"/>
          <w:szCs w:val="32"/>
          <w:highlight w:val="none"/>
          <w:lang w:eastAsia="zh-CN"/>
        </w:rPr>
        <w:t xml:space="preserve">永红街道道路建筑垃圾看护、巡查及无主垃圾的清运消纳项目</w:t>
      </w:r>
      <w:r>
        <w:rPr>
          <w:rFonts w:hint="eastAsia" w:ascii="仿宋" w:hAnsi="仿宋" w:eastAsia="仿宋" w:cs="Times New Roman"/>
          <w:color w:val="000000"/>
          <w:sz w:val="32"/>
          <w:szCs w:val="32"/>
          <w:highlight w:val="none"/>
        </w:rPr>
        <w:t xml:space="preserve">的潜在投标人应在“苏采云”政府采购一体化平台获取招标</w:t>
      </w:r>
      <w:r>
        <w:rPr>
          <w:rFonts w:hint="eastAsia" w:ascii="仿宋" w:hAnsi="仿宋" w:eastAsia="仿宋"/>
          <w:color w:val="000000"/>
          <w:sz w:val="32"/>
          <w:szCs w:val="32"/>
          <w:highlight w:val="none"/>
        </w:rPr>
        <w:t xml:space="preserve">文件，并于</w:t>
      </w:r>
      <w:r>
        <w:rPr>
          <w:rFonts w:hint="eastAsia" w:ascii="仿宋" w:hAnsi="仿宋" w:eastAsia="仿宋" w:cs="宋体"/>
          <w:b w:val="0"/>
          <w:bCs w:val="0"/>
          <w:color w:val="000000"/>
          <w:sz w:val="32"/>
          <w:szCs w:val="32"/>
          <w:highlight w:val="none"/>
          <w:lang w:eastAsia="zh-CN"/>
        </w:rPr>
        <w:t xml:space="preserve">2026年0</w:t>
      </w:r>
      <w:r>
        <w:rPr>
          <w:rFonts w:hint="eastAsia" w:ascii="仿宋" w:hAnsi="仿宋" w:eastAsia="仿宋" w:cs="宋体"/>
          <w:b w:val="0"/>
          <w:bCs w:val="0"/>
          <w:color w:val="000000"/>
          <w:sz w:val="32"/>
          <w:szCs w:val="32"/>
          <w:highlight w:val="none"/>
          <w:lang w:val="en-US" w:eastAsia="zh-CN"/>
        </w:rPr>
        <w:t xml:space="preserve">6</w:t>
      </w:r>
      <w:r>
        <w:rPr>
          <w:rFonts w:hint="eastAsia" w:ascii="仿宋" w:hAnsi="仿宋" w:eastAsia="仿宋" w:cs="宋体"/>
          <w:b w:val="0"/>
          <w:bCs w:val="0"/>
          <w:color w:val="000000"/>
          <w:sz w:val="32"/>
          <w:szCs w:val="32"/>
          <w:highlight w:val="none"/>
          <w:lang w:eastAsia="zh-CN"/>
        </w:rPr>
        <w:t xml:space="preserve">月</w:t>
      </w:r>
      <w:r>
        <w:rPr>
          <w:rFonts w:hint="eastAsia" w:ascii="仿宋" w:hAnsi="仿宋" w:eastAsia="仿宋" w:cs="宋体"/>
          <w:b w:val="0"/>
          <w:bCs w:val="0"/>
          <w:color w:val="000000"/>
          <w:sz w:val="32"/>
          <w:szCs w:val="32"/>
          <w:highlight w:val="none"/>
          <w:lang w:val="en-US" w:eastAsia="zh-CN"/>
        </w:rPr>
        <w:t xml:space="preserve">11</w:t>
      </w:r>
      <w:r>
        <w:rPr>
          <w:rFonts w:hint="eastAsia" w:ascii="仿宋" w:hAnsi="仿宋" w:eastAsia="仿宋" w:cs="宋体"/>
          <w:b w:val="0"/>
          <w:bCs w:val="0"/>
          <w:color w:val="000000"/>
          <w:sz w:val="32"/>
          <w:szCs w:val="32"/>
          <w:highlight w:val="none"/>
          <w:lang w:eastAsia="zh-CN"/>
        </w:rPr>
        <w:t xml:space="preserve">日</w:t>
      </w:r>
      <w:r>
        <w:rPr>
          <w:rFonts w:hint="eastAsia" w:ascii="仿宋" w:hAnsi="仿宋" w:eastAsia="仿宋" w:cs="宋体"/>
          <w:b w:val="0"/>
          <w:bCs w:val="0"/>
          <w:color w:val="000000"/>
          <w:sz w:val="32"/>
          <w:szCs w:val="32"/>
          <w:highlight w:val="none"/>
          <w:lang w:val="en-US" w:eastAsia="zh-CN"/>
        </w:rPr>
        <w:t xml:space="preserve">14</w:t>
      </w:r>
      <w:r>
        <w:rPr>
          <w:rFonts w:hint="eastAsia" w:ascii="仿宋" w:hAnsi="仿宋" w:eastAsia="仿宋" w:cs="宋体"/>
          <w:b w:val="0"/>
          <w:bCs w:val="0"/>
          <w:color w:val="000000"/>
          <w:sz w:val="32"/>
          <w:szCs w:val="32"/>
          <w:highlight w:val="none"/>
        </w:rPr>
        <w:t xml:space="preserve">点</w:t>
      </w:r>
      <w:r>
        <w:rPr>
          <w:rFonts w:hint="eastAsia" w:ascii="仿宋" w:hAnsi="仿宋" w:eastAsia="仿宋" w:cs="宋体"/>
          <w:b w:val="0"/>
          <w:bCs w:val="0"/>
          <w:color w:val="000000"/>
          <w:sz w:val="32"/>
          <w:szCs w:val="32"/>
          <w:highlight w:val="none"/>
          <w:lang w:val="en-US" w:eastAsia="zh-CN"/>
        </w:rPr>
        <w:t xml:space="preserve">00</w:t>
      </w:r>
      <w:r>
        <w:rPr>
          <w:rFonts w:hint="eastAsia" w:ascii="仿宋" w:hAnsi="仿宋" w:eastAsia="仿宋" w:cs="宋体"/>
          <w:b w:val="0"/>
          <w:bCs w:val="0"/>
          <w:color w:val="000000"/>
          <w:sz w:val="32"/>
          <w:szCs w:val="32"/>
          <w:highlight w:val="none"/>
        </w:rPr>
        <w:t xml:space="preserve">分</w:t>
      </w:r>
      <w:r>
        <w:rPr>
          <w:rFonts w:hint="eastAsia" w:ascii="仿宋" w:hAnsi="仿宋" w:eastAsia="仿宋" w:cs="宋体"/>
          <w:b w:val="0"/>
          <w:bCs w:val="0"/>
          <w:color w:val="000000"/>
          <w:sz w:val="32"/>
          <w:szCs w:val="32"/>
          <w:highlight w:val="none"/>
        </w:rPr>
        <w:t xml:space="preserve">（北京时间）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37"/>
        <w:ind w:firstLine="643"/>
        <w:jc w:val="left"/>
        <w:spacing w:before="240" w:line="360" w:lineRule="auto"/>
        <w:rPr>
          <w:rFonts w:ascii="仿宋" w:hAnsi="仿宋" w:eastAsia="仿宋"/>
          <w:color w:val="000000"/>
          <w:sz w:val="32"/>
          <w:szCs w:val="32"/>
          <w:highlight w:val="none"/>
        </w:rPr>
      </w:pPr>
      <w:r/>
      <w:bookmarkStart w:id="5" w:name="_Toc28359079"/>
      <w:r/>
      <w:bookmarkStart w:id="6" w:name="_Toc35393790"/>
      <w:r/>
      <w:bookmarkStart w:id="7" w:name="_Toc28359002"/>
      <w:r/>
      <w:bookmarkStart w:id="8" w:name="_Toc35393621"/>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35"/>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1.项目编号/包号：</w:t>
      </w:r>
      <w:r>
        <w:rPr>
          <w:rFonts w:hint="eastAsia" w:ascii="仿宋" w:hAnsi="仿宋" w:eastAsia="仿宋"/>
          <w:color w:val="000000"/>
          <w:sz w:val="32"/>
          <w:szCs w:val="32"/>
          <w:highlight w:val="none"/>
          <w:lang w:val="en-US" w:eastAsia="zh-CN" w:bidi="ar-SA"/>
        </w:rPr>
        <w:t xml:space="preserve">JSZC-320404004-CZJS-G2026-0001</w:t>
      </w:r>
      <w:r>
        <w:rPr>
          <w:rFonts w:hint="eastAsia" w:ascii="仿宋" w:hAnsi="仿宋" w:eastAsia="仿宋"/>
          <w:color w:val="000000"/>
          <w:sz w:val="32"/>
          <w:szCs w:val="32"/>
          <w:highlight w:val="none"/>
          <w:lang w:eastAsia="zh-CN"/>
        </w:rPr>
      </w:r>
      <w:r/>
    </w:p>
    <w:p>
      <w:pPr>
        <w:pStyle w:val="1035"/>
        <w:ind w:firstLine="640"/>
        <w:spacing w:line="360" w:lineRule="auto"/>
        <w:rPr>
          <w:rFonts w:ascii="仿宋" w:hAnsi="仿宋" w:eastAsia="仿宋"/>
          <w:color w:val="000000"/>
          <w:sz w:val="32"/>
          <w:szCs w:val="32"/>
          <w:highlight w:val="none"/>
          <w:lang w:val="en-US" w:eastAsia="zh-CN"/>
        </w:rPr>
      </w:pPr>
      <w:r>
        <w:rPr>
          <w:rFonts w:ascii="仿宋" w:hAnsi="仿宋" w:eastAsia="仿宋"/>
          <w:color w:val="000000"/>
          <w:sz w:val="32"/>
          <w:szCs w:val="32"/>
          <w:highlight w:val="none"/>
        </w:rPr>
        <w:t xml:space="preserve">2.项目名称：</w:t>
      </w:r>
      <w:r>
        <w:rPr>
          <w:rFonts w:hint="eastAsia" w:ascii="仿宋" w:hAnsi="仿宋" w:eastAsia="仿宋" w:cs="Times New Roman"/>
          <w:color w:val="000000"/>
          <w:sz w:val="32"/>
          <w:szCs w:val="32"/>
          <w:highlight w:val="none"/>
          <w:lang w:eastAsia="zh-CN"/>
        </w:rPr>
        <w:t xml:space="preserve">永红街道道路建筑垃圾看护、巡查及无主垃圾的清运消纳项目</w:t>
      </w:r>
      <w:r>
        <w:rPr>
          <w:rFonts w:ascii="仿宋" w:hAnsi="仿宋" w:eastAsia="仿宋"/>
          <w:color w:val="000000"/>
          <w:sz w:val="32"/>
          <w:szCs w:val="32"/>
          <w:highlight w:val="none"/>
          <w:lang w:val="en-US" w:eastAsia="zh-CN"/>
        </w:rPr>
      </w:r>
      <w:r/>
    </w:p>
    <w:p>
      <w:pPr>
        <w:pStyle w:val="1035"/>
        <w:ind w:firstLine="640"/>
        <w:spacing w:line="360" w:lineRule="auto"/>
        <w:rPr>
          <w:rFonts w:hint="eastAsia" w:ascii="仿宋" w:hAnsi="仿宋" w:eastAsia="仿宋"/>
          <w:color w:val="000000"/>
          <w:sz w:val="32"/>
          <w:szCs w:val="32"/>
          <w:highlight w:val="none"/>
          <w:lang w:val="en-US" w:eastAsia="zh-CN"/>
        </w:rPr>
      </w:pPr>
      <w:r/>
      <w:bookmarkEnd w:id="9"/>
      <w:r>
        <w:rPr>
          <w:rFonts w:ascii="仿宋" w:hAnsi="仿宋" w:eastAsia="仿宋"/>
          <w:color w:val="000000"/>
          <w:sz w:val="32"/>
          <w:szCs w:val="32"/>
          <w:highlight w:val="none"/>
        </w:rPr>
        <w:t xml:space="preserve">3.项目预算金额：</w:t>
      </w:r>
      <w:r>
        <w:rPr>
          <w:rFonts w:hint="eastAsia" w:ascii="仿宋" w:hAnsi="仿宋" w:eastAsia="仿宋"/>
          <w:bCs/>
          <w:color w:val="000000"/>
          <w:sz w:val="32"/>
          <w:szCs w:val="32"/>
          <w:highlight w:val="none"/>
          <w:lang w:val="en-US" w:eastAsia="zh-CN"/>
        </w:rPr>
        <w:t xml:space="preserve">114</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val="en-US" w:eastAsia="zh-CN"/>
        </w:rPr>
        <w:t xml:space="preserve">/2年</w:t>
      </w:r>
      <w:r>
        <w:rPr>
          <w:rFonts w:hint="eastAsia" w:ascii="仿宋" w:hAnsi="仿宋" w:eastAsia="仿宋"/>
          <w:color w:val="000000"/>
          <w:sz w:val="32"/>
          <w:szCs w:val="32"/>
          <w:highlight w:val="none"/>
          <w:lang w:eastAsia="zh-CN"/>
        </w:rPr>
        <w:t xml:space="preserve">，</w:t>
      </w:r>
      <w:r>
        <w:rPr>
          <w:rFonts w:hint="eastAsia" w:ascii="仿宋" w:hAnsi="仿宋" w:eastAsia="仿宋"/>
          <w:bCs/>
          <w:color w:val="000000"/>
          <w:sz w:val="32"/>
          <w:szCs w:val="32"/>
          <w:highlight w:val="none"/>
          <w:lang w:val="en-US" w:eastAsia="zh-CN"/>
        </w:rPr>
        <w:t xml:space="preserve">57</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val="en-US" w:eastAsia="zh-CN"/>
        </w:rPr>
        <w:t xml:space="preserve">/年</w:t>
      </w:r>
      <w:r>
        <w:rPr>
          <w:rFonts w:hint="eastAsia" w:ascii="仿宋" w:hAnsi="仿宋" w:eastAsia="仿宋"/>
          <w:color w:val="000000"/>
          <w:sz w:val="32"/>
          <w:szCs w:val="32"/>
          <w:highlight w:val="none"/>
          <w:lang w:val="en-US" w:eastAsia="zh-CN"/>
        </w:rPr>
      </w:r>
      <w:r/>
    </w:p>
    <w:p>
      <w:pPr>
        <w:pStyle w:val="1035"/>
        <w:ind w:firstLine="640"/>
        <w:spacing w:line="360" w:lineRule="auto"/>
        <w:rPr>
          <w:rFonts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hint="eastAsia" w:ascii="仿宋" w:hAnsi="仿宋" w:eastAsia="仿宋"/>
          <w:bCs/>
          <w:color w:val="000000"/>
          <w:sz w:val="32"/>
          <w:szCs w:val="32"/>
          <w:highlight w:val="none"/>
          <w:lang w:val="en-US" w:eastAsia="zh-CN"/>
        </w:rPr>
        <w:t xml:space="preserve">114</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val="en-US" w:eastAsia="zh-CN"/>
        </w:rPr>
        <w:t xml:space="preserve">/2年</w:t>
      </w:r>
      <w:r>
        <w:rPr>
          <w:rFonts w:hint="eastAsia" w:ascii="仿宋" w:hAnsi="仿宋" w:eastAsia="仿宋"/>
          <w:color w:val="000000"/>
          <w:sz w:val="32"/>
          <w:szCs w:val="32"/>
          <w:highlight w:val="none"/>
          <w:lang w:eastAsia="zh-CN"/>
        </w:rPr>
        <w:t xml:space="preserve">，</w:t>
      </w:r>
      <w:r>
        <w:rPr>
          <w:rFonts w:hint="eastAsia" w:ascii="仿宋" w:hAnsi="仿宋" w:eastAsia="仿宋"/>
          <w:bCs/>
          <w:color w:val="000000"/>
          <w:sz w:val="32"/>
          <w:szCs w:val="32"/>
          <w:highlight w:val="none"/>
          <w:lang w:val="en-US" w:eastAsia="zh-CN"/>
        </w:rPr>
        <w:t xml:space="preserve">57</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val="en-US" w:eastAsia="zh-CN"/>
        </w:rPr>
        <w:t xml:space="preserve">/年</w:t>
      </w:r>
      <w:r>
        <w:rPr>
          <w:rFonts w:ascii="仿宋" w:hAnsi="仿宋" w:eastAsia="仿宋"/>
          <w:color w:val="000000"/>
          <w:sz w:val="32"/>
          <w:szCs w:val="32"/>
          <w:highlight w:val="none"/>
          <w:lang w:val="en-US" w:eastAsia="zh-CN"/>
        </w:rPr>
      </w:r>
      <w:r/>
    </w:p>
    <w:p>
      <w:pPr>
        <w:pStyle w:val="103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2883"/>
        <w:gridCol w:w="1715"/>
        <w:gridCol w:w="1026"/>
        <w:gridCol w:w="2909"/>
      </w:tblGrid>
      <w:tr>
        <w:trPr>
          <w:trHeight w:val="454"/>
        </w:trPr>
        <w:tc>
          <w:tcPr>
            <w:tcW w:w="381" w:type="dxa"/>
            <w:vAlign w:val="center"/>
            <w:textDirection w:val="lrTb"/>
            <w:noWrap w:val="false"/>
          </w:tcPr>
          <w:p>
            <w:pPr>
              <w:pStyle w:val="103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1560" w:type="dxa"/>
            <w:vAlign w:val="center"/>
            <w:textDirection w:val="lrTb"/>
            <w:noWrap w:val="false"/>
          </w:tcPr>
          <w:p>
            <w:pPr>
              <w:pStyle w:val="103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8" w:type="dxa"/>
            <w:vAlign w:val="center"/>
            <w:textDirection w:val="lrTb"/>
            <w:noWrap w:val="false"/>
          </w:tcPr>
          <w:p>
            <w:pPr>
              <w:pStyle w:val="103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3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55" w:type="dxa"/>
            <w:vAlign w:val="center"/>
            <w:textDirection w:val="lrTb"/>
            <w:noWrap w:val="false"/>
          </w:tcPr>
          <w:p>
            <w:pPr>
              <w:pStyle w:val="103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1574" w:type="dxa"/>
            <w:vAlign w:val="center"/>
            <w:textDirection w:val="lrTb"/>
            <w:noWrap w:val="false"/>
          </w:tcPr>
          <w:p>
            <w:pPr>
              <w:pStyle w:val="1035"/>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1" w:type="dxa"/>
            <w:vAlign w:val="center"/>
            <w:textDirection w:val="lrTb"/>
            <w:noWrap w:val="false"/>
          </w:tcPr>
          <w:p>
            <w:pPr>
              <w:pStyle w:val="1035"/>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1560" w:type="dxa"/>
            <w:vAlign w:val="center"/>
            <w:textDirection w:val="lrTb"/>
            <w:noWrap w:val="false"/>
          </w:tcPr>
          <w:p>
            <w:pPr>
              <w:pStyle w:val="1035"/>
              <w:jc w:val="center"/>
              <w:rPr>
                <w:rFonts w:hint="eastAsia" w:ascii="仿宋" w:hAnsi="仿宋" w:eastAsia="仿宋"/>
                <w:bCs/>
                <w:color w:val="000000"/>
                <w:sz w:val="32"/>
                <w:szCs w:val="32"/>
                <w:highlight w:val="none"/>
                <w:lang w:eastAsia="zh-CN"/>
              </w:rPr>
            </w:pPr>
            <w:r>
              <w:rPr>
                <w:rFonts w:hint="eastAsia" w:ascii="仿宋" w:hAnsi="仿宋" w:eastAsia="仿宋" w:cs="Times New Roman"/>
                <w:color w:val="000000"/>
                <w:sz w:val="32"/>
                <w:szCs w:val="32"/>
                <w:highlight w:val="none"/>
                <w:lang w:eastAsia="zh-CN"/>
              </w:rPr>
              <w:t xml:space="preserve">永红街道道路建筑垃圾看护、巡查及无主垃圾的清运消纳项目</w:t>
            </w:r>
            <w:r>
              <w:rPr>
                <w:rFonts w:hint="eastAsia" w:ascii="仿宋" w:hAnsi="仿宋" w:eastAsia="仿宋"/>
                <w:bCs/>
                <w:color w:val="000000"/>
                <w:sz w:val="32"/>
                <w:szCs w:val="32"/>
                <w:highlight w:val="none"/>
                <w:lang w:eastAsia="zh-CN"/>
              </w:rPr>
            </w:r>
            <w:r/>
          </w:p>
        </w:tc>
        <w:tc>
          <w:tcPr>
            <w:tcW w:w="928" w:type="dxa"/>
            <w:vAlign w:val="center"/>
            <w:textDirection w:val="lrTb"/>
            <w:noWrap w:val="false"/>
          </w:tcPr>
          <w:p>
            <w:pPr>
              <w:pStyle w:val="1035"/>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114</w:t>
            </w:r>
            <w:r>
              <w:rPr>
                <w:rFonts w:ascii="仿宋" w:hAnsi="仿宋" w:eastAsia="仿宋"/>
                <w:bCs/>
                <w:color w:val="000000"/>
                <w:sz w:val="32"/>
                <w:szCs w:val="32"/>
                <w:highlight w:val="none"/>
                <w:lang w:val="en-US" w:eastAsia="zh-CN"/>
              </w:rPr>
            </w:r>
            <w:r/>
          </w:p>
        </w:tc>
        <w:tc>
          <w:tcPr>
            <w:tcW w:w="555" w:type="dxa"/>
            <w:vAlign w:val="center"/>
            <w:textDirection w:val="lrTb"/>
            <w:noWrap w:val="false"/>
          </w:tcPr>
          <w:p>
            <w:pPr>
              <w:pStyle w:val="1035"/>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2年</w:t>
            </w:r>
            <w:r>
              <w:rPr>
                <w:rFonts w:ascii="仿宋" w:hAnsi="仿宋" w:eastAsia="仿宋"/>
                <w:bCs/>
                <w:color w:val="000000"/>
                <w:sz w:val="32"/>
                <w:szCs w:val="32"/>
                <w:highlight w:val="none"/>
                <w:lang w:val="en-US" w:eastAsia="zh-CN"/>
              </w:rPr>
            </w:r>
            <w:r/>
          </w:p>
        </w:tc>
        <w:tc>
          <w:tcPr>
            <w:tcW w:w="1574" w:type="dxa"/>
            <w:vAlign w:val="center"/>
            <w:textDirection w:val="lrTb"/>
            <w:noWrap w:val="false"/>
          </w:tcPr>
          <w:p>
            <w:pPr>
              <w:pStyle w:val="1035"/>
              <w:jc w:val="both"/>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主要为街道辖区内主次道路及重点道路进行24小时看护巡查、对易偷倒建筑垃圾等各类垃圾区域要进行重点防护、巡查，对偷倒的建筑垃圾和无主垃圾等垃圾，按政府相关规定妥善处置，并在规定时限内清运、处置到位，有效减少建筑垃圾及无主垃圾偷倒情况的反复发生。</w:t>
            </w:r>
            <w:r>
              <w:rPr>
                <w:rFonts w:ascii="仿宋" w:hAnsi="仿宋" w:eastAsia="仿宋"/>
                <w:color w:val="000000"/>
                <w:sz w:val="32"/>
                <w:szCs w:val="32"/>
                <w:highlight w:val="none"/>
              </w:rPr>
            </w:r>
            <w:r/>
          </w:p>
        </w:tc>
      </w:tr>
    </w:tbl>
    <w:p>
      <w:pPr>
        <w:pStyle w:val="1035"/>
        <w:ind w:firstLine="640"/>
        <w:spacing w:line="360" w:lineRule="auto"/>
        <w:rPr>
          <w:rFonts w:ascii="仿宋" w:hAnsi="仿宋" w:eastAsia="仿宋"/>
          <w:color w:val="000000"/>
          <w:sz w:val="32"/>
          <w:szCs w:val="32"/>
          <w:highlight w:val="none"/>
          <w:u w:val="single"/>
          <w:lang w:val="en-US" w:eastAsia="zh-CN"/>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w:t>
      </w:r>
      <w:r>
        <w:rPr>
          <w:rFonts w:hint="eastAsia" w:ascii="仿宋" w:hAnsi="仿宋" w:eastAsia="仿宋"/>
          <w:bCs/>
          <w:color w:val="000000"/>
          <w:sz w:val="32"/>
          <w:szCs w:val="32"/>
          <w:highlight w:val="none"/>
          <w:lang w:val="en-US" w:eastAsia="zh-CN"/>
        </w:rPr>
        <w:t xml:space="preserve">服务期限2年，合同一年一签</w:t>
      </w:r>
      <w:r>
        <w:rPr>
          <w:rFonts w:hint="eastAsia" w:ascii="仿宋" w:hAnsi="仿宋" w:eastAsia="仿宋"/>
          <w:color w:val="000000"/>
          <w:sz w:val="32"/>
          <w:szCs w:val="32"/>
          <w:highlight w:val="none"/>
          <w:lang w:val="en-US" w:eastAsia="zh-CN"/>
        </w:rPr>
        <w:t xml:space="preserve">。一年服务期满，经采购人考核合格后可续签下一年合同，考核不合格，采购人有权不再续签合同。 </w:t>
      </w:r>
      <w:r>
        <w:rPr>
          <w:rFonts w:ascii="仿宋" w:hAnsi="仿宋" w:eastAsia="仿宋"/>
          <w:color w:val="000000"/>
          <w:sz w:val="32"/>
          <w:szCs w:val="32"/>
          <w:highlight w:val="none"/>
          <w:u w:val="single"/>
          <w:lang w:val="en-US" w:eastAsia="zh-CN"/>
        </w:rPr>
      </w:r>
      <w:r/>
    </w:p>
    <w:p>
      <w:pPr>
        <w:pStyle w:val="103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3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37"/>
        <w:ind w:firstLine="643"/>
        <w:jc w:val="left"/>
        <w:spacing w:before="0" w:line="360" w:lineRule="auto"/>
        <w:rPr>
          <w:rFonts w:ascii="仿宋" w:hAnsi="仿宋" w:eastAsia="仿宋"/>
          <w:color w:val="000000"/>
          <w:sz w:val="32"/>
          <w:szCs w:val="32"/>
          <w:highlight w:val="none"/>
        </w:rPr>
      </w:pPr>
      <w:r/>
      <w:bookmarkStart w:id="10" w:name="_Toc35393622"/>
      <w:r/>
      <w:bookmarkStart w:id="11" w:name="_Toc28359080"/>
      <w:r/>
      <w:bookmarkStart w:id="12" w:name="_Toc35393791"/>
      <w:r/>
      <w:bookmarkStart w:id="13" w:name="_Toc28359003"/>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3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3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3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35"/>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3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35"/>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lang w:eastAsia="zh-CN"/>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35"/>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本项目专门面向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中小 □小微企业  采购。即：</w:t>
      </w:r>
      <w:r>
        <w:rPr>
          <w:rFonts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103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3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35"/>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35"/>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35"/>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35"/>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35"/>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35"/>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3.3其他特定资格要求：</w:t>
      </w:r>
      <w:r>
        <w:rPr>
          <w:rFonts w:hint="eastAsia" w:ascii="仿宋" w:hAnsi="仿宋" w:eastAsia="仿宋"/>
          <w:color w:val="000000"/>
          <w:sz w:val="32"/>
          <w:szCs w:val="32"/>
          <w:highlight w:val="none"/>
          <w:u w:val="single"/>
          <w:lang w:val="en-US" w:eastAsia="zh-CN"/>
        </w:rPr>
        <w:t xml:space="preserve">无</w:t>
      </w:r>
      <w:r>
        <w:rPr>
          <w:rFonts w:hint="eastAsia" w:ascii="仿宋" w:hAnsi="仿宋" w:eastAsia="仿宋"/>
          <w:color w:val="000000"/>
          <w:sz w:val="32"/>
          <w:szCs w:val="32"/>
          <w:highlight w:val="none"/>
        </w:rPr>
        <w:t xml:space="preserve">。</w:t>
      </w:r>
      <w:r>
        <w:rPr>
          <w:rFonts w:ascii="仿宋" w:hAnsi="仿宋" w:eastAsia="仿宋"/>
          <w:i/>
          <w:iCs/>
          <w:color w:val="000000"/>
          <w:sz w:val="32"/>
          <w:szCs w:val="32"/>
          <w:highlight w:val="none"/>
          <w:u w:val="single"/>
        </w:rPr>
      </w:r>
      <w:r/>
    </w:p>
    <w:p>
      <w:pPr>
        <w:pStyle w:val="1037"/>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623"/>
      <w:r/>
      <w:bookmarkStart w:id="17" w:name="_Toc35393792"/>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35"/>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自招标文件公告发布之日起5个工作日 </w:t>
      </w:r>
      <w:r>
        <w:rPr>
          <w:rFonts w:ascii="仿宋" w:hAnsi="仿宋" w:eastAsia="仿宋"/>
          <w:color w:val="000000"/>
          <w:sz w:val="32"/>
          <w:szCs w:val="32"/>
          <w:highlight w:val="none"/>
          <w:lang w:bidi="ar"/>
        </w:rPr>
      </w:r>
      <w:r/>
    </w:p>
    <w:p>
      <w:pPr>
        <w:pStyle w:val="103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35"/>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仿宋" w:hAnsi="仿宋" w:eastAsia="仿宋"/>
          <w:color w:val="000000"/>
          <w:sz w:val="32"/>
          <w:szCs w:val="32"/>
          <w:highlight w:val="none"/>
          <w:lang w:bidi="ar"/>
        </w:rPr>
      </w:r>
      <w:r/>
    </w:p>
    <w:p>
      <w:pPr>
        <w:pStyle w:val="1035"/>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37"/>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35"/>
        <w:ind w:firstLine="640"/>
        <w:spacing w:line="360" w:lineRule="auto"/>
        <w:rPr>
          <w:rFonts w:ascii="仿宋" w:hAnsi="仿宋" w:eastAsia="仿宋"/>
          <w:b w:val="0"/>
          <w:bCs w:val="0"/>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cs="宋体"/>
          <w:b w:val="0"/>
          <w:bCs w:val="0"/>
          <w:color w:val="000000"/>
          <w:sz w:val="32"/>
          <w:szCs w:val="32"/>
          <w:highlight w:val="none"/>
          <w:lang w:eastAsia="zh-CN"/>
        </w:rPr>
        <w:t xml:space="preserve">2026年0</w:t>
      </w:r>
      <w:r>
        <w:rPr>
          <w:rFonts w:hint="eastAsia" w:ascii="仿宋" w:hAnsi="仿宋" w:eastAsia="仿宋" w:cs="宋体"/>
          <w:b w:val="0"/>
          <w:bCs w:val="0"/>
          <w:color w:val="000000"/>
          <w:sz w:val="32"/>
          <w:szCs w:val="32"/>
          <w:highlight w:val="none"/>
          <w:lang w:val="en-US" w:eastAsia="zh-CN"/>
        </w:rPr>
        <w:t xml:space="preserve">6</w:t>
      </w:r>
      <w:r>
        <w:rPr>
          <w:rFonts w:hint="eastAsia" w:ascii="仿宋" w:hAnsi="仿宋" w:eastAsia="仿宋" w:cs="宋体"/>
          <w:b w:val="0"/>
          <w:bCs w:val="0"/>
          <w:color w:val="000000"/>
          <w:sz w:val="32"/>
          <w:szCs w:val="32"/>
          <w:highlight w:val="none"/>
          <w:lang w:eastAsia="zh-CN"/>
        </w:rPr>
        <w:t xml:space="preserve">月</w:t>
      </w:r>
      <w:r>
        <w:rPr>
          <w:rFonts w:hint="eastAsia" w:ascii="仿宋" w:hAnsi="仿宋" w:eastAsia="仿宋" w:cs="宋体"/>
          <w:b w:val="0"/>
          <w:bCs w:val="0"/>
          <w:color w:val="000000"/>
          <w:sz w:val="32"/>
          <w:szCs w:val="32"/>
          <w:highlight w:val="none"/>
          <w:lang w:val="en-US" w:eastAsia="zh-CN"/>
        </w:rPr>
        <w:t xml:space="preserve">11</w:t>
      </w:r>
      <w:r>
        <w:rPr>
          <w:rFonts w:hint="eastAsia" w:ascii="仿宋" w:hAnsi="仿宋" w:eastAsia="仿宋" w:cs="宋体"/>
          <w:b w:val="0"/>
          <w:bCs w:val="0"/>
          <w:color w:val="000000"/>
          <w:sz w:val="32"/>
          <w:szCs w:val="32"/>
          <w:highlight w:val="none"/>
          <w:lang w:eastAsia="zh-CN"/>
        </w:rPr>
        <w:t xml:space="preserve">日</w:t>
      </w:r>
      <w:r>
        <w:rPr>
          <w:rFonts w:hint="eastAsia" w:ascii="仿宋" w:hAnsi="仿宋" w:eastAsia="仿宋" w:cs="宋体"/>
          <w:b w:val="0"/>
          <w:bCs w:val="0"/>
          <w:color w:val="000000"/>
          <w:sz w:val="32"/>
          <w:szCs w:val="32"/>
          <w:highlight w:val="none"/>
          <w:lang w:val="en-US" w:eastAsia="zh-CN"/>
        </w:rPr>
        <w:t xml:space="preserve">14</w:t>
      </w:r>
      <w:r>
        <w:rPr>
          <w:rFonts w:hint="eastAsia" w:ascii="仿宋" w:hAnsi="仿宋" w:eastAsia="仿宋" w:cs="宋体"/>
          <w:b w:val="0"/>
          <w:bCs w:val="0"/>
          <w:color w:val="000000"/>
          <w:sz w:val="32"/>
          <w:szCs w:val="32"/>
          <w:highlight w:val="none"/>
        </w:rPr>
        <w:t xml:space="preserve">点</w:t>
      </w:r>
      <w:r>
        <w:rPr>
          <w:rFonts w:hint="eastAsia" w:ascii="仿宋" w:hAnsi="仿宋" w:eastAsia="仿宋" w:cs="宋体"/>
          <w:b w:val="0"/>
          <w:bCs w:val="0"/>
          <w:color w:val="000000"/>
          <w:sz w:val="32"/>
          <w:szCs w:val="32"/>
          <w:highlight w:val="none"/>
          <w:lang w:val="en-US" w:eastAsia="zh-CN"/>
        </w:rPr>
        <w:t xml:space="preserve">00</w:t>
      </w:r>
      <w:r>
        <w:rPr>
          <w:rFonts w:hint="eastAsia" w:ascii="仿宋" w:hAnsi="仿宋" w:eastAsia="仿宋" w:cs="宋体"/>
          <w:b w:val="0"/>
          <w:bCs w:val="0"/>
          <w:color w:val="000000"/>
          <w:sz w:val="32"/>
          <w:szCs w:val="32"/>
          <w:highlight w:val="none"/>
        </w:rPr>
        <w:t xml:space="preserve">分（北京时间）</w:t>
      </w:r>
      <w:r>
        <w:rPr>
          <w:rFonts w:ascii="仿宋" w:hAnsi="仿宋" w:eastAsia="仿宋"/>
          <w:b w:val="0"/>
          <w:bCs w:val="0"/>
          <w:iCs/>
          <w:color w:val="000000"/>
          <w:sz w:val="32"/>
          <w:szCs w:val="32"/>
          <w:highlight w:val="none"/>
          <w:lang w:bidi="ar"/>
        </w:rPr>
        <w:t xml:space="preserve">。</w:t>
      </w:r>
      <w:r>
        <w:rPr>
          <w:rFonts w:ascii="仿宋" w:hAnsi="仿宋" w:eastAsia="仿宋"/>
          <w:b w:val="0"/>
          <w:bCs w:val="0"/>
          <w:color w:val="000000"/>
          <w:sz w:val="32"/>
          <w:szCs w:val="32"/>
          <w:highlight w:val="none"/>
          <w:u w:val="single"/>
        </w:rPr>
      </w:r>
      <w:r/>
    </w:p>
    <w:p>
      <w:pPr>
        <w:pStyle w:val="1035"/>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37"/>
        <w:ind w:firstLine="643"/>
        <w:jc w:val="left"/>
        <w:spacing w:before="0" w:line="360" w:lineRule="auto"/>
        <w:rPr>
          <w:rFonts w:ascii="仿宋" w:hAnsi="仿宋" w:eastAsia="仿宋"/>
          <w:color w:val="000000"/>
          <w:sz w:val="32"/>
          <w:szCs w:val="32"/>
          <w:highlight w:val="none"/>
        </w:rPr>
      </w:pPr>
      <w:r/>
      <w:bookmarkStart w:id="22" w:name="_Toc28359007"/>
      <w:r/>
      <w:bookmarkStart w:id="23" w:name="_Toc35393794"/>
      <w:r/>
      <w:bookmarkStart w:id="24" w:name="_Toc28359084"/>
      <w:r/>
      <w:bookmarkStart w:id="25" w:name="_Toc35393625"/>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35"/>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37"/>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1.本项目需要落实的政府采购政策：</w:t>
      </w:r>
      <w:r>
        <w:rPr>
          <w:rFonts w:ascii="FangSong" w:hAnsi="FangSong" w:eastAsia="FangSong" w:cs="FangSong"/>
          <w:color w:val="000000"/>
          <w:sz w:val="32"/>
          <w:u w:val="single"/>
        </w:rPr>
        <w:t xml:space="preserve">/</w:t>
      </w:r>
      <w:r>
        <w:rPr>
          <w:rFonts w:ascii="FangSong" w:hAnsi="FangSong" w:eastAsia="FangSong" w:cs="FangSong"/>
          <w:color w:val="000000"/>
          <w:sz w:val="32"/>
        </w:rPr>
        <w:t xml:space="preserve">。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2.本项目的采购年限为2年，当年安排数为114万元。</w:t>
      </w:r>
      <w:r/>
    </w:p>
    <w:p>
      <w:pPr>
        <w:pStyle w:val="1035"/>
        <w:ind w:firstLine="640"/>
        <w:spacing w:line="360" w:lineRule="auto"/>
        <w:rPr>
          <w:rFonts w:hint="eastAsia" w:ascii="仿宋" w:hAnsi="仿宋" w:eastAsia="仿宋"/>
          <w:color w:val="000000"/>
          <w:sz w:val="32"/>
          <w:szCs w:val="32"/>
          <w:highlight w:val="none"/>
          <w:lang w:bidi="ar"/>
        </w:rPr>
      </w:pPr>
      <w:r>
        <w:rPr>
          <w:rFonts w:ascii="FangSong" w:hAnsi="FangSong" w:eastAsia="FangSong" w:cs="FangSong"/>
          <w:color w:val="000000"/>
          <w:sz w:val="32"/>
        </w:rPr>
        <w:t xml:space="preserve">3.根据省财政厅《关于更换全省政府采购交易系统CA数字证</w:t>
      </w:r>
      <w:r/>
      <w:r>
        <w:rPr>
          <w:rFonts w:hint="eastAsia" w:ascii="仿宋" w:hAnsi="仿宋" w:eastAsia="仿宋"/>
          <w:color w:val="000000"/>
          <w:sz w:val="32"/>
          <w:szCs w:val="32"/>
          <w:highlight w:val="none"/>
          <w:lang w:bidi="ar"/>
        </w:rPr>
        <w:t xml:space="preserve">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35"/>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35"/>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4</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35"/>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37"/>
        <w:ind w:firstLine="643"/>
        <w:jc w:val="left"/>
        <w:spacing w:before="0" w:line="360" w:lineRule="auto"/>
        <w:rPr>
          <w:rFonts w:ascii="仿宋" w:hAnsi="仿宋" w:eastAsia="仿宋"/>
          <w:color w:val="000000"/>
          <w:sz w:val="32"/>
          <w:szCs w:val="32"/>
          <w:highlight w:val="none"/>
        </w:rPr>
      </w:pPr>
      <w:r/>
      <w:bookmarkStart w:id="28" w:name="_Toc28359085"/>
      <w:r/>
      <w:bookmarkStart w:id="29" w:name="_Toc35393796"/>
      <w:r/>
      <w:bookmarkStart w:id="30" w:name="_Toc28359008"/>
      <w:r/>
      <w:bookmarkStart w:id="31" w:name="_Toc35393627"/>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35"/>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35"/>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 常州市钟楼区永红街道办事处 </w:t>
      </w:r>
      <w:r>
        <w:rPr>
          <w:rFonts w:hint="eastAsia" w:ascii="仿宋" w:hAnsi="仿宋" w:eastAsia="仿宋"/>
          <w:color w:val="000000"/>
          <w:sz w:val="32"/>
          <w:szCs w:val="32"/>
          <w:highlight w:val="none"/>
        </w:rPr>
      </w:r>
      <w:r/>
    </w:p>
    <w:p>
      <w:pPr>
        <w:pStyle w:val="1035"/>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 江苏省常州市钟楼区清潭路260号 </w:t>
      </w:r>
      <w:r>
        <w:rPr>
          <w:rFonts w:hint="eastAsia" w:ascii="仿宋" w:hAnsi="仿宋" w:eastAsia="仿宋"/>
          <w:color w:val="000000"/>
          <w:sz w:val="32"/>
          <w:szCs w:val="32"/>
          <w:highlight w:val="none"/>
        </w:rPr>
      </w:r>
      <w:r/>
    </w:p>
    <w:p>
      <w:pPr>
        <w:pStyle w:val="1035"/>
        <w:ind w:firstLine="640"/>
        <w:jc w:val="left"/>
        <w:spacing w:line="360" w:lineRule="auto"/>
        <w:rPr>
          <w:rFonts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联系方式： 倪焕琪</w:t>
      </w:r>
      <w:r>
        <w:rPr>
          <w:rFonts w:hint="eastAsia" w:ascii="仿宋" w:hAnsi="仿宋" w:eastAsia="仿宋"/>
          <w:color w:val="000000"/>
          <w:sz w:val="32"/>
          <w:szCs w:val="32"/>
          <w:highlight w:val="none"/>
          <w:lang w:val="en-US" w:eastAsia="zh-CN"/>
        </w:rPr>
        <w:t xml:space="preserve"> 0519-83979363</w:t>
      </w:r>
      <w:r>
        <w:rPr>
          <w:rFonts w:ascii="仿宋" w:hAnsi="仿宋" w:eastAsia="仿宋"/>
          <w:color w:val="000000"/>
          <w:sz w:val="32"/>
          <w:szCs w:val="32"/>
          <w:highlight w:val="none"/>
          <w:lang w:val="en-US" w:eastAsia="zh-CN"/>
        </w:rPr>
      </w:r>
      <w:r/>
    </w:p>
    <w:p>
      <w:pPr>
        <w:pStyle w:val="1035"/>
        <w:ind w:firstLine="640"/>
        <w:spacing w:line="360" w:lineRule="auto"/>
        <w:rPr>
          <w:rFonts w:hint="eastAsia" w:ascii="仿宋" w:hAnsi="仿宋" w:eastAsia="仿宋"/>
          <w:b/>
          <w:color w:val="000000"/>
          <w:sz w:val="32"/>
          <w:szCs w:val="32"/>
          <w:highlight w:val="none"/>
        </w:rPr>
      </w:pPr>
      <w:r/>
      <w:bookmarkEnd w:id="32"/>
      <w:r/>
      <w:bookmarkEnd w:id="33"/>
      <w:r>
        <w:rPr>
          <w:rFonts w:hint="eastAsia" w:ascii="仿宋" w:hAnsi="仿宋" w:eastAsia="仿宋"/>
          <w:b/>
          <w:color w:val="000000"/>
          <w:sz w:val="32"/>
          <w:szCs w:val="32"/>
          <w:highlight w:val="none"/>
        </w:rPr>
        <w:t xml:space="preserve">2.采购代理机构信息</w:t>
      </w:r>
      <w:r>
        <w:rPr>
          <w:rFonts w:hint="eastAsia" w:ascii="仿宋" w:hAnsi="仿宋" w:eastAsia="仿宋"/>
          <w:b/>
          <w:color w:val="000000"/>
          <w:sz w:val="32"/>
          <w:szCs w:val="32"/>
          <w:highlight w:val="none"/>
        </w:rPr>
      </w:r>
      <w:r/>
    </w:p>
    <w:p>
      <w:pPr>
        <w:pStyle w:val="1035"/>
        <w:ind w:firstLine="640"/>
        <w:spacing w:line="360" w:lineRule="auto"/>
        <w:rPr>
          <w:rFonts w:hint="eastAsia" w:ascii="仿宋" w:hAnsi="仿宋" w:eastAsia="仿宋"/>
          <w:b w:val="0"/>
          <w:bCs/>
          <w:color w:val="000000"/>
          <w:sz w:val="32"/>
          <w:szCs w:val="32"/>
          <w:highlight w:val="none"/>
          <w:lang w:eastAsia="zh-CN"/>
        </w:rPr>
      </w:pPr>
      <w:r>
        <w:rPr>
          <w:rFonts w:hint="eastAsia" w:ascii="仿宋" w:hAnsi="仿宋" w:eastAsia="仿宋"/>
          <w:b w:val="0"/>
          <w:bCs/>
          <w:color w:val="000000"/>
          <w:sz w:val="32"/>
          <w:szCs w:val="32"/>
          <w:highlight w:val="none"/>
        </w:rPr>
        <w:t xml:space="preserve">名    称：</w:t>
      </w:r>
      <w:r>
        <w:rPr>
          <w:rFonts w:hint="eastAsia" w:ascii="仿宋" w:hAnsi="仿宋" w:eastAsia="仿宋"/>
          <w:b w:val="0"/>
          <w:bCs/>
          <w:color w:val="000000"/>
          <w:sz w:val="32"/>
          <w:szCs w:val="32"/>
          <w:highlight w:val="none"/>
          <w:lang w:eastAsia="zh-CN"/>
        </w:rPr>
        <w:t xml:space="preserve">江苏城致建设管理有限公司</w:t>
      </w:r>
      <w:r>
        <w:rPr>
          <w:rFonts w:hint="eastAsia" w:ascii="仿宋" w:hAnsi="仿宋" w:eastAsia="仿宋"/>
          <w:b w:val="0"/>
          <w:bCs/>
          <w:color w:val="000000"/>
          <w:sz w:val="32"/>
          <w:szCs w:val="32"/>
          <w:highlight w:val="none"/>
          <w:lang w:eastAsia="zh-CN"/>
        </w:rPr>
      </w:r>
      <w:r/>
    </w:p>
    <w:p>
      <w:pPr>
        <w:pStyle w:val="1035"/>
        <w:ind w:firstLine="640"/>
        <w:spacing w:line="360" w:lineRule="auto"/>
        <w:rPr>
          <w:rFonts w:hint="eastAsia" w:ascii="仿宋" w:hAnsi="仿宋" w:eastAsia="仿宋"/>
          <w:b w:val="0"/>
          <w:bCs/>
          <w:color w:val="000000"/>
          <w:sz w:val="32"/>
          <w:szCs w:val="32"/>
          <w:highlight w:val="none"/>
          <w:lang w:eastAsia="zh-CN"/>
        </w:rPr>
      </w:pPr>
      <w:r>
        <w:rPr>
          <w:rFonts w:hint="eastAsia" w:ascii="仿宋" w:hAnsi="仿宋" w:eastAsia="仿宋"/>
          <w:b w:val="0"/>
          <w:bCs/>
          <w:color w:val="000000"/>
          <w:sz w:val="32"/>
          <w:szCs w:val="32"/>
          <w:highlight w:val="none"/>
        </w:rPr>
        <w:t xml:space="preserve">地　　址：</w:t>
      </w:r>
      <w:r>
        <w:rPr>
          <w:rFonts w:hint="eastAsia" w:ascii="仿宋" w:hAnsi="仿宋" w:eastAsia="仿宋"/>
          <w:b w:val="0"/>
          <w:bCs/>
          <w:color w:val="000000"/>
          <w:sz w:val="32"/>
          <w:szCs w:val="32"/>
          <w:highlight w:val="none"/>
          <w:lang w:eastAsia="zh-CN"/>
        </w:rPr>
        <w:t xml:space="preserve">常州市钟楼区陈渡路198号</w:t>
      </w:r>
      <w:r>
        <w:rPr>
          <w:rFonts w:hint="eastAsia" w:ascii="仿宋" w:hAnsi="仿宋" w:eastAsia="仿宋"/>
          <w:b w:val="0"/>
          <w:bCs/>
          <w:color w:val="000000"/>
          <w:sz w:val="32"/>
          <w:szCs w:val="32"/>
          <w:highlight w:val="none"/>
          <w:lang w:eastAsia="zh-CN"/>
        </w:rPr>
      </w:r>
      <w:r/>
    </w:p>
    <w:p>
      <w:pPr>
        <w:pStyle w:val="1035"/>
        <w:ind w:firstLine="640"/>
        <w:spacing w:line="360" w:lineRule="auto"/>
        <w:rPr>
          <w:rFonts w:ascii="仿宋" w:hAnsi="仿宋" w:eastAsia="仿宋" w:cs="Times New Roman"/>
          <w:b w:val="0"/>
          <w:bCs/>
          <w:color w:val="000000"/>
          <w:sz w:val="32"/>
          <w:szCs w:val="32"/>
          <w:highlight w:val="none"/>
          <w:lang w:val="en-US" w:eastAsia="zh-CN"/>
        </w:rPr>
      </w:pPr>
      <w:r>
        <w:rPr>
          <w:rFonts w:hint="eastAsia" w:ascii="仿宋" w:hAnsi="仿宋" w:eastAsia="仿宋"/>
          <w:b w:val="0"/>
          <w:bCs/>
          <w:color w:val="000000"/>
          <w:sz w:val="32"/>
          <w:szCs w:val="32"/>
          <w:highlight w:val="none"/>
        </w:rPr>
        <w:t xml:space="preserve">联系方式：</w:t>
      </w:r>
      <w:r>
        <w:rPr>
          <w:rFonts w:hint="eastAsia" w:ascii="仿宋" w:hAnsi="仿宋" w:eastAsia="仿宋" w:cs="Times New Roman"/>
          <w:b w:val="0"/>
          <w:bCs/>
          <w:color w:val="000000"/>
          <w:sz w:val="32"/>
          <w:szCs w:val="32"/>
          <w:highlight w:val="none"/>
          <w:lang w:eastAsia="zh-CN"/>
        </w:rPr>
        <w:t xml:space="preserve">0519-88860701</w:t>
      </w:r>
      <w:r>
        <w:rPr>
          <w:rFonts w:ascii="仿宋" w:hAnsi="仿宋" w:eastAsia="仿宋" w:cs="Times New Roman"/>
          <w:b w:val="0"/>
          <w:bCs/>
          <w:color w:val="000000"/>
          <w:sz w:val="32"/>
          <w:szCs w:val="32"/>
          <w:highlight w:val="none"/>
          <w:lang w:val="en-US" w:eastAsia="zh-CN"/>
        </w:rPr>
      </w:r>
      <w:r/>
    </w:p>
    <w:p>
      <w:pPr>
        <w:pStyle w:val="1035"/>
        <w:ind w:firstLine="640"/>
        <w:spacing w:line="360" w:lineRule="auto"/>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3.项目联系方式</w:t>
      </w:r>
      <w:r>
        <w:rPr>
          <w:rFonts w:hint="eastAsia" w:ascii="仿宋" w:hAnsi="仿宋" w:eastAsia="仿宋"/>
          <w:b/>
          <w:color w:val="000000"/>
          <w:sz w:val="32"/>
          <w:szCs w:val="32"/>
          <w:highlight w:val="none"/>
        </w:rPr>
      </w:r>
      <w:r/>
    </w:p>
    <w:p>
      <w:pPr>
        <w:pStyle w:val="1035"/>
        <w:ind w:firstLine="640"/>
        <w:spacing w:line="360" w:lineRule="auto"/>
        <w:rPr>
          <w:rFonts w:hint="eastAsia" w:ascii="仿宋" w:hAnsi="仿宋" w:eastAsia="仿宋"/>
          <w:b w:val="0"/>
          <w:bCs/>
          <w:color w:val="000000"/>
          <w:sz w:val="32"/>
          <w:szCs w:val="32"/>
          <w:highlight w:val="none"/>
        </w:rPr>
      </w:pPr>
      <w:r>
        <w:rPr>
          <w:rFonts w:hint="eastAsia" w:ascii="仿宋" w:hAnsi="仿宋" w:eastAsia="仿宋"/>
          <w:b w:val="0"/>
          <w:bCs/>
          <w:color w:val="000000"/>
          <w:sz w:val="32"/>
          <w:szCs w:val="32"/>
          <w:highlight w:val="none"/>
        </w:rPr>
        <w:t xml:space="preserve">项目联系人：</w:t>
      </w:r>
      <w:r>
        <w:rPr>
          <w:rFonts w:hint="eastAsia" w:ascii="仿宋" w:hAnsi="仿宋" w:eastAsia="仿宋"/>
          <w:b w:val="0"/>
          <w:bCs/>
          <w:color w:val="000000"/>
          <w:sz w:val="32"/>
          <w:szCs w:val="32"/>
          <w:highlight w:val="none"/>
          <w:lang w:eastAsia="zh-CN"/>
        </w:rPr>
        <w:t xml:space="preserve">季栋</w:t>
      </w:r>
      <w:r>
        <w:rPr>
          <w:rFonts w:hint="eastAsia" w:ascii="仿宋" w:hAnsi="仿宋" w:eastAsia="仿宋"/>
          <w:b w:val="0"/>
          <w:bCs/>
          <w:color w:val="000000"/>
          <w:sz w:val="32"/>
          <w:szCs w:val="32"/>
          <w:highlight w:val="none"/>
        </w:rPr>
      </w:r>
      <w:r/>
    </w:p>
    <w:p>
      <w:pPr>
        <w:pStyle w:val="1035"/>
        <w:ind w:firstLine="640"/>
        <w:spacing w:line="360" w:lineRule="auto"/>
        <w:rPr>
          <w:rFonts w:hint="eastAsia" w:ascii="仿宋" w:hAnsi="仿宋" w:eastAsia="仿宋"/>
          <w:b w:val="0"/>
          <w:bCs/>
          <w:color w:val="000000"/>
          <w:sz w:val="32"/>
          <w:szCs w:val="32"/>
          <w:highlight w:val="none"/>
        </w:rPr>
      </w:pPr>
      <w:r>
        <w:rPr>
          <w:rFonts w:hint="eastAsia" w:ascii="仿宋" w:hAnsi="仿宋" w:eastAsia="仿宋"/>
          <w:b w:val="0"/>
          <w:bCs/>
          <w:color w:val="000000"/>
          <w:sz w:val="32"/>
          <w:szCs w:val="32"/>
          <w:highlight w:val="none"/>
        </w:rPr>
        <w:t xml:space="preserve">电　　  话：</w:t>
      </w:r>
      <w:r>
        <w:rPr>
          <w:rFonts w:hint="eastAsia" w:ascii="仿宋" w:hAnsi="仿宋" w:eastAsia="仿宋" w:cs="Times New Roman"/>
          <w:b w:val="0"/>
          <w:bCs/>
          <w:color w:val="000000"/>
          <w:sz w:val="32"/>
          <w:szCs w:val="32"/>
          <w:highlight w:val="none"/>
          <w:lang w:eastAsia="zh-CN"/>
        </w:rPr>
        <w:t xml:space="preserve">0519-88860701</w:t>
      </w:r>
      <w:r>
        <w:rPr>
          <w:rFonts w:hint="eastAsia" w:ascii="仿宋" w:hAnsi="仿宋" w:eastAsia="仿宋"/>
          <w:b w:val="0"/>
          <w:bCs/>
          <w:color w:val="000000"/>
          <w:sz w:val="32"/>
          <w:szCs w:val="32"/>
          <w:highlight w:val="none"/>
        </w:rPr>
      </w:r>
      <w:r/>
    </w:p>
    <w:p>
      <w:pPr>
        <w:pStyle w:val="1035"/>
        <w:ind w:firstLine="480"/>
        <w:spacing w:line="360" w:lineRule="auto"/>
        <w:rPr>
          <w:rFonts w:ascii="仿宋" w:hAnsi="仿宋" w:eastAsia="仿宋"/>
          <w:color w:val="000000"/>
          <w:sz w:val="24"/>
          <w:highlight w:val="none"/>
        </w:rPr>
      </w:pPr>
      <w:r>
        <w:rPr>
          <w:rFonts w:ascii="仿宋" w:hAnsi="仿宋" w:eastAsia="仿宋"/>
          <w:color w:val="000000"/>
          <w:sz w:val="24"/>
          <w:highlight w:val="none"/>
        </w:rPr>
      </w:r>
      <w:r/>
    </w:p>
    <w:p>
      <w:pPr>
        <w:pStyle w:val="1035"/>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4" w:name="_Toc264969275"/>
      <w:r/>
      <w:bookmarkStart w:id="35" w:name="_Toc127151777"/>
      <w:r/>
      <w:bookmarkStart w:id="36" w:name="_Toc150774783"/>
      <w:r/>
      <w:bookmarkStart w:id="37" w:name="_Toc195842950"/>
      <w:r/>
      <w:bookmarkStart w:id="38" w:name="_Toc99301420"/>
      <w:r/>
      <w:bookmarkStart w:id="39" w:name="_Toc127161488"/>
      <w:r/>
      <w:bookmarkStart w:id="40" w:name="_Toc305158928"/>
      <w:r/>
      <w:bookmarkStart w:id="41" w:name="_Toc353825548"/>
      <w:r/>
      <w:bookmarkStart w:id="42" w:name="_Toc265228423"/>
      <w:r/>
      <w:bookmarkStart w:id="43" w:name="_Toc353873938"/>
      <w:r/>
      <w:bookmarkStart w:id="44" w:name="_Toc305158854"/>
      <w:r/>
      <w:bookmarkStart w:id="45" w:name="_Toc512937850"/>
      <w:r/>
      <w:bookmarkStart w:id="46" w:name="_Toc226965856"/>
      <w:r>
        <w:rPr>
          <w:rFonts w:ascii="宋体" w:hAnsi="宋体"/>
          <w:b/>
          <w:color w:val="000000"/>
          <w:sz w:val="36"/>
          <w:szCs w:val="36"/>
          <w:highlight w:val="none"/>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rFonts w:ascii="宋体" w:hAnsi="宋体"/>
          <w:b/>
          <w:color w:val="000000"/>
          <w:sz w:val="32"/>
          <w:szCs w:val="32"/>
          <w:highlight w:val="none"/>
        </w:rPr>
      </w:r>
      <w:r/>
    </w:p>
    <w:p>
      <w:pPr>
        <w:pStyle w:val="1037"/>
        <w:spacing w:before="0" w:line="360" w:lineRule="auto"/>
        <w:tabs>
          <w:tab w:val="center" w:pos="4592" w:leader="none"/>
          <w:tab w:val="left" w:pos="7860" w:leader="none"/>
        </w:tabs>
        <w:rPr>
          <w:rFonts w:ascii="宋体" w:hAnsi="宋体" w:eastAsia="宋体"/>
          <w:color w:val="000000"/>
          <w:sz w:val="28"/>
          <w:highlight w:val="none"/>
        </w:rPr>
      </w:pPr>
      <w:r/>
      <w:bookmarkStart w:id="47" w:name="_Toc150509270"/>
      <w:r/>
      <w:bookmarkStart w:id="48" w:name="_Toc164608633"/>
      <w:r/>
      <w:bookmarkStart w:id="49" w:name="_Toc151193617"/>
      <w:r/>
      <w:bookmarkStart w:id="50" w:name="_Toc164351613"/>
      <w:r/>
      <w:bookmarkStart w:id="51" w:name="_Toc142311021"/>
      <w:r/>
      <w:bookmarkStart w:id="52" w:name="_Toc150774724"/>
      <w:r/>
      <w:bookmarkStart w:id="53" w:name="_Toc150774619"/>
      <w:r/>
      <w:bookmarkStart w:id="54" w:name="_Toc164608788"/>
      <w:r/>
      <w:bookmarkStart w:id="55" w:name="_Toc127151519"/>
      <w:r/>
      <w:bookmarkStart w:id="56" w:name="_Toc226309763"/>
      <w:r/>
      <w:bookmarkStart w:id="57" w:name="_Toc164229360"/>
      <w:r/>
      <w:bookmarkStart w:id="58" w:name="_Toc226965792"/>
      <w:r/>
      <w:bookmarkStart w:id="59" w:name="_Toc195842884"/>
      <w:r/>
      <w:bookmarkStart w:id="60" w:name="_Toc150480757"/>
      <w:r/>
      <w:bookmarkStart w:id="61" w:name="_Toc127161433"/>
      <w:r/>
      <w:bookmarkStart w:id="62" w:name="_Toc164229214"/>
      <w:r/>
      <w:bookmarkStart w:id="63" w:name="_Toc226965709"/>
      <w:r/>
      <w:bookmarkStart w:id="64" w:name="_Toc151193833"/>
      <w:r/>
      <w:bookmarkStart w:id="65" w:name="_Toc226337215"/>
      <w:r/>
      <w:bookmarkStart w:id="66" w:name="_Toc520356144"/>
      <w:r/>
      <w:bookmarkStart w:id="67" w:name="_Toc151193761"/>
      <w:r/>
      <w:bookmarkStart w:id="68" w:name="_Toc151193689"/>
      <w:r/>
      <w:bookmarkStart w:id="69" w:name="_Toc151193907"/>
      <w:r/>
      <w:bookmarkStart w:id="70" w:name="_Toc127151720"/>
      <w:r/>
      <w:bookmarkStart w:id="71" w:name="_Toc151190146"/>
      <w:r/>
      <w:bookmarkStart w:id="72" w:name="_Toc149720812"/>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35"/>
        <w:jc w:val="center"/>
        <w:rPr>
          <w:rFonts w:ascii="宋体" w:hAnsi="宋体"/>
          <w:b/>
          <w:color w:val="000000"/>
          <w:sz w:val="28"/>
          <w:szCs w:val="28"/>
          <w:highlight w:val="none"/>
        </w:rPr>
      </w:pPr>
      <w:r>
        <w:rPr>
          <w:rFonts w:ascii="宋体" w:hAnsi="宋体"/>
          <w:b/>
          <w:color w:val="000000"/>
          <w:sz w:val="28"/>
          <w:szCs w:val="28"/>
          <w:highlight w:val="none"/>
        </w:rPr>
      </w:r>
      <w:r/>
    </w:p>
    <w:p>
      <w:pPr>
        <w:pStyle w:val="10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35"/>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35"/>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35"/>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074"/>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35"/>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35"/>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074"/>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35"/>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74"/>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35"/>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074"/>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074"/>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35"/>
              <w:jc w:val="lef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074"/>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35"/>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35"/>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074"/>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074"/>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35"/>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74"/>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35"/>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074"/>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35"/>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本项目采购标的对应的中小企业划分标准所属行业：其他未列明行业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074"/>
              <w:jc w:val="center"/>
              <w:rPr>
                <w:rFonts w:hAnsi="宋体" w:cs="宋体"/>
                <w:color w:val="000000"/>
                <w:sz w:val="24"/>
                <w:szCs w:val="24"/>
                <w:highlight w:val="none"/>
              </w:rPr>
            </w:pPr>
            <w:r>
              <w:rPr>
                <w:rFonts w:hint="eastAsia" w:hAnsi="宋体" w:cs="宋体"/>
                <w:color w:val="000000"/>
                <w:sz w:val="24"/>
                <w:szCs w:val="24"/>
                <w:highlight w:val="none"/>
                <w:lang w:val="en-US" w:eastAsia="zh-CN"/>
              </w:rPr>
              <w:t xml:space="preserve">5.9</w:t>
            </w:r>
            <w:r>
              <w:rPr>
                <w:rFonts w:hAnsi="宋体" w:cs="宋体"/>
                <w:color w:val="000000"/>
                <w:sz w:val="24"/>
                <w:szCs w:val="24"/>
                <w:highlight w:val="none"/>
              </w:rPr>
            </w:r>
            <w:r/>
          </w:p>
        </w:tc>
        <w:tc>
          <w:tcPr>
            <w:tcW w:w="1701" w:type="dxa"/>
            <w:vAlign w:val="center"/>
            <w:textDirection w:val="lrTb"/>
            <w:noWrap w:val="false"/>
          </w:tcPr>
          <w:p>
            <w:pPr>
              <w:pStyle w:val="1035"/>
              <w:jc w:val="center"/>
              <w:spacing w:line="360" w:lineRule="exact"/>
              <w:rPr>
                <w:rFonts w:hint="eastAsia" w:ascii="宋体" w:hAnsi="宋体" w:cs="宋体"/>
                <w:color w:val="000000"/>
                <w:sz w:val="24"/>
                <w:highlight w:val="none"/>
              </w:rPr>
            </w:pPr>
            <w:r>
              <w:rPr>
                <w:rFonts w:hint="eastAsia" w:ascii="Times New Roman" w:hAnsi="Times New Roman" w:eastAsia="宋体" w:cs="Times New Roman"/>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35"/>
              <w:jc w:val="left"/>
              <w:keepLines w:val="0"/>
              <w:keepNext w:val="0"/>
              <w:pageBreakBefore w:val="0"/>
              <w:spacing w:after="0" w:line="360" w:lineRule="exac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ascii="Wingdings 2" w:hAnsi="Wingdings 2" w:eastAsia="Wingdings 2" w:cs="Wingdings 2"/>
                <w:color w:val="000000"/>
                <w:sz w:val="24"/>
                <w:highlight w:val="none"/>
              </w:rPr>
              <w:t xml:space="preserve">R</w:t>
            </w:r>
            <w:r>
              <w:rPr>
                <w:rFonts w:hint="eastAsia" w:ascii="Times New Roman" w:hAnsi="Times New Roman" w:eastAsia="宋体" w:cs="Times New Roman"/>
                <w:color w:val="000000"/>
                <w:sz w:val="24"/>
                <w:highlight w:val="none"/>
                <w:lang w:val="en-US" w:eastAsia="zh-CN"/>
              </w:rPr>
              <w:t xml:space="preserve">适用</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fldChar w:fldCharType="begin"/>
            </w:r>
            <w:r>
              <w:rPr>
                <w:rFonts w:hint="eastAsia" w:ascii="Times New Roman" w:hAnsi="Times New Roman" w:eastAsia="宋体" w:cs="Times New Roman"/>
                <w:color w:val="000000"/>
                <w:sz w:val="24"/>
                <w:highlight w:val="none"/>
              </w:rPr>
              <w:instrText xml:space="preserve"> eq \o \ac(□)</w:instrText>
            </w:r>
            <w:r>
              <w:rPr>
                <w:rFonts w:hint="eastAsia" w:ascii="Times New Roman" w:hAnsi="Times New Roman" w:eastAsia="宋体" w:cs="Times New Roman"/>
                <w:color w:val="000000"/>
                <w:sz w:val="24"/>
                <w:highlight w:val="none"/>
              </w:rPr>
              <w:fldChar w:fldCharType="end"/>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1035"/>
              <w:jc w:val="left"/>
              <w:keepLines w:val="0"/>
              <w:keepNext w:val="0"/>
              <w:pageBreakBefore w:val="0"/>
              <w:spacing w:after="0" w:line="360" w:lineRule="exact"/>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Times New Roman" w:hAnsi="Times New Roman" w:eastAsia="宋体" w:cs="Times New Roman"/>
                <w:color w:val="000000"/>
                <w:sz w:val="24"/>
                <w:highlight w:val="none"/>
                <w:lang w:eastAsia="zh-CN"/>
              </w:rPr>
            </w:r>
            <w:r/>
          </w:p>
        </w:tc>
      </w:tr>
      <w:tr>
        <w:trPr>
          <w:trHeight w:val="841"/>
        </w:trPr>
        <w:tc>
          <w:tcPr>
            <w:tcW w:w="988" w:type="dxa"/>
            <w:vAlign w:val="center"/>
            <w:textDirection w:val="lrTb"/>
            <w:noWrap w:val="false"/>
          </w:tcPr>
          <w:p>
            <w:pPr>
              <w:pStyle w:val="1074"/>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35"/>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74"/>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35"/>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74"/>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35"/>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74"/>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35"/>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5"/>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074"/>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35"/>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05</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29</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w:t>
            </w:r>
            <w:r>
              <w:rPr>
                <w:rFonts w:hint="eastAsia" w:ascii="宋体" w:hAnsi="宋体" w:cs="宋体"/>
                <w:color w:val="000000"/>
                <w:sz w:val="24"/>
                <w:highlight w:val="none"/>
                <w:lang w:eastAsia="zh-CN"/>
              </w:rPr>
              <w:t xml:space="preserve">江苏城致建设管理有限公司</w:t>
            </w:r>
            <w:r>
              <w:rPr>
                <w:rFonts w:hint="eastAsia" w:ascii="宋体" w:hAnsi="宋体" w:cs="宋体"/>
                <w:color w:val="000000"/>
                <w:sz w:val="24"/>
                <w:highlight w:val="none"/>
              </w:rPr>
              <w:t xml:space="preserve">。邮箱：</w:t>
            </w:r>
            <w:r>
              <w:rPr>
                <w:rFonts w:hint="eastAsia" w:ascii="宋体" w:hAnsi="宋体" w:cs="宋体"/>
                <w:color w:val="000000"/>
                <w:sz w:val="24"/>
                <w:highlight w:val="none"/>
                <w:lang w:val="en-US" w:eastAsia="zh-CN"/>
              </w:rPr>
              <w:t xml:space="preserve">515257033</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qq</w:t>
            </w:r>
            <w:r>
              <w:rPr>
                <w:rFonts w:hint="eastAsia" w:ascii="宋体" w:hAnsi="宋体" w:cs="宋体"/>
                <w:color w:val="000000"/>
                <w:sz w:val="24"/>
                <w:highlight w:val="none"/>
              </w:rPr>
              <w:t xml:space="preserve">.com</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74"/>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35"/>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35"/>
              <w:ind w:left="0" w:right="0"/>
              <w:jc w:val="left"/>
              <w:keepLines w:val="0"/>
              <w:keepNext w:val="0"/>
              <w:spacing w:before="0" w:beforeAutospacing="0" w:after="0" w:afterAutospacing="0"/>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35"/>
              <w:ind w:left="0" w:right="0"/>
              <w:jc w:val="left"/>
              <w:keepLines w:val="0"/>
              <w:keepNext w:val="0"/>
              <w:spacing w:before="0" w:beforeAutospacing="0" w:after="0" w:afterAutospacing="0"/>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联系部门：</w:t>
            </w:r>
            <w:r>
              <w:rPr>
                <w:rFonts w:hint="eastAsia" w:ascii="宋体" w:hAnsi="宋体" w:cs="宋体"/>
                <w:color w:val="000000"/>
                <w:sz w:val="24"/>
                <w:highlight w:val="none"/>
                <w:lang w:eastAsia="zh-CN"/>
              </w:rPr>
              <w:t xml:space="preserve">江苏城致建设管理有限公司</w:t>
            </w:r>
            <w:r>
              <w:rPr>
                <w:rFonts w:hint="eastAsia" w:ascii="宋体" w:hAnsi="宋体" w:cs="宋体"/>
                <w:color w:val="000000"/>
                <w:sz w:val="24"/>
                <w:highlight w:val="none"/>
              </w:rPr>
              <w:t xml:space="preserve">招投标部；</w:t>
            </w:r>
            <w:r>
              <w:rPr>
                <w:rFonts w:hint="eastAsia" w:ascii="宋体" w:hAnsi="宋体" w:cs="宋体"/>
                <w:color w:val="000000"/>
                <w:sz w:val="24"/>
                <w:highlight w:val="none"/>
              </w:rPr>
            </w:r>
            <w:r/>
          </w:p>
          <w:p>
            <w:pPr>
              <w:pStyle w:val="1035"/>
              <w:ind w:left="0" w:right="0"/>
              <w:jc w:val="left"/>
              <w:keepLines w:val="0"/>
              <w:keepNext w:val="0"/>
              <w:spacing w:before="0" w:beforeAutospacing="0" w:after="0" w:afterAutospacing="0"/>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联系电话：0519-88860701</w:t>
            </w:r>
            <w:r>
              <w:rPr>
                <w:rFonts w:hint="eastAsia" w:ascii="宋体" w:hAnsi="宋体" w:cs="宋体"/>
                <w:color w:val="000000"/>
                <w:sz w:val="24"/>
                <w:highlight w:val="none"/>
                <w:lang w:val="en-US" w:eastAsia="zh-CN"/>
              </w:rPr>
              <w:t xml:space="preserve"> / 13861221799（</w:t>
            </w:r>
            <w:r>
              <w:rPr>
                <w:rFonts w:hint="eastAsia" w:ascii="宋体" w:hAnsi="宋体" w:cs="宋体"/>
                <w:color w:val="000000"/>
                <w:sz w:val="24"/>
                <w:highlight w:val="none"/>
                <w:lang w:val="en-US" w:eastAsia="zh-CN"/>
              </w:rPr>
              <w:t xml:space="preserve">由于工作需要，以上信息经单位或本人同意对外公布</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r>
            <w:r/>
          </w:p>
          <w:p>
            <w:pPr>
              <w:pStyle w:val="1035"/>
              <w:ind w:left="0" w:right="0"/>
              <w:jc w:val="left"/>
              <w:keepLines w:val="0"/>
              <w:keepNext w:val="0"/>
              <w:spacing w:before="0" w:beforeAutospacing="0" w:after="0" w:afterAutospacing="0"/>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邮箱：</w:t>
            </w:r>
            <w:r>
              <w:rPr>
                <w:rFonts w:hint="eastAsia" w:ascii="宋体" w:hAnsi="宋体" w:cs="宋体"/>
                <w:color w:val="000000"/>
                <w:sz w:val="24"/>
                <w:highlight w:val="none"/>
                <w:lang w:val="en-US" w:eastAsia="zh-CN"/>
              </w:rPr>
              <w:t xml:space="preserve">515257033</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qq</w:t>
            </w:r>
            <w:r>
              <w:rPr>
                <w:rFonts w:hint="eastAsia" w:ascii="宋体" w:hAnsi="宋体" w:cs="宋体"/>
                <w:color w:val="000000"/>
                <w:sz w:val="24"/>
                <w:highlight w:val="none"/>
              </w:rPr>
              <w:t xml:space="preserve">.com</w:t>
            </w:r>
            <w:r>
              <w:rPr>
                <w:rFonts w:hint="eastAsia" w:ascii="宋体" w:hAnsi="宋体" w:cs="宋体"/>
                <w:color w:val="000000"/>
                <w:sz w:val="24"/>
                <w:highlight w:val="none"/>
              </w:rPr>
            </w:r>
            <w:r/>
          </w:p>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lang w:eastAsia="zh-CN"/>
              </w:rPr>
              <w:t xml:space="preserve">江苏城致建设管理有限公司</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常州市钟楼区陈渡路198号</w:t>
            </w:r>
            <w:r>
              <w:rPr>
                <w:rFonts w:hint="eastAsia" w:ascii="宋体" w:hAnsi="宋体" w:cs="宋体"/>
                <w:color w:val="000000"/>
                <w:sz w:val="24"/>
                <w:highlight w:val="none"/>
              </w:rPr>
              <w:t xml:space="preserve">802室）。</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74"/>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35"/>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35"/>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35"/>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35"/>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p>
            <w:pPr>
              <w:pStyle w:val="1035"/>
              <w:jc w:val="lef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u w:val="single"/>
              </w:rPr>
              <w:t xml:space="preserve"> 收费比例按差额定率分档累进法计算，收费差额费率：成交金额在100万元(含)以下的为1.5%，成交金额在100万元（不含）至500万元（含）的为</w:t>
            </w:r>
            <w:r>
              <w:rPr>
                <w:rFonts w:hint="eastAsia" w:ascii="宋体" w:hAnsi="宋体" w:eastAsia="宋体" w:cs="宋体"/>
                <w:color w:val="000000"/>
                <w:sz w:val="24"/>
                <w:szCs w:val="24"/>
                <w:highlight w:val="none"/>
                <w:u w:val="single"/>
                <w:lang w:val="en-US" w:eastAsia="zh-CN"/>
              </w:rPr>
              <w:t xml:space="preserve">0.8</w:t>
            </w:r>
            <w:r>
              <w:rPr>
                <w:rFonts w:hint="eastAsia" w:ascii="宋体" w:hAnsi="宋体" w:eastAsia="宋体" w:cs="宋体"/>
                <w:color w:val="000000"/>
                <w:sz w:val="24"/>
                <w:szCs w:val="24"/>
                <w:highlight w:val="none"/>
                <w:u w:val="single"/>
              </w:rPr>
              <w:t xml:space="preserve">%，成交服务收费按上述计算方法不足人民币3000元的，按人民币3000元收取 </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single"/>
                <w:lang w:eastAsia="zh-CN"/>
              </w:rPr>
            </w:r>
            <w:r/>
          </w:p>
          <w:p>
            <w:pPr>
              <w:pStyle w:val="1035"/>
              <w:ind w:firstLine="420"/>
              <w:jc w:val="left"/>
              <w:rPr>
                <w:rFonts w:hint="eastAsia" w:ascii="宋体" w:hAnsi="宋体" w:cs="宋体"/>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color w:val="000000"/>
                <w:sz w:val="24"/>
                <w:highlight w:val="none"/>
              </w:rPr>
              <w:t xml:space="preserve">中标人应在领取中标通知书时将代理费支付至</w:t>
            </w:r>
            <w:r>
              <w:rPr>
                <w:rFonts w:hint="eastAsia" w:ascii="宋体" w:hAnsi="宋体" w:cs="宋体"/>
                <w:color w:val="000000"/>
                <w:sz w:val="24"/>
                <w:highlight w:val="none"/>
                <w:lang w:eastAsia="zh-CN"/>
              </w:rPr>
              <w:t xml:space="preserve">江苏城致建设管理有限公司</w:t>
            </w:r>
            <w:r>
              <w:rPr>
                <w:rFonts w:hint="eastAsia" w:ascii="宋体" w:hAnsi="宋体" w:cs="宋体"/>
                <w:color w:val="000000"/>
                <w:sz w:val="24"/>
                <w:highlight w:val="none"/>
              </w:rPr>
              <w:t xml:space="preserve">账户。</w:t>
            </w:r>
            <w:r>
              <w:rPr>
                <w:rFonts w:hint="eastAsia" w:ascii="宋体" w:hAnsi="宋体" w:cs="宋体"/>
                <w:color w:val="000000"/>
                <w:sz w:val="24"/>
                <w:highlight w:val="none"/>
              </w:rPr>
            </w:r>
            <w:r/>
          </w:p>
          <w:p>
            <w:pPr>
              <w:pStyle w:val="1035"/>
              <w:ind w:left="0" w:right="0" w:firstLine="473"/>
              <w:jc w:val="left"/>
              <w:keepLines w:val="0"/>
              <w:keepNext w:val="0"/>
              <w:spacing w:before="0" w:beforeAutospacing="0" w:after="0" w:afterAutospacing="0"/>
              <w:rPr>
                <w:rFonts w:ascii="宋体" w:hAnsi="宋体" w:cs="宋体"/>
                <w:color w:val="000000"/>
                <w:sz w:val="24"/>
                <w:highlight w:val="none"/>
              </w:rPr>
              <w:suppressLineNumbers w:val="0"/>
            </w:pPr>
            <w:r>
              <w:rPr>
                <w:rFonts w:hint="eastAsia" w:ascii="宋体" w:hAnsi="宋体" w:cs="宋体"/>
                <w:color w:val="000000"/>
                <w:sz w:val="24"/>
                <w:highlight w:val="none"/>
              </w:rPr>
              <w:t xml:space="preserve">收款单位：</w:t>
            </w:r>
            <w:r>
              <w:rPr>
                <w:rFonts w:hint="eastAsia" w:ascii="宋体" w:hAnsi="宋体" w:cs="宋体"/>
                <w:color w:val="000000"/>
                <w:sz w:val="24"/>
                <w:highlight w:val="none"/>
                <w:lang w:eastAsia="zh-CN"/>
              </w:rPr>
              <w:t xml:space="preserve">江苏城致建设管理有限公司</w:t>
            </w:r>
            <w:r>
              <w:rPr>
                <w:rFonts w:ascii="宋体" w:hAnsi="宋体" w:cs="宋体"/>
                <w:color w:val="000000"/>
                <w:sz w:val="24"/>
                <w:highlight w:val="none"/>
              </w:rPr>
            </w:r>
            <w:r/>
          </w:p>
          <w:p>
            <w:pPr>
              <w:pStyle w:val="1035"/>
              <w:ind w:left="0" w:right="0" w:firstLine="473"/>
              <w:jc w:val="left"/>
              <w:keepLines w:val="0"/>
              <w:keepNext w:val="0"/>
              <w:spacing w:before="0" w:beforeAutospacing="0" w:after="0" w:afterAutospacing="0"/>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开户银行：</w:t>
            </w:r>
            <w:r>
              <w:rPr>
                <w:rFonts w:hint="eastAsia" w:ascii="宋体" w:hAnsi="宋体" w:cs="宋体"/>
                <w:color w:val="000000"/>
                <w:sz w:val="24"/>
                <w:highlight w:val="none"/>
                <w:lang w:val="en-US" w:eastAsia="zh-CN"/>
              </w:rPr>
              <w:t xml:space="preserve">江苏江南农村商业银行常州市荆川支行             </w:t>
            </w:r>
            <w:r>
              <w:rPr>
                <w:rFonts w:hint="eastAsia" w:ascii="宋体" w:hAnsi="宋体" w:cs="宋体"/>
                <w:color w:val="000000"/>
                <w:sz w:val="24"/>
                <w:highlight w:val="none"/>
              </w:rPr>
            </w:r>
            <w:r/>
          </w:p>
          <w:p>
            <w:pPr>
              <w:pStyle w:val="1035"/>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w:t>
            </w:r>
            <w:r>
              <w:rPr>
                <w:rFonts w:hint="eastAsia" w:ascii="宋体" w:hAnsi="宋体" w:cs="宋体"/>
                <w:color w:val="000000"/>
                <w:sz w:val="24"/>
                <w:highlight w:val="none"/>
                <w:lang w:val="en-US" w:eastAsia="zh-CN"/>
              </w:rPr>
              <w:t xml:space="preserve">1152 6000 0000 3620</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74"/>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35"/>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35"/>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w:t>
            </w:r>
            <w:r>
              <w:rPr>
                <w:rFonts w:hint="eastAsia"/>
                <w:color w:val="000000"/>
                <w:sz w:val="24"/>
                <w:highlight w:val="none"/>
                <w:lang w:eastAsia="zh-CN"/>
              </w:rPr>
              <w:t xml:space="preserve">江苏城致建设管理有限公司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35"/>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35"/>
        <w:jc w:val="center"/>
        <w:spacing w:before="240" w:after="240"/>
        <w:rPr>
          <w:rFonts w:hint="eastAsia" w:ascii="宋体" w:hAnsi="宋体" w:cs="宋体"/>
          <w:b/>
          <w:color w:val="000000"/>
          <w:sz w:val="28"/>
          <w:szCs w:val="28"/>
          <w:highlight w:val="none"/>
        </w:rPr>
      </w:pPr>
      <w:r/>
      <w:bookmarkStart w:id="73" w:name="_Toc264969207"/>
      <w:r/>
      <w:bookmarkStart w:id="74" w:name="_Toc353873662"/>
      <w:r/>
      <w:bookmarkStart w:id="75" w:name="_Toc226337213"/>
      <w:r/>
      <w:bookmarkStart w:id="76" w:name="_Toc265228355"/>
      <w:r/>
      <w:bookmarkStart w:id="77" w:name="_Toc353825542"/>
      <w:r/>
      <w:bookmarkStart w:id="78" w:name="_Toc195842882"/>
      <w:r/>
      <w:bookmarkStart w:id="79" w:name="_Toc150774722"/>
      <w:r/>
      <w:bookmarkStart w:id="80" w:name="_Toc127151517"/>
      <w:r/>
      <w:bookmarkStart w:id="81" w:name="_Toc305158859"/>
      <w:r/>
      <w:bookmarkStart w:id="82" w:name="_Toc353873932"/>
      <w:r/>
      <w:bookmarkStart w:id="83" w:name="_Toc305158785"/>
      <w:r/>
      <w:bookmarkStart w:id="84" w:name="_Toc226965790"/>
      <w:r/>
      <w:bookmarkStart w:id="85" w:name="_Toc150480755"/>
      <w:r/>
      <w:bookmarkStart w:id="86" w:name="_Toc142311019"/>
      <w:r>
        <w:rPr>
          <w:rFonts w:hint="eastAsia" w:ascii="宋体" w:hAnsi="宋体" w:cs="宋体"/>
          <w:b/>
          <w:color w:val="000000"/>
          <w:sz w:val="28"/>
          <w:szCs w:val="28"/>
          <w:highlight w:val="none"/>
        </w:rPr>
        <w:t xml:space="preserve">投标人须知</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hint="eastAsia" w:ascii="宋体" w:hAnsi="宋体" w:cs="宋体"/>
          <w:b/>
          <w:color w:val="000000"/>
          <w:sz w:val="28"/>
          <w:szCs w:val="28"/>
          <w:highlight w:val="none"/>
        </w:rPr>
      </w:r>
      <w:r/>
    </w:p>
    <w:p>
      <w:pPr>
        <w:pStyle w:val="1037"/>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7" w:name="_Toc127151518"/>
      <w:r/>
      <w:bookmarkStart w:id="88" w:name="_Toc520356143"/>
      <w:r>
        <w:rPr>
          <w:rFonts w:hint="eastAsia" w:ascii="宋体" w:hAnsi="宋体" w:eastAsia="宋体" w:cs="宋体"/>
          <w:color w:val="000000"/>
          <w:sz w:val="28"/>
          <w:highlight w:val="none"/>
        </w:rPr>
        <w:tab/>
      </w:r>
      <w:bookmarkStart w:id="89" w:name="_Toc151193832"/>
      <w:r/>
      <w:bookmarkStart w:id="90" w:name="_Toc151193688"/>
      <w:r/>
      <w:bookmarkStart w:id="91" w:name="_Toc150774618"/>
      <w:r/>
      <w:bookmarkStart w:id="92" w:name="_Toc226965791"/>
      <w:r/>
      <w:bookmarkStart w:id="93" w:name="_Toc151193906"/>
      <w:r/>
      <w:bookmarkStart w:id="94" w:name="_Toc305158860"/>
      <w:r/>
      <w:bookmarkStart w:id="95" w:name="_Toc150509269"/>
      <w:r/>
      <w:bookmarkStart w:id="96" w:name="_Toc150774723"/>
      <w:r/>
      <w:bookmarkStart w:id="97" w:name="_Toc150480756"/>
      <w:r/>
      <w:bookmarkStart w:id="98" w:name="_Toc265228356"/>
      <w:r/>
      <w:bookmarkStart w:id="99" w:name="_Toc226337214"/>
      <w:r/>
      <w:bookmarkStart w:id="100" w:name="_Toc264969208"/>
      <w:r/>
      <w:bookmarkStart w:id="101" w:name="_Toc195842883"/>
      <w:r/>
      <w:bookmarkStart w:id="102" w:name="_Toc142311020"/>
      <w:r/>
      <w:bookmarkStart w:id="103" w:name="_Toc151193760"/>
      <w:r/>
      <w:bookmarkStart w:id="104" w:name="_Toc226965708"/>
      <w:r/>
      <w:bookmarkStart w:id="105" w:name="_Toc151193616"/>
      <w:r/>
      <w:bookmarkStart w:id="106" w:name="_Toc226309762"/>
      <w:r/>
      <w:bookmarkStart w:id="107" w:name="_Toc151190145"/>
      <w:r/>
      <w:bookmarkStart w:id="108" w:name="_Toc305158786"/>
      <w:r>
        <w:rPr>
          <w:rFonts w:hint="eastAsia" w:ascii="宋体" w:hAnsi="宋体" w:eastAsia="宋体" w:cs="宋体"/>
          <w:color w:val="000000"/>
          <w:sz w:val="28"/>
          <w:highlight w:val="none"/>
        </w:rPr>
        <w:t xml:space="preserve">一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35"/>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09" w:name="_Toc265228357"/>
      <w:r/>
      <w:bookmarkStart w:id="110" w:name="_Toc264969209"/>
      <w:r/>
      <w:bookmarkStart w:id="111" w:name="_Toc305158861"/>
      <w:r/>
      <w:bookmarkStart w:id="112" w:name="_Toc305158787"/>
      <w:r>
        <w:rPr>
          <w:rFonts w:hint="eastAsia" w:ascii="宋体" w:hAnsi="宋体" w:cs="宋体"/>
          <w:b/>
          <w:color w:val="000000"/>
          <w:sz w:val="24"/>
          <w:highlight w:val="none"/>
        </w:rPr>
        <w:t xml:space="preserve">采购人、采购代理机构、投标人</w:t>
      </w:r>
      <w:bookmarkEnd w:id="109"/>
      <w:r/>
      <w:bookmarkEnd w:id="110"/>
      <w:r/>
      <w:bookmarkEnd w:id="111"/>
      <w:r/>
      <w:bookmarkEnd w:id="112"/>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3" w:name="_Toc226309764"/>
      <w:r/>
      <w:bookmarkStart w:id="114" w:name="_Toc150509271"/>
      <w:r/>
      <w:bookmarkStart w:id="115" w:name="_Toc226337216"/>
      <w:r/>
      <w:bookmarkStart w:id="116" w:name="_Toc149720813"/>
      <w:r/>
      <w:bookmarkStart w:id="117" w:name="_Toc150480758"/>
      <w:r/>
      <w:bookmarkStart w:id="118" w:name="_Toc150774620"/>
      <w:r/>
      <w:bookmarkStart w:id="119" w:name="_Toc151193762"/>
      <w:r/>
      <w:bookmarkStart w:id="120" w:name="_Toc305158862"/>
      <w:r/>
      <w:bookmarkStart w:id="121" w:name="_Toc164229361"/>
      <w:r/>
      <w:bookmarkStart w:id="122" w:name="_Toc265228358"/>
      <w:r/>
      <w:bookmarkStart w:id="123" w:name="_Toc164351614"/>
      <w:r/>
      <w:bookmarkStart w:id="124" w:name="_Toc164608789"/>
      <w:r/>
      <w:bookmarkStart w:id="125" w:name="_Toc226965710"/>
      <w:r/>
      <w:bookmarkStart w:id="126" w:name="_Toc164229215"/>
      <w:r/>
      <w:bookmarkStart w:id="127" w:name="_Toc226965793"/>
      <w:r/>
      <w:bookmarkStart w:id="128" w:name="_Toc264969210"/>
      <w:r/>
      <w:bookmarkStart w:id="129" w:name="_Toc164608634"/>
      <w:r/>
      <w:bookmarkStart w:id="130" w:name="_Toc151193834"/>
      <w:r/>
      <w:bookmarkStart w:id="131" w:name="_Toc151190147"/>
      <w:r/>
      <w:bookmarkStart w:id="132" w:name="_Toc195842885"/>
      <w:r/>
      <w:bookmarkStart w:id="133" w:name="_Toc151193618"/>
      <w:r/>
      <w:bookmarkStart w:id="134" w:name="_Toc151193690"/>
      <w:r/>
      <w:bookmarkStart w:id="135" w:name="_Toc127151721"/>
      <w:r/>
      <w:bookmarkStart w:id="136" w:name="_Toc305158788"/>
      <w:r/>
      <w:bookmarkStart w:id="137" w:name="_Toc127151520"/>
      <w:r/>
      <w:bookmarkStart w:id="138" w:name="_Toc127161434"/>
      <w:r/>
      <w:bookmarkStart w:id="139" w:name="_Toc150774725"/>
      <w:r/>
      <w:bookmarkStart w:id="140" w:name="_Toc151193908"/>
      <w:r/>
      <w:bookmarkStart w:id="141" w:name="_Toc142311022"/>
      <w:r>
        <w:rPr>
          <w:rFonts w:hint="eastAsia" w:ascii="宋体" w:hAnsi="宋体" w:cs="宋体"/>
          <w:b/>
          <w:color w:val="000000"/>
          <w:sz w:val="24"/>
          <w:highlight w:val="none"/>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2" w:name="_Toc520356146"/>
      <w:r/>
      <w:bookmarkStart w:id="143" w:name="_Toc226965795"/>
      <w:r/>
      <w:bookmarkStart w:id="144" w:name="_Toc151193910"/>
      <w:r/>
      <w:bookmarkStart w:id="145" w:name="_Toc226309766"/>
      <w:r/>
      <w:bookmarkStart w:id="146" w:name="_Toc265228360"/>
      <w:r/>
      <w:bookmarkStart w:id="147" w:name="_Toc151193836"/>
      <w:r/>
      <w:bookmarkStart w:id="148" w:name="_Toc151190149"/>
      <w:r/>
      <w:bookmarkStart w:id="149" w:name="_Toc226337218"/>
      <w:r/>
      <w:bookmarkStart w:id="150" w:name="_Toc151193692"/>
      <w:r/>
      <w:bookmarkStart w:id="151" w:name="_Toc226965712"/>
      <w:r/>
      <w:bookmarkStart w:id="152" w:name="_Toc195842887"/>
      <w:r/>
      <w:bookmarkStart w:id="153" w:name="_Toc127151522"/>
      <w:r/>
      <w:bookmarkStart w:id="154" w:name="_Toc305158864"/>
      <w:r/>
      <w:bookmarkStart w:id="155" w:name="_Toc305158790"/>
      <w:r/>
      <w:bookmarkStart w:id="156" w:name="_Toc150480760"/>
      <w:r/>
      <w:bookmarkStart w:id="157" w:name="_Toc150774727"/>
      <w:r/>
      <w:bookmarkStart w:id="158" w:name="_Toc151193620"/>
      <w:r/>
      <w:bookmarkStart w:id="159" w:name="_Toc142311024"/>
      <w:r/>
      <w:bookmarkStart w:id="160" w:name="_Toc150509273"/>
      <w:r/>
      <w:bookmarkStart w:id="161" w:name="_Toc264969212"/>
      <w:r/>
      <w:bookmarkStart w:id="162" w:name="_Toc151193764"/>
      <w:r/>
      <w:bookmarkStart w:id="163" w:name="_Toc150774622"/>
      <w:r>
        <w:rPr>
          <w:rFonts w:hint="eastAsia" w:ascii="宋体" w:hAnsi="宋体" w:cs="宋体"/>
          <w:color w:val="000000"/>
          <w:sz w:val="28"/>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3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35"/>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3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vanish/>
          <w:color w:val="000000"/>
          <w:sz w:val="24"/>
          <w:szCs w:val="24"/>
          <w:highlight w:val="none"/>
        </w:rPr>
      </w:pPr>
      <w:r>
        <w:rPr>
          <w:rFonts w:hint="eastAsia" w:ascii="宋体" w:hAnsi="宋体" w:cs="宋体"/>
          <w:color w:val="000000"/>
          <w:sz w:val="24"/>
          <w:highlight w:val="none"/>
        </w:rPr>
        <w:t xml:space="preserve">中小企业定义：</w:t>
      </w:r>
      <w:r>
        <w:rPr>
          <w:rFonts w:hint="eastAsia" w:ascii="宋体" w:hAnsi="宋体" w:cs="宋体"/>
          <w:vanish/>
          <w:color w:val="000000"/>
          <w:sz w:val="24"/>
          <w:szCs w:val="24"/>
          <w:highlight w:val="none"/>
        </w:rPr>
      </w:r>
      <w:r/>
    </w:p>
    <w:p>
      <w:pPr>
        <w:pStyle w:val="1129"/>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5"/>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35"/>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35"/>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35"/>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35"/>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3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3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29"/>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29"/>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3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3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3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3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35"/>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3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必须严格执行，必要时应按照要求在履约验收环节出具检测报告。</w:t>
      </w:r>
      <w:r>
        <w:rPr>
          <w:rFonts w:hint="eastAsia" w:ascii="宋体" w:hAnsi="宋体" w:cs="宋体"/>
          <w:color w:val="000000"/>
          <w:sz w:val="24"/>
          <w:highlight w:val="none"/>
        </w:rPr>
      </w:r>
      <w:r/>
    </w:p>
    <w:p>
      <w:pPr>
        <w:pStyle w:val="103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35"/>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3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3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35"/>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3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35"/>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35"/>
        <w:ind w:firstLine="560"/>
        <w:spacing w:line="360" w:lineRule="auto"/>
        <w:tabs>
          <w:tab w:val="left" w:pos="1080" w:leader="none"/>
        </w:tabs>
        <w:rPr>
          <w:rFonts w:hint="eastAsia" w:ascii="宋体" w:hAnsi="宋体" w:cs="宋体"/>
          <w:color w:val="000000"/>
          <w:sz w:val="28"/>
          <w:highlight w:val="none"/>
        </w:rPr>
      </w:pPr>
      <w:r/>
      <w:bookmarkStart w:id="164" w:name="_1.8_计量单位"/>
      <w:r/>
      <w:bookmarkEnd w:id="164"/>
      <w:r>
        <w:rPr>
          <w:rFonts w:hint="eastAsia" w:ascii="宋体" w:hAnsi="宋体" w:cs="宋体"/>
          <w:color w:val="000000"/>
          <w:sz w:val="28"/>
          <w:highlight w:val="none"/>
        </w:rPr>
      </w:r>
      <w:r/>
    </w:p>
    <w:p>
      <w:pPr>
        <w:pStyle w:val="1037"/>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hint="eastAsia" w:ascii="宋体" w:hAnsi="宋体" w:eastAsia="宋体" w:cs="宋体"/>
          <w:color w:val="000000"/>
          <w:sz w:val="28"/>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5" w:name="_Toc164608792"/>
      <w:r/>
      <w:bookmarkStart w:id="166" w:name="_Toc226965713"/>
      <w:r/>
      <w:bookmarkStart w:id="167" w:name="_Toc127151724"/>
      <w:r/>
      <w:bookmarkStart w:id="168" w:name="_Toc149720816"/>
      <w:r/>
      <w:bookmarkStart w:id="169" w:name="_Toc226337219"/>
      <w:r/>
      <w:bookmarkStart w:id="170" w:name="_Toc150774728"/>
      <w:r/>
      <w:bookmarkStart w:id="171" w:name="_Toc164229364"/>
      <w:r/>
      <w:bookmarkStart w:id="172" w:name="_Toc226965796"/>
      <w:r/>
      <w:bookmarkStart w:id="173" w:name="_Toc150480761"/>
      <w:r/>
      <w:bookmarkStart w:id="174" w:name="_Toc164351617"/>
      <w:r/>
      <w:bookmarkStart w:id="175" w:name="_Toc264969213"/>
      <w:r/>
      <w:bookmarkStart w:id="176" w:name="_Toc164608637"/>
      <w:r/>
      <w:bookmarkStart w:id="177" w:name="_Toc305158865"/>
      <w:r/>
      <w:bookmarkStart w:id="178" w:name="_Toc127161437"/>
      <w:r/>
      <w:bookmarkStart w:id="179" w:name="_Toc151193911"/>
      <w:r/>
      <w:bookmarkStart w:id="180" w:name="_Toc151193621"/>
      <w:r/>
      <w:bookmarkStart w:id="181" w:name="_Toc151193693"/>
      <w:r/>
      <w:bookmarkStart w:id="182" w:name="_Toc150774623"/>
      <w:r/>
      <w:bookmarkStart w:id="183" w:name="_Toc305158791"/>
      <w:r/>
      <w:bookmarkStart w:id="184" w:name="_Toc164229218"/>
      <w:r/>
      <w:bookmarkStart w:id="185" w:name="_Toc151190150"/>
      <w:r/>
      <w:bookmarkStart w:id="186" w:name="_Toc195842888"/>
      <w:r/>
      <w:bookmarkStart w:id="187" w:name="_Toc520356147"/>
      <w:r/>
      <w:bookmarkStart w:id="188" w:name="_Toc151193765"/>
      <w:r/>
      <w:bookmarkStart w:id="189" w:name="_Toc265228361"/>
      <w:r/>
      <w:bookmarkStart w:id="190" w:name="_Toc226309767"/>
      <w:r/>
      <w:bookmarkStart w:id="191" w:name="_Toc151193837"/>
      <w:r/>
      <w:bookmarkStart w:id="192" w:name="_Toc127151523"/>
      <w:r/>
      <w:bookmarkStart w:id="193" w:name="_Toc150509274"/>
      <w:r/>
      <w:bookmarkStart w:id="194" w:name="_Toc142311025"/>
      <w:r>
        <w:rPr>
          <w:rFonts w:hint="eastAsia" w:ascii="宋体" w:hAnsi="宋体" w:cs="宋体"/>
          <w:b/>
          <w:color w:val="000000"/>
          <w:sz w:val="24"/>
          <w:highlight w:val="none"/>
        </w:rPr>
        <w:t xml:space="preserve">招标文件构</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3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3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3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3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3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3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3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37"/>
        <w:ind w:firstLine="562"/>
        <w:spacing w:before="0" w:line="360" w:lineRule="auto"/>
        <w:rPr>
          <w:rFonts w:hint="eastAsia" w:ascii="宋体" w:hAnsi="宋体" w:eastAsia="宋体" w:cs="宋体"/>
          <w:color w:val="000000"/>
          <w:sz w:val="28"/>
          <w:highlight w:val="none"/>
        </w:rPr>
      </w:pPr>
      <w:r/>
      <w:bookmarkStart w:id="195" w:name="_Toc127151526"/>
      <w:r/>
      <w:bookmarkStart w:id="196" w:name="_Toc142311028"/>
      <w:r/>
      <w:bookmarkStart w:id="197" w:name="_Toc150509277"/>
      <w:r/>
      <w:bookmarkStart w:id="198" w:name="_Toc226965799"/>
      <w:r/>
      <w:bookmarkStart w:id="199" w:name="_Toc265228364"/>
      <w:r/>
      <w:bookmarkStart w:id="200" w:name="_Toc195842891"/>
      <w:r/>
      <w:bookmarkStart w:id="201" w:name="_Toc151193768"/>
      <w:r/>
      <w:bookmarkStart w:id="202" w:name="_Toc520356150"/>
      <w:r/>
      <w:bookmarkStart w:id="203" w:name="_Toc226337222"/>
      <w:r/>
      <w:bookmarkStart w:id="204" w:name="_Toc151193624"/>
      <w:r/>
      <w:bookmarkStart w:id="205" w:name="_Toc151193840"/>
      <w:r/>
      <w:bookmarkStart w:id="206" w:name="_Toc226965716"/>
      <w:r/>
      <w:bookmarkStart w:id="207" w:name="_Toc151193696"/>
      <w:r/>
      <w:bookmarkStart w:id="208" w:name="_Toc516367020"/>
      <w:r/>
      <w:bookmarkStart w:id="209" w:name="_Toc151190153"/>
      <w:r/>
      <w:bookmarkStart w:id="210" w:name="_Toc151193914"/>
      <w:r/>
      <w:bookmarkStart w:id="211" w:name="_Toc150774731"/>
      <w:r/>
      <w:bookmarkStart w:id="212" w:name="_Toc305158794"/>
      <w:r/>
      <w:bookmarkStart w:id="213" w:name="_Toc226309770"/>
      <w:r/>
      <w:bookmarkStart w:id="214" w:name="_Toc150774626"/>
      <w:r/>
      <w:bookmarkStart w:id="215" w:name="_Toc150480764"/>
      <w:r/>
      <w:bookmarkStart w:id="216" w:name="_Toc305158868"/>
      <w:r/>
      <w:bookmarkStart w:id="217" w:name="_Toc264969216"/>
      <w:r>
        <w:rPr>
          <w:rFonts w:hint="eastAsia" w:ascii="宋体" w:hAnsi="宋体" w:eastAsia="宋体" w:cs="宋体"/>
          <w:color w:val="000000"/>
          <w:sz w:val="28"/>
          <w:highlight w:val="none"/>
        </w:rPr>
        <w:t xml:space="preserve">三   投标文件</w:t>
      </w:r>
      <w:bookmarkEnd w:id="208"/>
      <w:r>
        <w:rPr>
          <w:rFonts w:hint="eastAsia" w:ascii="宋体" w:hAnsi="宋体" w:eastAsia="宋体" w:cs="宋体"/>
          <w:color w:val="000000"/>
          <w:sz w:val="28"/>
          <w:highlight w:val="none"/>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9"/>
      <w:r/>
      <w:bookmarkEnd w:id="210"/>
      <w:r/>
      <w:bookmarkEnd w:id="211"/>
      <w:r/>
      <w:bookmarkEnd w:id="212"/>
      <w:r/>
      <w:bookmarkEnd w:id="213"/>
      <w:r/>
      <w:bookmarkEnd w:id="214"/>
      <w:r/>
      <w:bookmarkEnd w:id="215"/>
      <w:r/>
      <w:bookmarkEnd w:id="216"/>
      <w:r/>
      <w:bookmarkEnd w:id="217"/>
      <w:r>
        <w:rPr>
          <w:rFonts w:hint="eastAsia" w:ascii="宋体" w:hAnsi="宋体" w:eastAsia="宋体" w:cs="宋体"/>
          <w:color w:val="000000"/>
          <w:sz w:val="28"/>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18" w:name="_Toc226965717"/>
      <w:r/>
      <w:bookmarkStart w:id="219" w:name="_Toc264969217"/>
      <w:r/>
      <w:bookmarkStart w:id="220" w:name="_Toc164608796"/>
      <w:r/>
      <w:bookmarkStart w:id="221" w:name="_Toc150480765"/>
      <w:r/>
      <w:bookmarkStart w:id="222" w:name="_Toc226965800"/>
      <w:r/>
      <w:bookmarkStart w:id="223" w:name="_Toc142311029"/>
      <w:r/>
      <w:bookmarkStart w:id="224" w:name="_Toc164229368"/>
      <w:r/>
      <w:bookmarkStart w:id="225" w:name="_Toc516367021"/>
      <w:r/>
      <w:bookmarkStart w:id="226" w:name="_Toc127151728"/>
      <w:r/>
      <w:bookmarkStart w:id="227" w:name="_Toc151190154"/>
      <w:r/>
      <w:bookmarkStart w:id="228" w:name="_Toc127161441"/>
      <w:r/>
      <w:bookmarkStart w:id="229" w:name="_Toc151193769"/>
      <w:r/>
      <w:bookmarkStart w:id="230" w:name="_Toc195842892"/>
      <w:r/>
      <w:bookmarkStart w:id="231" w:name="_Toc151193625"/>
      <w:r/>
      <w:bookmarkStart w:id="232" w:name="_Toc151193841"/>
      <w:r/>
      <w:bookmarkStart w:id="233" w:name="_Toc151193915"/>
      <w:r/>
      <w:bookmarkStart w:id="234" w:name="_Toc226309771"/>
      <w:r/>
      <w:bookmarkStart w:id="235" w:name="_Toc305158869"/>
      <w:r/>
      <w:bookmarkStart w:id="236" w:name="_Toc164351621"/>
      <w:r/>
      <w:bookmarkStart w:id="237" w:name="_Toc150774627"/>
      <w:r/>
      <w:bookmarkStart w:id="238" w:name="_Toc164608641"/>
      <w:r/>
      <w:bookmarkStart w:id="239" w:name="_Toc164229222"/>
      <w:r/>
      <w:bookmarkStart w:id="240" w:name="_Toc127151527"/>
      <w:r/>
      <w:bookmarkStart w:id="241" w:name="_Toc265228365"/>
      <w:r/>
      <w:bookmarkStart w:id="242" w:name="_Toc520356151"/>
      <w:r/>
      <w:bookmarkStart w:id="243" w:name="_Toc305158795"/>
      <w:r/>
      <w:bookmarkStart w:id="244" w:name="_Toc150774732"/>
      <w:r/>
      <w:bookmarkStart w:id="245" w:name="_Toc226337223"/>
      <w:r/>
      <w:bookmarkStart w:id="246" w:name="_Toc149720820"/>
      <w:r/>
      <w:bookmarkStart w:id="247" w:name="_Toc151193697"/>
      <w:r/>
      <w:bookmarkStart w:id="248" w:name="_Toc150509278"/>
      <w:r>
        <w:rPr>
          <w:rFonts w:hint="eastAsia" w:ascii="宋体" w:hAnsi="宋体" w:cs="宋体"/>
          <w:b/>
          <w:color w:val="000000"/>
          <w:sz w:val="24"/>
          <w:highlight w:val="none"/>
        </w:rPr>
        <w:t xml:space="preserve">投标范围、投标文件中计量单位的使用</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49" w:name="_Toc151193916"/>
      <w:r/>
      <w:bookmarkStart w:id="250" w:name="_Toc151193626"/>
      <w:r/>
      <w:bookmarkStart w:id="251" w:name="_Toc150774733"/>
      <w:r/>
      <w:bookmarkStart w:id="252" w:name="_Toc226965801"/>
      <w:r/>
      <w:bookmarkStart w:id="253" w:name="_Toc151193770"/>
      <w:r/>
      <w:bookmarkStart w:id="254" w:name="_Toc149720821"/>
      <w:r/>
      <w:bookmarkStart w:id="255" w:name="_Toc164351622"/>
      <w:r/>
      <w:bookmarkStart w:id="256" w:name="_Toc516367022"/>
      <w:r/>
      <w:bookmarkStart w:id="257" w:name="_Ref467306195"/>
      <w:r/>
      <w:bookmarkStart w:id="258" w:name="_Ref467306676"/>
      <w:r/>
      <w:bookmarkStart w:id="259" w:name="_Toc127161442"/>
      <w:r/>
      <w:bookmarkStart w:id="260" w:name="_Toc226965718"/>
      <w:r/>
      <w:bookmarkStart w:id="261" w:name="_Toc151193698"/>
      <w:r/>
      <w:bookmarkStart w:id="262" w:name="_Toc226337224"/>
      <w:r/>
      <w:bookmarkStart w:id="263" w:name="_Toc164608797"/>
      <w:r/>
      <w:bookmarkStart w:id="264" w:name="_Toc264969218"/>
      <w:r/>
      <w:bookmarkStart w:id="265" w:name="_Toc164229369"/>
      <w:r/>
      <w:bookmarkStart w:id="266" w:name="_Toc142311030"/>
      <w:r/>
      <w:bookmarkStart w:id="267" w:name="_Toc305158796"/>
      <w:r/>
      <w:bookmarkStart w:id="268" w:name="_Toc226309772"/>
      <w:r/>
      <w:bookmarkStart w:id="269" w:name="_Toc195842893"/>
      <w:r/>
      <w:bookmarkStart w:id="270" w:name="_Toc150480766"/>
      <w:r/>
      <w:bookmarkStart w:id="271" w:name="_Toc164229223"/>
      <w:r/>
      <w:bookmarkStart w:id="272" w:name="_Toc150509279"/>
      <w:r/>
      <w:bookmarkStart w:id="273" w:name="_Toc127151528"/>
      <w:r/>
      <w:bookmarkStart w:id="274" w:name="_Toc520356152"/>
      <w:r/>
      <w:bookmarkStart w:id="275" w:name="_Toc305158870"/>
      <w:r/>
      <w:bookmarkStart w:id="276" w:name="_Toc151193842"/>
      <w:r/>
      <w:bookmarkStart w:id="277" w:name="_Toc265228366"/>
      <w:r/>
      <w:bookmarkStart w:id="278" w:name="_Toc127151729"/>
      <w:r/>
      <w:bookmarkStart w:id="279" w:name="_Toc150774628"/>
      <w:r/>
      <w:bookmarkStart w:id="280" w:name="_Toc151190155"/>
      <w:r/>
      <w:bookmarkStart w:id="281" w:name="_Toc164608642"/>
      <w:r>
        <w:rPr>
          <w:rFonts w:hint="eastAsia" w:ascii="宋体" w:hAnsi="宋体" w:cs="宋体"/>
          <w:b/>
          <w:color w:val="000000"/>
          <w:sz w:val="24"/>
          <w:highlight w:val="none"/>
        </w:rPr>
        <w:t xml:space="preserve">投标文件</w:t>
      </w:r>
      <w:bookmarkEnd w:id="256"/>
      <w:r/>
      <w:bookmarkEnd w:id="257"/>
      <w:r/>
      <w:bookmarkEnd w:id="258"/>
      <w:r>
        <w:rPr>
          <w:rFonts w:hint="eastAsia" w:ascii="宋体" w:hAnsi="宋体" w:cs="宋体"/>
          <w:b/>
          <w:color w:val="000000"/>
          <w:sz w:val="24"/>
          <w:highlight w:val="none"/>
        </w:rPr>
        <w:t xml:space="preserve">构成</w:t>
      </w:r>
      <w:bookmarkEnd w:id="249"/>
      <w:r/>
      <w:bookmarkEnd w:id="250"/>
      <w:r/>
      <w:bookmarkEnd w:id="251"/>
      <w:r/>
      <w:bookmarkEnd w:id="252"/>
      <w:r/>
      <w:bookmarkEnd w:id="253"/>
      <w:r/>
      <w:bookmarkEnd w:id="254"/>
      <w:r/>
      <w:bookmarkEnd w:id="255"/>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2"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2"/>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3" w:name="_Toc150774735"/>
      <w:r/>
      <w:bookmarkStart w:id="284" w:name="_Toc151193844"/>
      <w:r/>
      <w:bookmarkStart w:id="285" w:name="_Toc151190157"/>
      <w:r/>
      <w:bookmarkStart w:id="286" w:name="_Toc127151530"/>
      <w:r/>
      <w:bookmarkStart w:id="287" w:name="_Toc164229225"/>
      <w:r/>
      <w:bookmarkStart w:id="288" w:name="_Toc164351624"/>
      <w:r/>
      <w:bookmarkStart w:id="289" w:name="_Toc150509281"/>
      <w:r/>
      <w:bookmarkStart w:id="290" w:name="_Toc142311032"/>
      <w:r/>
      <w:bookmarkStart w:id="291" w:name="_Toc520356155"/>
      <w:r/>
      <w:bookmarkStart w:id="292" w:name="_Toc151193700"/>
      <w:r/>
      <w:bookmarkStart w:id="293" w:name="_Toc150480768"/>
      <w:r/>
      <w:bookmarkStart w:id="294" w:name="_Toc150774630"/>
      <w:r/>
      <w:bookmarkStart w:id="295" w:name="_Toc164229371"/>
      <w:r/>
      <w:bookmarkStart w:id="296" w:name="_Toc164608799"/>
      <w:r/>
      <w:bookmarkStart w:id="297" w:name="_Toc164608644"/>
      <w:r/>
      <w:bookmarkStart w:id="298" w:name="_Toc151193628"/>
      <w:r/>
      <w:bookmarkStart w:id="299" w:name="_Toc195842895"/>
      <w:r/>
      <w:bookmarkStart w:id="300" w:name="_Toc127151731"/>
      <w:r/>
      <w:bookmarkStart w:id="301" w:name="_Toc151193918"/>
      <w:r/>
      <w:bookmarkStart w:id="302" w:name="_Toc149720823"/>
      <w:r/>
      <w:bookmarkStart w:id="303" w:name="_Toc151193772"/>
      <w:r/>
      <w:bookmarkStart w:id="304" w:name="_Toc127161444"/>
      <w:r>
        <w:rPr>
          <w:rFonts w:hint="eastAsia" w:ascii="宋体" w:hAnsi="宋体" w:cs="宋体"/>
          <w:b/>
          <w:color w:val="000000"/>
          <w:sz w:val="24"/>
          <w:highlight w:val="none"/>
        </w:rPr>
        <w:t xml:space="preserve">投标报价</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5" w:name="_Toc149720824"/>
      <w:r/>
      <w:bookmarkStart w:id="306" w:name="_Toc151193773"/>
      <w:r/>
      <w:bookmarkStart w:id="307" w:name="_Toc150774631"/>
      <w:r/>
      <w:bookmarkStart w:id="308" w:name="_Toc150774736"/>
      <w:r/>
      <w:bookmarkStart w:id="309" w:name="_Toc164229372"/>
      <w:r/>
      <w:bookmarkStart w:id="310" w:name="_Toc164351625"/>
      <w:r/>
      <w:bookmarkStart w:id="311" w:name="_Toc151193845"/>
      <w:r/>
      <w:bookmarkStart w:id="312" w:name="_Ref467306513"/>
      <w:r/>
      <w:bookmarkStart w:id="313" w:name="_Toc164608800"/>
      <w:r/>
      <w:bookmarkStart w:id="314" w:name="_Toc150480769"/>
      <w:r/>
      <w:bookmarkStart w:id="315" w:name="_Toc305158799"/>
      <w:r/>
      <w:bookmarkStart w:id="316" w:name="_Toc226965721"/>
      <w:r/>
      <w:bookmarkStart w:id="317" w:name="_Toc520356156"/>
      <w:r/>
      <w:bookmarkStart w:id="318" w:name="_Toc226309775"/>
      <w:r/>
      <w:bookmarkStart w:id="319" w:name="_Toc151193919"/>
      <w:r/>
      <w:bookmarkStart w:id="320" w:name="_Toc264969221"/>
      <w:r/>
      <w:bookmarkStart w:id="321" w:name="_Toc127151531"/>
      <w:r/>
      <w:bookmarkStart w:id="322" w:name="_Toc195842896"/>
      <w:r/>
      <w:bookmarkStart w:id="323" w:name="_Toc150509282"/>
      <w:r/>
      <w:bookmarkStart w:id="324" w:name="_Toc226965804"/>
      <w:r/>
      <w:bookmarkStart w:id="325" w:name="_Toc265228369"/>
      <w:r/>
      <w:bookmarkStart w:id="326" w:name="_Toc164608645"/>
      <w:r/>
      <w:bookmarkStart w:id="327" w:name="_Toc226337227"/>
      <w:r/>
      <w:bookmarkStart w:id="328" w:name="_Toc142311033"/>
      <w:r/>
      <w:bookmarkStart w:id="329" w:name="_Toc305158873"/>
      <w:r/>
      <w:bookmarkStart w:id="330" w:name="_Toc127161445"/>
      <w:r/>
      <w:bookmarkStart w:id="331" w:name="_Toc151193701"/>
      <w:r/>
      <w:bookmarkStart w:id="332" w:name="_Toc127151732"/>
      <w:r/>
      <w:bookmarkStart w:id="333" w:name="_Toc151190158"/>
      <w:r/>
      <w:bookmarkStart w:id="334" w:name="_Toc151193629"/>
      <w:r/>
      <w:bookmarkStart w:id="335" w:name="_Toc164229226"/>
      <w:r>
        <w:rPr>
          <w:rFonts w:hint="eastAsia" w:ascii="宋体" w:hAnsi="宋体" w:cs="宋体"/>
          <w:b/>
          <w:color w:val="000000"/>
          <w:sz w:val="24"/>
          <w:highlight w:val="none"/>
        </w:rPr>
        <w:t xml:space="preserve">投标保证金</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hint="eastAsia" w:ascii="宋体" w:hAnsi="宋体" w:cs="宋体"/>
          <w:b/>
          <w:color w:val="000000"/>
          <w:sz w:val="24"/>
          <w:highlight w:val="none"/>
        </w:rPr>
      </w:r>
      <w:r/>
    </w:p>
    <w:p>
      <w:pPr>
        <w:pStyle w:val="1035"/>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6" w:name="_Toc164608801"/>
      <w:r/>
      <w:bookmarkStart w:id="337" w:name="_Toc226965805"/>
      <w:r/>
      <w:bookmarkStart w:id="338" w:name="_Toc149720825"/>
      <w:r/>
      <w:bookmarkStart w:id="339" w:name="_Toc127151532"/>
      <w:r/>
      <w:bookmarkStart w:id="340" w:name="_Toc151193846"/>
      <w:r/>
      <w:bookmarkStart w:id="341" w:name="_Toc226309776"/>
      <w:r/>
      <w:bookmarkStart w:id="342" w:name="_Toc305158874"/>
      <w:r/>
      <w:bookmarkStart w:id="343" w:name="_Toc150509283"/>
      <w:r/>
      <w:bookmarkStart w:id="344" w:name="_Toc151193630"/>
      <w:r/>
      <w:bookmarkStart w:id="345" w:name="_Toc150774632"/>
      <w:r/>
      <w:bookmarkStart w:id="346" w:name="_Toc142311034"/>
      <w:r/>
      <w:bookmarkStart w:id="347" w:name="_Toc265228370"/>
      <w:r/>
      <w:bookmarkStart w:id="348" w:name="_Toc151193774"/>
      <w:r/>
      <w:bookmarkStart w:id="349" w:name="_Toc127161446"/>
      <w:r/>
      <w:bookmarkStart w:id="350" w:name="_Toc226337228"/>
      <w:r/>
      <w:bookmarkStart w:id="351" w:name="_Toc150774737"/>
      <w:r/>
      <w:bookmarkStart w:id="352" w:name="_Toc195842897"/>
      <w:r/>
      <w:bookmarkStart w:id="353" w:name="_Toc305158800"/>
      <w:r/>
      <w:bookmarkStart w:id="354" w:name="_Toc151193702"/>
      <w:r/>
      <w:bookmarkStart w:id="355" w:name="_Toc164229227"/>
      <w:r/>
      <w:bookmarkStart w:id="356" w:name="_Toc264969222"/>
      <w:r/>
      <w:bookmarkStart w:id="357" w:name="_Toc164229373"/>
      <w:r/>
      <w:bookmarkStart w:id="358" w:name="_Toc151190159"/>
      <w:r/>
      <w:bookmarkStart w:id="359" w:name="_Toc151193920"/>
      <w:r/>
      <w:bookmarkStart w:id="360" w:name="_Toc150480770"/>
      <w:r/>
      <w:bookmarkStart w:id="361" w:name="_Toc520356157"/>
      <w:r/>
      <w:bookmarkStart w:id="362" w:name="_Toc164608646"/>
      <w:r/>
      <w:bookmarkStart w:id="363" w:name="_Toc164351626"/>
      <w:r/>
      <w:bookmarkStart w:id="364" w:name="_Toc226965722"/>
      <w:r/>
      <w:bookmarkStart w:id="365" w:name="_Toc127151733"/>
      <w:r>
        <w:rPr>
          <w:rFonts w:hint="eastAsia" w:ascii="宋体" w:hAnsi="宋体" w:cs="宋体"/>
          <w:b/>
          <w:color w:val="000000"/>
          <w:sz w:val="24"/>
          <w:highlight w:val="none"/>
        </w:rPr>
        <w:t xml:space="preserve">投标有效期</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6" w:name="_Toc164351627"/>
      <w:r/>
      <w:bookmarkStart w:id="367" w:name="_Toc150774633"/>
      <w:r/>
      <w:bookmarkStart w:id="368" w:name="_Toc151193775"/>
      <w:r/>
      <w:bookmarkStart w:id="369" w:name="_Toc265228371"/>
      <w:r/>
      <w:bookmarkStart w:id="370" w:name="_Toc164229374"/>
      <w:r/>
      <w:bookmarkStart w:id="371" w:name="_Toc142311035"/>
      <w:r/>
      <w:bookmarkStart w:id="372" w:name="_Toc151190160"/>
      <w:r/>
      <w:bookmarkStart w:id="373" w:name="_Toc151193921"/>
      <w:r/>
      <w:bookmarkStart w:id="374" w:name="_Toc150480771"/>
      <w:r/>
      <w:bookmarkStart w:id="375" w:name="_Toc151193703"/>
      <w:r/>
      <w:bookmarkStart w:id="376" w:name="_Toc127161447"/>
      <w:r/>
      <w:bookmarkStart w:id="377" w:name="_Toc164229228"/>
      <w:r/>
      <w:bookmarkStart w:id="378" w:name="_Toc164608802"/>
      <w:r/>
      <w:bookmarkStart w:id="379" w:name="_Toc520356158"/>
      <w:r/>
      <w:bookmarkStart w:id="380" w:name="_Toc150774738"/>
      <w:r/>
      <w:bookmarkStart w:id="381" w:name="_Toc150509284"/>
      <w:r/>
      <w:bookmarkStart w:id="382" w:name="_Toc226965723"/>
      <w:r/>
      <w:bookmarkStart w:id="383" w:name="_Toc305158875"/>
      <w:r/>
      <w:bookmarkStart w:id="384" w:name="_Toc149720826"/>
      <w:r/>
      <w:bookmarkStart w:id="385" w:name="_Toc151193847"/>
      <w:r/>
      <w:bookmarkStart w:id="386" w:name="_Toc264969223"/>
      <w:r/>
      <w:bookmarkStart w:id="387" w:name="_Toc127151533"/>
      <w:r/>
      <w:bookmarkStart w:id="388" w:name="_Toc226337229"/>
      <w:r/>
      <w:bookmarkStart w:id="389" w:name="_Toc195842898"/>
      <w:r/>
      <w:bookmarkStart w:id="390" w:name="_Toc151193631"/>
      <w:r/>
      <w:bookmarkStart w:id="391" w:name="_Toc226309777"/>
      <w:r/>
      <w:bookmarkStart w:id="392" w:name="_Toc226965806"/>
      <w:r/>
      <w:bookmarkStart w:id="393" w:name="_Toc127151734"/>
      <w:r/>
      <w:bookmarkStart w:id="394" w:name="_Toc305158801"/>
      <w:r/>
      <w:bookmarkStart w:id="395" w:name="_Toc164608647"/>
      <w:r>
        <w:rPr>
          <w:rFonts w:hint="eastAsia" w:ascii="宋体" w:hAnsi="宋体" w:cs="宋体"/>
          <w:b/>
          <w:color w:val="000000"/>
          <w:sz w:val="24"/>
          <w:highlight w:val="none"/>
        </w:rPr>
        <w:t xml:space="preserve">投标文件的签署</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6" w:name="_Toc305158876"/>
      <w:r/>
      <w:bookmarkStart w:id="397" w:name="_Toc226337230"/>
      <w:r/>
      <w:bookmarkStart w:id="398" w:name="_Toc127151534"/>
      <w:r/>
      <w:bookmarkStart w:id="399" w:name="_Toc142311036"/>
      <w:r/>
      <w:bookmarkStart w:id="400" w:name="_Toc226309778"/>
      <w:r/>
      <w:bookmarkStart w:id="401" w:name="_Toc305158802"/>
      <w:r/>
      <w:bookmarkStart w:id="402" w:name="_Toc264969224"/>
      <w:r/>
      <w:bookmarkStart w:id="403" w:name="_Toc150509285"/>
      <w:r/>
      <w:bookmarkStart w:id="404" w:name="_Toc150480772"/>
      <w:r/>
      <w:bookmarkStart w:id="405" w:name="_Toc151190161"/>
      <w:r/>
      <w:bookmarkStart w:id="406" w:name="_Toc195842899"/>
      <w:r/>
      <w:bookmarkStart w:id="407" w:name="_Toc150774739"/>
      <w:r/>
      <w:bookmarkStart w:id="408" w:name="_Toc151193776"/>
      <w:r/>
      <w:bookmarkStart w:id="409" w:name="_Toc226965724"/>
      <w:r/>
      <w:bookmarkStart w:id="410" w:name="_Toc151193922"/>
      <w:r/>
      <w:bookmarkStart w:id="411" w:name="_Toc151193704"/>
      <w:r/>
      <w:bookmarkStart w:id="412" w:name="_Toc226965807"/>
      <w:r/>
      <w:bookmarkStart w:id="413" w:name="_Toc265228372"/>
      <w:r/>
      <w:bookmarkStart w:id="414" w:name="_Toc151193848"/>
      <w:r/>
      <w:bookmarkStart w:id="415" w:name="_Toc520356159"/>
      <w:r/>
      <w:bookmarkStart w:id="416" w:name="_Toc150774634"/>
      <w:r/>
      <w:bookmarkStart w:id="417" w:name="_Toc151193632"/>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35"/>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37"/>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Pr>
          <w:rFonts w:hint="eastAsia" w:ascii="宋体" w:hAnsi="宋体" w:eastAsia="宋体" w:cs="宋体"/>
          <w:color w:val="000000"/>
          <w:sz w:val="28"/>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18" w:name="_Toc164229376"/>
      <w:r/>
      <w:bookmarkStart w:id="419" w:name="_Toc151193849"/>
      <w:r/>
      <w:bookmarkStart w:id="420" w:name="_Toc127151736"/>
      <w:r/>
      <w:bookmarkStart w:id="421" w:name="_Toc151193923"/>
      <w:r/>
      <w:bookmarkStart w:id="422" w:name="_Toc150774635"/>
      <w:r/>
      <w:bookmarkStart w:id="423" w:name="_Toc226965808"/>
      <w:r/>
      <w:bookmarkStart w:id="424" w:name="_Toc520356160"/>
      <w:r/>
      <w:bookmarkStart w:id="425" w:name="_Toc151193777"/>
      <w:r/>
      <w:bookmarkStart w:id="426" w:name="_Toc164608804"/>
      <w:r/>
      <w:bookmarkStart w:id="427" w:name="_Toc151193633"/>
      <w:r/>
      <w:bookmarkStart w:id="428" w:name="_Toc226337231"/>
      <w:r/>
      <w:bookmarkStart w:id="429" w:name="_Toc151193705"/>
      <w:r/>
      <w:bookmarkStart w:id="430" w:name="_Toc149720828"/>
      <w:r/>
      <w:bookmarkStart w:id="431" w:name="_Toc305158803"/>
      <w:r/>
      <w:bookmarkStart w:id="432" w:name="_Toc226965725"/>
      <w:r/>
      <w:bookmarkStart w:id="433" w:name="_Toc164229230"/>
      <w:r/>
      <w:bookmarkStart w:id="434" w:name="_Toc127151535"/>
      <w:r/>
      <w:bookmarkStart w:id="435" w:name="_Toc150509286"/>
      <w:r/>
      <w:bookmarkStart w:id="436" w:name="_Toc150480773"/>
      <w:r/>
      <w:bookmarkStart w:id="437" w:name="_Toc265228373"/>
      <w:r/>
      <w:bookmarkStart w:id="438" w:name="_Toc305158877"/>
      <w:r/>
      <w:bookmarkStart w:id="439" w:name="_Toc164608649"/>
      <w:r/>
      <w:bookmarkStart w:id="440" w:name="_Toc264969225"/>
      <w:r/>
      <w:bookmarkStart w:id="441" w:name="_Toc195842900"/>
      <w:r/>
      <w:bookmarkStart w:id="442" w:name="_Toc142311037"/>
      <w:r/>
      <w:bookmarkStart w:id="443" w:name="_Toc226309779"/>
      <w:r/>
      <w:bookmarkStart w:id="444" w:name="_Toc127161449"/>
      <w:r/>
      <w:bookmarkStart w:id="445" w:name="_Toc164351629"/>
      <w:r/>
      <w:bookmarkStart w:id="446" w:name="_Toc151190162"/>
      <w:r/>
      <w:bookmarkStart w:id="447" w:name="_Toc150774740"/>
      <w:r>
        <w:rPr>
          <w:rFonts w:hint="eastAsia" w:ascii="宋体" w:hAnsi="宋体" w:cs="宋体"/>
          <w:b/>
          <w:color w:val="000000"/>
          <w:sz w:val="24"/>
          <w:highlight w:val="none"/>
        </w:rPr>
        <w:t xml:space="preserve">投标文件的</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48" w:name="_Toc127161450"/>
      <w:r/>
      <w:bookmarkStart w:id="449" w:name="_Toc164608650"/>
      <w:r/>
      <w:bookmarkStart w:id="450" w:name="_Toc305158804"/>
      <w:r/>
      <w:bookmarkStart w:id="451" w:name="_Toc226337232"/>
      <w:r/>
      <w:bookmarkStart w:id="452" w:name="_Toc265228374"/>
      <w:r/>
      <w:bookmarkStart w:id="453" w:name="_Toc151193634"/>
      <w:r/>
      <w:bookmarkStart w:id="454" w:name="_Toc264969226"/>
      <w:r/>
      <w:bookmarkStart w:id="455" w:name="_Toc164229231"/>
      <w:r/>
      <w:bookmarkStart w:id="456" w:name="_Toc149720829"/>
      <w:r/>
      <w:bookmarkStart w:id="457" w:name="_Toc151193778"/>
      <w:r/>
      <w:bookmarkStart w:id="458" w:name="_Toc142311038"/>
      <w:r/>
      <w:bookmarkStart w:id="459" w:name="_Toc520356161"/>
      <w:r/>
      <w:bookmarkStart w:id="460" w:name="_Toc164229377"/>
      <w:r/>
      <w:bookmarkStart w:id="461" w:name="_Toc151193850"/>
      <w:r/>
      <w:bookmarkStart w:id="462" w:name="_Toc127151536"/>
      <w:r/>
      <w:bookmarkStart w:id="463" w:name="_Toc164351630"/>
      <w:r/>
      <w:bookmarkStart w:id="464" w:name="_Toc127151737"/>
      <w:r/>
      <w:bookmarkStart w:id="465" w:name="_Toc226309780"/>
      <w:r/>
      <w:bookmarkStart w:id="466" w:name="_Toc150480774"/>
      <w:r/>
      <w:bookmarkStart w:id="467" w:name="_Toc195842901"/>
      <w:r/>
      <w:bookmarkStart w:id="468" w:name="_Toc151193924"/>
      <w:r/>
      <w:bookmarkStart w:id="469" w:name="_Toc164608805"/>
      <w:r/>
      <w:bookmarkStart w:id="470" w:name="_Toc150774741"/>
      <w:r/>
      <w:bookmarkStart w:id="471" w:name="_Toc151193706"/>
      <w:r/>
      <w:bookmarkStart w:id="472" w:name="_Toc305158878"/>
      <w:r/>
      <w:bookmarkStart w:id="473" w:name="_Toc226965809"/>
      <w:r/>
      <w:bookmarkStart w:id="474" w:name="_Toc150774636"/>
      <w:r/>
      <w:bookmarkStart w:id="475" w:name="_Toc151190163"/>
      <w:r/>
      <w:bookmarkStart w:id="476" w:name="_Toc150509287"/>
      <w:r/>
      <w:bookmarkStart w:id="477" w:name="_Toc226965726"/>
      <w:r>
        <w:rPr>
          <w:rFonts w:hint="eastAsia" w:ascii="宋体" w:hAnsi="宋体" w:cs="宋体"/>
          <w:b/>
          <w:color w:val="000000"/>
          <w:sz w:val="24"/>
          <w:highlight w:val="none"/>
        </w:rPr>
        <w:t xml:space="preserve">投标截止</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78" w:name="_Toc520356162"/>
      <w:r/>
      <w:bookmarkStart w:id="479" w:name="_Toc127151537"/>
      <w:r/>
      <w:bookmarkStart w:id="480" w:name="_Toc164229232"/>
      <w:r/>
      <w:bookmarkStart w:id="481" w:name="_Toc226337233"/>
      <w:r/>
      <w:bookmarkStart w:id="482" w:name="_Toc164608651"/>
      <w:r/>
      <w:bookmarkStart w:id="483" w:name="_Toc149720830"/>
      <w:r/>
      <w:bookmarkStart w:id="484" w:name="_Toc151193851"/>
      <w:r/>
      <w:bookmarkStart w:id="485" w:name="_Toc151193925"/>
      <w:r/>
      <w:bookmarkStart w:id="486" w:name="_Toc127151738"/>
      <w:r/>
      <w:bookmarkStart w:id="487" w:name="_Toc265228375"/>
      <w:r/>
      <w:bookmarkStart w:id="488" w:name="_Toc226965727"/>
      <w:r/>
      <w:bookmarkStart w:id="489" w:name="_Toc127161451"/>
      <w:r/>
      <w:bookmarkStart w:id="490" w:name="_Toc151190164"/>
      <w:r/>
      <w:bookmarkStart w:id="491" w:name="_Toc305158805"/>
      <w:r/>
      <w:bookmarkStart w:id="492" w:name="_Toc164351631"/>
      <w:r/>
      <w:bookmarkStart w:id="493" w:name="_Toc164608806"/>
      <w:r/>
      <w:bookmarkStart w:id="494" w:name="_Toc226965810"/>
      <w:r/>
      <w:bookmarkStart w:id="495" w:name="_Toc164229378"/>
      <w:r/>
      <w:bookmarkStart w:id="496" w:name="_Toc305158879"/>
      <w:r/>
      <w:bookmarkStart w:id="497" w:name="_Toc151193635"/>
      <w:r/>
      <w:bookmarkStart w:id="498" w:name="_Toc150509288"/>
      <w:r/>
      <w:bookmarkStart w:id="499" w:name="_Toc226309781"/>
      <w:r/>
      <w:bookmarkStart w:id="500" w:name="_Toc150774742"/>
      <w:r/>
      <w:bookmarkStart w:id="501" w:name="_Toc195842902"/>
      <w:r/>
      <w:bookmarkStart w:id="502" w:name="_Toc151193779"/>
      <w:r/>
      <w:bookmarkStart w:id="503" w:name="_Toc264969227"/>
      <w:r/>
      <w:bookmarkStart w:id="504" w:name="_Toc150774637"/>
      <w:r/>
      <w:bookmarkStart w:id="505" w:name="_Toc150480775"/>
      <w:r/>
      <w:bookmarkStart w:id="506" w:name="_Toc151193707"/>
      <w:r/>
      <w:bookmarkStart w:id="507" w:name="_Toc142311039"/>
      <w:r>
        <w:rPr>
          <w:rFonts w:hint="eastAsia" w:ascii="宋体" w:hAnsi="宋体" w:cs="宋体"/>
          <w:b/>
          <w:color w:val="000000"/>
          <w:sz w:val="24"/>
          <w:highlight w:val="none"/>
        </w:rPr>
        <w:t xml:space="preserve">投标文件的修改与撤回</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3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7"/>
        <w:ind w:firstLine="562"/>
        <w:spacing w:before="0" w:line="360" w:lineRule="auto"/>
        <w:rPr>
          <w:rFonts w:hint="eastAsia" w:ascii="宋体" w:hAnsi="宋体" w:eastAsia="宋体" w:cs="宋体"/>
          <w:color w:val="000000"/>
          <w:sz w:val="28"/>
          <w:highlight w:val="none"/>
        </w:rPr>
      </w:pPr>
      <w:r/>
      <w:bookmarkStart w:id="508" w:name="_Toc150774638"/>
      <w:r/>
      <w:bookmarkStart w:id="509" w:name="_Toc151190165"/>
      <w:r/>
      <w:bookmarkStart w:id="510" w:name="_Toc150774743"/>
      <w:r/>
      <w:bookmarkStart w:id="511" w:name="_Toc151193926"/>
      <w:r/>
      <w:bookmarkStart w:id="512" w:name="_Toc305158880"/>
      <w:r/>
      <w:bookmarkStart w:id="513" w:name="_Toc151193780"/>
      <w:r/>
      <w:bookmarkStart w:id="514" w:name="_Toc151193708"/>
      <w:r/>
      <w:bookmarkStart w:id="515" w:name="_Toc151193852"/>
      <w:r/>
      <w:bookmarkStart w:id="516" w:name="_Toc150509289"/>
      <w:r/>
      <w:bookmarkStart w:id="517" w:name="_Toc226965728"/>
      <w:r/>
      <w:bookmarkStart w:id="518" w:name="_Toc305158806"/>
      <w:r/>
      <w:bookmarkStart w:id="519" w:name="_Toc226309782"/>
      <w:r/>
      <w:bookmarkStart w:id="520" w:name="_Toc520356163"/>
      <w:r/>
      <w:bookmarkStart w:id="521" w:name="_Toc226965811"/>
      <w:r/>
      <w:bookmarkStart w:id="522" w:name="_Toc226337234"/>
      <w:r/>
      <w:bookmarkStart w:id="523" w:name="_Toc264969228"/>
      <w:r/>
      <w:bookmarkStart w:id="524" w:name="_Toc151193636"/>
      <w:r/>
      <w:bookmarkStart w:id="525" w:name="_Toc195842903"/>
      <w:r/>
      <w:bookmarkStart w:id="526" w:name="_Toc142311040"/>
      <w:r/>
      <w:bookmarkStart w:id="527" w:name="_Toc150480776"/>
      <w:r/>
      <w:bookmarkStart w:id="528" w:name="_Toc265228376"/>
      <w:r/>
      <w:bookmarkStart w:id="529" w:name="_Toc127151538"/>
      <w:r>
        <w:rPr>
          <w:rFonts w:hint="eastAsia" w:ascii="宋体" w:hAnsi="宋体" w:eastAsia="宋体" w:cs="宋体"/>
          <w:color w:val="000000"/>
          <w:sz w:val="28"/>
          <w:highlight w:val="none"/>
        </w:rPr>
        <w:t xml:space="preserve">五   开标、资格审查及评标</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rFonts w:hint="eastAsia" w:ascii="宋体" w:hAnsi="宋体" w:eastAsia="宋体" w:cs="宋体"/>
          <w:color w:val="000000"/>
          <w:sz w:val="28"/>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0" w:name="_Toc151193781"/>
      <w:r/>
      <w:bookmarkStart w:id="531" w:name="_Toc150774744"/>
      <w:r/>
      <w:bookmarkStart w:id="532" w:name="_Toc164608653"/>
      <w:r/>
      <w:bookmarkStart w:id="533" w:name="_Toc127151740"/>
      <w:r/>
      <w:bookmarkStart w:id="534" w:name="_Toc164229234"/>
      <w:r/>
      <w:bookmarkStart w:id="535" w:name="_Toc151193637"/>
      <w:r/>
      <w:bookmarkStart w:id="536" w:name="_Toc305158807"/>
      <w:r/>
      <w:bookmarkStart w:id="537" w:name="_Toc151193927"/>
      <w:r/>
      <w:bookmarkStart w:id="538" w:name="_Toc151190166"/>
      <w:r/>
      <w:bookmarkStart w:id="539" w:name="_Toc264969229"/>
      <w:r/>
      <w:bookmarkStart w:id="540" w:name="_Toc226337235"/>
      <w:r/>
      <w:bookmarkStart w:id="541" w:name="_Toc150480777"/>
      <w:r/>
      <w:bookmarkStart w:id="542" w:name="_Toc164351633"/>
      <w:r/>
      <w:bookmarkStart w:id="543" w:name="_Toc195842904"/>
      <w:r/>
      <w:bookmarkStart w:id="544" w:name="_Toc150509290"/>
      <w:r/>
      <w:bookmarkStart w:id="545" w:name="_Toc226309783"/>
      <w:r/>
      <w:bookmarkStart w:id="546" w:name="_Toc265228377"/>
      <w:r/>
      <w:bookmarkStart w:id="547" w:name="_Toc305158881"/>
      <w:r/>
      <w:bookmarkStart w:id="548" w:name="_Toc127151539"/>
      <w:r/>
      <w:bookmarkStart w:id="549" w:name="_Toc164608808"/>
      <w:r/>
      <w:bookmarkStart w:id="550" w:name="_Toc226965729"/>
      <w:r/>
      <w:bookmarkStart w:id="551" w:name="_Toc226965812"/>
      <w:r/>
      <w:bookmarkStart w:id="552" w:name="_Toc151193853"/>
      <w:r/>
      <w:bookmarkStart w:id="553" w:name="_Toc164229380"/>
      <w:r/>
      <w:bookmarkStart w:id="554" w:name="_Toc142311041"/>
      <w:r/>
      <w:bookmarkStart w:id="555" w:name="_Toc127161453"/>
      <w:r/>
      <w:bookmarkStart w:id="556" w:name="_Toc151193709"/>
      <w:r/>
      <w:bookmarkStart w:id="557" w:name="_Toc150774639"/>
      <w:r/>
      <w:bookmarkStart w:id="558" w:name="_Toc520356164"/>
      <w:r/>
      <w:bookmarkStart w:id="559" w:name="_Toc149720832"/>
      <w:r>
        <w:rPr>
          <w:rFonts w:hint="eastAsia" w:ascii="宋体" w:hAnsi="宋体" w:cs="宋体"/>
          <w:b/>
          <w:color w:val="000000"/>
          <w:sz w:val="24"/>
          <w:highlight w:val="none"/>
        </w:rPr>
        <w:t xml:space="preserve">开标</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0"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35"/>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35"/>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35"/>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35"/>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35"/>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35"/>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0"/>
      <w:r/>
      <w:bookmarkStart w:id="561" w:name="_Toc305158882"/>
      <w:r/>
      <w:bookmarkStart w:id="562" w:name="_Toc150480778"/>
      <w:r/>
      <w:bookmarkStart w:id="563" w:name="_Toc151190167"/>
      <w:r/>
      <w:bookmarkStart w:id="564" w:name="_Toc226965813"/>
      <w:r/>
      <w:bookmarkStart w:id="565" w:name="_Toc151193638"/>
      <w:r/>
      <w:bookmarkStart w:id="566" w:name="_Toc150774745"/>
      <w:r/>
      <w:bookmarkStart w:id="567" w:name="_Toc127151741"/>
      <w:r/>
      <w:bookmarkStart w:id="568" w:name="_Toc164608809"/>
      <w:r/>
      <w:bookmarkStart w:id="569" w:name="_Toc226337236"/>
      <w:r/>
      <w:bookmarkStart w:id="570" w:name="_Toc264969230"/>
      <w:r/>
      <w:bookmarkStart w:id="571" w:name="_Toc164351634"/>
      <w:r/>
      <w:bookmarkStart w:id="572" w:name="_Toc164229381"/>
      <w:r/>
      <w:bookmarkStart w:id="573" w:name="_Toc164229235"/>
      <w:r/>
      <w:bookmarkStart w:id="574" w:name="_Toc127151540"/>
      <w:r/>
      <w:bookmarkStart w:id="575" w:name="_Toc149720833"/>
      <w:r/>
      <w:bookmarkStart w:id="576" w:name="_Toc151193782"/>
      <w:r/>
      <w:bookmarkStart w:id="577" w:name="_Toc226965730"/>
      <w:r/>
      <w:bookmarkStart w:id="578" w:name="_Toc142311042"/>
      <w:r/>
      <w:bookmarkStart w:id="579" w:name="_Toc265228378"/>
      <w:r/>
      <w:bookmarkStart w:id="580" w:name="_Toc151193710"/>
      <w:r/>
      <w:bookmarkStart w:id="581" w:name="_Toc151193854"/>
      <w:r/>
      <w:bookmarkStart w:id="582" w:name="_Toc150509291"/>
      <w:r/>
      <w:bookmarkStart w:id="583" w:name="_Toc127161454"/>
      <w:r/>
      <w:bookmarkStart w:id="584" w:name="_Toc195842905"/>
      <w:r/>
      <w:bookmarkStart w:id="585" w:name="_Toc305158808"/>
      <w:r/>
      <w:bookmarkStart w:id="586" w:name="_Toc164608654"/>
      <w:r/>
      <w:bookmarkStart w:id="587" w:name="_Toc226309784"/>
      <w:r/>
      <w:bookmarkStart w:id="588" w:name="_Toc151193928"/>
      <w:r/>
      <w:bookmarkStart w:id="589" w:name="_Toc150774640"/>
      <w:r>
        <w:rPr>
          <w:rFonts w:hint="eastAsia" w:ascii="宋体" w:hAnsi="宋体" w:cs="宋体"/>
          <w:b/>
          <w:color w:val="000000"/>
          <w:sz w:val="24"/>
          <w:highlight w:val="none"/>
        </w:rPr>
        <w:t xml:space="preserve">评标委员会</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0" w:name="_Toc520356166"/>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0"/>
      <w:r/>
      <w:bookmarkStart w:id="591" w:name="_Toc520356169"/>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35"/>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37"/>
        <w:ind w:firstLine="562"/>
        <w:spacing w:before="0" w:line="360" w:lineRule="auto"/>
        <w:rPr>
          <w:rFonts w:hint="eastAsia" w:ascii="宋体" w:hAnsi="宋体" w:eastAsia="宋体" w:cs="宋体"/>
          <w:color w:val="000000"/>
          <w:sz w:val="28"/>
          <w:highlight w:val="none"/>
        </w:rPr>
      </w:pPr>
      <w:r/>
      <w:bookmarkStart w:id="592" w:name="_Toc127151545"/>
      <w:r/>
      <w:bookmarkStart w:id="593" w:name="_Toc142311047"/>
      <w:r/>
      <w:bookmarkStart w:id="594" w:name="_Toc150480783"/>
      <w:r/>
      <w:bookmarkStart w:id="595" w:name="_Toc151190172"/>
      <w:r/>
      <w:bookmarkStart w:id="596" w:name="_Toc226309789"/>
      <w:r/>
      <w:bookmarkStart w:id="597" w:name="_Toc305158813"/>
      <w:r/>
      <w:bookmarkStart w:id="598" w:name="_Toc151193715"/>
      <w:r/>
      <w:bookmarkStart w:id="599" w:name="_Toc151193787"/>
      <w:r/>
      <w:bookmarkStart w:id="600" w:name="_Toc151193933"/>
      <w:r/>
      <w:bookmarkStart w:id="601" w:name="_Toc150774750"/>
      <w:r/>
      <w:bookmarkStart w:id="602" w:name="_Toc195842910"/>
      <w:r/>
      <w:bookmarkStart w:id="603" w:name="_Toc264969235"/>
      <w:r/>
      <w:bookmarkStart w:id="604" w:name="_Toc150509296"/>
      <w:r/>
      <w:bookmarkStart w:id="605" w:name="_Toc226337241"/>
      <w:r/>
      <w:bookmarkStart w:id="606" w:name="_Toc150774645"/>
      <w:r/>
      <w:bookmarkStart w:id="607" w:name="_Toc265228383"/>
      <w:r/>
      <w:bookmarkStart w:id="608" w:name="_Toc226965735"/>
      <w:r/>
      <w:bookmarkStart w:id="609" w:name="_Toc151193643"/>
      <w:r/>
      <w:bookmarkStart w:id="610" w:name="_Toc226965818"/>
      <w:r/>
      <w:bookmarkStart w:id="611" w:name="_Toc151193859"/>
      <w:r/>
      <w:bookmarkStart w:id="612" w:name="_Toc305158887"/>
      <w:r>
        <w:rPr>
          <w:rFonts w:hint="eastAsia" w:ascii="宋体" w:hAnsi="宋体" w:eastAsia="宋体" w:cs="宋体"/>
          <w:color w:val="000000"/>
          <w:sz w:val="28"/>
          <w:highlight w:val="none"/>
        </w:rPr>
        <w:t xml:space="preserve">六   </w:t>
      </w:r>
      <w:bookmarkEnd w:id="591"/>
      <w:r>
        <w:rPr>
          <w:rFonts w:hint="eastAsia" w:ascii="宋体" w:hAnsi="宋体" w:eastAsia="宋体" w:cs="宋体"/>
          <w:color w:val="000000"/>
          <w:sz w:val="28"/>
          <w:highlight w:val="none"/>
        </w:rPr>
        <w:t xml:space="preserve">确定中标</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Start w:id="613" w:name="_Toc305158889"/>
      <w:r/>
      <w:bookmarkStart w:id="614" w:name="_Toc151190174"/>
      <w:r/>
      <w:bookmarkStart w:id="615" w:name="_Toc226965737"/>
      <w:r/>
      <w:bookmarkStart w:id="616" w:name="_Toc151193861"/>
      <w:r/>
      <w:bookmarkStart w:id="617" w:name="_Toc226309791"/>
      <w:r/>
      <w:bookmarkStart w:id="618" w:name="_Toc150480785"/>
      <w:r/>
      <w:bookmarkStart w:id="619" w:name="_Toc264969237"/>
      <w:r/>
      <w:bookmarkStart w:id="620" w:name="_Toc151193645"/>
      <w:r/>
      <w:bookmarkStart w:id="621" w:name="_Toc142311049"/>
      <w:r/>
      <w:bookmarkStart w:id="622" w:name="_Toc164229242"/>
      <w:r/>
      <w:bookmarkStart w:id="623" w:name="_Toc127151547"/>
      <w:r/>
      <w:bookmarkStart w:id="624" w:name="_Toc305158815"/>
      <w:r/>
      <w:bookmarkStart w:id="625" w:name="_Toc150774647"/>
      <w:r/>
      <w:bookmarkStart w:id="626" w:name="_Toc150774752"/>
      <w:r/>
      <w:bookmarkStart w:id="627" w:name="_Toc226965820"/>
      <w:r/>
      <w:bookmarkStart w:id="628" w:name="_Toc149720840"/>
      <w:r/>
      <w:bookmarkStart w:id="629" w:name="_Toc151193789"/>
      <w:r/>
      <w:bookmarkStart w:id="630" w:name="_Toc265228385"/>
      <w:r/>
      <w:bookmarkStart w:id="631" w:name="_Toc151193717"/>
      <w:r/>
      <w:bookmarkStart w:id="632" w:name="_Toc150509298"/>
      <w:r/>
      <w:bookmarkStart w:id="633" w:name="_Toc164351641"/>
      <w:r/>
      <w:bookmarkStart w:id="634" w:name="_Toc127161461"/>
      <w:r/>
      <w:bookmarkStart w:id="635" w:name="_Toc226337243"/>
      <w:r/>
      <w:bookmarkStart w:id="636" w:name="_Toc127151748"/>
      <w:r/>
      <w:bookmarkStart w:id="637" w:name="_Toc164608816"/>
      <w:r/>
      <w:bookmarkStart w:id="638" w:name="_Toc164229388"/>
      <w:r/>
      <w:bookmarkStart w:id="639" w:name="_Toc151193935"/>
      <w:r/>
      <w:bookmarkStart w:id="640" w:name="_Toc164608661"/>
      <w:r/>
      <w:bookmarkStart w:id="641" w:name="_Toc195842912"/>
      <w:r>
        <w:rPr>
          <w:rFonts w:hint="eastAsia" w:ascii="宋体" w:hAnsi="宋体" w:eastAsia="宋体" w:cs="宋体"/>
          <w:color w:val="000000"/>
          <w:sz w:val="28"/>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2" w:name="_Toc226309793"/>
      <w:r/>
      <w:bookmarkStart w:id="643" w:name="_Toc127151549"/>
      <w:r/>
      <w:bookmarkStart w:id="644" w:name="_Toc226965822"/>
      <w:r/>
      <w:bookmarkStart w:id="645" w:name="_Toc305158891"/>
      <w:r/>
      <w:bookmarkStart w:id="646" w:name="_Toc164608663"/>
      <w:r/>
      <w:bookmarkStart w:id="647" w:name="_Toc127151750"/>
      <w:r/>
      <w:bookmarkStart w:id="648" w:name="_Toc226337245"/>
      <w:r/>
      <w:bookmarkStart w:id="649" w:name="_Toc150774649"/>
      <w:r/>
      <w:bookmarkStart w:id="650" w:name="_Ref467307090"/>
      <w:r/>
      <w:bookmarkStart w:id="651" w:name="_Ref467306425"/>
      <w:r/>
      <w:bookmarkStart w:id="652" w:name="_Toc520356176"/>
      <w:r/>
      <w:bookmarkStart w:id="653" w:name="_Toc151190176"/>
      <w:r/>
      <w:bookmarkStart w:id="654" w:name="_Toc164229390"/>
      <w:r/>
      <w:bookmarkStart w:id="655" w:name="_Toc164229244"/>
      <w:r/>
      <w:bookmarkStart w:id="656" w:name="_Toc226965739"/>
      <w:r/>
      <w:bookmarkStart w:id="657" w:name="_Toc127161463"/>
      <w:r/>
      <w:bookmarkStart w:id="658" w:name="_Toc151193719"/>
      <w:r/>
      <w:bookmarkStart w:id="659" w:name="_Toc305158817"/>
      <w:r/>
      <w:bookmarkStart w:id="660" w:name="_Toc150509300"/>
      <w:r/>
      <w:bookmarkStart w:id="661" w:name="_Toc149720842"/>
      <w:r/>
      <w:bookmarkStart w:id="662" w:name="_Toc265228387"/>
      <w:r/>
      <w:bookmarkStart w:id="663" w:name="_Toc150480787"/>
      <w:r/>
      <w:bookmarkStart w:id="664" w:name="_Toc151193937"/>
      <w:r/>
      <w:bookmarkStart w:id="665" w:name="_Toc142311051"/>
      <w:r/>
      <w:bookmarkStart w:id="666" w:name="_Toc151193791"/>
      <w:r/>
      <w:bookmarkStart w:id="667" w:name="_Toc151193863"/>
      <w:r/>
      <w:bookmarkStart w:id="668" w:name="_Toc264969239"/>
      <w:r/>
      <w:bookmarkStart w:id="669" w:name="_Toc151193647"/>
      <w:r/>
      <w:bookmarkStart w:id="670" w:name="_Toc150774754"/>
      <w:r/>
      <w:bookmarkStart w:id="671" w:name="_Toc195842914"/>
      <w:r/>
      <w:bookmarkStart w:id="672" w:name="_Toc164608818"/>
      <w:r/>
      <w:bookmarkStart w:id="673" w:name="_Toc164351643"/>
      <w:r>
        <w:rPr>
          <w:rFonts w:hint="eastAsia" w:ascii="宋体" w:hAnsi="宋体" w:cs="宋体"/>
          <w:b/>
          <w:color w:val="000000"/>
          <w:sz w:val="24"/>
          <w:highlight w:val="none"/>
        </w:rPr>
        <w:t xml:space="preserve">中标公告与中标通知书</w:t>
      </w:r>
      <w:bookmarkEnd w:id="645"/>
      <w:r/>
      <w:bookmarkEnd w:id="659"/>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35"/>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2"/>
      <w:r/>
      <w:bookmarkEnd w:id="643"/>
      <w:r/>
      <w:bookmarkEnd w:id="644"/>
      <w:r/>
      <w:bookmarkEnd w:id="646"/>
      <w:r/>
      <w:bookmarkEnd w:id="647"/>
      <w:r/>
      <w:bookmarkEnd w:id="648"/>
      <w:r/>
      <w:bookmarkEnd w:id="649"/>
      <w:r/>
      <w:bookmarkEnd w:id="653"/>
      <w:r/>
      <w:bookmarkEnd w:id="654"/>
      <w:r/>
      <w:bookmarkEnd w:id="655"/>
      <w:r/>
      <w:bookmarkEnd w:id="656"/>
      <w:r/>
      <w:bookmarkEnd w:id="657"/>
      <w:r/>
      <w:bookmarkEnd w:id="658"/>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Start w:id="674" w:name="_Ref467307062"/>
      <w:r/>
      <w:bookmarkStart w:id="675" w:name="_Toc150774755"/>
      <w:r/>
      <w:bookmarkStart w:id="676" w:name="_Toc151193938"/>
      <w:r/>
      <w:bookmarkStart w:id="677" w:name="_Toc226337246"/>
      <w:r/>
      <w:bookmarkStart w:id="678" w:name="_Toc127151751"/>
      <w:r/>
      <w:bookmarkStart w:id="679" w:name="_Toc265228388"/>
      <w:r/>
      <w:bookmarkStart w:id="680" w:name="_Toc164351644"/>
      <w:r/>
      <w:bookmarkStart w:id="681" w:name="_Toc151190177"/>
      <w:r/>
      <w:bookmarkStart w:id="682" w:name="_Toc164608664"/>
      <w:r/>
      <w:bookmarkStart w:id="683" w:name="_Toc150509301"/>
      <w:r/>
      <w:bookmarkStart w:id="684" w:name="_Toc195842915"/>
      <w:r/>
      <w:bookmarkStart w:id="685" w:name="_Toc151193792"/>
      <w:r/>
      <w:bookmarkStart w:id="686" w:name="_Toc226965823"/>
      <w:r/>
      <w:bookmarkStart w:id="687" w:name="_Ref467306377"/>
      <w:r/>
      <w:bookmarkStart w:id="688" w:name="_Toc226309794"/>
      <w:r/>
      <w:bookmarkStart w:id="689" w:name="_Toc151193864"/>
      <w:r/>
      <w:bookmarkStart w:id="690" w:name="_Toc164229391"/>
      <w:r/>
      <w:bookmarkStart w:id="691" w:name="_Toc305158818"/>
      <w:r/>
      <w:bookmarkStart w:id="692" w:name="_Toc150480788"/>
      <w:r/>
      <w:bookmarkStart w:id="693" w:name="_Ref467306978"/>
      <w:r/>
      <w:bookmarkStart w:id="694" w:name="_Toc520356175"/>
      <w:r/>
      <w:bookmarkStart w:id="695" w:name="_Toc151193720"/>
      <w:r/>
      <w:bookmarkStart w:id="696" w:name="_Toc142311052"/>
      <w:r/>
      <w:bookmarkStart w:id="697" w:name="_Toc127161464"/>
      <w:r/>
      <w:bookmarkStart w:id="698" w:name="_Toc226965740"/>
      <w:r/>
      <w:bookmarkStart w:id="699" w:name="_Toc164229245"/>
      <w:r/>
      <w:bookmarkStart w:id="700" w:name="_Toc150774650"/>
      <w:r/>
      <w:bookmarkStart w:id="701" w:name="_Toc151193648"/>
      <w:r/>
      <w:bookmarkStart w:id="702" w:name="_Toc127151550"/>
      <w:r/>
      <w:bookmarkStart w:id="703" w:name="_Toc149720843"/>
      <w:r/>
      <w:bookmarkStart w:id="704" w:name="_Toc264969240"/>
      <w:r/>
      <w:bookmarkStart w:id="705" w:name="_Toc164608819"/>
      <w:r/>
      <w:bookmarkStart w:id="706" w:name="_Toc305158892"/>
      <w:r/>
      <w:bookmarkStart w:id="707" w:name="_Ref467307204"/>
      <w:r>
        <w:rPr>
          <w:rFonts w:hint="eastAsia" w:ascii="宋体" w:hAnsi="宋体" w:cs="宋体"/>
          <w:b/>
          <w:color w:val="000000"/>
          <w:sz w:val="24"/>
          <w:highlight w:val="none"/>
        </w:rPr>
        <w:t xml:space="preserve">签订合同</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0"/>
      <w:r/>
      <w:bookmarkEnd w:id="651"/>
      <w:r/>
      <w:bookmarkEnd w:id="652"/>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35"/>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10"/>
          <w:rFonts w:hint="eastAsia" w:ascii="宋体" w:hAnsi="宋体" w:cs="宋体"/>
          <w:color w:val="000000"/>
          <w:highlight w:val="none"/>
        </w:rPr>
        <w:t xml:space="preserve">http://gk</w:t>
      </w:r>
      <w:bookmarkStart w:id="708" w:name="_Hlt100654014"/>
      <w:r>
        <w:rPr>
          <w:rStyle w:val="1110"/>
          <w:rFonts w:hint="eastAsia" w:ascii="宋体" w:hAnsi="宋体" w:cs="宋体"/>
          <w:color w:val="000000"/>
          <w:highlight w:val="none"/>
        </w:rPr>
        <w:t xml:space="preserve">s</w:t>
      </w:r>
      <w:bookmarkEnd w:id="708"/>
      <w:r>
        <w:rPr>
          <w:rStyle w:val="1110"/>
          <w:rFonts w:hint="eastAsia" w:ascii="宋体" w:hAnsi="宋体" w:cs="宋体"/>
          <w:color w:val="000000"/>
          <w:highlight w:val="none"/>
        </w:rPr>
        <w:t xml:space="preserve">.m</w:t>
      </w:r>
      <w:bookmarkStart w:id="709" w:name="_Hlt100653994"/>
      <w:r/>
      <w:bookmarkStart w:id="710" w:name="_Hlt100653993"/>
      <w:r>
        <w:rPr>
          <w:rStyle w:val="1110"/>
          <w:rFonts w:hint="eastAsia" w:ascii="宋体" w:hAnsi="宋体" w:cs="宋体"/>
          <w:color w:val="000000"/>
          <w:highlight w:val="none"/>
        </w:rPr>
        <w:t xml:space="preserve">o</w:t>
      </w:r>
      <w:bookmarkEnd w:id="709"/>
      <w:r/>
      <w:bookmarkEnd w:id="710"/>
      <w:r>
        <w:rPr>
          <w:rStyle w:val="1110"/>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35"/>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35"/>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3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35"/>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35"/>
        <w:jc w:val="center"/>
        <w:spacing w:line="360" w:lineRule="auto"/>
        <w:rPr>
          <w:rFonts w:hint="eastAsia" w:ascii="宋体" w:hAnsi="宋体" w:cs="宋体"/>
          <w:b/>
          <w:color w:val="000000"/>
          <w:sz w:val="36"/>
          <w:szCs w:val="36"/>
          <w:highlight w:val="none"/>
        </w:rPr>
        <w:outlineLvl w:val="0"/>
      </w:pPr>
      <w:r/>
      <w:bookmarkStart w:id="711" w:name="_Toc305158822"/>
      <w:r/>
      <w:bookmarkStart w:id="712" w:name="_Toc305158896"/>
      <w:r/>
      <w:bookmarkStart w:id="713" w:name="_Toc226337250"/>
      <w:r/>
      <w:bookmarkStart w:id="714" w:name="_Toc264969244"/>
      <w:r/>
      <w:bookmarkStart w:id="715" w:name="_Toc226965827"/>
      <w:r/>
      <w:bookmarkStart w:id="716" w:name="_Toc353873934"/>
      <w:r/>
      <w:bookmarkStart w:id="717" w:name="_Toc353873664"/>
      <w:r/>
      <w:bookmarkStart w:id="718" w:name="_Toc142311056"/>
      <w:r/>
      <w:bookmarkStart w:id="719" w:name="_Toc150774759"/>
      <w:r/>
      <w:bookmarkStart w:id="720" w:name="_Toc127151554"/>
      <w:r/>
      <w:bookmarkStart w:id="721" w:name="_Toc353825544"/>
      <w:r/>
      <w:bookmarkStart w:id="722" w:name="_Toc150480792"/>
      <w:r/>
      <w:bookmarkStart w:id="723" w:name="_Toc265228392"/>
      <w:r>
        <w:rPr>
          <w:rFonts w:hint="eastAsia" w:ascii="宋体" w:hAnsi="宋体" w:cs="宋体"/>
          <w:color w:val="000000"/>
          <w:sz w:val="24"/>
          <w:highlight w:val="none"/>
        </w:rPr>
        <w:br w:type="page" w:clear="all"/>
      </w:r>
      <w:bookmarkStart w:id="724" w:name="_Toc99301421"/>
      <w:r>
        <w:rPr>
          <w:rFonts w:hint="eastAsia" w:ascii="宋体" w:hAnsi="宋体" w:cs="宋体"/>
          <w:b/>
          <w:color w:val="000000"/>
          <w:sz w:val="36"/>
          <w:szCs w:val="36"/>
          <w:highlight w:val="none"/>
        </w:rPr>
        <w:t xml:space="preserve">第三章   </w:t>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rFonts w:hint="eastAsia" w:ascii="宋体" w:hAnsi="宋体" w:cs="宋体"/>
          <w:b/>
          <w:color w:val="000000"/>
          <w:sz w:val="36"/>
          <w:szCs w:val="36"/>
          <w:highlight w:val="none"/>
        </w:rPr>
        <w:t xml:space="preserve">资格审查</w:t>
      </w:r>
      <w:bookmarkEnd w:id="724"/>
      <w:r/>
      <w:bookmarkStart w:id="725" w:name="_Toc487900382"/>
      <w:r>
        <w:rPr>
          <w:rFonts w:hint="eastAsia" w:ascii="宋体" w:hAnsi="宋体" w:cs="宋体"/>
          <w:b/>
          <w:color w:val="000000"/>
          <w:sz w:val="36"/>
          <w:szCs w:val="36"/>
          <w:highlight w:val="none"/>
        </w:rPr>
      </w:r>
      <w:r/>
    </w:p>
    <w:p>
      <w:pPr>
        <w:pStyle w:val="1035"/>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6" w:name="_Toc99301422"/>
      <w:r>
        <w:rPr>
          <w:rFonts w:hint="eastAsia" w:ascii="宋体" w:hAnsi="宋体" w:cs="宋体"/>
          <w:b/>
          <w:color w:val="000000"/>
          <w:sz w:val="24"/>
          <w:highlight w:val="none"/>
        </w:rPr>
        <w:t xml:space="preserve">一、资格审查程序</w:t>
      </w:r>
      <w:bookmarkEnd w:id="726"/>
      <w:r>
        <w:rPr>
          <w:rFonts w:hint="eastAsia" w:ascii="宋体" w:hAnsi="宋体" w:cs="宋体"/>
          <w:b/>
          <w:color w:val="000000"/>
          <w:sz w:val="24"/>
          <w:highlight w:val="none"/>
        </w:rPr>
      </w:r>
      <w:r/>
    </w:p>
    <w:p>
      <w:pPr>
        <w:pStyle w:val="1035"/>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35"/>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35"/>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5"/>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35"/>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35"/>
              <w:jc w:val="center"/>
              <w:tabs>
                <w:tab w:val="left" w:pos="1080" w:leader="none"/>
              </w:tabs>
              <w:rPr>
                <w:rFonts w:hint="eastAsia" w:ascii="宋体" w:hAnsi="宋体" w:cs="宋体"/>
                <w:b/>
                <w:color w:val="000000"/>
                <w:sz w:val="24"/>
                <w:highlight w:val="none"/>
              </w:rPr>
            </w:pPr>
            <w:r/>
            <w:bookmarkStart w:id="727" w:name="_Hlt487972895"/>
            <w:r/>
            <w:bookmarkEnd w:id="727"/>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35"/>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35"/>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35"/>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3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3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3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5"/>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35"/>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3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3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3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90"/>
        </w:trPr>
        <w:tc>
          <w:tcPr>
            <w:tcW w:w="455" w:type="dxa"/>
            <w:vAlign w:val="center"/>
            <w:textDirection w:val="lrTb"/>
            <w:noWrap w:val="false"/>
          </w:tcPr>
          <w:p>
            <w:pPr>
              <w:pStyle w:val="103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66"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是否接受联合体投标</w:t>
            </w:r>
            <w:r>
              <w:rPr>
                <w:rFonts w:hint="eastAsia" w:ascii="宋体" w:hAnsi="宋体" w:cs="宋体"/>
                <w:color w:val="000000"/>
                <w:sz w:val="24"/>
                <w:highlight w:val="none"/>
              </w:rPr>
            </w:r>
            <w:r/>
          </w:p>
        </w:tc>
        <w:tc>
          <w:tcPr>
            <w:tcW w:w="2595"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本项目不接受联合体投标，投标人不得为联合体。</w:t>
            </w:r>
            <w:r>
              <w:rPr>
                <w:rFonts w:hint="eastAsia" w:ascii="宋体" w:hAnsi="宋体" w:cs="宋体"/>
                <w:color w:val="000000"/>
                <w:sz w:val="24"/>
                <w:highlight w:val="none"/>
              </w:rPr>
            </w:r>
            <w:r/>
          </w:p>
        </w:tc>
        <w:tc>
          <w:tcPr>
            <w:tcW w:w="881"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提供《联合协议》原件的电子件</w:t>
            </w:r>
            <w:r>
              <w:rPr>
                <w:rFonts w:hint="eastAsia" w:ascii="宋体" w:hAnsi="宋体" w:cs="宋体"/>
                <w:color w:val="000000"/>
                <w:sz w:val="24"/>
                <w:highlight w:val="none"/>
              </w:rPr>
            </w:r>
            <w:r/>
          </w:p>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35"/>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35"/>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35"/>
        <w:jc w:val="left"/>
        <w:widowControl/>
        <w:rPr>
          <w:rFonts w:hint="eastAsia" w:ascii="宋体" w:hAnsi="宋体" w:cs="宋体"/>
          <w:color w:val="000000"/>
          <w:sz w:val="24"/>
          <w:highlight w:val="none"/>
        </w:rPr>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25"/>
      <w:r/>
      <w:bookmarkStart w:id="728" w:name="_Toc353873940"/>
      <w:r/>
      <w:bookmarkStart w:id="729" w:name="_Toc127151779"/>
      <w:r/>
      <w:bookmarkStart w:id="730" w:name="_Toc127161490"/>
      <w:r/>
      <w:bookmarkStart w:id="731" w:name="_Toc226965858"/>
      <w:r/>
      <w:bookmarkStart w:id="732" w:name="_Toc35382555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35"/>
        <w:jc w:val="center"/>
        <w:spacing w:line="360" w:lineRule="auto"/>
        <w:rPr>
          <w:rFonts w:hint="eastAsia" w:ascii="宋体" w:hAnsi="宋体" w:cs="宋体"/>
          <w:b/>
          <w:color w:val="000000"/>
          <w:sz w:val="36"/>
          <w:szCs w:val="36"/>
          <w:highlight w:val="none"/>
        </w:rPr>
        <w:outlineLvl w:val="0"/>
      </w:pPr>
      <w:r/>
      <w:bookmarkStart w:id="733" w:name="_Toc99301423"/>
      <w:r>
        <w:rPr>
          <w:rFonts w:hint="eastAsia" w:ascii="宋体" w:hAnsi="宋体" w:cs="宋体"/>
          <w:b/>
          <w:color w:val="000000"/>
          <w:sz w:val="36"/>
          <w:szCs w:val="36"/>
          <w:highlight w:val="none"/>
        </w:rPr>
        <w:t xml:space="preserve">第四章   </w:t>
      </w:r>
      <w:bookmarkEnd w:id="728"/>
      <w:r/>
      <w:bookmarkEnd w:id="729"/>
      <w:r/>
      <w:bookmarkEnd w:id="730"/>
      <w:r/>
      <w:bookmarkEnd w:id="731"/>
      <w:r/>
      <w:bookmarkEnd w:id="732"/>
      <w:r/>
      <w:bookmarkStart w:id="734" w:name="_Hlt164229061"/>
      <w:r/>
      <w:bookmarkEnd w:id="734"/>
      <w:r>
        <w:rPr>
          <w:rFonts w:hint="eastAsia" w:ascii="宋体" w:hAnsi="宋体" w:cs="宋体"/>
          <w:b/>
          <w:color w:val="000000"/>
          <w:sz w:val="36"/>
          <w:szCs w:val="36"/>
          <w:highlight w:val="none"/>
        </w:rPr>
        <w:t xml:space="preserve">评标程序、评标方法和评标标准</w:t>
      </w:r>
      <w:bookmarkEnd w:id="733"/>
      <w:r>
        <w:rPr>
          <w:rFonts w:hint="eastAsia" w:ascii="宋体" w:hAnsi="宋体" w:cs="宋体"/>
          <w:b/>
          <w:color w:val="000000"/>
          <w:sz w:val="36"/>
          <w:szCs w:val="36"/>
          <w:highlight w:val="none"/>
        </w:rPr>
      </w:r>
      <w:r/>
    </w:p>
    <w:p>
      <w:pPr>
        <w:pStyle w:val="1035"/>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35"/>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5" w:name="_Toc164608655"/>
      <w:r/>
      <w:bookmarkStart w:id="736" w:name="_Toc264969231"/>
      <w:r/>
      <w:bookmarkStart w:id="737" w:name="_Toc150509292"/>
      <w:r/>
      <w:bookmarkStart w:id="738" w:name="_Toc151193855"/>
      <w:r/>
      <w:bookmarkStart w:id="739" w:name="_Toc149720834"/>
      <w:r/>
      <w:bookmarkStart w:id="740" w:name="_Toc226337237"/>
      <w:r/>
      <w:bookmarkStart w:id="741" w:name="_Toc305158883"/>
      <w:r/>
      <w:bookmarkStart w:id="742" w:name="_Toc226965731"/>
      <w:r/>
      <w:bookmarkStart w:id="743" w:name="_Toc127151742"/>
      <w:r/>
      <w:bookmarkStart w:id="744" w:name="_Toc142311043"/>
      <w:r/>
      <w:bookmarkStart w:id="745" w:name="_Toc150774746"/>
      <w:r/>
      <w:bookmarkStart w:id="746" w:name="_Toc226309785"/>
      <w:r/>
      <w:bookmarkStart w:id="747" w:name="_Toc151190168"/>
      <w:r/>
      <w:bookmarkStart w:id="748" w:name="_Toc164608810"/>
      <w:r/>
      <w:bookmarkStart w:id="749" w:name="_Toc150480779"/>
      <w:r/>
      <w:bookmarkStart w:id="750" w:name="_Toc151193639"/>
      <w:r/>
      <w:bookmarkStart w:id="751" w:name="_Toc151193929"/>
      <w:r/>
      <w:bookmarkStart w:id="752" w:name="_Toc195842906"/>
      <w:r/>
      <w:bookmarkStart w:id="753" w:name="_Toc151193783"/>
      <w:r/>
      <w:bookmarkStart w:id="754" w:name="_Toc226965814"/>
      <w:r/>
      <w:bookmarkStart w:id="755" w:name="_Toc150774641"/>
      <w:r/>
      <w:bookmarkStart w:id="756" w:name="_Toc127151541"/>
      <w:r/>
      <w:bookmarkStart w:id="757" w:name="_Toc151193711"/>
      <w:r/>
      <w:bookmarkStart w:id="758" w:name="_Toc164229236"/>
      <w:r/>
      <w:bookmarkStart w:id="759" w:name="_Toc164351635"/>
      <w:r/>
      <w:bookmarkStart w:id="760" w:name="_Toc164229382"/>
      <w:r/>
      <w:bookmarkStart w:id="761" w:name="_Toc127161455"/>
      <w:r/>
      <w:bookmarkStart w:id="762" w:name="_Toc265228379"/>
      <w:r/>
      <w:bookmarkStart w:id="763" w:name="_Toc305158809"/>
      <w:r/>
      <w:bookmarkStart w:id="764" w:name="_Toc353825551"/>
      <w:r/>
      <w:bookmarkStart w:id="765" w:name="_Toc353873941"/>
      <w:r/>
      <w:bookmarkStart w:id="766" w:name="_Toc150774760"/>
      <w:r/>
      <w:bookmarkStart w:id="767" w:name="_Toc265228393"/>
      <w:r/>
      <w:bookmarkStart w:id="768" w:name="_Toc226337251"/>
      <w:r/>
      <w:bookmarkStart w:id="769" w:name="_Toc226965828"/>
      <w:r/>
      <w:bookmarkStart w:id="770" w:name="_Toc264969245"/>
      <w:r/>
      <w:bookmarkStart w:id="771" w:name="_Toc127151555"/>
      <w:r/>
      <w:bookmarkStart w:id="772" w:name="_Toc150480793"/>
      <w:r/>
      <w:bookmarkStart w:id="773" w:name="_Toc353873665"/>
      <w:r/>
      <w:bookmarkStart w:id="774" w:name="_Toc305158897"/>
      <w:r/>
      <w:bookmarkStart w:id="775" w:name="_Toc142311057"/>
      <w:r/>
      <w:bookmarkStart w:id="776" w:name="_Toc195842920"/>
      <w:r/>
      <w:bookmarkStart w:id="777" w:name="_Toc353825545"/>
      <w:r/>
      <w:bookmarkStart w:id="778" w:name="_Toc305158823"/>
      <w:r/>
      <w:bookmarkStart w:id="779" w:name="_Toc353873935"/>
      <w:r>
        <w:rPr>
          <w:rFonts w:hint="eastAsia" w:ascii="宋体" w:hAnsi="宋体" w:cs="宋体"/>
          <w:b/>
          <w:color w:val="000000"/>
          <w:sz w:val="24"/>
          <w:highlight w:val="none"/>
        </w:rPr>
        <w:t xml:space="preserve">投标文件的符合性审查</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rPr>
          <w:rFonts w:hint="eastAsia" w:ascii="宋体" w:hAnsi="宋体" w:cs="宋体"/>
          <w:b/>
          <w:color w:val="000000"/>
          <w:sz w:val="24"/>
          <w:highlight w:val="none"/>
        </w:rPr>
      </w:r>
      <w:r/>
    </w:p>
    <w:p>
      <w:pPr>
        <w:pStyle w:val="1035"/>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0" w:name="_Toc520356167"/>
      <w:r>
        <w:rPr>
          <w:rFonts w:hint="eastAsia" w:ascii="宋体" w:hAnsi="宋体" w:cs="宋体"/>
          <w:color w:val="000000"/>
          <w:sz w:val="24"/>
          <w:highlight w:val="none"/>
        </w:rPr>
      </w:r>
      <w:r/>
    </w:p>
    <w:p>
      <w:pPr>
        <w:pStyle w:val="1035"/>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0"/>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5"/>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35"/>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35"/>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35"/>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813"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6725"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813"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6725"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813"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6725"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35"/>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35"/>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35"/>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35"/>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3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3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5"/>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bookmarkEnd w:id="764"/>
      <w:r/>
      <w:bookmarkEnd w:id="765"/>
      <w:r>
        <w:rPr>
          <w:rFonts w:hint="eastAsia" w:ascii="宋体" w:hAnsi="宋体" w:cs="宋体"/>
          <w:color w:val="000000"/>
          <w:sz w:val="24"/>
          <w:highlight w:val="none"/>
        </w:rPr>
        <w:t xml:space="preserve">评审过程中出现下列情形之一的，</w:t>
      </w:r>
      <w:r>
        <w:rPr>
          <w:rFonts w:hint="eastAsia" w:ascii="宋体" w:hAnsi="宋体" w:cs="宋体"/>
          <w:color w:val="000000"/>
          <w:sz w:val="24"/>
          <w:highlight w:val="none"/>
          <w:lang w:eastAsia="zh-CN"/>
        </w:rPr>
        <w:t xml:space="preserve">评标委员会</w:t>
      </w:r>
      <w:r>
        <w:rPr>
          <w:rFonts w:hint="eastAsia" w:ascii="宋体" w:hAnsi="宋体" w:cs="宋体"/>
          <w:color w:val="000000"/>
          <w:sz w:val="24"/>
          <w:highlight w:val="none"/>
        </w:rPr>
        <w:t xml:space="preserve">应当启动异常低价响应审查程序：</w:t>
      </w:r>
      <w:r>
        <w:rPr>
          <w:rFonts w:hint="eastAsia" w:ascii="宋体" w:hAnsi="宋体" w:cs="宋体"/>
          <w:color w:val="000000"/>
          <w:sz w:val="24"/>
          <w:highlight w:val="none"/>
        </w:rPr>
      </w:r>
      <w:r/>
    </w:p>
    <w:p>
      <w:pPr>
        <w:pStyle w:val="1035"/>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低于全部通过符合性审查供应商</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平均值50%的，即</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全部通过符合性审查供应商</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平均值×50%；</w:t>
      </w:r>
      <w:r>
        <w:rPr>
          <w:rFonts w:hint="eastAsia" w:ascii="宋体" w:hAnsi="宋体" w:cs="宋体"/>
          <w:color w:val="000000"/>
          <w:sz w:val="24"/>
          <w:highlight w:val="none"/>
        </w:rPr>
      </w:r>
      <w:r/>
    </w:p>
    <w:p>
      <w:pPr>
        <w:pStyle w:val="1035"/>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低于通过符合性审查的次低报价供应商</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50%的，即</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通过符合性审查的次低报价供应商</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×50%；</w:t>
      </w:r>
      <w:r>
        <w:rPr>
          <w:rFonts w:hint="eastAsia" w:ascii="宋体" w:hAnsi="宋体" w:cs="宋体"/>
          <w:color w:val="000000"/>
          <w:sz w:val="24"/>
          <w:highlight w:val="none"/>
        </w:rPr>
      </w:r>
      <w:r/>
    </w:p>
    <w:p>
      <w:pPr>
        <w:pStyle w:val="1035"/>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低于采购项目最高限价45%的，即</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采购项目最高限价×45%；</w:t>
      </w:r>
      <w:r>
        <w:rPr>
          <w:rFonts w:hint="eastAsia" w:ascii="宋体" w:hAnsi="宋体" w:cs="宋体"/>
          <w:color w:val="000000"/>
          <w:sz w:val="24"/>
          <w:highlight w:val="none"/>
        </w:rPr>
      </w:r>
      <w:r/>
    </w:p>
    <w:p>
      <w:pPr>
        <w:pStyle w:val="1035"/>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基于专业判断，认为供应商报价过低，有可能影响产品质量或者不能诚信履约的其他情形。</w:t>
      </w:r>
      <w:r>
        <w:rPr>
          <w:rFonts w:hint="eastAsia" w:ascii="宋体" w:hAnsi="宋体" w:cs="宋体"/>
          <w:color w:val="000000"/>
          <w:sz w:val="24"/>
          <w:highlight w:val="none"/>
        </w:rPr>
      </w:r>
      <w:r/>
    </w:p>
    <w:p>
      <w:pPr>
        <w:pStyle w:val="1035"/>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评标委员会</w:t>
      </w:r>
      <w:r>
        <w:rPr>
          <w:rFonts w:hint="eastAsia" w:ascii="宋体" w:hAnsi="宋体" w:cs="宋体"/>
          <w:color w:val="000000"/>
          <w:sz w:val="24"/>
          <w:highlight w:val="none"/>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35"/>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供应商不能提供书面说明、证明材料，或者提供的书面说明、证明材料不能证明其报价合理性的，</w:t>
      </w: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应当将其作为无效响应处理。</w:t>
      </w:r>
      <w:r>
        <w:rPr>
          <w:rFonts w:hint="eastAsia" w:ascii="宋体" w:hAnsi="宋体" w:cs="宋体"/>
          <w:color w:val="000000"/>
          <w:sz w:val="24"/>
          <w:highlight w:val="none"/>
        </w:rPr>
      </w:r>
      <w:r/>
    </w:p>
    <w:p>
      <w:pPr>
        <w:pStyle w:val="1035"/>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w:t>
      </w: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借助互联网等渠道查询相关信息的，应当严格遵守评审工作纪律，不得实施影响评审公正的行为。</w:t>
      </w:r>
      <w:r>
        <w:rPr>
          <w:rFonts w:hint="eastAsia" w:ascii="宋体" w:hAnsi="宋体" w:cs="宋体"/>
          <w:color w:val="000000"/>
          <w:sz w:val="24"/>
          <w:highlight w:val="none"/>
        </w:rPr>
      </w:r>
      <w:r/>
    </w:p>
    <w:p>
      <w:pPr>
        <w:pStyle w:val="1035"/>
        <w:numPr>
          <w:ilvl w:val="1"/>
          <w:numId w:val="12"/>
        </w:numPr>
        <w:ind w:left="0" w:firstLine="480"/>
        <w:spacing w:line="360" w:lineRule="auto"/>
        <w:tabs>
          <w:tab w:val="left" w:pos="0" w:leader="none"/>
          <w:tab w:val="left" w:pos="567" w:leader="none"/>
          <w:tab w:val="left" w:pos="1134"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w:t>
      </w: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有关互联网浏览、查询历史一并归档。</w:t>
      </w:r>
      <w:r>
        <w:rPr>
          <w:rFonts w:hint="eastAsia" w:ascii="宋体" w:hAnsi="宋体" w:eastAsia="宋体" w:cs="宋体"/>
          <w:color w:val="000000"/>
          <w:sz w:val="24"/>
          <w:highlight w:val="none"/>
        </w:rPr>
      </w:r>
      <w:r/>
    </w:p>
    <w:p>
      <w:pPr>
        <w:pStyle w:val="103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3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3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3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35"/>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35"/>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35"/>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35"/>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35"/>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3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5"/>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5.9</w:t>
      </w:r>
      <w:r>
        <w:rPr>
          <w:rFonts w:hint="eastAsia" w:ascii="宋体" w:hAnsi="宋体" w:cs="宋体"/>
          <w:color w:val="000000"/>
          <w:sz w:val="24"/>
          <w:highlight w:val="none"/>
        </w:rPr>
        <w:t xml:space="preserve">条规定情形的，可以享受</w:t>
      </w:r>
      <w:r>
        <w:rPr>
          <w:rFonts w:hint="eastAsia" w:ascii="宋体" w:hAnsi="宋体" w:cs="宋体"/>
          <w:color w:val="000000"/>
          <w:sz w:val="24"/>
          <w:highlight w:val="none"/>
          <w:lang w:val="en-US" w:eastAsia="zh-CN"/>
        </w:rPr>
        <w:t xml:space="preserve">政府采购价格</w:t>
      </w:r>
      <w:r>
        <w:rPr>
          <w:rFonts w:hint="eastAsia" w:ascii="宋体" w:hAnsi="宋体" w:cs="宋体"/>
          <w:color w:val="000000"/>
          <w:sz w:val="24"/>
          <w:highlight w:val="none"/>
        </w:rPr>
        <w:t xml:space="preserve">扶持政策，用扣除后的价格参加评审；否则，评标时价格不予扣除。</w:t>
      </w:r>
      <w:r>
        <w:rPr>
          <w:rFonts w:hint="eastAsia" w:ascii="宋体" w:hAnsi="宋体" w:cs="宋体"/>
          <w:color w:val="000000"/>
          <w:sz w:val="24"/>
          <w:highlight w:val="none"/>
        </w:rPr>
      </w:r>
      <w:r/>
    </w:p>
    <w:p>
      <w:pPr>
        <w:pStyle w:val="1035"/>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lang w:val="en-US" w:eastAsia="zh-CN"/>
        </w:rPr>
        <w:t xml:space="preserve">价格扣除</w:t>
      </w:r>
      <w:r>
        <w:rPr>
          <w:rFonts w:hint="eastAsia" w:ascii="宋体" w:hAnsi="宋体" w:cs="宋体"/>
          <w:b/>
          <w:bCs/>
          <w:color w:val="000000"/>
          <w:sz w:val="24"/>
          <w:highlight w:val="none"/>
        </w:rPr>
      </w:r>
      <w:r/>
    </w:p>
    <w:p>
      <w:pPr>
        <w:pStyle w:val="1035"/>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35"/>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35"/>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35"/>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35"/>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35"/>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35"/>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35"/>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35"/>
        <w:numPr>
          <w:ilvl w:val="2"/>
          <w:numId w:val="12"/>
        </w:numPr>
        <w:ind w:left="0" w:firstLine="482"/>
        <w:keepLines w:val="0"/>
        <w:keepNext w:val="0"/>
        <w:pageBreakBefore w:val="0"/>
        <w:spacing w:line="360" w:lineRule="auto"/>
        <w:widowControl w:val="off"/>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35"/>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35"/>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为该采购项目或者采购包提供的符合本国产品标准的产品成本之和占该</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提供的全部产品成本之和的比例达到80%以上时（</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需在“第七章 投标文件格式”的“</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投标分项报价表”中填写比例数值），依法对该</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提供的全部产品给予价格评审优惠，即对该</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提供的全部产品的总报价给予20%的价格扣除，用扣除后的价格参与评审。</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未填写比例数值，或比例数值未达到80%的，将不享受本国产品价格评审优惠。</w:t>
      </w:r>
      <w:r>
        <w:rPr>
          <w:rFonts w:hint="eastAsia" w:ascii="宋体" w:hAnsi="宋体"/>
          <w:color w:val="000000"/>
          <w:sz w:val="24"/>
          <w:highlight w:val="none"/>
        </w:rPr>
      </w:r>
      <w:r/>
    </w:p>
    <w:p>
      <w:pPr>
        <w:pStyle w:val="1035"/>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35"/>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35"/>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评标过程中，如发现</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在《声明函》内容含义不明确、同类事项与投标（响应）文件表述不一致或者有明显文字错误等情况的，评标委员会应当以书面形式要求</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提供的相关产品视为不符合本国产品标准。</w:t>
      </w:r>
      <w:r>
        <w:rPr>
          <w:rFonts w:hint="eastAsia" w:ascii="宋体" w:hAnsi="宋体"/>
          <w:color w:val="000000"/>
          <w:sz w:val="24"/>
          <w:highlight w:val="none"/>
        </w:rPr>
      </w:r>
      <w:r/>
    </w:p>
    <w:p>
      <w:pPr>
        <w:pStyle w:val="1035"/>
        <w:numPr>
          <w:ilvl w:val="0"/>
          <w:numId w:val="0"/>
        </w:numPr>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35"/>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r>
        <w:rPr>
          <w:rFonts w:hint="eastAsia" w:ascii="宋体" w:hAnsi="宋体" w:cs="宋体"/>
          <w:b/>
          <w:color w:val="000000"/>
          <w:sz w:val="24"/>
          <w:highlight w:val="none"/>
        </w:rPr>
      </w:r>
      <w:r/>
    </w:p>
    <w:p>
      <w:pPr>
        <w:pStyle w:val="103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3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3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3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3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3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3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3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5"/>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1" w:name="_Toc305158814"/>
      <w:r/>
      <w:bookmarkStart w:id="782" w:name="_Toc305158888"/>
      <w:r/>
      <w:bookmarkStart w:id="783" w:name="_Toc151193934"/>
      <w:r/>
      <w:bookmarkStart w:id="784" w:name="_Toc142311048"/>
      <w:r/>
      <w:bookmarkStart w:id="785" w:name="_Toc226965819"/>
      <w:r/>
      <w:bookmarkStart w:id="786" w:name="_Toc151190173"/>
      <w:r/>
      <w:bookmarkStart w:id="787" w:name="_Toc151193788"/>
      <w:r/>
      <w:bookmarkStart w:id="788" w:name="_Toc151193716"/>
      <w:r/>
      <w:bookmarkStart w:id="789" w:name="_Toc127151747"/>
      <w:r/>
      <w:bookmarkStart w:id="790" w:name="_Toc520356170"/>
      <w:r/>
      <w:bookmarkStart w:id="791" w:name="_Toc150480784"/>
      <w:r/>
      <w:bookmarkStart w:id="792" w:name="_Toc164229387"/>
      <w:r/>
      <w:bookmarkStart w:id="793" w:name="_Toc264969236"/>
      <w:r/>
      <w:bookmarkStart w:id="794" w:name="_Toc164608815"/>
      <w:r/>
      <w:bookmarkStart w:id="795" w:name="_Toc164351640"/>
      <w:r/>
      <w:bookmarkStart w:id="796" w:name="_Ref467307010"/>
      <w:r/>
      <w:bookmarkStart w:id="797" w:name="_Toc151193644"/>
      <w:r/>
      <w:bookmarkStart w:id="798" w:name="_Toc195842911"/>
      <w:r/>
      <w:bookmarkStart w:id="799" w:name="_Toc127151546"/>
      <w:r/>
      <w:bookmarkStart w:id="800" w:name="_Toc226337242"/>
      <w:r/>
      <w:bookmarkStart w:id="801" w:name="_Toc149720839"/>
      <w:r/>
      <w:bookmarkStart w:id="802" w:name="_Toc150774751"/>
      <w:r/>
      <w:bookmarkStart w:id="803" w:name="_Toc164608660"/>
      <w:r/>
      <w:bookmarkStart w:id="804" w:name="_Toc150774646"/>
      <w:r/>
      <w:bookmarkStart w:id="805" w:name="_Toc226965736"/>
      <w:r/>
      <w:bookmarkStart w:id="806" w:name="_Toc127161460"/>
      <w:r/>
      <w:bookmarkStart w:id="807" w:name="_Toc265228384"/>
      <w:r/>
      <w:bookmarkStart w:id="808" w:name="_Toc164229241"/>
      <w:r/>
      <w:bookmarkStart w:id="809" w:name="_Toc150509297"/>
      <w:r/>
      <w:bookmarkStart w:id="810" w:name="_Toc226309790"/>
      <w:r/>
      <w:bookmarkStart w:id="811" w:name="_Toc151193860"/>
      <w:r>
        <w:rPr>
          <w:rFonts w:hint="eastAsia" w:ascii="宋体" w:hAnsi="宋体" w:cs="宋体"/>
          <w:b/>
          <w:color w:val="000000"/>
          <w:sz w:val="24"/>
          <w:highlight w:val="none"/>
        </w:rPr>
        <w:t xml:space="preserve">中标候选人名单</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rPr>
          <w:rFonts w:hint="eastAsia" w:ascii="宋体" w:hAnsi="宋体" w:cs="宋体"/>
          <w:b/>
          <w:color w:val="000000"/>
          <w:sz w:val="24"/>
          <w:highlight w:val="none"/>
        </w:rPr>
      </w:r>
      <w:r/>
    </w:p>
    <w:p>
      <w:pPr>
        <w:pStyle w:val="103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074"/>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3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3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3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3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35"/>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3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35"/>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35"/>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3"/>
        <w:gridCol w:w="1176"/>
        <w:gridCol w:w="6285"/>
        <w:gridCol w:w="19"/>
        <w:gridCol w:w="519"/>
      </w:tblGrid>
      <w:tr>
        <w:trPr>
          <w:trHeight w:val="355"/>
        </w:trPr>
        <w:tc>
          <w:tcPr>
            <w:tcMar>
              <w:left w:w="108" w:type="dxa"/>
              <w:top w:w="0" w:type="dxa"/>
              <w:right w:w="108" w:type="dxa"/>
              <w:bottom w:w="0" w:type="dxa"/>
            </w:tcMar>
            <w:tcW w:w="523" w:type="dxa"/>
            <w:vAlign w:val="center"/>
            <w:textDirection w:val="lrTb"/>
            <w:noWrap w:val="false"/>
          </w:tcPr>
          <w:p>
            <w:pPr>
              <w:pStyle w:val="1035"/>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176" w:type="dxa"/>
            <w:vAlign w:val="center"/>
            <w:textDirection w:val="lrTb"/>
            <w:noWrap w:val="false"/>
          </w:tcPr>
          <w:p>
            <w:pPr>
              <w:pStyle w:val="1035"/>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评分因素</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285" w:type="dxa"/>
            <w:vAlign w:val="center"/>
            <w:textDirection w:val="lrTb"/>
            <w:noWrap w:val="false"/>
          </w:tcPr>
          <w:p>
            <w:pPr>
              <w:pStyle w:val="1035"/>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评分标准</w:t>
            </w:r>
            <w:r>
              <w:rPr>
                <w:rFonts w:hint="eastAsia" w:ascii="宋体" w:hAnsi="宋体" w:eastAsia="宋体" w:cs="宋体"/>
                <w:color w:val="000000"/>
                <w:sz w:val="24"/>
                <w:szCs w:val="24"/>
                <w:highlight w:val="none"/>
              </w:rPr>
            </w:r>
            <w:r/>
          </w:p>
        </w:tc>
        <w:tc>
          <w:tcPr>
            <w:gridSpan w:val="2"/>
            <w:tcMar>
              <w:left w:w="108" w:type="dxa"/>
              <w:top w:w="0" w:type="dxa"/>
              <w:right w:w="108" w:type="dxa"/>
              <w:bottom w:w="0" w:type="dxa"/>
            </w:tcMar>
            <w:tcW w:w="538" w:type="dxa"/>
            <w:vAlign w:val="center"/>
            <w:textDirection w:val="lrTb"/>
            <w:noWrap w:val="false"/>
          </w:tcPr>
          <w:p>
            <w:pPr>
              <w:pStyle w:val="1035"/>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283"/>
        </w:trPr>
        <w:tc>
          <w:tcPr>
            <w:gridSpan w:val="5"/>
            <w:tcMar>
              <w:left w:w="108" w:type="dxa"/>
              <w:top w:w="0" w:type="dxa"/>
              <w:right w:w="108" w:type="dxa"/>
              <w:bottom w:w="0" w:type="dxa"/>
            </w:tcMar>
            <w:tcW w:w="8522" w:type="dxa"/>
            <w:vAlign w:val="center"/>
            <w:textDirection w:val="lrTb"/>
            <w:noWrap w:val="false"/>
          </w:tcPr>
          <w:p>
            <w:pPr>
              <w:pStyle w:val="1035"/>
              <w:jc w:val="both"/>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一、报价（</w:t>
            </w: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1562"/>
        </w:trPr>
        <w:tc>
          <w:tcPr>
            <w:tcMar>
              <w:left w:w="108" w:type="dxa"/>
              <w:top w:w="0" w:type="dxa"/>
              <w:right w:w="108" w:type="dxa"/>
              <w:bottom w:w="0" w:type="dxa"/>
            </w:tcMar>
            <w:tcW w:w="523" w:type="dxa"/>
            <w:vAlign w:val="center"/>
            <w:textDirection w:val="lrTb"/>
            <w:noWrap w:val="false"/>
          </w:tcPr>
          <w:p>
            <w:pPr>
              <w:pStyle w:val="1035"/>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Mar>
              <w:left w:w="108" w:type="dxa"/>
              <w:top w:w="0" w:type="dxa"/>
              <w:right w:w="108" w:type="dxa"/>
              <w:bottom w:w="0" w:type="dxa"/>
            </w:tcMar>
            <w:tcW w:w="1176" w:type="dxa"/>
            <w:vAlign w:val="center"/>
            <w:textDirection w:val="lrTb"/>
            <w:noWrap w:val="false"/>
          </w:tcPr>
          <w:p>
            <w:pPr>
              <w:pStyle w:val="1035"/>
              <w:jc w:val="center"/>
              <w:keepLines w:val="0"/>
              <w:keepNext w:val="0"/>
              <w:pageBreakBefore w:val="0"/>
              <w:spacing w:line="360" w:lineRule="exact"/>
              <w:widowControl w:val="off"/>
              <w:tabs>
                <w:tab w:val="left" w:pos="42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285" w:type="dxa"/>
            <w:vAlign w:val="center"/>
            <w:textDirection w:val="lrTb"/>
            <w:noWrap w:val="false"/>
          </w:tcPr>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满足招标文件要求且最终报价最低的报价为评标基准价，其价格分为满分。其他供应商的价格分统一按照下列公式计算：价格分得分＝（评标基准价/最终报价）×分值。</w:t>
            </w:r>
            <w:r>
              <w:rPr>
                <w:rFonts w:hint="eastAsia" w:ascii="宋体" w:hAnsi="宋体" w:eastAsia="宋体" w:cs="宋体"/>
                <w:color w:val="000000"/>
                <w:sz w:val="24"/>
                <w:szCs w:val="24"/>
                <w:highlight w:val="none"/>
                <w:lang w:val="en-US" w:eastAsia="zh-CN"/>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此处最终报价指经过报价修正后的最终报价。</w:t>
            </w:r>
            <w:r>
              <w:rPr>
                <w:rFonts w:hint="eastAsia" w:ascii="宋体" w:hAnsi="宋体" w:eastAsia="宋体" w:cs="宋体"/>
                <w:color w:val="000000"/>
                <w:sz w:val="24"/>
                <w:szCs w:val="24"/>
                <w:highlight w:val="none"/>
              </w:rPr>
            </w:r>
            <w:r/>
          </w:p>
        </w:tc>
        <w:tc>
          <w:tcPr>
            <w:gridSpan w:val="2"/>
            <w:tcMar>
              <w:left w:w="108" w:type="dxa"/>
              <w:top w:w="0" w:type="dxa"/>
              <w:right w:w="108" w:type="dxa"/>
              <w:bottom w:w="0" w:type="dxa"/>
            </w:tcMar>
            <w:tcW w:w="538" w:type="dxa"/>
            <w:vAlign w:val="center"/>
            <w:textDirection w:val="lrTb"/>
            <w:noWrap w:val="false"/>
          </w:tcPr>
          <w:p>
            <w:pPr>
              <w:pStyle w:val="1035"/>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rPr>
            </w:r>
            <w:r/>
          </w:p>
        </w:tc>
      </w:tr>
      <w:tr>
        <w:trPr>
          <w:trHeight w:val="283"/>
        </w:trPr>
        <w:tc>
          <w:tcPr>
            <w:gridSpan w:val="5"/>
            <w:tcMar>
              <w:left w:w="108" w:type="dxa"/>
              <w:top w:w="0" w:type="dxa"/>
              <w:right w:w="108" w:type="dxa"/>
              <w:bottom w:w="0" w:type="dxa"/>
            </w:tcMar>
            <w:tcW w:w="8522" w:type="dxa"/>
            <w:vAlign w:val="center"/>
            <w:textDirection w:val="lrTb"/>
            <w:noWrap w:val="false"/>
          </w:tcPr>
          <w:p>
            <w:pPr>
              <w:pStyle w:val="1035"/>
              <w:jc w:val="both"/>
              <w:keepLines w:val="0"/>
              <w:keepNext w:val="0"/>
              <w:pageBreakBefore w:val="0"/>
              <w:spacing w:line="360" w:lineRule="exact"/>
              <w:tabs>
                <w:tab w:val="left" w:pos="426" w:leader="none"/>
              </w:tabs>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履约能力</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30分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tc>
      </w:tr>
      <w:tr>
        <w:trPr>
          <w:trHeight w:val="283"/>
        </w:trPr>
        <w:tc>
          <w:tcPr>
            <w:tcMar>
              <w:left w:w="108" w:type="dxa"/>
              <w:top w:w="0" w:type="dxa"/>
              <w:right w:w="108" w:type="dxa"/>
              <w:bottom w:w="0" w:type="dxa"/>
            </w:tcMar>
            <w:tcW w:w="523" w:type="dxa"/>
            <w:vAlign w:val="center"/>
            <w:textDirection w:val="lrTb"/>
            <w:noWrap w:val="false"/>
          </w:tcPr>
          <w:p>
            <w:pPr>
              <w:pStyle w:val="1035"/>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176" w:type="dxa"/>
            <w:vAlign w:val="center"/>
            <w:textDirection w:val="lrTb"/>
            <w:noWrap w:val="false"/>
          </w:tcPr>
          <w:p>
            <w:pPr>
              <w:pStyle w:val="1035"/>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285" w:type="dxa"/>
            <w:vAlign w:val="center"/>
            <w:textDirection w:val="lrTb"/>
            <w:noWrap w:val="false"/>
          </w:tcPr>
          <w:p>
            <w:pPr>
              <w:pStyle w:val="1035"/>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w:t>
            </w:r>
            <w:r>
              <w:rPr>
                <w:rFonts w:hint="eastAsia" w:ascii="宋体" w:hAnsi="宋体" w:eastAsia="宋体" w:cs="宋体"/>
                <w:color w:val="000000"/>
                <w:sz w:val="24"/>
                <w:szCs w:val="24"/>
                <w:highlight w:val="none"/>
                <w:lang w:eastAsia="zh-CN"/>
              </w:rPr>
              <w:t xml:space="preserve">自2021年1月1日以来（以合同签订时间为准）承担过类似垃圾清运（外运）业绩的，每提供一份得5分，最高得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0分。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35"/>
              <w:jc w:val="left"/>
              <w:keepLines w:val="0"/>
              <w:keepNext w:val="0"/>
              <w:pageBreakBefore w:val="0"/>
              <w:spacing w:line="360" w:lineRule="exact"/>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注：1、投标文件中提供中标通知书及合同并加盖投标人公章，否则不得分。</w:t>
            </w:r>
            <w:r>
              <w:rPr>
                <w:rFonts w:hint="eastAsia" w:ascii="宋体" w:hAnsi="宋体" w:eastAsia="宋体" w:cs="宋体"/>
                <w:b/>
                <w:bCs/>
                <w:color w:val="000000"/>
                <w:sz w:val="24"/>
                <w:szCs w:val="24"/>
                <w:highlight w:val="none"/>
                <w:lang w:eastAsia="zh-CN"/>
              </w:rPr>
            </w:r>
            <w:r/>
          </w:p>
          <w:p>
            <w:pPr>
              <w:pStyle w:val="1035"/>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eastAsia="zh-CN"/>
              </w:rPr>
              <w:t xml:space="preserve">2、同一个委托单位业绩不重复得分。</w:t>
            </w:r>
            <w:r>
              <w:rPr>
                <w:rFonts w:hint="eastAsia" w:ascii="宋体" w:hAnsi="宋体" w:eastAsia="宋体" w:cs="宋体"/>
                <w:color w:val="000000"/>
                <w:sz w:val="24"/>
                <w:szCs w:val="24"/>
                <w:highlight w:val="none"/>
                <w:lang w:val="en-US" w:eastAsia="zh-CN" w:bidi="ar-SA"/>
              </w:rPr>
            </w:r>
            <w:r/>
          </w:p>
        </w:tc>
        <w:tc>
          <w:tcPr>
            <w:gridSpan w:val="2"/>
            <w:tcMar>
              <w:left w:w="108" w:type="dxa"/>
              <w:top w:w="0" w:type="dxa"/>
              <w:right w:w="108" w:type="dxa"/>
              <w:bottom w:w="0" w:type="dxa"/>
            </w:tcMar>
            <w:tcW w:w="538" w:type="dxa"/>
            <w:vAlign w:val="center"/>
            <w:textDirection w:val="lrTb"/>
            <w:noWrap w:val="false"/>
          </w:tcPr>
          <w:p>
            <w:pPr>
              <w:pStyle w:val="1035"/>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w:t>
            </w:r>
            <w:r>
              <w:rPr>
                <w:rFonts w:ascii="宋体" w:hAnsi="宋体" w:eastAsia="宋体" w:cs="宋体"/>
                <w:color w:val="000000"/>
                <w:sz w:val="24"/>
                <w:szCs w:val="24"/>
                <w:highlight w:val="none"/>
                <w:lang w:val="en-US" w:eastAsia="zh-CN" w:bidi="ar-SA"/>
              </w:rPr>
            </w:r>
            <w:r/>
          </w:p>
        </w:tc>
      </w:tr>
      <w:tr>
        <w:trPr>
          <w:trHeight w:val="744"/>
        </w:trPr>
        <w:tc>
          <w:tcPr>
            <w:tcMar>
              <w:left w:w="108" w:type="dxa"/>
              <w:top w:w="0" w:type="dxa"/>
              <w:right w:w="108" w:type="dxa"/>
              <w:bottom w:w="0" w:type="dxa"/>
            </w:tcMar>
            <w:tcW w:w="523" w:type="dxa"/>
            <w:vAlign w:val="center"/>
            <w:textDirection w:val="lrTb"/>
            <w:noWrap w:val="false"/>
          </w:tcPr>
          <w:p>
            <w:pPr>
              <w:pStyle w:val="1035"/>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176" w:type="dxa"/>
            <w:vAlign w:val="center"/>
            <w:textDirection w:val="lrTb"/>
            <w:noWrap w:val="false"/>
          </w:tcPr>
          <w:p>
            <w:pPr>
              <w:pStyle w:val="1035"/>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285" w:type="dxa"/>
            <w:vAlign w:val="center"/>
            <w:textDirection w:val="lrTb"/>
            <w:noWrap w:val="false"/>
          </w:tcPr>
          <w:p>
            <w:pPr>
              <w:pStyle w:val="1035"/>
              <w:jc w:val="left"/>
              <w:keepLines w:val="0"/>
              <w:keepNext w:val="0"/>
              <w:pageBreakBefore w:val="0"/>
              <w:spacing w:line="3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拟</w:t>
            </w:r>
            <w:r>
              <w:rPr>
                <w:rFonts w:hint="eastAsia" w:ascii="宋体" w:hAnsi="宋体" w:eastAsia="宋体" w:cs="宋体"/>
                <w:b w:val="0"/>
                <w:bCs w:val="0"/>
                <w:color w:val="000000"/>
                <w:sz w:val="24"/>
                <w:szCs w:val="24"/>
                <w:highlight w:val="none"/>
              </w:rPr>
              <w:t xml:space="preserve">投入</w:t>
            </w:r>
            <w:r>
              <w:rPr>
                <w:rFonts w:hint="eastAsia" w:ascii="宋体" w:hAnsi="宋体" w:eastAsia="宋体" w:cs="宋体"/>
                <w:b w:val="0"/>
                <w:bCs w:val="0"/>
                <w:color w:val="000000"/>
                <w:sz w:val="24"/>
                <w:szCs w:val="24"/>
                <w:highlight w:val="none"/>
              </w:rPr>
              <w:t xml:space="preserve">本项目负责人具有大专及以上学历的得3分。</w:t>
            </w:r>
            <w:r>
              <w:rPr>
                <w:rFonts w:hint="eastAsia" w:ascii="宋体" w:hAnsi="宋体" w:eastAsia="宋体" w:cs="宋体"/>
                <w:b w:val="0"/>
                <w:bCs w:val="0"/>
                <w:color w:val="000000"/>
                <w:sz w:val="24"/>
                <w:szCs w:val="24"/>
                <w:highlight w:val="none"/>
                <w:lang w:val="en-US" w:eastAsia="zh-CN"/>
              </w:rPr>
              <w:t xml:space="preserve">                                             2.</w:t>
            </w:r>
            <w:r>
              <w:rPr>
                <w:rFonts w:hint="eastAsia" w:ascii="宋体" w:hAnsi="宋体" w:eastAsia="宋体" w:cs="宋体"/>
                <w:b w:val="0"/>
                <w:bCs w:val="0"/>
                <w:color w:val="000000"/>
                <w:sz w:val="24"/>
                <w:szCs w:val="24"/>
                <w:highlight w:val="none"/>
              </w:rPr>
              <w:t xml:space="preserve">拟投入本项目的项目负责人</w:t>
            </w:r>
            <w:r>
              <w:rPr>
                <w:rFonts w:hint="eastAsia" w:ascii="宋体" w:hAnsi="宋体" w:eastAsia="宋体" w:cs="宋体"/>
                <w:b w:val="0"/>
                <w:bCs w:val="0"/>
                <w:color w:val="000000"/>
                <w:sz w:val="24"/>
                <w:szCs w:val="24"/>
                <w:highlight w:val="none"/>
                <w:lang w:val="en-US" w:eastAsia="zh-CN"/>
              </w:rPr>
              <w:t xml:space="preserve">自</w:t>
            </w:r>
            <w:r>
              <w:rPr>
                <w:rFonts w:hint="eastAsia" w:ascii="宋体" w:hAnsi="宋体" w:eastAsia="宋体" w:cs="宋体"/>
                <w:b w:val="0"/>
                <w:bCs w:val="0"/>
                <w:color w:val="000000"/>
                <w:sz w:val="24"/>
                <w:szCs w:val="24"/>
                <w:highlight w:val="none"/>
              </w:rPr>
              <w:t xml:space="preserve">2021年1月1日以来具有担任类似含垃圾清运（外运）及巡查服务相关经验，每提供一个业绩得3分，最多得3分。</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val="en-US" w:eastAsia="zh-CN"/>
              </w:rPr>
              <w:t xml:space="preserve">注：1、提供学历证书，提供投标人为项目负责人缴纳的近三个月</w:t>
            </w:r>
            <w:r>
              <w:rPr>
                <w:rFonts w:hint="eastAsia" w:ascii="宋体" w:hAnsi="宋体" w:eastAsia="宋体" w:cs="宋体"/>
                <w:b/>
                <w:bCs/>
                <w:color w:val="000000"/>
                <w:sz w:val="24"/>
                <w:szCs w:val="24"/>
                <w:highlight w:val="none"/>
                <w:lang w:val="en-US" w:eastAsia="zh-CN"/>
              </w:rPr>
              <w:t xml:space="preserve">（自开标之日起往前推算）</w:t>
            </w:r>
            <w:r>
              <w:rPr>
                <w:rFonts w:hint="eastAsia" w:ascii="宋体" w:hAnsi="宋体" w:eastAsia="宋体" w:cs="宋体"/>
                <w:b/>
                <w:bCs/>
                <w:color w:val="000000"/>
                <w:sz w:val="24"/>
                <w:szCs w:val="24"/>
                <w:highlight w:val="none"/>
                <w:lang w:val="en-US" w:eastAsia="zh-CN"/>
              </w:rPr>
              <w:t xml:space="preserve">中任意一月的社会基本养老保险的参保缴费证明（加盖社保部门签章或电子签章），否则不得分。 </w:t>
            </w:r>
            <w:r>
              <w:rPr>
                <w:rFonts w:hint="eastAsia" w:ascii="宋体" w:hAnsi="宋体" w:eastAsia="宋体" w:cs="宋体"/>
                <w:b/>
                <w:bCs/>
                <w:color w:val="000000"/>
                <w:sz w:val="24"/>
                <w:szCs w:val="24"/>
                <w:highlight w:val="none"/>
                <w:lang w:val="en-US" w:eastAsia="zh-CN"/>
              </w:rPr>
            </w:r>
            <w:r/>
          </w:p>
          <w:p>
            <w:pPr>
              <w:pStyle w:val="1035"/>
              <w:jc w:val="left"/>
              <w:keepLines w:val="0"/>
              <w:keepNext w:val="0"/>
              <w:pageBreakBefore w:val="0"/>
              <w:spacing w:line="3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2、项目负责人业绩可以与投标人业绩重复得分。</w:t>
            </w:r>
            <w:r>
              <w:rPr>
                <w:rFonts w:hint="eastAsia" w:ascii="宋体" w:hAnsi="宋体" w:eastAsia="宋体" w:cs="宋体"/>
                <w:b/>
                <w:bCs/>
                <w:color w:val="000000"/>
                <w:sz w:val="24"/>
                <w:szCs w:val="24"/>
                <w:highlight w:val="none"/>
                <w:lang w:val="en-US" w:eastAsia="zh-CN"/>
              </w:rPr>
            </w:r>
            <w:r/>
          </w:p>
          <w:p>
            <w:pPr>
              <w:pStyle w:val="1035"/>
              <w:jc w:val="left"/>
              <w:keepLines w:val="0"/>
              <w:keepNext w:val="0"/>
              <w:pageBreakBefore w:val="0"/>
              <w:spacing w:line="360" w:lineRule="exact"/>
              <w:widowControl/>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3、提供加盖业主单位公章的工作经验证明材料</w:t>
            </w:r>
            <w:r>
              <w:rPr>
                <w:rFonts w:hint="eastAsia" w:ascii="宋体" w:hAnsi="宋体" w:eastAsia="宋体" w:cs="宋体"/>
                <w:b/>
                <w:bCs/>
                <w:color w:val="000000"/>
                <w:sz w:val="24"/>
                <w:szCs w:val="24"/>
                <w:highlight w:val="none"/>
                <w:lang w:val="en-US" w:eastAsia="zh-CN"/>
              </w:rPr>
              <w:t xml:space="preserve">，否则不得分。</w:t>
            </w:r>
            <w:r>
              <w:rPr>
                <w:rFonts w:ascii="宋体" w:hAnsi="宋体" w:eastAsia="宋体" w:cs="宋体"/>
                <w:b/>
                <w:bCs/>
                <w:color w:val="000000"/>
                <w:sz w:val="24"/>
                <w:szCs w:val="24"/>
                <w:highlight w:val="none"/>
                <w:lang w:val="en-US" w:eastAsia="zh-CN"/>
              </w:rPr>
            </w:r>
            <w:r/>
          </w:p>
        </w:tc>
        <w:tc>
          <w:tcPr>
            <w:gridSpan w:val="2"/>
            <w:tcMar>
              <w:left w:w="108" w:type="dxa"/>
              <w:top w:w="0" w:type="dxa"/>
              <w:right w:w="108" w:type="dxa"/>
              <w:bottom w:w="0" w:type="dxa"/>
            </w:tcMar>
            <w:tcW w:w="538" w:type="dxa"/>
            <w:vAlign w:val="center"/>
            <w:textDirection w:val="lrTb"/>
            <w:noWrap w:val="false"/>
          </w:tcPr>
          <w:p>
            <w:pPr>
              <w:pStyle w:val="1035"/>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r>
      <w:tr>
        <w:trPr>
          <w:trHeight w:val="744"/>
        </w:trPr>
        <w:tc>
          <w:tcPr>
            <w:tcMar>
              <w:left w:w="108" w:type="dxa"/>
              <w:top w:w="0" w:type="dxa"/>
              <w:right w:w="108" w:type="dxa"/>
              <w:bottom w:w="0" w:type="dxa"/>
            </w:tcMar>
            <w:tcW w:w="523" w:type="dxa"/>
            <w:vAlign w:val="center"/>
            <w:textDirection w:val="lrTb"/>
            <w:noWrap w:val="false"/>
          </w:tcPr>
          <w:p>
            <w:pPr>
              <w:pStyle w:val="1035"/>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176" w:type="dxa"/>
            <w:vAlign w:val="center"/>
            <w:textDirection w:val="lrTb"/>
            <w:noWrap w:val="false"/>
          </w:tcPr>
          <w:p>
            <w:pPr>
              <w:pStyle w:val="1035"/>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车辆</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6285" w:type="dxa"/>
            <w:vAlign w:val="center"/>
            <w:textDirection w:val="lrTb"/>
            <w:noWrap w:val="false"/>
          </w:tcPr>
          <w:p>
            <w:pPr>
              <w:pStyle w:val="1035"/>
              <w:jc w:val="left"/>
              <w:keepLines w:val="0"/>
              <w:keepNext w:val="0"/>
              <w:pageBreakBefore w:val="0"/>
              <w:spacing w:line="36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.投标人拟投入本项目的巡查汽车，</w:t>
            </w:r>
            <w:r>
              <w:rPr>
                <w:rFonts w:hint="eastAsia" w:ascii="宋体" w:hAnsi="宋体" w:eastAsia="宋体" w:cs="宋体"/>
                <w:b w:val="0"/>
                <w:bCs w:val="0"/>
                <w:color w:val="000000"/>
                <w:sz w:val="24"/>
                <w:szCs w:val="24"/>
                <w:highlight w:val="none"/>
                <w:lang w:val="en-US" w:eastAsia="zh-CN"/>
              </w:rPr>
              <w:t xml:space="preserve">如</w:t>
            </w:r>
            <w:r>
              <w:rPr>
                <w:rFonts w:hint="eastAsia" w:ascii="宋体" w:hAnsi="宋体" w:eastAsia="宋体" w:cs="宋体"/>
                <w:b w:val="0"/>
                <w:bCs w:val="0"/>
                <w:color w:val="000000"/>
                <w:sz w:val="24"/>
                <w:szCs w:val="24"/>
                <w:highlight w:val="none"/>
              </w:rPr>
              <w:t xml:space="preserve">为自有，每提供一辆得2分；</w:t>
            </w:r>
            <w:r>
              <w:rPr>
                <w:rFonts w:hint="eastAsia" w:ascii="宋体" w:hAnsi="宋体" w:eastAsia="宋体" w:cs="宋体"/>
                <w:b w:val="0"/>
                <w:bCs w:val="0"/>
                <w:color w:val="000000"/>
                <w:sz w:val="24"/>
                <w:szCs w:val="24"/>
                <w:highlight w:val="none"/>
                <w:lang w:val="en-US" w:eastAsia="zh-CN"/>
              </w:rPr>
              <w:t xml:space="preserve">如</w:t>
            </w:r>
            <w:r>
              <w:rPr>
                <w:rFonts w:hint="eastAsia" w:ascii="宋体" w:hAnsi="宋体" w:eastAsia="宋体" w:cs="宋体"/>
                <w:b w:val="0"/>
                <w:bCs w:val="0"/>
                <w:color w:val="000000"/>
                <w:sz w:val="24"/>
                <w:szCs w:val="24"/>
                <w:highlight w:val="none"/>
              </w:rPr>
              <w:t xml:space="preserve">为</w:t>
            </w:r>
            <w:r>
              <w:rPr>
                <w:rFonts w:hint="eastAsia" w:ascii="宋体" w:hAnsi="宋体" w:eastAsia="宋体" w:cs="宋体"/>
                <w:b w:val="0"/>
                <w:bCs w:val="0"/>
                <w:color w:val="000000"/>
                <w:sz w:val="24"/>
                <w:szCs w:val="24"/>
                <w:highlight w:val="none"/>
              </w:rPr>
              <w:t xml:space="preserve">租赁，</w:t>
            </w:r>
            <w:r>
              <w:rPr>
                <w:rFonts w:hint="eastAsia" w:ascii="宋体" w:hAnsi="宋体" w:eastAsia="宋体" w:cs="宋体"/>
                <w:b w:val="0"/>
                <w:bCs w:val="0"/>
                <w:color w:val="000000"/>
                <w:sz w:val="24"/>
                <w:szCs w:val="24"/>
                <w:highlight w:val="none"/>
              </w:rPr>
              <w:t xml:space="preserve">每提供一辆</w:t>
            </w:r>
            <w:r>
              <w:rPr>
                <w:rFonts w:hint="eastAsia" w:ascii="宋体" w:hAnsi="宋体" w:eastAsia="宋体" w:cs="宋体"/>
                <w:b w:val="0"/>
                <w:bCs w:val="0"/>
                <w:color w:val="000000"/>
                <w:sz w:val="24"/>
                <w:szCs w:val="24"/>
                <w:highlight w:val="none"/>
              </w:rPr>
              <w:t xml:space="preserve">得1分，本项限评两辆，最高得4分。</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en-US" w:eastAsia="zh-CN"/>
              </w:rPr>
            </w:r>
            <w:r/>
          </w:p>
          <w:p>
            <w:pPr>
              <w:pStyle w:val="1035"/>
              <w:jc w:val="left"/>
              <w:keepLines w:val="0"/>
              <w:keepNext w:val="0"/>
              <w:pageBreakBefore w:val="0"/>
              <w:spacing w:line="360" w:lineRule="exact"/>
              <w:widowControl/>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t xml:space="preserve">如</w:t>
            </w:r>
            <w:r>
              <w:rPr>
                <w:rFonts w:hint="eastAsia" w:ascii="宋体" w:hAnsi="宋体" w:eastAsia="宋体" w:cs="宋体"/>
                <w:b/>
                <w:bCs/>
                <w:color w:val="000000"/>
                <w:sz w:val="24"/>
                <w:szCs w:val="24"/>
                <w:highlight w:val="none"/>
              </w:rPr>
              <w:t xml:space="preserve">为自有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则</w:t>
            </w:r>
            <w:r>
              <w:rPr>
                <w:rFonts w:hint="eastAsia" w:ascii="宋体" w:hAnsi="宋体" w:eastAsia="宋体" w:cs="宋体"/>
                <w:b/>
                <w:bCs/>
                <w:color w:val="000000"/>
                <w:sz w:val="24"/>
                <w:szCs w:val="24"/>
                <w:highlight w:val="none"/>
                <w:lang w:val="en-US" w:eastAsia="zh-CN"/>
              </w:rPr>
              <w:t xml:space="preserve">提供车辆行驶证和车辆照片；</w:t>
            </w:r>
            <w:r>
              <w:rPr>
                <w:rFonts w:hint="eastAsia" w:ascii="宋体" w:hAnsi="宋体" w:eastAsia="宋体" w:cs="宋体"/>
                <w:b/>
                <w:bCs/>
                <w:color w:val="000000"/>
                <w:sz w:val="24"/>
                <w:szCs w:val="24"/>
                <w:highlight w:val="none"/>
                <w:lang w:val="en-US" w:eastAsia="zh-CN"/>
              </w:rPr>
              <w:t xml:space="preserve">如</w:t>
            </w:r>
            <w:r>
              <w:rPr>
                <w:rFonts w:hint="eastAsia" w:ascii="宋体" w:hAnsi="宋体" w:eastAsia="宋体" w:cs="宋体"/>
                <w:b/>
                <w:bCs/>
                <w:color w:val="000000"/>
                <w:sz w:val="24"/>
                <w:szCs w:val="24"/>
                <w:highlight w:val="none"/>
              </w:rPr>
              <w:t xml:space="preserve">为租赁</w:t>
            </w:r>
            <w:r>
              <w:rPr>
                <w:rFonts w:hint="eastAsia" w:ascii="宋体" w:hAnsi="宋体" w:eastAsia="宋体" w:cs="宋体"/>
                <w:b/>
                <w:bCs/>
                <w:color w:val="000000"/>
                <w:sz w:val="24"/>
                <w:szCs w:val="24"/>
                <w:highlight w:val="none"/>
                <w:lang w:val="en-US" w:eastAsia="zh-CN"/>
              </w:rPr>
              <w:t xml:space="preserve">则提供车辆行驶证、租赁合同和车辆照片作为证明材料。投标文件中提供上述证明材料复印件，并加盖投标人公章，否则不得分。</w:t>
            </w:r>
            <w:r>
              <w:rPr>
                <w:rFonts w:ascii="宋体" w:hAnsi="宋体" w:eastAsia="宋体" w:cs="宋体"/>
                <w:b/>
                <w:bCs/>
                <w:color w:val="000000"/>
                <w:sz w:val="24"/>
                <w:szCs w:val="24"/>
                <w:highlight w:val="none"/>
                <w:lang w:val="en-US" w:eastAsia="zh-CN"/>
              </w:rPr>
            </w:r>
            <w:r/>
          </w:p>
        </w:tc>
        <w:tc>
          <w:tcPr>
            <w:gridSpan w:val="2"/>
            <w:tcMar>
              <w:left w:w="108" w:type="dxa"/>
              <w:top w:w="0" w:type="dxa"/>
              <w:right w:w="108" w:type="dxa"/>
              <w:bottom w:w="0" w:type="dxa"/>
            </w:tcMar>
            <w:tcW w:w="538" w:type="dxa"/>
            <w:vAlign w:val="center"/>
            <w:textDirection w:val="lrTb"/>
            <w:noWrap w:val="false"/>
          </w:tcPr>
          <w:p>
            <w:pPr>
              <w:pStyle w:val="1035"/>
              <w:jc w:val="center"/>
              <w:keepLines w:val="0"/>
              <w:keepNext w:val="0"/>
              <w:pageBreakBefore w:val="0"/>
              <w:spacing w:line="360" w:lineRule="exact"/>
              <w:tabs>
                <w:tab w:val="left" w:pos="426"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r>
            <w:r/>
          </w:p>
        </w:tc>
      </w:tr>
      <w:tr>
        <w:trPr>
          <w:trHeight w:val="283"/>
        </w:trPr>
        <w:tc>
          <w:tcPr>
            <w:gridSpan w:val="5"/>
            <w:tcMar>
              <w:left w:w="108" w:type="dxa"/>
              <w:top w:w="0" w:type="dxa"/>
              <w:right w:w="108" w:type="dxa"/>
              <w:bottom w:w="0" w:type="dxa"/>
            </w:tcMar>
            <w:tcW w:w="8522" w:type="dxa"/>
            <w:vAlign w:val="center"/>
            <w:textDirection w:val="lrTb"/>
            <w:noWrap w:val="false"/>
          </w:tcPr>
          <w:p>
            <w:pPr>
              <w:pStyle w:val="1035"/>
              <w:jc w:val="both"/>
              <w:keepLines w:val="0"/>
              <w:keepNext w:val="0"/>
              <w:pageBreakBefore w:val="0"/>
              <w:spacing w:line="360" w:lineRule="exact"/>
              <w:tabs>
                <w:tab w:val="left" w:pos="426" w:leader="none"/>
              </w:tabs>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三、</w:t>
            </w:r>
            <w:r>
              <w:rPr>
                <w:rFonts w:hint="eastAsia" w:ascii="宋体" w:hAnsi="宋体" w:eastAsia="宋体" w:cs="宋体"/>
                <w:b/>
                <w:color w:val="000000"/>
                <w:sz w:val="24"/>
                <w:szCs w:val="24"/>
                <w:highlight w:val="none"/>
                <w:lang w:val="en-US" w:eastAsia="zh-CN"/>
              </w:rPr>
              <w:t xml:space="preserve">服务</w:t>
            </w:r>
            <w:r>
              <w:rPr>
                <w:rFonts w:hint="eastAsia" w:ascii="宋体" w:hAnsi="宋体" w:eastAsia="宋体" w:cs="宋体"/>
                <w:b/>
                <w:color w:val="000000"/>
                <w:sz w:val="24"/>
                <w:szCs w:val="24"/>
                <w:highlight w:val="none"/>
              </w:rPr>
              <w:t xml:space="preserve">方案</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60分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tc>
      </w:tr>
      <w:tr>
        <w:trPr>
          <w:trHeight w:val="283"/>
        </w:trPr>
        <w:tc>
          <w:tcPr>
            <w:tcMar>
              <w:left w:w="108" w:type="dxa"/>
              <w:top w:w="0" w:type="dxa"/>
              <w:right w:w="108" w:type="dxa"/>
              <w:bottom w:w="0" w:type="dxa"/>
            </w:tcMar>
            <w:tcW w:w="523" w:type="dxa"/>
            <w:vAlign w:val="center"/>
            <w:textDirection w:val="lrTb"/>
            <w:noWrap w:val="false"/>
          </w:tcPr>
          <w:p>
            <w:pPr>
              <w:pStyle w:val="1290"/>
              <w:jc w:val="center"/>
              <w:keepLines w:val="0"/>
              <w:keepNext w:val="0"/>
              <w:pageBreakBefore w:val="0"/>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176" w:type="dxa"/>
            <w:vAlign w:val="center"/>
            <w:textDirection w:val="lrTb"/>
            <w:noWrap w:val="false"/>
          </w:tcPr>
          <w:p>
            <w:pPr>
              <w:pStyle w:val="1035"/>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lang w:val="en-US" w:eastAsia="zh-CN"/>
              </w:rPr>
            </w:r>
            <w:r/>
          </w:p>
        </w:tc>
        <w:tc>
          <w:tcPr>
            <w:gridSpan w:val="2"/>
            <w:tcMar>
              <w:left w:w="108" w:type="dxa"/>
              <w:top w:w="0" w:type="dxa"/>
              <w:right w:w="108" w:type="dxa"/>
              <w:bottom w:w="0" w:type="dxa"/>
            </w:tcMar>
            <w:tcW w:w="6304" w:type="dxa"/>
            <w:vAlign w:val="center"/>
            <w:textDirection w:val="lrTb"/>
            <w:noWrap w:val="false"/>
          </w:tcPr>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评标小组根据供应商提供的服务方案进行综合评审。</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（1）方案完整、合理，工作内容详实的，得10分；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（2）方案较完整、较合理，工作内容比较详实的，得8分；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（3）方案基本完整、基本合理，工作内容基本详实的，得6分；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（4）方案完整性、合理性较差，工作内容不太详尽的，得4分；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（5）全不符合招标文件要求或不提供方案的不得分。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9" w:type="dxa"/>
            <w:vAlign w:val="center"/>
            <w:textDirection w:val="lrTb"/>
            <w:noWrap w:val="false"/>
          </w:tcPr>
          <w:p>
            <w:pPr>
              <w:pStyle w:val="1290"/>
              <w:jc w:val="center"/>
              <w:spacing w:line="36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23" w:type="dxa"/>
            <w:vAlign w:val="center"/>
            <w:textDirection w:val="lrTb"/>
            <w:noWrap w:val="false"/>
          </w:tcPr>
          <w:p>
            <w:pPr>
              <w:pStyle w:val="1290"/>
              <w:jc w:val="center"/>
              <w:keepLines w:val="0"/>
              <w:keepNext w:val="0"/>
              <w:pageBreakBefore w:val="0"/>
              <w:spacing w:line="3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176" w:type="dxa"/>
            <w:vAlign w:val="center"/>
            <w:textDirection w:val="lrTb"/>
            <w:noWrap w:val="false"/>
          </w:tcPr>
          <w:p>
            <w:pPr>
              <w:pStyle w:val="1035"/>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服务质量保障方案</w:t>
            </w:r>
            <w:r>
              <w:rPr>
                <w:rFonts w:hint="eastAsia" w:ascii="宋体" w:hAnsi="宋体" w:eastAsia="宋体" w:cs="宋体"/>
                <w:color w:val="000000"/>
                <w:sz w:val="24"/>
                <w:szCs w:val="24"/>
                <w:highlight w:val="none"/>
                <w:lang w:val="en-US" w:eastAsia="zh-CN"/>
              </w:rPr>
            </w:r>
            <w:r/>
          </w:p>
        </w:tc>
        <w:tc>
          <w:tcPr>
            <w:gridSpan w:val="2"/>
            <w:tcMar>
              <w:left w:w="108" w:type="dxa"/>
              <w:top w:w="0" w:type="dxa"/>
              <w:right w:w="108" w:type="dxa"/>
              <w:bottom w:w="0" w:type="dxa"/>
            </w:tcMar>
            <w:tcW w:w="6304" w:type="dxa"/>
            <w:vAlign w:val="center"/>
            <w:textDirection w:val="lrTb"/>
            <w:noWrap w:val="false"/>
          </w:tcPr>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评标小组根据供应商提供的服务质量保障</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bidi="ar-SA"/>
              </w:rPr>
              <w:t xml:space="preserve">进行综合评审。</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（1）方案完整、合理，工作内容详实的，得8分；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（2）方案较完整、较合理，工作内容比较详实的，得6分；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（3）方案基本完整、基本合理，工作内容基本详实的，得4分；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（4）方案完整性、合理性较差，工作内容不太详尽的，得2分；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（5）全不符合招标文件要求或不提供方案的不得分。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9" w:type="dxa"/>
            <w:vAlign w:val="center"/>
            <w:textDirection w:val="lrTb"/>
            <w:noWrap w:val="false"/>
          </w:tcPr>
          <w:p>
            <w:pPr>
              <w:pStyle w:val="1290"/>
              <w:jc w:val="center"/>
              <w:keepLines w:val="0"/>
              <w:keepNext w:val="0"/>
              <w:pageBreakBefore w:val="0"/>
              <w:spacing w:line="36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23" w:type="dxa"/>
            <w:vAlign w:val="center"/>
            <w:textDirection w:val="lrTb"/>
            <w:noWrap w:val="false"/>
          </w:tcPr>
          <w:p>
            <w:pPr>
              <w:pStyle w:val="1290"/>
              <w:jc w:val="center"/>
              <w:keepLines w:val="0"/>
              <w:keepNext w:val="0"/>
              <w:pageBreakBefore w:val="0"/>
              <w:spacing w:line="3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176" w:type="dxa"/>
            <w:vAlign w:val="center"/>
            <w:textDirection w:val="lrTb"/>
            <w:noWrap w:val="false"/>
          </w:tcPr>
          <w:p>
            <w:pPr>
              <w:pStyle w:val="1035"/>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lang w:val="en-US" w:eastAsia="zh-CN"/>
              </w:rPr>
              <w:t xml:space="preserve">组织方案</w:t>
            </w:r>
            <w:r>
              <w:rPr>
                <w:rFonts w:hint="eastAsia" w:ascii="宋体" w:hAnsi="宋体" w:eastAsia="宋体" w:cs="宋体"/>
                <w:color w:val="000000"/>
                <w:sz w:val="24"/>
                <w:szCs w:val="24"/>
                <w:highlight w:val="none"/>
              </w:rPr>
            </w:r>
            <w:r/>
          </w:p>
        </w:tc>
        <w:tc>
          <w:tcPr>
            <w:gridSpan w:val="2"/>
            <w:tcMar>
              <w:left w:w="108" w:type="dxa"/>
              <w:top w:w="0" w:type="dxa"/>
              <w:right w:w="108" w:type="dxa"/>
              <w:bottom w:w="0" w:type="dxa"/>
            </w:tcMar>
            <w:tcW w:w="6304" w:type="dxa"/>
            <w:vAlign w:val="center"/>
            <w:textDirection w:val="lrTb"/>
            <w:noWrap w:val="false"/>
          </w:tcPr>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评标小组根据供应商提供的人员组织方案进行综合评审。</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（1）方案完整、合理，工作内容详实的，得8分；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（2）方案较完整、较合理，工作内容比较详实的，得6分；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（3）方案基本完整、基本合理，工作内容基本详实的，得4分；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（4）方案完整性、合理性较差，工作内容不太详尽的，得2分；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（5）全不符合招标文件要求或不提供方案的不得分。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9" w:type="dxa"/>
            <w:vAlign w:val="center"/>
            <w:textDirection w:val="lrTb"/>
            <w:noWrap w:val="false"/>
          </w:tcPr>
          <w:p>
            <w:pPr>
              <w:pStyle w:val="1290"/>
              <w:jc w:val="center"/>
              <w:keepLines w:val="0"/>
              <w:keepNext w:val="0"/>
              <w:pageBreakBefore w:val="0"/>
              <w:spacing w:line="36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23" w:type="dxa"/>
            <w:vAlign w:val="center"/>
            <w:textDirection w:val="lrTb"/>
            <w:noWrap w:val="false"/>
          </w:tcPr>
          <w:p>
            <w:pPr>
              <w:pStyle w:val="1290"/>
              <w:jc w:val="center"/>
              <w:keepLines w:val="0"/>
              <w:keepNext w:val="0"/>
              <w:pageBreakBefore w:val="0"/>
              <w:spacing w:line="3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176" w:type="dxa"/>
            <w:vAlign w:val="center"/>
            <w:textDirection w:val="lrTb"/>
            <w:noWrap w:val="false"/>
          </w:tcPr>
          <w:p>
            <w:pPr>
              <w:pStyle w:val="1035"/>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安全文明作业保障</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r>
            <w:r/>
          </w:p>
        </w:tc>
        <w:tc>
          <w:tcPr>
            <w:gridSpan w:val="2"/>
            <w:tcMar>
              <w:left w:w="108" w:type="dxa"/>
              <w:top w:w="0" w:type="dxa"/>
              <w:right w:w="108" w:type="dxa"/>
              <w:bottom w:w="0" w:type="dxa"/>
            </w:tcMar>
            <w:tcW w:w="6304" w:type="dxa"/>
            <w:vAlign w:val="center"/>
            <w:textDirection w:val="lrTb"/>
            <w:noWrap w:val="false"/>
          </w:tcPr>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评标小组根据供应商提供的安全文明作业保障方案进行综合评审。</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（1）方案完整、合理，工作内容详实的，得8分；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（2）方案较完整、较合理，工作内容比较详实的，得6分；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（3）方案基本完整、基本合理，工作内容基本详实的，得4分；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（4）方案完整性、合理性较差，工作内容不太详尽的，得2分；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（5）全不符合招标文件要求或不提供方案的不得分。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9" w:type="dxa"/>
            <w:vAlign w:val="center"/>
            <w:textDirection w:val="lrTb"/>
            <w:noWrap w:val="false"/>
          </w:tcPr>
          <w:p>
            <w:pPr>
              <w:pStyle w:val="1290"/>
              <w:jc w:val="center"/>
              <w:keepLines w:val="0"/>
              <w:keepNext w:val="0"/>
              <w:pageBreakBefore w:val="0"/>
              <w:spacing w:line="36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23" w:type="dxa"/>
            <w:vAlign w:val="center"/>
            <w:textDirection w:val="lrTb"/>
            <w:noWrap w:val="false"/>
          </w:tcPr>
          <w:p>
            <w:pPr>
              <w:pStyle w:val="1290"/>
              <w:jc w:val="center"/>
              <w:keepLines w:val="0"/>
              <w:keepNext w:val="0"/>
              <w:pageBreakBefore w:val="0"/>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176" w:type="dxa"/>
            <w:vAlign w:val="center"/>
            <w:textDirection w:val="lrTb"/>
            <w:noWrap w:val="false"/>
          </w:tcPr>
          <w:p>
            <w:pPr>
              <w:pStyle w:val="1035"/>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应急预案</w:t>
            </w:r>
            <w:r>
              <w:rPr>
                <w:rFonts w:hint="eastAsia" w:ascii="宋体" w:hAnsi="宋体" w:eastAsia="宋体" w:cs="宋体"/>
                <w:color w:val="000000"/>
                <w:sz w:val="24"/>
                <w:szCs w:val="24"/>
                <w:highlight w:val="none"/>
                <w:lang w:val="en-US" w:eastAsia="zh-CN"/>
              </w:rPr>
            </w:r>
            <w:r/>
          </w:p>
        </w:tc>
        <w:tc>
          <w:tcPr>
            <w:gridSpan w:val="2"/>
            <w:tcMar>
              <w:left w:w="108" w:type="dxa"/>
              <w:top w:w="0" w:type="dxa"/>
              <w:right w:w="108" w:type="dxa"/>
              <w:bottom w:w="0" w:type="dxa"/>
            </w:tcMar>
            <w:tcW w:w="6304" w:type="dxa"/>
            <w:vAlign w:val="center"/>
            <w:textDirection w:val="lrTb"/>
            <w:noWrap w:val="false"/>
          </w:tcPr>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评标小组根据供应商提供的应急预案进行综合评审。</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（1）方案完整、合理，工作内容详实的，得10分；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（2）方案较完整、较合理，工作内容比较详实的，得8分；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（3）方案基本完整、基本合理，工作内容基本详实的，得6分；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（4）方案完整性、合理性较差，工作内容不太详尽的，得4分；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（5）全不符合招标文件要求或不提供方案的不得分。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9" w:type="dxa"/>
            <w:vAlign w:val="center"/>
            <w:textDirection w:val="lrTb"/>
            <w:noWrap w:val="false"/>
          </w:tcPr>
          <w:p>
            <w:pPr>
              <w:pStyle w:val="1290"/>
              <w:jc w:val="center"/>
              <w:spacing w:line="36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23" w:type="dxa"/>
            <w:vAlign w:val="center"/>
            <w:textDirection w:val="lrTb"/>
            <w:noWrap w:val="false"/>
          </w:tcPr>
          <w:p>
            <w:pPr>
              <w:pStyle w:val="1290"/>
              <w:jc w:val="center"/>
              <w:keepLines w:val="0"/>
              <w:keepNext w:val="0"/>
              <w:pageBreakBefore w:val="0"/>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176" w:type="dxa"/>
            <w:vAlign w:val="center"/>
            <w:textDirection w:val="lrTb"/>
            <w:noWrap w:val="false"/>
          </w:tcPr>
          <w:p>
            <w:pPr>
              <w:pStyle w:val="1035"/>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交接及特色服务方案</w:t>
            </w:r>
            <w:r>
              <w:rPr>
                <w:rFonts w:hint="eastAsia" w:ascii="宋体" w:hAnsi="宋体" w:eastAsia="宋体" w:cs="宋体"/>
                <w:color w:val="000000"/>
                <w:sz w:val="24"/>
                <w:szCs w:val="24"/>
                <w:highlight w:val="none"/>
                <w:lang w:val="en-US" w:eastAsia="zh-CN"/>
              </w:rPr>
            </w:r>
            <w:r/>
          </w:p>
        </w:tc>
        <w:tc>
          <w:tcPr>
            <w:gridSpan w:val="2"/>
            <w:tcMar>
              <w:left w:w="108" w:type="dxa"/>
              <w:top w:w="0" w:type="dxa"/>
              <w:right w:w="108" w:type="dxa"/>
              <w:bottom w:w="0" w:type="dxa"/>
            </w:tcMar>
            <w:tcW w:w="6304" w:type="dxa"/>
            <w:vAlign w:val="center"/>
            <w:textDirection w:val="lrTb"/>
            <w:noWrap w:val="false"/>
          </w:tcPr>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评标小组根据供应商提供的交接及特色服务方案进行综合评审。</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（1）方案完整、合理，工作内容详实的，得8分；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（2）方案较完整、较合理，工作内容比较详实的，得6分；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（3）方案基本完整、基本合理，工作内容基本详实的，得4分；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（4）方案完整性、合理性较差，工作内容不太详尽的，得2分；</w:t>
            </w:r>
            <w:r>
              <w:rPr>
                <w:rFonts w:hint="eastAsia" w:ascii="宋体" w:hAnsi="宋体" w:eastAsia="宋体" w:cs="宋体"/>
                <w:color w:val="000000"/>
                <w:sz w:val="24"/>
                <w:szCs w:val="24"/>
                <w:highlight w:val="none"/>
                <w:lang w:val="en-US" w:eastAsia="zh-CN" w:bidi="ar-SA"/>
              </w:rPr>
            </w:r>
            <w:r/>
          </w:p>
          <w:p>
            <w:pPr>
              <w:pStyle w:val="1035"/>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（5）全不符合招标文件要求或不提供方案的不得分。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9" w:type="dxa"/>
            <w:vAlign w:val="center"/>
            <w:textDirection w:val="lrTb"/>
            <w:noWrap w:val="false"/>
          </w:tcPr>
          <w:p>
            <w:pPr>
              <w:pStyle w:val="1290"/>
              <w:jc w:val="center"/>
              <w:spacing w:line="36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r>
      <w:tr>
        <w:trPr>
          <w:trHeight w:val="283"/>
        </w:trPr>
        <w:tc>
          <w:tcPr>
            <w:tcMar>
              <w:left w:w="108" w:type="dxa"/>
              <w:top w:w="0" w:type="dxa"/>
              <w:right w:w="108" w:type="dxa"/>
              <w:bottom w:w="0" w:type="dxa"/>
            </w:tcMar>
            <w:tcW w:w="523" w:type="dxa"/>
            <w:vAlign w:val="center"/>
            <w:textDirection w:val="lrTb"/>
            <w:noWrap w:val="false"/>
          </w:tcPr>
          <w:p>
            <w:pPr>
              <w:pStyle w:val="1290"/>
              <w:jc w:val="center"/>
              <w:keepLines w:val="0"/>
              <w:keepNext w:val="0"/>
              <w:pageBreakBefore w:val="0"/>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176" w:type="dxa"/>
            <w:vAlign w:val="center"/>
            <w:textDirection w:val="lrTb"/>
            <w:noWrap w:val="false"/>
          </w:tcPr>
          <w:p>
            <w:pPr>
              <w:pStyle w:val="1035"/>
              <w:jc w:val="center"/>
              <w:keepLines w:val="0"/>
              <w:keepNext w:val="0"/>
              <w:pageBreakBefore w:val="0"/>
              <w:spacing w:line="360" w:lineRule="exact"/>
              <w:tabs>
                <w:tab w:val="left" w:pos="426" w:leader="none"/>
              </w:tabs>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合理化建议</w:t>
            </w:r>
            <w:r>
              <w:rPr>
                <w:rFonts w:hint="eastAsia" w:ascii="宋体" w:hAnsi="宋体" w:eastAsia="宋体" w:cs="宋体"/>
                <w:color w:val="000000"/>
                <w:sz w:val="24"/>
                <w:szCs w:val="24"/>
                <w:highlight w:val="none"/>
              </w:rPr>
            </w:r>
            <w:r/>
          </w:p>
        </w:tc>
        <w:tc>
          <w:tcPr>
            <w:gridSpan w:val="2"/>
            <w:tcMar>
              <w:left w:w="108" w:type="dxa"/>
              <w:top w:w="0" w:type="dxa"/>
              <w:right w:w="108" w:type="dxa"/>
              <w:bottom w:w="0" w:type="dxa"/>
            </w:tcMar>
            <w:tcW w:w="6304" w:type="dxa"/>
            <w:vAlign w:val="center"/>
            <w:textDirection w:val="lrTb"/>
            <w:noWrap w:val="false"/>
          </w:tcPr>
          <w:p>
            <w:pPr>
              <w:pStyle w:val="1035"/>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评标委员会根据供应商拟制的针对本项目采购要求，提出合理化建议和其他优惠措施进行综合评审。</w:t>
            </w:r>
            <w:r>
              <w:rPr>
                <w:rFonts w:hint="eastAsia" w:ascii="宋体" w:hAnsi="宋体" w:eastAsia="宋体" w:cs="宋体"/>
                <w:color w:val="000000"/>
                <w:sz w:val="24"/>
                <w:szCs w:val="24"/>
                <w:highlight w:val="none"/>
                <w:lang w:val="en-US" w:eastAsia="zh-CN" w:bidi="ar-SA"/>
              </w:rPr>
            </w:r>
            <w:r/>
          </w:p>
          <w:p>
            <w:pPr>
              <w:pStyle w:val="1035"/>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（1）内容措施切实可行的得8分；</w:t>
            </w:r>
            <w:r>
              <w:rPr>
                <w:rFonts w:hint="eastAsia" w:ascii="宋体" w:hAnsi="宋体" w:eastAsia="宋体" w:cs="宋体"/>
                <w:color w:val="000000"/>
                <w:sz w:val="24"/>
                <w:szCs w:val="24"/>
                <w:highlight w:val="none"/>
                <w:lang w:val="en-US" w:eastAsia="zh-CN" w:bidi="ar-SA"/>
              </w:rPr>
            </w:r>
            <w:r/>
          </w:p>
          <w:p>
            <w:pPr>
              <w:pStyle w:val="1035"/>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（2）内容措施较合理、较可行的得6分；</w:t>
            </w:r>
            <w:r>
              <w:rPr>
                <w:rFonts w:hint="eastAsia" w:ascii="宋体" w:hAnsi="宋体" w:eastAsia="宋体" w:cs="宋体"/>
                <w:color w:val="000000"/>
                <w:sz w:val="24"/>
                <w:szCs w:val="24"/>
                <w:highlight w:val="none"/>
                <w:lang w:val="en-US" w:eastAsia="zh-CN" w:bidi="ar-SA"/>
              </w:rPr>
            </w:r>
            <w:r/>
          </w:p>
          <w:p>
            <w:pPr>
              <w:pStyle w:val="1035"/>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（3）内容笼统，缺乏操作性和针对性的，得4分；</w:t>
            </w:r>
            <w:r>
              <w:rPr>
                <w:rFonts w:hint="eastAsia" w:ascii="宋体" w:hAnsi="宋体" w:eastAsia="宋体" w:cs="宋体"/>
                <w:color w:val="000000"/>
                <w:sz w:val="24"/>
                <w:szCs w:val="24"/>
                <w:highlight w:val="none"/>
                <w:lang w:val="en-US" w:eastAsia="zh-CN" w:bidi="ar-SA"/>
              </w:rPr>
            </w:r>
            <w:r/>
          </w:p>
          <w:p>
            <w:pPr>
              <w:pStyle w:val="1035"/>
              <w:ind w:firstLine="0"/>
              <w:keepLines w:val="0"/>
              <w:keepNext w:val="0"/>
              <w:pageBreakBefore w:val="0"/>
              <w:spacing w:line="360" w:lineRule="auto"/>
              <w:widowControl w:val="off"/>
              <w:rPr>
                <w:rFonts w:hint="eastAsia" w:ascii="宋体" w:hAnsi="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（4）未提供的不得分。</w:t>
            </w:r>
            <w:r>
              <w:rPr>
                <w:rFonts w:hint="eastAsia" w:ascii="宋体" w:hAnsi="宋体" w:cs="宋体"/>
                <w:color w:val="000000"/>
                <w:sz w:val="24"/>
                <w:szCs w:val="24"/>
                <w:highlight w:val="none"/>
                <w:lang w:val="en-US" w:eastAsia="zh-CN" w:bidi="ar-SA"/>
              </w:rPr>
            </w:r>
            <w:r/>
          </w:p>
        </w:tc>
        <w:tc>
          <w:tcPr>
            <w:tcMar>
              <w:left w:w="108" w:type="dxa"/>
              <w:top w:w="0" w:type="dxa"/>
              <w:right w:w="108" w:type="dxa"/>
              <w:bottom w:w="0" w:type="dxa"/>
            </w:tcMar>
            <w:tcW w:w="519" w:type="dxa"/>
            <w:vAlign w:val="center"/>
            <w:textDirection w:val="lrTb"/>
            <w:noWrap w:val="false"/>
          </w:tcPr>
          <w:p>
            <w:pPr>
              <w:pStyle w:val="1290"/>
              <w:jc w:val="center"/>
              <w:spacing w:line="36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r>
    </w:tbl>
    <w:p>
      <w:pPr>
        <w:pStyle w:val="1035"/>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p>
      <w:pPr>
        <w:pStyle w:val="1035"/>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35"/>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35"/>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2" w:name="_Toc99301424"/>
      <w:r>
        <w:rPr>
          <w:rFonts w:ascii="宋体" w:hAnsi="宋体"/>
          <w:b/>
          <w:color w:val="000000"/>
          <w:sz w:val="36"/>
          <w:szCs w:val="36"/>
          <w:highlight w:val="none"/>
        </w:rPr>
        <w:t xml:space="preserve">第五章   采购需求</w:t>
      </w:r>
      <w:bookmarkEnd w:id="812"/>
      <w:r>
        <w:rPr>
          <w:rFonts w:ascii="宋体" w:hAnsi="宋体"/>
          <w:b/>
          <w:color w:val="000000"/>
          <w:sz w:val="36"/>
          <w:szCs w:val="36"/>
          <w:highlight w:val="none"/>
        </w:rPr>
      </w:r>
      <w:r/>
    </w:p>
    <w:p>
      <w:pPr>
        <w:pStyle w:val="1129"/>
        <w:numPr>
          <w:ilvl w:val="0"/>
          <w:numId w:val="0"/>
        </w:numPr>
        <w:contextualSpacing/>
        <w:ind w:left="-2" w:firstLine="482"/>
        <w:spacing w:line="360" w:lineRule="auto"/>
        <w:tabs>
          <w:tab w:val="left" w:pos="567" w:leader="none"/>
        </w:tabs>
        <w:rPr>
          <w:rFonts w:ascii="宋体" w:hAnsi="宋体" w:eastAsia="宋体" w:cs="Times New Roman"/>
          <w:b w:val="0"/>
          <w:bCs/>
          <w:color w:val="000000"/>
          <w:sz w:val="24"/>
          <w:szCs w:val="24"/>
          <w:highlight w:val="none"/>
          <w:lang w:val="en-US" w:eastAsia="zh-CN"/>
        </w:rPr>
      </w:pPr>
      <w:r>
        <w:rPr>
          <w:rFonts w:ascii="宋体" w:hAnsi="宋体"/>
          <w:b/>
          <w:color w:val="000000"/>
          <w:sz w:val="24"/>
          <w:szCs w:val="24"/>
          <w:highlight w:val="none"/>
          <w:lang w:val="en-US" w:eastAsia="zh-CN" w:bidi="ar-SA"/>
        </w:rPr>
        <w:t xml:space="preserve">一、</w:t>
      </w:r>
      <w:r>
        <w:rPr>
          <w:rFonts w:hint="eastAsia" w:ascii="宋体" w:hAnsi="宋体"/>
          <w:b/>
          <w:color w:val="000000"/>
          <w:sz w:val="24"/>
          <w:szCs w:val="24"/>
          <w:highlight w:val="none"/>
          <w:lang w:val="en-US" w:eastAsia="zh-CN"/>
        </w:rPr>
        <w:t xml:space="preserve">项目</w:t>
      </w:r>
      <w:r>
        <w:rPr>
          <w:rFonts w:hint="eastAsia" w:ascii="宋体" w:hAnsi="宋体"/>
          <w:b/>
          <w:color w:val="000000"/>
          <w:sz w:val="24"/>
          <w:szCs w:val="24"/>
          <w:highlight w:val="none"/>
          <w:lang w:val="en-US" w:eastAsia="zh-CN"/>
        </w:rPr>
        <w:t xml:space="preserve">概况</w:t>
      </w:r>
      <w:r>
        <w:rPr>
          <w:rFonts w:ascii="宋体" w:hAnsi="宋体" w:eastAsia="宋体" w:cs="Times New Roman"/>
          <w:b w:val="0"/>
          <w:bCs/>
          <w:color w:val="000000"/>
          <w:sz w:val="24"/>
          <w:szCs w:val="24"/>
          <w:highlight w:val="none"/>
          <w:lang w:val="en-US" w:eastAsia="zh-CN"/>
        </w:rPr>
      </w:r>
      <w:r/>
    </w:p>
    <w:p>
      <w:pPr>
        <w:pStyle w:val="1129"/>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本项目是</w:t>
      </w:r>
      <w:r>
        <w:rPr>
          <w:rFonts w:hint="eastAsia" w:ascii="宋体" w:hAnsi="宋体" w:eastAsia="宋体" w:cs="Times New Roman"/>
          <w:b w:val="0"/>
          <w:bCs/>
          <w:color w:val="000000"/>
          <w:sz w:val="24"/>
          <w:szCs w:val="24"/>
          <w:highlight w:val="none"/>
          <w:lang w:val="en-US" w:eastAsia="zh-CN"/>
        </w:rPr>
        <w:t xml:space="preserve">永红街道道路建筑垃圾看护、巡查及无主垃圾的清运消纳项目。主要为街道辖区内主次道路及重点道路进行24小时看护巡查、对易偷倒建筑垃圾等各类垃圾区域要进行重点防护、巡查，对偷倒的建筑垃圾和无主垃圾等垃圾，按政府相关规定妥善处置，并在规定时限内清运、处置到位，有效减少建筑垃圾及无主垃圾偷倒情况的反复发生。</w:t>
      </w:r>
      <w:r>
        <w:rPr>
          <w:rFonts w:hint="eastAsia" w:ascii="宋体" w:hAnsi="宋体" w:eastAsia="宋体" w:cs="Times New Roman"/>
          <w:b w:val="0"/>
          <w:bCs/>
          <w:color w:val="000000"/>
          <w:sz w:val="24"/>
          <w:szCs w:val="24"/>
          <w:highlight w:val="none"/>
          <w:lang w:val="en-US" w:eastAsia="zh-CN"/>
        </w:rPr>
      </w:r>
      <w:r/>
    </w:p>
    <w:p>
      <w:pPr>
        <w:pStyle w:val="1129"/>
        <w:numPr>
          <w:ilvl w:val="0"/>
          <w:numId w:val="0"/>
        </w:numPr>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lang w:val="en-US" w:eastAsia="zh-CN" w:bidi="ar-SA"/>
        </w:rPr>
        <w:t xml:space="preserve">二、</w:t>
      </w:r>
      <w:r>
        <w:rPr>
          <w:rFonts w:hint="eastAsia" w:ascii="宋体" w:hAnsi="宋体"/>
          <w:b/>
          <w:color w:val="000000"/>
          <w:sz w:val="24"/>
          <w:szCs w:val="24"/>
          <w:highlight w:val="none"/>
          <w:lang w:eastAsia="zh-CN"/>
        </w:rPr>
        <w:t xml:space="preserve">服务</w:t>
      </w:r>
      <w:r>
        <w:rPr>
          <w:rFonts w:ascii="宋体" w:hAnsi="宋体"/>
          <w:b/>
          <w:color w:val="000000"/>
          <w:sz w:val="24"/>
          <w:szCs w:val="24"/>
          <w:highlight w:val="none"/>
        </w:rPr>
        <w:t xml:space="preserve">要求</w:t>
      </w:r>
      <w:r>
        <w:rPr>
          <w:rFonts w:ascii="宋体" w:hAnsi="宋体"/>
          <w:b/>
          <w:color w:val="000000"/>
          <w:sz w:val="24"/>
          <w:szCs w:val="24"/>
          <w:highlight w:val="none"/>
        </w:rPr>
      </w:r>
      <w:r/>
    </w:p>
    <w:p>
      <w:pPr>
        <w:pStyle w:val="1129"/>
        <w:numPr>
          <w:ilvl w:val="0"/>
          <w:numId w:val="0"/>
        </w:numPr>
        <w:contextualSpacing/>
        <w:ind w:left="-2" w:firstLine="480"/>
        <w:spacing w:line="360" w:lineRule="auto"/>
        <w:tabs>
          <w:tab w:val="left" w:pos="567" w:leader="none"/>
        </w:tabs>
        <w:rPr>
          <w:rFonts w:hint="eastAsia" w:ascii="宋体" w:hAnsi="宋体" w:eastAsia="宋体" w:cs="宋体"/>
          <w:bCs/>
          <w:color w:val="000000"/>
          <w:sz w:val="24"/>
          <w:szCs w:val="24"/>
          <w:highlight w:val="none"/>
          <w:lang w:eastAsia="zh-CN"/>
        </w:rPr>
      </w:pPr>
      <w:r>
        <w:rPr>
          <w:rFonts w:hint="eastAsia" w:ascii="宋体" w:hAnsi="宋体" w:eastAsia="宋体" w:cs="Times New Roman"/>
          <w:b w:val="0"/>
          <w:bCs/>
          <w:color w:val="000000"/>
          <w:sz w:val="24"/>
          <w:szCs w:val="24"/>
          <w:highlight w:val="none"/>
          <w:lang w:val="en-US" w:eastAsia="zh-CN" w:bidi="ar-SA"/>
        </w:rPr>
        <w:t xml:space="preserve">1.服务期限：二年，合同一年一签。</w:t>
      </w:r>
      <w:r>
        <w:rPr>
          <w:rFonts w:hint="eastAsia" w:ascii="宋体" w:hAnsi="宋体" w:eastAsia="宋体" w:cs="宋体"/>
          <w:bCs/>
          <w:color w:val="000000"/>
          <w:sz w:val="24"/>
          <w:szCs w:val="24"/>
          <w:highlight w:val="none"/>
          <w:lang w:eastAsia="zh-CN"/>
        </w:rPr>
        <w:t xml:space="preserve">一年服务期满，经采购人考核合格后可续签下一年合同，考核不合格，采购人有权不再续签合同。</w:t>
      </w:r>
      <w:r>
        <w:rPr>
          <w:rFonts w:hint="eastAsia" w:ascii="宋体" w:hAnsi="宋体" w:eastAsia="宋体" w:cs="宋体"/>
          <w:bCs/>
          <w:color w:val="000000"/>
          <w:sz w:val="24"/>
          <w:szCs w:val="24"/>
          <w:highlight w:val="none"/>
          <w:lang w:eastAsia="zh-CN"/>
        </w:rPr>
      </w:r>
      <w:r/>
    </w:p>
    <w:p>
      <w:pPr>
        <w:pStyle w:val="1129"/>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2.付款条件（进度和方式）</w:t>
      </w:r>
      <w:r>
        <w:rPr>
          <w:rFonts w:hint="eastAsia" w:ascii="宋体" w:hAnsi="宋体" w:eastAsia="宋体" w:cs="Times New Roman"/>
          <w:b w:val="0"/>
          <w:bCs/>
          <w:color w:val="000000"/>
          <w:sz w:val="24"/>
          <w:szCs w:val="24"/>
          <w:highlight w:val="none"/>
          <w:lang w:val="en-US" w:eastAsia="zh-CN" w:bidi="ar-SA"/>
        </w:rPr>
      </w:r>
      <w:r/>
    </w:p>
    <w:p>
      <w:pPr>
        <w:pStyle w:val="1129"/>
        <w:numPr>
          <w:ilvl w:val="0"/>
          <w:numId w:val="0"/>
        </w:numPr>
        <w:contextualSpacing/>
        <w:ind w:left="-2" w:firstLine="480"/>
        <w:spacing w:line="360" w:lineRule="auto"/>
        <w:tabs>
          <w:tab w:val="left" w:pos="567" w:leader="none"/>
        </w:tabs>
        <w:rPr>
          <w:rFonts w:ascii="宋体" w:hAnsi="宋体"/>
          <w:b w:val="0"/>
          <w:bCs/>
          <w:color w:val="000000"/>
          <w:sz w:val="24"/>
          <w:szCs w:val="24"/>
          <w:highlight w:val="none"/>
          <w:lang w:val="en-US" w:eastAsia="zh-CN" w:bidi="ar-SA"/>
        </w:rPr>
      </w:pPr>
      <w:r>
        <w:rPr>
          <w:rFonts w:ascii="宋体" w:hAnsi="宋体"/>
          <w:b w:val="0"/>
          <w:bCs/>
          <w:color w:val="000000"/>
          <w:sz w:val="24"/>
          <w:szCs w:val="24"/>
          <w:highlight w:val="none"/>
          <w:lang w:val="en-US" w:eastAsia="zh-CN" w:bidi="ar-SA"/>
        </w:rPr>
        <w:t xml:space="preserve">（1）采购人根据月度考核情况汇总后按季按实支付服务费。本项目季度服务费支付金额根据最终成交金额按季平均计算支付，但考核扣款等扣除项均在当期季度服务费中按实扣除。</w:t>
      </w:r>
      <w:r>
        <w:rPr>
          <w:rFonts w:ascii="宋体" w:hAnsi="宋体"/>
          <w:b w:val="0"/>
          <w:bCs/>
          <w:color w:val="000000"/>
          <w:sz w:val="24"/>
          <w:szCs w:val="24"/>
          <w:highlight w:val="none"/>
          <w:lang w:val="en-US" w:eastAsia="zh-CN" w:bidi="ar-SA"/>
        </w:rPr>
      </w:r>
      <w:r/>
    </w:p>
    <w:p>
      <w:pPr>
        <w:pStyle w:val="1129"/>
        <w:numPr>
          <w:ilvl w:val="0"/>
          <w:numId w:val="0"/>
        </w:numPr>
        <w:contextualSpacing/>
        <w:ind w:left="-2" w:firstLine="480"/>
        <w:spacing w:line="360" w:lineRule="auto"/>
        <w:tabs>
          <w:tab w:val="left" w:pos="567" w:leader="none"/>
        </w:tabs>
        <w:rPr>
          <w:rFonts w:ascii="宋体" w:hAnsi="宋体"/>
          <w:b w:val="0"/>
          <w:bCs/>
          <w:color w:val="000000"/>
          <w:sz w:val="24"/>
          <w:szCs w:val="24"/>
          <w:highlight w:val="none"/>
          <w:lang w:val="en-US" w:eastAsia="zh-CN" w:bidi="ar-SA"/>
        </w:rPr>
      </w:pPr>
      <w:r>
        <w:rPr>
          <w:rFonts w:ascii="宋体" w:hAnsi="宋体"/>
          <w:b w:val="0"/>
          <w:bCs/>
          <w:color w:val="000000"/>
          <w:sz w:val="24"/>
          <w:szCs w:val="24"/>
          <w:highlight w:val="none"/>
          <w:lang w:val="en-US" w:eastAsia="zh-CN" w:bidi="ar-SA"/>
        </w:rPr>
        <w:t xml:space="preserve">（2）</w:t>
      </w:r>
      <w:r>
        <w:rPr>
          <w:rFonts w:hint="eastAsia" w:ascii="宋体" w:hAnsi="宋体"/>
          <w:b w:val="0"/>
          <w:bCs/>
          <w:color w:val="000000"/>
          <w:sz w:val="24"/>
          <w:szCs w:val="24"/>
          <w:highlight w:val="none"/>
          <w:lang w:val="en-US" w:eastAsia="zh-CN" w:bidi="ar-SA"/>
        </w:rPr>
        <w:t xml:space="preserve">中标人</w:t>
      </w:r>
      <w:r>
        <w:rPr>
          <w:rFonts w:ascii="宋体" w:hAnsi="宋体"/>
          <w:b w:val="0"/>
          <w:bCs/>
          <w:color w:val="000000"/>
          <w:sz w:val="24"/>
          <w:szCs w:val="24"/>
          <w:highlight w:val="none"/>
          <w:lang w:val="en-US" w:eastAsia="zh-CN" w:bidi="ar-SA"/>
        </w:rPr>
        <w:t xml:space="preserve">应于每季末与采购人确定当期应付实际服务费金额，并按要求开具有效发票，凭票向采购人付款，采购人收到发票及所需对应付款材料齐全之日起10日内向</w:t>
      </w:r>
      <w:r>
        <w:rPr>
          <w:rFonts w:hint="eastAsia" w:ascii="宋体" w:hAnsi="宋体"/>
          <w:b w:val="0"/>
          <w:bCs/>
          <w:color w:val="000000"/>
          <w:sz w:val="24"/>
          <w:szCs w:val="24"/>
          <w:highlight w:val="none"/>
          <w:lang w:val="en-US" w:eastAsia="zh-CN" w:bidi="ar-SA"/>
        </w:rPr>
        <w:t xml:space="preserve">中标人</w:t>
      </w:r>
      <w:r>
        <w:rPr>
          <w:rFonts w:ascii="宋体" w:hAnsi="宋体"/>
          <w:b w:val="0"/>
          <w:bCs/>
          <w:color w:val="000000"/>
          <w:sz w:val="24"/>
          <w:szCs w:val="24"/>
          <w:highlight w:val="none"/>
          <w:lang w:val="en-US" w:eastAsia="zh-CN" w:bidi="ar-SA"/>
        </w:rPr>
        <w:t xml:space="preserve">支付相应费用。因</w:t>
      </w:r>
      <w:r>
        <w:rPr>
          <w:rFonts w:hint="eastAsia" w:ascii="宋体" w:hAnsi="宋体"/>
          <w:b w:val="0"/>
          <w:bCs/>
          <w:color w:val="000000"/>
          <w:sz w:val="24"/>
          <w:szCs w:val="24"/>
          <w:highlight w:val="none"/>
          <w:lang w:val="en-US" w:eastAsia="zh-CN" w:bidi="ar-SA"/>
        </w:rPr>
        <w:t xml:space="preserve">中标人</w:t>
      </w:r>
      <w:r>
        <w:rPr>
          <w:rFonts w:ascii="宋体" w:hAnsi="宋体"/>
          <w:b w:val="0"/>
          <w:bCs/>
          <w:color w:val="000000"/>
          <w:sz w:val="24"/>
          <w:szCs w:val="24"/>
          <w:highlight w:val="none"/>
          <w:lang w:val="en-US" w:eastAsia="zh-CN" w:bidi="ar-SA"/>
        </w:rPr>
        <w:t xml:space="preserve">未及时提供发票及所需材料导致相应后果的，采购人不承担任何责任。</w:t>
      </w:r>
      <w:r>
        <w:rPr>
          <w:rFonts w:ascii="宋体" w:hAnsi="宋体"/>
          <w:b w:val="0"/>
          <w:bCs/>
          <w:color w:val="000000"/>
          <w:sz w:val="24"/>
          <w:szCs w:val="24"/>
          <w:highlight w:val="none"/>
          <w:lang w:val="en-US" w:eastAsia="zh-CN" w:bidi="ar-SA"/>
        </w:rPr>
      </w:r>
      <w:r/>
    </w:p>
    <w:p>
      <w:pPr>
        <w:pStyle w:val="1129"/>
        <w:numPr>
          <w:ilvl w:val="0"/>
          <w:numId w:val="0"/>
        </w:numPr>
        <w:contextualSpacing/>
        <w:ind w:left="-2" w:firstLine="482"/>
        <w:spacing w:line="360" w:lineRule="auto"/>
        <w:tabs>
          <w:tab w:val="left" w:pos="567" w:leader="none"/>
        </w:tabs>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3.报价要求</w:t>
      </w:r>
      <w:r>
        <w:rPr>
          <w:rFonts w:hint="eastAsia" w:ascii="宋体" w:hAnsi="宋体" w:eastAsia="宋体" w:cs="Times New Roman"/>
          <w:b/>
          <w:color w:val="000000"/>
          <w:sz w:val="24"/>
          <w:szCs w:val="24"/>
          <w:highlight w:val="none"/>
          <w:lang w:val="en-US" w:eastAsia="zh-CN" w:bidi="ar-SA"/>
        </w:rPr>
      </w:r>
      <w:r/>
    </w:p>
    <w:p>
      <w:pPr>
        <w:pStyle w:val="1129"/>
        <w:contextualSpacing/>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本项目报价为</w:t>
      </w:r>
      <w:r>
        <w:rPr>
          <w:rFonts w:hint="eastAsia" w:ascii="宋体" w:hAnsi="宋体" w:cs="宋体"/>
          <w:b/>
          <w:bCs/>
          <w:color w:val="000000"/>
          <w:sz w:val="24"/>
          <w:szCs w:val="24"/>
          <w:highlight w:val="none"/>
          <w:u w:val="single"/>
        </w:rPr>
        <w:t xml:space="preserve">固定总价</w:t>
      </w:r>
      <w:r>
        <w:rPr>
          <w:rFonts w:hint="eastAsia" w:ascii="宋体" w:hAnsi="宋体" w:cs="宋体"/>
          <w:color w:val="000000"/>
          <w:sz w:val="24"/>
          <w:szCs w:val="24"/>
          <w:highlight w:val="none"/>
        </w:rPr>
        <w:t xml:space="preserve">，投标总价应包括招标文件所确定的采购范围相应服务的提供、</w:t>
      </w:r>
      <w:r>
        <w:rPr>
          <w:rFonts w:hint="eastAsia" w:ascii="宋体" w:hAnsi="宋体" w:eastAsia="宋体" w:cs="宋体"/>
          <w:color w:val="000000"/>
          <w:sz w:val="24"/>
          <w:szCs w:val="24"/>
          <w:highlight w:val="none"/>
        </w:rPr>
        <w:t xml:space="preserve">员工工资、社会保险费、公积金、加班费（包括全年法定假日、双休日及职工带薪年假加班费，不包括使用人特别要求所产生的加班费）、福利费、体检费、制服费（服务人员必须统一配置工作服装）、其他人员费用支出、行政办公费、低值耗材费、固定资产折旧费、公共设施日常运行及维护、物价风险、政策性风险、合理利润、税费和规费等一切费用。如国家出台最低基本工资和最低社会保险缴纳基数标准等规定，</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应保障服务人员的基本法定待遇，但采购人并不为此支付增加的有关费用。</w:t>
      </w:r>
      <w:r>
        <w:rPr>
          <w:rFonts w:hint="eastAsia" w:ascii="宋体" w:hAnsi="宋体" w:cs="宋体"/>
          <w:color w:val="000000"/>
          <w:sz w:val="24"/>
          <w:szCs w:val="24"/>
          <w:highlight w:val="none"/>
        </w:rPr>
      </w:r>
      <w:r/>
    </w:p>
    <w:p>
      <w:pPr>
        <w:pStyle w:val="1129"/>
        <w:numPr>
          <w:ilvl w:val="0"/>
          <w:numId w:val="0"/>
        </w:numPr>
        <w:contextualSpacing/>
        <w:ind w:left="-2" w:firstLine="480"/>
        <w:spacing w:line="360" w:lineRule="auto"/>
        <w:tabs>
          <w:tab w:val="left" w:pos="567" w:leader="none"/>
        </w:tabs>
        <w:rPr>
          <w:rFonts w:ascii="宋体" w:hAnsi="宋体"/>
          <w:b w:val="0"/>
          <w:bCs/>
          <w:color w:val="000000"/>
          <w:sz w:val="24"/>
          <w:szCs w:val="24"/>
          <w:highlight w:val="none"/>
          <w:lang w:val="en-US" w:eastAsia="zh-CN" w:bidi="ar-SA"/>
        </w:rPr>
      </w:pPr>
      <w:r>
        <w:rPr>
          <w:rFonts w:hint="eastAsia" w:ascii="宋体" w:hAnsi="宋体" w:cs="宋体"/>
          <w:color w:val="000000"/>
          <w:sz w:val="24"/>
          <w:szCs w:val="24"/>
          <w:highlight w:val="none"/>
        </w:rPr>
        <w:t xml:space="preserve">报价货币为人民币，评审时以人民币为准。</w:t>
      </w:r>
      <w:r>
        <w:rPr>
          <w:rFonts w:ascii="宋体" w:hAnsi="宋体"/>
          <w:b w:val="0"/>
          <w:bCs/>
          <w:color w:val="000000"/>
          <w:sz w:val="24"/>
          <w:szCs w:val="24"/>
          <w:highlight w:val="none"/>
          <w:lang w:val="en-US" w:eastAsia="zh-CN" w:bidi="ar-SA"/>
        </w:rPr>
      </w:r>
      <w:r/>
    </w:p>
    <w:p>
      <w:pPr>
        <w:pStyle w:val="1035"/>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三、服务要求</w:t>
      </w:r>
      <w:r>
        <w:rPr>
          <w:rFonts w:hint="eastAsia" w:ascii="宋体" w:hAnsi="宋体" w:eastAsia="宋体" w:cs="宋体"/>
          <w:b/>
          <w:bCs/>
          <w:color w:val="000000"/>
          <w:sz w:val="24"/>
          <w:szCs w:val="24"/>
          <w:highlight w:val="none"/>
          <w:lang w:val="en-US" w:eastAsia="zh-CN"/>
        </w:rPr>
      </w:r>
      <w:r/>
    </w:p>
    <w:p>
      <w:pPr>
        <w:pStyle w:val="1035"/>
        <w:ind w:firstLine="490"/>
        <w:keepLines w:val="0"/>
        <w:keepNext w:val="0"/>
        <w:pageBreakBefore w:val="0"/>
        <w:spacing w:line="360" w:lineRule="auto"/>
        <w:widowControl w:val="off"/>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 xml:space="preserve">1.服务内容</w:t>
      </w:r>
      <w:r>
        <w:rPr>
          <w:rFonts w:hint="eastAsia" w:ascii="宋体" w:hAnsi="宋体" w:eastAsia="宋体" w:cs="宋体"/>
          <w:b/>
          <w:bCs/>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钟楼区永红街道辖区内道路建筑垃圾看护、巡查及无主垃圾的清运消纳，包括负责清运对永红街道辖区内的51条道路进行全天24小时看护、巡查，对易偷倒建筑垃圾等各类垃圾区域要进行重点防护、巡查，有效减少建筑垃圾及无主垃圾偷倒情况的反复发生。同时对辖区内</w:t>
      </w:r>
      <w:r>
        <w:rPr>
          <w:rFonts w:hint="eastAsia" w:ascii="宋体" w:hAnsi="宋体" w:eastAsia="宋体" w:cs="宋体"/>
          <w:color w:val="000000"/>
          <w:spacing w:val="2"/>
          <w:sz w:val="24"/>
          <w:szCs w:val="24"/>
          <w:highlight w:val="none"/>
          <w:u w:val="none"/>
          <w:lang w:val="en-US" w:eastAsia="zh-CN"/>
        </w:rPr>
        <w:t xml:space="preserve">51条</w:t>
      </w:r>
      <w:r>
        <w:rPr>
          <w:rFonts w:hint="eastAsia" w:ascii="宋体" w:hAnsi="宋体" w:eastAsia="宋体" w:cs="宋体"/>
          <w:color w:val="000000"/>
          <w:spacing w:val="2"/>
          <w:sz w:val="24"/>
          <w:szCs w:val="24"/>
          <w:highlight w:val="none"/>
          <w:u w:val="none"/>
          <w:lang w:val="en-US" w:eastAsia="zh-CN"/>
        </w:rPr>
        <w:t xml:space="preserve">道路上所有偷倒的建筑垃圾和无主垃圾等垃圾，按政府相关规定妥善处置，并在长效管理规定时限内清运、处置到位，现场必须做到干净、整洁。在一些有条件的地方设置探头等取证设施，从技术上协助有关执法部门加大对偷倒行为的查处力度。</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针对永红街道辖区内</w:t>
      </w:r>
      <w:r>
        <w:rPr>
          <w:rFonts w:hint="eastAsia" w:ascii="宋体" w:hAnsi="宋体" w:eastAsia="宋体" w:cs="宋体"/>
          <w:color w:val="000000"/>
          <w:spacing w:val="2"/>
          <w:sz w:val="24"/>
          <w:szCs w:val="24"/>
          <w:highlight w:val="none"/>
          <w:u w:val="none"/>
          <w:lang w:val="en-US" w:eastAsia="zh-CN"/>
        </w:rPr>
        <w:t xml:space="preserve">51条</w:t>
      </w:r>
      <w:r>
        <w:rPr>
          <w:rFonts w:hint="eastAsia" w:ascii="宋体" w:hAnsi="宋体" w:eastAsia="宋体" w:cs="宋体"/>
          <w:color w:val="000000"/>
          <w:spacing w:val="2"/>
          <w:sz w:val="24"/>
          <w:szCs w:val="24"/>
          <w:highlight w:val="none"/>
          <w:u w:val="none"/>
          <w:lang w:val="en-US" w:eastAsia="zh-CN"/>
        </w:rPr>
        <w:t xml:space="preserve">道路建筑垃圾看护、巡查及无主垃圾清运、消纳问题，同时保障永红街道能顺利开展日常城市长效管理工作，除上述服务项目内容外，服务内容及要求还包括以下内容：</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（1）中标人确保采购人辖区内</w:t>
      </w:r>
      <w:r>
        <w:rPr>
          <w:rFonts w:hint="eastAsia" w:ascii="宋体" w:hAnsi="宋体" w:eastAsia="宋体" w:cs="宋体"/>
          <w:color w:val="000000"/>
          <w:spacing w:val="2"/>
          <w:sz w:val="24"/>
          <w:szCs w:val="24"/>
          <w:highlight w:val="none"/>
          <w:u w:val="none"/>
          <w:lang w:val="en-US" w:eastAsia="zh-CN"/>
        </w:rPr>
        <w:t xml:space="preserve">51条</w:t>
      </w:r>
      <w:r>
        <w:rPr>
          <w:rFonts w:hint="eastAsia" w:ascii="宋体" w:hAnsi="宋体" w:eastAsia="宋体" w:cs="宋体"/>
          <w:color w:val="000000"/>
          <w:spacing w:val="2"/>
          <w:sz w:val="24"/>
          <w:szCs w:val="24"/>
          <w:highlight w:val="none"/>
          <w:u w:val="none"/>
          <w:lang w:val="en-US" w:eastAsia="zh-CN"/>
        </w:rPr>
        <w:t xml:space="preserve">道路范围内所有偷倒的建筑垃圾和无主垃圾在城市长效管理规定时限内清运、处置到位，现场必须做到干净、整洁。</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（2）中标人需合理安排人员对采购人辖区内</w:t>
      </w:r>
      <w:r>
        <w:rPr>
          <w:rFonts w:hint="eastAsia" w:ascii="宋体" w:hAnsi="宋体" w:eastAsia="宋体" w:cs="宋体"/>
          <w:color w:val="000000"/>
          <w:spacing w:val="2"/>
          <w:sz w:val="24"/>
          <w:szCs w:val="24"/>
          <w:highlight w:val="none"/>
          <w:u w:val="none"/>
          <w:lang w:val="en-US" w:eastAsia="zh-CN"/>
        </w:rPr>
        <w:t xml:space="preserve">51条</w:t>
      </w:r>
      <w:r>
        <w:rPr>
          <w:rFonts w:hint="eastAsia" w:ascii="宋体" w:hAnsi="宋体" w:eastAsia="宋体" w:cs="宋体"/>
          <w:color w:val="000000"/>
          <w:spacing w:val="2"/>
          <w:sz w:val="24"/>
          <w:szCs w:val="24"/>
          <w:highlight w:val="none"/>
          <w:u w:val="none"/>
          <w:lang w:val="en-US" w:eastAsia="zh-CN"/>
        </w:rPr>
        <w:t xml:space="preserve">道路范围内容易发生偷倒的区域进行日常看护、巡查，及时发现问题，立即整改到位。同时积极配合采购人做好偷倒行为的查处工作。</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（3）中标人无条件服从采购人在城市长效管理检查工作中的一些特殊要求（包括突击整治、24小时巡查等）。</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（4）中标人应对一些有条件设置防偷倒设施的区域施工安装防偷倒设施。</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（5）针对目前存在的问题，中标人需配备专业的清理清运设备，同时聘请专职人员对场地进行全天候不停歇的看护、管理与巡查。从多个方面入手，提升工作水平。</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（6）合同期间，中标人所用人员必须按照《劳动法》、《民法典》等规定管理，如遇到工资、工伤等纠纷问题由中标人自行解决。</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（7）合同期间，中标人要对所用人员、设备设施制定相应完善的安全保障措施计划，并报采购人备案。期间中标人所用人员、设备设施发生的安全事故由中标人自行解决。</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（8）积极配合采购人对中标人的服务工作做好日常考核。</w:t>
      </w:r>
      <w:r>
        <w:rPr>
          <w:rFonts w:hint="eastAsia" w:ascii="宋体" w:hAnsi="宋体" w:eastAsia="宋体" w:cs="宋体"/>
          <w:color w:val="000000"/>
          <w:spacing w:val="2"/>
          <w:sz w:val="24"/>
          <w:szCs w:val="24"/>
          <w:highlight w:val="none"/>
          <w:u w:val="none"/>
          <w:lang w:val="en-US" w:eastAsia="zh-CN"/>
        </w:rPr>
      </w:r>
      <w:r/>
    </w:p>
    <w:p>
      <w:pPr>
        <w:pStyle w:val="1035"/>
        <w:ind w:firstLine="490"/>
        <w:keepLines w:val="0"/>
        <w:keepNext w:val="0"/>
        <w:pageBreakBefore w:val="0"/>
        <w:spacing w:line="360" w:lineRule="auto"/>
        <w:widowControl w:val="off"/>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 xml:space="preserve">2.作业范围</w:t>
      </w:r>
      <w:r>
        <w:rPr>
          <w:rFonts w:hint="eastAsia" w:ascii="宋体" w:hAnsi="宋体" w:eastAsia="宋体" w:cs="宋体"/>
          <w:b/>
          <w:bCs/>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（1）作业范围情况表</w:t>
      </w:r>
      <w:r>
        <w:rPr>
          <w:rFonts w:hint="eastAsia" w:ascii="宋体" w:hAnsi="宋体" w:eastAsia="宋体" w:cs="宋体"/>
          <w:color w:val="000000"/>
          <w:spacing w:val="2"/>
          <w:sz w:val="24"/>
          <w:szCs w:val="24"/>
          <w:highlight w:val="none"/>
          <w:u w:val="none"/>
          <w:lang w:val="en-US" w:eastAsia="zh-CN"/>
        </w:rPr>
      </w:r>
      <w:r/>
    </w:p>
    <w:tbl>
      <w:tblPr>
        <w:tblW w:w="906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05"/>
        <w:gridCol w:w="3120"/>
        <w:gridCol w:w="4635"/>
      </w:tblGrid>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道路名称</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起始点</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劳动西路-荆川路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会馆浜路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劳动西路-木梳路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木梳路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会馆浜路-清潭路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木清路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清潭路-经纬巷</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广仁路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清潭路-迎宾路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迎宾路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兰陵北路-江南春宾馆</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清南路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迎宾路-清南桥北引坡</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中吴大道-清潭路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紫荆东路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长江中路-荆川路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紫荆西路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荆川路-龙江中路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荆川北路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清潭路-新体路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荆川东路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荆川路-长江中路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锦阳路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紫荆东路-白荡河</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草堂路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紫荆东路-白荡河</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宣塘路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紫荆西路-清潭西路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北沿街</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长江路-南运河</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怀墅路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怀墅路车库出入口-德清路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德清路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怀德中路-清潭路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东龙路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中吴大道-武进交界</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德运路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怀德北路-云祥路</w:t>
            </w:r>
            <w:r>
              <w:rPr>
                <w:rFonts w:hint="eastAsia" w:ascii="宋体" w:hAnsi="宋体" w:eastAsia="宋体" w:cs="宋体"/>
                <w:i w:val="0"/>
                <w:iCs w:val="0"/>
                <w:color w:val="000000"/>
                <w:sz w:val="24"/>
                <w:szCs w:val="24"/>
                <w:highlight w:val="none"/>
                <w:u w:val="none"/>
              </w:rPr>
            </w:r>
            <w:r/>
          </w:p>
        </w:tc>
      </w:tr>
      <w:tr>
        <w:trPr>
          <w:trHeight w:val="55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云祥路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怀德北路-德运路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中吴大道-童子河南路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vMerge w:val="restart"/>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3120" w:type="dxa"/>
            <w:vAlign w:val="center"/>
            <w:vMerge w:val="restart"/>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白云南路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童子河南路-小仓浜</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vMerge w:val="continue"/>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20" w:type="dxa"/>
            <w:vAlign w:val="center"/>
            <w:vMerge w:val="continue"/>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清潭西路-紫荆西路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慈墅路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白云路-崇圣北路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宣塘路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紫荆西路-中吴大道</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白云南路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清潭西路-紫荆西路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荆川北路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奥新华庭-怀德中路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永红路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荆川北路-德运南路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德运南路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永红路-金谷花园</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陈渡路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怀德中路-清潭西路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草堂路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荆川东路-紫荆东路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广成路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广仁路-永清北路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永清北路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广成路-清潭路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永清南路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广成路-广成路小区</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体育西路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体育花园-劳动西路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江春路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清潭路-清南桥</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荆川东路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长江中路-江春路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长江中路-上书房小区</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会馆浜路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木清路-木梳路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经纬巷</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木梳路-会馆浜路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军工路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木梳街-广景山庄</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木梳街</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清潭路-军工路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华荆路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新华路-清潭路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广成路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江春路-永清北路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沐春路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迎宾路-东方工业园区</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越友巷</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华荆路-长江中路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永红路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陈渡路-荆川北路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永红路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白云南路-陈渡路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陈岳路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白云南路-陈渡路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陈岳路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陈渡路-陈渡老桥</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木梳路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清潭路-江春路</w:t>
            </w:r>
            <w:r>
              <w:rPr>
                <w:rFonts w:hint="eastAsia" w:ascii="宋体" w:hAnsi="宋体" w:eastAsia="宋体" w:cs="宋体"/>
                <w:i w:val="0"/>
                <w:iCs w:val="0"/>
                <w:color w:val="000000"/>
                <w:sz w:val="24"/>
                <w:szCs w:val="24"/>
                <w:highlight w:val="none"/>
                <w:u w:val="none"/>
              </w:rPr>
            </w:r>
            <w:r/>
          </w:p>
        </w:tc>
      </w:tr>
    </w:tbl>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（2）采购人可根据实际情况进行工作范围的调整。</w:t>
      </w:r>
      <w:r>
        <w:rPr>
          <w:rFonts w:hint="eastAsia" w:ascii="宋体" w:hAnsi="宋体" w:eastAsia="宋体" w:cs="宋体"/>
          <w:color w:val="000000"/>
          <w:spacing w:val="2"/>
          <w:sz w:val="24"/>
          <w:szCs w:val="24"/>
          <w:highlight w:val="none"/>
          <w:u w:val="none"/>
          <w:lang w:val="en-US" w:eastAsia="zh-CN"/>
        </w:rPr>
      </w:r>
      <w:r/>
    </w:p>
    <w:p>
      <w:pPr>
        <w:pStyle w:val="1035"/>
        <w:ind w:firstLine="490"/>
        <w:keepLines w:val="0"/>
        <w:keepNext w:val="0"/>
        <w:pageBreakBefore w:val="0"/>
        <w:spacing w:line="360" w:lineRule="auto"/>
        <w:widowControl w:val="off"/>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 xml:space="preserve">（3）投标人必须承诺以下内容，投标文件中提供承诺函原件并加盖投标人公章，否则视为无效响应。</w:t>
      </w:r>
      <w:r>
        <w:rPr>
          <w:rFonts w:hint="eastAsia" w:ascii="宋体" w:hAnsi="宋体" w:eastAsia="宋体" w:cs="宋体"/>
          <w:b/>
          <w:bCs/>
          <w:color w:val="000000"/>
          <w:spacing w:val="2"/>
          <w:sz w:val="24"/>
          <w:szCs w:val="24"/>
          <w:highlight w:val="none"/>
          <w:u w:val="none"/>
          <w:lang w:val="en-US" w:eastAsia="zh-CN"/>
        </w:rPr>
      </w:r>
      <w:r/>
    </w:p>
    <w:p>
      <w:pPr>
        <w:pStyle w:val="1035"/>
        <w:ind w:firstLine="490"/>
        <w:keepLines w:val="0"/>
        <w:keepNext w:val="0"/>
        <w:pageBreakBefore w:val="0"/>
        <w:spacing w:line="360" w:lineRule="auto"/>
        <w:widowControl w:val="off"/>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 xml:space="preserve">1）具体工作范围，采购人可根据实际情况进行调整，投标人对此无条件响应。</w:t>
      </w:r>
      <w:r>
        <w:rPr>
          <w:rFonts w:hint="eastAsia" w:ascii="宋体" w:hAnsi="宋体" w:eastAsia="宋体" w:cs="宋体"/>
          <w:b/>
          <w:bCs/>
          <w:color w:val="000000"/>
          <w:spacing w:val="2"/>
          <w:sz w:val="24"/>
          <w:szCs w:val="24"/>
          <w:highlight w:val="none"/>
          <w:u w:val="none"/>
          <w:lang w:val="en-US" w:eastAsia="zh-CN"/>
        </w:rPr>
      </w:r>
      <w:r/>
    </w:p>
    <w:p>
      <w:pPr>
        <w:pStyle w:val="1035"/>
        <w:ind w:firstLine="490"/>
        <w:keepLines w:val="0"/>
        <w:keepNext w:val="0"/>
        <w:pageBreakBefore w:val="0"/>
        <w:spacing w:line="360" w:lineRule="auto"/>
        <w:widowControl w:val="off"/>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 xml:space="preserve">2）服务期内，投标人对上表内道路及调整的道路作业无条件响应并接受采购人及有关部门的考核，未按要求服务的，接受并承担相关考核罚款。</w:t>
      </w:r>
      <w:r>
        <w:rPr>
          <w:rFonts w:hint="eastAsia" w:ascii="宋体" w:hAnsi="宋体" w:eastAsia="宋体" w:cs="宋体"/>
          <w:b/>
          <w:bCs/>
          <w:color w:val="000000"/>
          <w:spacing w:val="2"/>
          <w:sz w:val="24"/>
          <w:szCs w:val="24"/>
          <w:highlight w:val="none"/>
          <w:u w:val="none"/>
          <w:lang w:val="en-US" w:eastAsia="zh-CN"/>
        </w:rPr>
      </w:r>
      <w:r/>
    </w:p>
    <w:p>
      <w:pPr>
        <w:pStyle w:val="1035"/>
        <w:ind w:firstLine="490"/>
        <w:keepLines w:val="0"/>
        <w:keepNext w:val="0"/>
        <w:pageBreakBefore w:val="0"/>
        <w:spacing w:line="360" w:lineRule="auto"/>
        <w:widowControl w:val="off"/>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 xml:space="preserve">3）服务期内，投标人对上表所列道路外可能调整新增道路的作业服务无条件响应，但服务费用不因此而增加，愿无偿承担此可能预期增加的所有费用。</w:t>
      </w:r>
      <w:r>
        <w:rPr>
          <w:rFonts w:hint="eastAsia" w:ascii="宋体" w:hAnsi="宋体" w:eastAsia="宋体" w:cs="宋体"/>
          <w:b/>
          <w:bCs/>
          <w:color w:val="000000"/>
          <w:spacing w:val="2"/>
          <w:sz w:val="24"/>
          <w:szCs w:val="24"/>
          <w:highlight w:val="none"/>
          <w:u w:val="none"/>
          <w:lang w:val="en-US" w:eastAsia="zh-CN"/>
        </w:rPr>
      </w:r>
      <w:r/>
    </w:p>
    <w:p>
      <w:pPr>
        <w:pStyle w:val="1035"/>
        <w:ind w:firstLine="490"/>
        <w:keepLines w:val="0"/>
        <w:keepNext w:val="0"/>
        <w:pageBreakBefore w:val="0"/>
        <w:spacing w:line="360" w:lineRule="auto"/>
        <w:widowControl w:val="off"/>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 xml:space="preserve">3.人员、配备设施等要求</w:t>
      </w:r>
      <w:r>
        <w:rPr>
          <w:rFonts w:hint="eastAsia" w:ascii="宋体" w:hAnsi="宋体" w:eastAsia="宋体" w:cs="宋体"/>
          <w:b/>
          <w:bCs/>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b w:val="0"/>
          <w:bCs w:val="0"/>
          <w:color w:val="000000"/>
          <w:spacing w:val="2"/>
          <w:sz w:val="24"/>
          <w:szCs w:val="24"/>
          <w:highlight w:val="none"/>
          <w:u w:val="none"/>
          <w:lang w:val="en-US" w:eastAsia="zh-CN"/>
        </w:rPr>
      </w:pPr>
      <w:r>
        <w:rPr>
          <w:rFonts w:hint="eastAsia" w:ascii="宋体" w:hAnsi="宋体" w:eastAsia="宋体" w:cs="宋体"/>
          <w:b w:val="0"/>
          <w:bCs w:val="0"/>
          <w:color w:val="000000"/>
          <w:spacing w:val="2"/>
          <w:sz w:val="24"/>
          <w:szCs w:val="24"/>
          <w:highlight w:val="none"/>
          <w:u w:val="none"/>
          <w:lang w:val="en-US" w:eastAsia="zh-CN"/>
        </w:rPr>
        <w:t xml:space="preserve">（1）人员要求</w:t>
      </w:r>
      <w:r>
        <w:rPr>
          <w:rFonts w:hint="eastAsia" w:ascii="宋体" w:hAnsi="宋体" w:eastAsia="宋体" w:cs="宋体"/>
          <w:b w:val="0"/>
          <w:bCs w:val="0"/>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b w:val="0"/>
          <w:bCs w:val="0"/>
          <w:color w:val="000000"/>
          <w:spacing w:val="2"/>
          <w:sz w:val="24"/>
          <w:szCs w:val="24"/>
          <w:highlight w:val="none"/>
          <w:u w:val="none"/>
          <w:lang w:val="en-US" w:eastAsia="zh-CN"/>
        </w:rPr>
      </w:pPr>
      <w:r>
        <w:rPr>
          <w:rFonts w:hint="eastAsia" w:ascii="宋体" w:hAnsi="宋体" w:eastAsia="宋体" w:cs="宋体"/>
          <w:b w:val="0"/>
          <w:bCs w:val="0"/>
          <w:color w:val="000000"/>
          <w:spacing w:val="2"/>
          <w:sz w:val="24"/>
          <w:szCs w:val="24"/>
          <w:highlight w:val="none"/>
          <w:u w:val="none"/>
          <w:lang w:val="en-US" w:eastAsia="zh-CN"/>
        </w:rPr>
        <w:t xml:space="preserve">1）服务范围区域内人员定员、定岗、定位、定责。必须根据本项目实际情况制定完整、合理、可行的工作安排计划安排。</w:t>
      </w:r>
      <w:r>
        <w:rPr>
          <w:rFonts w:hint="eastAsia" w:ascii="宋体" w:hAnsi="宋体" w:eastAsia="宋体" w:cs="宋体"/>
          <w:b w:val="0"/>
          <w:bCs w:val="0"/>
          <w:color w:val="000000"/>
          <w:spacing w:val="2"/>
          <w:sz w:val="24"/>
          <w:szCs w:val="24"/>
          <w:highlight w:val="none"/>
          <w:u w:val="none"/>
          <w:lang w:val="en-US" w:eastAsia="zh-CN"/>
        </w:rPr>
      </w:r>
      <w:r/>
    </w:p>
    <w:p>
      <w:pPr>
        <w:pStyle w:val="1035"/>
        <w:ind w:firstLine="490"/>
        <w:keepLines w:val="0"/>
        <w:keepNext w:val="0"/>
        <w:pageBreakBefore w:val="0"/>
        <w:spacing w:line="360" w:lineRule="auto"/>
        <w:widowControl w:val="off"/>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 xml:space="preserve">2）本项目拟投入工作人员不得低于7人，其中必须配备项目管理员1人（可兼任）。</w:t>
      </w:r>
      <w:r>
        <w:rPr>
          <w:rFonts w:hint="eastAsia" w:ascii="宋体" w:hAnsi="宋体" w:eastAsia="宋体" w:cs="宋体"/>
          <w:b/>
          <w:bCs/>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b w:val="0"/>
          <w:bCs w:val="0"/>
          <w:color w:val="000000"/>
          <w:spacing w:val="2"/>
          <w:sz w:val="24"/>
          <w:szCs w:val="24"/>
          <w:highlight w:val="none"/>
          <w:u w:val="none"/>
          <w:lang w:val="en-US" w:eastAsia="zh-CN"/>
        </w:rPr>
      </w:pPr>
      <w:r>
        <w:rPr>
          <w:rFonts w:hint="eastAsia" w:ascii="宋体" w:hAnsi="宋体" w:eastAsia="宋体" w:cs="宋体"/>
          <w:b w:val="0"/>
          <w:bCs w:val="0"/>
          <w:color w:val="000000"/>
          <w:spacing w:val="2"/>
          <w:sz w:val="24"/>
          <w:szCs w:val="24"/>
          <w:highlight w:val="none"/>
          <w:u w:val="none"/>
          <w:lang w:val="en-US" w:eastAsia="zh-CN"/>
        </w:rPr>
        <w:t xml:space="preserve">①安排白班工作人员至少为2名，对负责的道路进行白班巡查，突击整治等方式，发现有偷倒垃圾，及时通知清理人员进行清理清运。</w:t>
      </w:r>
      <w:r>
        <w:rPr>
          <w:rFonts w:hint="eastAsia" w:ascii="宋体" w:hAnsi="宋体" w:eastAsia="宋体" w:cs="宋体"/>
          <w:b w:val="0"/>
          <w:bCs w:val="0"/>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b w:val="0"/>
          <w:bCs w:val="0"/>
          <w:color w:val="000000"/>
          <w:spacing w:val="2"/>
          <w:sz w:val="24"/>
          <w:szCs w:val="24"/>
          <w:highlight w:val="none"/>
          <w:u w:val="none"/>
          <w:lang w:val="en-US" w:eastAsia="zh-CN"/>
        </w:rPr>
      </w:pPr>
      <w:r>
        <w:rPr>
          <w:rFonts w:hint="eastAsia" w:ascii="宋体" w:hAnsi="宋体" w:eastAsia="宋体" w:cs="宋体"/>
          <w:b w:val="0"/>
          <w:bCs w:val="0"/>
          <w:color w:val="000000"/>
          <w:spacing w:val="2"/>
          <w:sz w:val="24"/>
          <w:szCs w:val="24"/>
          <w:highlight w:val="none"/>
          <w:u w:val="none"/>
          <w:lang w:val="en-US" w:eastAsia="zh-CN"/>
        </w:rPr>
        <w:t xml:space="preserve">②安排晚班工作人员至少为4名，每班至少2名工作人员，对负责的道路进行夜班巡查，突击整治等方式，发现有偷倒垃圾，及时通知清理人员进行清理清运。</w:t>
      </w:r>
      <w:r>
        <w:rPr>
          <w:rFonts w:hint="eastAsia" w:ascii="宋体" w:hAnsi="宋体" w:eastAsia="宋体" w:cs="宋体"/>
          <w:b w:val="0"/>
          <w:bCs w:val="0"/>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b w:val="0"/>
          <w:bCs w:val="0"/>
          <w:color w:val="000000"/>
          <w:spacing w:val="2"/>
          <w:sz w:val="24"/>
          <w:szCs w:val="24"/>
          <w:highlight w:val="none"/>
          <w:u w:val="none"/>
          <w:lang w:val="en-US" w:eastAsia="zh-CN"/>
        </w:rPr>
      </w:pPr>
      <w:r>
        <w:rPr>
          <w:rFonts w:hint="eastAsia" w:ascii="宋体" w:hAnsi="宋体" w:eastAsia="宋体" w:cs="宋体"/>
          <w:b w:val="0"/>
          <w:bCs w:val="0"/>
          <w:color w:val="000000"/>
          <w:spacing w:val="2"/>
          <w:sz w:val="24"/>
          <w:szCs w:val="24"/>
          <w:highlight w:val="none"/>
          <w:u w:val="none"/>
          <w:lang w:val="en-US" w:eastAsia="zh-CN"/>
        </w:rPr>
        <w:t xml:space="preserve">3）在服务期限内，中标人应优先考虑录用永红街道户籍人员。采购人根据实际需要有权要求中标人增、减或临时增、减清运人员数量，中标人应无条件响应并及时调整到到位。</w:t>
      </w:r>
      <w:r>
        <w:rPr>
          <w:rFonts w:hint="eastAsia" w:ascii="宋体" w:hAnsi="宋体" w:eastAsia="宋体" w:cs="宋体"/>
          <w:b w:val="0"/>
          <w:bCs w:val="0"/>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b w:val="0"/>
          <w:bCs w:val="0"/>
          <w:color w:val="000000"/>
          <w:spacing w:val="2"/>
          <w:sz w:val="24"/>
          <w:szCs w:val="24"/>
          <w:highlight w:val="none"/>
          <w:u w:val="none"/>
          <w:lang w:val="en-US" w:eastAsia="zh-CN"/>
        </w:rPr>
      </w:pPr>
      <w:r>
        <w:rPr>
          <w:rFonts w:hint="eastAsia" w:ascii="宋体" w:hAnsi="宋体" w:eastAsia="宋体" w:cs="宋体"/>
          <w:b w:val="0"/>
          <w:bCs w:val="0"/>
          <w:color w:val="000000"/>
          <w:spacing w:val="2"/>
          <w:sz w:val="24"/>
          <w:szCs w:val="24"/>
          <w:highlight w:val="none"/>
          <w:u w:val="none"/>
          <w:lang w:val="en-US" w:eastAsia="zh-CN"/>
        </w:rPr>
        <w:t xml:space="preserve">（2）设备、设施要求</w:t>
      </w:r>
      <w:r>
        <w:rPr>
          <w:rFonts w:hint="eastAsia" w:ascii="宋体" w:hAnsi="宋体" w:eastAsia="宋体" w:cs="宋体"/>
          <w:b w:val="0"/>
          <w:bCs w:val="0"/>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b w:val="0"/>
          <w:bCs w:val="0"/>
          <w:color w:val="000000"/>
          <w:spacing w:val="2"/>
          <w:sz w:val="24"/>
          <w:szCs w:val="24"/>
          <w:highlight w:val="none"/>
          <w:u w:val="none"/>
          <w:lang w:val="en-US" w:eastAsia="zh-CN"/>
        </w:rPr>
        <w:t xml:space="preserve">1）自卸运输卡车（含驾驶员）1辆，对偷倒的建筑垃圾及时进行清运，并</w:t>
      </w:r>
      <w:r>
        <w:rPr>
          <w:rFonts w:hint="eastAsia" w:ascii="宋体" w:hAnsi="宋体" w:eastAsia="宋体" w:cs="宋体"/>
          <w:color w:val="000000"/>
          <w:spacing w:val="2"/>
          <w:sz w:val="24"/>
          <w:szCs w:val="24"/>
          <w:highlight w:val="none"/>
          <w:u w:val="none"/>
          <w:lang w:val="en-US" w:eastAsia="zh-CN"/>
        </w:rPr>
        <w:t xml:space="preserve">及时将临时堆放场地的垃圾外运至填埋场地掩埋。</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2）铲车1辆，对偷倒的建筑垃圾及时进行清理上车。</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3）巡查车辆4辆（2辆汽车及2辆电瓶车辆），巡查车辆用于工作人员对负责的道路进行24小时巡查。</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4）洗地车1辆，清运过程中抑制扬尘的污染，保护道路的清洁，保持空气的清新，维护好城市良好的环境。</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5）投标人设置合理的短驳临时堆放点，及时清运临时点垃圾，防止出现偷倒和焚烧垃圾等现象。</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6）垃圾收集、清运、处置过程中，严禁出现抛、滴、撒、漏情况。垃圾收集完成，清运车辆必须对非封闭式车厢加盖防尘篷布固定车厢，防止运输过程中有建筑垃圾倾泻（撒）、抛漏、扬尘等情况的出现。</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7）中标人必须自备垃圾最终消纳处置场所，采购人不予提供，场所必须符合城管、环保等部门要求，因中标人违规违法处置垃圾并造成不良影响的，由此产生的一切责任由中标人承担。情节严重的，采购人有权无条件终止与中标人的合作。</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（3）在服务期限内，中标人应确保作业人员的数量达到招标文件规定或双方商定的数量，对于由于任何原因造成的减员，中标人应及时补足。</w:t>
      </w:r>
      <w:r>
        <w:rPr>
          <w:rFonts w:hint="eastAsia" w:ascii="宋体" w:hAnsi="宋体" w:eastAsia="宋体" w:cs="宋体"/>
          <w:color w:val="000000"/>
          <w:spacing w:val="2"/>
          <w:sz w:val="24"/>
          <w:szCs w:val="24"/>
          <w:highlight w:val="none"/>
          <w:u w:val="none"/>
          <w:lang w:val="en-US" w:eastAsia="zh-CN"/>
        </w:rPr>
      </w:r>
      <w:r/>
    </w:p>
    <w:p>
      <w:pPr>
        <w:pStyle w:val="1035"/>
        <w:ind w:firstLine="490"/>
        <w:keepLines w:val="0"/>
        <w:keepNext w:val="0"/>
        <w:pageBreakBefore w:val="0"/>
        <w:spacing w:line="360" w:lineRule="auto"/>
        <w:widowControl w:val="off"/>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 xml:space="preserve">4.考核要求</w:t>
      </w:r>
      <w:r>
        <w:rPr>
          <w:rFonts w:hint="eastAsia" w:ascii="宋体" w:hAnsi="宋体" w:eastAsia="宋体" w:cs="宋体"/>
          <w:b/>
          <w:bCs/>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采购人会及时将日常考核中发现的问题及上级管理部门要求传达给中标人，中标人需在接到相关通知后执行相关工作。如因中标人未执行或执行不全面的，造成采购人被上级检查扣分情况，中标人要负连带责任：</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（1）在上级检查考核中，如被区检查发现每个问题扣500元，被市检查发现问题每个1分扣1000元。以此类推，扣款在每季度支付服务费时统一汇总结算，下同。</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（2）如被媒体曝光属实的，每发生一次扣1000元。</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（3）如被群众投诉及12319平台曝光属实的，每发生一次扣1000元。</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（4）街道每天组织巡查，发现问题及时告知中标人，中标人应在规定时间内整改完成，如未在规定时间内整改完成，则每一个问题扣500元。</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（5）中标人必须无条件服从采购人检查指导，做到市、区、街道专项检查少扣分、不扣分。中标人清扫保洁不符合要求的，整改不及时的，采购人有权提示、警告直至终止承包合同。</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（6）遵循采购人根据实际情况制定的其他考核标准及要求。</w:t>
      </w:r>
      <w:r>
        <w:rPr>
          <w:rFonts w:hint="eastAsia" w:ascii="宋体" w:hAnsi="宋体" w:eastAsia="宋体" w:cs="宋体"/>
          <w:color w:val="000000"/>
          <w:spacing w:val="2"/>
          <w:sz w:val="24"/>
          <w:szCs w:val="24"/>
          <w:highlight w:val="none"/>
          <w:u w:val="none"/>
          <w:lang w:val="en-US" w:eastAsia="zh-CN"/>
        </w:rPr>
      </w:r>
      <w:r/>
    </w:p>
    <w:p>
      <w:pPr>
        <w:pStyle w:val="1035"/>
        <w:ind w:firstLine="490"/>
        <w:keepLines w:val="0"/>
        <w:keepNext w:val="0"/>
        <w:pageBreakBefore w:val="0"/>
        <w:spacing w:line="360" w:lineRule="auto"/>
        <w:widowControl w:val="off"/>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 xml:space="preserve">5.其他</w:t>
      </w:r>
      <w:r>
        <w:rPr>
          <w:rFonts w:hint="eastAsia" w:ascii="宋体" w:hAnsi="宋体" w:eastAsia="宋体" w:cs="宋体"/>
          <w:b/>
          <w:bCs/>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1）如出现中标人自身管理或沟通不利使员工通过各类渠道或以其他方式对采购人的声誉造成不利影响，以及因中标人服务质量或员工素质等原因有损采购人的社会公众形象、口碑等情况，中标人必须第一时间负责将不利影响降到最低并及时妥善处理，同时承担由此造成的声誉损失后果。采购人保留从经济、法律或其他形式向中标人追究责任的权利。</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2）中标人擅自将服务合同转包、分包给第三人的或委托其他单位经营管理的，以及中标人违反法律法规、规章或其他相关规范性文件的规定，影响合同履行的，采购人有权无条件终止本项目合同而无须向中标人支付任何费用或承担其他任何责任，由此产生的经济损失和法律责任均由中标人承担。</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（3）中标人按相关要求进行作业，作业中如发生安全事故等，由其承担全部经济和法律责任。</w:t>
      </w:r>
      <w:r>
        <w:rPr>
          <w:rFonts w:hint="eastAsia" w:ascii="宋体" w:hAnsi="宋体" w:eastAsia="宋体" w:cs="宋体"/>
          <w:color w:val="000000"/>
          <w:spacing w:val="2"/>
          <w:sz w:val="24"/>
          <w:szCs w:val="24"/>
          <w:highlight w:val="none"/>
          <w:u w:val="none"/>
          <w:lang w:val="en-US" w:eastAsia="zh-CN"/>
        </w:rPr>
      </w:r>
      <w:r/>
    </w:p>
    <w:p>
      <w:pPr>
        <w:pStyle w:val="1035"/>
        <w:ind w:firstLine="490"/>
        <w:keepLines w:val="0"/>
        <w:keepNext w:val="0"/>
        <w:pageBreakBefore w:val="0"/>
        <w:spacing w:line="360" w:lineRule="auto"/>
        <w:widowControl w:val="off"/>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 xml:space="preserve">6.其他要求</w:t>
      </w:r>
      <w:r>
        <w:rPr>
          <w:rFonts w:hint="eastAsia" w:ascii="宋体" w:hAnsi="宋体" w:eastAsia="宋体" w:cs="宋体"/>
          <w:b/>
          <w:bCs/>
          <w:color w:val="000000"/>
          <w:spacing w:val="2"/>
          <w:sz w:val="24"/>
          <w:szCs w:val="24"/>
          <w:highlight w:val="none"/>
          <w:u w:val="none"/>
          <w:lang w:val="en-US" w:eastAsia="zh-CN"/>
        </w:rPr>
      </w:r>
      <w:r/>
    </w:p>
    <w:p>
      <w:pPr>
        <w:pStyle w:val="1129"/>
        <w:contextualSpacing/>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color w:val="000000"/>
          <w:sz w:val="24"/>
          <w:szCs w:val="24"/>
          <w:highlight w:val="none"/>
          <w:u w:val="single"/>
          <w:lang w:val="en-US" w:eastAsia="zh-CN"/>
        </w:rPr>
        <w:t xml:space="preserve"> 100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9"/>
        <w:numPr>
          <w:ilvl w:val="0"/>
          <w:numId w:val="0"/>
        </w:numPr>
        <w:contextualSpacing/>
        <w:ind w:left="-2" w:firstLine="482"/>
        <w:spacing w:line="360" w:lineRule="auto"/>
        <w:tabs>
          <w:tab w:val="left" w:pos="567" w:leader="none"/>
        </w:tabs>
        <w:rPr>
          <w:rFonts w:hint="eastAsia" w:ascii="宋体" w:hAnsi="宋体" w:eastAsia="宋体" w:cs="Times New Roman"/>
          <w:b/>
          <w:bCs w:val="0"/>
          <w:i/>
          <w:iCs/>
          <w:color w:val="000000"/>
          <w:sz w:val="24"/>
          <w:szCs w:val="24"/>
          <w:highlight w:val="none"/>
          <w:lang w:val="en-US" w:eastAsia="zh-CN" w:bidi="ar-SA"/>
        </w:rPr>
      </w:pPr>
      <w:r>
        <w:rPr>
          <w:rFonts w:hint="eastAsia" w:ascii="宋体" w:hAnsi="宋体" w:eastAsia="宋体" w:cs="Times New Roman"/>
          <w:b/>
          <w:bCs w:val="0"/>
          <w:i/>
          <w:iCs/>
          <w:color w:val="000000"/>
          <w:sz w:val="24"/>
          <w:szCs w:val="24"/>
          <w:highlight w:val="none"/>
          <w:lang w:val="en-US" w:eastAsia="zh-CN" w:bidi="ar-SA"/>
        </w:rPr>
      </w:r>
      <w:r/>
    </w:p>
    <w:p>
      <w:pPr>
        <w:pStyle w:val="1129"/>
        <w:contextualSpacing/>
        <w:ind w:left="-2" w:firstLine="480"/>
        <w:jc w:val="left"/>
        <w:spacing w:line="360" w:lineRule="auto"/>
        <w:tabs>
          <w:tab w:val="left" w:pos="567" w:leader="none"/>
        </w:tabs>
        <w:rPr>
          <w:rFonts w:ascii="宋体" w:hAnsi="宋体" w:cs="宋体"/>
          <w:color w:val="000000"/>
          <w:sz w:val="24"/>
          <w:szCs w:val="24"/>
          <w:highlight w:val="none"/>
          <w:lang w:val="en-US" w:eastAsia="zh-CN"/>
        </w:rPr>
      </w:pPr>
      <w:r>
        <w:rPr>
          <w:rFonts w:ascii="宋体" w:hAnsi="宋体" w:cs="宋体"/>
          <w:color w:val="000000"/>
          <w:sz w:val="24"/>
          <w:szCs w:val="24"/>
          <w:highlight w:val="none"/>
          <w:lang w:val="en-US" w:eastAsia="zh-CN"/>
        </w:rPr>
      </w:r>
      <w:r/>
    </w:p>
    <w:p>
      <w:pPr>
        <w:pStyle w:val="1129"/>
        <w:contextualSpacing/>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35"/>
        <w:spacing w:line="440" w:lineRule="exact"/>
        <w:rPr>
          <w:rFonts w:ascii="宋体" w:hAnsi="宋体"/>
          <w:b/>
          <w:color w:val="000000"/>
          <w:highlight w:val="none"/>
        </w:rPr>
      </w:pPr>
      <w:r>
        <w:rPr>
          <w:rFonts w:ascii="宋体" w:hAnsi="宋体"/>
          <w:b/>
          <w:color w:val="000000"/>
          <w:highlight w:val="none"/>
        </w:rPr>
      </w:r>
      <w:r/>
    </w:p>
    <w:p>
      <w:pPr>
        <w:pStyle w:val="1035"/>
        <w:rPr>
          <w:rFonts w:ascii="宋体" w:hAnsi="宋体"/>
          <w:bCs/>
          <w:color w:val="000000"/>
          <w:highlight w:val="none"/>
        </w:rPr>
      </w:pPr>
      <w:r>
        <w:rPr>
          <w:rFonts w:ascii="宋体" w:hAnsi="宋体"/>
          <w:bCs/>
          <w:color w:val="000000"/>
          <w:highlight w:val="none"/>
        </w:rPr>
      </w:r>
      <w:r/>
    </w:p>
    <w:p>
      <w:pPr>
        <w:pStyle w:val="1035"/>
        <w:rPr>
          <w:rFonts w:ascii="宋体" w:hAnsi="宋体"/>
          <w:color w:val="000000"/>
          <w:highlight w:val="none"/>
        </w:rPr>
      </w:pPr>
      <w:r>
        <w:rPr>
          <w:rFonts w:ascii="宋体" w:hAnsi="宋体"/>
          <w:color w:val="000000"/>
          <w:highlight w:val="none"/>
        </w:rPr>
      </w:r>
      <w:r/>
    </w:p>
    <w:p>
      <w:pPr>
        <w:pStyle w:val="1035"/>
        <w:jc w:val="center"/>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bookmarkStart w:id="813" w:name="_Toc99301425"/>
      <w:r>
        <w:rPr>
          <w:rFonts w:ascii="宋体" w:hAnsi="宋体"/>
          <w:b/>
          <w:color w:val="000000"/>
          <w:sz w:val="36"/>
          <w:szCs w:val="36"/>
          <w:highlight w:val="none"/>
        </w:rPr>
        <w:t xml:space="preserve">第六章   拟签订的合同文本</w:t>
      </w:r>
      <w:bookmarkEnd w:id="813"/>
      <w:r>
        <w:rPr>
          <w:rFonts w:ascii="宋体" w:hAnsi="宋体"/>
          <w:b/>
          <w:color w:val="000000"/>
          <w:sz w:val="36"/>
          <w:szCs w:val="36"/>
          <w:highlight w:val="none"/>
        </w:rPr>
      </w:r>
      <w:r/>
    </w:p>
    <w:p>
      <w:pPr>
        <w:pStyle w:val="1074"/>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074"/>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投标人（</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49"/>
        <w:ind w:firstLine="552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07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甲乙双方依据</w:t>
      </w:r>
      <w:r>
        <w:rPr>
          <w:rFonts w:hint="eastAsia" w:ascii="宋体" w:hAnsi="宋体" w:eastAsia="宋体" w:cs="宋体"/>
          <w:color w:val="000000"/>
          <w:sz w:val="24"/>
          <w:szCs w:val="24"/>
          <w:highlight w:val="none"/>
          <w:lang w:eastAsia="zh-CN"/>
        </w:rPr>
        <w:t xml:space="preserve">《中华人民共和国民法典》</w:t>
      </w:r>
      <w:r>
        <w:rPr>
          <w:rFonts w:hint="eastAsia" w:ascii="宋体" w:hAnsi="宋体" w:eastAsia="宋体" w:cs="宋体"/>
          <w:color w:val="000000"/>
          <w:sz w:val="24"/>
          <w:szCs w:val="24"/>
          <w:highlight w:val="none"/>
        </w:rPr>
        <w:t xml:space="preserve">以及有关法律、法规的规定，经协商一致，订立本合同，以便共同遵守。</w:t>
      </w:r>
      <w:r>
        <w:rPr>
          <w:rFonts w:hint="eastAsia" w:ascii="宋体" w:hAnsi="宋体" w:eastAsia="宋体" w:cs="宋体"/>
          <w:color w:val="000000"/>
          <w:sz w:val="24"/>
          <w:szCs w:val="24"/>
          <w:highlight w:val="none"/>
        </w:rPr>
      </w:r>
      <w:r/>
    </w:p>
    <w:p>
      <w:pPr>
        <w:pStyle w:val="1074"/>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第一条 合同标的</w:t>
      </w:r>
      <w:r>
        <w:rPr>
          <w:rFonts w:hint="eastAsia" w:ascii="宋体" w:hAnsi="宋体" w:eastAsia="宋体" w:cs="宋体"/>
          <w:b/>
          <w:color w:val="000000"/>
          <w:sz w:val="24"/>
          <w:szCs w:val="24"/>
          <w:highlight w:val="none"/>
        </w:rPr>
      </w:r>
      <w:r/>
    </w:p>
    <w:p>
      <w:pPr>
        <w:pStyle w:val="1129"/>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乙方根据甲方需求提供下列服务：</w:t>
      </w:r>
      <w:r>
        <w:rPr>
          <w:rFonts w:hint="eastAsia" w:ascii="宋体" w:hAnsi="宋体" w:eastAsia="宋体" w:cs="Times New Roman"/>
          <w:b w:val="0"/>
          <w:bCs/>
          <w:color w:val="000000"/>
          <w:sz w:val="24"/>
          <w:szCs w:val="24"/>
          <w:highlight w:val="none"/>
          <w:lang w:val="en-US" w:eastAsia="zh-CN"/>
        </w:rPr>
        <w:t xml:space="preserve">主要为街道辖区内主次道路及重点道路进行24小时看护巡查、对易偷倒建筑垃圾等各类垃圾区域要进行重点防护、巡查，对偷倒的建筑垃圾和无主垃圾等垃圾，按政府相关规定妥善处置，并在规定时限内清运、处置到位，有效减少建筑垃圾及无主垃圾偷倒情况的反复发生。</w:t>
      </w:r>
      <w:r>
        <w:rPr>
          <w:rFonts w:hint="eastAsia" w:ascii="宋体" w:hAnsi="宋体" w:eastAsia="宋体" w:cs="Times New Roman"/>
          <w:b w:val="0"/>
          <w:bCs/>
          <w:color w:val="000000"/>
          <w:sz w:val="24"/>
          <w:szCs w:val="24"/>
          <w:highlight w:val="none"/>
          <w:lang w:val="en-US" w:eastAsia="zh-CN"/>
        </w:rPr>
      </w:r>
      <w:r/>
    </w:p>
    <w:p>
      <w:pPr>
        <w:pStyle w:val="1035"/>
        <w:ind w:firstLine="484"/>
        <w:jc w:val="left"/>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系指根据合同规定乙方须承担与服务有关的所有辅助服务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74"/>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第二条 委托期限</w:t>
      </w:r>
      <w:r>
        <w:rPr>
          <w:rFonts w:hint="eastAsia" w:ascii="宋体" w:hAnsi="宋体" w:eastAsia="宋体" w:cs="宋体"/>
          <w:b/>
          <w:color w:val="000000"/>
          <w:sz w:val="24"/>
          <w:szCs w:val="24"/>
          <w:highlight w:val="none"/>
        </w:rPr>
      </w:r>
      <w:r/>
    </w:p>
    <w:p>
      <w:pPr>
        <w:pStyle w:val="107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委托期限</w:t>
      </w:r>
      <w:r>
        <w:rPr>
          <w:rFonts w:hint="eastAsia"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年，合同一年一签。一年服务期满，经甲方考核合格后可续签下一年合同</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服务期限总累计不得超过两年。考核不合格，</w:t>
      </w:r>
      <w:r>
        <w:rPr>
          <w:rFonts w:hint="eastAsia"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有权不再续签合同。</w:t>
      </w:r>
      <w:r>
        <w:rPr>
          <w:rFonts w:hint="eastAsia" w:ascii="宋体" w:hAnsi="宋体" w:eastAsia="宋体" w:cs="宋体"/>
          <w:color w:val="000000"/>
          <w:sz w:val="24"/>
          <w:szCs w:val="24"/>
          <w:highlight w:val="none"/>
        </w:rPr>
      </w:r>
      <w:r/>
    </w:p>
    <w:p>
      <w:pPr>
        <w:pStyle w:val="107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本合同为第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年合同，自</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rPr>
        <w:t xml:space="preserve">起至</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rPr>
        <w:t xml:space="preserve">止。</w:t>
      </w:r>
      <w:r>
        <w:rPr>
          <w:rFonts w:hint="eastAsia" w:ascii="宋体" w:hAnsi="宋体" w:eastAsia="宋体" w:cs="宋体"/>
          <w:color w:val="000000"/>
          <w:sz w:val="24"/>
          <w:szCs w:val="24"/>
          <w:highlight w:val="none"/>
        </w:rPr>
      </w:r>
      <w:r/>
    </w:p>
    <w:p>
      <w:pPr>
        <w:pStyle w:val="1074"/>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hAnsi="宋体" w:cs="宋体"/>
          <w:b/>
          <w:color w:val="000000"/>
          <w:sz w:val="24"/>
          <w:szCs w:val="24"/>
          <w:highlight w:val="none"/>
          <w:lang w:eastAsia="zh-CN"/>
        </w:rPr>
        <w:t xml:space="preserve">三</w:t>
      </w:r>
      <w:r>
        <w:rPr>
          <w:rFonts w:hint="eastAsia" w:ascii="宋体" w:hAnsi="宋体" w:eastAsia="宋体" w:cs="宋体"/>
          <w:b/>
          <w:color w:val="000000"/>
          <w:sz w:val="24"/>
          <w:szCs w:val="24"/>
          <w:highlight w:val="none"/>
        </w:rPr>
        <w:t xml:space="preserve">条 合同价格</w:t>
      </w:r>
      <w:r>
        <w:rPr>
          <w:rFonts w:hint="eastAsia" w:ascii="宋体" w:hAnsi="宋体" w:eastAsia="宋体" w:cs="宋体"/>
          <w:b/>
          <w:color w:val="000000"/>
          <w:sz w:val="24"/>
          <w:szCs w:val="24"/>
          <w:highlight w:val="none"/>
        </w:rPr>
      </w:r>
      <w:r/>
    </w:p>
    <w:p>
      <w:pPr>
        <w:pStyle w:val="1074"/>
        <w:ind w:firstLine="487"/>
        <w:jc w:val="left"/>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签约合同总价（人民币，下同）：</w:t>
      </w:r>
      <w:r>
        <w:rPr>
          <w:rFonts w:hint="eastAsia" w:ascii="宋体" w:hAnsi="宋体" w:eastAsia="宋体" w:cs="宋体"/>
          <w:b/>
          <w:color w:val="000000"/>
          <w:sz w:val="24"/>
          <w:szCs w:val="24"/>
          <w:highlight w:val="none"/>
          <w:u w:val="single"/>
        </w:rPr>
        <w:t xml:space="preserve">             元</w:t>
      </w:r>
      <w:r>
        <w:rPr>
          <w:rFonts w:hint="eastAsia" w:hAnsi="宋体" w:cs="宋体"/>
          <w:b/>
          <w:color w:val="000000"/>
          <w:sz w:val="24"/>
          <w:szCs w:val="24"/>
          <w:highlight w:val="none"/>
          <w:u w:val="single"/>
          <w:lang w:val="en-US" w:eastAsia="zh-CN"/>
        </w:rPr>
        <w:t xml:space="preserve">/年</w:t>
      </w:r>
      <w:r>
        <w:rPr>
          <w:rFonts w:hint="eastAsia" w:ascii="宋体" w:hAnsi="宋体" w:eastAsia="宋体" w:cs="宋体"/>
          <w:b/>
          <w:color w:val="000000"/>
          <w:sz w:val="24"/>
          <w:szCs w:val="24"/>
          <w:highlight w:val="none"/>
          <w:u w:val="single"/>
        </w:rPr>
        <w:t xml:space="preserve">（小写       元/年）</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07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本合同总价包括</w:t>
      </w:r>
      <w:r>
        <w:rPr>
          <w:rFonts w:hint="eastAsia"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szCs w:val="24"/>
          <w:highlight w:val="none"/>
        </w:rPr>
      </w:r>
      <w:r/>
    </w:p>
    <w:p>
      <w:pPr>
        <w:pStyle w:val="107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本合同总价款还包含乙方应当提供的伴随服务/售后服务费用。</w:t>
      </w:r>
      <w:r>
        <w:rPr>
          <w:rFonts w:hint="eastAsia" w:ascii="宋体" w:hAnsi="宋体" w:eastAsia="宋体" w:cs="宋体"/>
          <w:color w:val="000000"/>
          <w:sz w:val="24"/>
          <w:szCs w:val="24"/>
          <w:highlight w:val="none"/>
        </w:rPr>
      </w:r>
      <w:r/>
    </w:p>
    <w:p>
      <w:pPr>
        <w:pStyle w:val="1074"/>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hAnsi="宋体" w:cs="宋体"/>
          <w:b/>
          <w:color w:val="000000"/>
          <w:sz w:val="24"/>
          <w:szCs w:val="24"/>
          <w:highlight w:val="none"/>
          <w:lang w:eastAsia="zh-CN"/>
        </w:rPr>
        <w:t xml:space="preserve">四</w:t>
      </w:r>
      <w:r>
        <w:rPr>
          <w:rFonts w:hint="eastAsia" w:ascii="宋体" w:hAnsi="宋体" w:eastAsia="宋体" w:cs="宋体"/>
          <w:b/>
          <w:color w:val="000000"/>
          <w:sz w:val="24"/>
          <w:szCs w:val="24"/>
          <w:highlight w:val="none"/>
        </w:rPr>
        <w:t xml:space="preserve">条 组成本合同的有关文件</w:t>
      </w:r>
      <w:r>
        <w:rPr>
          <w:rFonts w:hint="eastAsia" w:ascii="宋体" w:hAnsi="宋体" w:eastAsia="宋体" w:cs="宋体"/>
          <w:b/>
          <w:color w:val="000000"/>
          <w:sz w:val="24"/>
          <w:szCs w:val="24"/>
          <w:highlight w:val="none"/>
        </w:rPr>
      </w:r>
      <w:r/>
    </w:p>
    <w:p>
      <w:pPr>
        <w:pStyle w:val="107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1074"/>
        <w:ind w:firstLine="484"/>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（编号：   ）</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7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（2）乙方提供的</w:t>
      </w:r>
      <w:r>
        <w:rPr>
          <w:rFonts w:hint="eastAsia"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（3）成交通知书；</w:t>
      </w:r>
      <w:r>
        <w:rPr>
          <w:rFonts w:hint="eastAsia" w:ascii="宋体" w:hAnsi="宋体" w:eastAsia="宋体" w:cs="宋体"/>
          <w:color w:val="000000"/>
          <w:sz w:val="24"/>
          <w:szCs w:val="24"/>
          <w:highlight w:val="none"/>
        </w:rPr>
      </w:r>
      <w:r/>
    </w:p>
    <w:p>
      <w:pPr>
        <w:pStyle w:val="1074"/>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（4）甲乙双方商定的其他文件等。</w:t>
      </w:r>
      <w:r>
        <w:rPr>
          <w:rFonts w:hint="eastAsia" w:ascii="宋体" w:hAnsi="宋体" w:eastAsia="宋体" w:cs="宋体"/>
          <w:color w:val="000000"/>
          <w:sz w:val="24"/>
          <w:szCs w:val="24"/>
          <w:highlight w:val="none"/>
        </w:rPr>
      </w:r>
      <w:r/>
    </w:p>
    <w:p>
      <w:pPr>
        <w:pStyle w:val="1035"/>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eastAsia="zh-CN"/>
        </w:rPr>
        <w:t xml:space="preserve">五</w:t>
      </w:r>
      <w:r>
        <w:rPr>
          <w:rFonts w:hint="eastAsia" w:ascii="宋体" w:hAnsi="宋体" w:eastAsia="宋体" w:cs="宋体"/>
          <w:b/>
          <w:color w:val="000000"/>
          <w:sz w:val="24"/>
          <w:szCs w:val="24"/>
          <w:highlight w:val="none"/>
        </w:rPr>
        <w:t xml:space="preserve">条 合同款结算及支付</w:t>
      </w:r>
      <w:r>
        <w:rPr>
          <w:rFonts w:hint="eastAsia" w:ascii="宋体" w:hAnsi="宋体" w:eastAsia="宋体" w:cs="宋体"/>
          <w:b/>
          <w:color w:val="000000"/>
          <w:sz w:val="24"/>
          <w:szCs w:val="24"/>
          <w:highlight w:val="none"/>
        </w:rPr>
      </w:r>
      <w:r/>
    </w:p>
    <w:p>
      <w:pPr>
        <w:pStyle w:val="1035"/>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p>
    <w:p>
      <w:pPr>
        <w:pStyle w:val="1035"/>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p>
    <w:p>
      <w:pPr>
        <w:pStyle w:val="1035"/>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3.付款方式：</w:t>
      </w:r>
      <w:r>
        <w:rPr>
          <w:rFonts w:hint="eastAsia" w:ascii="宋体" w:hAnsi="宋体" w:eastAsia="宋体" w:cs="宋体"/>
          <w:color w:val="000000"/>
          <w:sz w:val="24"/>
          <w:szCs w:val="24"/>
          <w:highlight w:val="none"/>
        </w:rPr>
      </w:r>
      <w:r/>
    </w:p>
    <w:p>
      <w:pPr>
        <w:pStyle w:val="103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根据月度考核情况汇总后按季按实支付服务费。本项目季度服务费支付金额根据最终成交金额按季平均计算支付，但考核扣款等扣除项均在当期季度服务费中按实扣除。</w:t>
      </w:r>
      <w:r>
        <w:rPr>
          <w:rFonts w:hint="eastAsia" w:ascii="宋体" w:hAnsi="宋体" w:eastAsia="宋体" w:cs="宋体"/>
          <w:bCs/>
          <w:color w:val="000000"/>
          <w:sz w:val="24"/>
          <w:szCs w:val="24"/>
          <w:highlight w:val="none"/>
        </w:rPr>
      </w:r>
      <w:r/>
    </w:p>
    <w:p>
      <w:pPr>
        <w:pStyle w:val="1035"/>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应于每季末与</w:t>
      </w:r>
      <w:r>
        <w:rPr>
          <w:rFonts w:hint="eastAsia" w:ascii="宋体" w:hAnsi="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确定当期应付实际服务费金额，并按要求开具有效发票，凭票向</w:t>
      </w:r>
      <w:r>
        <w:rPr>
          <w:rFonts w:hint="eastAsia" w:ascii="宋体" w:hAnsi="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付款，</w:t>
      </w:r>
      <w:r>
        <w:rPr>
          <w:rFonts w:hint="eastAsia" w:ascii="宋体" w:hAnsi="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收到发票及所需对应付款材料齐全之日起10日内向</w:t>
      </w:r>
      <w:r>
        <w:rPr>
          <w:rFonts w:hint="eastAsia" w:ascii="宋体" w:hAnsi="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支付相应费用。因</w:t>
      </w:r>
      <w:r>
        <w:rPr>
          <w:rFonts w:hint="eastAsia" w:ascii="宋体" w:hAnsi="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未及时提供发票及所需材料导致相应后果的，</w:t>
      </w:r>
      <w:r>
        <w:rPr>
          <w:rFonts w:hint="eastAsia" w:ascii="宋体" w:hAnsi="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不承担任何责任。</w:t>
      </w:r>
      <w:r>
        <w:rPr>
          <w:rFonts w:hint="eastAsia" w:ascii="宋体" w:hAnsi="宋体" w:eastAsia="宋体" w:cs="宋体"/>
          <w:color w:val="000000"/>
          <w:sz w:val="24"/>
          <w:szCs w:val="24"/>
          <w:highlight w:val="none"/>
        </w:rPr>
      </w:r>
      <w:r/>
    </w:p>
    <w:p>
      <w:pPr>
        <w:pStyle w:val="1035"/>
        <w:ind w:firstLine="487"/>
        <w:keepLines w:val="0"/>
        <w:keepNext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条 服务内容</w:t>
      </w:r>
      <w:r>
        <w:rPr>
          <w:rFonts w:hint="eastAsia" w:ascii="宋体" w:hAnsi="宋体" w:cs="宋体"/>
          <w:b/>
          <w:color w:val="000000"/>
          <w:sz w:val="24"/>
          <w:szCs w:val="24"/>
          <w:highlight w:val="none"/>
          <w:lang w:val="en-US" w:eastAsia="zh-CN"/>
        </w:rPr>
        <w:t xml:space="preserve">及要求</w:t>
      </w:r>
      <w:r>
        <w:rPr>
          <w:rFonts w:hint="eastAsia" w:ascii="宋体" w:hAnsi="宋体" w:eastAsia="宋体" w:cs="宋体"/>
          <w:b/>
          <w:color w:val="000000"/>
          <w:sz w:val="24"/>
          <w:szCs w:val="24"/>
          <w:highlight w:val="none"/>
          <w:lang w:val="en-US" w:eastAsia="zh-CN"/>
        </w:rPr>
      </w:r>
      <w:r/>
    </w:p>
    <w:p>
      <w:pPr>
        <w:pStyle w:val="1035"/>
        <w:ind w:firstLine="490"/>
        <w:keepLines w:val="0"/>
        <w:keepNext w:val="0"/>
        <w:pageBreakBefore w:val="0"/>
        <w:spacing w:line="360" w:lineRule="auto"/>
        <w:widowControl w:val="off"/>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 xml:space="preserve">1.服务内容</w:t>
      </w:r>
      <w:r>
        <w:rPr>
          <w:rFonts w:hint="eastAsia" w:ascii="宋体" w:hAnsi="宋体" w:eastAsia="宋体" w:cs="宋体"/>
          <w:b/>
          <w:bCs/>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钟楼区永红街道辖区内道路建筑垃圾看护、巡查及无主垃圾的清运消纳，包括负责清运对永红街道辖区内的51条道路进行全天24小时看护、巡查，对易偷倒建筑垃圾等各类垃圾区域要进行重点防护、巡查，有效减少建筑垃圾及无主垃圾偷倒情况的反复发生。同时对辖区内</w:t>
      </w:r>
      <w:r>
        <w:rPr>
          <w:rFonts w:hint="eastAsia" w:ascii="宋体" w:hAnsi="宋体" w:eastAsia="宋体" w:cs="宋体"/>
          <w:color w:val="000000"/>
          <w:spacing w:val="2"/>
          <w:sz w:val="24"/>
          <w:szCs w:val="24"/>
          <w:highlight w:val="none"/>
          <w:u w:val="none"/>
          <w:lang w:val="en-US" w:eastAsia="zh-CN"/>
        </w:rPr>
        <w:t xml:space="preserve">51条</w:t>
      </w:r>
      <w:r>
        <w:rPr>
          <w:rFonts w:hint="eastAsia" w:ascii="宋体" w:hAnsi="宋体" w:eastAsia="宋体" w:cs="宋体"/>
          <w:color w:val="000000"/>
          <w:spacing w:val="2"/>
          <w:sz w:val="24"/>
          <w:szCs w:val="24"/>
          <w:highlight w:val="none"/>
          <w:u w:val="none"/>
          <w:lang w:val="en-US" w:eastAsia="zh-CN"/>
        </w:rPr>
        <w:t xml:space="preserve">道路上所有偷倒的建筑垃圾和无主垃圾等垃圾，按政府相关规定妥善处置，并在长效管理规定时限内清运、处置到位，现场必须做到干净、整洁。在一些有条件的地方设置探头等取证设施，从技术上协助有关执法部门加大对偷倒行为的查处力度。</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针对永红街道辖区内</w:t>
      </w:r>
      <w:r>
        <w:rPr>
          <w:rFonts w:hint="eastAsia" w:ascii="宋体" w:hAnsi="宋体" w:eastAsia="宋体" w:cs="宋体"/>
          <w:color w:val="000000"/>
          <w:spacing w:val="2"/>
          <w:sz w:val="24"/>
          <w:szCs w:val="24"/>
          <w:highlight w:val="none"/>
          <w:u w:val="none"/>
          <w:lang w:val="en-US" w:eastAsia="zh-CN"/>
        </w:rPr>
        <w:t xml:space="preserve">51条</w:t>
      </w:r>
      <w:r>
        <w:rPr>
          <w:rFonts w:hint="eastAsia" w:ascii="宋体" w:hAnsi="宋体" w:eastAsia="宋体" w:cs="宋体"/>
          <w:color w:val="000000"/>
          <w:spacing w:val="2"/>
          <w:sz w:val="24"/>
          <w:szCs w:val="24"/>
          <w:highlight w:val="none"/>
          <w:u w:val="none"/>
          <w:lang w:val="en-US" w:eastAsia="zh-CN"/>
        </w:rPr>
        <w:t xml:space="preserve">道路建筑垃圾看护、巡查及无主垃圾清运、消纳问题，同时保障永红街道能顺利开展日常城市长效管理工作，除上述服务项目内容外，服务内容及要求还包括以下内容：</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（1）</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确保</w:t>
      </w: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辖区内</w:t>
      </w:r>
      <w:r>
        <w:rPr>
          <w:rFonts w:hint="eastAsia" w:ascii="宋体" w:hAnsi="宋体" w:eastAsia="宋体" w:cs="宋体"/>
          <w:color w:val="000000"/>
          <w:spacing w:val="2"/>
          <w:sz w:val="24"/>
          <w:szCs w:val="24"/>
          <w:highlight w:val="none"/>
          <w:u w:val="none"/>
          <w:lang w:val="en-US" w:eastAsia="zh-CN"/>
        </w:rPr>
        <w:t xml:space="preserve">51条</w:t>
      </w:r>
      <w:r>
        <w:rPr>
          <w:rFonts w:hint="eastAsia" w:ascii="宋体" w:hAnsi="宋体" w:eastAsia="宋体" w:cs="宋体"/>
          <w:color w:val="000000"/>
          <w:spacing w:val="2"/>
          <w:sz w:val="24"/>
          <w:szCs w:val="24"/>
          <w:highlight w:val="none"/>
          <w:u w:val="none"/>
          <w:lang w:val="en-US" w:eastAsia="zh-CN"/>
        </w:rPr>
        <w:t xml:space="preserve">道路范围内所有偷倒的建筑垃圾和无主垃圾在城市长效管理规定时限内清运、处置到位，现场必须做到干净、整洁。</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（2）</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需合理安排人员对</w:t>
      </w: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辖区内</w:t>
      </w:r>
      <w:r>
        <w:rPr>
          <w:rFonts w:hint="eastAsia" w:ascii="宋体" w:hAnsi="宋体" w:eastAsia="宋体" w:cs="宋体"/>
          <w:color w:val="000000"/>
          <w:spacing w:val="2"/>
          <w:sz w:val="24"/>
          <w:szCs w:val="24"/>
          <w:highlight w:val="none"/>
          <w:u w:val="none"/>
          <w:lang w:val="en-US" w:eastAsia="zh-CN"/>
        </w:rPr>
        <w:t xml:space="preserve">51条</w:t>
      </w:r>
      <w:r>
        <w:rPr>
          <w:rFonts w:hint="eastAsia" w:ascii="宋体" w:hAnsi="宋体" w:eastAsia="宋体" w:cs="宋体"/>
          <w:color w:val="000000"/>
          <w:spacing w:val="2"/>
          <w:sz w:val="24"/>
          <w:szCs w:val="24"/>
          <w:highlight w:val="none"/>
          <w:u w:val="none"/>
          <w:lang w:val="en-US" w:eastAsia="zh-CN"/>
        </w:rPr>
        <w:t xml:space="preserve">道路范围内容易发生偷倒的区域进行日常看护、巡查，及时发现问题，立即整改到位。同时积极配合</w:t>
      </w: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做好偷倒行为的查处工作。</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（3）</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无条件服从</w:t>
      </w: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在城市长效管理检查工作中的一些其他要求（包括作业范围外其他道路24小时巡查等）。</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（4）</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应对一些有条件设置防偷倒设施的区域施工安装防偷倒设施。</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（5）针对目前存在的问题，</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需配备专业的清理清运设备，同时聘请专职人员对场地进行全天候不停歇的看护、管理与巡查。从多个方面入手，提升工作水平。</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（6）合同期间，</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所用人员必须按照《劳动法》、《民法典》等规定管理，如遇到工资、工伤等纠纷问题由</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自行解决。</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（7）合同期间，</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要对所用人员、设备设施制定相应完善的安全保障措施计划，并报</w:t>
      </w: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备案。期间</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所用人员、设备设施发生的安全事故由</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自行解决。</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（8）积极配合</w:t>
      </w: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对</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的服务工作做好日常考核。</w:t>
      </w:r>
      <w:r>
        <w:rPr>
          <w:rFonts w:hint="eastAsia" w:ascii="宋体" w:hAnsi="宋体" w:eastAsia="宋体" w:cs="宋体"/>
          <w:color w:val="000000"/>
          <w:spacing w:val="2"/>
          <w:sz w:val="24"/>
          <w:szCs w:val="24"/>
          <w:highlight w:val="none"/>
          <w:u w:val="none"/>
          <w:lang w:val="en-US" w:eastAsia="zh-CN"/>
        </w:rPr>
      </w:r>
      <w:r/>
    </w:p>
    <w:p>
      <w:pPr>
        <w:pStyle w:val="1035"/>
        <w:ind w:firstLine="490"/>
        <w:keepLines w:val="0"/>
        <w:keepNext w:val="0"/>
        <w:pageBreakBefore w:val="0"/>
        <w:spacing w:line="360" w:lineRule="auto"/>
        <w:widowControl w:val="off"/>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 xml:space="preserve">2.作业范围</w:t>
      </w:r>
      <w:r>
        <w:rPr>
          <w:rFonts w:hint="eastAsia" w:ascii="宋体" w:hAnsi="宋体" w:eastAsia="宋体" w:cs="宋体"/>
          <w:b/>
          <w:bCs/>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（1）作业范围情况表</w:t>
      </w:r>
      <w:r>
        <w:rPr>
          <w:rFonts w:hint="eastAsia" w:ascii="宋体" w:hAnsi="宋体" w:eastAsia="宋体" w:cs="宋体"/>
          <w:color w:val="000000"/>
          <w:spacing w:val="2"/>
          <w:sz w:val="24"/>
          <w:szCs w:val="24"/>
          <w:highlight w:val="none"/>
          <w:u w:val="none"/>
          <w:lang w:val="en-US" w:eastAsia="zh-CN"/>
        </w:rPr>
      </w:r>
      <w:r/>
    </w:p>
    <w:tbl>
      <w:tblPr>
        <w:tblW w:w="906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05"/>
        <w:gridCol w:w="3120"/>
        <w:gridCol w:w="4635"/>
      </w:tblGrid>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道路名称</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起始点</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劳动西路-荆川路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会馆浜路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劳动西路-木梳路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木梳路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会馆浜路-清潭路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木清路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清潭路-经纬巷</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广仁路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清潭路-迎宾路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迎宾路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兰陵北路-江南春宾馆</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清南路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迎宾路-清南桥北引坡</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中吴大道-清潭路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紫荆东路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长江中路-荆川路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紫荆西路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荆川路-龙江中路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荆川北路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清潭路-新体路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荆川东路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荆川路-长江中路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锦阳路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紫荆东路-白荡河</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草堂路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紫荆东路-白荡河</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宣塘路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紫荆西路-清潭西路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北沿街</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长江路-南运河</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怀墅路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怀墅路车库出入口-德清路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德清路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怀德中路-清潭路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东龙路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中吴大道-武进交界</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德运路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怀德北路-云祥路</w:t>
            </w:r>
            <w:r>
              <w:rPr>
                <w:rFonts w:hint="eastAsia" w:ascii="宋体" w:hAnsi="宋体" w:eastAsia="宋体" w:cs="宋体"/>
                <w:i w:val="0"/>
                <w:iCs w:val="0"/>
                <w:color w:val="000000"/>
                <w:sz w:val="24"/>
                <w:szCs w:val="24"/>
                <w:highlight w:val="none"/>
                <w:u w:val="none"/>
              </w:rPr>
            </w:r>
            <w:r/>
          </w:p>
        </w:tc>
      </w:tr>
      <w:tr>
        <w:trPr>
          <w:trHeight w:val="55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云祥路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怀德北路-德运路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中吴大道-童子河南路</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vMerge w:val="restart"/>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3120" w:type="dxa"/>
            <w:vAlign w:val="center"/>
            <w:vMerge w:val="restart"/>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白云南路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童子河南路-小仓浜</w:t>
            </w:r>
            <w:r>
              <w:rPr>
                <w:rFonts w:hint="eastAsia" w:ascii="宋体" w:hAnsi="宋体" w:eastAsia="宋体" w:cs="宋体"/>
                <w:i w:val="0"/>
                <w:iCs w:val="0"/>
                <w:color w:val="000000"/>
                <w:sz w:val="24"/>
                <w:szCs w:val="24"/>
                <w:highlight w:val="none"/>
                <w:u w:val="none"/>
              </w:rPr>
            </w:r>
            <w:r/>
          </w:p>
        </w:tc>
      </w:tr>
      <w:tr>
        <w:trPr>
          <w:trHeight w:val="499"/>
        </w:trPr>
        <w:tc>
          <w:tcPr>
            <w:tcW w:w="1305" w:type="dxa"/>
            <w:vAlign w:val="center"/>
            <w:vMerge w:val="continue"/>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120" w:type="dxa"/>
            <w:vAlign w:val="center"/>
            <w:vMerge w:val="continue"/>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清潭西路-紫荆西路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慈墅路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白云路-崇圣北路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宣塘路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紫荆西路-中吴大道</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白云南路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清潭西路-紫荆西路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荆川北路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奥新华庭-怀德中路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永红路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荆川北路-德运南路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德运南路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永红路-金谷花园</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陈渡路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怀德中路-清潭西路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草堂路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荆川东路-紫荆东路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广成路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广仁路-永清北路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永清北路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广成路-清潭路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永清南路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广成路-广成路小区</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体育西路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体育花园-劳动西路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江春路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清潭路-清南桥</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荆川东路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长江中路-江春路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长江中路-上书房小区</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会馆浜路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木清路-木梳路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经纬巷</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木梳路-会馆浜路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军工路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木梳街-广景山庄</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木梳街</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清潭路-军工路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华荆路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新华路-清潭路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广成路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江春路-永清北路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沐春路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迎宾路-东方工业园区</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越友巷</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华荆路-长江中路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永红路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陈渡路-荆川北路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永红路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白云南路-陈渡路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陈岳路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白云南路-陈渡路</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陈岳路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陈渡路-陈渡老桥</w:t>
            </w:r>
            <w:r>
              <w:rPr>
                <w:rFonts w:hint="eastAsia" w:ascii="宋体" w:hAnsi="宋体" w:eastAsia="宋体" w:cs="宋体"/>
                <w:i w:val="0"/>
                <w:iCs w:val="0"/>
                <w:color w:val="000000"/>
                <w:sz w:val="24"/>
                <w:szCs w:val="24"/>
                <w:highlight w:val="none"/>
                <w:u w:val="none"/>
              </w:rPr>
            </w:r>
            <w:r/>
          </w:p>
        </w:tc>
      </w:tr>
      <w:tr>
        <w:trPr>
          <w:trHeight w:val="270"/>
        </w:trPr>
        <w:tc>
          <w:tcPr>
            <w:tcW w:w="130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3120"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木梳路</w:t>
            </w:r>
            <w:r>
              <w:rPr>
                <w:rFonts w:hint="eastAsia" w:ascii="宋体" w:hAnsi="宋体" w:eastAsia="宋体" w:cs="宋体"/>
                <w:i w:val="0"/>
                <w:iCs w:val="0"/>
                <w:color w:val="000000"/>
                <w:sz w:val="24"/>
                <w:szCs w:val="24"/>
                <w:highlight w:val="none"/>
                <w:u w:val="none"/>
              </w:rPr>
            </w:r>
            <w:r/>
          </w:p>
        </w:tc>
        <w:tc>
          <w:tcPr>
            <w:tcW w:w="4635" w:type="dxa"/>
            <w:vAlign w:val="center"/>
            <w:textDirection w:val="lrTb"/>
            <w:noWrap/>
          </w:tcPr>
          <w:p>
            <w:pPr>
              <w:pStyle w:val="1035"/>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清潭路-江春路</w:t>
            </w:r>
            <w:r>
              <w:rPr>
                <w:rFonts w:hint="eastAsia" w:ascii="宋体" w:hAnsi="宋体" w:eastAsia="宋体" w:cs="宋体"/>
                <w:i w:val="0"/>
                <w:iCs w:val="0"/>
                <w:color w:val="000000"/>
                <w:sz w:val="24"/>
                <w:szCs w:val="24"/>
                <w:highlight w:val="none"/>
                <w:u w:val="none"/>
              </w:rPr>
            </w:r>
            <w:r/>
          </w:p>
        </w:tc>
      </w:tr>
    </w:tbl>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（2）</w:t>
      </w: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可根据实际情况进行工作范围的调整。</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（3）具体工作范围，甲方可根据实际情况进行调整，乙方对此无条件响应。</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（4）服务期内，乙方对上表内道路及调整的道路作业无条件响应并接受甲方及有关部门的考核，未按要求服务的，接受并承担相关考核罚款。</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（5）服务期内，乙方对上表所列道路外可能调整新增道路的作业服务无条件响应，但服务费用不因此而增加，愿无偿承担此可能预期增加的所有费用。</w:t>
      </w:r>
      <w:r>
        <w:rPr>
          <w:rFonts w:hint="eastAsia" w:ascii="宋体" w:hAnsi="宋体" w:eastAsia="宋体" w:cs="宋体"/>
          <w:color w:val="000000"/>
          <w:spacing w:val="2"/>
          <w:sz w:val="24"/>
          <w:szCs w:val="24"/>
          <w:highlight w:val="none"/>
          <w:u w:val="none"/>
          <w:lang w:val="en-US" w:eastAsia="zh-CN"/>
        </w:rPr>
      </w:r>
      <w:r/>
    </w:p>
    <w:p>
      <w:pPr>
        <w:pStyle w:val="1035"/>
        <w:ind w:firstLine="490"/>
        <w:keepLines w:val="0"/>
        <w:keepNext w:val="0"/>
        <w:pageBreakBefore w:val="0"/>
        <w:spacing w:line="360" w:lineRule="auto"/>
        <w:widowControl w:val="off"/>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 xml:space="preserve">3.人员、配备设施等要求</w:t>
      </w:r>
      <w:r>
        <w:rPr>
          <w:rFonts w:hint="eastAsia" w:ascii="宋体" w:hAnsi="宋体" w:eastAsia="宋体" w:cs="宋体"/>
          <w:b/>
          <w:bCs/>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b w:val="0"/>
          <w:bCs w:val="0"/>
          <w:color w:val="000000"/>
          <w:spacing w:val="2"/>
          <w:sz w:val="24"/>
          <w:szCs w:val="24"/>
          <w:highlight w:val="none"/>
          <w:u w:val="none"/>
          <w:lang w:val="en-US" w:eastAsia="zh-CN"/>
        </w:rPr>
      </w:pPr>
      <w:r>
        <w:rPr>
          <w:rFonts w:hint="eastAsia" w:ascii="宋体" w:hAnsi="宋体" w:eastAsia="宋体" w:cs="宋体"/>
          <w:b w:val="0"/>
          <w:bCs w:val="0"/>
          <w:color w:val="000000"/>
          <w:spacing w:val="2"/>
          <w:sz w:val="24"/>
          <w:szCs w:val="24"/>
          <w:highlight w:val="none"/>
          <w:u w:val="none"/>
          <w:lang w:val="en-US" w:eastAsia="zh-CN"/>
        </w:rPr>
        <w:t xml:space="preserve">（1）人员要求</w:t>
      </w:r>
      <w:r>
        <w:rPr>
          <w:rFonts w:hint="eastAsia" w:ascii="宋体" w:hAnsi="宋体" w:eastAsia="宋体" w:cs="宋体"/>
          <w:b w:val="0"/>
          <w:bCs w:val="0"/>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b w:val="0"/>
          <w:bCs w:val="0"/>
          <w:color w:val="000000"/>
          <w:spacing w:val="2"/>
          <w:sz w:val="24"/>
          <w:szCs w:val="24"/>
          <w:highlight w:val="none"/>
          <w:u w:val="none"/>
          <w:lang w:val="en-US" w:eastAsia="zh-CN"/>
        </w:rPr>
      </w:pPr>
      <w:r>
        <w:rPr>
          <w:rFonts w:hint="eastAsia" w:ascii="宋体" w:hAnsi="宋体" w:eastAsia="宋体" w:cs="宋体"/>
          <w:b w:val="0"/>
          <w:bCs w:val="0"/>
          <w:color w:val="000000"/>
          <w:spacing w:val="2"/>
          <w:sz w:val="24"/>
          <w:szCs w:val="24"/>
          <w:highlight w:val="none"/>
          <w:u w:val="none"/>
          <w:lang w:val="en-US" w:eastAsia="zh-CN"/>
        </w:rPr>
        <w:t xml:space="preserve">1）服务范围区域内人员定员、定岗、定位、定责。必须根据本项目实际情况制定完整、合理、可行的工作安排计划安排。</w:t>
      </w:r>
      <w:r>
        <w:rPr>
          <w:rFonts w:hint="eastAsia" w:ascii="宋体" w:hAnsi="宋体" w:eastAsia="宋体" w:cs="宋体"/>
          <w:b w:val="0"/>
          <w:bCs w:val="0"/>
          <w:color w:val="000000"/>
          <w:spacing w:val="2"/>
          <w:sz w:val="24"/>
          <w:szCs w:val="24"/>
          <w:highlight w:val="none"/>
          <w:u w:val="none"/>
          <w:lang w:val="en-US" w:eastAsia="zh-CN"/>
        </w:rPr>
      </w:r>
      <w:r/>
    </w:p>
    <w:p>
      <w:pPr>
        <w:pStyle w:val="1035"/>
        <w:ind w:firstLine="490"/>
        <w:keepLines w:val="0"/>
        <w:keepNext w:val="0"/>
        <w:pageBreakBefore w:val="0"/>
        <w:spacing w:line="360" w:lineRule="auto"/>
        <w:widowControl w:val="off"/>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 xml:space="preserve">2）本项目拟投入工作人员不得低于7人，其中必须配备项目管理员1人（可兼任）。</w:t>
      </w:r>
      <w:r>
        <w:rPr>
          <w:rFonts w:hint="eastAsia" w:ascii="宋体" w:hAnsi="宋体" w:eastAsia="宋体" w:cs="宋体"/>
          <w:b/>
          <w:bCs/>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b w:val="0"/>
          <w:bCs w:val="0"/>
          <w:color w:val="000000"/>
          <w:spacing w:val="2"/>
          <w:sz w:val="24"/>
          <w:szCs w:val="24"/>
          <w:highlight w:val="none"/>
          <w:u w:val="none"/>
          <w:lang w:val="en-US" w:eastAsia="zh-CN"/>
        </w:rPr>
      </w:pPr>
      <w:r>
        <w:rPr>
          <w:rFonts w:hint="eastAsia" w:ascii="宋体" w:hAnsi="宋体" w:eastAsia="宋体" w:cs="宋体"/>
          <w:b w:val="0"/>
          <w:bCs w:val="0"/>
          <w:color w:val="000000"/>
          <w:spacing w:val="2"/>
          <w:sz w:val="24"/>
          <w:szCs w:val="24"/>
          <w:highlight w:val="none"/>
          <w:u w:val="none"/>
          <w:lang w:val="en-US" w:eastAsia="zh-CN"/>
        </w:rPr>
        <w:t xml:space="preserve">①安排白班工作人员至少为2名，对负责的道路进行白班巡查，突击整治等方式，发现有偷倒垃圾，及时通知清理人员进行清理清运。</w:t>
      </w:r>
      <w:r>
        <w:rPr>
          <w:rFonts w:hint="eastAsia" w:ascii="宋体" w:hAnsi="宋体" w:eastAsia="宋体" w:cs="宋体"/>
          <w:b w:val="0"/>
          <w:bCs w:val="0"/>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b w:val="0"/>
          <w:bCs w:val="0"/>
          <w:color w:val="000000"/>
          <w:spacing w:val="2"/>
          <w:sz w:val="24"/>
          <w:szCs w:val="24"/>
          <w:highlight w:val="none"/>
          <w:u w:val="none"/>
          <w:lang w:val="en-US" w:eastAsia="zh-CN"/>
        </w:rPr>
      </w:pPr>
      <w:r>
        <w:rPr>
          <w:rFonts w:hint="eastAsia" w:ascii="宋体" w:hAnsi="宋体" w:eastAsia="宋体" w:cs="宋体"/>
          <w:b w:val="0"/>
          <w:bCs w:val="0"/>
          <w:color w:val="000000"/>
          <w:spacing w:val="2"/>
          <w:sz w:val="24"/>
          <w:szCs w:val="24"/>
          <w:highlight w:val="none"/>
          <w:u w:val="none"/>
          <w:lang w:val="en-US" w:eastAsia="zh-CN"/>
        </w:rPr>
        <w:t xml:space="preserve">②安排晚班工作人员至少为4名，每班至少2名工作人员，对负责的道路进行夜班巡查，突击整治等方式，发现有偷倒垃圾，及时通知清理人员进行清理清运。</w:t>
      </w:r>
      <w:r>
        <w:rPr>
          <w:rFonts w:hint="eastAsia" w:ascii="宋体" w:hAnsi="宋体" w:eastAsia="宋体" w:cs="宋体"/>
          <w:b w:val="0"/>
          <w:bCs w:val="0"/>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b w:val="0"/>
          <w:bCs w:val="0"/>
          <w:color w:val="000000"/>
          <w:spacing w:val="2"/>
          <w:sz w:val="24"/>
          <w:szCs w:val="24"/>
          <w:highlight w:val="none"/>
          <w:u w:val="none"/>
          <w:lang w:val="en-US" w:eastAsia="zh-CN"/>
        </w:rPr>
      </w:pPr>
      <w:r>
        <w:rPr>
          <w:rFonts w:hint="eastAsia" w:ascii="宋体" w:hAnsi="宋体" w:eastAsia="宋体" w:cs="宋体"/>
          <w:b w:val="0"/>
          <w:bCs w:val="0"/>
          <w:color w:val="000000"/>
          <w:spacing w:val="2"/>
          <w:sz w:val="24"/>
          <w:szCs w:val="24"/>
          <w:highlight w:val="none"/>
          <w:u w:val="none"/>
          <w:lang w:val="en-US" w:eastAsia="zh-CN"/>
        </w:rPr>
        <w:t xml:space="preserve">3）在服务期限内，</w:t>
      </w:r>
      <w:r>
        <w:rPr>
          <w:rFonts w:hint="eastAsia" w:ascii="宋体" w:hAnsi="宋体" w:cs="宋体"/>
          <w:b w:val="0"/>
          <w:bCs w:val="0"/>
          <w:color w:val="000000"/>
          <w:spacing w:val="2"/>
          <w:sz w:val="24"/>
          <w:szCs w:val="24"/>
          <w:highlight w:val="none"/>
          <w:u w:val="none"/>
          <w:lang w:val="en-US" w:eastAsia="zh-CN"/>
        </w:rPr>
        <w:t xml:space="preserve">乙方</w:t>
      </w:r>
      <w:r>
        <w:rPr>
          <w:rFonts w:hint="eastAsia" w:ascii="宋体" w:hAnsi="宋体" w:eastAsia="宋体" w:cs="宋体"/>
          <w:b w:val="0"/>
          <w:bCs w:val="0"/>
          <w:color w:val="000000"/>
          <w:spacing w:val="2"/>
          <w:sz w:val="24"/>
          <w:szCs w:val="24"/>
          <w:highlight w:val="none"/>
          <w:u w:val="none"/>
          <w:lang w:val="en-US" w:eastAsia="zh-CN"/>
        </w:rPr>
        <w:t xml:space="preserve">应优先考虑录用永红街道户籍人员。</w:t>
      </w:r>
      <w:r>
        <w:rPr>
          <w:rFonts w:hint="eastAsia" w:ascii="宋体" w:hAnsi="宋体" w:cs="宋体"/>
          <w:b w:val="0"/>
          <w:bCs w:val="0"/>
          <w:color w:val="000000"/>
          <w:spacing w:val="2"/>
          <w:sz w:val="24"/>
          <w:szCs w:val="24"/>
          <w:highlight w:val="none"/>
          <w:u w:val="none"/>
          <w:lang w:val="en-US" w:eastAsia="zh-CN"/>
        </w:rPr>
        <w:t xml:space="preserve">甲方</w:t>
      </w:r>
      <w:r>
        <w:rPr>
          <w:rFonts w:hint="eastAsia" w:ascii="宋体" w:hAnsi="宋体" w:eastAsia="宋体" w:cs="宋体"/>
          <w:b w:val="0"/>
          <w:bCs w:val="0"/>
          <w:color w:val="000000"/>
          <w:spacing w:val="2"/>
          <w:sz w:val="24"/>
          <w:szCs w:val="24"/>
          <w:highlight w:val="none"/>
          <w:u w:val="none"/>
          <w:lang w:val="en-US" w:eastAsia="zh-CN"/>
        </w:rPr>
        <w:t xml:space="preserve">根据实际需要有权要求</w:t>
      </w:r>
      <w:r>
        <w:rPr>
          <w:rFonts w:hint="eastAsia" w:ascii="宋体" w:hAnsi="宋体" w:cs="宋体"/>
          <w:b w:val="0"/>
          <w:bCs w:val="0"/>
          <w:color w:val="000000"/>
          <w:spacing w:val="2"/>
          <w:sz w:val="24"/>
          <w:szCs w:val="24"/>
          <w:highlight w:val="none"/>
          <w:u w:val="none"/>
          <w:lang w:val="en-US" w:eastAsia="zh-CN"/>
        </w:rPr>
        <w:t xml:space="preserve">乙方</w:t>
      </w:r>
      <w:r>
        <w:rPr>
          <w:rFonts w:hint="eastAsia" w:ascii="宋体" w:hAnsi="宋体" w:eastAsia="宋体" w:cs="宋体"/>
          <w:b w:val="0"/>
          <w:bCs w:val="0"/>
          <w:color w:val="000000"/>
          <w:spacing w:val="2"/>
          <w:sz w:val="24"/>
          <w:szCs w:val="24"/>
          <w:highlight w:val="none"/>
          <w:u w:val="none"/>
          <w:lang w:val="en-US" w:eastAsia="zh-CN"/>
        </w:rPr>
        <w:t xml:space="preserve">增、减或临时增、减清运人员数量，</w:t>
      </w:r>
      <w:r>
        <w:rPr>
          <w:rFonts w:hint="eastAsia" w:ascii="宋体" w:hAnsi="宋体" w:cs="宋体"/>
          <w:b w:val="0"/>
          <w:bCs w:val="0"/>
          <w:color w:val="000000"/>
          <w:spacing w:val="2"/>
          <w:sz w:val="24"/>
          <w:szCs w:val="24"/>
          <w:highlight w:val="none"/>
          <w:u w:val="none"/>
          <w:lang w:val="en-US" w:eastAsia="zh-CN"/>
        </w:rPr>
        <w:t xml:space="preserve">乙方</w:t>
      </w:r>
      <w:r>
        <w:rPr>
          <w:rFonts w:hint="eastAsia" w:ascii="宋体" w:hAnsi="宋体" w:eastAsia="宋体" w:cs="宋体"/>
          <w:b w:val="0"/>
          <w:bCs w:val="0"/>
          <w:color w:val="000000"/>
          <w:spacing w:val="2"/>
          <w:sz w:val="24"/>
          <w:szCs w:val="24"/>
          <w:highlight w:val="none"/>
          <w:u w:val="none"/>
          <w:lang w:val="en-US" w:eastAsia="zh-CN"/>
        </w:rPr>
        <w:t xml:space="preserve">应无条件响应并及时调整到到位。</w:t>
      </w:r>
      <w:r>
        <w:rPr>
          <w:rFonts w:hint="eastAsia" w:ascii="宋体" w:hAnsi="宋体" w:eastAsia="宋体" w:cs="宋体"/>
          <w:b w:val="0"/>
          <w:bCs w:val="0"/>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b w:val="0"/>
          <w:bCs w:val="0"/>
          <w:color w:val="000000"/>
          <w:spacing w:val="2"/>
          <w:sz w:val="24"/>
          <w:szCs w:val="24"/>
          <w:highlight w:val="none"/>
          <w:u w:val="none"/>
          <w:lang w:val="en-US" w:eastAsia="zh-CN"/>
        </w:rPr>
      </w:pPr>
      <w:r>
        <w:rPr>
          <w:rFonts w:hint="eastAsia" w:ascii="宋体" w:hAnsi="宋体" w:eastAsia="宋体" w:cs="宋体"/>
          <w:b w:val="0"/>
          <w:bCs w:val="0"/>
          <w:color w:val="000000"/>
          <w:spacing w:val="2"/>
          <w:sz w:val="24"/>
          <w:szCs w:val="24"/>
          <w:highlight w:val="none"/>
          <w:u w:val="none"/>
          <w:lang w:val="en-US" w:eastAsia="zh-CN"/>
        </w:rPr>
        <w:t xml:space="preserve">（2）设备、设施要求</w:t>
      </w:r>
      <w:r>
        <w:rPr>
          <w:rFonts w:hint="eastAsia" w:ascii="宋体" w:hAnsi="宋体" w:eastAsia="宋体" w:cs="宋体"/>
          <w:b w:val="0"/>
          <w:bCs w:val="0"/>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b w:val="0"/>
          <w:bCs w:val="0"/>
          <w:color w:val="000000"/>
          <w:spacing w:val="2"/>
          <w:sz w:val="24"/>
          <w:szCs w:val="24"/>
          <w:highlight w:val="none"/>
          <w:u w:val="none"/>
          <w:lang w:val="en-US" w:eastAsia="zh-CN"/>
        </w:rPr>
        <w:t xml:space="preserve">1）自卸运输卡车（含驾驶员）1辆，对偷倒的建筑垃圾及时进行清运，并</w:t>
      </w:r>
      <w:r>
        <w:rPr>
          <w:rFonts w:hint="eastAsia" w:ascii="宋体" w:hAnsi="宋体" w:eastAsia="宋体" w:cs="宋体"/>
          <w:color w:val="000000"/>
          <w:spacing w:val="2"/>
          <w:sz w:val="24"/>
          <w:szCs w:val="24"/>
          <w:highlight w:val="none"/>
          <w:u w:val="none"/>
          <w:lang w:val="en-US" w:eastAsia="zh-CN"/>
        </w:rPr>
        <w:t xml:space="preserve">及时将临时堆放场地的垃圾外运至填埋场地掩埋。</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2）铲车1辆，对偷倒的建筑垃圾及时进行清理上车。</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3）巡查车辆4辆（2辆汽车及2辆电瓶车辆），巡查车辆用于工作人员对负责的道路进行24小时巡查。</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4）洗地车1辆，清运过程中抑制扬尘的污染，保护道路的清洁，保持空气的清新，维护好城市良好的环境。</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5）投标人设置合理的短驳临时堆放点，及时清运临时点垃圾，防止出现偷倒和焚烧垃圾等现象。</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6）垃圾收集、清运、处置过程中，严禁出现抛、滴、撒、漏情况。垃圾收集完成，清运车辆必须对非封闭式车厢加盖防尘篷布固定车厢，防止运输过程中有建筑垃圾倾泻（撒）、抛漏、扬尘等情况的出现。</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7）</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必须自备垃圾最终消纳处置场所，</w:t>
      </w: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不予提供，场所必须符合城管、环保等部门要求，因</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违规违法处置垃圾并造成不良影响的，由此产生的一切责任由</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承担。情节严重的，</w:t>
      </w: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有权无条件终止与</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的合作。</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（3）在服务期限内，</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应确保作业人员的数量达到招标文件规定或双方商定的数量，对于由于任何原因造成的减员，</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应及时补足。</w:t>
      </w:r>
      <w:r>
        <w:rPr>
          <w:rFonts w:hint="eastAsia" w:ascii="宋体" w:hAnsi="宋体" w:eastAsia="宋体" w:cs="宋体"/>
          <w:color w:val="000000"/>
          <w:spacing w:val="2"/>
          <w:sz w:val="24"/>
          <w:szCs w:val="24"/>
          <w:highlight w:val="none"/>
          <w:u w:val="none"/>
          <w:lang w:val="en-US" w:eastAsia="zh-CN"/>
        </w:rPr>
      </w:r>
      <w:r/>
    </w:p>
    <w:p>
      <w:pPr>
        <w:pStyle w:val="1035"/>
        <w:ind w:firstLine="490"/>
        <w:keepLines w:val="0"/>
        <w:keepNext w:val="0"/>
        <w:pageBreakBefore w:val="0"/>
        <w:spacing w:line="360" w:lineRule="auto"/>
        <w:widowControl w:val="off"/>
        <w:rPr>
          <w:rFonts w:hint="eastAsia" w:ascii="宋体" w:hAnsi="宋体" w:eastAsia="宋体" w:cs="宋体"/>
          <w:b/>
          <w:bCs/>
          <w:color w:val="000000"/>
          <w:spacing w:val="2"/>
          <w:sz w:val="24"/>
          <w:szCs w:val="24"/>
          <w:highlight w:val="none"/>
          <w:u w:val="none"/>
          <w:lang w:val="en-US" w:eastAsia="zh-CN"/>
        </w:rPr>
      </w:pPr>
      <w:r>
        <w:rPr>
          <w:rFonts w:hint="eastAsia" w:ascii="宋体" w:hAnsi="宋体" w:eastAsia="宋体" w:cs="宋体"/>
          <w:b/>
          <w:bCs/>
          <w:color w:val="000000"/>
          <w:spacing w:val="2"/>
          <w:sz w:val="24"/>
          <w:szCs w:val="24"/>
          <w:highlight w:val="none"/>
          <w:u w:val="none"/>
          <w:lang w:val="en-US" w:eastAsia="zh-CN"/>
        </w:rPr>
        <w:t xml:space="preserve">4.其他</w:t>
      </w:r>
      <w:r>
        <w:rPr>
          <w:rFonts w:hint="eastAsia" w:ascii="宋体" w:hAnsi="宋体" w:eastAsia="宋体" w:cs="宋体"/>
          <w:b/>
          <w:bCs/>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（1）如出现</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自身管理或沟通不利使员工通过各类渠道或以其他方式对</w:t>
      </w: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的声誉造成不利影响，以及因</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服务质量或员工素质等原因有损</w:t>
      </w: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的社会公众形象、口碑等情况，</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必须第一时间负责将不利影响降到最低并及时妥善处理，同时承担由此造成的声誉损失后果。</w:t>
      </w: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保留从经济、法律或其他形式向</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追究责任的权利。</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（2）</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擅自将服务合同转包、分包给第三人的或委托其他单位经营管理的，以及</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违反法律法规、规章或其他相关规范性文件的规定，影响合同履行的，</w:t>
      </w: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有权无条件终止本项目合同而无须向</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支付任何费用或承担其他任何责任，由此产生的经济损失和法律责任均由</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承担。</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（3）</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按相关要求进行作业，作业中如发生安全事故等，由其承担全部经济和法律责任。</w:t>
      </w:r>
      <w:r>
        <w:rPr>
          <w:rFonts w:hint="eastAsia" w:ascii="宋体" w:hAnsi="宋体" w:eastAsia="宋体" w:cs="宋体"/>
          <w:color w:val="000000"/>
          <w:spacing w:val="2"/>
          <w:sz w:val="24"/>
          <w:szCs w:val="24"/>
          <w:highlight w:val="none"/>
          <w:u w:val="none"/>
          <w:lang w:val="en-US" w:eastAsia="zh-CN"/>
        </w:rPr>
      </w:r>
      <w:r/>
    </w:p>
    <w:p>
      <w:pPr>
        <w:pStyle w:val="1035"/>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条 </w:t>
      </w:r>
      <w:r>
        <w:rPr>
          <w:rFonts w:hint="eastAsia" w:ascii="宋体" w:hAnsi="宋体" w:eastAsia="宋体" w:cs="宋体"/>
          <w:b/>
          <w:bCs/>
          <w:color w:val="000000"/>
          <w:spacing w:val="2"/>
          <w:sz w:val="24"/>
          <w:szCs w:val="24"/>
          <w:highlight w:val="none"/>
          <w:u w:val="none"/>
          <w:lang w:val="en-US" w:eastAsia="zh-CN"/>
        </w:rPr>
        <w:t xml:space="preserve">考核要求</w:t>
      </w:r>
      <w:r>
        <w:rPr>
          <w:rFonts w:hint="eastAsia" w:ascii="宋体" w:hAnsi="宋体" w:eastAsia="宋体" w:cs="宋体"/>
          <w:b/>
          <w:color w:val="000000"/>
          <w:sz w:val="24"/>
          <w:szCs w:val="24"/>
          <w:highlight w:val="none"/>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会及时将日常考核中发现的问题及上级管理部门要求传达给</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需在接到相关通知后执行相关工作。如因</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未执行或执行不全面的，造成</w:t>
      </w: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被上级检查扣分情况，</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要负连带责任：</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（1）在上级检查考核中，如被区检查发现问题每个扣500元，被市检查发现问题每个扣1000元。以此类推，扣款在每季度支付服务费时统一汇总结算，下同。</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（2）如被媒体曝光属实的，每发生一次扣1000元。</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（3）如被群众投诉及12319平台曝光属实的，每发生一次扣1000元。</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（4）街道每天组织巡查，发现问题及时告知</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应在规定时间内整改完成，如未在规定时间内整改完成，则每一个问题扣500元。</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（5）</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必须无条件服从</w:t>
      </w: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检查指导，做到市、区、街道专项检查少扣分、不扣分。</w:t>
      </w:r>
      <w:r>
        <w:rPr>
          <w:rFonts w:hint="eastAsia" w:ascii="宋体" w:hAnsi="宋体" w:cs="宋体"/>
          <w:color w:val="000000"/>
          <w:spacing w:val="2"/>
          <w:sz w:val="24"/>
          <w:szCs w:val="24"/>
          <w:highlight w:val="none"/>
          <w:u w:val="none"/>
          <w:lang w:val="en-US" w:eastAsia="zh-CN"/>
        </w:rPr>
        <w:t xml:space="preserve">乙方</w:t>
      </w:r>
      <w:r>
        <w:rPr>
          <w:rFonts w:hint="eastAsia" w:ascii="宋体" w:hAnsi="宋体" w:eastAsia="宋体" w:cs="宋体"/>
          <w:color w:val="000000"/>
          <w:spacing w:val="2"/>
          <w:sz w:val="24"/>
          <w:szCs w:val="24"/>
          <w:highlight w:val="none"/>
          <w:u w:val="none"/>
          <w:lang w:val="en-US" w:eastAsia="zh-CN"/>
        </w:rPr>
        <w:t xml:space="preserve">清扫保洁不符合要求的，整改不及时的，</w:t>
      </w: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有权提示、警告直至终止承包合同。</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（6）遵循</w:t>
      </w:r>
      <w:r>
        <w:rPr>
          <w:rFonts w:hint="eastAsia" w:ascii="宋体" w:hAnsi="宋体" w:cs="宋体"/>
          <w:color w:val="000000"/>
          <w:spacing w:val="2"/>
          <w:sz w:val="24"/>
          <w:szCs w:val="24"/>
          <w:highlight w:val="none"/>
          <w:u w:val="none"/>
          <w:lang w:val="en-US" w:eastAsia="zh-CN"/>
        </w:rPr>
        <w:t xml:space="preserve">甲方</w:t>
      </w:r>
      <w:r>
        <w:rPr>
          <w:rFonts w:hint="eastAsia" w:ascii="宋体" w:hAnsi="宋体" w:eastAsia="宋体" w:cs="宋体"/>
          <w:color w:val="000000"/>
          <w:spacing w:val="2"/>
          <w:sz w:val="24"/>
          <w:szCs w:val="24"/>
          <w:highlight w:val="none"/>
          <w:u w:val="none"/>
          <w:lang w:val="en-US" w:eastAsia="zh-CN"/>
        </w:rPr>
        <w:t xml:space="preserve">根据实际情况制定的其他考核标准及要求。</w:t>
      </w:r>
      <w:r>
        <w:rPr>
          <w:rFonts w:hint="eastAsia" w:ascii="宋体" w:hAnsi="宋体" w:eastAsia="宋体" w:cs="宋体"/>
          <w:color w:val="000000"/>
          <w:spacing w:val="2"/>
          <w:sz w:val="24"/>
          <w:szCs w:val="24"/>
          <w:highlight w:val="none"/>
          <w:u w:val="none"/>
          <w:lang w:val="en-US" w:eastAsia="zh-CN"/>
        </w:rPr>
      </w:r>
      <w:r/>
    </w:p>
    <w:p>
      <w:pPr>
        <w:pStyle w:val="1035"/>
        <w:ind w:firstLine="487"/>
        <w:keepLines w:val="0"/>
        <w:keepNext w:val="0"/>
        <w:pageBreakBefore w:val="0"/>
        <w:spacing w:line="360" w:lineRule="auto"/>
        <w:rPr>
          <w:rFonts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条 </w:t>
      </w:r>
      <w:r>
        <w:rPr>
          <w:rFonts w:hint="eastAsia" w:ascii="宋体" w:hAnsi="宋体" w:cs="宋体"/>
          <w:b/>
          <w:bCs/>
          <w:color w:val="000000"/>
          <w:spacing w:val="2"/>
          <w:sz w:val="24"/>
          <w:szCs w:val="24"/>
          <w:highlight w:val="none"/>
          <w:u w:val="none"/>
          <w:lang w:val="en-US" w:eastAsia="zh-CN"/>
        </w:rPr>
        <w:t xml:space="preserve">双方责任</w:t>
      </w:r>
      <w:r>
        <w:rPr>
          <w:rFonts w:ascii="宋体" w:hAnsi="宋体" w:eastAsia="宋体" w:cs="宋体"/>
          <w:b/>
          <w:color w:val="000000"/>
          <w:sz w:val="24"/>
          <w:szCs w:val="24"/>
          <w:highlight w:val="none"/>
          <w:lang w:val="en-US"/>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cs="宋体"/>
          <w:color w:val="000000"/>
          <w:spacing w:val="2"/>
          <w:sz w:val="24"/>
          <w:szCs w:val="24"/>
          <w:highlight w:val="none"/>
          <w:u w:val="none"/>
          <w:lang w:val="en-US" w:eastAsia="zh-CN"/>
        </w:rPr>
        <w:t xml:space="preserve">（一）</w:t>
      </w:r>
      <w:r>
        <w:rPr>
          <w:rFonts w:hint="eastAsia" w:ascii="宋体" w:hAnsi="宋体" w:eastAsia="宋体" w:cs="宋体"/>
          <w:color w:val="000000"/>
          <w:spacing w:val="2"/>
          <w:sz w:val="24"/>
          <w:szCs w:val="24"/>
          <w:highlight w:val="none"/>
          <w:u w:val="none"/>
          <w:lang w:val="en-US" w:eastAsia="zh-CN"/>
        </w:rPr>
        <w:t xml:space="preserve">甲方责任</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1</w:t>
      </w:r>
      <w:r>
        <w:rPr>
          <w:rFonts w:hint="eastAsia" w:ascii="宋体" w:hAnsi="宋体" w:cs="宋体"/>
          <w:color w:val="000000"/>
          <w:spacing w:val="2"/>
          <w:sz w:val="24"/>
          <w:szCs w:val="24"/>
          <w:highlight w:val="none"/>
          <w:u w:val="none"/>
          <w:lang w:val="en-US" w:eastAsia="zh-CN"/>
        </w:rPr>
        <w:t xml:space="preserve">.</w:t>
      </w:r>
      <w:r>
        <w:rPr>
          <w:rFonts w:hint="eastAsia" w:ascii="宋体" w:hAnsi="宋体" w:eastAsia="宋体" w:cs="宋体"/>
          <w:color w:val="000000"/>
          <w:spacing w:val="2"/>
          <w:sz w:val="24"/>
          <w:szCs w:val="24"/>
          <w:highlight w:val="none"/>
          <w:u w:val="none"/>
          <w:lang w:val="en-US" w:eastAsia="zh-CN"/>
        </w:rPr>
        <w:t xml:space="preserve">及时办理付款手续。协助乙方办理有关事宜。</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2</w:t>
      </w:r>
      <w:r>
        <w:rPr>
          <w:rFonts w:hint="eastAsia" w:ascii="宋体" w:hAnsi="宋体" w:cs="宋体"/>
          <w:color w:val="000000"/>
          <w:spacing w:val="2"/>
          <w:sz w:val="24"/>
          <w:szCs w:val="24"/>
          <w:highlight w:val="none"/>
          <w:u w:val="none"/>
          <w:lang w:val="en-US" w:eastAsia="zh-CN"/>
        </w:rPr>
        <w:t xml:space="preserve">.</w:t>
      </w:r>
      <w:r>
        <w:rPr>
          <w:rFonts w:hint="eastAsia" w:ascii="宋体" w:hAnsi="宋体" w:eastAsia="宋体" w:cs="宋体"/>
          <w:color w:val="000000"/>
          <w:spacing w:val="2"/>
          <w:sz w:val="24"/>
          <w:szCs w:val="24"/>
          <w:highlight w:val="none"/>
          <w:u w:val="none"/>
          <w:lang w:val="en-US" w:eastAsia="zh-CN"/>
        </w:rPr>
        <w:t xml:space="preserve">对合同条款及所知悉的乙方商业秘密负有保密义务。</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cs="宋体"/>
          <w:color w:val="000000"/>
          <w:spacing w:val="2"/>
          <w:sz w:val="24"/>
          <w:szCs w:val="24"/>
          <w:highlight w:val="none"/>
          <w:u w:val="none"/>
          <w:lang w:val="en-US" w:eastAsia="zh-CN"/>
        </w:rPr>
        <w:t xml:space="preserve">（二）</w:t>
      </w:r>
      <w:r>
        <w:rPr>
          <w:rFonts w:hint="eastAsia" w:ascii="宋体" w:hAnsi="宋体" w:eastAsia="宋体" w:cs="宋体"/>
          <w:color w:val="000000"/>
          <w:spacing w:val="2"/>
          <w:sz w:val="24"/>
          <w:szCs w:val="24"/>
          <w:highlight w:val="none"/>
          <w:u w:val="none"/>
          <w:lang w:val="en-US" w:eastAsia="zh-CN"/>
        </w:rPr>
        <w:t xml:space="preserve">乙方责任</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1</w:t>
      </w:r>
      <w:r>
        <w:rPr>
          <w:rFonts w:hint="eastAsia" w:ascii="宋体" w:hAnsi="宋体" w:cs="宋体"/>
          <w:color w:val="000000"/>
          <w:spacing w:val="2"/>
          <w:sz w:val="24"/>
          <w:szCs w:val="24"/>
          <w:highlight w:val="none"/>
          <w:u w:val="none"/>
          <w:lang w:val="en-US" w:eastAsia="zh-CN"/>
        </w:rPr>
        <w:t xml:space="preserve">.</w:t>
      </w:r>
      <w:r>
        <w:rPr>
          <w:rFonts w:hint="eastAsia" w:ascii="宋体" w:hAnsi="宋体" w:eastAsia="宋体" w:cs="宋体"/>
          <w:color w:val="000000"/>
          <w:spacing w:val="2"/>
          <w:sz w:val="24"/>
          <w:szCs w:val="24"/>
          <w:highlight w:val="none"/>
          <w:u w:val="none"/>
          <w:lang w:val="en-US" w:eastAsia="zh-CN"/>
        </w:rPr>
        <w:t xml:space="preserve">保证所提供服务为响应文件承诺服务，符合相关法律法规规定并且满足甲方的需求，保证其配套项目服务符合相关要求。</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2</w:t>
      </w:r>
      <w:r>
        <w:rPr>
          <w:rFonts w:hint="eastAsia" w:ascii="宋体" w:hAnsi="宋体" w:cs="宋体"/>
          <w:color w:val="000000"/>
          <w:spacing w:val="2"/>
          <w:sz w:val="24"/>
          <w:szCs w:val="24"/>
          <w:highlight w:val="none"/>
          <w:u w:val="none"/>
          <w:lang w:val="en-US" w:eastAsia="zh-CN"/>
        </w:rPr>
        <w:t xml:space="preserve">.</w:t>
      </w:r>
      <w:r>
        <w:rPr>
          <w:rFonts w:hint="eastAsia" w:ascii="宋体" w:hAnsi="宋体" w:eastAsia="宋体" w:cs="宋体"/>
          <w:color w:val="000000"/>
          <w:spacing w:val="2"/>
          <w:sz w:val="24"/>
          <w:szCs w:val="24"/>
          <w:highlight w:val="none"/>
          <w:u w:val="none"/>
          <w:lang w:val="en-US" w:eastAsia="zh-CN"/>
        </w:rPr>
        <w:t xml:space="preserve">保证所提供服务严格依据招标文件、响应文件及相关承诺，保证本项目服务质量。合同期间制定监督巡查工作检查计划和检查标准，制度项目部项目检查管理制度。</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3</w:t>
      </w:r>
      <w:r>
        <w:rPr>
          <w:rFonts w:hint="eastAsia" w:ascii="宋体" w:hAnsi="宋体" w:cs="宋体"/>
          <w:color w:val="000000"/>
          <w:spacing w:val="2"/>
          <w:sz w:val="24"/>
          <w:szCs w:val="24"/>
          <w:highlight w:val="none"/>
          <w:u w:val="none"/>
          <w:lang w:val="en-US" w:eastAsia="zh-CN"/>
        </w:rPr>
        <w:t xml:space="preserve">.</w:t>
      </w:r>
      <w:r>
        <w:rPr>
          <w:rFonts w:hint="eastAsia" w:ascii="宋体" w:hAnsi="宋体" w:eastAsia="宋体" w:cs="宋体"/>
          <w:color w:val="000000"/>
          <w:spacing w:val="2"/>
          <w:sz w:val="24"/>
          <w:szCs w:val="24"/>
          <w:highlight w:val="none"/>
          <w:u w:val="none"/>
          <w:lang w:val="en-US" w:eastAsia="zh-CN"/>
        </w:rPr>
        <w:t xml:space="preserve">保证其所供服务不存在侵犯第三方知识产权的行为，否则由此产生的损失由乙方承担。</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4</w:t>
      </w:r>
      <w:r>
        <w:rPr>
          <w:rFonts w:hint="eastAsia" w:ascii="宋体" w:hAnsi="宋体" w:cs="宋体"/>
          <w:color w:val="000000"/>
          <w:spacing w:val="2"/>
          <w:sz w:val="24"/>
          <w:szCs w:val="24"/>
          <w:highlight w:val="none"/>
          <w:u w:val="none"/>
          <w:lang w:val="en-US" w:eastAsia="zh-CN"/>
        </w:rPr>
        <w:t xml:space="preserve">.</w:t>
      </w:r>
      <w:r>
        <w:rPr>
          <w:rFonts w:hint="eastAsia" w:ascii="宋体" w:hAnsi="宋体" w:eastAsia="宋体" w:cs="宋体"/>
          <w:color w:val="000000"/>
          <w:spacing w:val="2"/>
          <w:sz w:val="24"/>
          <w:szCs w:val="24"/>
          <w:highlight w:val="none"/>
          <w:u w:val="none"/>
          <w:lang w:val="en-US" w:eastAsia="zh-CN"/>
        </w:rPr>
        <w:t xml:space="preserve">保证未出现借用资质、转包或违法分包情形的，出现该情形，另行向甲方承担本合同总价款的20%的违约金。</w:t>
      </w:r>
      <w:r>
        <w:rPr>
          <w:rFonts w:hint="eastAsia" w:ascii="宋体" w:hAnsi="宋体" w:eastAsia="宋体" w:cs="宋体"/>
          <w:color w:val="000000"/>
          <w:spacing w:val="2"/>
          <w:sz w:val="24"/>
          <w:szCs w:val="24"/>
          <w:highlight w:val="none"/>
          <w:u w:val="none"/>
          <w:lang w:val="en-US" w:eastAsia="zh-CN"/>
        </w:rPr>
      </w:r>
      <w:r/>
    </w:p>
    <w:p>
      <w:pPr>
        <w:pStyle w:val="1035"/>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pPr>
      <w:r>
        <w:rPr>
          <w:rFonts w:hint="eastAsia" w:ascii="宋体" w:hAnsi="宋体" w:eastAsia="宋体" w:cs="宋体"/>
          <w:color w:val="000000"/>
          <w:spacing w:val="2"/>
          <w:sz w:val="24"/>
          <w:szCs w:val="24"/>
          <w:highlight w:val="none"/>
          <w:u w:val="none"/>
          <w:lang w:val="en-US" w:eastAsia="zh-CN"/>
        </w:rPr>
        <w:t xml:space="preserve">5</w:t>
      </w:r>
      <w:r>
        <w:rPr>
          <w:rFonts w:hint="eastAsia" w:ascii="宋体" w:hAnsi="宋体" w:cs="宋体"/>
          <w:color w:val="000000"/>
          <w:spacing w:val="2"/>
          <w:sz w:val="24"/>
          <w:szCs w:val="24"/>
          <w:highlight w:val="none"/>
          <w:u w:val="none"/>
          <w:lang w:val="en-US" w:eastAsia="zh-CN"/>
        </w:rPr>
        <w:t xml:space="preserve">.</w:t>
      </w:r>
      <w:r>
        <w:rPr>
          <w:rFonts w:hint="eastAsia" w:ascii="宋体" w:hAnsi="宋体" w:eastAsia="宋体" w:cs="宋体"/>
          <w:color w:val="000000"/>
          <w:spacing w:val="2"/>
          <w:sz w:val="24"/>
          <w:szCs w:val="24"/>
          <w:highlight w:val="none"/>
          <w:u w:val="none"/>
          <w:lang w:val="en-US" w:eastAsia="zh-CN"/>
        </w:rPr>
        <w:t xml:space="preserve">乙方要按相关要求进行作业，作业中如发生安全事故，由其承担全部经济和法律责任。</w:t>
      </w:r>
      <w:r>
        <w:rPr>
          <w:rFonts w:hint="eastAsia" w:ascii="宋体" w:hAnsi="宋体" w:eastAsia="宋体" w:cs="宋体"/>
          <w:color w:val="000000"/>
          <w:spacing w:val="2"/>
          <w:sz w:val="24"/>
          <w:szCs w:val="24"/>
          <w:highlight w:val="none"/>
          <w:u w:val="none"/>
          <w:lang w:val="en-US" w:eastAsia="zh-CN"/>
        </w:rPr>
      </w:r>
      <w:r/>
    </w:p>
    <w:p>
      <w:pPr>
        <w:pStyle w:val="1035"/>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条 合同的变更和终止</w:t>
      </w:r>
      <w:r>
        <w:rPr>
          <w:rFonts w:hint="eastAsia" w:ascii="宋体" w:hAnsi="宋体" w:eastAsia="宋体" w:cs="宋体"/>
          <w:b/>
          <w:color w:val="000000"/>
          <w:sz w:val="24"/>
          <w:szCs w:val="24"/>
          <w:highlight w:val="none"/>
        </w:rPr>
      </w:r>
      <w:r/>
    </w:p>
    <w:p>
      <w:pPr>
        <w:pStyle w:val="1035"/>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p>
    <w:p>
      <w:pPr>
        <w:pStyle w:val="1035"/>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1035"/>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条 合同的转让</w:t>
      </w:r>
      <w:r>
        <w:rPr>
          <w:rFonts w:hint="eastAsia" w:ascii="宋体" w:hAnsi="宋体" w:eastAsia="宋体" w:cs="宋体"/>
          <w:b/>
          <w:color w:val="000000"/>
          <w:sz w:val="24"/>
          <w:szCs w:val="24"/>
          <w:highlight w:val="none"/>
        </w:rPr>
      </w:r>
      <w:r/>
    </w:p>
    <w:p>
      <w:pPr>
        <w:pStyle w:val="1035"/>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1035"/>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rPr>
        <w:t xml:space="preserve">条 不可抗力</w:t>
      </w:r>
      <w:r>
        <w:rPr>
          <w:rFonts w:hint="eastAsia" w:ascii="宋体" w:hAnsi="宋体" w:eastAsia="宋体" w:cs="宋体"/>
          <w:b/>
          <w:color w:val="000000"/>
          <w:sz w:val="24"/>
          <w:szCs w:val="24"/>
          <w:highlight w:val="none"/>
        </w:rPr>
      </w:r>
      <w:r/>
    </w:p>
    <w:p>
      <w:pPr>
        <w:pStyle w:val="1035"/>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甲、乙方中任何一方，因不可抗力不能按时或完全履行合同的，应及时通知对方，并在</w:t>
      </w:r>
      <w:r>
        <w:rPr>
          <w:rFonts w:hint="eastAsia" w:ascii="宋体" w:hAnsi="宋体" w:eastAsia="宋体" w:cs="宋体"/>
          <w:color w:val="000000"/>
          <w:sz w:val="24"/>
          <w:szCs w:val="24"/>
          <w:highlight w:val="none"/>
          <w:u w:val="single"/>
        </w:rPr>
        <w:t xml:space="preserve">   个</w:t>
      </w:r>
      <w:r>
        <w:rPr>
          <w:rFonts w:hint="eastAsia" w:ascii="宋体" w:hAnsi="宋体" w:eastAsia="宋体" w:cs="宋体"/>
          <w:color w:val="000000"/>
          <w:sz w:val="24"/>
          <w:szCs w:val="24"/>
          <w:highlight w:val="none"/>
        </w:rPr>
        <w:t xml:space="preserve">工作日内提供相应证明。未履行完合同部分是否继续履行、如何履行等问题，可由双方初步协商，并向主管部门报告。确定为不可抗力原因造成的损失，免予承担责任。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1035"/>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十二</w:t>
      </w:r>
      <w:r>
        <w:rPr>
          <w:rFonts w:hint="eastAsia" w:ascii="宋体" w:hAnsi="宋体" w:eastAsia="宋体" w:cs="宋体"/>
          <w:b/>
          <w:color w:val="000000"/>
          <w:sz w:val="24"/>
          <w:szCs w:val="24"/>
          <w:highlight w:val="none"/>
        </w:rPr>
        <w:t xml:space="preserve">条 争议的解决</w:t>
      </w:r>
      <w:r>
        <w:rPr>
          <w:rFonts w:hint="eastAsia" w:ascii="宋体" w:hAnsi="宋体" w:eastAsia="宋体" w:cs="宋体"/>
          <w:b/>
          <w:color w:val="000000"/>
          <w:sz w:val="24"/>
          <w:szCs w:val="24"/>
          <w:highlight w:val="none"/>
        </w:rPr>
      </w:r>
      <w:r/>
    </w:p>
    <w:p>
      <w:pPr>
        <w:pStyle w:val="1035"/>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种方式解决争议：</w:t>
      </w:r>
      <w:r>
        <w:rPr>
          <w:rFonts w:hint="eastAsia" w:ascii="宋体" w:hAnsi="宋体" w:eastAsia="宋体" w:cs="宋体"/>
          <w:color w:val="000000"/>
          <w:sz w:val="24"/>
          <w:szCs w:val="24"/>
          <w:highlight w:val="none"/>
        </w:rPr>
      </w:r>
      <w:r/>
    </w:p>
    <w:p>
      <w:pPr>
        <w:pStyle w:val="1035"/>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1035"/>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1035"/>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如没有约定，默认采取第2种方式解决争议。</w:t>
      </w:r>
      <w:r>
        <w:rPr>
          <w:rFonts w:hint="eastAsia" w:ascii="宋体" w:hAnsi="宋体" w:eastAsia="宋体" w:cs="宋体"/>
          <w:color w:val="000000"/>
          <w:sz w:val="24"/>
          <w:szCs w:val="24"/>
          <w:highlight w:val="none"/>
        </w:rPr>
      </w:r>
      <w:r/>
    </w:p>
    <w:p>
      <w:pPr>
        <w:pStyle w:val="1035"/>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2.在法院审理和仲裁期间，除有争议部分外，本合同其他部分应继续履行。</w:t>
      </w:r>
      <w:r>
        <w:rPr>
          <w:rFonts w:hint="eastAsia" w:ascii="宋体" w:hAnsi="宋体" w:eastAsia="宋体" w:cs="宋体"/>
          <w:color w:val="000000"/>
          <w:sz w:val="24"/>
          <w:szCs w:val="24"/>
          <w:highlight w:val="none"/>
        </w:rPr>
      </w:r>
      <w:r/>
    </w:p>
    <w:p>
      <w:pPr>
        <w:pStyle w:val="1035"/>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cs="宋体"/>
          <w:b/>
          <w:color w:val="000000"/>
          <w:sz w:val="24"/>
          <w:szCs w:val="24"/>
          <w:highlight w:val="none"/>
          <w:lang w:eastAsia="zh-CN"/>
        </w:rPr>
        <w:t xml:space="preserve">三</w:t>
      </w:r>
      <w:r>
        <w:rPr>
          <w:rFonts w:hint="eastAsia" w:ascii="宋体" w:hAnsi="宋体" w:eastAsia="宋体" w:cs="宋体"/>
          <w:b/>
          <w:color w:val="000000"/>
          <w:sz w:val="24"/>
          <w:szCs w:val="24"/>
          <w:highlight w:val="none"/>
        </w:rPr>
        <w:t xml:space="preserve">条 诚实信用 </w:t>
      </w:r>
      <w:r>
        <w:rPr>
          <w:rFonts w:hint="eastAsia" w:ascii="宋体" w:hAnsi="宋体" w:eastAsia="宋体" w:cs="宋体"/>
          <w:b/>
          <w:color w:val="000000"/>
          <w:sz w:val="24"/>
          <w:szCs w:val="24"/>
          <w:highlight w:val="none"/>
        </w:rPr>
      </w:r>
      <w:r/>
    </w:p>
    <w:p>
      <w:pPr>
        <w:pStyle w:val="1035"/>
        <w:ind w:firstLine="48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要求和</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承诺履行合同，不向甲方进行商业贿赂或者提供不正当利益。</w:t>
      </w:r>
      <w:r>
        <w:rPr>
          <w:rFonts w:hint="eastAsia" w:ascii="宋体" w:hAnsi="宋体" w:eastAsia="宋体" w:cs="宋体"/>
          <w:color w:val="000000"/>
          <w:sz w:val="24"/>
          <w:szCs w:val="24"/>
          <w:highlight w:val="none"/>
        </w:rPr>
      </w:r>
      <w:r/>
    </w:p>
    <w:p>
      <w:pPr>
        <w:pStyle w:val="1035"/>
        <w:ind w:firstLine="487"/>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cs="宋体"/>
          <w:b/>
          <w:color w:val="000000"/>
          <w:sz w:val="24"/>
          <w:szCs w:val="24"/>
          <w:highlight w:val="none"/>
          <w:lang w:eastAsia="zh-CN"/>
        </w:rPr>
        <w:t xml:space="preserve">四</w:t>
      </w:r>
      <w:r>
        <w:rPr>
          <w:rFonts w:hint="eastAsia" w:ascii="宋体" w:hAnsi="宋体" w:eastAsia="宋体" w:cs="宋体"/>
          <w:b/>
          <w:color w:val="000000"/>
          <w:sz w:val="24"/>
          <w:szCs w:val="24"/>
          <w:highlight w:val="none"/>
        </w:rPr>
        <w:t xml:space="preserve">条 合同生效及其他</w:t>
      </w:r>
      <w:r>
        <w:rPr>
          <w:rFonts w:hint="eastAsia" w:ascii="宋体" w:hAnsi="宋体" w:eastAsia="宋体" w:cs="宋体"/>
          <w:b/>
          <w:color w:val="000000"/>
          <w:sz w:val="24"/>
          <w:szCs w:val="24"/>
          <w:highlight w:val="none"/>
        </w:rPr>
      </w:r>
      <w:r/>
    </w:p>
    <w:p>
      <w:pPr>
        <w:pStyle w:val="1035"/>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1.本合同自经甲乙双方授权代表签订并加盖公章后，自签订之日起生效。</w:t>
      </w:r>
      <w:r>
        <w:rPr>
          <w:rFonts w:hint="eastAsia" w:ascii="宋体" w:hAnsi="宋体" w:eastAsia="宋体" w:cs="宋体"/>
          <w:color w:val="000000"/>
          <w:sz w:val="24"/>
          <w:szCs w:val="24"/>
          <w:highlight w:val="none"/>
        </w:rPr>
      </w:r>
      <w:r/>
    </w:p>
    <w:p>
      <w:pPr>
        <w:pStyle w:val="1035"/>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2.本合同一式</w:t>
      </w:r>
      <w:r>
        <w:rPr>
          <w:rFonts w:hint="eastAsia" w:ascii="宋体" w:hAnsi="宋体" w:eastAsia="宋体" w:cs="宋体"/>
          <w:color w:val="000000"/>
          <w:sz w:val="24"/>
          <w:szCs w:val="24"/>
          <w:highlight w:val="none"/>
          <w:lang w:eastAsia="zh-CN"/>
        </w:rPr>
        <w:t xml:space="preserve">肆</w:t>
      </w:r>
      <w:r>
        <w:rPr>
          <w:rFonts w:hint="eastAsia" w:ascii="宋体" w:hAnsi="宋体" w:eastAsia="宋体" w:cs="宋体"/>
          <w:color w:val="000000"/>
          <w:sz w:val="24"/>
          <w:szCs w:val="24"/>
          <w:highlight w:val="none"/>
        </w:rPr>
        <w:t xml:space="preserve">份，甲乙双方各执贰份。</w:t>
      </w:r>
      <w:r>
        <w:rPr>
          <w:rFonts w:hint="eastAsia" w:ascii="宋体" w:hAnsi="宋体" w:eastAsia="宋体" w:cs="宋体"/>
          <w:color w:val="000000"/>
          <w:sz w:val="24"/>
          <w:szCs w:val="24"/>
          <w:highlight w:val="none"/>
        </w:rPr>
      </w:r>
      <w:r/>
    </w:p>
    <w:p>
      <w:pPr>
        <w:pStyle w:val="1035"/>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1035"/>
        <w:jc w:val="left"/>
        <w:keepLines w:val="0"/>
        <w:keepNext w:val="0"/>
        <w:pageBreakBefore w:val="0"/>
        <w:spacing w:line="360" w:lineRule="auto"/>
        <w:rPr>
          <w:rFonts w:hint="eastAsia" w:ascii="宋体" w:hAnsi="宋体" w:eastAsia="宋体" w:cs="宋体"/>
          <w:b/>
          <w:bCs/>
          <w:color w:val="000000"/>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bCs/>
          <w:color w:val="000000"/>
          <w:sz w:val="24"/>
          <w:szCs w:val="24"/>
          <w:highlight w:val="none"/>
        </w:rPr>
      </w:r>
      <w:r/>
    </w:p>
    <w:p>
      <w:pPr>
        <w:pStyle w:val="1035"/>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甲    方</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乙    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5"/>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单位名称（章）：                          单位名称（章）：</w:t>
      </w:r>
      <w:r>
        <w:rPr>
          <w:rFonts w:hint="eastAsia" w:ascii="宋体" w:hAnsi="宋体" w:eastAsia="宋体" w:cs="宋体"/>
          <w:color w:val="000000"/>
          <w:sz w:val="24"/>
          <w:szCs w:val="24"/>
          <w:highlight w:val="none"/>
          <w:u w:val="single"/>
        </w:rPr>
      </w:r>
      <w:r/>
    </w:p>
    <w:p>
      <w:pPr>
        <w:pStyle w:val="1035"/>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单位地址：                               单位地址：</w:t>
      </w:r>
      <w:r>
        <w:rPr>
          <w:rFonts w:hint="eastAsia" w:ascii="宋体" w:hAnsi="宋体" w:eastAsia="宋体" w:cs="宋体"/>
          <w:color w:val="000000"/>
          <w:sz w:val="24"/>
          <w:szCs w:val="24"/>
          <w:highlight w:val="none"/>
          <w:u w:val="single"/>
        </w:rPr>
      </w:r>
      <w:r/>
    </w:p>
    <w:p>
      <w:pPr>
        <w:pStyle w:val="10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委托代理人：          法定代表人：     委托代理人：                            </w:t>
      </w:r>
      <w:r>
        <w:rPr>
          <w:rFonts w:hint="eastAsia" w:ascii="宋体" w:hAnsi="宋体" w:eastAsia="宋体" w:cs="宋体"/>
          <w:color w:val="000000"/>
          <w:sz w:val="24"/>
          <w:szCs w:val="24"/>
          <w:highlight w:val="none"/>
        </w:rPr>
      </w:r>
      <w:r/>
    </w:p>
    <w:p>
      <w:pPr>
        <w:pStyle w:val="10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电话：            传真：</w:t>
      </w:r>
      <w:r>
        <w:rPr>
          <w:rFonts w:hint="eastAsia" w:ascii="宋体" w:hAnsi="宋体" w:eastAsia="宋体" w:cs="宋体"/>
          <w:color w:val="000000"/>
          <w:sz w:val="24"/>
          <w:szCs w:val="24"/>
          <w:highlight w:val="none"/>
        </w:rPr>
      </w:r>
      <w:r/>
    </w:p>
    <w:p>
      <w:pPr>
        <w:pStyle w:val="1035"/>
        <w:spacing w:line="540" w:lineRule="exact"/>
        <w:widowControl/>
        <w:rPr>
          <w:rFonts w:hint="eastAsia" w:ascii="宋体" w:hAnsi="宋体"/>
          <w:color w:val="000000"/>
          <w:sz w:val="24"/>
          <w:highlight w:val="none"/>
        </w:rPr>
      </w:pPr>
      <w:r>
        <w:rPr>
          <w:rFonts w:hint="eastAsia" w:ascii="宋体" w:hAnsi="宋体" w:eastAsia="宋体" w:cs="宋体"/>
          <w:color w:val="000000"/>
          <w:sz w:val="24"/>
          <w:szCs w:val="24"/>
          <w:highlight w:val="none"/>
        </w:rPr>
        <w:t xml:space="preserve">传真：                                   开户银行：        帐号： </w:t>
      </w:r>
      <w:r>
        <w:rPr>
          <w:rFonts w:hint="eastAsia" w:ascii="宋体" w:hAnsi="宋体"/>
          <w:color w:val="000000"/>
          <w:sz w:val="24"/>
          <w:highlight w:val="none"/>
        </w:rPr>
      </w:r>
      <w:r/>
    </w:p>
    <w:p>
      <w:pPr>
        <w:pStyle w:val="1035"/>
        <w:spacing w:line="360" w:lineRule="auto"/>
        <w:rPr>
          <w:rFonts w:ascii="宋体" w:hAnsi="宋体" w:cs="宋体"/>
          <w:color w:val="000000"/>
          <w:sz w:val="24"/>
          <w:highlight w:val="none"/>
        </w:rPr>
      </w:pPr>
      <w:r>
        <w:rPr>
          <w:rFonts w:ascii="宋体" w:hAnsi="宋体" w:cs="宋体"/>
          <w:color w:val="000000"/>
          <w:sz w:val="24"/>
          <w:highlight w:val="none"/>
        </w:rPr>
      </w:r>
      <w:r/>
    </w:p>
    <w:p>
      <w:pPr>
        <w:pStyle w:val="103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35"/>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4" w:name="_Toc99301426"/>
      <w:r>
        <w:rPr>
          <w:rFonts w:ascii="宋体" w:hAnsi="宋体"/>
          <w:b/>
          <w:color w:val="000000"/>
          <w:sz w:val="36"/>
          <w:szCs w:val="36"/>
          <w:highlight w:val="none"/>
        </w:rPr>
        <w:t xml:space="preserve">第七章   投标文件格式</w:t>
      </w:r>
      <w:bookmarkEnd w:id="814"/>
      <w:r>
        <w:rPr>
          <w:rFonts w:ascii="宋体" w:hAnsi="宋体"/>
          <w:b/>
          <w:color w:val="000000"/>
          <w:sz w:val="36"/>
          <w:szCs w:val="36"/>
          <w:highlight w:val="none"/>
        </w:rPr>
      </w:r>
      <w:r/>
    </w:p>
    <w:p>
      <w:pPr>
        <w:pStyle w:val="1035"/>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35"/>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35"/>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35"/>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35"/>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35"/>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35"/>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35"/>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35"/>
        <w:jc w:val="left"/>
        <w:keepLines/>
        <w:keepNext/>
        <w:spacing w:before="120" w:line="300" w:lineRule="auto"/>
        <w:rPr>
          <w:rFonts w:ascii="宋体" w:hAnsi="宋体"/>
          <w:b/>
          <w:color w:val="000000"/>
          <w:sz w:val="30"/>
          <w:szCs w:val="20"/>
          <w:highlight w:val="none"/>
        </w:rPr>
        <w:outlineLvl w:val="1"/>
      </w:pPr>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35"/>
        <w:rPr>
          <w:rFonts w:ascii="宋体" w:hAnsi="宋体"/>
          <w:b/>
          <w:color w:val="000000"/>
          <w:spacing w:val="20"/>
          <w:szCs w:val="21"/>
          <w:highlight w:val="none"/>
        </w:rPr>
      </w:pPr>
      <w:r>
        <w:rPr>
          <w:rFonts w:ascii="宋体" w:hAnsi="宋体"/>
          <w:b/>
          <w:color w:val="000000"/>
          <w:spacing w:val="20"/>
          <w:szCs w:val="21"/>
          <w:highlight w:val="none"/>
        </w:rPr>
      </w:r>
      <w:r/>
    </w:p>
    <w:p>
      <w:pPr>
        <w:pStyle w:val="1035"/>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35"/>
        <w:jc w:val="center"/>
        <w:rPr>
          <w:rFonts w:ascii="宋体" w:hAnsi="宋体"/>
          <w:color w:val="000000"/>
          <w:szCs w:val="21"/>
          <w:highlight w:val="none"/>
        </w:rPr>
      </w:pPr>
      <w:r>
        <w:rPr>
          <w:rFonts w:ascii="宋体" w:hAnsi="宋体"/>
          <w:color w:val="000000"/>
          <w:szCs w:val="21"/>
          <w:highlight w:val="none"/>
        </w:rPr>
      </w:r>
      <w:r/>
    </w:p>
    <w:p>
      <w:pPr>
        <w:pStyle w:val="1035"/>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35"/>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35"/>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35"/>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35"/>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35"/>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35"/>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35"/>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35"/>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35"/>
        <w:jc w:val="center"/>
        <w:rPr>
          <w:rFonts w:ascii="宋体" w:hAnsi="宋体"/>
          <w:b/>
          <w:color w:val="000000"/>
          <w:sz w:val="32"/>
          <w:szCs w:val="32"/>
          <w:highlight w:val="none"/>
        </w:rPr>
      </w:pPr>
      <w:r>
        <w:rPr>
          <w:rFonts w:ascii="宋体" w:hAnsi="宋体"/>
          <w:b/>
          <w:color w:val="000000"/>
          <w:sz w:val="32"/>
          <w:szCs w:val="32"/>
          <w:highlight w:val="none"/>
        </w:rPr>
      </w:r>
      <w:r/>
    </w:p>
    <w:p>
      <w:pPr>
        <w:pStyle w:val="1035"/>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35"/>
        <w:rPr>
          <w:rFonts w:ascii="宋体" w:hAnsi="宋体"/>
          <w:b/>
          <w:color w:val="000000"/>
          <w:highlight w:val="none"/>
        </w:rPr>
      </w:pPr>
      <w:r>
        <w:rPr>
          <w:rFonts w:ascii="宋体" w:hAnsi="宋体"/>
          <w:b/>
          <w:color w:val="000000"/>
          <w:highlight w:val="none"/>
        </w:rPr>
      </w:r>
      <w:r/>
    </w:p>
    <w:p>
      <w:pPr>
        <w:pStyle w:val="1035"/>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38"/>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35"/>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35"/>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49"/>
        <w:ind w:firstLine="480"/>
        <w:spacing w:line="460" w:lineRule="exact"/>
        <w:rPr>
          <w:rFonts w:hAnsi="宋体"/>
          <w:color w:val="000000"/>
          <w:highlight w:val="none"/>
        </w:rPr>
      </w:pPr>
      <w:r>
        <w:rPr>
          <w:rFonts w:hAnsi="宋体"/>
          <w:color w:val="000000"/>
          <w:highlight w:val="none"/>
        </w:rPr>
      </w:r>
      <w:r/>
    </w:p>
    <w:p>
      <w:pPr>
        <w:pStyle w:val="1049"/>
        <w:ind w:firstLine="480"/>
        <w:spacing w:line="460" w:lineRule="exact"/>
        <w:rPr>
          <w:rFonts w:hint="eastAsia" w:hAnsi="宋体" w:eastAsia="宋体"/>
          <w:color w:val="000000"/>
          <w:highlight w:val="none"/>
          <w:lang w:eastAsia="zh-CN"/>
        </w:rPr>
      </w:pPr>
      <w:r>
        <w:rPr>
          <w:rFonts w:hint="eastAsia" w:hAnsi="宋体"/>
          <w:color w:val="000000"/>
          <w:highlight w:val="none"/>
        </w:rPr>
        <w:t xml:space="preserve">致：</w:t>
      </w:r>
      <w:r>
        <w:rPr>
          <w:rFonts w:hint="eastAsia" w:hAnsi="宋体"/>
          <w:color w:val="000000"/>
          <w:highlight w:val="none"/>
          <w:lang w:eastAsia="zh-CN"/>
        </w:rPr>
        <w:t xml:space="preserve">江苏城致建设管理有限公司</w:t>
      </w:r>
      <w:r>
        <w:rPr>
          <w:rFonts w:hint="eastAsia" w:hAnsi="宋体" w:eastAsia="宋体"/>
          <w:color w:val="000000"/>
          <w:highlight w:val="none"/>
          <w:lang w:eastAsia="zh-CN"/>
        </w:rPr>
      </w:r>
      <w:r/>
    </w:p>
    <w:p>
      <w:pPr>
        <w:pStyle w:val="1049"/>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49"/>
        <w:ind w:firstLine="480"/>
        <w:spacing w:line="460" w:lineRule="exact"/>
        <w:rPr>
          <w:rFonts w:hAnsi="宋体"/>
          <w:color w:val="000000"/>
          <w:highlight w:val="none"/>
        </w:rPr>
      </w:pPr>
      <w:r>
        <w:rPr>
          <w:rFonts w:hAnsi="宋体"/>
          <w:color w:val="000000"/>
          <w:highlight w:val="none"/>
        </w:rPr>
      </w:r>
      <w:r/>
    </w:p>
    <w:p>
      <w:pPr>
        <w:pStyle w:val="1049"/>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49"/>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49"/>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49"/>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49"/>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49"/>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49"/>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49"/>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hAnsi="宋体"/>
          <w:color w:val="000000"/>
          <w:highlight w:val="none"/>
          <w:lang w:eastAsia="zh-CN"/>
        </w:rPr>
        <w:t xml:space="preserve">投标人</w:t>
      </w:r>
      <w:r>
        <w:rPr>
          <w:rFonts w:hint="eastAsia" w:hAnsi="宋体"/>
          <w:color w:val="000000"/>
          <w:highlight w:val="none"/>
        </w:rPr>
        <w:t xml:space="preserve">如在参加政府采购活动前3年内因违法经营被禁止在一定期限内参加政府采购活动，期限届满的，可以参加政府采购活动。）</w:t>
      </w:r>
      <w:r>
        <w:rPr>
          <w:rFonts w:hAnsi="宋体"/>
          <w:color w:val="000000"/>
          <w:highlight w:val="none"/>
        </w:rPr>
      </w:r>
      <w:r/>
    </w:p>
    <w:p>
      <w:pPr>
        <w:pStyle w:val="1049"/>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49"/>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49"/>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49"/>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49"/>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49"/>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49"/>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49"/>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49"/>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49"/>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49"/>
        <w:ind w:firstLine="480"/>
        <w:spacing w:line="460" w:lineRule="exact"/>
        <w:rPr>
          <w:rFonts w:hAnsi="宋体"/>
          <w:color w:val="000000"/>
          <w:highlight w:val="none"/>
        </w:rPr>
      </w:pPr>
      <w:r>
        <w:rPr>
          <w:rFonts w:hAnsi="宋体"/>
          <w:color w:val="000000"/>
          <w:highlight w:val="none"/>
        </w:rPr>
      </w:r>
      <w:r/>
    </w:p>
    <w:p>
      <w:pPr>
        <w:pStyle w:val="1049"/>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49"/>
        <w:ind w:firstLine="480"/>
        <w:spacing w:line="460" w:lineRule="exact"/>
        <w:rPr>
          <w:rFonts w:hAnsi="宋体"/>
          <w:color w:val="000000"/>
          <w:highlight w:val="none"/>
        </w:rPr>
      </w:pPr>
      <w:r>
        <w:rPr>
          <w:rFonts w:hAnsi="宋体"/>
          <w:color w:val="000000"/>
          <w:highlight w:val="none"/>
        </w:rPr>
      </w:r>
      <w:r/>
    </w:p>
    <w:p>
      <w:pPr>
        <w:pStyle w:val="1049"/>
        <w:ind w:firstLine="480"/>
        <w:spacing w:line="460" w:lineRule="exact"/>
        <w:rPr>
          <w:rFonts w:hAnsi="宋体"/>
          <w:color w:val="000000"/>
          <w:highlight w:val="none"/>
        </w:rPr>
      </w:pPr>
      <w:r>
        <w:rPr>
          <w:rFonts w:hAnsi="宋体"/>
          <w:color w:val="000000"/>
          <w:highlight w:val="none"/>
        </w:rPr>
      </w:r>
      <w:r/>
    </w:p>
    <w:p>
      <w:pPr>
        <w:pStyle w:val="1049"/>
        <w:ind w:left="0"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49"/>
        <w:ind w:left="0"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49"/>
        <w:ind w:left="0"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3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3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3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35"/>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35"/>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35"/>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35"/>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35"/>
        <w:jc w:val="left"/>
        <w:widowControl/>
        <w:rPr>
          <w:rFonts w:ascii="宋体" w:hAnsi="宋体"/>
          <w:color w:val="000000"/>
          <w:sz w:val="24"/>
          <w:highlight w:val="none"/>
        </w:rPr>
      </w:pPr>
      <w:r>
        <w:rPr>
          <w:rFonts w:ascii="宋体" w:hAnsi="宋体"/>
          <w:color w:val="000000"/>
          <w:sz w:val="24"/>
          <w:highlight w:val="none"/>
        </w:rPr>
      </w:r>
      <w:r/>
    </w:p>
    <w:p>
      <w:pPr>
        <w:pStyle w:val="1035"/>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35"/>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5"/>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5" w:name="_Toc150774761"/>
      <w:r/>
      <w:bookmarkStart w:id="816" w:name="_Toc226965746"/>
      <w:r/>
      <w:bookmarkStart w:id="817" w:name="_Toc142311058"/>
      <w:r/>
      <w:bookmarkStart w:id="818" w:name="_Ref467988698"/>
      <w:r/>
      <w:bookmarkStart w:id="819" w:name="_Toc480942349"/>
      <w:r/>
      <w:bookmarkStart w:id="820" w:name="_Toc226309800"/>
      <w:r/>
      <w:bookmarkStart w:id="821" w:name="_Toc150480794"/>
      <w:r/>
      <w:bookmarkStart w:id="822" w:name="_Toc127151556"/>
      <w:r/>
      <w:bookmarkStart w:id="823" w:name="_Toc226965829"/>
      <w:r/>
      <w:bookmarkStart w:id="824" w:name="_Toc226337252"/>
      <w:r/>
      <w:bookmarkStart w:id="825" w:name="_Toc195842921"/>
      <w:r/>
      <w:bookmarkStart w:id="826" w:name="_Toc520356217"/>
      <w:r>
        <w:rPr>
          <w:rFonts w:hint="eastAsia" w:ascii="宋体" w:hAnsi="宋体"/>
          <w:b/>
          <w:color w:val="000000"/>
          <w:sz w:val="32"/>
          <w:szCs w:val="32"/>
          <w:highlight w:val="none"/>
        </w:rPr>
      </w:r>
      <w:r/>
    </w:p>
    <w:p>
      <w:pPr>
        <w:pStyle w:val="1035"/>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35"/>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35"/>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35"/>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35"/>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35"/>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35"/>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35"/>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35"/>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35"/>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35"/>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35"/>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35"/>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35"/>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3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3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3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3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3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35"/>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35"/>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35"/>
        <w:jc w:val="left"/>
        <w:widowControl/>
        <w:rPr>
          <w:rFonts w:hint="eastAsia" w:ascii="宋体" w:hAnsi="宋体"/>
          <w:b/>
          <w:color w:val="000000"/>
          <w:sz w:val="24"/>
          <w:highlight w:val="none"/>
        </w:rPr>
      </w:pPr>
      <w:r/>
      <w:bookmarkStart w:id="827" w:name="_Hlt520356243"/>
      <w:r/>
      <w:bookmarkEnd w:id="827"/>
      <w:r/>
      <w:bookmarkStart w:id="828" w:name="_Hlt520355938"/>
      <w:r/>
      <w:bookmarkEnd w:id="828"/>
      <w:r>
        <w:rPr>
          <w:rFonts w:ascii="宋体" w:hAnsi="宋体"/>
          <w:color w:val="000000"/>
          <w:sz w:val="24"/>
          <w:highlight w:val="none"/>
        </w:rPr>
        <w:br w:type="page" w:clear="all"/>
      </w:r>
      <w:r>
        <w:rPr>
          <w:rFonts w:hint="eastAsia" w:ascii="宋体" w:hAnsi="宋体"/>
          <w:b/>
          <w:color w:val="000000"/>
          <w:sz w:val="24"/>
          <w:highlight w:val="none"/>
        </w:rPr>
      </w:r>
      <w:r/>
    </w:p>
    <w:p>
      <w:pPr>
        <w:pStyle w:val="1035"/>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3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3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35"/>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35"/>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35"/>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35"/>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35"/>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35"/>
        <w:spacing w:line="560" w:lineRule="exact"/>
        <w:rPr>
          <w:rFonts w:ascii="宋体" w:hAnsi="宋体"/>
          <w:color w:val="000000"/>
          <w:sz w:val="24"/>
          <w:highlight w:val="none"/>
        </w:rPr>
      </w:pPr>
      <w:r>
        <w:rPr>
          <w:rFonts w:ascii="宋体" w:hAnsi="宋体"/>
          <w:color w:val="000000"/>
          <w:sz w:val="24"/>
          <w:highlight w:val="none"/>
        </w:rPr>
      </w:r>
      <w:r/>
    </w:p>
    <w:p>
      <w:pPr>
        <w:pStyle w:val="1066"/>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35"/>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35"/>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35"/>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3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3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3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35"/>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3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35"/>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3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3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35"/>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3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87"/>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35"/>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35"/>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3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3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3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13"/>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35"/>
        <w:spacing w:line="400" w:lineRule="exact"/>
        <w:rPr>
          <w:rFonts w:ascii="宋体" w:hAnsi="宋体" w:cs="宋体"/>
          <w:color w:val="000000"/>
          <w:sz w:val="24"/>
          <w:highlight w:val="none"/>
        </w:rPr>
      </w:pPr>
      <w:r>
        <w:rPr>
          <w:rFonts w:ascii="宋体" w:hAnsi="宋体" w:cs="宋体"/>
          <w:color w:val="000000"/>
          <w:sz w:val="24"/>
          <w:highlight w:val="none"/>
        </w:rPr>
      </w:r>
      <w:r/>
    </w:p>
    <w:p>
      <w:pPr>
        <w:pStyle w:val="1066"/>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3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66"/>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3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287"/>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35"/>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35"/>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35"/>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35"/>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35"/>
        <w:ind w:firstLine="640"/>
        <w:rPr>
          <w:rFonts w:ascii="宋体" w:hAnsi="宋体"/>
          <w:color w:val="000000"/>
          <w:highlight w:val="none"/>
        </w:rPr>
      </w:pPr>
      <w:r>
        <w:rPr>
          <w:rFonts w:ascii="宋体" w:hAnsi="宋体"/>
          <w:color w:val="000000"/>
          <w:highlight w:val="none"/>
        </w:rPr>
      </w:r>
      <w:r/>
    </w:p>
    <w:p>
      <w:pPr>
        <w:pStyle w:val="10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3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82"/>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3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3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35"/>
        <w:spacing w:line="360" w:lineRule="auto"/>
        <w:rPr>
          <w:rFonts w:ascii="宋体" w:hAnsi="宋体"/>
          <w:b/>
          <w:color w:val="000000"/>
          <w:sz w:val="24"/>
          <w:szCs w:val="20"/>
          <w:highlight w:val="none"/>
        </w:rPr>
        <w:outlineLvl w:val="2"/>
      </w:pPr>
      <w:r/>
      <w:bookmarkStart w:id="829" w:name="_Hlt520274407"/>
      <w:r/>
      <w:bookmarkEnd w:id="829"/>
      <w:r/>
      <w:bookmarkStart w:id="830" w:name="_Hlt520274121"/>
      <w:r/>
      <w:bookmarkEnd w:id="830"/>
      <w:r/>
      <w:bookmarkStart w:id="831" w:name="_Hlt520274393"/>
      <w:r/>
      <w:bookmarkEnd w:id="831"/>
      <w:r/>
      <w:bookmarkStart w:id="832" w:name="_Hlt520355504"/>
      <w:r/>
      <w:bookmarkEnd w:id="832"/>
      <w:r/>
      <w:bookmarkStart w:id="833" w:name="_Hlt520343392"/>
      <w:r/>
      <w:bookmarkEnd w:id="833"/>
      <w:r/>
      <w:bookmarkStart w:id="834" w:name="_Hlt520273711"/>
      <w:r/>
      <w:bookmarkEnd w:id="834"/>
      <w:r/>
      <w:bookmarkStart w:id="835" w:name="_Hlt520274065"/>
      <w:r/>
      <w:bookmarkEnd w:id="835"/>
      <w:r/>
      <w:bookmarkStart w:id="836" w:name="_Hlt520271212"/>
      <w:r/>
      <w:bookmarkEnd w:id="836"/>
      <w:r/>
      <w:bookmarkStart w:id="837" w:name="_Hlt520350918"/>
      <w:r/>
      <w:bookmarkEnd w:id="837"/>
      <w:r/>
      <w:bookmarkStart w:id="838" w:name="_Hlt520343000"/>
      <w:r/>
      <w:bookmarkEnd w:id="838"/>
      <w:r/>
      <w:bookmarkStart w:id="839" w:name="_Toc226965830"/>
      <w:r/>
      <w:bookmarkStart w:id="840" w:name="_Toc480942350"/>
      <w:r/>
      <w:bookmarkStart w:id="841" w:name="_Toc226309801"/>
      <w:r/>
      <w:bookmarkStart w:id="842" w:name="_Toc142311059"/>
      <w:r/>
      <w:bookmarkStart w:id="843" w:name="_Toc305158899"/>
      <w:r/>
      <w:bookmarkStart w:id="844" w:name="_Toc265228395"/>
      <w:r/>
      <w:bookmarkStart w:id="845" w:name="_Toc150774762"/>
      <w:r/>
      <w:bookmarkStart w:id="846" w:name="_Toc305158825"/>
      <w:r/>
      <w:bookmarkStart w:id="847" w:name="_Toc195842922"/>
      <w:r/>
      <w:bookmarkStart w:id="848" w:name="_Ref467988705"/>
      <w:r/>
      <w:bookmarkStart w:id="849" w:name="_Toc150480795"/>
      <w:r/>
      <w:bookmarkStart w:id="850" w:name="_Toc127151557"/>
      <w:r/>
      <w:bookmarkStart w:id="851" w:name="_Toc226965747"/>
      <w:r/>
      <w:bookmarkStart w:id="852" w:name="_Toc264969247"/>
      <w:r/>
      <w:bookmarkStart w:id="853" w:name="_Toc520356218"/>
      <w:r/>
      <w:bookmarkStart w:id="854" w:name="_Toc226337253"/>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35"/>
        <w:jc w:val="center"/>
        <w:spacing w:line="360" w:lineRule="exact"/>
        <w:rPr>
          <w:rFonts w:ascii="宋体" w:hAnsi="宋体"/>
          <w:b/>
          <w:color w:val="000000"/>
          <w:sz w:val="36"/>
          <w:szCs w:val="36"/>
          <w:highlight w:val="none"/>
        </w:rPr>
      </w:pPr>
      <w:r/>
      <w:bookmarkStart w:id="855" w:name="_Toc226337254"/>
      <w:r/>
      <w:bookmarkStart w:id="856" w:name="_Toc226309802"/>
      <w:r/>
      <w:bookmarkStart w:id="857" w:name="_Toc305158826"/>
      <w:r/>
      <w:bookmarkStart w:id="858" w:name="_Toc226965748"/>
      <w:r/>
      <w:bookmarkStart w:id="859" w:name="_Toc264969248"/>
      <w:r/>
      <w:bookmarkStart w:id="860" w:name="_Toc226965831"/>
      <w:r/>
      <w:bookmarkStart w:id="861" w:name="_Toc164608827"/>
      <w:r/>
      <w:bookmarkStart w:id="862" w:name="_Toc195842923"/>
      <w:r/>
      <w:bookmarkStart w:id="863" w:name="_Toc164608672"/>
      <w:r/>
      <w:bookmarkStart w:id="864" w:name="_Toc305158900"/>
      <w:r/>
      <w:bookmarkStart w:id="865" w:name="_Toc265228396"/>
      <w:r>
        <w:rPr>
          <w:rFonts w:hint="eastAsia" w:ascii="宋体" w:hAnsi="宋体"/>
          <w:b/>
          <w:color w:val="000000"/>
          <w:sz w:val="36"/>
          <w:szCs w:val="36"/>
          <w:highlight w:val="none"/>
        </w:rPr>
        <w:t xml:space="preserve">开标一览表</w:t>
      </w:r>
      <w:bookmarkEnd w:id="855"/>
      <w:r/>
      <w:bookmarkEnd w:id="856"/>
      <w:r/>
      <w:bookmarkEnd w:id="857"/>
      <w:r/>
      <w:bookmarkEnd w:id="858"/>
      <w:r/>
      <w:bookmarkEnd w:id="859"/>
      <w:r/>
      <w:bookmarkEnd w:id="860"/>
      <w:r/>
      <w:bookmarkEnd w:id="861"/>
      <w:r/>
      <w:bookmarkEnd w:id="862"/>
      <w:r/>
      <w:bookmarkEnd w:id="863"/>
      <w:r/>
      <w:bookmarkEnd w:id="864"/>
      <w:r/>
      <w:bookmarkEnd w:id="865"/>
      <w:r>
        <w:rPr>
          <w:rFonts w:ascii="宋体" w:hAnsi="宋体"/>
          <w:b/>
          <w:color w:val="000000"/>
          <w:sz w:val="36"/>
          <w:szCs w:val="36"/>
          <w:highlight w:val="none"/>
        </w:rPr>
      </w:r>
      <w:r/>
    </w:p>
    <w:p>
      <w:pPr>
        <w:pStyle w:val="1035"/>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35"/>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35"/>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35"/>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35"/>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35"/>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35"/>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35"/>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35"/>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35"/>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35"/>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35"/>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35"/>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35"/>
        <w:jc w:val="left"/>
        <w:rPr>
          <w:rFonts w:ascii="宋体" w:hAnsi="宋体"/>
          <w:color w:val="000000"/>
          <w:sz w:val="24"/>
          <w:highlight w:val="none"/>
        </w:rPr>
      </w:pPr>
      <w:r>
        <w:rPr>
          <w:rFonts w:ascii="宋体" w:hAnsi="宋体"/>
          <w:color w:val="000000"/>
          <w:sz w:val="24"/>
          <w:highlight w:val="none"/>
        </w:rPr>
      </w:r>
      <w:r/>
    </w:p>
    <w:p>
      <w:pPr>
        <w:pStyle w:val="1035"/>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35"/>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35"/>
        <w:ind w:firstLine="480"/>
        <w:tabs>
          <w:tab w:val="left" w:pos="5580" w:leader="none"/>
        </w:tabs>
        <w:rPr>
          <w:rFonts w:ascii="宋体" w:hAnsi="宋体" w:eastAsia="宋体"/>
          <w:color w:val="000000"/>
          <w:sz w:val="24"/>
          <w:szCs w:val="20"/>
          <w:highlight w:val="none"/>
          <w:lang w:val="en-US" w:eastAsia="zh-CN"/>
        </w:rPr>
      </w:pPr>
      <w:r>
        <w:rPr>
          <w:rFonts w:hint="eastAsia" w:ascii="宋体" w:hAnsi="宋体"/>
          <w:color w:val="000000"/>
          <w:sz w:val="24"/>
          <w:szCs w:val="20"/>
          <w:highlight w:val="none"/>
          <w:lang w:val="en-US" w:eastAsia="zh-CN"/>
        </w:rPr>
        <w:t xml:space="preserve">3.投标报价为单年度报价。</w:t>
      </w:r>
      <w:r>
        <w:rPr>
          <w:rFonts w:ascii="宋体" w:hAnsi="宋体" w:eastAsia="宋体"/>
          <w:color w:val="000000"/>
          <w:sz w:val="24"/>
          <w:szCs w:val="20"/>
          <w:highlight w:val="none"/>
          <w:lang w:val="en-US" w:eastAsia="zh-CN"/>
        </w:rPr>
      </w:r>
      <w:r/>
    </w:p>
    <w:p>
      <w:pPr>
        <w:pStyle w:val="1035"/>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35"/>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3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3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35"/>
        <w:spacing w:line="360" w:lineRule="auto"/>
        <w:rPr>
          <w:rFonts w:ascii="宋体" w:hAnsi="宋体"/>
          <w:b/>
          <w:color w:val="000000"/>
          <w:sz w:val="24"/>
          <w:szCs w:val="20"/>
          <w:highlight w:val="none"/>
        </w:rPr>
        <w:outlineLvl w:val="2"/>
      </w:pPr>
      <w:r/>
      <w:bookmarkStart w:id="866" w:name="_Toc226337255"/>
      <w:r/>
      <w:bookmarkStart w:id="867" w:name="_Toc150774763"/>
      <w:r/>
      <w:bookmarkStart w:id="868" w:name="_Toc305158827"/>
      <w:r/>
      <w:bookmarkStart w:id="869" w:name="_Toc264969249"/>
      <w:r/>
      <w:bookmarkStart w:id="870" w:name="_Toc226965832"/>
      <w:r/>
      <w:bookmarkStart w:id="871" w:name="_Toc142311060"/>
      <w:r/>
      <w:bookmarkStart w:id="872" w:name="_Toc150480796"/>
      <w:r/>
      <w:bookmarkStart w:id="873" w:name="_Toc305158901"/>
      <w:r/>
      <w:bookmarkStart w:id="874" w:name="_Toc226309803"/>
      <w:r/>
      <w:bookmarkStart w:id="875" w:name="_Toc195842924"/>
      <w:r/>
      <w:bookmarkStart w:id="876" w:name="_Toc226965749"/>
      <w:r/>
      <w:bookmarkStart w:id="877" w:name="_Toc265228397"/>
      <w:r/>
      <w:bookmarkStart w:id="878" w:name="_Toc127151558"/>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35"/>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35"/>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35"/>
        <w:tabs>
          <w:tab w:val="left" w:pos="1800" w:leader="none"/>
          <w:tab w:val="left" w:pos="5580" w:leader="none"/>
        </w:tabs>
        <w:rPr>
          <w:rFonts w:ascii="宋体" w:hAnsi="宋体"/>
          <w:color w:val="000000"/>
          <w:sz w:val="24"/>
          <w:highlight w:val="none"/>
        </w:rPr>
      </w:pPr>
      <w:r/>
      <w:bookmarkStart w:id="879" w:name="_Toc195842927"/>
      <w:r/>
      <w:bookmarkStart w:id="880" w:name="_Toc226309806"/>
      <w:r/>
      <w:bookmarkStart w:id="881" w:name="_Toc226337258"/>
      <w:r/>
      <w:bookmarkStart w:id="882" w:name="_Toc305158830"/>
      <w:r/>
      <w:bookmarkStart w:id="883" w:name="_Toc226965752"/>
      <w:r/>
      <w:bookmarkStart w:id="884" w:name="_Toc150774765"/>
      <w:r/>
      <w:bookmarkStart w:id="885" w:name="_Toc305158904"/>
      <w:r/>
      <w:bookmarkStart w:id="886" w:name="_Toc142311062"/>
      <w:r/>
      <w:bookmarkStart w:id="887" w:name="_Toc226965835"/>
      <w:r/>
      <w:bookmarkStart w:id="888" w:name="_Toc264969252"/>
      <w:r/>
      <w:bookmarkStart w:id="889" w:name="_Toc127151562"/>
      <w:r/>
      <w:bookmarkStart w:id="890" w:name="_Toc265228400"/>
      <w:r/>
      <w:bookmarkStart w:id="891" w:name="_Toc150480798"/>
      <w:r/>
      <w:bookmarkStart w:id="892" w:name="_Toc226309805"/>
      <w:r/>
      <w:bookmarkStart w:id="893" w:name="_Toc142311061"/>
      <w:r/>
      <w:bookmarkStart w:id="894" w:name="_Toc305158903"/>
      <w:r/>
      <w:bookmarkStart w:id="895" w:name="_Toc127151561"/>
      <w:r/>
      <w:bookmarkStart w:id="896" w:name="_Toc195842926"/>
      <w:r/>
      <w:bookmarkStart w:id="897" w:name="_Toc226965751"/>
      <w:r/>
      <w:bookmarkStart w:id="898" w:name="_Toc305158829"/>
      <w:r/>
      <w:bookmarkStart w:id="899" w:name="_Toc150774764"/>
      <w:r/>
      <w:bookmarkStart w:id="900" w:name="_Toc265228399"/>
      <w:r/>
      <w:bookmarkStart w:id="901" w:name="_Toc264969251"/>
      <w:r/>
      <w:bookmarkStart w:id="902" w:name="_Toc150480797"/>
      <w:r/>
      <w:bookmarkStart w:id="903" w:name="_Toc226337257"/>
      <w:r/>
      <w:bookmarkStart w:id="904" w:name="_Toc226965834"/>
      <w:r>
        <w:rPr>
          <w:rFonts w:ascii="宋体" w:hAnsi="宋体"/>
          <w:color w:val="000000"/>
          <w:sz w:val="24"/>
          <w:highlight w:val="none"/>
        </w:rPr>
      </w:r>
      <w:r/>
    </w:p>
    <w:p>
      <w:pPr>
        <w:pStyle w:val="1035"/>
        <w:jc w:val="center"/>
        <w:spacing w:line="260" w:lineRule="exact"/>
        <w:rPr>
          <w:color w:val="000000"/>
          <w:sz w:val="36"/>
          <w:szCs w:val="36"/>
          <w:highlight w:val="none"/>
        </w:rPr>
      </w:pPr>
      <w:r>
        <w:rPr>
          <w:color w:val="000000"/>
          <w:sz w:val="36"/>
          <w:szCs w:val="36"/>
          <w:highlight w:val="none"/>
        </w:rPr>
      </w:r>
      <w:r/>
    </w:p>
    <w:tbl>
      <w:tblPr>
        <w:tblW w:w="9625"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080"/>
        <w:gridCol w:w="2136"/>
        <w:gridCol w:w="1080"/>
        <w:gridCol w:w="2220"/>
        <w:gridCol w:w="2029"/>
      </w:tblGrid>
      <w:tr>
        <w:trPr>
          <w:trHeight w:val="500"/>
        </w:trPr>
        <w:tc>
          <w:tcPr>
            <w:gridSpan w:val="3"/>
            <w:tcW w:w="4296"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项目编号</w:t>
            </w:r>
            <w:r>
              <w:rPr>
                <w:rFonts w:hint="eastAsia" w:ascii="宋体" w:hAnsi="宋体" w:eastAsia="宋体" w:cs="宋体"/>
                <w:i w:val="0"/>
                <w:iCs w:val="0"/>
                <w:color w:val="000000"/>
                <w:sz w:val="21"/>
                <w:szCs w:val="21"/>
                <w:highlight w:val="none"/>
                <w:u w:val="none"/>
              </w:rPr>
            </w:r>
            <w:r/>
          </w:p>
        </w:tc>
        <w:tc>
          <w:tcPr>
            <w:gridSpan w:val="3"/>
            <w:tcW w:w="5329" w:type="dxa"/>
            <w:vAlign w:val="center"/>
            <w:textDirection w:val="lrTb"/>
            <w:noWrap w:val="false"/>
          </w:tcPr>
          <w:p>
            <w:pPr>
              <w:pStyle w:val="10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gridSpan w:val="3"/>
            <w:tcW w:w="4296"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项目名称</w:t>
            </w:r>
            <w:r>
              <w:rPr>
                <w:rFonts w:hint="eastAsia" w:ascii="宋体" w:hAnsi="宋体" w:eastAsia="宋体" w:cs="宋体"/>
                <w:i w:val="0"/>
                <w:iCs w:val="0"/>
                <w:color w:val="000000"/>
                <w:sz w:val="21"/>
                <w:szCs w:val="21"/>
                <w:highlight w:val="none"/>
                <w:u w:val="none"/>
              </w:rPr>
            </w:r>
            <w:r/>
          </w:p>
        </w:tc>
        <w:tc>
          <w:tcPr>
            <w:gridSpan w:val="3"/>
            <w:tcW w:w="5329" w:type="dxa"/>
            <w:vAlign w:val="center"/>
            <w:textDirection w:val="lrTb"/>
            <w:noWrap w:val="false"/>
          </w:tcPr>
          <w:p>
            <w:pPr>
              <w:pStyle w:val="10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0"/>
        </w:trPr>
        <w:tc>
          <w:tcPr>
            <w:tcW w:w="108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类别</w:t>
            </w:r>
            <w:r>
              <w:rPr>
                <w:rFonts w:hint="eastAsia" w:ascii="宋体" w:hAnsi="宋体" w:eastAsia="宋体" w:cs="宋体"/>
                <w:i w:val="0"/>
                <w:iCs w:val="0"/>
                <w:color w:val="000000"/>
                <w:sz w:val="21"/>
                <w:szCs w:val="21"/>
                <w:highlight w:val="none"/>
                <w:u w:val="none"/>
              </w:rPr>
            </w:r>
            <w:r/>
          </w:p>
        </w:tc>
        <w:tc>
          <w:tcPr>
            <w:tcW w:w="2136"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项目内容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rPr>
                <w:rFonts w:hint="eastAsia" w:ascii="宋体" w:hAnsi="宋体" w:eastAsia="宋体" w:cs="宋体"/>
                <w:i w:val="0"/>
                <w:iCs w:val="0"/>
                <w:color w:val="000000"/>
                <w:sz w:val="21"/>
                <w:szCs w:val="21"/>
                <w:highlight w:val="none"/>
                <w:u w:val="none"/>
              </w:rPr>
            </w:r>
            <w:r/>
          </w:p>
        </w:tc>
        <w:tc>
          <w:tcPr>
            <w:tcW w:w="222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单价报价</w:t>
            </w:r>
            <w:r>
              <w:rPr>
                <w:rFonts w:hint="eastAsia" w:ascii="宋体" w:hAnsi="宋体" w:eastAsia="宋体" w:cs="宋体"/>
                <w:i w:val="0"/>
                <w:iCs w:val="0"/>
                <w:color w:val="000000"/>
                <w:sz w:val="21"/>
                <w:szCs w:val="21"/>
                <w:highlight w:val="none"/>
                <w:u w:val="none"/>
              </w:rPr>
            </w:r>
            <w:r/>
          </w:p>
        </w:tc>
        <w:tc>
          <w:tcPr>
            <w:tcW w:w="2028"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单年度金额（元）</w:t>
            </w:r>
            <w:r>
              <w:rPr>
                <w:rFonts w:hint="eastAsia" w:ascii="宋体" w:hAnsi="宋体" w:eastAsia="宋体" w:cs="宋体"/>
                <w:i w:val="0"/>
                <w:iCs w:val="0"/>
                <w:color w:val="000000"/>
                <w:sz w:val="21"/>
                <w:szCs w:val="21"/>
                <w:highlight w:val="none"/>
                <w:u w:val="none"/>
              </w:rPr>
            </w:r>
            <w:r/>
          </w:p>
        </w:tc>
      </w:tr>
      <w:tr>
        <w:trPr>
          <w:trHeight w:val="600"/>
        </w:trPr>
        <w:tc>
          <w:tcPr>
            <w:tcW w:w="1080" w:type="dxa"/>
            <w:vAlign w:val="center"/>
            <w:vMerge w:val="restart"/>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车辆</w:t>
            </w:r>
            <w:r>
              <w:rPr>
                <w:rFonts w:hint="eastAsia" w:ascii="宋体" w:hAnsi="宋体" w:eastAsia="宋体" w:cs="宋体"/>
                <w:i w:val="0"/>
                <w:iCs w:val="0"/>
                <w:color w:val="000000"/>
                <w:sz w:val="21"/>
                <w:szCs w:val="21"/>
                <w:highlight w:val="none"/>
                <w:u w:val="none"/>
              </w:rPr>
            </w:r>
            <w:r/>
          </w:p>
        </w:tc>
        <w:tc>
          <w:tcPr>
            <w:tcW w:w="2136"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自卸运输卡车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1辆</w:t>
            </w:r>
            <w:r>
              <w:rPr>
                <w:rFonts w:hint="eastAsia" w:ascii="宋体" w:hAnsi="宋体" w:eastAsia="宋体" w:cs="宋体"/>
                <w:i w:val="0"/>
                <w:iCs w:val="0"/>
                <w:color w:val="000000"/>
                <w:sz w:val="21"/>
                <w:szCs w:val="21"/>
                <w:highlight w:val="none"/>
                <w:u w:val="none"/>
              </w:rPr>
            </w:r>
            <w:r/>
          </w:p>
        </w:tc>
        <w:tc>
          <w:tcPr>
            <w:tcW w:w="222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元/辆/年</w:t>
            </w:r>
            <w:r>
              <w:rPr>
                <w:rFonts w:hint="eastAsia" w:ascii="宋体" w:hAnsi="宋体" w:eastAsia="宋体" w:cs="宋体"/>
                <w:i w:val="0"/>
                <w:iCs w:val="0"/>
                <w:color w:val="000000"/>
                <w:sz w:val="21"/>
                <w:szCs w:val="21"/>
                <w:highlight w:val="none"/>
                <w:u w:val="none"/>
              </w:rPr>
            </w:r>
            <w:r/>
          </w:p>
        </w:tc>
        <w:tc>
          <w:tcPr>
            <w:tcW w:w="2028" w:type="dxa"/>
            <w:vAlign w:val="center"/>
            <w:textDirection w:val="lrTb"/>
            <w:noWrap w:val="false"/>
          </w:tcPr>
          <w:p>
            <w:pPr>
              <w:pStyle w:val="10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080" w:type="dxa"/>
            <w:vAlign w:val="center"/>
            <w:vMerge w:val="continue"/>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80" w:type="dxa"/>
            <w:vAlign w:val="center"/>
            <w:vMerge w:val="continue"/>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136"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铲车</w:t>
            </w:r>
            <w:r>
              <w:rPr>
                <w:rFonts w:hint="eastAsia"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1辆</w:t>
            </w:r>
            <w:r>
              <w:rPr>
                <w:rFonts w:hint="eastAsia" w:ascii="宋体" w:hAnsi="宋体" w:eastAsia="宋体" w:cs="宋体"/>
                <w:i w:val="0"/>
                <w:iCs w:val="0"/>
                <w:color w:val="000000"/>
                <w:sz w:val="21"/>
                <w:szCs w:val="21"/>
                <w:highlight w:val="none"/>
                <w:u w:val="none"/>
                <w:lang w:val="en-US" w:eastAsia="zh-CN" w:bidi="ar"/>
              </w:rPr>
            </w:r>
            <w:r/>
          </w:p>
        </w:tc>
        <w:tc>
          <w:tcPr>
            <w:tcW w:w="222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元/辆/年</w:t>
            </w:r>
            <w:r>
              <w:rPr>
                <w:rFonts w:hint="eastAsia" w:ascii="宋体" w:hAnsi="宋体" w:eastAsia="宋体" w:cs="宋体"/>
                <w:i w:val="0"/>
                <w:iCs w:val="0"/>
                <w:color w:val="000000"/>
                <w:sz w:val="21"/>
                <w:szCs w:val="21"/>
                <w:highlight w:val="none"/>
                <w:u w:val="none"/>
                <w:lang w:val="en-US" w:eastAsia="zh-CN" w:bidi="ar"/>
              </w:rPr>
            </w:r>
            <w:r/>
          </w:p>
        </w:tc>
        <w:tc>
          <w:tcPr>
            <w:tcW w:w="2028" w:type="dxa"/>
            <w:vAlign w:val="center"/>
            <w:textDirection w:val="lrTb"/>
            <w:noWrap w:val="false"/>
          </w:tcPr>
          <w:p>
            <w:pPr>
              <w:pStyle w:val="10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080" w:type="dxa"/>
            <w:vAlign w:val="center"/>
            <w:vMerge w:val="continue"/>
            <w:textDirection w:val="lrTb"/>
            <w:noWrap w:val="false"/>
          </w:tcPr>
          <w:p>
            <w:pPr>
              <w:pStyle w:val="10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10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136"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巡查车辆4辆（2辆汽车及2辆电瓶车辆）</w:t>
            </w:r>
            <w:r>
              <w:rPr>
                <w:rFonts w:hint="eastAsia"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4辆</w:t>
            </w:r>
            <w:r>
              <w:rPr>
                <w:rFonts w:hint="eastAsia" w:ascii="宋体" w:hAnsi="宋体" w:eastAsia="宋体" w:cs="宋体"/>
                <w:i w:val="0"/>
                <w:iCs w:val="0"/>
                <w:color w:val="000000"/>
                <w:sz w:val="21"/>
                <w:szCs w:val="21"/>
                <w:highlight w:val="none"/>
                <w:u w:val="none"/>
                <w:lang w:val="en-US" w:eastAsia="zh-CN" w:bidi="ar"/>
              </w:rPr>
            </w:r>
            <w:r/>
          </w:p>
        </w:tc>
        <w:tc>
          <w:tcPr>
            <w:tcW w:w="222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元/辆/年</w:t>
            </w:r>
            <w:r>
              <w:rPr>
                <w:rFonts w:hint="eastAsia" w:ascii="宋体" w:hAnsi="宋体" w:eastAsia="宋体" w:cs="宋体"/>
                <w:i w:val="0"/>
                <w:iCs w:val="0"/>
                <w:color w:val="000000"/>
                <w:sz w:val="21"/>
                <w:szCs w:val="21"/>
                <w:highlight w:val="none"/>
                <w:u w:val="none"/>
              </w:rPr>
            </w:r>
            <w:r/>
          </w:p>
        </w:tc>
        <w:tc>
          <w:tcPr>
            <w:tcW w:w="2028" w:type="dxa"/>
            <w:vAlign w:val="center"/>
            <w:textDirection w:val="lrTb"/>
            <w:noWrap w:val="false"/>
          </w:tcPr>
          <w:p>
            <w:pPr>
              <w:pStyle w:val="10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080" w:type="dxa"/>
            <w:vAlign w:val="center"/>
            <w:vMerge w:val="continue"/>
            <w:textDirection w:val="lrTb"/>
            <w:noWrap w:val="false"/>
          </w:tcPr>
          <w:p>
            <w:pPr>
              <w:pStyle w:val="10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10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136"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洗地车</w:t>
            </w:r>
            <w:r>
              <w:rPr>
                <w:rFonts w:hint="eastAsia"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1辆</w:t>
            </w:r>
            <w:r>
              <w:rPr>
                <w:rFonts w:hint="eastAsia" w:ascii="宋体" w:hAnsi="宋体" w:eastAsia="宋体" w:cs="宋体"/>
                <w:i w:val="0"/>
                <w:iCs w:val="0"/>
                <w:color w:val="000000"/>
                <w:sz w:val="21"/>
                <w:szCs w:val="21"/>
                <w:highlight w:val="none"/>
                <w:u w:val="none"/>
                <w:lang w:val="en-US" w:eastAsia="zh-CN" w:bidi="ar"/>
              </w:rPr>
            </w:r>
            <w:r/>
          </w:p>
        </w:tc>
        <w:tc>
          <w:tcPr>
            <w:tcW w:w="222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元/辆/年</w:t>
            </w:r>
            <w:r>
              <w:rPr>
                <w:rFonts w:hint="eastAsia" w:ascii="宋体" w:hAnsi="宋体" w:eastAsia="宋体" w:cs="宋体"/>
                <w:i w:val="0"/>
                <w:iCs w:val="0"/>
                <w:color w:val="000000"/>
                <w:sz w:val="21"/>
                <w:szCs w:val="21"/>
                <w:highlight w:val="none"/>
                <w:u w:val="none"/>
              </w:rPr>
            </w:r>
            <w:r/>
          </w:p>
        </w:tc>
        <w:tc>
          <w:tcPr>
            <w:tcW w:w="2028" w:type="dxa"/>
            <w:vAlign w:val="center"/>
            <w:textDirection w:val="lrTb"/>
            <w:noWrap w:val="false"/>
          </w:tcPr>
          <w:p>
            <w:pPr>
              <w:pStyle w:val="10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080" w:type="dxa"/>
            <w:vAlign w:val="center"/>
            <w:vMerge w:val="restart"/>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080" w:type="dxa"/>
            <w:vAlign w:val="center"/>
            <w:vMerge w:val="restart"/>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w:t>
            </w:r>
            <w:r>
              <w:rPr>
                <w:rFonts w:hint="eastAsia" w:ascii="宋体" w:hAnsi="宋体" w:eastAsia="宋体" w:cs="宋体"/>
                <w:i w:val="0"/>
                <w:iCs w:val="0"/>
                <w:color w:val="000000"/>
                <w:sz w:val="21"/>
                <w:szCs w:val="21"/>
                <w:highlight w:val="none"/>
                <w:u w:val="none"/>
              </w:rPr>
            </w:r>
            <w:r/>
          </w:p>
        </w:tc>
        <w:tc>
          <w:tcPr>
            <w:tcW w:w="2136"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项目负责人</w:t>
            </w:r>
            <w:r>
              <w:rPr>
                <w:rFonts w:hint="eastAsia" w:ascii="宋体" w:hAnsi="宋体" w:eastAsia="宋体" w:cs="宋体"/>
                <w:i w:val="0"/>
                <w:iCs w:val="0"/>
                <w:color w:val="000000"/>
                <w:sz w:val="21"/>
                <w:szCs w:val="21"/>
                <w:highlight w:val="none"/>
                <w:u w:val="none"/>
                <w:lang w:val="en-US" w:eastAsia="zh-CN" w:bidi="ar"/>
              </w:rPr>
            </w:r>
            <w:r/>
          </w:p>
        </w:tc>
        <w:tc>
          <w:tcPr>
            <w:tcW w:w="108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1人</w:t>
            </w:r>
            <w:r>
              <w:rPr>
                <w:rFonts w:hint="eastAsia" w:ascii="宋体" w:hAnsi="宋体" w:eastAsia="宋体" w:cs="宋体"/>
                <w:i w:val="0"/>
                <w:iCs w:val="0"/>
                <w:color w:val="000000"/>
                <w:sz w:val="21"/>
                <w:szCs w:val="21"/>
                <w:highlight w:val="none"/>
                <w:u w:val="none"/>
                <w:lang w:val="en-US" w:eastAsia="zh-CN" w:bidi="ar"/>
              </w:rPr>
            </w:r>
            <w:r/>
          </w:p>
        </w:tc>
        <w:tc>
          <w:tcPr>
            <w:tcW w:w="222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元/人/年</w:t>
            </w:r>
            <w:r>
              <w:rPr>
                <w:rFonts w:hint="eastAsia" w:ascii="宋体" w:hAnsi="宋体" w:eastAsia="宋体" w:cs="宋体"/>
                <w:i w:val="0"/>
                <w:iCs w:val="0"/>
                <w:color w:val="000000"/>
                <w:sz w:val="21"/>
                <w:szCs w:val="21"/>
                <w:highlight w:val="none"/>
                <w:u w:val="none"/>
              </w:rPr>
            </w:r>
            <w:r/>
          </w:p>
        </w:tc>
        <w:tc>
          <w:tcPr>
            <w:tcW w:w="2028" w:type="dxa"/>
            <w:vAlign w:val="center"/>
            <w:textDirection w:val="lrTb"/>
            <w:noWrap w:val="false"/>
          </w:tcPr>
          <w:p>
            <w:pPr>
              <w:pStyle w:val="10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080" w:type="dxa"/>
            <w:vAlign w:val="center"/>
            <w:vMerge w:val="continue"/>
            <w:textDirection w:val="lrTb"/>
            <w:noWrap w:val="false"/>
          </w:tcPr>
          <w:p>
            <w:pPr>
              <w:pStyle w:val="10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80" w:type="dxa"/>
            <w:vAlign w:val="center"/>
            <w:vMerge w:val="continue"/>
            <w:textDirection w:val="lrTb"/>
            <w:noWrap w:val="false"/>
          </w:tcPr>
          <w:p>
            <w:pPr>
              <w:pStyle w:val="10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136"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环卫人员</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6人</w:t>
            </w:r>
            <w:r>
              <w:rPr>
                <w:rFonts w:hint="eastAsia" w:ascii="宋体" w:hAnsi="宋体" w:eastAsia="宋体" w:cs="宋体"/>
                <w:i w:val="0"/>
                <w:iCs w:val="0"/>
                <w:color w:val="000000"/>
                <w:sz w:val="21"/>
                <w:szCs w:val="21"/>
                <w:highlight w:val="none"/>
                <w:u w:val="none"/>
              </w:rPr>
            </w:r>
            <w:r/>
          </w:p>
        </w:tc>
        <w:tc>
          <w:tcPr>
            <w:tcW w:w="222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元/人/年</w:t>
            </w:r>
            <w:r>
              <w:rPr>
                <w:rFonts w:hint="eastAsia" w:ascii="宋体" w:hAnsi="宋体" w:eastAsia="宋体" w:cs="宋体"/>
                <w:i w:val="0"/>
                <w:iCs w:val="0"/>
                <w:color w:val="000000"/>
                <w:sz w:val="21"/>
                <w:szCs w:val="21"/>
                <w:highlight w:val="none"/>
                <w:u w:val="none"/>
              </w:rPr>
            </w:r>
            <w:r/>
          </w:p>
        </w:tc>
        <w:tc>
          <w:tcPr>
            <w:tcW w:w="2028" w:type="dxa"/>
            <w:vAlign w:val="center"/>
            <w:textDirection w:val="lrTb"/>
            <w:noWrap w:val="false"/>
          </w:tcPr>
          <w:p>
            <w:pPr>
              <w:pStyle w:val="10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08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gridSpan w:val="2"/>
            <w:tcW w:w="3216"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各类垃圾消纳费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w:t>
            </w:r>
            <w:r>
              <w:rPr>
                <w:rFonts w:hint="eastAsia" w:ascii="宋体" w:hAnsi="宋体" w:eastAsia="宋体" w:cs="宋体"/>
                <w:i w:val="0"/>
                <w:iCs w:val="0"/>
                <w:color w:val="000000"/>
                <w:sz w:val="21"/>
                <w:szCs w:val="21"/>
                <w:highlight w:val="none"/>
                <w:u w:val="none"/>
              </w:rPr>
            </w:r>
            <w:r/>
          </w:p>
        </w:tc>
        <w:tc>
          <w:tcPr>
            <w:tcW w:w="2220"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元/年</w:t>
            </w:r>
            <w:r>
              <w:rPr>
                <w:rFonts w:hint="eastAsia" w:ascii="宋体" w:hAnsi="宋体" w:eastAsia="宋体" w:cs="宋体"/>
                <w:i w:val="0"/>
                <w:iCs w:val="0"/>
                <w:color w:val="000000"/>
                <w:sz w:val="21"/>
                <w:szCs w:val="21"/>
                <w:highlight w:val="none"/>
                <w:u w:val="none"/>
              </w:rPr>
            </w:r>
            <w:r/>
          </w:p>
        </w:tc>
        <w:tc>
          <w:tcPr>
            <w:tcW w:w="2028" w:type="dxa"/>
            <w:vAlign w:val="center"/>
            <w:textDirection w:val="lrTb"/>
            <w:noWrap w:val="false"/>
          </w:tcPr>
          <w:p>
            <w:pPr>
              <w:pStyle w:val="10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gridSpan w:val="5"/>
            <w:tcW w:w="7596" w:type="dxa"/>
            <w:vAlign w:val="center"/>
            <w:textDirection w:val="lrTb"/>
            <w:noWrap w:val="false"/>
          </w:tcPr>
          <w:p>
            <w:pPr>
              <w:pStyle w:val="10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合计（元）</w:t>
            </w:r>
            <w:r>
              <w:rPr>
                <w:rFonts w:hint="eastAsia" w:ascii="宋体" w:hAnsi="宋体" w:eastAsia="宋体" w:cs="宋体"/>
                <w:i w:val="0"/>
                <w:iCs w:val="0"/>
                <w:color w:val="000000"/>
                <w:sz w:val="21"/>
                <w:szCs w:val="21"/>
                <w:highlight w:val="none"/>
                <w:u w:val="none"/>
              </w:rPr>
            </w:r>
            <w:r/>
          </w:p>
        </w:tc>
        <w:tc>
          <w:tcPr>
            <w:tcW w:w="2028" w:type="dxa"/>
            <w:vAlign w:val="center"/>
            <w:textDirection w:val="lrTb"/>
            <w:noWrap w:val="false"/>
          </w:tcPr>
          <w:p>
            <w:pPr>
              <w:pStyle w:val="10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35"/>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35"/>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3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3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35"/>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rPr>
      </w:r>
      <w:r/>
    </w:p>
    <w:p>
      <w:pPr>
        <w:pStyle w:val="1035"/>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1.本表上述单价为各类别明细的综合单价，单价内容包括但不限于招标文件及其基本技术要求范围内相应服务前的准备（包括现场踏勘等）、项目服务、人员费用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社保高温费加班费</w:t>
      </w:r>
      <w:r>
        <w:rPr>
          <w:rFonts w:hint="eastAsia" w:ascii="宋体" w:hAnsi="宋体" w:eastAsia="宋体" w:cs="宋体"/>
          <w:color w:val="000000"/>
          <w:highlight w:val="none"/>
        </w:rPr>
        <w:t xml:space="preserve">、专用设备、工具、车辆、机械、燃油等能耗费、消耗品、服装、劳保、维修保养、折旧、办公设备、场地、通讯、验收、保险、管理、利润、各种税费、市场价格波动风险因素、政策性文件规定及项目明示或暗示的所有风险、责任、义务等各项应有的费用；上述未列明，但投标人认为所需的其他费用也包含在内，采购人不再向中标人支付其他额外任何费用。同时，除非合同条款中另有规定，否则，投标人所报价格在项目投标、合同实施期间不因市场变化等因素而变动。</w:t>
      </w:r>
      <w:r>
        <w:rPr>
          <w:rFonts w:hint="eastAsia" w:ascii="宋体" w:hAnsi="宋体" w:eastAsia="宋体" w:cs="宋体"/>
          <w:color w:val="000000"/>
          <w:highlight w:val="none"/>
        </w:rPr>
      </w:r>
      <w:r/>
    </w:p>
    <w:p>
      <w:pPr>
        <w:pStyle w:val="1035"/>
        <w:keepLines w:val="0"/>
        <w:keepNext w:val="0"/>
        <w:pageBreakBefore w:val="0"/>
        <w:spacing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2.本表中的“单年度金额”数值应当与《报价一览表》中“单年度金额”数值一致。</w:t>
      </w:r>
      <w:r>
        <w:rPr>
          <w:rFonts w:hint="eastAsia" w:ascii="宋体" w:hAnsi="宋体" w:eastAsia="宋体" w:cs="宋体"/>
          <w:color w:val="000000"/>
          <w:highlight w:val="none"/>
        </w:rPr>
      </w:r>
      <w:r/>
    </w:p>
    <w:p>
      <w:pPr>
        <w:pStyle w:val="1035"/>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35"/>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35"/>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35"/>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35"/>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35"/>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35"/>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35"/>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r>
    </w:tbl>
    <w:p>
      <w:pPr>
        <w:pStyle w:val="103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3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35"/>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35"/>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35"/>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35"/>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3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3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35"/>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35"/>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35"/>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35"/>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35"/>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35"/>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35"/>
              <w:jc w:val="both"/>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35"/>
              <w:jc w:val="center"/>
              <w:rPr>
                <w:rFonts w:ascii="宋体" w:hAnsi="宋体"/>
                <w:color w:val="000000"/>
                <w:sz w:val="24"/>
                <w:highlight w:val="none"/>
              </w:rPr>
            </w:pPr>
            <w:r>
              <w:rPr>
                <w:rFonts w:ascii="宋体" w:hAnsi="宋体"/>
                <w:color w:val="000000"/>
                <w:sz w:val="24"/>
                <w:highlight w:val="none"/>
              </w:rPr>
            </w:r>
            <w:r/>
          </w:p>
        </w:tc>
      </w:tr>
    </w:tbl>
    <w:p>
      <w:pPr>
        <w:pStyle w:val="1035"/>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3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35"/>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3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35"/>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35"/>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3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3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35"/>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35"/>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35"/>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35"/>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35"/>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35"/>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35"/>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10"/>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35"/>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35"/>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35"/>
        <w:jc w:val="left"/>
        <w:widowControl/>
        <w:rPr>
          <w:rFonts w:ascii="宋体" w:hAnsi="宋体"/>
          <w:color w:val="000000"/>
          <w:sz w:val="24"/>
          <w:highlight w:val="none"/>
        </w:rPr>
      </w:pPr>
      <w:r>
        <w:rPr>
          <w:rFonts w:ascii="宋体" w:hAnsi="宋体"/>
          <w:color w:val="000000"/>
          <w:sz w:val="24"/>
          <w:highlight w:val="none"/>
        </w:rPr>
      </w:r>
      <w:r/>
    </w:p>
    <w:p>
      <w:pPr>
        <w:pStyle w:val="1035"/>
        <w:jc w:val="center"/>
        <w:spacing w:before="240" w:after="240" w:line="360" w:lineRule="auto"/>
        <w:rPr>
          <w:rFonts w:ascii="宋体" w:hAnsi="宋体"/>
          <w:b/>
          <w:bCs/>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1035"/>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highlight w:val="none"/>
        </w:rPr>
      </w:r>
      <w:r/>
    </w:p>
    <w:p>
      <w:pPr>
        <w:pStyle w:val="1035"/>
        <w:numPr>
          <w:ilvl w:val="0"/>
          <w:numId w:val="14"/>
        </w:numPr>
        <w:ind w:left="284" w:right="236" w:firstLine="576"/>
        <w:jc w:val="left"/>
        <w:spacing w:line="360" w:lineRule="auto"/>
        <w:tabs>
          <w:tab w:val="left" w:pos="1276" w:leader="none"/>
          <w:tab w:val="left" w:pos="5005" w:leader="none"/>
          <w:tab w:val="left" w:pos="722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lang w:val="en-US" w:eastAsia="zh-CN"/>
        </w:rPr>
        <w:t xml:space="preserve">其他未列明行业</w:t>
      </w:r>
      <w:r>
        <w:rPr>
          <w:rFonts w:ascii="宋体" w:hAnsi="宋体"/>
          <w:i/>
          <w:color w:val="000000"/>
          <w:sz w:val="24"/>
          <w:highlight w:val="none"/>
          <w:u w:val="single"/>
        </w:rPr>
        <w:t xml:space="preserve">）</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"_bookmark1"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35"/>
        <w:numPr>
          <w:ilvl w:val="0"/>
          <w:numId w:val="14"/>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lang w:val="en-US" w:eastAsia="zh-CN"/>
        </w:rPr>
        <w:t xml:space="preserve">其他未列明行业</w:t>
      </w:r>
      <w:r>
        <w:rPr>
          <w:rFonts w:ascii="宋体" w:hAnsi="宋体"/>
          <w:i/>
          <w:color w:val="000000"/>
          <w:sz w:val="24"/>
          <w:highlight w:val="none"/>
          <w:u w:val="single"/>
        </w:rPr>
        <w:t xml:space="preserve">）</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35"/>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35"/>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35"/>
        <w:ind w:firstLine="504"/>
        <w:spacing w:line="360" w:lineRule="auto"/>
        <w:rPr>
          <w:rFonts w:ascii="宋体" w:hAnsi="宋体"/>
          <w:color w:val="000000"/>
          <w:spacing w:val="6"/>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35"/>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35"/>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35"/>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35"/>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35"/>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35"/>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5"/>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35"/>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035"/>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35"/>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35"/>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35"/>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35"/>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35"/>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35"/>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35"/>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35"/>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35"/>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35"/>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35"/>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eastAsia="宋体" w:cs="Times New Roman"/>
          <w:b/>
          <w:color w:val="000000"/>
          <w:sz w:val="24"/>
          <w:szCs w:val="20"/>
          <w:highlight w:val="none"/>
          <w:lang w:val="en-US" w:eastAsia="zh-CN"/>
        </w:rPr>
        <w:t xml:space="preserve">10</w:t>
      </w:r>
      <w:r>
        <w:rPr>
          <w:rFonts w:hint="eastAsia" w:ascii="宋体" w:hAnsi="宋体" w:eastAsia="宋体" w:cs="Times New Roman"/>
          <w:b/>
          <w:color w:val="000000"/>
          <w:sz w:val="24"/>
          <w:szCs w:val="20"/>
          <w:highlight w:val="none"/>
        </w:rPr>
        <w:t xml:space="preserve">  关于符合本国产品标准的声明函</w:t>
      </w:r>
      <w:r>
        <w:rPr>
          <w:rFonts w:ascii="宋体" w:hAnsi="宋体"/>
          <w:color w:val="000000"/>
          <w:sz w:val="24"/>
          <w:szCs w:val="20"/>
          <w:highlight w:val="none"/>
        </w:rPr>
      </w:r>
      <w:r/>
    </w:p>
    <w:p>
      <w:pPr>
        <w:pStyle w:val="1096"/>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096"/>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096"/>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09"/>
          <w:rFonts w:hint="eastAsia" w:ascii="方正魏碑_GBK" w:hAnsi="方正魏碑_GBK" w:eastAsia="方正魏碑_GBK" w:cs="方正魏碑_GBK"/>
          <w:i w:val="0"/>
          <w:color w:val="000000"/>
          <w:highlight w:val="none"/>
          <w:u w:val="single"/>
          <w:shd w:val="clear" w:color="auto" w:fill="ffffff"/>
        </w:rPr>
        <w:t xml:space="preserve">（产品名称1）</w:t>
      </w:r>
      <w:r>
        <w:rPr>
          <w:rStyle w:val="1109"/>
          <w:rFonts w:hint="eastAsia" w:ascii="方正魏碑_GBK" w:hAnsi="方正魏碑_GBK" w:eastAsia="方正魏碑_GBK" w:cs="方正魏碑_GBK"/>
          <w:i w:val="0"/>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09"/>
          <w:rFonts w:hint="eastAsia" w:ascii="方正魏碑_GBK" w:hAnsi="方正魏碑_GBK" w:eastAsia="方正魏碑_GBK" w:cs="方正魏碑_GBK"/>
          <w:i w:val="0"/>
          <w:color w:val="000000"/>
          <w:highlight w:val="none"/>
          <w:u w:val="single"/>
          <w:shd w:val="clear" w:color="auto" w:fill="ffffff"/>
        </w:rPr>
        <w:t xml:space="preserve">（厂名）</w:t>
      </w:r>
      <w:r>
        <w:rPr>
          <w:rStyle w:val="1109"/>
          <w:rFonts w:hint="eastAsia" w:ascii="方正魏碑_GBK" w:hAnsi="方正魏碑_GBK" w:eastAsia="方正魏碑_GBK" w:cs="方正魏碑_GBK"/>
          <w:i w:val="0"/>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09"/>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09"/>
          <w:rFonts w:hint="eastAsia" w:ascii="方正魏碑_GBK" w:hAnsi="方正魏碑_GBK" w:eastAsia="方正魏碑_GBK" w:cs="方正魏碑_GBK"/>
          <w:i w:val="0"/>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09"/>
          <w:rFonts w:hint="eastAsia" w:ascii="方正魏碑_GBK" w:hAnsi="方正魏碑_GBK" w:eastAsia="方正魏碑_GBK" w:cs="方正魏碑_GBK"/>
          <w:i w:val="0"/>
          <w:color w:val="000000"/>
          <w:highlight w:val="none"/>
          <w:u w:val="single"/>
          <w:shd w:val="clear" w:color="auto" w:fill="ffffff"/>
        </w:rPr>
        <w:t xml:space="preserve">（规定</w:t>
      </w:r>
      <w:r>
        <w:rPr>
          <w:rStyle w:val="1109"/>
          <w:rFonts w:ascii="方正魏碑_GBK" w:hAnsi="方正魏碑_GBK" w:eastAsia="方正魏碑_GBK" w:cs="方正魏碑_GBK"/>
          <w:i w:val="0"/>
          <w:color w:val="000000"/>
          <w:highlight w:val="none"/>
          <w:u w:val="single"/>
          <w:shd w:val="clear" w:color="auto" w:fill="ffffff"/>
        </w:rPr>
        <w:t xml:space="preserve">比例</w:t>
      </w:r>
      <w:r>
        <w:rPr>
          <w:rStyle w:val="1109"/>
          <w:rFonts w:hint="eastAsia" w:ascii="方正魏碑_GBK" w:hAnsi="方正魏碑_GBK" w:eastAsia="方正魏碑_GBK" w:cs="方正魏碑_GBK"/>
          <w:i w:val="0"/>
          <w:color w:val="000000"/>
          <w:highlight w:val="none"/>
          <w:u w:val="single"/>
          <w:shd w:val="clear" w:color="auto" w:fill="ffffff"/>
        </w:rPr>
        <w:t xml:space="preserve">）</w:t>
      </w:r>
      <w:r>
        <w:rPr>
          <w:rStyle w:val="1109"/>
          <w:rFonts w:hint="eastAsia" w:ascii="方正魏碑_GBK" w:hAnsi="方正魏碑_GBK" w:eastAsia="方正魏碑_GBK" w:cs="方正魏碑_GBK"/>
          <w:i w:val="0"/>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09"/>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09"/>
          <w:rFonts w:hint="eastAsia" w:ascii="方正魏碑_GBK" w:hAnsi="方正魏碑_GBK" w:eastAsia="方正魏碑_GBK" w:cs="方正魏碑_GBK"/>
          <w:i w:val="0"/>
          <w:color w:val="000000"/>
          <w:highlight w:val="none"/>
          <w:u w:val="single"/>
          <w:shd w:val="clear" w:color="auto" w:fill="ffffff"/>
        </w:rPr>
        <w:t xml:space="preserve">（关键</w:t>
      </w:r>
      <w:r>
        <w:rPr>
          <w:rStyle w:val="1109"/>
          <w:rFonts w:ascii="方正魏碑_GBK" w:hAnsi="方正魏碑_GBK" w:eastAsia="方正魏碑_GBK" w:cs="方正魏碑_GBK"/>
          <w:i w:val="0"/>
          <w:color w:val="000000"/>
          <w:highlight w:val="none"/>
          <w:u w:val="single"/>
          <w:shd w:val="clear" w:color="auto" w:fill="ffffff"/>
        </w:rPr>
        <w:t xml:space="preserve">组件</w:t>
      </w:r>
      <w:r>
        <w:rPr>
          <w:rStyle w:val="1109"/>
          <w:rFonts w:hint="eastAsia" w:ascii="方正魏碑_GBK" w:hAnsi="方正魏碑_GBK" w:eastAsia="方正魏碑_GBK" w:cs="方正魏碑_GBK"/>
          <w:i w:val="0"/>
          <w:color w:val="000000"/>
          <w:highlight w:val="none"/>
          <w:u w:val="single"/>
          <w:shd w:val="clear" w:color="auto" w:fill="ffffff"/>
        </w:rPr>
        <w:t xml:space="preserve">）</w:t>
      </w:r>
      <w:r>
        <w:rPr>
          <w:rStyle w:val="1109"/>
          <w:rFonts w:hint="eastAsia" w:ascii="方正魏碑_GBK" w:hAnsi="方正魏碑_GBK" w:eastAsia="方正魏碑_GBK" w:cs="方正魏碑_GBK"/>
          <w:i w:val="0"/>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09"/>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09"/>
          <w:rFonts w:hint="eastAsia" w:ascii="方正魏碑_GBK" w:hAnsi="方正魏碑_GBK" w:eastAsia="方正魏碑_GBK" w:cs="方正魏碑_GBK"/>
          <w:i w:val="0"/>
          <w:color w:val="000000"/>
          <w:highlight w:val="none"/>
          <w:u w:val="single"/>
          <w:shd w:val="clear" w:color="auto" w:fill="ffffff"/>
        </w:rPr>
        <w:t xml:space="preserve">（关键工序）</w:t>
      </w:r>
      <w:r>
        <w:rPr>
          <w:rStyle w:val="1109"/>
          <w:rFonts w:hint="eastAsia" w:ascii="方正魏碑_GBK" w:hAnsi="方正魏碑_GBK" w:eastAsia="方正魏碑_GBK" w:cs="方正魏碑_GBK"/>
          <w:i w:val="0"/>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096"/>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09"/>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09"/>
          <w:rFonts w:hint="eastAsia" w:ascii="方正魏碑_GBK" w:hAnsi="方正魏碑_GBK" w:eastAsia="方正魏碑_GBK" w:cs="方正魏碑_GBK"/>
          <w:i w:val="0"/>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09"/>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09"/>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09"/>
          <w:rFonts w:hint="eastAsia" w:ascii="方正魏碑_GBK" w:hAnsi="方正魏碑_GBK" w:eastAsia="方正魏碑_GBK" w:cs="方正魏碑_GBK"/>
          <w:i w:val="0"/>
          <w:color w:val="000000"/>
          <w:highlight w:val="none"/>
          <w:u w:val="single"/>
          <w:shd w:val="clear" w:color="auto" w:fill="ffffff"/>
        </w:rPr>
        <w:t xml:space="preserve">（规定</w:t>
      </w:r>
      <w:r>
        <w:rPr>
          <w:rStyle w:val="1109"/>
          <w:rFonts w:ascii="方正魏碑_GBK" w:hAnsi="方正魏碑_GBK" w:eastAsia="方正魏碑_GBK" w:cs="方正魏碑_GBK"/>
          <w:i w:val="0"/>
          <w:color w:val="000000"/>
          <w:highlight w:val="none"/>
          <w:u w:val="single"/>
          <w:shd w:val="clear" w:color="auto" w:fill="ffffff"/>
        </w:rPr>
        <w:t xml:space="preserve">比例</w:t>
      </w:r>
      <w:r>
        <w:rPr>
          <w:rStyle w:val="1109"/>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09"/>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09"/>
          <w:rFonts w:hint="eastAsia" w:ascii="方正魏碑_GBK" w:hAnsi="方正魏碑_GBK" w:eastAsia="方正魏碑_GBK" w:cs="方正魏碑_GBK"/>
          <w:i w:val="0"/>
          <w:color w:val="000000"/>
          <w:highlight w:val="none"/>
          <w:u w:val="single"/>
          <w:shd w:val="clear" w:color="auto" w:fill="ffffff"/>
        </w:rPr>
        <w:t xml:space="preserve">（关键</w:t>
      </w:r>
      <w:r>
        <w:rPr>
          <w:rStyle w:val="1109"/>
          <w:rFonts w:ascii="方正魏碑_GBK" w:hAnsi="方正魏碑_GBK" w:eastAsia="方正魏碑_GBK" w:cs="方正魏碑_GBK"/>
          <w:i w:val="0"/>
          <w:color w:val="000000"/>
          <w:highlight w:val="none"/>
          <w:u w:val="single"/>
          <w:shd w:val="clear" w:color="auto" w:fill="ffffff"/>
        </w:rPr>
        <w:t xml:space="preserve">组件</w:t>
      </w:r>
      <w:r>
        <w:rPr>
          <w:rStyle w:val="1109"/>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09"/>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09"/>
          <w:rFonts w:hint="eastAsia" w:ascii="方正魏碑_GBK" w:hAnsi="方正魏碑_GBK" w:eastAsia="方正魏碑_GBK" w:cs="方正魏碑_GBK"/>
          <w:i w:val="0"/>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096"/>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096"/>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096"/>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096"/>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096"/>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096"/>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096"/>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096"/>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096"/>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096"/>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096"/>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096"/>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35"/>
        <w:spacing w:line="360" w:lineRule="auto"/>
        <w:rPr>
          <w:rFonts w:ascii="宋体" w:hAnsi="宋体"/>
          <w:color w:val="000000"/>
          <w:sz w:val="24"/>
          <w:szCs w:val="20"/>
          <w:highlight w:val="none"/>
        </w:rPr>
        <w:outlineLvl w:val="2"/>
      </w:pPr>
      <w:r>
        <w:rPr>
          <w:rFonts w:hint="eastAsia" w:ascii="宋体" w:hAnsi="宋体"/>
          <w:b/>
          <w:color w:val="000000"/>
          <w:sz w:val="24"/>
          <w:highlight w:val="none"/>
        </w:rPr>
        <w:br w:type="page" w:clear="all"/>
      </w:r>
      <w:r>
        <w:rPr>
          <w:rFonts w:ascii="宋体" w:hAnsi="宋体"/>
          <w:color w:val="000000"/>
          <w:sz w:val="24"/>
          <w:szCs w:val="20"/>
          <w:highlight w:val="none"/>
        </w:rPr>
      </w:r>
      <w:r/>
    </w:p>
    <w:p>
      <w:pPr>
        <w:pStyle w:val="1035"/>
        <w:spacing w:line="360" w:lineRule="auto"/>
        <w:rPr>
          <w:rFonts w:ascii="宋体" w:hAnsi="宋体"/>
          <w:b/>
          <w:color w:val="000000"/>
          <w:sz w:val="24"/>
          <w:szCs w:val="20"/>
          <w:highlight w:val="none"/>
        </w:rPr>
        <w:outlineLvl w:val="2"/>
      </w:pPr>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1 </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35"/>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35"/>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35"/>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35"/>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35"/>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35"/>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35"/>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03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3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35"/>
        <w:spacing w:line="360" w:lineRule="auto"/>
        <w:rPr>
          <w:rFonts w:ascii="宋体" w:hAnsi="宋体"/>
          <w:color w:val="000000"/>
          <w:sz w:val="22"/>
          <w:highlight w:val="none"/>
        </w:rPr>
      </w:pPr>
      <w:r>
        <w:rPr>
          <w:rFonts w:ascii="宋体" w:hAnsi="宋体"/>
          <w:color w:val="000000"/>
          <w:sz w:val="22"/>
          <w:highlight w:val="none"/>
        </w:rPr>
      </w:r>
      <w:r/>
    </w:p>
    <w:p>
      <w:pPr>
        <w:pStyle w:val="103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3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35"/>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35"/>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35"/>
        <w:spacing w:line="360" w:lineRule="auto"/>
        <w:rPr>
          <w:rFonts w:ascii="宋体" w:hAnsi="宋体"/>
          <w:color w:val="000000"/>
          <w:sz w:val="24"/>
          <w:highlight w:val="none"/>
        </w:rPr>
      </w:pPr>
      <w:r>
        <w:rPr>
          <w:rFonts w:ascii="宋体" w:hAnsi="宋体"/>
          <w:color w:val="000000"/>
          <w:sz w:val="24"/>
          <w:highlight w:val="none"/>
        </w:rPr>
      </w:r>
      <w:r/>
    </w:p>
    <w:p>
      <w:pPr>
        <w:pStyle w:val="103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3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35"/>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5" w:name="_Toc288738839"/>
      <w:r/>
      <w:bookmarkStart w:id="906" w:name="_Toc288738397"/>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035"/>
        <w:rPr>
          <w:rFonts w:ascii="宋体" w:hAnsi="宋体"/>
          <w:color w:val="000000"/>
          <w:sz w:val="24"/>
          <w:szCs w:val="20"/>
          <w:highlight w:val="none"/>
        </w:rPr>
      </w:pPr>
      <w:r>
        <w:rPr>
          <w:rFonts w:ascii="宋体" w:hAnsi="宋体"/>
          <w:color w:val="000000"/>
          <w:sz w:val="24"/>
          <w:szCs w:val="20"/>
          <w:highlight w:val="none"/>
        </w:rPr>
      </w:r>
      <w:r/>
    </w:p>
    <w:p>
      <w:pPr>
        <w:pStyle w:val="1035"/>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5"/>
      <w:r/>
      <w:bookmarkEnd w:id="906"/>
      <w:r>
        <w:rPr>
          <w:rFonts w:ascii="宋体" w:hAnsi="宋体"/>
          <w:b/>
          <w:color w:val="000000"/>
          <w:sz w:val="32"/>
          <w:szCs w:val="32"/>
          <w:highlight w:val="none"/>
        </w:rPr>
      </w:r>
      <w:r/>
    </w:p>
    <w:p>
      <w:pPr>
        <w:pStyle w:val="1035"/>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3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35"/>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35"/>
        <w:spacing w:line="360" w:lineRule="auto"/>
        <w:rPr>
          <w:rFonts w:ascii="宋体" w:hAnsi="宋体" w:cs="宋体"/>
          <w:color w:val="000000"/>
          <w:sz w:val="24"/>
          <w:highlight w:val="none"/>
        </w:rPr>
      </w:pPr>
      <w:r>
        <w:rPr>
          <w:rFonts w:ascii="宋体" w:hAnsi="宋体" w:cs="宋体"/>
          <w:color w:val="000000"/>
          <w:sz w:val="24"/>
          <w:highlight w:val="none"/>
        </w:rPr>
      </w:r>
      <w:r/>
    </w:p>
    <w:p>
      <w:pPr>
        <w:pStyle w:val="1035"/>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35"/>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35"/>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35"/>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35"/>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35"/>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35"/>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35"/>
        <w:rPr>
          <w:rFonts w:ascii="宋体" w:hAnsi="宋体"/>
          <w:color w:val="000000"/>
          <w:sz w:val="36"/>
          <w:szCs w:val="36"/>
          <w:highlight w:val="none"/>
        </w:rPr>
      </w:pPr>
      <w:r>
        <w:rPr>
          <w:rFonts w:ascii="宋体" w:hAnsi="宋体"/>
          <w:color w:val="000000"/>
          <w:sz w:val="36"/>
          <w:szCs w:val="36"/>
          <w:highlight w:val="none"/>
        </w:rPr>
      </w:r>
      <w:r/>
    </w:p>
    <w:p>
      <w:pPr>
        <w:pStyle w:val="1035"/>
        <w:rPr>
          <w:rFonts w:ascii="宋体" w:hAnsi="宋体"/>
          <w:color w:val="000000"/>
          <w:sz w:val="36"/>
          <w:szCs w:val="36"/>
          <w:highlight w:val="none"/>
        </w:rPr>
      </w:pPr>
      <w:r>
        <w:rPr>
          <w:rFonts w:ascii="宋体" w:hAnsi="宋体"/>
          <w:color w:val="000000"/>
          <w:sz w:val="36"/>
          <w:szCs w:val="36"/>
          <w:highlight w:val="none"/>
        </w:rPr>
      </w:r>
      <w:r/>
    </w:p>
    <w:p>
      <w:pPr>
        <w:pStyle w:val="1035"/>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w:t>
      </w:r>
      <w:r>
        <w:rPr>
          <w:rFonts w:hint="eastAsia" w:ascii="宋体" w:hAnsi="宋体" w:cs="黑体"/>
          <w:b/>
          <w:color w:val="000000"/>
          <w:sz w:val="28"/>
          <w:szCs w:val="28"/>
          <w:highlight w:val="none"/>
          <w:lang w:eastAsia="zh-CN"/>
        </w:rPr>
        <w:t xml:space="preserve">江苏城致建设管理有限公司</w:t>
      </w:r>
      <w:r>
        <w:rPr>
          <w:rFonts w:hint="eastAsia" w:ascii="宋体" w:hAnsi="宋体" w:cs="黑体"/>
          <w:b/>
          <w:color w:val="000000"/>
          <w:sz w:val="28"/>
          <w:szCs w:val="28"/>
          <w:highlight w:val="none"/>
        </w:rPr>
        <w:t xml:space="preserve">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35"/>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FangSong">
    <w:panose1 w:val="02010609060101010101"/>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right="360"/>
      <w:tabs>
        <w:tab w:val="center" w:pos="4153" w:leader="none"/>
        <w:tab w:val="right" w:pos="8306" w:leader="none"/>
      </w:tabs>
      <w:rPr>
        <w:rStyle w:val="1107"/>
      </w:rPr>
      <w:framePr w:wrap="around" w:vAnchor="text" w:hAnchor="margin" w:y="1"/>
    </w:pPr>
    <w:r>
      <w:rPr>
        <w:rStyle w:val="1107"/>
      </w:rPr>
    </w:r>
    <w:r/>
  </w:p>
  <w:p>
    <w:pPr>
      <w:pStyle w:val="1083"/>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enter" w:pos="4153" w:leader="none"/>
        <w:tab w:val="right" w:pos="8306" w:leader="none"/>
      </w:tabs>
      <w:rPr>
        <w:rStyle w:val="1107"/>
      </w:rPr>
      <w:framePr w:wrap="around" w:vAnchor="text" w:hAnchor="margin" w:xAlign="center" w:y="1"/>
    </w:pPr>
    <w:r>
      <w:fldChar w:fldCharType="begin"/>
    </w:r>
    <w:r>
      <w:rPr>
        <w:rStyle w:val="1107"/>
      </w:rPr>
      <w:instrText xml:space="preserve">PAGE  </w:instrText>
    </w:r>
    <w:r>
      <w:fldChar w:fldCharType="end"/>
    </w:r>
    <w:r>
      <w:rPr>
        <w:rStyle w:val="1107"/>
      </w:rPr>
    </w:r>
    <w:r/>
  </w:p>
  <w:p>
    <w:pPr>
      <w:pStyle w:val="108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enter" w:pos="4153" w:leader="none"/>
        <w:tab w:val="right" w:pos="8306" w:leader="none"/>
      </w:tabs>
      <w:rPr>
        <w:rStyle w:val="1107"/>
      </w:rPr>
      <w:framePr w:wrap="around" w:vAnchor="text" w:hAnchor="margin" w:xAlign="right" w:y="1"/>
    </w:pPr>
    <w:r>
      <w:rPr>
        <w:rStyle w:val="1107"/>
      </w:rPr>
    </w:r>
    <w:r/>
  </w:p>
  <w:p>
    <w:pPr>
      <w:pStyle w:val="1083"/>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enter" w:pos="4153" w:leader="none"/>
        <w:tab w:val="right" w:pos="8306" w:leader="none"/>
      </w:tabs>
      <w:rPr>
        <w:rStyle w:val="1107"/>
      </w:rPr>
      <w:framePr w:wrap="around" w:vAnchor="text" w:hAnchor="margin" w:xAlign="right" w:y="1"/>
    </w:pPr>
    <w:r>
      <w:rPr>
        <w:rStyle w:val="1107"/>
      </w:rPr>
      <w:fldChar w:fldCharType="begin"/>
    </w:r>
    <w:r>
      <w:rPr>
        <w:rStyle w:val="1107"/>
      </w:rPr>
      <w:instrText xml:space="preserve">PAGE  </w:instrText>
    </w:r>
    <w:r>
      <w:rPr>
        <w:rStyle w:val="1107"/>
      </w:rPr>
      <w:fldChar w:fldCharType="end"/>
    </w:r>
    <w:r>
      <w:rPr>
        <w:rStyle w:val="1107"/>
      </w:rPr>
    </w:r>
    <w:r/>
  </w:p>
  <w:p>
    <w:pPr>
      <w:pStyle w:val="1083"/>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enter" w:pos="4153" w:leader="none"/>
        <w:tab w:val="right" w:pos="8306" w:leader="none"/>
      </w:tabs>
      <w:rPr>
        <w:rStyle w:val="1107"/>
      </w:rPr>
      <w:framePr w:wrap="around" w:vAnchor="text" w:hAnchor="margin" w:xAlign="right" w:y="1"/>
    </w:pPr>
    <w:r>
      <w:rPr>
        <w:rStyle w:val="1107"/>
      </w:rPr>
      <w:fldChar w:fldCharType="begin"/>
    </w:r>
    <w:r>
      <w:rPr>
        <w:rStyle w:val="1107"/>
      </w:rPr>
      <w:instrText xml:space="preserve">PAGE  </w:instrText>
    </w:r>
    <w:r>
      <w:rPr>
        <w:rStyle w:val="1107"/>
      </w:rPr>
      <w:fldChar w:fldCharType="end"/>
    </w:r>
    <w:r>
      <w:rPr>
        <w:rStyle w:val="1107"/>
      </w:rPr>
    </w:r>
    <w:r/>
  </w:p>
  <w:p>
    <w:pPr>
      <w:pStyle w:val="1083"/>
      <w:ind w:right="360"/>
      <w:tabs>
        <w:tab w:val="center" w:pos="4153" w:leader="none"/>
        <w:tab w:val="right" w:pos="8306" w:leader="none"/>
      </w:tabs>
    </w:pPr>
    <w:r/>
    <w:r/>
  </w:p>
  <w:p>
    <w:pPr>
      <w:pStyle w:val="103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tabs>
        <w:tab w:val="center" w:pos="4153" w:leader="none"/>
        <w:tab w:val="right" w:pos="8306" w:leader="none"/>
      </w:tabs>
    </w:pPr>
    <w:r/>
    <w:r/>
  </w:p>
  <w:p>
    <w:pPr>
      <w:pStyle w:val="103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35"/>
        <w:ind w:left="4941" w:hanging="1140"/>
        <w:tabs>
          <w:tab w:val="num" w:pos="4941" w:leader="none"/>
        </w:tabs>
      </w:pPr>
      <w:rPr>
        <w:rFonts w:hint="eastAsia"/>
      </w:rPr>
    </w:lvl>
    <w:lvl w:ilvl="1">
      <w:start w:val="1"/>
      <w:numFmt w:val="lowerLetter"/>
      <w:isLgl w:val="false"/>
      <w:suff w:val="tab"/>
      <w:lvlText w:val="%2)"/>
      <w:lvlJc w:val="left"/>
      <w:pPr>
        <w:pStyle w:val="1035"/>
        <w:ind w:left="4641" w:hanging="420"/>
        <w:tabs>
          <w:tab w:val="num" w:pos="4641" w:leader="none"/>
        </w:tabs>
      </w:pPr>
    </w:lvl>
    <w:lvl w:ilvl="2">
      <w:start w:val="1"/>
      <w:numFmt w:val="lowerRoman"/>
      <w:isLgl w:val="false"/>
      <w:suff w:val="tab"/>
      <w:lvlText w:val="%3."/>
      <w:lvlJc w:val="right"/>
      <w:pPr>
        <w:pStyle w:val="1035"/>
        <w:ind w:left="5061" w:hanging="420"/>
        <w:tabs>
          <w:tab w:val="num" w:pos="5061" w:leader="none"/>
        </w:tabs>
      </w:pPr>
    </w:lvl>
    <w:lvl w:ilvl="3">
      <w:start w:val="1"/>
      <w:numFmt w:val="decimal"/>
      <w:isLgl w:val="false"/>
      <w:suff w:val="tab"/>
      <w:lvlText w:val="%4."/>
      <w:lvlJc w:val="left"/>
      <w:pPr>
        <w:pStyle w:val="1035"/>
        <w:ind w:left="5481" w:hanging="420"/>
        <w:tabs>
          <w:tab w:val="num" w:pos="5481" w:leader="none"/>
        </w:tabs>
      </w:pPr>
    </w:lvl>
    <w:lvl w:ilvl="4">
      <w:start w:val="1"/>
      <w:numFmt w:val="lowerLetter"/>
      <w:isLgl w:val="false"/>
      <w:suff w:val="tab"/>
      <w:lvlText w:val="%5)"/>
      <w:lvlJc w:val="left"/>
      <w:pPr>
        <w:pStyle w:val="1035"/>
        <w:ind w:left="5901" w:hanging="420"/>
        <w:tabs>
          <w:tab w:val="num" w:pos="5901" w:leader="none"/>
        </w:tabs>
      </w:pPr>
    </w:lvl>
    <w:lvl w:ilvl="5">
      <w:start w:val="1"/>
      <w:numFmt w:val="lowerRoman"/>
      <w:isLgl w:val="false"/>
      <w:suff w:val="tab"/>
      <w:lvlText w:val="%6."/>
      <w:lvlJc w:val="right"/>
      <w:pPr>
        <w:pStyle w:val="1035"/>
        <w:ind w:left="6321" w:hanging="420"/>
        <w:tabs>
          <w:tab w:val="num" w:pos="6321" w:leader="none"/>
        </w:tabs>
      </w:pPr>
    </w:lvl>
    <w:lvl w:ilvl="6">
      <w:start w:val="1"/>
      <w:numFmt w:val="decimal"/>
      <w:isLgl w:val="false"/>
      <w:suff w:val="tab"/>
      <w:lvlText w:val="%7."/>
      <w:lvlJc w:val="left"/>
      <w:pPr>
        <w:pStyle w:val="1035"/>
        <w:ind w:left="6741" w:hanging="420"/>
        <w:tabs>
          <w:tab w:val="num" w:pos="6741" w:leader="none"/>
        </w:tabs>
      </w:pPr>
    </w:lvl>
    <w:lvl w:ilvl="7">
      <w:start w:val="1"/>
      <w:numFmt w:val="lowerLetter"/>
      <w:isLgl w:val="false"/>
      <w:suff w:val="tab"/>
      <w:lvlText w:val="%8)"/>
      <w:lvlJc w:val="left"/>
      <w:pPr>
        <w:pStyle w:val="1035"/>
        <w:ind w:left="7161" w:hanging="420"/>
        <w:tabs>
          <w:tab w:val="num" w:pos="7161" w:leader="none"/>
        </w:tabs>
      </w:pPr>
    </w:lvl>
    <w:lvl w:ilvl="8">
      <w:start w:val="1"/>
      <w:numFmt w:val="lowerRoman"/>
      <w:isLgl w:val="false"/>
      <w:suff w:val="tab"/>
      <w:lvlText w:val="%9."/>
      <w:lvlJc w:val="right"/>
      <w:pPr>
        <w:pStyle w:val="1035"/>
        <w:ind w:left="7581" w:hanging="420"/>
        <w:tabs>
          <w:tab w:val="num" w:pos="7581" w:leader="none"/>
        </w:tabs>
      </w:pPr>
    </w:lvl>
  </w:abstractNum>
  <w:abstractNum w:abstractNumId="1">
    <w:multiLevelType w:val="hybridMultilevel"/>
    <w:lvl w:ilvl="0">
      <w:start w:val="1"/>
      <w:numFmt w:val="decimal"/>
      <w:pStyle w:val="1143"/>
      <w:isLgl w:val="false"/>
      <w:suff w:val="tab"/>
      <w:lvlText w:val="%1."/>
      <w:lvlJc w:val="left"/>
      <w:pPr>
        <w:pStyle w:val="1035"/>
        <w:ind w:left="420" w:hanging="420"/>
      </w:pPr>
    </w:lvl>
    <w:lvl w:ilvl="1">
      <w:start w:val="1"/>
      <w:numFmt w:val="decimal"/>
      <w:isLgl w:val="false"/>
      <w:suff w:val="tab"/>
      <w:lvlText w:val="（%2）"/>
      <w:lvlJc w:val="left"/>
      <w:pPr>
        <w:pStyle w:val="1035"/>
        <w:ind w:left="1140" w:hanging="720"/>
        <w:tabs>
          <w:tab w:val="num" w:pos="1140" w:leader="none"/>
        </w:tabs>
      </w:pPr>
      <w:rPr>
        <w:rFonts w:hint="eastAsia"/>
      </w:rPr>
    </w:lvl>
    <w:lvl w:ilvl="2">
      <w:start w:val="1"/>
      <w:numFmt w:val="lowerRoman"/>
      <w:isLgl w:val="false"/>
      <w:suff w:val="tab"/>
      <w:lvlText w:val="%3."/>
      <w:lvlJc w:val="right"/>
      <w:pPr>
        <w:pStyle w:val="1035"/>
        <w:ind w:left="1260" w:hanging="420"/>
      </w:pPr>
    </w:lvl>
    <w:lvl w:ilvl="3">
      <w:start w:val="1"/>
      <w:numFmt w:val="decimal"/>
      <w:isLgl w:val="false"/>
      <w:suff w:val="tab"/>
      <w:lvlText w:val="%4."/>
      <w:lvlJc w:val="left"/>
      <w:pPr>
        <w:pStyle w:val="1035"/>
        <w:ind w:left="1680" w:hanging="420"/>
      </w:pPr>
    </w:lvl>
    <w:lvl w:ilvl="4">
      <w:start w:val="1"/>
      <w:numFmt w:val="lowerLetter"/>
      <w:isLgl w:val="false"/>
      <w:suff w:val="tab"/>
      <w:lvlText w:val="%5)"/>
      <w:lvlJc w:val="left"/>
      <w:pPr>
        <w:pStyle w:val="1035"/>
        <w:ind w:left="2100" w:hanging="420"/>
      </w:pPr>
    </w:lvl>
    <w:lvl w:ilvl="5">
      <w:start w:val="1"/>
      <w:numFmt w:val="lowerRoman"/>
      <w:isLgl w:val="false"/>
      <w:suff w:val="tab"/>
      <w:lvlText w:val="%6."/>
      <w:lvlJc w:val="right"/>
      <w:pPr>
        <w:pStyle w:val="1035"/>
        <w:ind w:left="2520" w:hanging="420"/>
      </w:pPr>
    </w:lvl>
    <w:lvl w:ilvl="6">
      <w:start w:val="1"/>
      <w:numFmt w:val="decimal"/>
      <w:isLgl w:val="false"/>
      <w:suff w:val="tab"/>
      <w:lvlText w:val="%7."/>
      <w:lvlJc w:val="left"/>
      <w:pPr>
        <w:pStyle w:val="1035"/>
        <w:ind w:left="2940" w:hanging="420"/>
      </w:pPr>
    </w:lvl>
    <w:lvl w:ilvl="7">
      <w:start w:val="1"/>
      <w:numFmt w:val="lowerLetter"/>
      <w:isLgl w:val="false"/>
      <w:suff w:val="tab"/>
      <w:lvlText w:val="%8)"/>
      <w:lvlJc w:val="left"/>
      <w:pPr>
        <w:pStyle w:val="1035"/>
        <w:ind w:left="3360" w:hanging="420"/>
      </w:pPr>
    </w:lvl>
    <w:lvl w:ilvl="8">
      <w:start w:val="1"/>
      <w:numFmt w:val="lowerRoman"/>
      <w:isLgl w:val="false"/>
      <w:suff w:val="tab"/>
      <w:lvlText w:val="%9."/>
      <w:lvlJc w:val="right"/>
      <w:pPr>
        <w:pStyle w:val="1035"/>
        <w:ind w:left="3780" w:hanging="420"/>
      </w:pPr>
    </w:lvl>
  </w:abstractNum>
  <w:abstractNum w:abstractNumId="2">
    <w:multiLevelType w:val="hybridMultilevel"/>
    <w:lvl w:ilvl="0">
      <w:start w:val="1"/>
      <w:numFmt w:val="lowerLetter"/>
      <w:pStyle w:val="1218"/>
      <w:isLgl w:val="false"/>
      <w:suff w:val="tab"/>
      <w:lvlText w:val="%1)"/>
      <w:lvlJc w:val="left"/>
      <w:pPr>
        <w:pStyle w:val="1035"/>
        <w:ind w:left="902" w:hanging="420"/>
      </w:pPr>
      <w:rPr>
        <w:color w:val="000000"/>
      </w:rPr>
    </w:lvl>
    <w:lvl w:ilvl="1">
      <w:start w:val="1"/>
      <w:numFmt w:val="lowerLetter"/>
      <w:isLgl w:val="false"/>
      <w:suff w:val="tab"/>
      <w:lvlText w:val="%2)"/>
      <w:lvlJc w:val="left"/>
      <w:pPr>
        <w:pStyle w:val="1035"/>
        <w:ind w:left="1322" w:hanging="420"/>
      </w:pPr>
    </w:lvl>
    <w:lvl w:ilvl="2">
      <w:start w:val="1"/>
      <w:numFmt w:val="lowerRoman"/>
      <w:isLgl w:val="false"/>
      <w:suff w:val="tab"/>
      <w:lvlText w:val="%3."/>
      <w:lvlJc w:val="right"/>
      <w:pPr>
        <w:pStyle w:val="1035"/>
        <w:ind w:left="1742" w:hanging="420"/>
      </w:pPr>
    </w:lvl>
    <w:lvl w:ilvl="3">
      <w:start w:val="1"/>
      <w:numFmt w:val="decimal"/>
      <w:isLgl w:val="false"/>
      <w:suff w:val="tab"/>
      <w:lvlText w:val="%4."/>
      <w:lvlJc w:val="left"/>
      <w:pPr>
        <w:pStyle w:val="1035"/>
        <w:ind w:left="2162" w:hanging="420"/>
      </w:pPr>
    </w:lvl>
    <w:lvl w:ilvl="4">
      <w:start w:val="1"/>
      <w:numFmt w:val="lowerLetter"/>
      <w:isLgl w:val="false"/>
      <w:suff w:val="tab"/>
      <w:lvlText w:val="%5)"/>
      <w:lvlJc w:val="left"/>
      <w:pPr>
        <w:pStyle w:val="1035"/>
        <w:ind w:left="2582" w:hanging="420"/>
      </w:pPr>
    </w:lvl>
    <w:lvl w:ilvl="5">
      <w:start w:val="1"/>
      <w:numFmt w:val="lowerRoman"/>
      <w:isLgl w:val="false"/>
      <w:suff w:val="tab"/>
      <w:lvlText w:val="%6."/>
      <w:lvlJc w:val="right"/>
      <w:pPr>
        <w:pStyle w:val="1035"/>
        <w:ind w:left="3002" w:hanging="420"/>
      </w:pPr>
    </w:lvl>
    <w:lvl w:ilvl="6">
      <w:start w:val="1"/>
      <w:numFmt w:val="decimal"/>
      <w:isLgl w:val="false"/>
      <w:suff w:val="tab"/>
      <w:lvlText w:val="%7."/>
      <w:lvlJc w:val="left"/>
      <w:pPr>
        <w:pStyle w:val="1035"/>
        <w:ind w:left="3422" w:hanging="420"/>
      </w:pPr>
    </w:lvl>
    <w:lvl w:ilvl="7">
      <w:start w:val="1"/>
      <w:numFmt w:val="lowerLetter"/>
      <w:isLgl w:val="false"/>
      <w:suff w:val="tab"/>
      <w:lvlText w:val="%8)"/>
      <w:lvlJc w:val="left"/>
      <w:pPr>
        <w:pStyle w:val="1035"/>
        <w:ind w:left="3842" w:hanging="420"/>
      </w:pPr>
    </w:lvl>
    <w:lvl w:ilvl="8">
      <w:start w:val="1"/>
      <w:numFmt w:val="lowerRoman"/>
      <w:isLgl w:val="false"/>
      <w:suff w:val="tab"/>
      <w:lvlText w:val="%9."/>
      <w:lvlJc w:val="right"/>
      <w:pPr>
        <w:pStyle w:val="1035"/>
        <w:ind w:left="4262" w:hanging="420"/>
      </w:pPr>
    </w:lvl>
  </w:abstractNum>
  <w:abstractNum w:abstractNumId="3">
    <w:multiLevelType w:val="hybridMultilevel"/>
    <w:lvl w:ilvl="0">
      <w:start w:val="1"/>
      <w:numFmt w:val="decimal"/>
      <w:pStyle w:val="1188"/>
      <w:isLgl w:val="false"/>
      <w:suff w:val="tab"/>
      <w:lvlText w:val="%1."/>
      <w:lvlJc w:val="left"/>
      <w:pPr>
        <w:pStyle w:val="103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7"/>
      <w:isLgl w:val="false"/>
      <w:suff w:val="nothing"/>
      <w:lvlText w:val="%1　"/>
      <w:lvlJc w:val="left"/>
      <w:pPr>
        <w:pStyle w:val="103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5"/>
        <w:ind w:left="-25" w:firstLine="0"/>
      </w:pPr>
      <w:rPr>
        <w:rFonts w:ascii="Times New Roman" w:hAnsi="Times New Roman" w:eastAsia="黑体"/>
        <w:b/>
        <w:i w:val="0"/>
        <w:sz w:val="28"/>
      </w:rPr>
    </w:lvl>
    <w:lvl w:ilvl="3">
      <w:start w:val="1"/>
      <w:numFmt w:val="decimal"/>
      <w:pStyle w:val="1173"/>
      <w:isLgl w:val="false"/>
      <w:suff w:val="nothing"/>
      <w:lvlText w:val="%1.%2.%3.%4　"/>
      <w:lvlJc w:val="left"/>
      <w:pPr>
        <w:pStyle w:val="103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5"/>
        <w:ind w:left="-25" w:firstLine="0"/>
      </w:pPr>
      <w:rPr>
        <w:rFonts w:ascii="Times New Roman" w:hAnsi="Times New Roman" w:eastAsia="宋体"/>
        <w:b/>
        <w:i w:val="0"/>
        <w:sz w:val="28"/>
      </w:rPr>
    </w:lvl>
    <w:lvl w:ilvl="6">
      <w:start w:val="1"/>
      <w:numFmt w:val="lowerLetter"/>
      <w:pStyle w:val="1194"/>
      <w:isLgl w:val="false"/>
      <w:suff w:val="tab"/>
      <w:lvlText w:val="%7) "/>
      <w:lvlJc w:val="left"/>
      <w:pPr>
        <w:pStyle w:val="1035"/>
        <w:ind w:left="-125" w:firstLine="400"/>
        <w:tabs>
          <w:tab w:val="num" w:pos="635" w:leader="none"/>
        </w:tabs>
      </w:pPr>
      <w:rPr>
        <w:rFonts w:ascii="Times New Roman" w:hAnsi="Times New Roman" w:eastAsia="宋体"/>
        <w:b/>
        <w:i w:val="0"/>
        <w:color w:val="000000"/>
        <w:sz w:val="28"/>
        <w:u w:val="none"/>
      </w:rPr>
    </w:lvl>
    <w:lvl w:ilvl="7">
      <w:start w:val="1"/>
      <w:numFmt w:val="decimal"/>
      <w:pStyle w:val="1157"/>
      <w:isLgl w:val="false"/>
      <w:suff w:val="tab"/>
      <w:lvlText w:val="%8) "/>
      <w:lvlJc w:val="left"/>
      <w:pPr>
        <w:pStyle w:val="103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35"/>
        <w:ind w:left="768" w:hanging="360"/>
        <w:tabs>
          <w:tab w:val="num" w:pos="768" w:leader="none"/>
        </w:tabs>
      </w:pPr>
      <w:rPr>
        <w:rFonts w:hint="eastAsia"/>
      </w:rPr>
    </w:lvl>
    <w:lvl w:ilvl="1">
      <w:start w:val="1"/>
      <w:numFmt w:val="decimal"/>
      <w:pStyle w:val="1175"/>
      <w:isLgl w:val="false"/>
      <w:suff w:val="tab"/>
      <w:lvlText w:val="%2、"/>
      <w:lvlJc w:val="left"/>
      <w:pPr>
        <w:pStyle w:val="1035"/>
        <w:ind w:left="1188" w:hanging="360"/>
        <w:tabs>
          <w:tab w:val="num" w:pos="1188" w:leader="none"/>
        </w:tabs>
      </w:pPr>
      <w:rPr>
        <w:rFonts w:hint="eastAsia"/>
      </w:rPr>
    </w:lvl>
    <w:lvl w:ilvl="2">
      <w:start w:val="1"/>
      <w:numFmt w:val="decimal"/>
      <w:isLgl w:val="false"/>
      <w:suff w:val="tab"/>
      <w:lvlText w:val="（%3）"/>
      <w:lvlJc w:val="left"/>
      <w:pPr>
        <w:pStyle w:val="1035"/>
        <w:ind w:left="1968" w:hanging="720"/>
        <w:tabs>
          <w:tab w:val="num" w:pos="1968" w:leader="none"/>
        </w:tabs>
      </w:pPr>
      <w:rPr>
        <w:rFonts w:hint="eastAsia"/>
        <w:u w:val="none"/>
      </w:rPr>
    </w:lvl>
    <w:lvl w:ilvl="3">
      <w:start w:val="1"/>
      <w:numFmt w:val="decimal"/>
      <w:isLgl w:val="false"/>
      <w:suff w:val="tab"/>
      <w:lvlText w:val="%4."/>
      <w:lvlJc w:val="left"/>
      <w:pPr>
        <w:pStyle w:val="1035"/>
        <w:ind w:left="2088" w:hanging="420"/>
        <w:tabs>
          <w:tab w:val="num" w:pos="2088" w:leader="none"/>
        </w:tabs>
      </w:pPr>
    </w:lvl>
    <w:lvl w:ilvl="4">
      <w:start w:val="1"/>
      <w:numFmt w:val="lowerLetter"/>
      <w:isLgl w:val="false"/>
      <w:suff w:val="tab"/>
      <w:lvlText w:val="%5)"/>
      <w:lvlJc w:val="left"/>
      <w:pPr>
        <w:pStyle w:val="1035"/>
        <w:ind w:left="2508" w:hanging="420"/>
        <w:tabs>
          <w:tab w:val="num" w:pos="2508" w:leader="none"/>
        </w:tabs>
      </w:pPr>
    </w:lvl>
    <w:lvl w:ilvl="5">
      <w:start w:val="1"/>
      <w:numFmt w:val="lowerRoman"/>
      <w:isLgl w:val="false"/>
      <w:suff w:val="tab"/>
      <w:lvlText w:val="%6."/>
      <w:lvlJc w:val="right"/>
      <w:pPr>
        <w:pStyle w:val="1035"/>
        <w:ind w:left="2928" w:hanging="420"/>
        <w:tabs>
          <w:tab w:val="num" w:pos="2928" w:leader="none"/>
        </w:tabs>
      </w:pPr>
    </w:lvl>
    <w:lvl w:ilvl="6">
      <w:start w:val="1"/>
      <w:numFmt w:val="decimal"/>
      <w:isLgl w:val="false"/>
      <w:suff w:val="tab"/>
      <w:lvlText w:val="%7."/>
      <w:lvlJc w:val="left"/>
      <w:pPr>
        <w:pStyle w:val="1035"/>
        <w:ind w:left="3348" w:hanging="420"/>
        <w:tabs>
          <w:tab w:val="num" w:pos="3348" w:leader="none"/>
        </w:tabs>
      </w:pPr>
    </w:lvl>
    <w:lvl w:ilvl="7">
      <w:start w:val="1"/>
      <w:numFmt w:val="lowerLetter"/>
      <w:isLgl w:val="false"/>
      <w:suff w:val="tab"/>
      <w:lvlText w:val="%8)"/>
      <w:lvlJc w:val="left"/>
      <w:pPr>
        <w:pStyle w:val="1035"/>
        <w:ind w:left="3768" w:hanging="420"/>
        <w:tabs>
          <w:tab w:val="num" w:pos="3768" w:leader="none"/>
        </w:tabs>
      </w:pPr>
    </w:lvl>
    <w:lvl w:ilvl="8">
      <w:start w:val="1"/>
      <w:numFmt w:val="lowerRoman"/>
      <w:isLgl w:val="false"/>
      <w:suff w:val="tab"/>
      <w:lvlText w:val="%9."/>
      <w:lvlJc w:val="right"/>
      <w:pPr>
        <w:pStyle w:val="103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35"/>
        <w:ind w:left="900" w:hanging="900"/>
        <w:tabs>
          <w:tab w:val="num" w:pos="900" w:leader="none"/>
        </w:tabs>
      </w:pPr>
      <w:rPr>
        <w:rFonts w:hint="eastAsia"/>
        <w:b/>
      </w:rPr>
    </w:lvl>
    <w:lvl w:ilvl="1">
      <w:start w:val="1"/>
      <w:numFmt w:val="decimal"/>
      <w:isLgl w:val="false"/>
      <w:suff w:val="tab"/>
      <w:lvlText w:val="%1.%2"/>
      <w:lvlJc w:val="left"/>
      <w:pPr>
        <w:pStyle w:val="103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35"/>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35"/>
        <w:ind w:left="900" w:hanging="900"/>
        <w:tabs>
          <w:tab w:val="num" w:pos="900" w:leader="none"/>
        </w:tabs>
      </w:pPr>
      <w:rPr>
        <w:rFonts w:hint="eastAsia"/>
      </w:rPr>
    </w:lvl>
    <w:lvl w:ilvl="4">
      <w:start w:val="1"/>
      <w:numFmt w:val="decimal"/>
      <w:isLgl w:val="false"/>
      <w:suff w:val="tab"/>
      <w:lvlText w:val="%1.%2.%3.%4.%5"/>
      <w:lvlJc w:val="left"/>
      <w:pPr>
        <w:pStyle w:val="1035"/>
        <w:ind w:left="900" w:hanging="900"/>
        <w:tabs>
          <w:tab w:val="num" w:pos="900" w:leader="none"/>
        </w:tabs>
      </w:pPr>
      <w:rPr>
        <w:rFonts w:hint="eastAsia"/>
      </w:rPr>
    </w:lvl>
    <w:lvl w:ilvl="5">
      <w:start w:val="1"/>
      <w:numFmt w:val="decimal"/>
      <w:isLgl w:val="false"/>
      <w:suff w:val="tab"/>
      <w:lvlText w:val="%1.%2.%3.%4.%5.%6"/>
      <w:lvlJc w:val="left"/>
      <w:pPr>
        <w:pStyle w:val="1035"/>
        <w:ind w:left="900" w:hanging="900"/>
        <w:tabs>
          <w:tab w:val="num" w:pos="900" w:leader="none"/>
        </w:tabs>
      </w:pPr>
      <w:rPr>
        <w:rFonts w:hint="eastAsia"/>
      </w:rPr>
    </w:lvl>
    <w:lvl w:ilvl="6">
      <w:start w:val="1"/>
      <w:numFmt w:val="decimal"/>
      <w:isLgl w:val="false"/>
      <w:suff w:val="tab"/>
      <w:lvlText w:val="%1.%2.%3.%4.%5.%6.%7"/>
      <w:lvlJc w:val="left"/>
      <w:pPr>
        <w:pStyle w:val="1035"/>
        <w:ind w:left="900" w:hanging="900"/>
        <w:tabs>
          <w:tab w:val="num" w:pos="900" w:leader="none"/>
        </w:tabs>
      </w:pPr>
      <w:rPr>
        <w:rFonts w:hint="eastAsia"/>
      </w:rPr>
    </w:lvl>
    <w:lvl w:ilvl="7">
      <w:start w:val="1"/>
      <w:numFmt w:val="decimal"/>
      <w:isLgl w:val="false"/>
      <w:suff w:val="tab"/>
      <w:lvlText w:val="%1.%2.%3.%4.%5.%6.%7.%8"/>
      <w:lvlJc w:val="left"/>
      <w:pPr>
        <w:pStyle w:val="1035"/>
        <w:ind w:left="900" w:hanging="900"/>
        <w:tabs>
          <w:tab w:val="num" w:pos="900" w:leader="none"/>
        </w:tabs>
      </w:pPr>
      <w:rPr>
        <w:rFonts w:hint="eastAsia"/>
      </w:rPr>
    </w:lvl>
    <w:lvl w:ilvl="8">
      <w:start w:val="1"/>
      <w:numFmt w:val="decimal"/>
      <w:isLgl w:val="false"/>
      <w:suff w:val="tab"/>
      <w:lvlText w:val="%1.%2.%3.%4.%5.%6.%7.%8.%9"/>
      <w:lvlJc w:val="left"/>
      <w:pPr>
        <w:pStyle w:val="1035"/>
        <w:ind w:left="900" w:hanging="900"/>
        <w:tabs>
          <w:tab w:val="num" w:pos="900" w:leader="none"/>
        </w:tabs>
      </w:pPr>
      <w:rPr>
        <w:rFonts w:hint="eastAsia"/>
      </w:rPr>
    </w:lvl>
  </w:abstractNum>
  <w:abstractNum w:abstractNumId="7">
    <w:multiLevelType w:val="hybridMultilevel"/>
    <w:lvl w:ilvl="0">
      <w:start w:val="1"/>
      <w:numFmt w:val="decimal"/>
      <w:pStyle w:val="1142"/>
      <w:isLgl w:val="false"/>
      <w:suff w:val="tab"/>
      <w:lvlText w:val="%1)"/>
      <w:lvlJc w:val="left"/>
      <w:pPr>
        <w:pStyle w:val="1035"/>
        <w:ind w:left="420" w:hanging="420"/>
      </w:pPr>
    </w:lvl>
    <w:lvl w:ilvl="1">
      <w:start w:val="1"/>
      <w:numFmt w:val="lowerLetter"/>
      <w:isLgl w:val="false"/>
      <w:suff w:val="tab"/>
      <w:lvlText w:val="%2)"/>
      <w:lvlJc w:val="left"/>
      <w:pPr>
        <w:pStyle w:val="1035"/>
        <w:ind w:left="840" w:hanging="420"/>
      </w:pPr>
    </w:lvl>
    <w:lvl w:ilvl="2">
      <w:start w:val="1"/>
      <w:numFmt w:val="lowerRoman"/>
      <w:isLgl w:val="false"/>
      <w:suff w:val="tab"/>
      <w:lvlText w:val="%3."/>
      <w:lvlJc w:val="right"/>
      <w:pPr>
        <w:pStyle w:val="1035"/>
        <w:ind w:left="1260" w:hanging="420"/>
      </w:pPr>
    </w:lvl>
    <w:lvl w:ilvl="3">
      <w:start w:val="1"/>
      <w:numFmt w:val="decimal"/>
      <w:isLgl w:val="false"/>
      <w:suff w:val="tab"/>
      <w:lvlText w:val="%4."/>
      <w:lvlJc w:val="left"/>
      <w:pPr>
        <w:pStyle w:val="1035"/>
        <w:ind w:left="1680" w:hanging="420"/>
      </w:pPr>
    </w:lvl>
    <w:lvl w:ilvl="4">
      <w:start w:val="1"/>
      <w:numFmt w:val="lowerLetter"/>
      <w:isLgl w:val="false"/>
      <w:suff w:val="tab"/>
      <w:lvlText w:val="%5)"/>
      <w:lvlJc w:val="left"/>
      <w:pPr>
        <w:pStyle w:val="1035"/>
        <w:ind w:left="2100" w:hanging="420"/>
      </w:pPr>
    </w:lvl>
    <w:lvl w:ilvl="5">
      <w:start w:val="1"/>
      <w:numFmt w:val="lowerRoman"/>
      <w:isLgl w:val="false"/>
      <w:suff w:val="tab"/>
      <w:lvlText w:val="%6."/>
      <w:lvlJc w:val="right"/>
      <w:pPr>
        <w:pStyle w:val="1035"/>
        <w:ind w:left="2520" w:hanging="420"/>
      </w:pPr>
    </w:lvl>
    <w:lvl w:ilvl="6">
      <w:start w:val="1"/>
      <w:numFmt w:val="decimal"/>
      <w:isLgl w:val="false"/>
      <w:suff w:val="tab"/>
      <w:lvlText w:val="%7."/>
      <w:lvlJc w:val="left"/>
      <w:pPr>
        <w:pStyle w:val="1035"/>
        <w:ind w:left="2940" w:hanging="420"/>
      </w:pPr>
    </w:lvl>
    <w:lvl w:ilvl="7">
      <w:start w:val="1"/>
      <w:numFmt w:val="lowerLetter"/>
      <w:isLgl w:val="false"/>
      <w:suff w:val="tab"/>
      <w:lvlText w:val="%8)"/>
      <w:lvlJc w:val="left"/>
      <w:pPr>
        <w:pStyle w:val="1035"/>
        <w:ind w:left="3360" w:hanging="420"/>
      </w:pPr>
    </w:lvl>
    <w:lvl w:ilvl="8">
      <w:start w:val="1"/>
      <w:numFmt w:val="lowerRoman"/>
      <w:isLgl w:val="false"/>
      <w:suff w:val="tab"/>
      <w:lvlText w:val="%9."/>
      <w:lvlJc w:val="right"/>
      <w:pPr>
        <w:pStyle w:val="1035"/>
        <w:ind w:left="3780" w:hanging="420"/>
      </w:pPr>
    </w:lvl>
  </w:abstractNum>
  <w:abstractNum w:abstractNumId="8">
    <w:multiLevelType w:val="hybridMultilevel"/>
    <w:lvl w:ilvl="0">
      <w:start w:val="1"/>
      <w:numFmt w:val="decimal"/>
      <w:isLgl w:val="false"/>
      <w:suff w:val="tab"/>
      <w:lvlText w:val="%1."/>
      <w:lvlJc w:val="left"/>
      <w:pPr>
        <w:pStyle w:val="1035"/>
        <w:ind w:left="1242" w:hanging="382"/>
      </w:pPr>
      <w:rPr>
        <w:rFonts w:ascii="仿宋" w:hAnsi="仿宋" w:eastAsia="仿宋" w:cs="仿宋"/>
        <w:spacing w:val="0"/>
        <w:sz w:val="32"/>
        <w:szCs w:val="32"/>
      </w:rPr>
    </w:lvl>
    <w:lvl w:ilvl="1">
      <w:start w:val="0"/>
      <w:numFmt w:val="bullet"/>
      <w:isLgl w:val="false"/>
      <w:suff w:val="tab"/>
      <w:lvlText w:val="•"/>
      <w:lvlJc w:val="left"/>
      <w:pPr>
        <w:pStyle w:val="1035"/>
        <w:ind w:left="2010" w:hanging="382"/>
      </w:pPr>
    </w:lvl>
    <w:lvl w:ilvl="2">
      <w:start w:val="0"/>
      <w:numFmt w:val="bullet"/>
      <w:isLgl w:val="false"/>
      <w:suff w:val="tab"/>
      <w:lvlText w:val="•"/>
      <w:lvlJc w:val="left"/>
      <w:pPr>
        <w:pStyle w:val="1035"/>
        <w:ind w:left="2781" w:hanging="382"/>
      </w:pPr>
    </w:lvl>
    <w:lvl w:ilvl="3">
      <w:start w:val="0"/>
      <w:numFmt w:val="bullet"/>
      <w:isLgl w:val="false"/>
      <w:suff w:val="tab"/>
      <w:lvlText w:val="•"/>
      <w:lvlJc w:val="left"/>
      <w:pPr>
        <w:pStyle w:val="1035"/>
        <w:ind w:left="3551" w:hanging="382"/>
      </w:pPr>
    </w:lvl>
    <w:lvl w:ilvl="4">
      <w:start w:val="0"/>
      <w:numFmt w:val="bullet"/>
      <w:isLgl w:val="false"/>
      <w:suff w:val="tab"/>
      <w:lvlText w:val="•"/>
      <w:lvlJc w:val="left"/>
      <w:pPr>
        <w:pStyle w:val="1035"/>
        <w:ind w:left="4322" w:hanging="382"/>
      </w:pPr>
    </w:lvl>
    <w:lvl w:ilvl="5">
      <w:start w:val="0"/>
      <w:numFmt w:val="bullet"/>
      <w:isLgl w:val="false"/>
      <w:suff w:val="tab"/>
      <w:lvlText w:val="•"/>
      <w:lvlJc w:val="left"/>
      <w:pPr>
        <w:pStyle w:val="1035"/>
        <w:ind w:left="5093" w:hanging="382"/>
      </w:pPr>
    </w:lvl>
    <w:lvl w:ilvl="6">
      <w:start w:val="0"/>
      <w:numFmt w:val="bullet"/>
      <w:isLgl w:val="false"/>
      <w:suff w:val="tab"/>
      <w:lvlText w:val="•"/>
      <w:lvlJc w:val="left"/>
      <w:pPr>
        <w:pStyle w:val="1035"/>
        <w:ind w:left="5863" w:hanging="382"/>
      </w:pPr>
    </w:lvl>
    <w:lvl w:ilvl="7">
      <w:start w:val="0"/>
      <w:numFmt w:val="bullet"/>
      <w:isLgl w:val="false"/>
      <w:suff w:val="tab"/>
      <w:lvlText w:val="•"/>
      <w:lvlJc w:val="left"/>
      <w:pPr>
        <w:pStyle w:val="1035"/>
        <w:ind w:left="6634" w:hanging="382"/>
      </w:pPr>
    </w:lvl>
    <w:lvl w:ilvl="8">
      <w:start w:val="0"/>
      <w:numFmt w:val="bullet"/>
      <w:isLgl w:val="false"/>
      <w:suff w:val="tab"/>
      <w:lvlText w:val="•"/>
      <w:lvlJc w:val="left"/>
      <w:pPr>
        <w:pStyle w:val="1035"/>
        <w:ind w:left="7404" w:hanging="382"/>
      </w:pPr>
    </w:lvl>
  </w:abstractNum>
  <w:abstractNum w:abstractNumId="9">
    <w:multiLevelType w:val="hybridMultilevel"/>
    <w:lvl w:ilvl="0">
      <w:start w:val="1"/>
      <w:numFmt w:val="decimal"/>
      <w:pStyle w:val="1243"/>
      <w:isLgl w:val="false"/>
      <w:suff w:val="tab"/>
      <w:lvlText w:val="%1"/>
      <w:lvlJc w:val="left"/>
      <w:pPr>
        <w:pStyle w:val="1035"/>
        <w:ind w:left="680" w:hanging="680"/>
      </w:pPr>
      <w:rPr>
        <w:rFonts w:hint="eastAsia" w:ascii="宋体" w:hAnsi="宋体" w:eastAsia="宋体"/>
      </w:rPr>
    </w:lvl>
    <w:lvl w:ilvl="1">
      <w:start w:val="1"/>
      <w:numFmt w:val="decimal"/>
      <w:pStyle w:val="1244"/>
      <w:isLgl w:val="false"/>
      <w:suff w:val="tab"/>
      <w:lvlText w:val="%1.%2"/>
      <w:lvlJc w:val="left"/>
      <w:pPr>
        <w:pStyle w:val="1035"/>
        <w:ind w:left="851" w:hanging="851"/>
      </w:pPr>
      <w:rPr>
        <w:rFonts w:hint="eastAsia" w:ascii="宋体" w:hAnsi="宋体" w:eastAsia="宋体"/>
        <w:color w:val="000000"/>
      </w:rPr>
    </w:lvl>
    <w:lvl w:ilvl="2">
      <w:start w:val="1"/>
      <w:numFmt w:val="decimal"/>
      <w:pStyle w:val="1245"/>
      <w:isLgl w:val="false"/>
      <w:suff w:val="tab"/>
      <w:lvlText w:val="%1.%2.%3"/>
      <w:lvlJc w:val="left"/>
      <w:pPr>
        <w:pStyle w:val="1035"/>
        <w:ind w:left="851" w:hanging="851"/>
      </w:pPr>
      <w:rPr>
        <w:rFonts w:hint="eastAsia"/>
      </w:rPr>
    </w:lvl>
    <w:lvl w:ilvl="3">
      <w:start w:val="1"/>
      <w:numFmt w:val="decimal"/>
      <w:isLgl w:val="false"/>
      <w:suff w:val="tab"/>
      <w:lvlText w:val="%1.%2.%3.%4"/>
      <w:lvlJc w:val="left"/>
      <w:pPr>
        <w:pStyle w:val="1035"/>
        <w:ind w:left="680" w:hanging="680"/>
      </w:pPr>
      <w:rPr>
        <w:rFonts w:hint="eastAsia"/>
      </w:rPr>
    </w:lvl>
    <w:lvl w:ilvl="4">
      <w:start w:val="1"/>
      <w:numFmt w:val="decimal"/>
      <w:isLgl w:val="false"/>
      <w:suff w:val="tab"/>
      <w:lvlText w:val="%1.%2.%3.%4.%5"/>
      <w:lvlJc w:val="left"/>
      <w:pPr>
        <w:pStyle w:val="1035"/>
        <w:ind w:left="680" w:hanging="680"/>
      </w:pPr>
      <w:rPr>
        <w:rFonts w:hint="eastAsia"/>
      </w:rPr>
    </w:lvl>
    <w:lvl w:ilvl="5">
      <w:start w:val="1"/>
      <w:numFmt w:val="decimal"/>
      <w:isLgl w:val="false"/>
      <w:suff w:val="tab"/>
      <w:lvlText w:val="%1.%2.%3.%4.%5.%6"/>
      <w:lvlJc w:val="left"/>
      <w:pPr>
        <w:pStyle w:val="1035"/>
        <w:ind w:left="680" w:hanging="680"/>
      </w:pPr>
      <w:rPr>
        <w:rFonts w:hint="eastAsia"/>
      </w:rPr>
    </w:lvl>
    <w:lvl w:ilvl="6">
      <w:start w:val="1"/>
      <w:numFmt w:val="decimal"/>
      <w:isLgl w:val="false"/>
      <w:suff w:val="tab"/>
      <w:lvlText w:val="%1.%2.%3.%4.%5.%6.%7"/>
      <w:lvlJc w:val="left"/>
      <w:pPr>
        <w:pStyle w:val="1035"/>
        <w:ind w:left="680" w:hanging="680"/>
      </w:pPr>
      <w:rPr>
        <w:rFonts w:hint="eastAsia"/>
      </w:rPr>
    </w:lvl>
    <w:lvl w:ilvl="7">
      <w:start w:val="1"/>
      <w:numFmt w:val="decimal"/>
      <w:isLgl w:val="false"/>
      <w:suff w:val="tab"/>
      <w:lvlText w:val="%1.%2.%3.%4.%5.%6.%7.%8"/>
      <w:lvlJc w:val="left"/>
      <w:pPr>
        <w:pStyle w:val="1035"/>
        <w:ind w:left="680" w:hanging="680"/>
      </w:pPr>
      <w:rPr>
        <w:rFonts w:hint="eastAsia"/>
      </w:rPr>
    </w:lvl>
    <w:lvl w:ilvl="8">
      <w:start w:val="1"/>
      <w:numFmt w:val="decimal"/>
      <w:isLgl w:val="false"/>
      <w:suff w:val="tab"/>
      <w:lvlText w:val="%1.%2.%3.%4.%5.%6.%7.%8.%9"/>
      <w:lvlJc w:val="left"/>
      <w:pPr>
        <w:pStyle w:val="1035"/>
        <w:ind w:left="680" w:hanging="680"/>
      </w:pPr>
      <w:rPr>
        <w:rFonts w:hint="eastAsia"/>
      </w:rPr>
    </w:lvl>
  </w:abstractNum>
  <w:abstractNum w:abstractNumId="10">
    <w:multiLevelType w:val="hybridMultilevel"/>
    <w:lvl w:ilvl="0">
      <w:start w:val="1"/>
      <w:numFmt w:val="decimal"/>
      <w:isLgl w:val="false"/>
      <w:suff w:val="tab"/>
      <w:lvlText w:val="%1."/>
      <w:lvlJc w:val="left"/>
      <w:pPr>
        <w:pStyle w:val="1035"/>
        <w:ind w:left="900" w:hanging="900"/>
        <w:tabs>
          <w:tab w:val="num" w:pos="900" w:leader="none"/>
        </w:tabs>
      </w:pPr>
      <w:rPr>
        <w:rFonts w:hint="eastAsia"/>
      </w:rPr>
    </w:lvl>
    <w:lvl w:ilvl="1">
      <w:start w:val="1"/>
      <w:numFmt w:val="decimal"/>
      <w:isLgl w:val="false"/>
      <w:suff w:val="tab"/>
      <w:lvlText w:val="%1.%2"/>
      <w:lvlJc w:val="left"/>
      <w:pPr>
        <w:pStyle w:val="103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35"/>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35"/>
        <w:ind w:left="900" w:hanging="900"/>
        <w:tabs>
          <w:tab w:val="num" w:pos="900" w:leader="none"/>
        </w:tabs>
      </w:pPr>
      <w:rPr>
        <w:rFonts w:hint="eastAsia"/>
      </w:rPr>
    </w:lvl>
    <w:lvl w:ilvl="4">
      <w:start w:val="1"/>
      <w:numFmt w:val="decimal"/>
      <w:isLgl w:val="false"/>
      <w:suff w:val="tab"/>
      <w:lvlText w:val="%1.%2.%3.%4.%5"/>
      <w:lvlJc w:val="left"/>
      <w:pPr>
        <w:pStyle w:val="1035"/>
        <w:ind w:left="900" w:hanging="900"/>
        <w:tabs>
          <w:tab w:val="num" w:pos="900" w:leader="none"/>
        </w:tabs>
      </w:pPr>
      <w:rPr>
        <w:rFonts w:hint="eastAsia"/>
      </w:rPr>
    </w:lvl>
    <w:lvl w:ilvl="5">
      <w:start w:val="1"/>
      <w:numFmt w:val="decimal"/>
      <w:isLgl w:val="false"/>
      <w:suff w:val="tab"/>
      <w:lvlText w:val="%1.%2.%3.%4.%5.%6"/>
      <w:lvlJc w:val="left"/>
      <w:pPr>
        <w:pStyle w:val="1035"/>
        <w:ind w:left="900" w:hanging="900"/>
        <w:tabs>
          <w:tab w:val="num" w:pos="900" w:leader="none"/>
        </w:tabs>
      </w:pPr>
      <w:rPr>
        <w:rFonts w:hint="eastAsia"/>
      </w:rPr>
    </w:lvl>
    <w:lvl w:ilvl="6">
      <w:start w:val="1"/>
      <w:numFmt w:val="decimal"/>
      <w:isLgl w:val="false"/>
      <w:suff w:val="tab"/>
      <w:lvlText w:val="%1.%2.%3.%4.%5.%6.%7"/>
      <w:lvlJc w:val="left"/>
      <w:pPr>
        <w:pStyle w:val="1035"/>
        <w:ind w:left="900" w:hanging="900"/>
        <w:tabs>
          <w:tab w:val="num" w:pos="900" w:leader="none"/>
        </w:tabs>
      </w:pPr>
      <w:rPr>
        <w:rFonts w:hint="eastAsia"/>
      </w:rPr>
    </w:lvl>
    <w:lvl w:ilvl="7">
      <w:start w:val="1"/>
      <w:numFmt w:val="decimal"/>
      <w:isLgl w:val="false"/>
      <w:suff w:val="tab"/>
      <w:lvlText w:val="%1.%2.%3.%4.%5.%6.%7.%8"/>
      <w:lvlJc w:val="left"/>
      <w:pPr>
        <w:pStyle w:val="1035"/>
        <w:ind w:left="900" w:hanging="900"/>
        <w:tabs>
          <w:tab w:val="num" w:pos="900" w:leader="none"/>
        </w:tabs>
      </w:pPr>
      <w:rPr>
        <w:rFonts w:hint="eastAsia"/>
      </w:rPr>
    </w:lvl>
    <w:lvl w:ilvl="8">
      <w:start w:val="1"/>
      <w:numFmt w:val="decimal"/>
      <w:isLgl w:val="false"/>
      <w:suff w:val="tab"/>
      <w:lvlText w:val="%1.%2.%3.%4.%5.%6.%7.%8.%9"/>
      <w:lvlJc w:val="left"/>
      <w:pPr>
        <w:pStyle w:val="1035"/>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35"/>
        <w:ind w:left="900" w:hanging="900"/>
        <w:tabs>
          <w:tab w:val="num" w:pos="900" w:leader="none"/>
        </w:tabs>
      </w:pPr>
      <w:rPr>
        <w:rFonts w:hint="eastAsia"/>
      </w:rPr>
    </w:lvl>
    <w:lvl w:ilvl="1">
      <w:start w:val="1"/>
      <w:numFmt w:val="decimal"/>
      <w:isLgl w:val="false"/>
      <w:suff w:val="tab"/>
      <w:lvlText w:val="%1.%2"/>
      <w:lvlJc w:val="left"/>
      <w:pPr>
        <w:pStyle w:val="103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5"/>
        <w:ind w:left="1980" w:hanging="900"/>
        <w:tabs>
          <w:tab w:val="num" w:pos="1980" w:leader="none"/>
        </w:tabs>
      </w:pPr>
      <w:rPr>
        <w:rFonts w:hint="eastAsia"/>
      </w:rPr>
    </w:lvl>
    <w:lvl w:ilvl="3">
      <w:start w:val="1"/>
      <w:numFmt w:val="decimal"/>
      <w:isLgl w:val="false"/>
      <w:suff w:val="tab"/>
      <w:lvlText w:val="%1.%2.%3.%4"/>
      <w:lvlJc w:val="left"/>
      <w:pPr>
        <w:pStyle w:val="1035"/>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35"/>
        <w:ind w:left="900" w:hanging="900"/>
        <w:tabs>
          <w:tab w:val="num" w:pos="900" w:leader="none"/>
        </w:tabs>
      </w:pPr>
      <w:rPr>
        <w:rFonts w:hint="eastAsia"/>
      </w:rPr>
    </w:lvl>
    <w:lvl w:ilvl="5">
      <w:start w:val="1"/>
      <w:numFmt w:val="decimal"/>
      <w:isLgl w:val="false"/>
      <w:suff w:val="tab"/>
      <w:lvlText w:val="%1.%2.%3.%4.%5.%6"/>
      <w:lvlJc w:val="left"/>
      <w:pPr>
        <w:pStyle w:val="1035"/>
        <w:ind w:left="900" w:hanging="900"/>
        <w:tabs>
          <w:tab w:val="num" w:pos="900" w:leader="none"/>
        </w:tabs>
      </w:pPr>
      <w:rPr>
        <w:rFonts w:hint="eastAsia"/>
      </w:rPr>
    </w:lvl>
    <w:lvl w:ilvl="6">
      <w:start w:val="1"/>
      <w:numFmt w:val="decimal"/>
      <w:isLgl w:val="false"/>
      <w:suff w:val="tab"/>
      <w:lvlText w:val="%1.%2.%3.%4.%5.%6.%7"/>
      <w:lvlJc w:val="left"/>
      <w:pPr>
        <w:pStyle w:val="1035"/>
        <w:ind w:left="900" w:hanging="900"/>
        <w:tabs>
          <w:tab w:val="num" w:pos="900" w:leader="none"/>
        </w:tabs>
      </w:pPr>
      <w:rPr>
        <w:rFonts w:hint="eastAsia"/>
      </w:rPr>
    </w:lvl>
    <w:lvl w:ilvl="7">
      <w:start w:val="1"/>
      <w:numFmt w:val="decimal"/>
      <w:isLgl w:val="false"/>
      <w:suff w:val="tab"/>
      <w:lvlText w:val="%1.%2.%3.%4.%5.%6.%7.%8"/>
      <w:lvlJc w:val="left"/>
      <w:pPr>
        <w:pStyle w:val="1035"/>
        <w:ind w:left="900" w:hanging="900"/>
        <w:tabs>
          <w:tab w:val="num" w:pos="900" w:leader="none"/>
        </w:tabs>
      </w:pPr>
      <w:rPr>
        <w:rFonts w:hint="eastAsia"/>
      </w:rPr>
    </w:lvl>
    <w:lvl w:ilvl="8">
      <w:start w:val="1"/>
      <w:numFmt w:val="decimal"/>
      <w:isLgl w:val="false"/>
      <w:suff w:val="tab"/>
      <w:lvlText w:val="%1.%2.%3.%4.%5.%6.%7.%8.%9"/>
      <w:lvlJc w:val="left"/>
      <w:pPr>
        <w:pStyle w:val="1035"/>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35"/>
        <w:ind w:left="900" w:hanging="900"/>
        <w:tabs>
          <w:tab w:val="num" w:pos="900" w:leader="none"/>
        </w:tabs>
      </w:pPr>
      <w:rPr>
        <w:rFonts w:hint="eastAsia"/>
      </w:rPr>
    </w:lvl>
    <w:lvl w:ilvl="1">
      <w:start w:val="1"/>
      <w:numFmt w:val="decimal"/>
      <w:isLgl w:val="false"/>
      <w:suff w:val="tab"/>
      <w:lvlText w:val="%1.%2"/>
      <w:lvlJc w:val="left"/>
      <w:pPr>
        <w:pStyle w:val="103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5"/>
        <w:ind w:left="1980" w:hanging="900"/>
        <w:tabs>
          <w:tab w:val="num" w:pos="1980" w:leader="none"/>
        </w:tabs>
      </w:pPr>
      <w:rPr>
        <w:rFonts w:hint="eastAsia"/>
      </w:rPr>
    </w:lvl>
    <w:lvl w:ilvl="3">
      <w:start w:val="1"/>
      <w:numFmt w:val="decimal"/>
      <w:isLgl w:val="false"/>
      <w:suff w:val="tab"/>
      <w:lvlText w:val="%1.%2.%3.%4"/>
      <w:lvlJc w:val="left"/>
      <w:pPr>
        <w:pStyle w:val="1035"/>
        <w:ind w:left="900" w:hanging="900"/>
        <w:tabs>
          <w:tab w:val="num" w:pos="900" w:leader="none"/>
        </w:tabs>
      </w:pPr>
      <w:rPr>
        <w:rFonts w:hint="eastAsia"/>
      </w:rPr>
    </w:lvl>
    <w:lvl w:ilvl="4">
      <w:start w:val="1"/>
      <w:numFmt w:val="decimal"/>
      <w:isLgl w:val="false"/>
      <w:suff w:val="tab"/>
      <w:lvlText w:val="%1.%2.%3.%4.%5"/>
      <w:lvlJc w:val="left"/>
      <w:pPr>
        <w:pStyle w:val="1035"/>
        <w:ind w:left="900" w:hanging="900"/>
        <w:tabs>
          <w:tab w:val="num" w:pos="900" w:leader="none"/>
        </w:tabs>
      </w:pPr>
      <w:rPr>
        <w:rFonts w:hint="eastAsia"/>
      </w:rPr>
    </w:lvl>
    <w:lvl w:ilvl="5">
      <w:start w:val="1"/>
      <w:numFmt w:val="decimal"/>
      <w:isLgl w:val="false"/>
      <w:suff w:val="tab"/>
      <w:lvlText w:val="%1.%2.%3.%4.%5.%6"/>
      <w:lvlJc w:val="left"/>
      <w:pPr>
        <w:pStyle w:val="1035"/>
        <w:ind w:left="900" w:hanging="900"/>
        <w:tabs>
          <w:tab w:val="num" w:pos="900" w:leader="none"/>
        </w:tabs>
      </w:pPr>
      <w:rPr>
        <w:rFonts w:hint="eastAsia"/>
      </w:rPr>
    </w:lvl>
    <w:lvl w:ilvl="6">
      <w:start w:val="1"/>
      <w:numFmt w:val="decimal"/>
      <w:isLgl w:val="false"/>
      <w:suff w:val="tab"/>
      <w:lvlText w:val="%1.%2.%3.%4.%5.%6.%7"/>
      <w:lvlJc w:val="left"/>
      <w:pPr>
        <w:pStyle w:val="1035"/>
        <w:ind w:left="900" w:hanging="900"/>
        <w:tabs>
          <w:tab w:val="num" w:pos="900" w:leader="none"/>
        </w:tabs>
      </w:pPr>
      <w:rPr>
        <w:rFonts w:hint="eastAsia"/>
      </w:rPr>
    </w:lvl>
    <w:lvl w:ilvl="7">
      <w:start w:val="1"/>
      <w:numFmt w:val="decimal"/>
      <w:isLgl w:val="false"/>
      <w:suff w:val="tab"/>
      <w:lvlText w:val="%1.%2.%3.%4.%5.%6.%7.%8"/>
      <w:lvlJc w:val="left"/>
      <w:pPr>
        <w:pStyle w:val="1035"/>
        <w:ind w:left="900" w:hanging="900"/>
        <w:tabs>
          <w:tab w:val="num" w:pos="900" w:leader="none"/>
        </w:tabs>
      </w:pPr>
      <w:rPr>
        <w:rFonts w:hint="eastAsia"/>
      </w:rPr>
    </w:lvl>
    <w:lvl w:ilvl="8">
      <w:start w:val="1"/>
      <w:numFmt w:val="decimal"/>
      <w:isLgl w:val="false"/>
      <w:suff w:val="tab"/>
      <w:lvlText w:val="%1.%2.%3.%4.%5.%6.%7.%8.%9"/>
      <w:lvlJc w:val="left"/>
      <w:pPr>
        <w:pStyle w:val="1035"/>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35"/>
        <w:ind w:left="900" w:hanging="900"/>
        <w:tabs>
          <w:tab w:val="num" w:pos="900" w:leader="none"/>
        </w:tabs>
      </w:pPr>
      <w:rPr>
        <w:rFonts w:hint="eastAsia"/>
      </w:rPr>
    </w:lvl>
    <w:lvl w:ilvl="1">
      <w:start w:val="1"/>
      <w:numFmt w:val="decimal"/>
      <w:isLgl w:val="false"/>
      <w:suff w:val="tab"/>
      <w:lvlText w:val="%1.%2"/>
      <w:lvlJc w:val="left"/>
      <w:pPr>
        <w:pStyle w:val="103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5"/>
        <w:ind w:left="1980" w:hanging="900"/>
        <w:tabs>
          <w:tab w:val="num" w:pos="1980" w:leader="none"/>
        </w:tabs>
      </w:pPr>
      <w:rPr>
        <w:rFonts w:hint="eastAsia"/>
      </w:rPr>
    </w:lvl>
    <w:lvl w:ilvl="3">
      <w:start w:val="1"/>
      <w:numFmt w:val="decimal"/>
      <w:isLgl w:val="false"/>
      <w:suff w:val="tab"/>
      <w:lvlText w:val="%1.%2.%3.%4"/>
      <w:lvlJc w:val="left"/>
      <w:pPr>
        <w:pStyle w:val="1035"/>
        <w:ind w:left="900" w:hanging="900"/>
        <w:tabs>
          <w:tab w:val="num" w:pos="900" w:leader="none"/>
        </w:tabs>
      </w:pPr>
      <w:rPr>
        <w:rFonts w:hint="eastAsia"/>
      </w:rPr>
    </w:lvl>
    <w:lvl w:ilvl="4">
      <w:start w:val="1"/>
      <w:numFmt w:val="decimal"/>
      <w:isLgl w:val="false"/>
      <w:suff w:val="tab"/>
      <w:lvlText w:val="%1.%2.%3.%4.%5"/>
      <w:lvlJc w:val="left"/>
      <w:pPr>
        <w:pStyle w:val="1035"/>
        <w:ind w:left="900" w:hanging="900"/>
        <w:tabs>
          <w:tab w:val="num" w:pos="900" w:leader="none"/>
        </w:tabs>
      </w:pPr>
      <w:rPr>
        <w:rFonts w:hint="eastAsia"/>
      </w:rPr>
    </w:lvl>
    <w:lvl w:ilvl="5">
      <w:start w:val="1"/>
      <w:numFmt w:val="decimal"/>
      <w:isLgl w:val="false"/>
      <w:suff w:val="tab"/>
      <w:lvlText w:val="%1.%2.%3.%4.%5.%6"/>
      <w:lvlJc w:val="left"/>
      <w:pPr>
        <w:pStyle w:val="1035"/>
        <w:ind w:left="900" w:hanging="900"/>
        <w:tabs>
          <w:tab w:val="num" w:pos="900" w:leader="none"/>
        </w:tabs>
      </w:pPr>
      <w:rPr>
        <w:rFonts w:hint="eastAsia"/>
      </w:rPr>
    </w:lvl>
    <w:lvl w:ilvl="6">
      <w:start w:val="1"/>
      <w:numFmt w:val="decimal"/>
      <w:isLgl w:val="false"/>
      <w:suff w:val="tab"/>
      <w:lvlText w:val="%1.%2.%3.%4.%5.%6.%7"/>
      <w:lvlJc w:val="left"/>
      <w:pPr>
        <w:pStyle w:val="1035"/>
        <w:ind w:left="900" w:hanging="900"/>
        <w:tabs>
          <w:tab w:val="num" w:pos="900" w:leader="none"/>
        </w:tabs>
      </w:pPr>
      <w:rPr>
        <w:rFonts w:hint="eastAsia"/>
      </w:rPr>
    </w:lvl>
    <w:lvl w:ilvl="7">
      <w:start w:val="1"/>
      <w:numFmt w:val="decimal"/>
      <w:isLgl w:val="false"/>
      <w:suff w:val="tab"/>
      <w:lvlText w:val="%1.%2.%3.%4.%5.%6.%7.%8"/>
      <w:lvlJc w:val="left"/>
      <w:pPr>
        <w:pStyle w:val="1035"/>
        <w:ind w:left="900" w:hanging="900"/>
        <w:tabs>
          <w:tab w:val="num" w:pos="900" w:leader="none"/>
        </w:tabs>
      </w:pPr>
      <w:rPr>
        <w:rFonts w:hint="eastAsia"/>
      </w:rPr>
    </w:lvl>
    <w:lvl w:ilvl="8">
      <w:start w:val="1"/>
      <w:numFmt w:val="decimal"/>
      <w:isLgl w:val="false"/>
      <w:suff w:val="tab"/>
      <w:lvlText w:val="%1.%2.%3.%4.%5.%6.%7.%8.%9"/>
      <w:lvlJc w:val="left"/>
      <w:pPr>
        <w:pStyle w:val="1035"/>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name w:val="Heading 1"/>
    <w:basedOn w:val="1035"/>
    <w:next w:val="1035"/>
    <w:link w:val="858"/>
    <w:uiPriority w:val="9"/>
    <w:qFormat/>
    <w:pPr>
      <w:keepLines/>
      <w:keepNext/>
      <w:spacing w:before="480" w:after="200"/>
      <w:outlineLvl w:val="0"/>
    </w:pPr>
    <w:rPr>
      <w:rFonts w:ascii="Arial" w:hAnsi="Arial" w:eastAsia="Arial" w:cs="Arial"/>
      <w:sz w:val="40"/>
      <w:szCs w:val="40"/>
    </w:rPr>
  </w:style>
  <w:style w:type="character" w:styleId="858">
    <w:name w:val="Heading 1 Char"/>
    <w:link w:val="857"/>
    <w:uiPriority w:val="9"/>
    <w:rPr>
      <w:rFonts w:ascii="Arial" w:hAnsi="Arial" w:eastAsia="Arial" w:cs="Arial"/>
      <w:sz w:val="40"/>
      <w:szCs w:val="40"/>
    </w:rPr>
  </w:style>
  <w:style w:type="paragraph" w:styleId="859">
    <w:name w:val="Heading 2"/>
    <w:basedOn w:val="1035"/>
    <w:next w:val="1035"/>
    <w:link w:val="860"/>
    <w:uiPriority w:val="9"/>
    <w:unhideWhenUsed/>
    <w:qFormat/>
    <w:pPr>
      <w:keepLines/>
      <w:keepNext/>
      <w:spacing w:before="360" w:after="200"/>
      <w:outlineLvl w:val="1"/>
    </w:pPr>
    <w:rPr>
      <w:rFonts w:ascii="Arial" w:hAnsi="Arial" w:eastAsia="Arial" w:cs="Arial"/>
      <w:sz w:val="34"/>
    </w:rPr>
  </w:style>
  <w:style w:type="character" w:styleId="860">
    <w:name w:val="Heading 2 Char"/>
    <w:link w:val="859"/>
    <w:uiPriority w:val="9"/>
    <w:rPr>
      <w:rFonts w:ascii="Arial" w:hAnsi="Arial" w:eastAsia="Arial" w:cs="Arial"/>
      <w:sz w:val="34"/>
    </w:rPr>
  </w:style>
  <w:style w:type="paragraph" w:styleId="861">
    <w:name w:val="Heading 3"/>
    <w:basedOn w:val="1035"/>
    <w:next w:val="1035"/>
    <w:link w:val="862"/>
    <w:uiPriority w:val="9"/>
    <w:unhideWhenUsed/>
    <w:qFormat/>
    <w:pPr>
      <w:keepLines/>
      <w:keepNext/>
      <w:spacing w:before="320" w:after="200"/>
      <w:outlineLvl w:val="2"/>
    </w:pPr>
    <w:rPr>
      <w:rFonts w:ascii="Arial" w:hAnsi="Arial" w:eastAsia="Arial" w:cs="Arial"/>
      <w:sz w:val="30"/>
      <w:szCs w:val="30"/>
    </w:rPr>
  </w:style>
  <w:style w:type="character" w:styleId="862">
    <w:name w:val="Heading 3 Char"/>
    <w:link w:val="861"/>
    <w:uiPriority w:val="9"/>
    <w:rPr>
      <w:rFonts w:ascii="Arial" w:hAnsi="Arial" w:eastAsia="Arial" w:cs="Arial"/>
      <w:sz w:val="30"/>
      <w:szCs w:val="30"/>
    </w:rPr>
  </w:style>
  <w:style w:type="paragraph" w:styleId="863">
    <w:name w:val="Heading 4"/>
    <w:basedOn w:val="1035"/>
    <w:next w:val="1035"/>
    <w:link w:val="864"/>
    <w:uiPriority w:val="9"/>
    <w:unhideWhenUsed/>
    <w:qFormat/>
    <w:pPr>
      <w:keepLines/>
      <w:keepNext/>
      <w:spacing w:before="320" w:after="200"/>
      <w:outlineLvl w:val="3"/>
    </w:pPr>
    <w:rPr>
      <w:rFonts w:ascii="Arial" w:hAnsi="Arial" w:eastAsia="Arial" w:cs="Arial"/>
      <w:b/>
      <w:bCs/>
      <w:sz w:val="26"/>
      <w:szCs w:val="26"/>
    </w:rPr>
  </w:style>
  <w:style w:type="character" w:styleId="864">
    <w:name w:val="Heading 4 Char"/>
    <w:link w:val="863"/>
    <w:uiPriority w:val="9"/>
    <w:rPr>
      <w:rFonts w:ascii="Arial" w:hAnsi="Arial" w:eastAsia="Arial" w:cs="Arial"/>
      <w:b/>
      <w:bCs/>
      <w:sz w:val="26"/>
      <w:szCs w:val="26"/>
    </w:rPr>
  </w:style>
  <w:style w:type="paragraph" w:styleId="865">
    <w:name w:val="Heading 5"/>
    <w:basedOn w:val="1035"/>
    <w:next w:val="1035"/>
    <w:link w:val="866"/>
    <w:uiPriority w:val="9"/>
    <w:unhideWhenUsed/>
    <w:qFormat/>
    <w:pPr>
      <w:keepLines/>
      <w:keepNext/>
      <w:spacing w:before="320" w:after="200"/>
      <w:outlineLvl w:val="4"/>
    </w:pPr>
    <w:rPr>
      <w:rFonts w:ascii="Arial" w:hAnsi="Arial" w:eastAsia="Arial" w:cs="Arial"/>
      <w:b/>
      <w:bCs/>
      <w:sz w:val="24"/>
      <w:szCs w:val="24"/>
    </w:rPr>
  </w:style>
  <w:style w:type="character" w:styleId="866">
    <w:name w:val="Heading 5 Char"/>
    <w:link w:val="865"/>
    <w:uiPriority w:val="9"/>
    <w:rPr>
      <w:rFonts w:ascii="Arial" w:hAnsi="Arial" w:eastAsia="Arial" w:cs="Arial"/>
      <w:b/>
      <w:bCs/>
      <w:sz w:val="24"/>
      <w:szCs w:val="24"/>
    </w:rPr>
  </w:style>
  <w:style w:type="paragraph" w:styleId="867">
    <w:name w:val="Heading 6"/>
    <w:basedOn w:val="1035"/>
    <w:next w:val="1035"/>
    <w:link w:val="868"/>
    <w:uiPriority w:val="9"/>
    <w:unhideWhenUsed/>
    <w:qFormat/>
    <w:pPr>
      <w:keepLines/>
      <w:keepNext/>
      <w:spacing w:before="320" w:after="200"/>
      <w:outlineLvl w:val="5"/>
    </w:pPr>
    <w:rPr>
      <w:rFonts w:ascii="Arial" w:hAnsi="Arial" w:eastAsia="Arial" w:cs="Arial"/>
      <w:b/>
      <w:bCs/>
      <w:sz w:val="22"/>
      <w:szCs w:val="22"/>
    </w:rPr>
  </w:style>
  <w:style w:type="character" w:styleId="868">
    <w:name w:val="Heading 6 Char"/>
    <w:link w:val="867"/>
    <w:uiPriority w:val="9"/>
    <w:rPr>
      <w:rFonts w:ascii="Arial" w:hAnsi="Arial" w:eastAsia="Arial" w:cs="Arial"/>
      <w:b/>
      <w:bCs/>
      <w:sz w:val="22"/>
      <w:szCs w:val="22"/>
    </w:rPr>
  </w:style>
  <w:style w:type="paragraph" w:styleId="869">
    <w:name w:val="Heading 7"/>
    <w:basedOn w:val="1035"/>
    <w:next w:val="1035"/>
    <w:link w:val="870"/>
    <w:uiPriority w:val="9"/>
    <w:unhideWhenUsed/>
    <w:qFormat/>
    <w:pPr>
      <w:keepLines/>
      <w:keepNext/>
      <w:spacing w:before="320" w:after="200"/>
      <w:outlineLvl w:val="6"/>
    </w:pPr>
    <w:rPr>
      <w:rFonts w:ascii="Arial" w:hAnsi="Arial" w:eastAsia="Arial" w:cs="Arial"/>
      <w:b/>
      <w:bCs/>
      <w:i/>
      <w:iCs/>
      <w:sz w:val="22"/>
      <w:szCs w:val="22"/>
    </w:rPr>
  </w:style>
  <w:style w:type="character" w:styleId="870">
    <w:name w:val="Heading 7 Char"/>
    <w:link w:val="869"/>
    <w:uiPriority w:val="9"/>
    <w:rPr>
      <w:rFonts w:ascii="Arial" w:hAnsi="Arial" w:eastAsia="Arial" w:cs="Arial"/>
      <w:b/>
      <w:bCs/>
      <w:i/>
      <w:iCs/>
      <w:sz w:val="22"/>
      <w:szCs w:val="22"/>
    </w:rPr>
  </w:style>
  <w:style w:type="paragraph" w:styleId="871">
    <w:name w:val="Heading 8"/>
    <w:basedOn w:val="1035"/>
    <w:next w:val="1035"/>
    <w:link w:val="872"/>
    <w:uiPriority w:val="9"/>
    <w:unhideWhenUsed/>
    <w:qFormat/>
    <w:pPr>
      <w:keepLines/>
      <w:keepNext/>
      <w:spacing w:before="320" w:after="200"/>
      <w:outlineLvl w:val="7"/>
    </w:pPr>
    <w:rPr>
      <w:rFonts w:ascii="Arial" w:hAnsi="Arial" w:eastAsia="Arial" w:cs="Arial"/>
      <w:i/>
      <w:iCs/>
      <w:sz w:val="22"/>
      <w:szCs w:val="22"/>
    </w:rPr>
  </w:style>
  <w:style w:type="character" w:styleId="872">
    <w:name w:val="Heading 8 Char"/>
    <w:link w:val="871"/>
    <w:uiPriority w:val="9"/>
    <w:rPr>
      <w:rFonts w:ascii="Arial" w:hAnsi="Arial" w:eastAsia="Arial" w:cs="Arial"/>
      <w:i/>
      <w:iCs/>
      <w:sz w:val="22"/>
      <w:szCs w:val="22"/>
    </w:rPr>
  </w:style>
  <w:style w:type="paragraph" w:styleId="873">
    <w:name w:val="Heading 9"/>
    <w:basedOn w:val="1035"/>
    <w:next w:val="1035"/>
    <w:link w:val="874"/>
    <w:uiPriority w:val="9"/>
    <w:unhideWhenUsed/>
    <w:qFormat/>
    <w:pPr>
      <w:keepLines/>
      <w:keepNext/>
      <w:spacing w:before="320" w:after="200"/>
      <w:outlineLvl w:val="8"/>
    </w:pPr>
    <w:rPr>
      <w:rFonts w:ascii="Arial" w:hAnsi="Arial" w:eastAsia="Arial" w:cs="Arial"/>
      <w:i/>
      <w:iCs/>
      <w:sz w:val="21"/>
      <w:szCs w:val="21"/>
    </w:rPr>
  </w:style>
  <w:style w:type="character" w:styleId="874">
    <w:name w:val="Heading 9 Char"/>
    <w:link w:val="873"/>
    <w:uiPriority w:val="9"/>
    <w:rPr>
      <w:rFonts w:ascii="Arial" w:hAnsi="Arial" w:eastAsia="Arial" w:cs="Arial"/>
      <w:i/>
      <w:iCs/>
      <w:sz w:val="21"/>
      <w:szCs w:val="21"/>
    </w:rPr>
  </w:style>
  <w:style w:type="paragraph" w:styleId="875">
    <w:name w:val="List Paragraph"/>
    <w:basedOn w:val="1035"/>
    <w:uiPriority w:val="34"/>
    <w:qFormat/>
    <w:pPr>
      <w:contextualSpacing/>
      <w:ind w:left="720"/>
    </w:pPr>
  </w:style>
  <w:style w:type="paragraph" w:styleId="876">
    <w:name w:val="No Spacing"/>
    <w:uiPriority w:val="1"/>
    <w:qFormat/>
    <w:pPr>
      <w:spacing w:before="0" w:after="0" w:line="240" w:lineRule="auto"/>
    </w:pPr>
  </w:style>
  <w:style w:type="paragraph" w:styleId="877">
    <w:name w:val="Title"/>
    <w:basedOn w:val="1035"/>
    <w:next w:val="1035"/>
    <w:link w:val="878"/>
    <w:uiPriority w:val="10"/>
    <w:qFormat/>
    <w:pPr>
      <w:contextualSpacing/>
      <w:spacing w:before="300" w:after="200"/>
    </w:pPr>
    <w:rPr>
      <w:sz w:val="48"/>
      <w:szCs w:val="48"/>
    </w:rPr>
  </w:style>
  <w:style w:type="character" w:styleId="878">
    <w:name w:val="Title Char"/>
    <w:link w:val="877"/>
    <w:uiPriority w:val="10"/>
    <w:rPr>
      <w:sz w:val="48"/>
      <w:szCs w:val="48"/>
    </w:rPr>
  </w:style>
  <w:style w:type="paragraph" w:styleId="879">
    <w:name w:val="Subtitle"/>
    <w:basedOn w:val="1035"/>
    <w:next w:val="1035"/>
    <w:link w:val="880"/>
    <w:uiPriority w:val="11"/>
    <w:qFormat/>
    <w:pPr>
      <w:spacing w:before="200" w:after="200"/>
    </w:pPr>
    <w:rPr>
      <w:sz w:val="24"/>
      <w:szCs w:val="24"/>
    </w:rPr>
  </w:style>
  <w:style w:type="character" w:styleId="880">
    <w:name w:val="Subtitle Char"/>
    <w:link w:val="879"/>
    <w:uiPriority w:val="11"/>
    <w:rPr>
      <w:sz w:val="24"/>
      <w:szCs w:val="24"/>
    </w:rPr>
  </w:style>
  <w:style w:type="paragraph" w:styleId="881">
    <w:name w:val="Quote"/>
    <w:basedOn w:val="1035"/>
    <w:next w:val="1035"/>
    <w:link w:val="882"/>
    <w:uiPriority w:val="29"/>
    <w:qFormat/>
    <w:pPr>
      <w:ind w:left="720" w:right="720"/>
    </w:pPr>
    <w:rPr>
      <w:i/>
    </w:rPr>
  </w:style>
  <w:style w:type="character" w:styleId="882">
    <w:name w:val="Quote Char"/>
    <w:link w:val="881"/>
    <w:uiPriority w:val="29"/>
    <w:rPr>
      <w:i/>
    </w:rPr>
  </w:style>
  <w:style w:type="paragraph" w:styleId="883">
    <w:name w:val="Intense Quote"/>
    <w:basedOn w:val="1035"/>
    <w:next w:val="1035"/>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name w:val="Intense Quote Char"/>
    <w:link w:val="883"/>
    <w:uiPriority w:val="30"/>
    <w:rPr>
      <w:i/>
    </w:rPr>
  </w:style>
  <w:style w:type="paragraph" w:styleId="885">
    <w:name w:val="Header"/>
    <w:basedOn w:val="1035"/>
    <w:link w:val="886"/>
    <w:uiPriority w:val="99"/>
    <w:unhideWhenUsed/>
    <w:pPr>
      <w:spacing w:after="0" w:line="240" w:lineRule="auto"/>
      <w:tabs>
        <w:tab w:val="center" w:pos="7143" w:leader="none"/>
        <w:tab w:val="right" w:pos="14287" w:leader="none"/>
      </w:tabs>
    </w:pPr>
  </w:style>
  <w:style w:type="character" w:styleId="886">
    <w:name w:val="Header Char"/>
    <w:link w:val="885"/>
    <w:uiPriority w:val="99"/>
  </w:style>
  <w:style w:type="paragraph" w:styleId="887">
    <w:name w:val="Footer"/>
    <w:basedOn w:val="1035"/>
    <w:link w:val="890"/>
    <w:uiPriority w:val="99"/>
    <w:unhideWhenUsed/>
    <w:pPr>
      <w:spacing w:after="0" w:line="240" w:lineRule="auto"/>
      <w:tabs>
        <w:tab w:val="center" w:pos="7143" w:leader="none"/>
        <w:tab w:val="right" w:pos="14287" w:leader="none"/>
      </w:tabs>
    </w:pPr>
  </w:style>
  <w:style w:type="character" w:styleId="888">
    <w:name w:val="Footer Char"/>
    <w:link w:val="887"/>
    <w:uiPriority w:val="99"/>
  </w:style>
  <w:style w:type="paragraph" w:styleId="889">
    <w:name w:val="Caption"/>
    <w:basedOn w:val="1035"/>
    <w:next w:val="1035"/>
    <w:uiPriority w:val="35"/>
    <w:semiHidden/>
    <w:unhideWhenUsed/>
    <w:qFormat/>
    <w:pPr>
      <w:spacing w:line="276" w:lineRule="auto"/>
    </w:pPr>
    <w:rPr>
      <w:b/>
      <w:bCs/>
      <w:color w:val="4f81bd" w:themeColor="accent1"/>
      <w:sz w:val="18"/>
      <w:szCs w:val="18"/>
    </w:rPr>
  </w:style>
  <w:style w:type="character" w:styleId="890">
    <w:name w:val="Caption Char"/>
    <w:basedOn w:val="889"/>
    <w:link w:val="887"/>
    <w:uiPriority w:val="99"/>
  </w:style>
  <w:style w:type="table" w:styleId="8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7">
    <w:name w:val="Hyperlink"/>
    <w:uiPriority w:val="99"/>
    <w:unhideWhenUsed/>
    <w:rPr>
      <w:color w:val="0000ff" w:themeColor="hyperlink"/>
      <w:u w:val="single"/>
    </w:rPr>
  </w:style>
  <w:style w:type="paragraph" w:styleId="1018">
    <w:name w:val="footnote text"/>
    <w:basedOn w:val="1035"/>
    <w:link w:val="1019"/>
    <w:uiPriority w:val="99"/>
    <w:semiHidden/>
    <w:unhideWhenUsed/>
    <w:pPr>
      <w:spacing w:after="40" w:line="240" w:lineRule="auto"/>
    </w:pPr>
    <w:rPr>
      <w:sz w:val="18"/>
    </w:rPr>
  </w:style>
  <w:style w:type="character" w:styleId="1019">
    <w:name w:val="Footnote Text Char"/>
    <w:link w:val="1018"/>
    <w:uiPriority w:val="99"/>
    <w:rPr>
      <w:sz w:val="18"/>
    </w:rPr>
  </w:style>
  <w:style w:type="character" w:styleId="1020">
    <w:name w:val="footnote reference"/>
    <w:uiPriority w:val="99"/>
    <w:unhideWhenUsed/>
    <w:rPr>
      <w:vertAlign w:val="superscript"/>
    </w:rPr>
  </w:style>
  <w:style w:type="paragraph" w:styleId="1021">
    <w:name w:val="endnote text"/>
    <w:basedOn w:val="1035"/>
    <w:link w:val="1022"/>
    <w:uiPriority w:val="99"/>
    <w:semiHidden/>
    <w:unhideWhenUsed/>
    <w:pPr>
      <w:spacing w:after="0" w:line="240" w:lineRule="auto"/>
    </w:pPr>
    <w:rPr>
      <w:sz w:val="20"/>
    </w:rPr>
  </w:style>
  <w:style w:type="character" w:styleId="1022">
    <w:name w:val="Endnote Text Char"/>
    <w:link w:val="1021"/>
    <w:uiPriority w:val="99"/>
    <w:rPr>
      <w:sz w:val="20"/>
    </w:rPr>
  </w:style>
  <w:style w:type="character" w:styleId="1023">
    <w:name w:val="endnote reference"/>
    <w:uiPriority w:val="99"/>
    <w:semiHidden/>
    <w:unhideWhenUsed/>
    <w:rPr>
      <w:vertAlign w:val="superscript"/>
    </w:rPr>
  </w:style>
  <w:style w:type="paragraph" w:styleId="1024">
    <w:name w:val="toc 1"/>
    <w:basedOn w:val="1035"/>
    <w:next w:val="1035"/>
    <w:uiPriority w:val="39"/>
    <w:unhideWhenUsed/>
    <w:pPr>
      <w:ind w:left="0" w:right="0" w:firstLine="0"/>
      <w:spacing w:after="57"/>
    </w:pPr>
  </w:style>
  <w:style w:type="paragraph" w:styleId="1025">
    <w:name w:val="toc 2"/>
    <w:basedOn w:val="1035"/>
    <w:next w:val="1035"/>
    <w:uiPriority w:val="39"/>
    <w:unhideWhenUsed/>
    <w:pPr>
      <w:ind w:left="283" w:right="0" w:firstLine="0"/>
      <w:spacing w:after="57"/>
    </w:pPr>
  </w:style>
  <w:style w:type="paragraph" w:styleId="1026">
    <w:name w:val="toc 3"/>
    <w:basedOn w:val="1035"/>
    <w:next w:val="1035"/>
    <w:uiPriority w:val="39"/>
    <w:unhideWhenUsed/>
    <w:pPr>
      <w:ind w:left="567" w:right="0" w:firstLine="0"/>
      <w:spacing w:after="57"/>
    </w:pPr>
  </w:style>
  <w:style w:type="paragraph" w:styleId="1027">
    <w:name w:val="toc 4"/>
    <w:basedOn w:val="1035"/>
    <w:next w:val="1035"/>
    <w:uiPriority w:val="39"/>
    <w:unhideWhenUsed/>
    <w:pPr>
      <w:ind w:left="850" w:right="0" w:firstLine="0"/>
      <w:spacing w:after="57"/>
    </w:pPr>
  </w:style>
  <w:style w:type="paragraph" w:styleId="1028">
    <w:name w:val="toc 5"/>
    <w:basedOn w:val="1035"/>
    <w:next w:val="1035"/>
    <w:uiPriority w:val="39"/>
    <w:unhideWhenUsed/>
    <w:pPr>
      <w:ind w:left="1134" w:right="0" w:firstLine="0"/>
      <w:spacing w:after="57"/>
    </w:pPr>
  </w:style>
  <w:style w:type="paragraph" w:styleId="1029">
    <w:name w:val="toc 6"/>
    <w:basedOn w:val="1035"/>
    <w:next w:val="1035"/>
    <w:uiPriority w:val="39"/>
    <w:unhideWhenUsed/>
    <w:pPr>
      <w:ind w:left="1417" w:right="0" w:firstLine="0"/>
      <w:spacing w:after="57"/>
    </w:pPr>
  </w:style>
  <w:style w:type="paragraph" w:styleId="1030">
    <w:name w:val="toc 7"/>
    <w:basedOn w:val="1035"/>
    <w:next w:val="1035"/>
    <w:uiPriority w:val="39"/>
    <w:unhideWhenUsed/>
    <w:pPr>
      <w:ind w:left="1701" w:right="0" w:firstLine="0"/>
      <w:spacing w:after="57"/>
    </w:pPr>
  </w:style>
  <w:style w:type="paragraph" w:styleId="1031">
    <w:name w:val="toc 8"/>
    <w:basedOn w:val="1035"/>
    <w:next w:val="1035"/>
    <w:uiPriority w:val="39"/>
    <w:unhideWhenUsed/>
    <w:pPr>
      <w:ind w:left="1984" w:right="0" w:firstLine="0"/>
      <w:spacing w:after="57"/>
    </w:pPr>
  </w:style>
  <w:style w:type="paragraph" w:styleId="1032">
    <w:name w:val="toc 9"/>
    <w:basedOn w:val="1035"/>
    <w:next w:val="1035"/>
    <w:uiPriority w:val="39"/>
    <w:unhideWhenUsed/>
    <w:pPr>
      <w:ind w:left="2268" w:right="0" w:firstLine="0"/>
      <w:spacing w:after="57"/>
    </w:pPr>
  </w:style>
  <w:style w:type="paragraph" w:styleId="1033">
    <w:name w:val="TOC Heading"/>
    <w:uiPriority w:val="39"/>
    <w:unhideWhenUsed/>
  </w:style>
  <w:style w:type="paragraph" w:styleId="1034">
    <w:name w:val="table of figures"/>
    <w:basedOn w:val="1035"/>
    <w:next w:val="1035"/>
    <w:uiPriority w:val="99"/>
    <w:unhideWhenUsed/>
    <w:pPr>
      <w:spacing w:after="0" w:afterAutospacing="0"/>
    </w:pPr>
  </w:style>
  <w:style w:type="paragraph" w:styleId="1035" w:default="1">
    <w:name w:val="Normal"/>
    <w:next w:val="1035"/>
    <w:link w:val="1035"/>
    <w:qFormat/>
    <w:pPr>
      <w:jc w:val="both"/>
      <w:widowControl w:val="off"/>
    </w:pPr>
    <w:rPr>
      <w:sz w:val="21"/>
      <w:szCs w:val="24"/>
      <w:lang w:val="en-US" w:eastAsia="zh-CN" w:bidi="ar-SA"/>
    </w:rPr>
  </w:style>
  <w:style w:type="paragraph" w:styleId="1036">
    <w:name w:val="标题 1"/>
    <w:basedOn w:val="1035"/>
    <w:next w:val="1035"/>
    <w:link w:val="1047"/>
    <w:qFormat/>
    <w:pPr>
      <w:jc w:val="center"/>
      <w:keepLines/>
      <w:keepNext/>
      <w:spacing w:before="240" w:after="120" w:line="300" w:lineRule="auto"/>
      <w:outlineLvl w:val="0"/>
    </w:pPr>
    <w:rPr>
      <w:rFonts w:ascii="宋体"/>
      <w:b/>
      <w:sz w:val="32"/>
      <w:szCs w:val="20"/>
    </w:rPr>
  </w:style>
  <w:style w:type="paragraph" w:styleId="1037">
    <w:name w:val="标题 2"/>
    <w:basedOn w:val="1035"/>
    <w:next w:val="1049"/>
    <w:link w:val="1048"/>
    <w:qFormat/>
    <w:pPr>
      <w:jc w:val="center"/>
      <w:keepLines/>
      <w:keepNext/>
      <w:spacing w:before="120" w:line="300" w:lineRule="auto"/>
      <w:outlineLvl w:val="1"/>
    </w:pPr>
    <w:rPr>
      <w:rFonts w:ascii="Arial" w:hAnsi="Arial" w:eastAsia="黑体"/>
      <w:b/>
      <w:sz w:val="30"/>
      <w:szCs w:val="20"/>
    </w:rPr>
  </w:style>
  <w:style w:type="paragraph" w:styleId="1038">
    <w:name w:val="标题 3"/>
    <w:basedOn w:val="1035"/>
    <w:next w:val="1049"/>
    <w:link w:val="1051"/>
    <w:qFormat/>
    <w:pPr>
      <w:jc w:val="left"/>
      <w:keepLines/>
      <w:keepNext/>
      <w:spacing w:before="360" w:after="120"/>
      <w:outlineLvl w:val="2"/>
    </w:pPr>
    <w:rPr>
      <w:rFonts w:ascii="宋体"/>
      <w:b/>
      <w:sz w:val="24"/>
      <w:szCs w:val="20"/>
      <w:u w:val="single"/>
    </w:rPr>
  </w:style>
  <w:style w:type="paragraph" w:styleId="1039">
    <w:name w:val="标题 4"/>
    <w:basedOn w:val="1035"/>
    <w:next w:val="1035"/>
    <w:link w:val="1052"/>
    <w:qFormat/>
    <w:pPr>
      <w:keepLines/>
      <w:keepNext/>
      <w:spacing w:before="280" w:after="290" w:line="376" w:lineRule="atLeast"/>
      <w:outlineLvl w:val="3"/>
    </w:pPr>
    <w:rPr>
      <w:rFonts w:ascii="Arial" w:hAnsi="Arial" w:eastAsia="黑体"/>
      <w:b/>
      <w:sz w:val="28"/>
      <w:szCs w:val="20"/>
    </w:rPr>
  </w:style>
  <w:style w:type="paragraph" w:styleId="1040">
    <w:name w:val="标题 5"/>
    <w:basedOn w:val="1035"/>
    <w:next w:val="1035"/>
    <w:link w:val="1053"/>
    <w:qFormat/>
    <w:pPr>
      <w:keepLines/>
      <w:keepNext/>
      <w:spacing w:before="280" w:after="290" w:line="376" w:lineRule="atLeast"/>
      <w:outlineLvl w:val="4"/>
    </w:pPr>
    <w:rPr>
      <w:b/>
      <w:sz w:val="28"/>
      <w:szCs w:val="20"/>
    </w:rPr>
  </w:style>
  <w:style w:type="paragraph" w:styleId="1041">
    <w:name w:val="标题 6"/>
    <w:basedOn w:val="1035"/>
    <w:next w:val="1035"/>
    <w:link w:val="1054"/>
    <w:qFormat/>
    <w:pPr>
      <w:keepLines/>
      <w:keepNext/>
      <w:spacing w:before="240" w:after="64" w:line="320" w:lineRule="atLeast"/>
      <w:outlineLvl w:val="5"/>
    </w:pPr>
    <w:rPr>
      <w:rFonts w:ascii="Arial" w:hAnsi="Arial" w:eastAsia="黑体"/>
      <w:b/>
      <w:sz w:val="24"/>
      <w:szCs w:val="20"/>
    </w:rPr>
  </w:style>
  <w:style w:type="paragraph" w:styleId="1042">
    <w:name w:val="标题 7"/>
    <w:basedOn w:val="1035"/>
    <w:next w:val="1035"/>
    <w:link w:val="1055"/>
    <w:qFormat/>
    <w:pPr>
      <w:keepLines/>
      <w:keepNext/>
      <w:spacing w:before="240" w:after="64" w:line="320" w:lineRule="atLeast"/>
      <w:outlineLvl w:val="6"/>
    </w:pPr>
    <w:rPr>
      <w:b/>
      <w:sz w:val="24"/>
      <w:szCs w:val="20"/>
    </w:rPr>
  </w:style>
  <w:style w:type="paragraph" w:styleId="1043">
    <w:name w:val="标题 8"/>
    <w:basedOn w:val="1035"/>
    <w:next w:val="1035"/>
    <w:link w:val="1056"/>
    <w:qFormat/>
    <w:pPr>
      <w:keepLines/>
      <w:keepNext/>
      <w:spacing w:before="240" w:after="64" w:line="320" w:lineRule="atLeast"/>
      <w:outlineLvl w:val="7"/>
    </w:pPr>
    <w:rPr>
      <w:rFonts w:ascii="Arial" w:hAnsi="Arial" w:eastAsia="黑体"/>
      <w:sz w:val="24"/>
      <w:szCs w:val="20"/>
    </w:rPr>
  </w:style>
  <w:style w:type="paragraph" w:styleId="1044">
    <w:name w:val="标题 9"/>
    <w:basedOn w:val="1035"/>
    <w:next w:val="1035"/>
    <w:link w:val="1057"/>
    <w:qFormat/>
    <w:pPr>
      <w:keepLines/>
      <w:keepNext/>
      <w:spacing w:before="240" w:after="64" w:line="320" w:lineRule="atLeast"/>
      <w:outlineLvl w:val="8"/>
    </w:pPr>
    <w:rPr>
      <w:rFonts w:ascii="Arial" w:hAnsi="Arial" w:eastAsia="黑体"/>
      <w:szCs w:val="20"/>
    </w:rPr>
  </w:style>
  <w:style w:type="character" w:styleId="1045">
    <w:name w:val="默认段落字体"/>
    <w:next w:val="1045"/>
    <w:link w:val="1035"/>
    <w:uiPriority w:val="1"/>
    <w:unhideWhenUsed/>
    <w:qFormat/>
  </w:style>
  <w:style w:type="table" w:styleId="1046">
    <w:name w:val="普通表格"/>
    <w:next w:val="1046"/>
    <w:link w:val="1035"/>
    <w:uiPriority w:val="99"/>
    <w:unhideWhenUsed/>
    <w:qFormat/>
    <w:tblPr/>
  </w:style>
  <w:style w:type="character" w:styleId="1047">
    <w:name w:val="标题 1 Char"/>
    <w:next w:val="1047"/>
    <w:link w:val="1036"/>
    <w:qFormat/>
    <w:rPr>
      <w:rFonts w:ascii="宋体"/>
      <w:b/>
      <w:sz w:val="32"/>
    </w:rPr>
  </w:style>
  <w:style w:type="character" w:styleId="1048">
    <w:name w:val="标题 2 Char1"/>
    <w:next w:val="1048"/>
    <w:link w:val="1037"/>
    <w:qFormat/>
    <w:rPr>
      <w:rFonts w:ascii="Arial" w:hAnsi="Arial" w:eastAsia="黑体"/>
      <w:b/>
      <w:sz w:val="30"/>
      <w:lang w:val="en-US" w:eastAsia="zh-CN" w:bidi="ar-SA"/>
    </w:rPr>
  </w:style>
  <w:style w:type="paragraph" w:styleId="1049">
    <w:name w:val="正文缩进"/>
    <w:basedOn w:val="1035"/>
    <w:next w:val="1049"/>
    <w:link w:val="1050"/>
    <w:uiPriority w:val="99"/>
    <w:qFormat/>
    <w:pPr>
      <w:ind w:firstLine="420"/>
      <w:jc w:val="left"/>
    </w:pPr>
    <w:rPr>
      <w:rFonts w:ascii="宋体"/>
      <w:sz w:val="24"/>
    </w:rPr>
  </w:style>
  <w:style w:type="character" w:styleId="1050">
    <w:name w:val="正文缩进 Char1"/>
    <w:next w:val="1050"/>
    <w:link w:val="1049"/>
    <w:qFormat/>
    <w:rPr>
      <w:rFonts w:ascii="宋体" w:eastAsia="宋体"/>
      <w:sz w:val="24"/>
      <w:szCs w:val="24"/>
      <w:lang w:val="en-US" w:eastAsia="zh-CN" w:bidi="ar-SA"/>
    </w:rPr>
  </w:style>
  <w:style w:type="character" w:styleId="1051">
    <w:name w:val="标题 3 Char1"/>
    <w:next w:val="1051"/>
    <w:link w:val="1038"/>
    <w:qFormat/>
    <w:rPr>
      <w:rFonts w:ascii="宋体" w:eastAsia="宋体"/>
      <w:b/>
      <w:sz w:val="24"/>
      <w:u w:val="single"/>
      <w:lang w:val="en-US" w:eastAsia="zh-CN" w:bidi="ar-SA"/>
    </w:rPr>
  </w:style>
  <w:style w:type="character" w:styleId="1052">
    <w:name w:val="标题 4 Char"/>
    <w:next w:val="1052"/>
    <w:link w:val="1039"/>
    <w:qFormat/>
    <w:rPr>
      <w:rFonts w:ascii="Arial" w:hAnsi="Arial" w:eastAsia="黑体"/>
      <w:b/>
      <w:sz w:val="28"/>
    </w:rPr>
  </w:style>
  <w:style w:type="character" w:styleId="1053">
    <w:name w:val="标题 5 Char"/>
    <w:next w:val="1053"/>
    <w:link w:val="1040"/>
    <w:qFormat/>
    <w:rPr>
      <w:b/>
      <w:sz w:val="28"/>
    </w:rPr>
  </w:style>
  <w:style w:type="character" w:styleId="1054">
    <w:name w:val="标题 6 Char"/>
    <w:next w:val="1054"/>
    <w:link w:val="1041"/>
    <w:qFormat/>
    <w:rPr>
      <w:rFonts w:ascii="Arial" w:hAnsi="Arial" w:eastAsia="黑体"/>
      <w:b/>
      <w:sz w:val="24"/>
    </w:rPr>
  </w:style>
  <w:style w:type="character" w:styleId="1055">
    <w:name w:val="标题 7 Char"/>
    <w:next w:val="1055"/>
    <w:link w:val="1042"/>
    <w:qFormat/>
    <w:rPr>
      <w:b/>
      <w:sz w:val="24"/>
    </w:rPr>
  </w:style>
  <w:style w:type="character" w:styleId="1056">
    <w:name w:val="标题 8 Char"/>
    <w:next w:val="1056"/>
    <w:link w:val="1043"/>
    <w:qFormat/>
    <w:rPr>
      <w:rFonts w:ascii="Arial" w:hAnsi="Arial" w:eastAsia="黑体"/>
      <w:sz w:val="24"/>
    </w:rPr>
  </w:style>
  <w:style w:type="character" w:styleId="1057">
    <w:name w:val="标题 9 Char"/>
    <w:next w:val="1057"/>
    <w:link w:val="1044"/>
    <w:qFormat/>
    <w:rPr>
      <w:rFonts w:ascii="Arial" w:hAnsi="Arial" w:eastAsia="黑体"/>
      <w:sz w:val="21"/>
    </w:rPr>
  </w:style>
  <w:style w:type="paragraph" w:styleId="1058">
    <w:name w:val="目录 7"/>
    <w:basedOn w:val="1035"/>
    <w:next w:val="1035"/>
    <w:link w:val="1035"/>
    <w:qFormat/>
    <w:pPr>
      <w:ind w:left="2520"/>
    </w:pPr>
  </w:style>
  <w:style w:type="paragraph" w:styleId="1059">
    <w:name w:val="题注"/>
    <w:basedOn w:val="1035"/>
    <w:next w:val="1035"/>
    <w:link w:val="1035"/>
    <w:qFormat/>
    <w:pPr>
      <w:spacing w:line="480" w:lineRule="auto"/>
    </w:pPr>
    <w:rPr>
      <w:rFonts w:ascii="华文中宋" w:hAnsi="华文中宋" w:eastAsia="华文中宋"/>
      <w:sz w:val="36"/>
      <w:szCs w:val="20"/>
    </w:rPr>
  </w:style>
  <w:style w:type="paragraph" w:styleId="1060">
    <w:name w:val="文档结构图"/>
    <w:basedOn w:val="1035"/>
    <w:next w:val="1060"/>
    <w:link w:val="1061"/>
    <w:qFormat/>
    <w:pPr>
      <w:shd w:val="clear" w:color="auto" w:fill="000080"/>
    </w:pPr>
  </w:style>
  <w:style w:type="character" w:styleId="1061">
    <w:name w:val="文档结构图 Char"/>
    <w:next w:val="1061"/>
    <w:link w:val="1060"/>
    <w:qFormat/>
    <w:rPr>
      <w:sz w:val="21"/>
      <w:szCs w:val="24"/>
      <w:shd w:val="clear" w:color="auto" w:fill="000080"/>
    </w:rPr>
  </w:style>
  <w:style w:type="paragraph" w:styleId="1062">
    <w:name w:val="批注文字"/>
    <w:basedOn w:val="1035"/>
    <w:next w:val="1062"/>
    <w:link w:val="1063"/>
    <w:uiPriority w:val="99"/>
    <w:qFormat/>
    <w:pPr>
      <w:jc w:val="left"/>
    </w:pPr>
  </w:style>
  <w:style w:type="character" w:styleId="1063">
    <w:name w:val="批注文字 Char1"/>
    <w:next w:val="1063"/>
    <w:link w:val="1062"/>
    <w:uiPriority w:val="99"/>
    <w:qFormat/>
    <w:rPr>
      <w:sz w:val="21"/>
      <w:szCs w:val="24"/>
    </w:rPr>
  </w:style>
  <w:style w:type="paragraph" w:styleId="1064">
    <w:name w:val="正文文本 3"/>
    <w:basedOn w:val="1035"/>
    <w:next w:val="1064"/>
    <w:link w:val="1065"/>
    <w:qFormat/>
    <w:pPr>
      <w:spacing w:after="120"/>
    </w:pPr>
    <w:rPr>
      <w:sz w:val="16"/>
      <w:szCs w:val="16"/>
    </w:rPr>
  </w:style>
  <w:style w:type="character" w:styleId="1065">
    <w:name w:val="正文文本 3 Char"/>
    <w:next w:val="1065"/>
    <w:link w:val="1064"/>
    <w:qFormat/>
    <w:rPr>
      <w:sz w:val="16"/>
      <w:szCs w:val="16"/>
    </w:rPr>
  </w:style>
  <w:style w:type="paragraph" w:styleId="1066">
    <w:name w:val="正文文本"/>
    <w:basedOn w:val="1035"/>
    <w:next w:val="1066"/>
    <w:link w:val="1067"/>
    <w:qFormat/>
    <w:pPr>
      <w:spacing w:before="120" w:line="22" w:lineRule="atLeast"/>
      <w:tabs>
        <w:tab w:val="left" w:pos="567" w:leader="none"/>
      </w:tabs>
    </w:pPr>
    <w:rPr>
      <w:rFonts w:ascii="宋体" w:hAnsi="宋体"/>
      <w:sz w:val="24"/>
    </w:rPr>
  </w:style>
  <w:style w:type="character" w:styleId="1067">
    <w:name w:val="正文文本 Char"/>
    <w:next w:val="1067"/>
    <w:link w:val="1066"/>
    <w:qFormat/>
    <w:rPr>
      <w:rFonts w:ascii="宋体" w:hAnsi="宋体"/>
      <w:sz w:val="24"/>
      <w:szCs w:val="24"/>
    </w:rPr>
  </w:style>
  <w:style w:type="paragraph" w:styleId="1068">
    <w:name w:val="正文文本缩进"/>
    <w:basedOn w:val="1035"/>
    <w:next w:val="1068"/>
    <w:link w:val="1069"/>
    <w:qFormat/>
    <w:pPr>
      <w:ind w:firstLine="570"/>
      <w:spacing w:line="360" w:lineRule="auto"/>
    </w:pPr>
    <w:rPr>
      <w:sz w:val="24"/>
    </w:rPr>
  </w:style>
  <w:style w:type="character" w:styleId="1069">
    <w:name w:val="正文文本缩进 Char2"/>
    <w:next w:val="1069"/>
    <w:link w:val="1068"/>
    <w:qFormat/>
    <w:rPr>
      <w:rFonts w:eastAsia="宋体"/>
      <w:sz w:val="24"/>
      <w:szCs w:val="24"/>
      <w:lang w:val="en-US" w:eastAsia="zh-CN" w:bidi="ar-SA"/>
    </w:rPr>
  </w:style>
  <w:style w:type="paragraph" w:styleId="1070">
    <w:name w:val="列表 2"/>
    <w:basedOn w:val="1035"/>
    <w:next w:val="1070"/>
    <w:link w:val="1035"/>
    <w:qFormat/>
    <w:pPr>
      <w:ind w:left="100" w:hanging="200"/>
    </w:pPr>
  </w:style>
  <w:style w:type="paragraph" w:styleId="1071">
    <w:name w:val="文本块"/>
    <w:basedOn w:val="1035"/>
    <w:next w:val="1071"/>
    <w:link w:val="1035"/>
    <w:qFormat/>
    <w:pPr>
      <w:ind w:left="480" w:right="-341" w:firstLine="513"/>
      <w:widowControl/>
    </w:pPr>
    <w:rPr>
      <w:sz w:val="24"/>
      <w:szCs w:val="20"/>
    </w:rPr>
  </w:style>
  <w:style w:type="paragraph" w:styleId="1072">
    <w:name w:val="目录 5"/>
    <w:basedOn w:val="1035"/>
    <w:next w:val="1035"/>
    <w:link w:val="1035"/>
    <w:qFormat/>
    <w:pPr>
      <w:ind w:left="1680"/>
    </w:pPr>
  </w:style>
  <w:style w:type="paragraph" w:styleId="1073">
    <w:name w:val="目录 3"/>
    <w:basedOn w:val="1035"/>
    <w:next w:val="1035"/>
    <w:link w:val="1035"/>
    <w:uiPriority w:val="39"/>
    <w:qFormat/>
    <w:pPr>
      <w:ind w:left="840"/>
    </w:pPr>
  </w:style>
  <w:style w:type="paragraph" w:styleId="1074">
    <w:name w:val="纯文本"/>
    <w:basedOn w:val="1035"/>
    <w:next w:val="1049"/>
    <w:link w:val="1075"/>
    <w:uiPriority w:val="99"/>
    <w:qFormat/>
    <w:rPr>
      <w:rFonts w:hint="eastAsia" w:ascii="宋体" w:hAnsi="Courier New"/>
      <w:szCs w:val="20"/>
    </w:rPr>
  </w:style>
  <w:style w:type="character" w:styleId="1075">
    <w:name w:val="纯文本 Char"/>
    <w:next w:val="1075"/>
    <w:link w:val="1074"/>
    <w:qFormat/>
    <w:rPr>
      <w:rFonts w:hint="eastAsia" w:ascii="宋体" w:hAnsi="Courier New" w:eastAsia="宋体" w:cs="宋体"/>
      <w:sz w:val="21"/>
    </w:rPr>
  </w:style>
  <w:style w:type="paragraph" w:styleId="1076">
    <w:name w:val="目录 8"/>
    <w:basedOn w:val="1035"/>
    <w:next w:val="1035"/>
    <w:link w:val="1035"/>
    <w:qFormat/>
    <w:pPr>
      <w:ind w:left="2940"/>
    </w:pPr>
  </w:style>
  <w:style w:type="paragraph" w:styleId="1077">
    <w:name w:val="日期"/>
    <w:basedOn w:val="1035"/>
    <w:next w:val="1035"/>
    <w:link w:val="1078"/>
    <w:qFormat/>
    <w:pPr>
      <w:ind w:left="100"/>
    </w:pPr>
    <w:rPr>
      <w:rFonts w:ascii="仿宋_GB2312" w:hAnsi="宋体" w:eastAsia="仿宋_GB2312"/>
      <w:color w:val="000000"/>
      <w:sz w:val="24"/>
    </w:rPr>
  </w:style>
  <w:style w:type="character" w:styleId="1078">
    <w:name w:val="日期 Char"/>
    <w:next w:val="1078"/>
    <w:link w:val="1077"/>
    <w:qFormat/>
    <w:rPr>
      <w:rFonts w:ascii="仿宋_GB2312" w:hAnsi="宋体" w:eastAsia="仿宋_GB2312"/>
      <w:color w:val="000000"/>
      <w:sz w:val="24"/>
      <w:szCs w:val="24"/>
    </w:rPr>
  </w:style>
  <w:style w:type="paragraph" w:styleId="1079">
    <w:name w:val="正文文本缩进 2"/>
    <w:basedOn w:val="1035"/>
    <w:next w:val="1079"/>
    <w:link w:val="1080"/>
    <w:qFormat/>
    <w:pPr>
      <w:ind w:firstLine="480"/>
    </w:pPr>
    <w:rPr>
      <w:rFonts w:ascii="仿宋_GB2312" w:eastAsia="仿宋_GB2312"/>
      <w:sz w:val="24"/>
    </w:rPr>
  </w:style>
  <w:style w:type="character" w:styleId="1080">
    <w:name w:val="正文文本缩进 2 Char"/>
    <w:next w:val="1080"/>
    <w:link w:val="1079"/>
    <w:qFormat/>
    <w:rPr>
      <w:rFonts w:ascii="仿宋_GB2312" w:eastAsia="仿宋_GB2312"/>
      <w:sz w:val="24"/>
      <w:szCs w:val="24"/>
    </w:rPr>
  </w:style>
  <w:style w:type="paragraph" w:styleId="1081">
    <w:name w:val="批注框文本"/>
    <w:basedOn w:val="1035"/>
    <w:next w:val="1081"/>
    <w:link w:val="1082"/>
    <w:qFormat/>
    <w:rPr>
      <w:sz w:val="18"/>
      <w:szCs w:val="18"/>
    </w:rPr>
  </w:style>
  <w:style w:type="character" w:styleId="1082">
    <w:name w:val="批注框文本 Char"/>
    <w:next w:val="1082"/>
    <w:link w:val="1081"/>
    <w:qFormat/>
    <w:rPr>
      <w:sz w:val="18"/>
      <w:szCs w:val="18"/>
    </w:rPr>
  </w:style>
  <w:style w:type="paragraph" w:styleId="1083">
    <w:name w:val="页脚"/>
    <w:basedOn w:val="1035"/>
    <w:next w:val="1083"/>
    <w:link w:val="1084"/>
    <w:uiPriority w:val="99"/>
    <w:qFormat/>
    <w:pPr>
      <w:jc w:val="left"/>
      <w:tabs>
        <w:tab w:val="center" w:pos="4153" w:leader="none"/>
        <w:tab w:val="right" w:pos="8306" w:leader="none"/>
      </w:tabs>
    </w:pPr>
    <w:rPr>
      <w:rFonts w:ascii="宋体"/>
      <w:sz w:val="18"/>
      <w:szCs w:val="20"/>
    </w:rPr>
  </w:style>
  <w:style w:type="character" w:styleId="1084">
    <w:name w:val="页脚 Char1"/>
    <w:next w:val="1084"/>
    <w:link w:val="1083"/>
    <w:uiPriority w:val="99"/>
    <w:qFormat/>
    <w:rPr>
      <w:rFonts w:ascii="宋体" w:eastAsia="宋体"/>
      <w:sz w:val="18"/>
      <w:lang w:val="en-US" w:eastAsia="zh-CN" w:bidi="ar-SA"/>
    </w:rPr>
  </w:style>
  <w:style w:type="paragraph" w:styleId="1085">
    <w:name w:val="页眉"/>
    <w:basedOn w:val="1035"/>
    <w:next w:val="1085"/>
    <w:link w:val="1086"/>
    <w:qFormat/>
    <w:pPr>
      <w:jc w:val="center"/>
      <w:tabs>
        <w:tab w:val="center" w:pos="4153" w:leader="none"/>
        <w:tab w:val="right" w:pos="8306" w:leader="none"/>
      </w:tabs>
      <w:pBdr>
        <w:bottom w:val="single" w:color="000000" w:sz="6" w:space="1"/>
      </w:pBdr>
    </w:pPr>
    <w:rPr>
      <w:sz w:val="18"/>
      <w:szCs w:val="18"/>
    </w:rPr>
  </w:style>
  <w:style w:type="character" w:styleId="1086">
    <w:name w:val="页眉 Char1"/>
    <w:next w:val="1086"/>
    <w:link w:val="1085"/>
    <w:qFormat/>
    <w:rPr>
      <w:rFonts w:eastAsia="宋体"/>
      <w:sz w:val="18"/>
      <w:szCs w:val="18"/>
      <w:lang w:val="en-US" w:eastAsia="zh-CN" w:bidi="ar-SA"/>
    </w:rPr>
  </w:style>
  <w:style w:type="paragraph" w:styleId="1087">
    <w:name w:val="目录 1"/>
    <w:basedOn w:val="1035"/>
    <w:next w:val="1035"/>
    <w:link w:val="1035"/>
    <w:uiPriority w:val="39"/>
    <w:qFormat/>
    <w:pPr>
      <w:spacing w:line="300" w:lineRule="auto"/>
      <w:tabs>
        <w:tab w:val="left" w:pos="1050" w:leader="none"/>
        <w:tab w:val="right" w:pos="8937" w:leader="dot"/>
      </w:tabs>
    </w:pPr>
    <w:rPr>
      <w:rFonts w:ascii="宋体" w:hAnsi="宋体"/>
      <w:b/>
      <w:sz w:val="24"/>
    </w:rPr>
  </w:style>
  <w:style w:type="paragraph" w:styleId="1088">
    <w:name w:val="目录 4"/>
    <w:basedOn w:val="1035"/>
    <w:next w:val="1035"/>
    <w:link w:val="1035"/>
    <w:qFormat/>
    <w:pPr>
      <w:ind w:left="1260"/>
    </w:pPr>
  </w:style>
  <w:style w:type="paragraph" w:styleId="1089">
    <w:name w:val="目录 6"/>
    <w:basedOn w:val="1035"/>
    <w:next w:val="1035"/>
    <w:link w:val="1035"/>
    <w:qFormat/>
    <w:pPr>
      <w:ind w:left="2100"/>
    </w:pPr>
  </w:style>
  <w:style w:type="paragraph" w:styleId="1090">
    <w:name w:val="正文文本缩进 3"/>
    <w:basedOn w:val="1035"/>
    <w:next w:val="1090"/>
    <w:link w:val="1091"/>
    <w:qFormat/>
    <w:pPr>
      <w:ind w:left="720" w:firstLine="480"/>
      <w:jc w:val="left"/>
      <w:spacing w:before="120" w:line="22" w:lineRule="atLeast"/>
    </w:pPr>
    <w:rPr>
      <w:rFonts w:ascii="宋体"/>
      <w:sz w:val="24"/>
      <w:szCs w:val="20"/>
    </w:rPr>
  </w:style>
  <w:style w:type="character" w:styleId="1091">
    <w:name w:val="正文文本缩进 3 Char"/>
    <w:next w:val="1091"/>
    <w:link w:val="1090"/>
    <w:qFormat/>
    <w:rPr>
      <w:rFonts w:ascii="宋体"/>
      <w:sz w:val="24"/>
    </w:rPr>
  </w:style>
  <w:style w:type="paragraph" w:styleId="1092">
    <w:name w:val="目录 2"/>
    <w:basedOn w:val="1035"/>
    <w:next w:val="1035"/>
    <w:link w:val="1035"/>
    <w:uiPriority w:val="39"/>
    <w:qFormat/>
    <w:pPr>
      <w:ind w:left="420"/>
      <w:spacing w:line="312" w:lineRule="auto"/>
      <w:tabs>
        <w:tab w:val="right" w:pos="8937" w:leader="dot"/>
      </w:tabs>
    </w:pPr>
  </w:style>
  <w:style w:type="paragraph" w:styleId="1093">
    <w:name w:val="目录 9"/>
    <w:basedOn w:val="1035"/>
    <w:next w:val="1035"/>
    <w:link w:val="1035"/>
    <w:qFormat/>
    <w:pPr>
      <w:ind w:left="3360"/>
    </w:pPr>
  </w:style>
  <w:style w:type="paragraph" w:styleId="1094">
    <w:name w:val="HTML 预设格式"/>
    <w:basedOn w:val="1035"/>
    <w:next w:val="1094"/>
    <w:link w:val="10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5">
    <w:name w:val="HTML 预设格式 Char"/>
    <w:next w:val="1095"/>
    <w:link w:val="1094"/>
    <w:qFormat/>
    <w:rPr>
      <w:rFonts w:ascii="宋体" w:hAnsi="宋体" w:cs="宋体"/>
      <w:sz w:val="24"/>
      <w:szCs w:val="24"/>
    </w:rPr>
  </w:style>
  <w:style w:type="paragraph" w:styleId="1096">
    <w:name w:val="普通(网站)"/>
    <w:basedOn w:val="1035"/>
    <w:next w:val="1096"/>
    <w:link w:val="1035"/>
    <w:uiPriority w:val="99"/>
    <w:unhideWhenUsed/>
    <w:qFormat/>
    <w:pPr>
      <w:jc w:val="left"/>
      <w:spacing w:before="100" w:beforeAutospacing="1" w:after="100" w:afterAutospacing="1"/>
      <w:widowControl/>
    </w:pPr>
    <w:rPr>
      <w:rFonts w:ascii="宋体" w:hAnsi="宋体" w:cs="宋体"/>
      <w:sz w:val="24"/>
    </w:rPr>
  </w:style>
  <w:style w:type="paragraph" w:styleId="1097">
    <w:name w:val="索引 1"/>
    <w:basedOn w:val="1035"/>
    <w:next w:val="1035"/>
    <w:link w:val="1035"/>
    <w:qFormat/>
    <w:rPr>
      <w:szCs w:val="20"/>
    </w:rPr>
  </w:style>
  <w:style w:type="paragraph" w:styleId="1098">
    <w:name w:val="标题"/>
    <w:basedOn w:val="1035"/>
    <w:next w:val="1098"/>
    <w:link w:val="1099"/>
    <w:qFormat/>
    <w:pPr>
      <w:jc w:val="center"/>
      <w:outlineLvl w:val="0"/>
    </w:pPr>
    <w:rPr>
      <w:b/>
      <w:sz w:val="32"/>
      <w:szCs w:val="20"/>
    </w:rPr>
  </w:style>
  <w:style w:type="character" w:styleId="1099">
    <w:name w:val="标题 Char1"/>
    <w:next w:val="1099"/>
    <w:link w:val="1098"/>
    <w:qFormat/>
    <w:rPr>
      <w:b/>
      <w:sz w:val="32"/>
    </w:rPr>
  </w:style>
  <w:style w:type="paragraph" w:styleId="1100">
    <w:name w:val="批注主题"/>
    <w:basedOn w:val="1062"/>
    <w:next w:val="1062"/>
    <w:link w:val="1101"/>
    <w:qFormat/>
    <w:rPr>
      <w:b/>
      <w:bCs/>
    </w:rPr>
  </w:style>
  <w:style w:type="character" w:styleId="1101">
    <w:name w:val="批注主题 Char"/>
    <w:next w:val="1101"/>
    <w:link w:val="1100"/>
    <w:qFormat/>
    <w:rPr>
      <w:rFonts w:ascii="Times New Roman" w:hAnsi="Times New Roman" w:eastAsia="宋体" w:cs="Times New Roman"/>
      <w:b/>
      <w:bCs/>
      <w:sz w:val="21"/>
      <w:szCs w:val="24"/>
      <w:lang w:val="en-US" w:eastAsia="zh-CN" w:bidi="ar-SA"/>
    </w:rPr>
  </w:style>
  <w:style w:type="paragraph" w:styleId="1102">
    <w:name w:val="正文首行缩进 2"/>
    <w:basedOn w:val="1068"/>
    <w:next w:val="1102"/>
    <w:link w:val="1103"/>
    <w:qFormat/>
    <w:pPr>
      <w:ind w:left="420" w:firstLine="420"/>
      <w:spacing w:after="120" w:line="480" w:lineRule="exact"/>
    </w:pPr>
    <w:rPr>
      <w:szCs w:val="20"/>
    </w:rPr>
  </w:style>
  <w:style w:type="character" w:styleId="1103">
    <w:name w:val="正文首行缩进 2 Char"/>
    <w:next w:val="1103"/>
    <w:link w:val="1102"/>
    <w:qFormat/>
    <w:rPr>
      <w:rFonts w:eastAsia="宋体"/>
      <w:sz w:val="24"/>
      <w:szCs w:val="24"/>
      <w:lang w:val="en-US" w:eastAsia="zh-CN" w:bidi="ar-SA"/>
    </w:rPr>
  </w:style>
  <w:style w:type="table" w:styleId="1104">
    <w:name w:val="网格型"/>
    <w:basedOn w:val="1046"/>
    <w:next w:val="1104"/>
    <w:link w:val="1035"/>
    <w:uiPriority w:val="39"/>
    <w:qFormat/>
    <w:tblPr/>
  </w:style>
  <w:style w:type="table" w:styleId="1105">
    <w:name w:val="中等深浅网格 1 - 强调文字颜色 2"/>
    <w:basedOn w:val="1046"/>
    <w:next w:val="1105"/>
    <w:link w:val="1035"/>
    <w:qFormat/>
    <w:rPr>
      <w:sz w:val="21"/>
      <w:szCs w:val="24"/>
    </w:rPr>
    <w:tblPr/>
  </w:style>
  <w:style w:type="character" w:styleId="1106">
    <w:name w:val="要点"/>
    <w:next w:val="1106"/>
    <w:link w:val="1035"/>
    <w:qFormat/>
    <w:rPr>
      <w:b/>
      <w:bCs/>
    </w:rPr>
  </w:style>
  <w:style w:type="character" w:styleId="1107">
    <w:name w:val="页码"/>
    <w:next w:val="1107"/>
    <w:link w:val="1035"/>
    <w:qFormat/>
  </w:style>
  <w:style w:type="character" w:styleId="1108">
    <w:name w:val="已访问的超链接"/>
    <w:next w:val="1108"/>
    <w:link w:val="1035"/>
    <w:qFormat/>
    <w:rPr>
      <w:color w:val="800080"/>
      <w:u w:val="single"/>
    </w:rPr>
  </w:style>
  <w:style w:type="character" w:styleId="1109">
    <w:name w:val="强调"/>
    <w:next w:val="1109"/>
    <w:link w:val="1035"/>
    <w:qFormat/>
    <w:rPr>
      <w:color w:val="cc0033"/>
    </w:rPr>
  </w:style>
  <w:style w:type="character" w:styleId="1110">
    <w:name w:val="超链接"/>
    <w:next w:val="1110"/>
    <w:link w:val="1035"/>
    <w:uiPriority w:val="99"/>
    <w:qFormat/>
    <w:rPr>
      <w:color w:val="0000ff"/>
      <w:u w:val="single"/>
    </w:rPr>
  </w:style>
  <w:style w:type="character" w:styleId="1111">
    <w:name w:val="批注引用"/>
    <w:next w:val="1111"/>
    <w:link w:val="1035"/>
    <w:uiPriority w:val="99"/>
    <w:qFormat/>
    <w:rPr>
      <w:sz w:val="21"/>
      <w:szCs w:val="21"/>
    </w:rPr>
  </w:style>
  <w:style w:type="character" w:styleId="1112">
    <w:name w:val="HTML 引文"/>
    <w:next w:val="1112"/>
    <w:link w:val="1035"/>
    <w:qFormat/>
    <w:rPr>
      <w:i/>
      <w:iCs/>
    </w:rPr>
  </w:style>
  <w:style w:type="character" w:styleId="1113">
    <w:name w:val="批注文字 字符"/>
    <w:next w:val="1113"/>
    <w:link w:val="1035"/>
    <w:uiPriority w:val="99"/>
    <w:qFormat/>
    <w:rPr>
      <w:rFonts w:ascii="Times New Roman" w:hAnsi="Times New Roman" w:eastAsia="宋体" w:cs="Times New Roman"/>
      <w:sz w:val="24"/>
      <w:lang w:val="en-US" w:eastAsia="zh-CN" w:bidi="ar-SA"/>
    </w:rPr>
  </w:style>
  <w:style w:type="character" w:styleId="1114">
    <w:name w:val="c21"/>
    <w:next w:val="1114"/>
    <w:link w:val="1035"/>
    <w:qFormat/>
    <w:rPr>
      <w:rFonts w:ascii="ˎ̥" w:hAnsi="ˎ̥"/>
      <w:color w:val="000000"/>
      <w:sz w:val="20"/>
      <w:szCs w:val="20"/>
      <w:u w:val="none"/>
    </w:rPr>
  </w:style>
  <w:style w:type="character" w:styleId="1115">
    <w:name w:val="title4"/>
    <w:next w:val="1115"/>
    <w:link w:val="1035"/>
    <w:qFormat/>
    <w:rPr>
      <w:b/>
      <w:bCs/>
      <w:color w:val="1d87b3"/>
      <w:sz w:val="15"/>
      <w:szCs w:val="15"/>
    </w:rPr>
  </w:style>
  <w:style w:type="character" w:styleId="1116">
    <w:name w:val="标题 2 Char Char"/>
    <w:next w:val="1116"/>
    <w:link w:val="1035"/>
    <w:qFormat/>
    <w:rPr>
      <w:rFonts w:ascii="Arial" w:hAnsi="Arial" w:eastAsia="黑体"/>
      <w:b/>
      <w:bCs/>
      <w:sz w:val="32"/>
      <w:szCs w:val="32"/>
      <w:lang w:val="en-US" w:eastAsia="zh-CN" w:bidi="ar-SA"/>
    </w:rPr>
  </w:style>
  <w:style w:type="character" w:styleId="1117">
    <w:name w:val="black1"/>
    <w:next w:val="1117"/>
    <w:link w:val="1035"/>
    <w:qFormat/>
    <w:rPr>
      <w:color w:val="000000"/>
    </w:rPr>
  </w:style>
  <w:style w:type="character" w:styleId="1118">
    <w:name w:val="street-address"/>
    <w:next w:val="1118"/>
    <w:link w:val="1035"/>
    <w:qFormat/>
  </w:style>
  <w:style w:type="character" w:styleId="1119">
    <w:name w:val="locality"/>
    <w:next w:val="1119"/>
    <w:link w:val="1035"/>
    <w:qFormat/>
  </w:style>
  <w:style w:type="character" w:styleId="1120">
    <w:name w:val="正文文本缩进 Char1"/>
    <w:next w:val="1120"/>
    <w:link w:val="1121"/>
    <w:qFormat/>
    <w:rPr>
      <w:rFonts w:ascii="宋体" w:hAnsi="宋体" w:eastAsia="宋体"/>
      <w:sz w:val="24"/>
      <w:szCs w:val="24"/>
      <w:lang w:bidi="ar-SA"/>
    </w:rPr>
  </w:style>
  <w:style w:type="paragraph" w:styleId="1121">
    <w:name w:val="正文文本缩进1"/>
    <w:basedOn w:val="1035"/>
    <w:next w:val="1121"/>
    <w:link w:val="1120"/>
    <w:qFormat/>
    <w:pPr>
      <w:ind w:firstLine="480"/>
      <w:spacing w:line="480" w:lineRule="exact"/>
    </w:pPr>
    <w:rPr>
      <w:rFonts w:ascii="宋体" w:hAnsi="宋体"/>
      <w:sz w:val="24"/>
    </w:rPr>
  </w:style>
  <w:style w:type="character" w:styleId="1122">
    <w:name w:val="Char Char11"/>
    <w:next w:val="1122"/>
    <w:link w:val="1035"/>
    <w:qFormat/>
    <w:rPr>
      <w:rFonts w:ascii="宋体" w:eastAsia="宋体"/>
      <w:b/>
      <w:sz w:val="24"/>
      <w:u w:val="single"/>
      <w:lang w:val="en-US" w:eastAsia="zh-CN" w:bidi="ar-SA"/>
    </w:rPr>
  </w:style>
  <w:style w:type="character" w:styleId="1123">
    <w:name w:val="txt"/>
    <w:next w:val="1123"/>
    <w:link w:val="1035"/>
    <w:qFormat/>
  </w:style>
  <w:style w:type="character" w:styleId="1124">
    <w:name w:val="正文缩进 Char Char"/>
    <w:next w:val="1124"/>
    <w:link w:val="1125"/>
    <w:qFormat/>
    <w:rPr>
      <w:rFonts w:ascii="宋体" w:eastAsia="宋体"/>
      <w:color w:val="000000"/>
      <w:sz w:val="28"/>
      <w:lang w:bidi="ar-SA"/>
    </w:rPr>
  </w:style>
  <w:style w:type="paragraph" w:styleId="1125">
    <w:name w:val="正文缩进1"/>
    <w:basedOn w:val="1035"/>
    <w:next w:val="1125"/>
    <w:link w:val="1124"/>
    <w:qFormat/>
    <w:pPr>
      <w:ind w:firstLine="567"/>
      <w:spacing w:line="480" w:lineRule="exact"/>
      <w:widowControl/>
    </w:pPr>
    <w:rPr>
      <w:rFonts w:ascii="宋体"/>
      <w:color w:val="000000"/>
      <w:sz w:val="28"/>
      <w:szCs w:val="20"/>
    </w:rPr>
  </w:style>
  <w:style w:type="character" w:styleId="1126">
    <w:name w:val="普通文字1 Char1"/>
    <w:next w:val="1126"/>
    <w:link w:val="1035"/>
    <w:qFormat/>
    <w:rPr>
      <w:rFonts w:ascii="宋体" w:hAnsi="Courier New" w:eastAsia="宋体"/>
      <w:sz w:val="21"/>
      <w:lang w:val="en-US" w:eastAsia="zh-CN" w:bidi="ar-SA"/>
    </w:rPr>
  </w:style>
  <w:style w:type="character" w:styleId="1127">
    <w:name w:val="chanpin1"/>
    <w:next w:val="1127"/>
    <w:link w:val="1035"/>
    <w:qFormat/>
    <w:rPr>
      <w:rFonts w:ascii="ˎ̥" w:hAnsi="ˎ̥"/>
      <w:color w:val="000000"/>
      <w:sz w:val="20"/>
      <w:szCs w:val="20"/>
      <w:u w:val="none"/>
    </w:rPr>
  </w:style>
  <w:style w:type="character" w:styleId="1128">
    <w:name w:val="列出段落 Char1"/>
    <w:next w:val="1128"/>
    <w:link w:val="1129"/>
    <w:uiPriority w:val="34"/>
    <w:qFormat/>
    <w:rPr>
      <w:rFonts w:ascii="Calibri" w:hAnsi="Calibri" w:eastAsia="宋体"/>
      <w:sz w:val="21"/>
      <w:szCs w:val="22"/>
      <w:lang w:val="en-US" w:eastAsia="zh-CN" w:bidi="ar-SA"/>
    </w:rPr>
  </w:style>
  <w:style w:type="paragraph" w:styleId="1129">
    <w:name w:val="列出段落"/>
    <w:basedOn w:val="1035"/>
    <w:next w:val="1129"/>
    <w:link w:val="1128"/>
    <w:uiPriority w:val="34"/>
    <w:qFormat/>
    <w:pPr>
      <w:ind w:firstLine="420"/>
    </w:pPr>
    <w:rPr>
      <w:rFonts w:ascii="Calibri" w:hAnsi="Calibri"/>
      <w:szCs w:val="22"/>
    </w:rPr>
  </w:style>
  <w:style w:type="character" w:styleId="1130">
    <w:name w:val="标题 3 Char Char"/>
    <w:next w:val="1130"/>
    <w:link w:val="1035"/>
    <w:qFormat/>
    <w:rPr>
      <w:rFonts w:eastAsia="宋体"/>
      <w:b/>
      <w:bCs/>
      <w:sz w:val="32"/>
      <w:szCs w:val="32"/>
      <w:lang w:val="en-US" w:eastAsia="zh-CN" w:bidi="ar-SA"/>
    </w:rPr>
  </w:style>
  <w:style w:type="character" w:styleId="1131">
    <w:name w:val="段1 Char"/>
    <w:next w:val="1131"/>
    <w:link w:val="1035"/>
    <w:qFormat/>
    <w:rPr>
      <w:rFonts w:ascii="宋体" w:eastAsia="宋体"/>
      <w:sz w:val="24"/>
      <w:lang w:val="en-US" w:eastAsia="zh-CN" w:bidi="ar-SA"/>
    </w:rPr>
  </w:style>
  <w:style w:type="character" w:styleId="1132">
    <w:name w:val="chanpin拷贝"/>
    <w:next w:val="1132"/>
    <w:link w:val="1035"/>
    <w:qFormat/>
  </w:style>
  <w:style w:type="character" w:styleId="1133">
    <w:name w:val="纯文本 Char1"/>
    <w:next w:val="1133"/>
    <w:link w:val="1035"/>
    <w:uiPriority w:val="99"/>
    <w:qFormat/>
    <w:rPr>
      <w:rFonts w:ascii="宋体" w:hAnsi="Courier New" w:eastAsia="宋体"/>
      <w:sz w:val="21"/>
      <w:lang w:val="en-US" w:eastAsia="zh-CN" w:bidi="ar-SA"/>
    </w:rPr>
  </w:style>
  <w:style w:type="character" w:styleId="1134">
    <w:name w:val="apple-style-span"/>
    <w:next w:val="1134"/>
    <w:link w:val="1035"/>
    <w:qFormat/>
    <w:rPr>
      <w:rFonts w:cs="Times New Roman"/>
    </w:rPr>
  </w:style>
  <w:style w:type="paragraph" w:styleId="1135">
    <w:name w:val="二级条标题"/>
    <w:basedOn w:val="1136"/>
    <w:next w:val="1035"/>
    <w:link w:val="1035"/>
    <w:qFormat/>
    <w:pPr>
      <w:numPr>
        <w:ilvl w:val="0"/>
        <w:numId w:val="0"/>
      </w:numPr>
      <w:ind w:hanging="840"/>
      <w:tabs>
        <w:tab w:val="left" w:pos="360" w:leader="none"/>
        <w:tab w:val="left" w:pos="840" w:leader="none"/>
      </w:tabs>
      <w:outlineLvl w:val="2"/>
    </w:pPr>
    <w:rPr>
      <w:rFonts w:ascii="宋体" w:eastAsia="宋体"/>
      <w:b w:val="0"/>
    </w:rPr>
  </w:style>
  <w:style w:type="paragraph" w:styleId="1136">
    <w:name w:val="一级条标题"/>
    <w:basedOn w:val="1137"/>
    <w:next w:val="1035"/>
    <w:link w:val="1035"/>
    <w:qFormat/>
    <w:pPr>
      <w:numPr>
        <w:ilvl w:val="1"/>
      </w:numPr>
      <w:ind w:left="0" w:hanging="840"/>
      <w:tabs>
        <w:tab w:val="left" w:pos="360" w:leader="none"/>
        <w:tab w:val="left" w:pos="840" w:leader="none"/>
      </w:tabs>
      <w:outlineLvl w:val="1"/>
    </w:pPr>
  </w:style>
  <w:style w:type="paragraph" w:styleId="1137">
    <w:name w:val="章标题"/>
    <w:next w:val="1035"/>
    <w:link w:val="103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8">
    <w:name w:val="font7"/>
    <w:basedOn w:val="1035"/>
    <w:next w:val="1138"/>
    <w:link w:val="1035"/>
    <w:qFormat/>
    <w:pPr>
      <w:jc w:val="left"/>
      <w:spacing w:before="100" w:beforeAutospacing="1" w:after="100" w:afterAutospacing="1"/>
      <w:widowControl/>
    </w:pPr>
    <w:rPr>
      <w:rFonts w:eastAsia="Arial Unicode MS"/>
      <w:b/>
      <w:bCs/>
      <w:color w:val="000000"/>
      <w:sz w:val="20"/>
      <w:szCs w:val="20"/>
    </w:rPr>
  </w:style>
  <w:style w:type="paragraph" w:styleId="1139">
    <w:name w:val="字元 字元"/>
    <w:basedOn w:val="1035"/>
    <w:next w:val="1139"/>
    <w:link w:val="1035"/>
    <w:qFormat/>
    <w:rPr>
      <w:rFonts w:ascii="Tahoma" w:hAnsi="Tahoma"/>
      <w:sz w:val="24"/>
      <w:szCs w:val="20"/>
    </w:rPr>
  </w:style>
  <w:style w:type="paragraph" w:styleId="1140">
    <w:name w:val="Char3 Char Char Char"/>
    <w:basedOn w:val="1035"/>
    <w:next w:val="1140"/>
    <w:link w:val="1035"/>
    <w:qFormat/>
    <w:rPr>
      <w:rFonts w:ascii="Tahoma" w:hAnsi="Tahoma"/>
      <w:sz w:val="24"/>
      <w:szCs w:val="20"/>
    </w:rPr>
  </w:style>
  <w:style w:type="paragraph" w:styleId="1141">
    <w:name w:val="font6"/>
    <w:basedOn w:val="1035"/>
    <w:next w:val="1141"/>
    <w:link w:val="1035"/>
    <w:qFormat/>
    <w:pPr>
      <w:jc w:val="left"/>
      <w:spacing w:before="100" w:beforeAutospacing="1" w:after="100" w:afterAutospacing="1"/>
      <w:widowControl/>
    </w:pPr>
    <w:rPr>
      <w:rFonts w:ascii="宋体" w:hAnsi="宋体" w:cs="宋体"/>
      <w:sz w:val="20"/>
      <w:szCs w:val="20"/>
    </w:rPr>
  </w:style>
  <w:style w:type="paragraph" w:styleId="1142">
    <w:name w:val="项目编号2"/>
    <w:basedOn w:val="1143"/>
    <w:next w:val="1142"/>
    <w:link w:val="1035"/>
    <w:qFormat/>
    <w:pPr>
      <w:numPr>
        <w:numId w:val="3"/>
      </w:numPr>
    </w:pPr>
  </w:style>
  <w:style w:type="paragraph" w:styleId="1143">
    <w:name w:val="项目编号1"/>
    <w:basedOn w:val="1035"/>
    <w:next w:val="1143"/>
    <w:link w:val="1035"/>
    <w:qFormat/>
    <w:pPr>
      <w:numPr>
        <w:ilvl w:val="0"/>
        <w:numId w:val="2"/>
      </w:numPr>
      <w:spacing w:before="100" w:beforeAutospacing="1" w:after="100" w:afterAutospacing="1" w:line="360" w:lineRule="auto"/>
    </w:pPr>
    <w:rPr>
      <w:sz w:val="24"/>
    </w:rPr>
  </w:style>
  <w:style w:type="paragraph" w:styleId="1144">
    <w:name w:val="图中文字"/>
    <w:basedOn w:val="1035"/>
    <w:next w:val="1144"/>
    <w:link w:val="1035"/>
    <w:qFormat/>
    <w:pPr>
      <w:jc w:val="center"/>
      <w:spacing w:line="0" w:lineRule="atLeast"/>
    </w:pPr>
    <w:rPr>
      <w:sz w:val="24"/>
      <w:szCs w:val="20"/>
    </w:rPr>
  </w:style>
  <w:style w:type="paragraph" w:styleId="1145">
    <w:name w:val="xl46"/>
    <w:basedOn w:val="1035"/>
    <w:next w:val="1145"/>
    <w:link w:val="103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6">
    <w:name w:val="xl25"/>
    <w:basedOn w:val="1035"/>
    <w:next w:val="1146"/>
    <w:link w:val="10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7">
    <w:name w:val="Char2"/>
    <w:basedOn w:val="1035"/>
    <w:next w:val="1147"/>
    <w:link w:val="1035"/>
    <w:qFormat/>
    <w:rPr>
      <w:rFonts w:ascii="Tahoma" w:hAnsi="Tahoma"/>
      <w:sz w:val="24"/>
      <w:szCs w:val="20"/>
    </w:rPr>
  </w:style>
  <w:style w:type="paragraph" w:styleId="1148">
    <w:name w:val="xl35"/>
    <w:basedOn w:val="1035"/>
    <w:next w:val="1148"/>
    <w:link w:val="103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9">
    <w:name w:val="xl40"/>
    <w:basedOn w:val="1035"/>
    <w:next w:val="1149"/>
    <w:link w:val="10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xl52"/>
    <w:basedOn w:val="1035"/>
    <w:next w:val="1150"/>
    <w:link w:val="10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1">
    <w:name w:val="xl43"/>
    <w:basedOn w:val="1035"/>
    <w:next w:val="1151"/>
    <w:link w:val="103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2">
    <w:name w:val="background1"/>
    <w:basedOn w:val="1035"/>
    <w:next w:val="1152"/>
    <w:link w:val="1035"/>
    <w:qFormat/>
    <w:pPr>
      <w:jc w:val="left"/>
      <w:spacing w:before="100" w:beforeAutospacing="1" w:after="100" w:afterAutospacing="1"/>
      <w:widowControl/>
    </w:pPr>
    <w:rPr>
      <w:rFonts w:ascii="宋体" w:hAnsi="宋体" w:cs="宋体"/>
      <w:sz w:val="24"/>
    </w:rPr>
  </w:style>
  <w:style w:type="paragraph" w:styleId="1153">
    <w:name w:val="Char Char Char Char Char Char Char"/>
    <w:basedOn w:val="1035"/>
    <w:next w:val="1153"/>
    <w:link w:val="1035"/>
    <w:qFormat/>
    <w:pPr>
      <w:ind w:firstLine="200"/>
      <w:spacing w:line="360" w:lineRule="auto"/>
    </w:pPr>
    <w:rPr>
      <w:rFonts w:eastAsia="仿宋_GB2312"/>
      <w:sz w:val="24"/>
    </w:rPr>
  </w:style>
  <w:style w:type="paragraph" w:styleId="1154">
    <w:name w:val="xl38"/>
    <w:basedOn w:val="1035"/>
    <w:next w:val="1154"/>
    <w:link w:val="10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5">
    <w:name w:val="xl36"/>
    <w:basedOn w:val="1035"/>
    <w:next w:val="1155"/>
    <w:link w:val="103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6">
    <w:name w:val="正文 + 宋体"/>
    <w:basedOn w:val="1035"/>
    <w:next w:val="1156"/>
    <w:link w:val="1035"/>
    <w:qFormat/>
    <w:pPr>
      <w:ind w:left="360" w:hanging="360"/>
      <w:jc w:val="left"/>
      <w:widowControl/>
    </w:pPr>
    <w:rPr>
      <w:rFonts w:ascii="宋体" w:hAnsi="宋体" w:cs="宋体"/>
      <w:b/>
      <w:bCs/>
      <w:color w:val="000000"/>
      <w:sz w:val="18"/>
      <w:szCs w:val="18"/>
    </w:rPr>
  </w:style>
  <w:style w:type="paragraph" w:styleId="1157">
    <w:name w:val="正文列项_数字"/>
    <w:basedOn w:val="1035"/>
    <w:next w:val="1157"/>
    <w:link w:val="1035"/>
    <w:qFormat/>
    <w:pPr>
      <w:numPr>
        <w:ilvl w:val="7"/>
        <w:numId w:val="1"/>
      </w:numPr>
      <w:ind w:left="680" w:hanging="150"/>
      <w:spacing w:line="460" w:lineRule="exact"/>
      <w:tabs>
        <w:tab w:val="clear" w:pos="860" w:leader="none"/>
      </w:tabs>
      <w:outlineLvl w:val="7"/>
    </w:pPr>
    <w:rPr>
      <w:rFonts w:ascii="宋体"/>
      <w:sz w:val="28"/>
      <w:szCs w:val="20"/>
    </w:rPr>
  </w:style>
  <w:style w:type="paragraph" w:styleId="1158">
    <w:name w:val="xl39"/>
    <w:basedOn w:val="1035"/>
    <w:next w:val="1158"/>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9">
    <w:name w:val="xl37"/>
    <w:basedOn w:val="1035"/>
    <w:next w:val="1159"/>
    <w:link w:val="103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0">
    <w:name w:val="xl32"/>
    <w:basedOn w:val="1035"/>
    <w:next w:val="1160"/>
    <w:link w:val="10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1">
    <w:name w:val="font8"/>
    <w:basedOn w:val="1035"/>
    <w:next w:val="1161"/>
    <w:link w:val="1035"/>
    <w:qFormat/>
    <w:pPr>
      <w:jc w:val="left"/>
      <w:spacing w:before="100" w:beforeAutospacing="1" w:after="100" w:afterAutospacing="1"/>
      <w:widowControl/>
    </w:pPr>
    <w:rPr>
      <w:sz w:val="36"/>
      <w:szCs w:val="36"/>
    </w:rPr>
  </w:style>
  <w:style w:type="paragraph" w:styleId="1162">
    <w:name w:val="Char"/>
    <w:basedOn w:val="1035"/>
    <w:next w:val="1162"/>
    <w:link w:val="1035"/>
    <w:qFormat/>
    <w:pPr>
      <w:tabs>
        <w:tab w:val="left" w:pos="360" w:leader="none"/>
      </w:tabs>
    </w:pPr>
    <w:rPr>
      <w:sz w:val="24"/>
    </w:rPr>
  </w:style>
  <w:style w:type="paragraph" w:styleId="1163">
    <w:name w:val="Char Char Char Char Char Char Char Char Char Char Char Char Char Char Char Char"/>
    <w:basedOn w:val="1035"/>
    <w:next w:val="1163"/>
    <w:link w:val="1035"/>
    <w:qFormat/>
    <w:pPr>
      <w:jc w:val="center"/>
      <w:spacing w:after="160" w:line="240" w:lineRule="exact"/>
      <w:widowControl/>
    </w:pPr>
    <w:rPr>
      <w:rFonts w:ascii="宋体" w:hAnsi="宋体"/>
      <w:b/>
      <w:sz w:val="30"/>
      <w:szCs w:val="30"/>
      <w:lang w:eastAsia="en-US"/>
    </w:rPr>
  </w:style>
  <w:style w:type="paragraph" w:styleId="1164">
    <w:name w:val="xl45"/>
    <w:basedOn w:val="1035"/>
    <w:next w:val="1164"/>
    <w:link w:val="103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5">
    <w:name w:val="Char Char1 Char Char Char Char Char Char"/>
    <w:basedOn w:val="1035"/>
    <w:next w:val="1165"/>
    <w:link w:val="1035"/>
    <w:qFormat/>
    <w:pPr>
      <w:jc w:val="left"/>
      <w:spacing w:after="160" w:line="240" w:lineRule="exact"/>
      <w:widowControl/>
    </w:pPr>
    <w:rPr>
      <w:rFonts w:ascii="Verdana" w:hAnsi="Verdana" w:eastAsia="仿宋_GB2312"/>
      <w:sz w:val="24"/>
      <w:szCs w:val="20"/>
      <w:lang w:eastAsia="en-US"/>
    </w:rPr>
  </w:style>
  <w:style w:type="paragraph" w:styleId="1166">
    <w:name w:val="Char Char1"/>
    <w:basedOn w:val="1060"/>
    <w:next w:val="1166"/>
    <w:link w:val="1035"/>
    <w:qFormat/>
    <w:rPr>
      <w:rFonts w:ascii="Tahoma" w:hAnsi="Tahoma"/>
      <w:sz w:val="24"/>
    </w:rPr>
  </w:style>
  <w:style w:type="paragraph" w:styleId="1167">
    <w:name w:val="xl26"/>
    <w:basedOn w:val="1035"/>
    <w:next w:val="1167"/>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8">
    <w:name w:val="xl30"/>
    <w:basedOn w:val="1035"/>
    <w:next w:val="1168"/>
    <w:link w:val="10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9">
    <w:name w:val="xl41"/>
    <w:basedOn w:val="1035"/>
    <w:next w:val="1169"/>
    <w:link w:val="103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0">
    <w:name w:val="样式 宋体 五号 行距: 单倍行距"/>
    <w:basedOn w:val="1035"/>
    <w:next w:val="1170"/>
    <w:link w:val="1035"/>
    <w:qFormat/>
    <w:pPr>
      <w:jc w:val="left"/>
    </w:pPr>
    <w:rPr>
      <w:rFonts w:ascii="宋体" w:hAnsi="宋体"/>
      <w:szCs w:val="20"/>
    </w:rPr>
  </w:style>
  <w:style w:type="paragraph" w:styleId="1171">
    <w:name w:val="Char1 Char Char Char1"/>
    <w:basedOn w:val="1035"/>
    <w:next w:val="1171"/>
    <w:link w:val="1035"/>
    <w:qFormat/>
    <w:rPr>
      <w:rFonts w:ascii="Tahoma" w:hAnsi="Tahoma" w:cs="仿宋_GB2312"/>
      <w:sz w:val="24"/>
      <w:szCs w:val="28"/>
    </w:rPr>
  </w:style>
  <w:style w:type="paragraph" w:styleId="1172">
    <w:name w:val="四级条标题"/>
    <w:basedOn w:val="1173"/>
    <w:next w:val="1035"/>
    <w:link w:val="1035"/>
    <w:qFormat/>
    <w:pPr>
      <w:numPr>
        <w:ilvl w:val="4"/>
      </w:numPr>
      <w:ind w:left="0" w:hanging="840"/>
      <w:tabs>
        <w:tab w:val="left" w:pos="360" w:leader="none"/>
        <w:tab w:val="left" w:pos="840" w:leader="none"/>
      </w:tabs>
      <w:outlineLvl w:val="4"/>
    </w:pPr>
  </w:style>
  <w:style w:type="paragraph" w:styleId="1173">
    <w:name w:val="三级条标题"/>
    <w:basedOn w:val="1135"/>
    <w:next w:val="1035"/>
    <w:link w:val="1035"/>
    <w:qFormat/>
    <w:pPr>
      <w:numPr>
        <w:ilvl w:val="3"/>
        <w:numId w:val="1"/>
      </w:numPr>
      <w:ind w:left="0" w:hanging="840"/>
      <w:tabs>
        <w:tab w:val="left" w:pos="360" w:leader="none"/>
        <w:tab w:val="left" w:pos="840" w:leader="none"/>
      </w:tabs>
      <w:outlineLvl w:val="3"/>
    </w:pPr>
  </w:style>
  <w:style w:type="paragraph" w:styleId="1174">
    <w:name w:val="??"/>
    <w:next w:val="1174"/>
    <w:link w:val="1035"/>
    <w:qFormat/>
    <w:pPr>
      <w:jc w:val="both"/>
      <w:widowControl w:val="off"/>
    </w:pPr>
    <w:rPr>
      <w:sz w:val="21"/>
      <w:lang w:val="en-US" w:eastAsia="en-US" w:bidi="ar-SA"/>
    </w:rPr>
  </w:style>
  <w:style w:type="paragraph" w:styleId="1175">
    <w:name w:val="样式 标题 2 + 宋体 五号 行距: 单倍行距"/>
    <w:basedOn w:val="1037"/>
    <w:next w:val="1175"/>
    <w:link w:val="103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6">
    <w:name w:val="List Paragraph1"/>
    <w:basedOn w:val="1035"/>
    <w:next w:val="1176"/>
    <w:link w:val="1035"/>
    <w:qFormat/>
    <w:pPr>
      <w:ind w:firstLine="420"/>
    </w:pPr>
    <w:rPr>
      <w:rFonts w:ascii="Calibri" w:hAnsi="Calibri"/>
      <w:szCs w:val="22"/>
    </w:rPr>
  </w:style>
  <w:style w:type="paragraph" w:styleId="1177">
    <w:name w:val="项目符号1"/>
    <w:basedOn w:val="1178"/>
    <w:next w:val="1177"/>
    <w:link w:val="1035"/>
    <w:qFormat/>
    <w:pPr>
      <w:ind w:left="-25" w:firstLine="0"/>
    </w:pPr>
  </w:style>
  <w:style w:type="paragraph" w:styleId="1178">
    <w:name w:val="正文文本样式"/>
    <w:basedOn w:val="1035"/>
    <w:next w:val="1178"/>
    <w:link w:val="1035"/>
    <w:qFormat/>
    <w:pPr>
      <w:ind w:firstLine="482"/>
      <w:spacing w:line="360" w:lineRule="auto"/>
    </w:pPr>
    <w:rPr>
      <w:rFonts w:cs="宋体"/>
      <w:sz w:val="24"/>
      <w:szCs w:val="20"/>
    </w:rPr>
  </w:style>
  <w:style w:type="paragraph" w:styleId="1179">
    <w:name w:val="xl27"/>
    <w:basedOn w:val="1035"/>
    <w:next w:val="1179"/>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0">
    <w:name w:val="font5"/>
    <w:basedOn w:val="1035"/>
    <w:next w:val="1180"/>
    <w:link w:val="1035"/>
    <w:qFormat/>
    <w:pPr>
      <w:jc w:val="left"/>
      <w:spacing w:before="100" w:beforeAutospacing="1" w:after="100" w:afterAutospacing="1"/>
      <w:widowControl/>
    </w:pPr>
    <w:rPr>
      <w:rFonts w:ascii="宋体" w:hAnsi="宋体" w:cs="宋体"/>
      <w:sz w:val="18"/>
      <w:szCs w:val="18"/>
    </w:rPr>
  </w:style>
  <w:style w:type="paragraph" w:styleId="1181">
    <w:name w:val="五级条标题"/>
    <w:basedOn w:val="1172"/>
    <w:next w:val="1035"/>
    <w:link w:val="1035"/>
    <w:qFormat/>
    <w:pPr>
      <w:numPr>
        <w:ilvl w:val="5"/>
      </w:numPr>
      <w:ind w:left="0" w:hanging="840"/>
      <w:tabs>
        <w:tab w:val="left" w:pos="360" w:leader="none"/>
        <w:tab w:val="left" w:pos="840" w:leader="none"/>
      </w:tabs>
      <w:outlineLvl w:val="5"/>
    </w:pPr>
  </w:style>
  <w:style w:type="paragraph" w:styleId="1182">
    <w:name w:val="xl49"/>
    <w:basedOn w:val="1035"/>
    <w:next w:val="1182"/>
    <w:link w:val="10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3">
    <w:name w:val="文档正文"/>
    <w:basedOn w:val="1035"/>
    <w:next w:val="1183"/>
    <w:link w:val="1035"/>
    <w:qFormat/>
    <w:pPr>
      <w:spacing w:before="120" w:after="120" w:line="180" w:lineRule="auto"/>
    </w:pPr>
    <w:rPr>
      <w:rFonts w:ascii="Arial" w:hAnsi="Arial"/>
      <w:szCs w:val="20"/>
    </w:rPr>
  </w:style>
  <w:style w:type="paragraph" w:styleId="1184">
    <w:name w:val="xl33"/>
    <w:basedOn w:val="1035"/>
    <w:next w:val="1184"/>
    <w:link w:val="10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5">
    <w:name w:val="xl42"/>
    <w:basedOn w:val="1035"/>
    <w:next w:val="1185"/>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6">
    <w:name w:val="Char Char Char1 Char"/>
    <w:basedOn w:val="1035"/>
    <w:next w:val="1186"/>
    <w:link w:val="1035"/>
    <w:qFormat/>
    <w:rPr>
      <w:rFonts w:ascii="Tahoma" w:hAnsi="Tahoma"/>
      <w:sz w:val="24"/>
      <w:szCs w:val="20"/>
    </w:rPr>
  </w:style>
  <w:style w:type="paragraph" w:styleId="1187">
    <w:name w:val="xl44"/>
    <w:basedOn w:val="1035"/>
    <w:next w:val="1187"/>
    <w:link w:val="103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8">
    <w:name w:val="1名"/>
    <w:basedOn w:val="1035"/>
    <w:next w:val="1188"/>
    <w:link w:val="1035"/>
    <w:qFormat/>
    <w:pPr>
      <w:numPr>
        <w:ilvl w:val="0"/>
        <w:numId w:val="5"/>
      </w:numPr>
      <w:spacing w:before="120"/>
      <w:tabs>
        <w:tab w:val="left" w:pos="360" w:leader="none"/>
      </w:tabs>
    </w:pPr>
    <w:rPr>
      <w:rFonts w:ascii="宋体"/>
      <w:sz w:val="28"/>
      <w:szCs w:val="20"/>
    </w:rPr>
  </w:style>
  <w:style w:type="paragraph" w:styleId="1189">
    <w:name w:val="font9"/>
    <w:basedOn w:val="1035"/>
    <w:next w:val="1189"/>
    <w:link w:val="1035"/>
    <w:qFormat/>
    <w:pPr>
      <w:jc w:val="left"/>
      <w:spacing w:before="100" w:beforeAutospacing="1" w:after="100" w:afterAutospacing="1"/>
      <w:widowControl/>
    </w:pPr>
    <w:rPr>
      <w:rFonts w:hint="eastAsia" w:ascii="宋体" w:hAnsi="宋体" w:cs="Arial Unicode MS"/>
      <w:color w:val="000000"/>
      <w:sz w:val="20"/>
      <w:szCs w:val="20"/>
    </w:rPr>
  </w:style>
  <w:style w:type="paragraph" w:styleId="1190">
    <w:name w:val="Char Char Char1 Char1"/>
    <w:basedOn w:val="1035"/>
    <w:next w:val="1190"/>
    <w:link w:val="1035"/>
    <w:qFormat/>
    <w:rPr>
      <w:rFonts w:ascii="Tahoma" w:hAnsi="Tahoma"/>
      <w:sz w:val="24"/>
      <w:szCs w:val="20"/>
    </w:rPr>
  </w:style>
  <w:style w:type="paragraph" w:styleId="1191">
    <w:name w:val="Char Char Char Char Char Char Char Char Char Char"/>
    <w:basedOn w:val="1035"/>
    <w:next w:val="1191"/>
    <w:link w:val="1035"/>
    <w:qFormat/>
  </w:style>
  <w:style w:type="paragraph" w:styleId="1192">
    <w:name w:val="Char Char1 Char Char Char Char Char Char Char Char"/>
    <w:basedOn w:val="1035"/>
    <w:next w:val="1192"/>
    <w:link w:val="1035"/>
    <w:qFormat/>
    <w:pPr>
      <w:jc w:val="left"/>
      <w:spacing w:after="160" w:line="240" w:lineRule="exact"/>
      <w:widowControl/>
    </w:pPr>
    <w:rPr>
      <w:rFonts w:ascii="Verdana" w:hAnsi="Verdana"/>
      <w:sz w:val="20"/>
      <w:szCs w:val="20"/>
      <w:lang w:eastAsia="en-US"/>
    </w:rPr>
  </w:style>
  <w:style w:type="paragraph" w:styleId="1193">
    <w:name w:val="Char1"/>
    <w:basedOn w:val="1035"/>
    <w:next w:val="1193"/>
    <w:link w:val="1035"/>
    <w:qFormat/>
    <w:pPr>
      <w:tabs>
        <w:tab w:val="left" w:pos="360" w:leader="none"/>
      </w:tabs>
    </w:pPr>
    <w:rPr>
      <w:sz w:val="24"/>
    </w:rPr>
  </w:style>
  <w:style w:type="paragraph" w:styleId="1194">
    <w:name w:val="正文列项_字母"/>
    <w:basedOn w:val="1035"/>
    <w:next w:val="1194"/>
    <w:link w:val="1035"/>
    <w:qFormat/>
    <w:pPr>
      <w:numPr>
        <w:ilvl w:val="6"/>
        <w:numId w:val="1"/>
      </w:numPr>
      <w:ind w:left="480" w:hanging="180"/>
      <w:spacing w:line="460" w:lineRule="exact"/>
      <w:tabs>
        <w:tab w:val="clear" w:pos="635" w:leader="none"/>
      </w:tabs>
      <w:outlineLvl w:val="6"/>
    </w:pPr>
    <w:rPr>
      <w:rFonts w:ascii="宋体"/>
      <w:sz w:val="28"/>
      <w:szCs w:val="20"/>
    </w:rPr>
  </w:style>
  <w:style w:type="paragraph" w:styleId="1195">
    <w:name w:val="xl28"/>
    <w:basedOn w:val="1035"/>
    <w:next w:val="1195"/>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47"/>
    <w:basedOn w:val="1035"/>
    <w:next w:val="1196"/>
    <w:link w:val="103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7">
    <w:name w:val="默认段落字体 Para Char Char Char Char"/>
    <w:basedOn w:val="1035"/>
    <w:next w:val="1197"/>
    <w:link w:val="1035"/>
    <w:qFormat/>
    <w:rPr>
      <w:rFonts w:ascii="Arial" w:hAnsi="Arial" w:cs="Arial"/>
      <w:szCs w:val="21"/>
    </w:rPr>
  </w:style>
  <w:style w:type="paragraph" w:styleId="1198">
    <w:name w:val="xl48"/>
    <w:basedOn w:val="1035"/>
    <w:next w:val="1198"/>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9">
    <w:name w:val="xl31"/>
    <w:basedOn w:val="1035"/>
    <w:next w:val="1199"/>
    <w:link w:val="10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0">
    <w:name w:val="xl53"/>
    <w:basedOn w:val="1035"/>
    <w:next w:val="1200"/>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1">
    <w:name w:val="Char Char Char"/>
    <w:basedOn w:val="1035"/>
    <w:next w:val="1201"/>
    <w:link w:val="1035"/>
    <w:qFormat/>
    <w:rPr>
      <w:rFonts w:ascii="Tahoma" w:hAnsi="Tahoma"/>
      <w:sz w:val="24"/>
      <w:szCs w:val="20"/>
    </w:rPr>
  </w:style>
  <w:style w:type="paragraph" w:styleId="1202">
    <w:name w:val="xl50"/>
    <w:basedOn w:val="1035"/>
    <w:next w:val="1202"/>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3">
    <w:name w:val="缺省文本"/>
    <w:basedOn w:val="1035"/>
    <w:next w:val="1203"/>
    <w:link w:val="1035"/>
    <w:qFormat/>
    <w:pPr>
      <w:jc w:val="left"/>
    </w:pPr>
    <w:rPr>
      <w:sz w:val="24"/>
    </w:rPr>
  </w:style>
  <w:style w:type="paragraph" w:styleId="1204">
    <w:name w:val="Char Char Char1"/>
    <w:basedOn w:val="1035"/>
    <w:next w:val="1204"/>
    <w:link w:val="1035"/>
    <w:qFormat/>
    <w:rPr>
      <w:rFonts w:ascii="Tahoma" w:hAnsi="Tahoma"/>
      <w:sz w:val="24"/>
      <w:szCs w:val="20"/>
    </w:rPr>
  </w:style>
  <w:style w:type="paragraph" w:styleId="1205">
    <w:name w:val="Char Char Char Char Char Char Char1"/>
    <w:basedOn w:val="1035"/>
    <w:next w:val="1205"/>
    <w:link w:val="1035"/>
    <w:qFormat/>
    <w:pPr>
      <w:ind w:firstLine="200"/>
      <w:spacing w:line="360" w:lineRule="auto"/>
    </w:pPr>
    <w:rPr>
      <w:rFonts w:eastAsia="仿宋_GB2312"/>
      <w:sz w:val="24"/>
    </w:rPr>
  </w:style>
  <w:style w:type="paragraph" w:styleId="1206">
    <w:name w:val="xl51"/>
    <w:basedOn w:val="1035"/>
    <w:next w:val="1206"/>
    <w:link w:val="10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7">
    <w:name w:val="样式2"/>
    <w:basedOn w:val="1097"/>
    <w:next w:val="1207"/>
    <w:link w:val="1035"/>
    <w:qFormat/>
    <w:pPr>
      <w:jc w:val="center"/>
      <w:spacing w:line="360" w:lineRule="auto"/>
    </w:pPr>
    <w:rPr>
      <w:sz w:val="24"/>
    </w:rPr>
  </w:style>
  <w:style w:type="paragraph" w:styleId="1208">
    <w:name w:val="xl24"/>
    <w:basedOn w:val="1035"/>
    <w:next w:val="1208"/>
    <w:link w:val="10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name w:val="xl29"/>
    <w:basedOn w:val="1035"/>
    <w:next w:val="1209"/>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0">
    <w:name w:val="正文 + 楷体_GB2312"/>
    <w:basedOn w:val="1035"/>
    <w:next w:val="1210"/>
    <w:link w:val="1035"/>
    <w:qFormat/>
    <w:pPr>
      <w:jc w:val="left"/>
      <w:widowControl/>
    </w:pPr>
    <w:rPr>
      <w:rFonts w:ascii="楷体_GB2312" w:eastAsia="楷体_GB2312" w:cs="Arial"/>
      <w:sz w:val="24"/>
    </w:rPr>
  </w:style>
  <w:style w:type="paragraph" w:styleId="1211">
    <w:name w:val="xl34"/>
    <w:basedOn w:val="1035"/>
    <w:next w:val="1211"/>
    <w:link w:val="10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2">
    <w:name w:val="1 Char Char Char Char"/>
    <w:basedOn w:val="1035"/>
    <w:next w:val="1212"/>
    <w:link w:val="1035"/>
    <w:qFormat/>
    <w:rPr>
      <w:rFonts w:ascii="Tahoma" w:hAnsi="Tahoma"/>
      <w:sz w:val="24"/>
      <w:szCs w:val="20"/>
    </w:rPr>
  </w:style>
  <w:style w:type="paragraph" w:styleId="1213">
    <w:name w:val="Default"/>
    <w:next w:val="1213"/>
    <w:link w:val="1035"/>
    <w:qFormat/>
    <w:pPr>
      <w:widowControl w:val="off"/>
    </w:pPr>
    <w:rPr>
      <w:rFonts w:ascii="Symbol" w:hAnsi="Symbol" w:cs="Symbol"/>
      <w:color w:val="000000"/>
      <w:sz w:val="24"/>
      <w:szCs w:val="24"/>
      <w:lang w:val="en-US" w:eastAsia="zh-CN" w:bidi="ar-SA"/>
    </w:rPr>
  </w:style>
  <w:style w:type="paragraph" w:styleId="1214">
    <w:name w:val="列出段落1"/>
    <w:basedOn w:val="1035"/>
    <w:next w:val="1214"/>
    <w:link w:val="1035"/>
    <w:qFormat/>
    <w:pPr>
      <w:ind w:firstLine="420"/>
    </w:pPr>
    <w:rPr>
      <w:rFonts w:ascii="Calibri" w:hAnsi="Calibri"/>
      <w:szCs w:val="22"/>
    </w:rPr>
  </w:style>
  <w:style w:type="paragraph" w:styleId="1215">
    <w:name w:val="default"/>
    <w:basedOn w:val="1035"/>
    <w:next w:val="1215"/>
    <w:link w:val="1035"/>
    <w:qFormat/>
    <w:pPr>
      <w:jc w:val="left"/>
      <w:spacing w:before="100" w:beforeAutospacing="1" w:after="100" w:afterAutospacing="1"/>
      <w:widowControl/>
    </w:pPr>
    <w:rPr>
      <w:rFonts w:ascii="宋体" w:hAnsi="宋体" w:cs="宋体"/>
      <w:sz w:val="24"/>
    </w:rPr>
  </w:style>
  <w:style w:type="paragraph" w:styleId="1216">
    <w:name w:val="字元 字元1"/>
    <w:basedOn w:val="1035"/>
    <w:next w:val="1216"/>
    <w:link w:val="1035"/>
    <w:qFormat/>
    <w:rPr>
      <w:rFonts w:ascii="Tahoma" w:hAnsi="Tahoma"/>
      <w:sz w:val="24"/>
      <w:szCs w:val="20"/>
    </w:rPr>
  </w:style>
  <w:style w:type="paragraph" w:styleId="1217">
    <w:name w:val="_Style 160"/>
    <w:next w:val="1217"/>
    <w:link w:val="1035"/>
    <w:qFormat/>
    <w:rPr>
      <w:sz w:val="21"/>
      <w:szCs w:val="24"/>
      <w:lang w:val="en-US" w:eastAsia="zh-CN" w:bidi="ar-SA"/>
    </w:rPr>
  </w:style>
  <w:style w:type="paragraph" w:styleId="1218">
    <w:name w:val="项目编号3"/>
    <w:basedOn w:val="1178"/>
    <w:next w:val="1218"/>
    <w:link w:val="1035"/>
    <w:qFormat/>
    <w:pPr>
      <w:numPr>
        <w:ilvl w:val="0"/>
        <w:numId w:val="6"/>
      </w:numPr>
    </w:pPr>
  </w:style>
  <w:style w:type="paragraph" w:styleId="1219">
    <w:name w:val="Char21"/>
    <w:basedOn w:val="1035"/>
    <w:next w:val="1219"/>
    <w:link w:val="1035"/>
    <w:qFormat/>
    <w:rPr>
      <w:rFonts w:ascii="Tahoma" w:hAnsi="Tahoma"/>
      <w:sz w:val="24"/>
      <w:szCs w:val="20"/>
    </w:rPr>
  </w:style>
  <w:style w:type="paragraph" w:styleId="1220">
    <w:name w:val="表格文字"/>
    <w:basedOn w:val="1068"/>
    <w:next w:val="1220"/>
    <w:link w:val="1035"/>
    <w:qFormat/>
    <w:pPr>
      <w:ind w:firstLine="0"/>
      <w:spacing w:before="20" w:after="20" w:line="240" w:lineRule="auto"/>
    </w:pPr>
    <w:rPr>
      <w:rFonts w:ascii="Century Gothic" w:hAnsi="Century Gothic"/>
      <w:sz w:val="20"/>
      <w:szCs w:val="20"/>
    </w:rPr>
  </w:style>
  <w:style w:type="paragraph" w:styleId="1221">
    <w:name w:val="Char Char Char Char Char Char Char Char Char Char1"/>
    <w:basedOn w:val="1035"/>
    <w:next w:val="1221"/>
    <w:link w:val="1035"/>
    <w:qFormat/>
    <w:rPr>
      <w:rFonts w:ascii="宋体" w:hAnsi="宋体" w:cs="Courier New"/>
      <w:sz w:val="32"/>
      <w:szCs w:val="32"/>
    </w:rPr>
  </w:style>
  <w:style w:type="paragraph" w:styleId="1222">
    <w:name w:val="正文文本样式 加粗"/>
    <w:basedOn w:val="1178"/>
    <w:next w:val="1222"/>
    <w:link w:val="1035"/>
    <w:qFormat/>
    <w:rPr>
      <w:b/>
    </w:rPr>
  </w:style>
  <w:style w:type="paragraph" w:styleId="1223">
    <w:name w:val="Char2 Char Char Char Char Char Char"/>
    <w:basedOn w:val="1035"/>
    <w:next w:val="1223"/>
    <w:link w:val="1035"/>
    <w:qFormat/>
    <w:pPr>
      <w:jc w:val="center"/>
      <w:spacing w:line="400" w:lineRule="exact"/>
      <w:widowControl/>
    </w:pPr>
  </w:style>
  <w:style w:type="paragraph" w:styleId="1224">
    <w:name w:val="Char Char4"/>
    <w:basedOn w:val="1035"/>
    <w:next w:val="1224"/>
    <w:link w:val="1035"/>
    <w:qFormat/>
    <w:pPr>
      <w:jc w:val="center"/>
      <w:spacing w:line="400" w:lineRule="exact"/>
      <w:widowControl/>
    </w:pPr>
  </w:style>
  <w:style w:type="paragraph" w:styleId="1225">
    <w:name w:val="Char3 Char Char Char1"/>
    <w:basedOn w:val="1035"/>
    <w:next w:val="1225"/>
    <w:link w:val="1035"/>
    <w:qFormat/>
    <w:rPr>
      <w:rFonts w:ascii="Tahoma" w:hAnsi="Tahoma"/>
      <w:sz w:val="24"/>
      <w:szCs w:val="20"/>
    </w:rPr>
  </w:style>
  <w:style w:type="paragraph" w:styleId="1226">
    <w:name w:val="无间隔"/>
    <w:next w:val="1226"/>
    <w:link w:val="1035"/>
    <w:qFormat/>
    <w:pPr>
      <w:jc w:val="both"/>
      <w:widowControl w:val="off"/>
    </w:pPr>
    <w:rPr>
      <w:sz w:val="21"/>
      <w:szCs w:val="24"/>
      <w:lang w:val="en-US" w:eastAsia="zh-CN" w:bidi="ar-SA"/>
    </w:rPr>
  </w:style>
  <w:style w:type="paragraph" w:styleId="1227">
    <w:name w:val="22222222222222"/>
    <w:basedOn w:val="1035"/>
    <w:next w:val="1227"/>
    <w:link w:val="1035"/>
    <w:qFormat/>
    <w:pPr>
      <w:ind w:firstLine="480"/>
      <w:jc w:val="left"/>
      <w:spacing w:line="360" w:lineRule="auto"/>
      <w:widowControl/>
    </w:pPr>
    <w:rPr>
      <w:color w:val="ff0000"/>
      <w:sz w:val="24"/>
      <w:szCs w:val="20"/>
    </w:rPr>
  </w:style>
  <w:style w:type="character" w:styleId="1228">
    <w:name w:val="中等深浅网格 1 - 强调文字颜色 2 Char"/>
    <w:next w:val="1228"/>
    <w:link w:val="1229"/>
    <w:qFormat/>
    <w:rPr>
      <w:sz w:val="21"/>
      <w:szCs w:val="24"/>
      <w:lang w:val="zh-CN" w:eastAsia="zh-CN" w:bidi="ar-SA"/>
    </w:rPr>
  </w:style>
  <w:style w:type="paragraph" w:styleId="1229">
    <w:name w:val="1"/>
    <w:next w:val="1229"/>
    <w:link w:val="1228"/>
    <w:qFormat/>
    <w:rPr>
      <w:sz w:val="21"/>
      <w:szCs w:val="24"/>
      <w:lang w:val="zh-CN" w:eastAsia="zh-CN" w:bidi="ar-SA"/>
    </w:rPr>
  </w:style>
  <w:style w:type="paragraph" w:styleId="1230">
    <w:name w:val="图文"/>
    <w:basedOn w:val="1035"/>
    <w:next w:val="1230"/>
    <w:link w:val="1035"/>
    <w:qFormat/>
    <w:pPr>
      <w:spacing w:after="50" w:line="360" w:lineRule="auto"/>
    </w:pPr>
    <w:rPr>
      <w:sz w:val="24"/>
    </w:rPr>
  </w:style>
  <w:style w:type="paragraph" w:styleId="1231">
    <w:name w:val="xl23"/>
    <w:basedOn w:val="1035"/>
    <w:next w:val="1231"/>
    <w:link w:val="1035"/>
    <w:qFormat/>
    <w:pPr>
      <w:spacing w:before="100" w:beforeAutospacing="1" w:after="100" w:afterAutospacing="1" w:line="360" w:lineRule="auto"/>
      <w:widowControl/>
    </w:pPr>
    <w:rPr>
      <w:sz w:val="24"/>
      <w:szCs w:val="20"/>
    </w:rPr>
  </w:style>
  <w:style w:type="paragraph" w:styleId="1232">
    <w:name w:val="正文表格"/>
    <w:basedOn w:val="1035"/>
    <w:next w:val="1232"/>
    <w:link w:val="1233"/>
    <w:qFormat/>
    <w:pPr>
      <w:jc w:val="left"/>
    </w:pPr>
    <w:rPr>
      <w:rFonts w:ascii="宋体" w:hAnsi="宋体"/>
      <w:color w:val="000000"/>
      <w:szCs w:val="21"/>
    </w:rPr>
  </w:style>
  <w:style w:type="character" w:styleId="1233">
    <w:name w:val="正文表格 Char"/>
    <w:next w:val="1233"/>
    <w:link w:val="1232"/>
    <w:qFormat/>
    <w:rPr>
      <w:rFonts w:ascii="宋体" w:hAnsi="宋体"/>
      <w:color w:val="000000"/>
      <w:sz w:val="21"/>
      <w:szCs w:val="21"/>
    </w:rPr>
  </w:style>
  <w:style w:type="paragraph" w:styleId="1234">
    <w:name w:val="正文重点"/>
    <w:basedOn w:val="1035"/>
    <w:next w:val="1234"/>
    <w:link w:val="1235"/>
    <w:qFormat/>
    <w:pPr>
      <w:ind w:firstLine="482"/>
      <w:jc w:val="left"/>
      <w:spacing w:line="360" w:lineRule="auto"/>
    </w:pPr>
    <w:rPr>
      <w:b/>
      <w:sz w:val="24"/>
      <w:szCs w:val="20"/>
    </w:rPr>
  </w:style>
  <w:style w:type="character" w:styleId="1235">
    <w:name w:val="正文重点 Char"/>
    <w:next w:val="1235"/>
    <w:link w:val="1234"/>
    <w:qFormat/>
    <w:rPr>
      <w:b/>
      <w:sz w:val="24"/>
    </w:rPr>
  </w:style>
  <w:style w:type="paragraph" w:styleId="1236">
    <w:name w:val="标题1-附件"/>
    <w:basedOn w:val="1036"/>
    <w:next w:val="1236"/>
    <w:link w:val="1035"/>
    <w:qFormat/>
    <w:pPr>
      <w:jc w:val="left"/>
    </w:pPr>
    <w:rPr>
      <w:sz w:val="24"/>
      <w:szCs w:val="24"/>
    </w:rPr>
  </w:style>
  <w:style w:type="paragraph" w:styleId="1237">
    <w:name w:val="正文小标题"/>
    <w:basedOn w:val="1035"/>
    <w:next w:val="1049"/>
    <w:link w:val="1238"/>
    <w:qFormat/>
    <w:pPr>
      <w:ind w:firstLine="482"/>
      <w:jc w:val="left"/>
      <w:spacing w:before="312" w:after="312"/>
    </w:pPr>
    <w:rPr>
      <w:rFonts w:ascii="宋体" w:hAnsi="宋体"/>
      <w:b/>
      <w:i/>
      <w:color w:val="ff0000"/>
      <w:sz w:val="24"/>
      <w:szCs w:val="20"/>
    </w:rPr>
  </w:style>
  <w:style w:type="character" w:styleId="1238">
    <w:name w:val="正文小标题 Char"/>
    <w:next w:val="1238"/>
    <w:link w:val="1237"/>
    <w:qFormat/>
    <w:rPr>
      <w:rFonts w:ascii="宋体" w:hAnsi="宋体"/>
      <w:b/>
      <w:i/>
      <w:color w:val="ff0000"/>
      <w:sz w:val="24"/>
    </w:rPr>
  </w:style>
  <w:style w:type="paragraph" w:styleId="1239">
    <w:name w:val="正文大标题"/>
    <w:basedOn w:val="1237"/>
    <w:next w:val="1049"/>
    <w:link w:val="1240"/>
    <w:qFormat/>
    <w:pPr>
      <w:jc w:val="center"/>
    </w:pPr>
    <w:rPr>
      <w:i w:val="0"/>
      <w:color w:val="000000"/>
      <w:sz w:val="28"/>
      <w:szCs w:val="21"/>
    </w:rPr>
  </w:style>
  <w:style w:type="character" w:styleId="1240">
    <w:name w:val="正文大标题 Char"/>
    <w:next w:val="1240"/>
    <w:link w:val="1239"/>
    <w:qFormat/>
    <w:rPr>
      <w:rFonts w:ascii="宋体" w:hAnsi="宋体"/>
      <w:b/>
      <w:color w:val="000000"/>
      <w:sz w:val="28"/>
      <w:szCs w:val="21"/>
    </w:rPr>
  </w:style>
  <w:style w:type="paragraph" w:styleId="1241">
    <w:name w:val="注释"/>
    <w:basedOn w:val="1035"/>
    <w:next w:val="1241"/>
    <w:link w:val="1242"/>
    <w:qFormat/>
    <w:pPr>
      <w:ind w:left="420" w:hanging="420"/>
      <w:jc w:val="left"/>
    </w:pPr>
    <w:rPr>
      <w:rFonts w:ascii="宋体" w:hAnsi="宋体"/>
      <w:szCs w:val="21"/>
    </w:rPr>
  </w:style>
  <w:style w:type="character" w:styleId="1242">
    <w:name w:val="注释 Char"/>
    <w:next w:val="1242"/>
    <w:link w:val="1241"/>
    <w:qFormat/>
    <w:rPr>
      <w:rFonts w:ascii="宋体" w:hAnsi="宋体"/>
      <w:sz w:val="21"/>
      <w:szCs w:val="21"/>
    </w:rPr>
  </w:style>
  <w:style w:type="paragraph" w:styleId="1243">
    <w:name w:val="正文须知-1级"/>
    <w:basedOn w:val="1035"/>
    <w:next w:val="1035"/>
    <w:link w:val="1035"/>
    <w:qFormat/>
    <w:pPr>
      <w:numPr>
        <w:ilvl w:val="0"/>
        <w:numId w:val="7"/>
      </w:numPr>
      <w:spacing w:line="300" w:lineRule="auto"/>
    </w:pPr>
    <w:rPr>
      <w:rFonts w:ascii="宋体" w:hAnsi="Calibri"/>
      <w:sz w:val="24"/>
      <w:szCs w:val="21"/>
    </w:rPr>
  </w:style>
  <w:style w:type="paragraph" w:styleId="1244">
    <w:name w:val="正文须知-2级"/>
    <w:basedOn w:val="1035"/>
    <w:next w:val="1244"/>
    <w:link w:val="1035"/>
    <w:qFormat/>
    <w:pPr>
      <w:numPr>
        <w:ilvl w:val="1"/>
        <w:numId w:val="7"/>
      </w:numPr>
      <w:spacing w:line="300" w:lineRule="auto"/>
    </w:pPr>
    <w:rPr>
      <w:rFonts w:ascii="宋体" w:hAnsi="Calibri"/>
      <w:sz w:val="24"/>
      <w:szCs w:val="21"/>
    </w:rPr>
  </w:style>
  <w:style w:type="paragraph" w:styleId="1245">
    <w:name w:val="正文须知-3级"/>
    <w:basedOn w:val="1035"/>
    <w:next w:val="1245"/>
    <w:link w:val="1035"/>
    <w:qFormat/>
    <w:pPr>
      <w:numPr>
        <w:ilvl w:val="2"/>
        <w:numId w:val="7"/>
      </w:numPr>
      <w:ind w:hanging="355"/>
      <w:spacing w:line="300" w:lineRule="auto"/>
    </w:pPr>
    <w:rPr>
      <w:rFonts w:ascii="宋体" w:hAnsi="Calibri"/>
      <w:sz w:val="24"/>
      <w:szCs w:val="21"/>
    </w:rPr>
  </w:style>
  <w:style w:type="character" w:styleId="1246">
    <w:name w:val="纯文本 字符"/>
    <w:next w:val="1246"/>
    <w:link w:val="1035"/>
    <w:uiPriority w:val="99"/>
    <w:qFormat/>
    <w:rPr>
      <w:rFonts w:ascii="宋体" w:hAnsi="Courier New" w:eastAsia="宋体" w:cs="Times New Roman"/>
      <w:sz w:val="21"/>
      <w:szCs w:val="21"/>
      <w:lang w:val="en-US" w:eastAsia="zh-CN" w:bidi="ar-SA"/>
    </w:rPr>
  </w:style>
  <w:style w:type="paragraph" w:styleId="1247">
    <w:name w:val="表格1"/>
    <w:basedOn w:val="1035"/>
    <w:next w:val="1247"/>
    <w:link w:val="1035"/>
    <w:qFormat/>
    <w:pPr>
      <w:ind w:firstLine="480"/>
      <w:jc w:val="center"/>
    </w:pPr>
    <w:rPr>
      <w:sz w:val="24"/>
      <w:szCs w:val="20"/>
    </w:rPr>
  </w:style>
  <w:style w:type="character" w:styleId="1248">
    <w:name w:val="纯文本 字符1"/>
    <w:next w:val="1248"/>
    <w:link w:val="1035"/>
    <w:qFormat/>
    <w:rPr>
      <w:rFonts w:ascii="宋体" w:hAnsi="Courier New"/>
    </w:rPr>
  </w:style>
  <w:style w:type="character" w:styleId="1249">
    <w:name w:val="bjh-p"/>
    <w:next w:val="1249"/>
    <w:link w:val="1035"/>
    <w:qFormat/>
  </w:style>
  <w:style w:type="paragraph" w:styleId="1250">
    <w:name w:val="无标题条"/>
    <w:next w:val="1035"/>
    <w:link w:val="1035"/>
    <w:qFormat/>
    <w:pPr>
      <w:jc w:val="both"/>
    </w:pPr>
    <w:rPr>
      <w:sz w:val="21"/>
      <w:lang w:val="en-US" w:eastAsia="zh-CN" w:bidi="ar-SA"/>
    </w:rPr>
  </w:style>
  <w:style w:type="character" w:styleId="1251">
    <w:name w:val="正文格式 Char"/>
    <w:next w:val="1251"/>
    <w:link w:val="1252"/>
    <w:qFormat/>
    <w:rPr>
      <w:rFonts w:ascii="宋体" w:hAnsi="宋体"/>
      <w:sz w:val="24"/>
      <w:szCs w:val="24"/>
      <w:lang w:val="en-GB"/>
    </w:rPr>
  </w:style>
  <w:style w:type="paragraph" w:styleId="1252">
    <w:name w:val="正文格式"/>
    <w:basedOn w:val="1035"/>
    <w:next w:val="1252"/>
    <w:link w:val="1251"/>
    <w:qFormat/>
    <w:pPr>
      <w:ind w:firstLine="480"/>
      <w:spacing w:line="360" w:lineRule="auto"/>
    </w:pPr>
    <w:rPr>
      <w:rFonts w:ascii="宋体" w:hAnsi="宋体"/>
      <w:sz w:val="24"/>
      <w:lang w:val="en-GB"/>
    </w:rPr>
  </w:style>
  <w:style w:type="character" w:styleId="1253">
    <w:name w:val="标题 3 Char"/>
    <w:next w:val="1253"/>
    <w:link w:val="1035"/>
    <w:qFormat/>
    <w:rPr>
      <w:rFonts w:ascii="宋体" w:eastAsia="宋体"/>
      <w:b/>
      <w:sz w:val="24"/>
      <w:u w:val="single"/>
      <w:lang w:val="en-US" w:eastAsia="zh-CN" w:bidi="ar-SA"/>
    </w:rPr>
  </w:style>
  <w:style w:type="character" w:styleId="1254">
    <w:name w:val="正文缩进 Char"/>
    <w:next w:val="1254"/>
    <w:link w:val="1035"/>
    <w:qFormat/>
    <w:rPr>
      <w:rFonts w:ascii="宋体" w:eastAsia="宋体"/>
      <w:sz w:val="24"/>
      <w:szCs w:val="24"/>
      <w:lang w:val="en-US" w:eastAsia="zh-CN" w:bidi="ar-SA"/>
    </w:rPr>
  </w:style>
  <w:style w:type="character" w:styleId="1255">
    <w:name w:val="Char Char111"/>
    <w:next w:val="1255"/>
    <w:link w:val="1035"/>
    <w:qFormat/>
    <w:rPr>
      <w:rFonts w:ascii="宋体" w:eastAsia="宋体"/>
      <w:b/>
      <w:sz w:val="24"/>
      <w:u w:val="single"/>
      <w:lang w:val="en-US" w:eastAsia="zh-CN" w:bidi="ar-SA"/>
    </w:rPr>
  </w:style>
  <w:style w:type="character" w:styleId="1256">
    <w:name w:val="正文文本缩进 Char"/>
    <w:next w:val="1256"/>
    <w:link w:val="1035"/>
    <w:qFormat/>
    <w:rPr>
      <w:rFonts w:eastAsia="宋体"/>
      <w:sz w:val="24"/>
      <w:szCs w:val="24"/>
      <w:lang w:val="en-US" w:eastAsia="zh-CN" w:bidi="ar-SA"/>
    </w:rPr>
  </w:style>
  <w:style w:type="character" w:styleId="1257">
    <w:name w:val="列出段落 Char"/>
    <w:next w:val="1257"/>
    <w:link w:val="1035"/>
    <w:qFormat/>
    <w:rPr>
      <w:rFonts w:ascii="Calibri" w:hAnsi="Calibri" w:eastAsia="宋体"/>
      <w:sz w:val="21"/>
      <w:szCs w:val="22"/>
      <w:lang w:val="en-US" w:eastAsia="zh-CN" w:bidi="ar-SA"/>
    </w:rPr>
  </w:style>
  <w:style w:type="character" w:styleId="1258">
    <w:name w:val="页眉 Char"/>
    <w:next w:val="1258"/>
    <w:link w:val="1035"/>
    <w:qFormat/>
    <w:rPr>
      <w:rFonts w:eastAsia="宋体"/>
      <w:sz w:val="18"/>
      <w:szCs w:val="18"/>
      <w:lang w:val="en-US" w:eastAsia="zh-CN" w:bidi="ar-SA"/>
    </w:rPr>
  </w:style>
  <w:style w:type="character" w:styleId="1259">
    <w:name w:val="标题 2 Char"/>
    <w:next w:val="1259"/>
    <w:link w:val="1035"/>
    <w:qFormat/>
    <w:rPr>
      <w:rFonts w:ascii="Arial" w:hAnsi="Arial" w:eastAsia="黑体"/>
      <w:b/>
      <w:sz w:val="30"/>
      <w:lang w:val="en-US" w:eastAsia="zh-CN" w:bidi="ar-SA"/>
    </w:rPr>
  </w:style>
  <w:style w:type="paragraph" w:styleId="1260">
    <w:name w:val="字元 字元2"/>
    <w:basedOn w:val="1035"/>
    <w:next w:val="1260"/>
    <w:link w:val="1035"/>
    <w:qFormat/>
    <w:rPr>
      <w:rFonts w:ascii="Tahoma" w:hAnsi="Tahoma"/>
      <w:sz w:val="24"/>
      <w:szCs w:val="20"/>
    </w:rPr>
  </w:style>
  <w:style w:type="paragraph" w:styleId="1261">
    <w:name w:val="Char3 Char Char Char2"/>
    <w:basedOn w:val="1035"/>
    <w:next w:val="1261"/>
    <w:link w:val="1035"/>
    <w:qFormat/>
    <w:rPr>
      <w:rFonts w:ascii="Tahoma" w:hAnsi="Tahoma"/>
      <w:sz w:val="24"/>
      <w:szCs w:val="20"/>
    </w:rPr>
  </w:style>
  <w:style w:type="paragraph" w:styleId="1262">
    <w:name w:val="正文文本缩进2"/>
    <w:basedOn w:val="1035"/>
    <w:next w:val="1262"/>
    <w:link w:val="1035"/>
    <w:qFormat/>
    <w:pPr>
      <w:ind w:firstLine="480"/>
      <w:spacing w:line="480" w:lineRule="exact"/>
    </w:pPr>
    <w:rPr>
      <w:rFonts w:ascii="宋体" w:hAnsi="宋体"/>
      <w:sz w:val="24"/>
      <w:lang w:val="zh-CN" w:eastAsia="zh-CN"/>
    </w:rPr>
  </w:style>
  <w:style w:type="paragraph" w:styleId="1263">
    <w:name w:val="Char3"/>
    <w:basedOn w:val="1035"/>
    <w:next w:val="1263"/>
    <w:link w:val="1035"/>
    <w:qFormat/>
    <w:pPr>
      <w:tabs>
        <w:tab w:val="left" w:pos="360" w:leader="none"/>
      </w:tabs>
    </w:pPr>
    <w:rPr>
      <w:sz w:val="24"/>
    </w:rPr>
  </w:style>
  <w:style w:type="paragraph" w:styleId="1264">
    <w:name w:val="Char Char Char Char Char Char Char Char Char Char Char Char Char Char Char Char1"/>
    <w:basedOn w:val="1035"/>
    <w:next w:val="1264"/>
    <w:link w:val="1035"/>
    <w:qFormat/>
    <w:pPr>
      <w:jc w:val="center"/>
      <w:spacing w:after="160" w:line="240" w:lineRule="exact"/>
      <w:widowControl/>
    </w:pPr>
    <w:rPr>
      <w:rFonts w:ascii="宋体" w:hAnsi="宋体"/>
      <w:b/>
      <w:sz w:val="30"/>
      <w:szCs w:val="30"/>
      <w:lang w:eastAsia="en-US"/>
    </w:rPr>
  </w:style>
  <w:style w:type="paragraph" w:styleId="1265">
    <w:name w:val="Char Char1 Char Char Char Char Char Char1"/>
    <w:basedOn w:val="1035"/>
    <w:next w:val="1265"/>
    <w:link w:val="1035"/>
    <w:qFormat/>
    <w:pPr>
      <w:jc w:val="left"/>
      <w:spacing w:after="160" w:line="240" w:lineRule="exact"/>
      <w:widowControl/>
    </w:pPr>
    <w:rPr>
      <w:rFonts w:ascii="Verdana" w:hAnsi="Verdana" w:eastAsia="仿宋_GB2312"/>
      <w:sz w:val="24"/>
      <w:szCs w:val="20"/>
      <w:lang w:eastAsia="en-US"/>
    </w:rPr>
  </w:style>
  <w:style w:type="paragraph" w:styleId="1266">
    <w:name w:val="列出段落2"/>
    <w:basedOn w:val="1035"/>
    <w:next w:val="1266"/>
    <w:link w:val="1035"/>
    <w:qFormat/>
    <w:pPr>
      <w:ind w:firstLine="420"/>
    </w:pPr>
    <w:rPr>
      <w:rFonts w:ascii="Calibri" w:hAnsi="Calibri"/>
      <w:szCs w:val="22"/>
    </w:rPr>
  </w:style>
  <w:style w:type="paragraph" w:styleId="1267">
    <w:name w:val="Char Char Char1 Char2"/>
    <w:basedOn w:val="1035"/>
    <w:next w:val="1267"/>
    <w:link w:val="1035"/>
    <w:qFormat/>
    <w:rPr>
      <w:rFonts w:ascii="Tahoma" w:hAnsi="Tahoma"/>
      <w:sz w:val="24"/>
      <w:szCs w:val="20"/>
    </w:rPr>
  </w:style>
  <w:style w:type="paragraph" w:styleId="1268">
    <w:name w:val="Char Char Char2"/>
    <w:basedOn w:val="1035"/>
    <w:next w:val="1268"/>
    <w:link w:val="1035"/>
    <w:qFormat/>
    <w:rPr>
      <w:rFonts w:ascii="Tahoma" w:hAnsi="Tahoma"/>
      <w:sz w:val="24"/>
      <w:szCs w:val="20"/>
    </w:rPr>
  </w:style>
  <w:style w:type="paragraph" w:styleId="1269">
    <w:name w:val="Char Char Char Char Char Char Char2"/>
    <w:basedOn w:val="1035"/>
    <w:next w:val="1269"/>
    <w:link w:val="1035"/>
    <w:qFormat/>
    <w:pPr>
      <w:ind w:firstLine="200"/>
      <w:spacing w:line="360" w:lineRule="auto"/>
    </w:pPr>
    <w:rPr>
      <w:rFonts w:eastAsia="仿宋_GB2312"/>
      <w:sz w:val="24"/>
    </w:rPr>
  </w:style>
  <w:style w:type="paragraph" w:styleId="1270">
    <w:name w:val="正文缩进2"/>
    <w:basedOn w:val="1035"/>
    <w:next w:val="1270"/>
    <w:link w:val="1035"/>
    <w:qFormat/>
    <w:pPr>
      <w:ind w:firstLine="567"/>
      <w:spacing w:line="480" w:lineRule="exact"/>
      <w:widowControl/>
    </w:pPr>
    <w:rPr>
      <w:rFonts w:ascii="宋体"/>
      <w:color w:val="000000"/>
      <w:sz w:val="28"/>
      <w:szCs w:val="20"/>
      <w:lang w:val="zh-CN" w:eastAsia="zh-CN"/>
    </w:rPr>
  </w:style>
  <w:style w:type="paragraph" w:styleId="1271">
    <w:name w:val="Revision"/>
    <w:next w:val="1271"/>
    <w:link w:val="1035"/>
    <w:qFormat/>
    <w:rPr>
      <w:sz w:val="21"/>
      <w:szCs w:val="24"/>
      <w:lang w:val="en-US" w:eastAsia="zh-CN" w:bidi="ar-SA"/>
    </w:rPr>
  </w:style>
  <w:style w:type="paragraph" w:styleId="1272">
    <w:name w:val="Char22"/>
    <w:basedOn w:val="1035"/>
    <w:next w:val="1272"/>
    <w:link w:val="1035"/>
    <w:qFormat/>
    <w:rPr>
      <w:rFonts w:ascii="Tahoma" w:hAnsi="Tahoma"/>
      <w:sz w:val="24"/>
      <w:szCs w:val="20"/>
    </w:rPr>
  </w:style>
  <w:style w:type="paragraph" w:styleId="1273">
    <w:name w:val="Char Char Char Char Char Char Char Char Char Char2"/>
    <w:basedOn w:val="1035"/>
    <w:next w:val="1273"/>
    <w:link w:val="1035"/>
    <w:qFormat/>
    <w:rPr>
      <w:rFonts w:ascii="宋体" w:hAnsi="宋体" w:cs="Courier New"/>
      <w:sz w:val="32"/>
      <w:szCs w:val="32"/>
    </w:rPr>
  </w:style>
  <w:style w:type="paragraph" w:styleId="1274">
    <w:name w:val="Char2 Char Char Char Char Char Char1"/>
    <w:basedOn w:val="1035"/>
    <w:next w:val="1274"/>
    <w:link w:val="1035"/>
    <w:qFormat/>
    <w:pPr>
      <w:jc w:val="center"/>
      <w:spacing w:line="400" w:lineRule="exact"/>
      <w:widowControl/>
    </w:pPr>
  </w:style>
  <w:style w:type="character" w:styleId="1275">
    <w:name w:val="页脚 Char"/>
    <w:next w:val="1275"/>
    <w:link w:val="1035"/>
    <w:qFormat/>
    <w:rPr>
      <w:rFonts w:ascii="宋体" w:eastAsia="宋体"/>
      <w:sz w:val="18"/>
      <w:lang w:val="en-US" w:eastAsia="zh-CN" w:bidi="ar-SA"/>
    </w:rPr>
  </w:style>
  <w:style w:type="paragraph" w:styleId="1276">
    <w:name w:val="Char Char41"/>
    <w:basedOn w:val="1035"/>
    <w:next w:val="1276"/>
    <w:link w:val="1035"/>
    <w:qFormat/>
    <w:pPr>
      <w:jc w:val="center"/>
      <w:spacing w:line="400" w:lineRule="exact"/>
      <w:widowControl/>
    </w:pPr>
  </w:style>
  <w:style w:type="character" w:styleId="1277">
    <w:name w:val="批注文字 Char"/>
    <w:next w:val="1277"/>
    <w:link w:val="1035"/>
    <w:uiPriority w:val="99"/>
    <w:qFormat/>
    <w:rPr>
      <w:sz w:val="21"/>
      <w:szCs w:val="24"/>
    </w:rPr>
  </w:style>
  <w:style w:type="character" w:styleId="1278">
    <w:name w:val="标题 Char"/>
    <w:next w:val="1278"/>
    <w:link w:val="1035"/>
    <w:qFormat/>
    <w:rPr>
      <w:b/>
      <w:sz w:val="32"/>
    </w:rPr>
  </w:style>
  <w:style w:type="paragraph" w:styleId="1279">
    <w:name w:val="图例"/>
    <w:basedOn w:val="1035"/>
    <w:next w:val="1279"/>
    <w:link w:val="1035"/>
    <w:qFormat/>
    <w:pPr>
      <w:jc w:val="center"/>
      <w:spacing w:before="120" w:after="120" w:line="360" w:lineRule="auto"/>
    </w:pPr>
    <w:rPr>
      <w:rFonts w:eastAsia="仿宋_GB2312"/>
      <w:b/>
      <w:sz w:val="24"/>
      <w:szCs w:val="20"/>
    </w:rPr>
  </w:style>
  <w:style w:type="table" w:styleId="1280">
    <w:name w:val="Table Normal"/>
    <w:next w:val="1280"/>
    <w:link w:val="1035"/>
    <w:uiPriority w:val="2"/>
    <w:unhideWhenUsed/>
    <w:qFormat/>
    <w:pPr>
      <w:widowControl w:val="off"/>
    </w:pPr>
    <w:rPr>
      <w:rFonts w:ascii="Calibri" w:hAnsi="Calibri"/>
      <w:sz w:val="22"/>
      <w:szCs w:val="22"/>
      <w:lang w:val="en-US" w:eastAsia="en-US" w:bidi="ar-SA"/>
    </w:rPr>
    <w:tblPr/>
  </w:style>
  <w:style w:type="paragraph" w:styleId="1281">
    <w:name w:val="Table Paragraph"/>
    <w:basedOn w:val="1035"/>
    <w:next w:val="1281"/>
    <w:link w:val="1035"/>
    <w:uiPriority w:val="1"/>
    <w:qFormat/>
    <w:pPr>
      <w:jc w:val="left"/>
    </w:pPr>
    <w:rPr>
      <w:rFonts w:ascii="宋体" w:hAnsi="宋体" w:cs="宋体"/>
      <w:sz w:val="22"/>
      <w:szCs w:val="22"/>
      <w:lang w:eastAsia="en-US"/>
    </w:rPr>
  </w:style>
  <w:style w:type="paragraph" w:styleId="1282">
    <w:name w:val="成文日期"/>
    <w:basedOn w:val="1035"/>
    <w:next w:val="1282"/>
    <w:link w:val="1283"/>
    <w:qFormat/>
    <w:pPr>
      <w:ind w:right="400" w:firstLine="200"/>
      <w:jc w:val="right"/>
      <w:spacing w:line="570" w:lineRule="exact"/>
    </w:pPr>
    <w:rPr>
      <w:rFonts w:ascii="仿宋_GB2312" w:eastAsia="仿宋_GB2312"/>
      <w:sz w:val="32"/>
      <w:szCs w:val="20"/>
    </w:rPr>
  </w:style>
  <w:style w:type="character" w:styleId="1283">
    <w:name w:val="成文日期 Char"/>
    <w:next w:val="1283"/>
    <w:link w:val="1282"/>
    <w:rPr>
      <w:rFonts w:ascii="仿宋_GB2312" w:eastAsia="仿宋_GB2312"/>
      <w:sz w:val="32"/>
    </w:rPr>
  </w:style>
  <w:style w:type="paragraph" w:styleId="1284">
    <w:name w:val="修订"/>
    <w:next w:val="1284"/>
    <w:link w:val="1035"/>
    <w:uiPriority w:val="99"/>
    <w:unhideWhenUsed/>
    <w:rPr>
      <w:sz w:val="21"/>
      <w:szCs w:val="24"/>
      <w:lang w:val="en-US" w:eastAsia="zh-CN" w:bidi="ar-SA"/>
    </w:rPr>
  </w:style>
  <w:style w:type="character" w:styleId="1285">
    <w:name w:val="正文缩进 字符"/>
    <w:next w:val="1285"/>
    <w:link w:val="1035"/>
    <w:uiPriority w:val="99"/>
    <w:qFormat/>
    <w:rPr>
      <w:rFonts w:ascii="宋体" w:hAnsi="Times New Roman" w:eastAsia="宋体" w:cs="Times New Roman"/>
      <w:sz w:val="24"/>
    </w:rPr>
  </w:style>
  <w:style w:type="character" w:styleId="1286">
    <w:name w:val="正文文本 字符"/>
    <w:next w:val="1286"/>
    <w:link w:val="1035"/>
    <w:qFormat/>
    <w:rPr>
      <w:rFonts w:ascii="宋体" w:hAnsi="宋体"/>
      <w:sz w:val="24"/>
      <w:szCs w:val="24"/>
    </w:rPr>
  </w:style>
  <w:style w:type="paragraph" w:styleId="1287">
    <w:name w:val="纯文本1"/>
    <w:next w:val="1088"/>
    <w:link w:val="1035"/>
    <w:qFormat/>
    <w:pPr>
      <w:jc w:val="both"/>
      <w:widowControl w:val="off"/>
    </w:pPr>
    <w:rPr>
      <w:rFonts w:ascii="宋体" w:hAnsi="宋体"/>
      <w:sz w:val="26"/>
      <w:szCs w:val="24"/>
      <w:lang w:val="en-US" w:eastAsia="zh-CN" w:bidi="ar-SA"/>
    </w:rPr>
  </w:style>
  <w:style w:type="paragraph" w:styleId="1288">
    <w:name w:val="AONormal"/>
    <w:next w:val="1288"/>
    <w:link w:val="1035"/>
    <w:qFormat/>
    <w:pPr>
      <w:ind w:firstLine="440"/>
      <w:spacing w:line="400" w:lineRule="exact"/>
    </w:pPr>
    <w:rPr>
      <w:rFonts w:ascii="华文楷体" w:hAnsi="华文楷体" w:eastAsia="华文楷体" w:cs="华文楷体"/>
      <w:sz w:val="22"/>
      <w:szCs w:val="21"/>
      <w:lang w:val="en-US" w:eastAsia="zh-CN" w:bidi="ar-SA"/>
    </w:rPr>
  </w:style>
  <w:style w:type="paragraph" w:styleId="1289">
    <w:name w:val="标题 41"/>
    <w:basedOn w:val="1035"/>
    <w:next w:val="1035"/>
    <w:link w:val="1035"/>
    <w:qFormat/>
    <w:pPr>
      <w:keepLines/>
      <w:keepNext/>
      <w:spacing w:before="280" w:after="290" w:line="376" w:lineRule="atLeast"/>
      <w:outlineLvl w:val="3"/>
    </w:pPr>
    <w:rPr>
      <w:rFonts w:ascii="Arial" w:hAnsi="Arial" w:eastAsia="黑体"/>
      <w:b/>
      <w:sz w:val="28"/>
      <w:szCs w:val="20"/>
    </w:rPr>
  </w:style>
  <w:style w:type="paragraph" w:styleId="1290">
    <w:name w:val="正文 A"/>
    <w:next w:val="1290"/>
    <w:link w:val="1035"/>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291" w:default="1">
    <w:name w:val="Default Paragraph Font"/>
    <w:uiPriority w:val="1"/>
    <w:semiHidden/>
    <w:unhideWhenUsed/>
  </w:style>
  <w:style w:type="numbering" w:styleId="1292" w:default="1">
    <w:name w:val="No List"/>
    <w:uiPriority w:val="99"/>
    <w:semiHidden/>
    <w:unhideWhenUsed/>
  </w:style>
  <w:style w:type="table" w:styleId="12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季栋</cp:lastModifiedBy>
  <cp:revision>8</cp:revision>
  <dcterms:created xsi:type="dcterms:W3CDTF">2022-05-30T08:08:00Z</dcterms:created>
  <dcterms:modified xsi:type="dcterms:W3CDTF">2026-05-21T02:00:20Z</dcterms:modified>
</cp:coreProperties>
</file>