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2"/>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2"/>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2"/>
        <w:ind w:firstLine="0"/>
        <w:jc w:val="center"/>
        <w:shd w:val="clear" w:color="auto"/>
        <w:rPr>
          <w:rFonts w:hint="eastAsia" w:ascii="宋体" w:hAnsi="宋体" w:eastAsia="宋体" w:cs="宋体"/>
          <w:b/>
          <w:bCs/>
          <w:color w:val="auto"/>
          <w:sz w:val="84"/>
          <w:highlight w:val="none"/>
        </w:rPr>
      </w:pPr>
      <w:r>
        <w:rPr>
          <w:rFonts w:hint="eastAsia" w:ascii="宋体" w:hAnsi="宋体" w:eastAsia="宋体" w:cs="宋体"/>
          <w:color w:val="auto"/>
          <w:highlight w:val="none"/>
        </w:rPr>
        <w:t xml:space="preserve"> </w:t>
      </w:r>
      <w:r>
        <w:rPr>
          <w:rFonts w:hint="eastAsia" w:ascii="宋体" w:hAnsi="宋体" w:eastAsia="宋体" w:cs="宋体"/>
          <w:b/>
          <w:bCs/>
          <w:color w:val="auto"/>
          <w:sz w:val="84"/>
          <w:highlight w:val="none"/>
        </w:rPr>
        <w:t xml:space="preserve">招  标  文  件</w:t>
      </w:r>
      <w:r/>
    </w:p>
    <w:p>
      <w:pPr>
        <w:pStyle w:val="962"/>
        <w:ind w:left="0" w:firstLine="0"/>
        <w:jc w:val="center"/>
        <w:rPr>
          <w:rFonts w:hint="eastAsia" w:ascii="宋体" w:hAnsi="宋体" w:eastAsia="宋体" w:cs="宋体"/>
          <w:b/>
          <w:bCs/>
          <w:caps w:val="0"/>
          <w:color w:val="auto"/>
          <w:sz w:val="32"/>
        </w:rPr>
      </w:pPr>
      <w:r>
        <w:rPr>
          <w:rFonts w:hint="eastAsia" w:ascii="宋体" w:hAnsi="宋体" w:eastAsia="宋体" w:cs="宋体"/>
          <w:b/>
          <w:bCs/>
          <w:caps w:val="0"/>
          <w:color w:val="auto"/>
          <w:sz w:val="32"/>
        </w:rPr>
      </w:r>
      <w:r/>
    </w:p>
    <w:p>
      <w:pPr>
        <w:pStyle w:val="962"/>
        <w:ind w:left="0" w:firstLine="0"/>
        <w:jc w:val="center"/>
        <w:rPr>
          <w:rFonts w:hint="eastAsia" w:ascii="宋体" w:hAnsi="宋体" w:eastAsia="宋体" w:cs="宋体"/>
          <w:b/>
          <w:bCs/>
          <w:caps w:val="0"/>
          <w:color w:val="auto"/>
          <w:sz w:val="32"/>
          <w:lang w:eastAsia="zh-CN"/>
        </w:rPr>
      </w:pPr>
      <w:r>
        <w:rPr>
          <w:rFonts w:hint="eastAsia" w:ascii="宋体" w:hAnsi="宋体" w:eastAsia="宋体" w:cs="宋体"/>
          <w:b/>
          <w:bCs/>
          <w:caps w:val="0"/>
          <w:color w:val="auto"/>
          <w:sz w:val="32"/>
        </w:rPr>
        <w:t xml:space="preserve">项目名称：</w:t>
      </w:r>
      <w:r>
        <w:rPr>
          <w:rFonts w:hint="eastAsia" w:ascii="宋体" w:hAnsi="宋体" w:eastAsia="宋体" w:cs="宋体"/>
          <w:b/>
          <w:bCs/>
          <w:caps w:val="0"/>
          <w:color w:val="auto"/>
          <w:sz w:val="32"/>
          <w:lang w:eastAsia="zh-CN"/>
        </w:rPr>
        <w:t xml:space="preserve">宿迁学院新校区南食堂大厅家具采购项目</w:t>
      </w:r>
      <w:r/>
    </w:p>
    <w:p>
      <w:pPr>
        <w:jc w:val="center"/>
        <w:rPr>
          <w:rFonts w:hint="eastAsia" w:ascii="宋体" w:hAnsi="宋体" w:eastAsia="宋体" w:cs="宋体"/>
          <w:b/>
          <w:caps w:val="0"/>
          <w:color w:val="auto"/>
          <w:sz w:val="30"/>
          <w:szCs w:val="30"/>
        </w:rPr>
      </w:pPr>
      <w:r>
        <w:rPr>
          <w:rFonts w:hint="eastAsia" w:ascii="宋体" w:hAnsi="宋体" w:eastAsia="宋体" w:cs="宋体"/>
          <w:b/>
          <w:bCs/>
          <w:caps w:val="0"/>
          <w:color w:val="auto"/>
          <w:sz w:val="32"/>
        </w:rPr>
        <w:t xml:space="preserve">项目编号：</w:t>
      </w:r>
      <w:r>
        <w:rPr>
          <w:rFonts w:hint="eastAsia" w:ascii="宋体" w:hAnsi="宋体" w:eastAsia="宋体" w:cs="宋体"/>
          <w:b/>
          <w:bCs/>
          <w:caps w:val="0"/>
          <w:color w:val="auto"/>
          <w:sz w:val="32"/>
          <w:lang w:val="en-US" w:eastAsia="zh-CN"/>
        </w:rPr>
        <w:t xml:space="preserve">JSZC-321300-SSJT-G2026-0040</w:t>
      </w:r>
      <w:r/>
    </w:p>
    <w:p>
      <w:pPr>
        <w:jc w:val="center"/>
        <w:rPr>
          <w:rFonts w:hint="eastAsia" w:ascii="宋体" w:hAnsi="宋体" w:eastAsia="宋体" w:cs="宋体"/>
          <w:b/>
          <w:caps w:val="0"/>
          <w:color w:val="auto"/>
          <w:sz w:val="30"/>
          <w:szCs w:val="30"/>
        </w:rPr>
      </w:pPr>
      <w:r>
        <w:rPr>
          <w:rFonts w:hint="eastAsia" w:ascii="宋体" w:hAnsi="宋体" w:eastAsia="宋体" w:cs="宋体"/>
          <w:b/>
          <w:caps w:val="0"/>
          <w:color w:val="auto"/>
          <w:sz w:val="30"/>
          <w:szCs w:val="30"/>
        </w:rPr>
      </w:r>
      <w:r/>
    </w:p>
    <w:p>
      <w:pPr>
        <w:jc w:val="center"/>
        <w:rPr>
          <w:rFonts w:hint="eastAsia" w:ascii="宋体" w:hAnsi="宋体" w:eastAsia="宋体" w:cs="宋体"/>
          <w:b/>
          <w:caps w:val="0"/>
          <w:color w:val="auto"/>
          <w:sz w:val="30"/>
          <w:szCs w:val="30"/>
        </w:rPr>
      </w:pPr>
      <w:r>
        <w:rPr>
          <w:rFonts w:hint="eastAsia" w:ascii="宋体" w:hAnsi="宋体" w:eastAsia="宋体" w:cs="宋体"/>
          <w:b/>
          <w:caps w:val="0"/>
          <w:color w:val="auto"/>
          <w:sz w:val="30"/>
          <w:szCs w:val="30"/>
        </w:rPr>
        <w:t xml:space="preserve">（</w:t>
      </w:r>
      <w:r>
        <w:rPr>
          <w:rFonts w:hint="eastAsia" w:ascii="宋体" w:hAnsi="宋体" w:eastAsia="宋体" w:cs="宋体"/>
          <w:b/>
          <w:caps w:val="0"/>
          <w:color w:val="auto"/>
          <w:sz w:val="30"/>
          <w:szCs w:val="30"/>
          <w:lang w:val="en-US" w:eastAsia="zh-CN"/>
        </w:rPr>
        <w:t xml:space="preserve">货物</w:t>
      </w:r>
      <w:r>
        <w:rPr>
          <w:rFonts w:hint="eastAsia" w:ascii="宋体" w:hAnsi="宋体" w:eastAsia="宋体" w:cs="宋体"/>
          <w:b/>
          <w:caps w:val="0"/>
          <w:color w:val="auto"/>
          <w:sz w:val="30"/>
          <w:szCs w:val="30"/>
        </w:rPr>
        <w:t xml:space="preserve">类项目，专门面向中小企业）</w:t>
      </w:r>
      <w:r/>
    </w:p>
    <w:p>
      <w:pPr>
        <w:pStyle w:val="962"/>
        <w:ind w:firstLine="0"/>
        <w:jc w:val="center"/>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left="0" w:firstLine="0"/>
        <w:jc w:val="center"/>
        <w:rPr>
          <w:rFonts w:hint="eastAsia" w:ascii="宋体" w:hAnsi="宋体" w:eastAsia="宋体" w:cs="宋体"/>
          <w:b/>
          <w:bCs/>
          <w:caps w:val="0"/>
          <w:color w:val="auto"/>
          <w:sz w:val="32"/>
          <w:lang w:val="en-US" w:eastAsia="zh-CN"/>
        </w:rPr>
      </w:pPr>
      <w:r>
        <w:rPr>
          <w:rFonts w:hint="eastAsia" w:ascii="宋体" w:hAnsi="宋体" w:eastAsia="宋体" w:cs="宋体"/>
          <w:b/>
          <w:bCs/>
          <w:caps w:val="0"/>
          <w:color w:val="auto"/>
          <w:sz w:val="32"/>
          <w:lang w:val="en-US" w:eastAsia="zh-CN"/>
        </w:rPr>
        <w:t xml:space="preserve">采购人：宿迁学院</w:t>
      </w:r>
      <w:r/>
    </w:p>
    <w:p>
      <w:pPr>
        <w:pStyle w:val="962"/>
        <w:ind w:left="0" w:firstLine="0"/>
        <w:jc w:val="center"/>
        <w:rPr>
          <w:rFonts w:hint="eastAsia" w:ascii="宋体" w:hAnsi="宋体" w:eastAsia="宋体" w:cs="宋体"/>
          <w:b/>
          <w:bCs/>
          <w:caps w:val="0"/>
          <w:color w:val="auto"/>
          <w:sz w:val="32"/>
          <w:lang w:val="en-US" w:eastAsia="zh-CN"/>
        </w:rPr>
      </w:pPr>
      <w:r>
        <w:rPr>
          <w:rFonts w:hint="eastAsia" w:ascii="宋体" w:hAnsi="宋体" w:eastAsia="宋体" w:cs="宋体"/>
          <w:b/>
          <w:bCs/>
          <w:caps w:val="0"/>
          <w:color w:val="auto"/>
          <w:sz w:val="32"/>
          <w:lang w:val="en-US" w:eastAsia="zh-CN"/>
        </w:rPr>
        <w:t xml:space="preserve">采购代理机构：苏世建设管理集团有限公司</w:t>
      </w:r>
      <w:r/>
    </w:p>
    <w:p>
      <w:pPr>
        <w:pStyle w:val="962"/>
        <w:ind w:left="0" w:firstLine="0"/>
        <w:jc w:val="center"/>
        <w:rPr>
          <w:rFonts w:hint="eastAsia" w:ascii="宋体" w:hAnsi="宋体" w:eastAsia="宋体" w:cs="宋体"/>
          <w:b/>
          <w:bCs/>
          <w:caps w:val="0"/>
          <w:color w:val="auto"/>
          <w:sz w:val="32"/>
        </w:rPr>
      </w:pPr>
      <w:r>
        <w:rPr>
          <w:rFonts w:hint="eastAsia" w:ascii="宋体" w:hAnsi="宋体" w:eastAsia="宋体" w:cs="宋体"/>
          <w:b/>
          <w:bCs/>
          <w:caps w:val="0"/>
          <w:color w:val="auto"/>
          <w:sz w:val="32"/>
          <w:lang w:val="en-US" w:eastAsia="zh-CN"/>
        </w:rPr>
        <w:t xml:space="preserve">2026年6月25日</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80" w:lineRule="auto"/>
        <w:shd w:val="clear" w:color="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总  目  录</w:t>
      </w:r>
      <w:r/>
    </w:p>
    <w:p>
      <w:pPr>
        <w:spacing w:line="480" w:lineRule="auto"/>
        <w:shd w:val="clear" w:color="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799"/>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b/>
          <w:color w:val="auto"/>
          <w:sz w:val="56"/>
          <w:szCs w:val="56"/>
          <w:highlight w:val="none"/>
        </w:rPr>
        <w:fldChar w:fldCharType="begin"/>
      </w:r>
      <w:r>
        <w:rPr>
          <w:rFonts w:hint="eastAsia" w:ascii="宋体" w:hAnsi="宋体" w:eastAsia="宋体" w:cs="宋体"/>
          <w:b/>
          <w:color w:val="auto"/>
          <w:sz w:val="56"/>
          <w:szCs w:val="56"/>
          <w:highlight w:val="none"/>
        </w:rPr>
        <w:instrText xml:space="preserve">TOC \o "1-1" \h \u </w:instrText>
      </w:r>
      <w:r>
        <w:rPr>
          <w:rFonts w:hint="eastAsia" w:ascii="宋体" w:hAnsi="宋体" w:eastAsia="宋体" w:cs="宋体"/>
          <w:b/>
          <w:color w:val="auto"/>
          <w:sz w:val="56"/>
          <w:szCs w:val="56"/>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"_Toc15550"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第一章  投标邀请</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_Toc15550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3</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99"/>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"_Toc6971"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56"/>
          <w:highlight w:val="none"/>
        </w:rPr>
        <w:t xml:space="preserve">第二章  投标人须知</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_Toc6971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6</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99"/>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"_Toc8406"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第三章  合同文本</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_Toc8406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25</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99"/>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"_Toc30589"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第四章  采购需求</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_Toc30589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36</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99"/>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"_Toc7441"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第五章  评标方法与评标标准</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_Toc7441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77</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99"/>
        <w:shd w:val="clear" w:color="auto"/>
        <w:tabs>
          <w:tab w:val="right" w:pos="8953" w:leader="dot"/>
        </w:tabs>
        <w:rPr>
          <w:rFonts w:hint="eastAsia" w:ascii="宋体" w:hAnsi="宋体" w:eastAsia="宋体" w:cs="宋体"/>
          <w:b/>
          <w:color w:val="auto"/>
          <w:sz w:val="24"/>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"_Toc20454"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第六章  投标文件格式</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_Toc20454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82</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shd w:val="clear" w:color="auto"/>
        <w:rPr>
          <w:rFonts w:hint="eastAsia" w:ascii="宋体" w:hAnsi="宋体" w:eastAsia="宋体" w:cs="宋体"/>
          <w:b/>
          <w:bCs/>
          <w:color w:val="auto"/>
          <w:sz w:val="22"/>
          <w:szCs w:val="40"/>
          <w:highlight w:val="none"/>
        </w:rPr>
      </w:pPr>
      <w:r>
        <w:rPr>
          <w:rFonts w:hint="eastAsia" w:ascii="宋体" w:hAnsi="宋体" w:eastAsia="宋体" w:cs="宋体"/>
          <w:b/>
          <w:color w:val="auto"/>
          <w:sz w:val="24"/>
          <w:szCs w:val="48"/>
          <w:highlight w:val="none"/>
        </w:rPr>
        <w:fldChar w:fldCharType="end"/>
      </w:r>
      <w:r/>
    </w:p>
    <w:p>
      <w:pPr>
        <w:shd w:val="clear" w:color="auto"/>
        <w:rPr>
          <w:rFonts w:hint="eastAsia" w:ascii="宋体" w:hAnsi="宋体" w:eastAsia="宋体" w:cs="宋体"/>
          <w:b/>
          <w:bCs/>
          <w:color w:val="auto"/>
          <w:sz w:val="22"/>
          <w:szCs w:val="40"/>
          <w:highlight w:val="none"/>
        </w:rPr>
      </w:pPr>
      <w:r>
        <w:rPr>
          <w:rFonts w:hint="eastAsia" w:ascii="宋体" w:hAnsi="宋体" w:eastAsia="宋体" w:cs="宋体"/>
          <w:b/>
          <w:bCs/>
          <w:color w:val="auto"/>
          <w:sz w:val="22"/>
          <w:szCs w:val="40"/>
          <w:highlight w:val="none"/>
        </w:rPr>
        <w:br w:type="page" w:clear="all"/>
      </w:r>
      <w:r/>
    </w:p>
    <w:p>
      <w:pPr>
        <w:pStyle w:val="778"/>
        <w:jc w:val="center"/>
        <w:shd w:val="clear" w:color="auto"/>
        <w:rPr>
          <w:rFonts w:hint="eastAsia" w:ascii="宋体" w:hAnsi="宋体" w:eastAsia="宋体" w:cs="宋体"/>
          <w:bCs/>
          <w:color w:val="auto"/>
          <w:sz w:val="44"/>
          <w:szCs w:val="44"/>
          <w:highlight w:val="none"/>
        </w:rPr>
      </w:pPr>
      <w:r/>
      <w:bookmarkStart w:id="0" w:name="_Toc15550"/>
      <w:r>
        <w:rPr>
          <w:rFonts w:hint="eastAsia" w:ascii="宋体" w:hAnsi="宋体" w:eastAsia="宋体" w:cs="宋体"/>
          <w:bCs/>
          <w:color w:val="auto"/>
          <w:sz w:val="44"/>
          <w:highlight w:val="none"/>
        </w:rPr>
        <w:t xml:space="preserve">第一章  投标邀请</w:t>
      </w:r>
      <w:bookmarkEnd w:id="0"/>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宿迁学院</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苏世建设管理集团有限公司</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宿迁学院新校区南食堂大厅家具采购项目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项目编号：</w:t>
      </w:r>
      <w:r>
        <w:rPr>
          <w:rFonts w:hint="eastAsia" w:ascii="宋体" w:hAnsi="宋体" w:eastAsia="宋体" w:cs="宋体"/>
          <w:b/>
          <w:bCs/>
          <w:color w:val="auto"/>
          <w:sz w:val="24"/>
          <w:szCs w:val="24"/>
          <w:highlight w:val="none"/>
          <w:u w:val="single"/>
          <w:lang w:eastAsia="zh-CN"/>
        </w:rPr>
        <w:t xml:space="preserve">JSZC-321300-SSJT-G2026-0040</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项目进行公开招标采购，欢迎符合条件的投标人投标。</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pageBreakBefore w:val="0"/>
        <w:spacing w:line="400" w:lineRule="exact"/>
        <w:shd w:val="clear" w:color="auto"/>
        <w:widowControl/>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宿迁学院新校区南食堂大厅家具采购项目</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招标项目的潜在投标人应通过</w:t>
      </w:r>
      <w:r>
        <w:rPr>
          <w:rFonts w:hint="eastAsia" w:ascii="宋体" w:hAnsi="宋体" w:eastAsia="宋体" w:cs="宋体"/>
          <w:color w:val="auto"/>
          <w:sz w:val="24"/>
          <w:szCs w:val="24"/>
          <w:highlight w:val="none"/>
          <w:u w:val="single"/>
        </w:rPr>
        <w:t xml:space="preserve">“苏采云”系统（网址：http://jszfcg.jsczt.cn）或宿迁市政府采购网点击“政府采购管理交易系统（苏采云）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b/>
          <w:bCs/>
          <w:color w:val="auto"/>
          <w:sz w:val="24"/>
          <w:szCs w:val="24"/>
          <w:highlight w:val="none"/>
          <w:u w:val="single"/>
        </w:rPr>
        <w:t xml:space="preserve">2026年</w:t>
      </w:r>
      <w:r>
        <w:rPr>
          <w:rFonts w:hint="eastAsia" w:ascii="宋体" w:hAnsi="宋体" w:eastAsia="宋体" w:cs="宋体"/>
          <w:b/>
          <w:bCs/>
          <w:color w:val="auto"/>
          <w:sz w:val="24"/>
          <w:szCs w:val="24"/>
          <w:highlight w:val="none"/>
          <w:u w:val="single"/>
          <w:lang w:val="en-US" w:eastAsia="zh-CN"/>
        </w:rPr>
        <w:t xml:space="preserve">7</w:t>
      </w:r>
      <w:r>
        <w:rPr>
          <w:rFonts w:hint="eastAsia" w:ascii="宋体" w:hAnsi="宋体" w:eastAsia="宋体" w:cs="宋体"/>
          <w:b/>
          <w:bCs/>
          <w:color w:val="auto"/>
          <w:sz w:val="24"/>
          <w:szCs w:val="24"/>
          <w:highlight w:val="none"/>
          <w:u w:val="single"/>
        </w:rPr>
        <w:t xml:space="preserve">月</w:t>
      </w:r>
      <w:r>
        <w:rPr>
          <w:rFonts w:hint="eastAsia" w:ascii="宋体" w:hAnsi="宋体" w:eastAsia="宋体" w:cs="宋体"/>
          <w:b/>
          <w:bCs/>
          <w:color w:val="auto"/>
          <w:sz w:val="24"/>
          <w:szCs w:val="24"/>
          <w:highlight w:val="none"/>
          <w:u w:val="single"/>
          <w:lang w:val="en-US" w:eastAsia="zh-CN"/>
        </w:rPr>
        <w:t xml:space="preserve">21</w:t>
      </w:r>
      <w:r>
        <w:rPr>
          <w:rFonts w:hint="eastAsia" w:ascii="宋体" w:hAnsi="宋体" w:eastAsia="宋体" w:cs="宋体"/>
          <w:b/>
          <w:bCs/>
          <w:color w:val="auto"/>
          <w:sz w:val="24"/>
          <w:szCs w:val="24"/>
          <w:highlight w:val="none"/>
          <w:u w:val="single"/>
        </w:rPr>
        <w:t xml:space="preserve">日 10点00分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1" w:name="_Toc38985263"/>
      <w:r/>
      <w:bookmarkStart w:id="2" w:name="_Toc35393790"/>
      <w:r/>
      <w:bookmarkStart w:id="3" w:name="_Toc28359002"/>
      <w:r/>
      <w:bookmarkStart w:id="4" w:name="_Toc28359079"/>
      <w:r/>
      <w:bookmarkStart w:id="5" w:name="_Toc35393621"/>
      <w:r/>
      <w:bookmarkStart w:id="6" w:name="_Hlk24379207"/>
      <w:r>
        <w:rPr>
          <w:rFonts w:hint="eastAsia" w:ascii="宋体" w:hAnsi="宋体" w:eastAsia="宋体" w:cs="宋体"/>
          <w:b/>
          <w:bCs/>
          <w:color w:val="auto"/>
          <w:sz w:val="24"/>
          <w:szCs w:val="24"/>
          <w:highlight w:val="none"/>
        </w:rPr>
        <w:t xml:space="preserve">一、项目基本情况</w:t>
      </w:r>
      <w:bookmarkEnd w:id="1"/>
      <w:r/>
      <w:bookmarkEnd w:id="2"/>
      <w:r/>
      <w:bookmarkEnd w:id="3"/>
      <w:r/>
      <w:bookmarkEnd w:id="4"/>
      <w:r/>
      <w:bookmarkEnd w:id="5"/>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JSZC-321300-SSJT-G2026-0040</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6"/>
      <w:r>
        <w:rPr>
          <w:rFonts w:hint="eastAsia" w:ascii="宋体" w:hAnsi="宋体" w:eastAsia="宋体" w:cs="宋体"/>
          <w:color w:val="auto"/>
          <w:sz w:val="24"/>
          <w:szCs w:val="24"/>
          <w:highlight w:val="none"/>
          <w:lang w:eastAsia="zh-CN"/>
        </w:rPr>
        <w:t xml:space="preserve">宿迁学院新校区南食堂大厅家具采购项目</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163.8万元</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none"/>
        </w:rPr>
        <w:t xml:space="preserve">设定</w:t>
      </w:r>
      <w:r>
        <w:rPr>
          <w:rFonts w:hint="eastAsia" w:ascii="宋体" w:hAnsi="宋体" w:eastAsia="宋体" w:cs="宋体"/>
          <w:color w:val="auto"/>
          <w:sz w:val="24"/>
          <w:szCs w:val="24"/>
          <w:highlight w:val="none"/>
        </w:rPr>
        <w:t xml:space="preserve">最高限价，最高限价为</w:t>
      </w:r>
      <w:r>
        <w:rPr>
          <w:rFonts w:hint="eastAsia" w:ascii="宋体" w:hAnsi="宋体" w:eastAsia="宋体" w:cs="宋体"/>
          <w:color w:val="auto"/>
          <w:sz w:val="24"/>
          <w:szCs w:val="24"/>
          <w:highlight w:val="none"/>
          <w:lang w:val="en-US" w:eastAsia="zh-CN"/>
        </w:rPr>
        <w:t xml:space="preserve">163.8万元</w:t>
      </w:r>
      <w:r>
        <w:rPr>
          <w:rFonts w:hint="eastAsia" w:ascii="宋体" w:hAnsi="宋体" w:eastAsia="宋体" w:cs="宋体"/>
          <w:color w:val="auto"/>
          <w:sz w:val="24"/>
          <w:szCs w:val="24"/>
          <w:highlight w:val="none"/>
        </w:rPr>
        <w:t xml:space="preserve">，超过最高限价的作无效标处理。</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r>
        <w:rPr>
          <w:rFonts w:hint="eastAsia" w:ascii="宋体" w:hAnsi="宋体" w:eastAsia="宋体" w:cs="宋体"/>
          <w:color w:val="auto"/>
          <w:sz w:val="24"/>
          <w:szCs w:val="24"/>
          <w:highlight w:val="none"/>
          <w:lang w:eastAsia="zh-CN"/>
        </w:rPr>
        <w:t xml:space="preserve">宿迁学院新校区南食堂大厅餐桌椅采购，相关后续售后服务等全部内容，详细内容见本招标文件第四章。</w:t>
      </w:r>
      <w:r/>
    </w:p>
    <w:p>
      <w:pPr>
        <w:ind w:firstLine="480"/>
        <w:pageBreakBefore w:val="0"/>
        <w:spacing w:line="400" w:lineRule="exact"/>
        <w:shd w:val="clear" w:color="auto"/>
        <w:widowControl/>
        <w:rPr>
          <w:rFonts w:hint="eastAsia" w:ascii="宋体" w:hAnsi="宋体" w:eastAsia="宋体" w:cs="宋体"/>
          <w:color w:val="ff0000"/>
          <w:sz w:val="24"/>
          <w:szCs w:val="24"/>
          <w:highlight w:val="none"/>
          <w:lang w:eastAsia="zh-CN"/>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lang w:eastAsia="zh-CN"/>
        </w:rPr>
        <w:t xml:space="preserve">合同签订后15日历天内完成所有家具供货至采购人指定地点，接到采购人通知后7日内安装调试完毕（含二次搬运）并交付使用。</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none"/>
        </w:rPr>
        <w:t xml:space="preserve">不接受</w:t>
      </w:r>
      <w:r>
        <w:rPr>
          <w:rFonts w:hint="eastAsia" w:ascii="宋体" w:hAnsi="宋体" w:eastAsia="宋体" w:cs="宋体"/>
          <w:color w:val="auto"/>
          <w:sz w:val="24"/>
          <w:szCs w:val="24"/>
          <w:highlight w:val="none"/>
        </w:rPr>
        <w:t xml:space="preserve">联合体投标</w:t>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7" w:name="_Toc28359080"/>
      <w:r/>
      <w:bookmarkStart w:id="8" w:name="_Toc35393622"/>
      <w:r/>
      <w:bookmarkStart w:id="9" w:name="_Toc38985264"/>
      <w:r/>
      <w:bookmarkStart w:id="10" w:name="_Toc28359003"/>
      <w:r/>
      <w:bookmarkStart w:id="11" w:name="_Toc35393791"/>
      <w:r>
        <w:rPr>
          <w:rFonts w:hint="eastAsia" w:ascii="宋体" w:hAnsi="宋体" w:eastAsia="宋体" w:cs="宋体"/>
          <w:b/>
          <w:bCs/>
          <w:color w:val="auto"/>
          <w:sz w:val="24"/>
          <w:szCs w:val="24"/>
          <w:highlight w:val="none"/>
        </w:rPr>
        <w:t xml:space="preserve">二、申请人的资格要求：</w:t>
      </w:r>
      <w:bookmarkEnd w:id="7"/>
      <w:r/>
      <w:bookmarkEnd w:id="8"/>
      <w:r/>
      <w:bookmarkEnd w:id="9"/>
      <w:r/>
      <w:bookmarkEnd w:id="10"/>
      <w:r/>
      <w:bookmarkEnd w:id="11"/>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12" w:name="_Toc35393792"/>
      <w:r/>
      <w:bookmarkStart w:id="13" w:name="_Toc28359004"/>
      <w:r/>
      <w:bookmarkStart w:id="14" w:name="_Toc35393623"/>
      <w:r/>
      <w:bookmarkStart w:id="15" w:name="_Toc28359081"/>
      <w:r/>
      <w:bookmarkStart w:id="16" w:name="_Toc38985265"/>
      <w:r>
        <w:rPr>
          <w:rFonts w:hint="eastAsia" w:ascii="宋体" w:hAnsi="宋体" w:eastAsia="宋体" w:cs="宋体"/>
          <w:color w:val="auto"/>
          <w:sz w:val="24"/>
          <w:szCs w:val="24"/>
          <w:highlight w:val="none"/>
        </w:rPr>
        <w:t xml:space="preserve">（一）通用资格要求</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1.具备《中华人民共和国政府采购法》第二十二条第一款规定的6项条件（按要求提供投标声明及承诺函）。</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3.落实政府采购政策需满足的资格要求：本项目为专门面向中小企业采购的项目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由中小企业制造，即货物由中小企业生产且使用该中小企业商号或者注册商标；供应商须提供《中小企业或残疾人福利性单位声明函》。供应商提供非中小型企业（含监狱企业、残疾人福利企业）制造的货物参与本项目投标，将作无效标处理。</w:t>
      </w:r>
      <w:r/>
    </w:p>
    <w:p>
      <w:pPr>
        <w:ind w:firstLine="480"/>
        <w:pageBreakBefore w:val="0"/>
        <w:spacing w:line="400" w:lineRule="exact"/>
        <w:shd w:val="clear" w:color="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（二）本项目的特定资格要求：无。</w:t>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bookmarkEnd w:id="12"/>
      <w:r/>
      <w:bookmarkEnd w:id="13"/>
      <w:r/>
      <w:bookmarkEnd w:id="14"/>
      <w:r/>
      <w:bookmarkEnd w:id="15"/>
      <w:r/>
      <w:bookmarkEnd w:id="16"/>
      <w:r/>
      <w:r/>
    </w:p>
    <w:p>
      <w:pPr>
        <w:ind w:firstLine="480"/>
        <w:pageBreakBefore w:val="0"/>
        <w:spacing w:line="400" w:lineRule="exact"/>
        <w:shd w:val="clear" w:color="auto"/>
        <w:widowControl/>
        <w:rPr>
          <w:rFonts w:hint="eastAsia" w:ascii="宋体" w:hAnsi="宋体" w:cs="宋体" w:eastAsiaTheme="minorEastAsia"/>
          <w:color w:val="auto"/>
          <w:sz w:val="24"/>
          <w:szCs w:val="24"/>
          <w:highlight w:val="none"/>
          <w:lang w:eastAsia="zh-CN"/>
        </w:rPr>
      </w:pPr>
      <w:r/>
      <w:bookmarkStart w:id="17" w:name="_Toc28359005"/>
      <w:r/>
      <w:bookmarkStart w:id="18" w:name="_Toc28359082"/>
      <w:r/>
      <w:bookmarkStart w:id="19" w:name="_Toc38985266"/>
      <w:r/>
      <w:bookmarkStart w:id="20" w:name="_Toc35393793"/>
      <w:r/>
      <w:bookmarkStart w:id="21" w:name="_Toc35393624"/>
      <w:r>
        <w:rPr>
          <w:rFonts w:hint="eastAsia" w:ascii="宋体" w:hAnsi="宋体" w:eastAsia="宋体" w:cs="宋体"/>
          <w:color w:val="auto"/>
          <w:sz w:val="24"/>
          <w:szCs w:val="24"/>
          <w:highlight w:val="none"/>
        </w:rPr>
        <w:t xml:space="preserve">1.获取招标文件时间：</w:t>
      </w:r>
      <w:r>
        <w:rPr>
          <w:rFonts w:hint="eastAsia" w:ascii="Times New Roman" w:hAnsi="Times New Roman" w:cs="Times New Roman"/>
          <w:color w:val="000000"/>
          <w:sz w:val="24"/>
          <w:szCs w:val="24"/>
          <w:highlight w:val="none"/>
        </w:rPr>
        <w:t xml:space="preserve">自</w:t>
      </w:r>
      <w:r>
        <w:rPr>
          <w:rFonts w:hint="eastAsia" w:ascii="Times New Roman" w:hAnsi="Times New Roman" w:cs="Times New Roman"/>
          <w:color w:val="000000"/>
          <w:sz w:val="24"/>
          <w:szCs w:val="24"/>
          <w:highlight w:val="none"/>
          <w:lang w:val="en-US" w:eastAsia="zh-CN"/>
        </w:rPr>
        <w:t xml:space="preserve">招标</w:t>
      </w:r>
      <w:r>
        <w:rPr>
          <w:rFonts w:hint="eastAsia" w:ascii="Times New Roman" w:hAnsi="Times New Roman" w:cs="Times New Roman"/>
          <w:color w:val="000000"/>
          <w:sz w:val="24"/>
          <w:szCs w:val="24"/>
          <w:highlight w:val="none"/>
        </w:rPr>
        <w:t xml:space="preserve">文件公告发布之日起5个工作日</w:t>
      </w:r>
      <w:r>
        <w:rPr>
          <w:rFonts w:hint="eastAsia" w:ascii="Times New Roman" w:hAnsi="Times New Roman" w:cs="Times New Roman"/>
          <w:color w:val="000000"/>
          <w:sz w:val="24"/>
          <w:szCs w:val="24"/>
          <w:highlight w:val="none"/>
          <w:lang w:eastAsia="zh-CN"/>
        </w:rPr>
        <w:t xml:space="preserve">。</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22" w:name="EB0c44ff4da61f4af989d119fe214be450"/>
      <w:r>
        <w:rPr>
          <w:rFonts w:hint="eastAsia" w:ascii="宋体" w:hAnsi="宋体" w:eastAsia="宋体" w:cs="宋体"/>
          <w:color w:val="auto"/>
          <w:sz w:val="24"/>
          <w:szCs w:val="24"/>
          <w:highlight w:val="none"/>
        </w:rPr>
        <w:t xml:space="preserve">3.本项目共分一个包。投标人未按要求获取招标文件导致无法投标的，后果自负（其投标文件不予接受）。</w:t>
      </w:r>
      <w:bookmarkEnd w:id="22"/>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w:t>
      </w:r>
      <w:bookmarkEnd w:id="17"/>
      <w:r/>
      <w:bookmarkEnd w:id="18"/>
      <w:r>
        <w:rPr>
          <w:rFonts w:hint="eastAsia" w:ascii="宋体" w:hAnsi="宋体" w:eastAsia="宋体" w:cs="宋体"/>
          <w:b/>
          <w:bCs/>
          <w:color w:val="auto"/>
          <w:sz w:val="24"/>
          <w:szCs w:val="24"/>
          <w:highlight w:val="none"/>
        </w:rPr>
        <w:t xml:space="preserve">截止时间、开标时间和地点</w:t>
      </w:r>
      <w:bookmarkEnd w:id="19"/>
      <w:r/>
      <w:bookmarkEnd w:id="20"/>
      <w:r/>
      <w:bookmarkEnd w:id="21"/>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提交投标文件截止时间、开标时间：</w:t>
      </w:r>
      <w:r>
        <w:rPr>
          <w:rFonts w:hint="eastAsia" w:ascii="宋体" w:hAnsi="宋体" w:eastAsia="宋体" w:cs="宋体"/>
          <w:color w:val="auto"/>
          <w:sz w:val="24"/>
          <w:szCs w:val="24"/>
          <w:highlight w:val="none"/>
          <w:lang w:eastAsia="zh-CN"/>
        </w:rPr>
        <w:t xml:space="preserve">2026年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月21</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rPr>
        <w:t xml:space="preserve"> 10点00分</w:t>
      </w:r>
      <w:r>
        <w:rPr>
          <w:rFonts w:hint="eastAsia" w:ascii="宋体" w:hAnsi="宋体" w:eastAsia="宋体" w:cs="宋体"/>
          <w:bCs/>
          <w:color w:val="auto"/>
          <w:sz w:val="24"/>
          <w:szCs w:val="24"/>
          <w:highlight w:val="none"/>
        </w:rPr>
        <w:t xml:space="preserve">（北京时间）</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23" w:name="_Toc38985267"/>
      <w:r/>
      <w:bookmarkStart w:id="24" w:name="_Toc28359007"/>
      <w:r/>
      <w:bookmarkStart w:id="25" w:name="_Toc28359084"/>
      <w:r/>
      <w:bookmarkStart w:id="26" w:name="_Toc35393625"/>
      <w:r/>
      <w:bookmarkStart w:id="27" w:name="_Toc35393794"/>
      <w:r>
        <w:rPr>
          <w:rFonts w:hint="eastAsia" w:ascii="宋体" w:hAnsi="宋体" w:eastAsia="宋体" w:cs="宋体"/>
          <w:b/>
          <w:bCs/>
          <w:color w:val="auto"/>
          <w:sz w:val="24"/>
          <w:szCs w:val="24"/>
          <w:highlight w:val="none"/>
        </w:rPr>
        <w:t xml:space="preserve">五、公告期限</w:t>
      </w:r>
      <w:bookmarkEnd w:id="23"/>
      <w:r/>
      <w:bookmarkEnd w:id="24"/>
      <w:r/>
      <w:bookmarkEnd w:id="25"/>
      <w:r/>
      <w:bookmarkEnd w:id="26"/>
      <w:r/>
      <w:bookmarkEnd w:id="27"/>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28" w:name="_Toc35393795"/>
      <w:r/>
      <w:bookmarkStart w:id="29" w:name="_Toc38985268"/>
      <w:r/>
      <w:bookmarkStart w:id="30" w:name="_Toc35393626"/>
      <w:r>
        <w:rPr>
          <w:rFonts w:hint="eastAsia" w:ascii="宋体" w:hAnsi="宋体" w:eastAsia="宋体" w:cs="宋体"/>
          <w:color w:val="auto"/>
          <w:sz w:val="24"/>
          <w:szCs w:val="24"/>
          <w:highlight w:val="none"/>
        </w:rPr>
        <w:t xml:space="preserve">招标公告及招标文件公告期限为自本公告发布之日起5个工作日。</w:t>
      </w:r>
      <w:r>
        <w:rPr>
          <w:rFonts w:hint="eastAsia" w:ascii="宋体" w:hAnsi="宋体" w:eastAsia="宋体" w:cs="宋体"/>
          <w:bCs/>
          <w:color w:val="auto"/>
          <w:sz w:val="24"/>
          <w:szCs w:val="24"/>
          <w:highlight w:val="none"/>
        </w:rPr>
        <w:t xml:space="preserve">招标公告发布媒体：宿迁市政府采购网、宿迁市公共资源交易平台、江苏省财政部门指定的媒体。</w:t>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六、其他补充事宜</w:t>
      </w:r>
      <w:bookmarkEnd w:id="28"/>
      <w:r/>
      <w:bookmarkEnd w:id="29"/>
      <w:r/>
      <w:bookmarkEnd w:id="30"/>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bookmarkStart w:id="31" w:name="EB64e1f522fd8c43fcb4d3ba471386b3e7"/>
      <w:r/>
      <w:bookmarkStart w:id="32" w:name="_Toc38985269"/>
      <w:r/>
      <w:bookmarkStart w:id="33" w:name="_Toc35393627"/>
      <w:r/>
      <w:bookmarkStart w:id="34" w:name="_Toc35393796"/>
      <w:r/>
      <w:bookmarkStart w:id="35" w:name="_Toc28359085"/>
      <w:r/>
      <w:bookmarkStart w:id="36" w:name="_Toc28359008"/>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.“CA”数字证书办理：“苏采云”系统目前仅支持“苏采云”系统下的意源CA。省内各地区办理的“苏采云”系统下的意源CA全省通用。宿迁地区CA数字证书办理联系方式：18351098172。</w:t>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.宿迁地区“苏采云”技术支持客服电话：0527-</w:t>
      </w:r>
      <w:r>
        <w:rPr>
          <w:rFonts w:hint="eastAsia" w:ascii="宋体" w:hAnsi="宋体" w:eastAsia="宋体" w:cs="宋体"/>
          <w:bCs/>
          <w:color w:val="auto"/>
          <w:sz w:val="24"/>
          <w:szCs w:val="24"/>
          <w:highlight w:val="none"/>
          <w:lang w:val="en-US" w:eastAsia="zh-CN"/>
        </w:rPr>
        <w:t xml:space="preserve">84363067</w:t>
      </w:r>
      <w:r>
        <w:rPr>
          <w:rFonts w:hint="eastAsia" w:ascii="宋体" w:hAnsi="宋体" w:eastAsia="宋体" w:cs="宋体"/>
          <w:bCs/>
          <w:color w:val="auto"/>
          <w:sz w:val="24"/>
          <w:szCs w:val="24"/>
          <w:highlight w:val="none"/>
        </w:rPr>
        <w:t xml:space="preserve">、0519-86722806。</w:t>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.如果投标人通过苏采云系统参与政府采购项目，相关操作手册详见链接：http://www.ccgp-jiangsu.gov.cn/jiangsu/zlxz/ee/ee3a4bc5a3454aa2b0d9312230633ce9.html。</w:t>
      </w:r>
      <w:bookmarkEnd w:id="31"/>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.现场勘察及答疑：本项目不组织集中勘察及答疑，投标人如对采购需求有疑问，请咨询采购单位联系人。</w:t>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七、本次招标联系方式</w:t>
      </w:r>
      <w:bookmarkEnd w:id="32"/>
      <w:r/>
      <w:bookmarkEnd w:id="33"/>
      <w:r/>
      <w:bookmarkEnd w:id="34"/>
      <w:r/>
      <w:bookmarkEnd w:id="35"/>
      <w:r/>
      <w:bookmarkEnd w:id="36"/>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1.招标人信息</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37" w:name="_Toc28359009"/>
      <w:r/>
      <w:bookmarkStart w:id="38" w:name="_Toc28359086"/>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宿迁学院</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宿迁市黄河南路399号</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宗老师</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0527—84201886</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End w:id="37"/>
      <w:r/>
      <w:bookmarkEnd w:id="38"/>
      <w:r>
        <w:rPr>
          <w:rFonts w:hint="eastAsia" w:ascii="宋体" w:hAnsi="宋体" w:eastAsia="宋体" w:cs="宋体"/>
          <w:color w:val="auto"/>
          <w:sz w:val="24"/>
          <w:szCs w:val="24"/>
          <w:highlight w:val="none"/>
        </w:rPr>
        <w:t xml:space="preserve">采购代理机构信息</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39" w:name="_Toc28359087"/>
      <w:r/>
      <w:bookmarkStart w:id="40" w:name="_Toc28359010"/>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苏世建设管理集团有限公司</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宿迁市世纪大道102号青海湖路城市之家4楼 </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袁帅</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bookmarkEnd w:id="39"/>
      <w:r/>
      <w:bookmarkEnd w:id="40"/>
      <w:r>
        <w:rPr>
          <w:rFonts w:hint="eastAsia" w:ascii="宋体" w:hAnsi="宋体" w:eastAsia="宋体" w:cs="宋体"/>
          <w:color w:val="auto"/>
          <w:sz w:val="24"/>
          <w:szCs w:val="24"/>
          <w:highlight w:val="none"/>
          <w:lang w:eastAsia="zh-CN"/>
        </w:rPr>
        <w:t xml:space="preserve">0527-88856031</w:t>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八、其他</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有关本次招标的事项若存在变动或修改，敬请及时关注“宿迁市政府采购网”等平台更正公告。</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本次招标不收取投标保证金。</w:t>
      </w:r>
      <w:r/>
    </w:p>
    <w:p>
      <w:pPr>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778"/>
        <w:jc w:val="center"/>
        <w:shd w:val="clear" w:color="auto"/>
        <w:rPr>
          <w:rFonts w:hint="eastAsia" w:ascii="宋体" w:hAnsi="宋体" w:eastAsia="宋体" w:cs="宋体"/>
          <w:b/>
          <w:bCs/>
          <w:color w:val="auto"/>
          <w:highlight w:val="none"/>
        </w:rPr>
      </w:pPr>
      <w:r/>
      <w:bookmarkStart w:id="41" w:name="_Toc6971"/>
      <w:r>
        <w:rPr>
          <w:rFonts w:hint="eastAsia" w:ascii="宋体" w:hAnsi="宋体" w:eastAsia="宋体" w:cs="宋体"/>
          <w:b/>
          <w:bCs/>
          <w:color w:val="auto"/>
          <w:sz w:val="44"/>
          <w:szCs w:val="44"/>
          <w:highlight w:val="none"/>
        </w:rPr>
        <w:t xml:space="preserve">第二章  </w:t>
      </w:r>
      <w:bookmarkStart w:id="42" w:name="_Toc16938518"/>
      <w:r/>
      <w:bookmarkStart w:id="43" w:name="_Toc20823274"/>
      <w:r/>
      <w:bookmarkStart w:id="44" w:name="_Toc120614213"/>
      <w:r/>
      <w:bookmarkStart w:id="45" w:name="_Toc513029202"/>
      <w:r>
        <w:rPr>
          <w:rFonts w:hint="eastAsia" w:ascii="宋体" w:hAnsi="宋体" w:eastAsia="宋体" w:cs="宋体"/>
          <w:b/>
          <w:bCs/>
          <w:color w:val="auto"/>
          <w:sz w:val="44"/>
          <w:szCs w:val="44"/>
          <w:highlight w:val="none"/>
        </w:rPr>
        <w:t xml:space="preserve">投标人须知</w:t>
      </w:r>
      <w:bookmarkEnd w:id="41"/>
      <w:r/>
      <w:bookmarkEnd w:id="42"/>
      <w:r/>
      <w:bookmarkEnd w:id="43"/>
      <w:r/>
      <w:bookmarkEnd w:id="44"/>
      <w:r/>
      <w:bookmarkEnd w:id="45"/>
      <w:r/>
      <w:r/>
    </w:p>
    <w:tbl>
      <w:tblPr>
        <w:tblStyle w:val="788"/>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ascii="仿宋_GB2312" w:hAnsi="仿宋"/>
                <w:b/>
                <w:sz w:val="24"/>
                <w:szCs w:val="24"/>
              </w:rPr>
            </w:pPr>
            <w:r/>
            <w:bookmarkStart w:id="46" w:name="_Toc16938519"/>
            <w:r/>
            <w:bookmarkStart w:id="47" w:name="_Toc513029203"/>
            <w:r/>
            <w:bookmarkStart w:id="48" w:name="_Toc120614214"/>
            <w:r/>
            <w:bookmarkStart w:id="49" w:name="_Toc20823275"/>
            <w:r>
              <w:rPr>
                <w:rFonts w:hint="eastAsia" w:ascii="宋体" w:hAnsi="宋体" w:eastAsia="宋体" w:cs="宋体"/>
                <w:b/>
                <w:bCs/>
                <w:color w:val="auto"/>
                <w:sz w:val="24"/>
                <w:szCs w:val="24"/>
                <w:highlight w:val="none"/>
              </w:rPr>
              <w:br w:type="page" w:clear="all"/>
            </w:r>
            <w:bookmarkStart w:id="50" w:name="_Toc81575154"/>
            <w:r/>
            <w:bookmarkStart w:id="51" w:name="_Toc81575191"/>
            <w:r/>
            <w:bookmarkStart w:id="52" w:name="_Toc29262"/>
            <w:r>
              <w:rPr>
                <w:rFonts w:hint="eastAsia" w:ascii="仿宋_GB2312" w:hAnsi="仿宋"/>
                <w:b/>
                <w:sz w:val="24"/>
                <w:szCs w:val="24"/>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53" w:name="EB9a5853ee094f4f0ea6ec3169265f6f2c"/>
            <w:r>
              <w:rPr>
                <w:rFonts w:hint="eastAsia" w:ascii="Times New Roman" w:hAnsi="Times New Roman" w:cs="仿宋"/>
                <w:sz w:val="24"/>
                <w:szCs w:val="24"/>
              </w:rPr>
              <w:t xml:space="preserve">属性按以下第</w:t>
            </w:r>
            <w:bookmarkEnd w:id="53"/>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种确定：</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1.货物</w:t>
            </w:r>
            <w:bookmarkStart w:id="54" w:name="EBd5c6c026f9674c39b21b31ecd0c1e7fa"/>
            <w:r>
              <w:rPr>
                <w:rFonts w:hint="eastAsia" w:ascii="Times New Roman" w:hAnsi="Times New Roman" w:cs="仿宋"/>
                <w:sz w:val="24"/>
                <w:szCs w:val="24"/>
              </w:rPr>
              <w:t xml:space="preserve">采购；2.</w:t>
            </w:r>
            <w:bookmarkEnd w:id="54"/>
            <w:r>
              <w:rPr>
                <w:rFonts w:hint="eastAsia" w:ascii="Times New Roman" w:hAnsi="Times New Roman" w:cs="仿宋"/>
                <w:sz w:val="24"/>
                <w:szCs w:val="24"/>
              </w:rPr>
              <w:t xml:space="preserve">服务</w:t>
            </w:r>
            <w:bookmarkStart w:id="55" w:name="EBf7d2a4f44ecb4166a93ea852e73be69f"/>
            <w:r>
              <w:rPr>
                <w:rFonts w:hint="eastAsia" w:ascii="Times New Roman" w:hAnsi="Times New Roman" w:cs="仿宋"/>
                <w:sz w:val="24"/>
                <w:szCs w:val="24"/>
              </w:rPr>
              <w:t xml:space="preserve">采购；3.</w:t>
            </w:r>
            <w:bookmarkEnd w:id="55"/>
            <w:r>
              <w:rPr>
                <w:rFonts w:hint="eastAsia" w:ascii="Times New Roman" w:hAnsi="Times New Roman" w:cs="仿宋"/>
                <w:sz w:val="24"/>
                <w:szCs w:val="24"/>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bookmarkStart w:id="56" w:name="EBd40b5fb42f2944a3b45e579ce3941f02"/>
            <w:r/>
            <w:bookmarkEnd w:id="56"/>
            <w:r>
              <w:rPr>
                <w:rFonts w:hint="eastAsia" w:ascii="Times New Roman" w:hAnsi="Times New Roman" w:cs="仿宋"/>
                <w:sz w:val="24"/>
                <w:szCs w:val="24"/>
                <w:u w:val="single"/>
              </w:rPr>
              <w:t xml:space="preserve">60</w:t>
            </w:r>
            <w:r>
              <w:rPr>
                <w:rFonts w:hint="eastAsia" w:ascii="Times New Roman" w:hAnsi="Times New Roman" w:cs="仿宋"/>
                <w:sz w:val="24"/>
                <w:szCs w:val="24"/>
              </w:rPr>
              <w:t xml:space="preserve">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spacing w:line="360" w:lineRule="exact"/>
              <w:rPr>
                <w:rFonts w:ascii="Times New Roman" w:hAnsi="Times New Roman" w:cs="仿宋"/>
                <w:sz w:val="24"/>
                <w:szCs w:val="24"/>
              </w:rPr>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eastAsia="宋体" w:cs="仿宋"/>
                <w:sz w:val="24"/>
                <w:szCs w:val="24"/>
                <w:u w:val="single"/>
              </w:rPr>
              <w:t xml:space="preserve">1</w:t>
            </w:r>
            <w:r>
              <w:rPr>
                <w:rFonts w:hint="eastAsia" w:ascii="Times New Roman" w:hAnsi="Times New Roman" w:cs="仿宋"/>
                <w:sz w:val="24"/>
                <w:szCs w:val="24"/>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bookmarkStart w:id="57" w:name="EBebac1462c5d9459fbda8a75065c2455d"/>
            <w:r>
              <w:rPr>
                <w:rFonts w:hint="eastAsia" w:ascii="Times New Roman" w:hAnsi="Times New Roman" w:cs="仿宋"/>
                <w:sz w:val="24"/>
                <w:szCs w:val="24"/>
              </w:rPr>
              <w:t xml:space="preserve">本项目的非主体、非关键性工作是否允许分包</w:t>
            </w:r>
            <w:bookmarkEnd w:id="57"/>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1.允许分包，</w:t>
            </w:r>
            <w:bookmarkStart w:id="58"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8"/>
            <w:r>
              <w:rPr>
                <w:rFonts w:hint="eastAsia" w:ascii="Times New Roman" w:hAnsi="Times New Roman" w:cs="仿宋"/>
                <w:sz w:val="24"/>
                <w:szCs w:val="24"/>
              </w:rPr>
              <w:t xml:space="preserve">无</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其他</w:t>
            </w:r>
            <w:bookmarkEnd w:id="50"/>
            <w:r/>
            <w:bookmarkEnd w:id="51"/>
            <w:r/>
            <w:bookmarkEnd w:id="52"/>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numPr>
                <w:ilvl w:val="0"/>
                <w:numId w:val="0"/>
              </w:numPr>
              <w:spacing w:line="400" w:lineRule="exact"/>
              <w:rPr>
                <w:rFonts w:ascii="Times New Roman" w:hAnsi="Times New Roman" w:cs="仿宋"/>
                <w:b/>
                <w:bCs/>
                <w:sz w:val="24"/>
                <w:szCs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tc>
      </w:tr>
    </w:tbl>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80"/>
        <w:ind w:firstLine="465"/>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一、总则</w:t>
      </w:r>
      <w:bookmarkEnd w:id="46"/>
      <w:r/>
      <w:bookmarkEnd w:id="47"/>
      <w:r/>
      <w:bookmarkEnd w:id="48"/>
      <w:r/>
      <w:bookmarkEnd w:id="49"/>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59" w:name="_Hlt16619475"/>
      <w:r/>
      <w:bookmarkEnd w:id="59"/>
      <w:r/>
      <w:bookmarkStart w:id="60" w:name="_Toc458694821"/>
      <w:r/>
      <w:bookmarkStart w:id="61" w:name="_Toc16938520"/>
      <w:r/>
      <w:bookmarkStart w:id="62" w:name="_Toc513029204"/>
      <w:r/>
      <w:bookmarkStart w:id="63" w:name="_Toc20823276"/>
      <w:r>
        <w:rPr>
          <w:rFonts w:hint="eastAsia" w:ascii="宋体" w:hAnsi="宋体" w:eastAsia="宋体" w:cs="宋体"/>
          <w:b w:val="0"/>
          <w:bCs w:val="0"/>
          <w:color w:val="auto"/>
          <w:sz w:val="24"/>
          <w:szCs w:val="24"/>
          <w:highlight w:val="none"/>
          <w:lang w:eastAsia="zh-CN"/>
        </w:rPr>
        <w:t xml:space="preserve">1.</w:t>
      </w:r>
      <w:bookmarkEnd w:id="60"/>
      <w:r>
        <w:rPr>
          <w:rFonts w:hint="eastAsia" w:ascii="宋体" w:hAnsi="宋体" w:eastAsia="宋体" w:cs="宋体"/>
          <w:b w:val="0"/>
          <w:bCs w:val="0"/>
          <w:color w:val="auto"/>
          <w:sz w:val="24"/>
          <w:szCs w:val="24"/>
          <w:highlight w:val="none"/>
        </w:rPr>
        <w:t xml:space="preserve">招标方式</w:t>
      </w:r>
      <w:bookmarkEnd w:id="61"/>
      <w:r/>
      <w:bookmarkEnd w:id="62"/>
      <w:r/>
      <w:bookmarkEnd w:id="63"/>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4" w:name="_Toc20823277"/>
      <w:r/>
      <w:bookmarkStart w:id="65" w:name="_Toc513029205"/>
      <w:r/>
      <w:bookmarkStart w:id="66" w:name="_Toc16938521"/>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rPr>
        <w:t xml:space="preserve">合格的投标人</w:t>
      </w:r>
      <w:bookmarkEnd w:id="64"/>
      <w:r/>
      <w:bookmarkEnd w:id="65"/>
      <w:r/>
      <w:bookmarkEnd w:id="66"/>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7" w:name="_Toc513029206"/>
      <w:r/>
      <w:bookmarkStart w:id="68" w:name="_Toc16938522"/>
      <w:r/>
      <w:bookmarkStart w:id="69" w:name="_Toc20823278"/>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rPr>
        <w:t xml:space="preserve">适用法律</w:t>
      </w:r>
      <w:bookmarkEnd w:id="67"/>
      <w:r/>
      <w:bookmarkEnd w:id="68"/>
      <w:r/>
      <w:bookmarkEnd w:id="69"/>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70" w:name="_Toc16938523"/>
      <w:r/>
      <w:bookmarkStart w:id="71" w:name="_Toc462564067"/>
      <w:r/>
      <w:bookmarkStart w:id="72" w:name="_Toc20823279"/>
      <w:r/>
      <w:bookmarkStart w:id="73" w:name="_Toc513029207"/>
      <w:r>
        <w:rPr>
          <w:rFonts w:hint="eastAsia" w:ascii="宋体" w:hAnsi="宋体" w:eastAsia="宋体" w:cs="宋体"/>
          <w:b w:val="0"/>
          <w:bCs w:val="0"/>
          <w:color w:val="auto"/>
          <w:sz w:val="24"/>
          <w:szCs w:val="24"/>
          <w:highlight w:val="none"/>
          <w:lang w:eastAsia="zh-CN"/>
        </w:rPr>
        <w:t xml:space="preserve">4.</w:t>
      </w:r>
      <w:r>
        <w:rPr>
          <w:rFonts w:hint="eastAsia" w:ascii="宋体" w:hAnsi="宋体" w:eastAsia="宋体" w:cs="宋体"/>
          <w:b w:val="0"/>
          <w:bCs w:val="0"/>
          <w:color w:val="auto"/>
          <w:sz w:val="24"/>
          <w:szCs w:val="24"/>
          <w:highlight w:val="none"/>
        </w:rPr>
        <w:t xml:space="preserve">投标费用</w:t>
      </w:r>
      <w:bookmarkEnd w:id="70"/>
      <w:r/>
      <w:bookmarkEnd w:id="71"/>
      <w:r/>
      <w:bookmarkEnd w:id="72"/>
      <w:r/>
      <w:bookmarkEnd w:id="73"/>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4.2代理费用收取方式及标准：按以下第4.2.2种方式执行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4.2.1无需支付；</w:t>
      </w:r>
      <w:r/>
    </w:p>
    <w:p>
      <w:pPr>
        <w:pStyle w:val="963"/>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 xml:space="preserve">4.2.2具体方式及标准为：</w:t>
      </w:r>
      <w:r>
        <w:rPr>
          <w:rFonts w:hint="eastAsia" w:ascii="宋体" w:hAnsi="宋体" w:eastAsia="宋体" w:cs="宋体"/>
          <w:color w:val="auto"/>
          <w:sz w:val="24"/>
          <w:szCs w:val="24"/>
          <w:highlight w:val="none"/>
          <w:u w:val="single"/>
          <w:lang w:val="zh-CN"/>
        </w:rPr>
        <w:t xml:space="preserve">参照国家计委计价格〔2002〕1980号</w:t>
      </w:r>
      <w:r>
        <w:rPr>
          <w:rFonts w:hint="eastAsia" w:ascii="宋体" w:hAnsi="宋体" w:eastAsia="宋体" w:cs="宋体"/>
          <w:color w:val="auto"/>
          <w:sz w:val="24"/>
          <w:szCs w:val="24"/>
          <w:highlight w:val="none"/>
          <w:u w:val="single"/>
          <w:lang w:val="en-US" w:eastAsia="zh-CN"/>
        </w:rPr>
        <w:t xml:space="preserve">*23%</w:t>
      </w:r>
      <w:r>
        <w:rPr>
          <w:rFonts w:hint="eastAsia" w:ascii="宋体" w:hAnsi="宋体" w:eastAsia="宋体" w:cs="宋体"/>
          <w:color w:val="auto"/>
          <w:sz w:val="24"/>
          <w:szCs w:val="24"/>
          <w:highlight w:val="none"/>
          <w:u w:val="single"/>
          <w:lang w:val="zh-CN"/>
        </w:rPr>
        <w:t xml:space="preserve">收费标准支付，支付方式可以通过转账或数字人民币等方式。</w:t>
      </w:r>
      <w:r/>
    </w:p>
    <w:p>
      <w:pPr>
        <w:pStyle w:val="781"/>
        <w:ind w:firstLine="522"/>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5.</w:t>
      </w:r>
      <w:r>
        <w:rPr>
          <w:rFonts w:hint="eastAsia" w:ascii="宋体" w:hAnsi="宋体" w:eastAsia="宋体" w:cs="宋体"/>
          <w:b w:val="0"/>
          <w:bCs w:val="0"/>
          <w:color w:val="auto"/>
          <w:sz w:val="24"/>
          <w:szCs w:val="24"/>
          <w:highlight w:val="none"/>
        </w:rPr>
        <w:t xml:space="preserve">招标文件的约束力</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780"/>
        <w:ind w:firstLine="30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74" w:name="_Toc120614215"/>
      <w:r/>
      <w:bookmarkStart w:id="75" w:name="_Toc20823281"/>
      <w:r/>
      <w:bookmarkStart w:id="76" w:name="_Toc16938525"/>
      <w:r/>
      <w:bookmarkStart w:id="77" w:name="_Toc513029209"/>
      <w:r>
        <w:rPr>
          <w:rFonts w:hint="eastAsia" w:ascii="宋体" w:hAnsi="宋体" w:eastAsia="宋体" w:cs="宋体"/>
          <w:b/>
          <w:bCs/>
          <w:color w:val="auto"/>
          <w:sz w:val="24"/>
          <w:szCs w:val="24"/>
          <w:highlight w:val="none"/>
        </w:rPr>
        <w:t xml:space="preserve">二、招标文件</w:t>
      </w:r>
      <w:bookmarkEnd w:id="74"/>
      <w:r/>
      <w:bookmarkEnd w:id="75"/>
      <w:r/>
      <w:bookmarkEnd w:id="76"/>
      <w:r/>
      <w:bookmarkEnd w:id="77"/>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78" w:name="_Toc16938526"/>
      <w:r/>
      <w:bookmarkStart w:id="79" w:name="_Toc20823282"/>
      <w:r/>
      <w:bookmarkStart w:id="80" w:name="_Toc513029210"/>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rPr>
        <w:t xml:space="preserve">招标文件构成</w:t>
      </w:r>
      <w:bookmarkEnd w:id="78"/>
      <w:r/>
      <w:bookmarkEnd w:id="79"/>
      <w:r/>
      <w:bookmarkEnd w:id="80"/>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招标文件由以下部分组成：</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81"/>
        <w:ind w:firstLine="52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81" w:name="_Toc462564070"/>
      <w:r/>
      <w:bookmarkStart w:id="82" w:name="_Toc16938527"/>
      <w:r/>
      <w:bookmarkStart w:id="83" w:name="_Toc20823283"/>
      <w:r/>
      <w:bookmarkStart w:id="84" w:name="_Toc513029211"/>
      <w:r>
        <w:rPr>
          <w:rFonts w:hint="eastAsia" w:ascii="宋体" w:hAnsi="宋体" w:eastAsia="宋体" w:cs="宋体"/>
          <w:b w:val="0"/>
          <w:bCs w:val="0"/>
          <w:color w:val="auto"/>
          <w:sz w:val="24"/>
          <w:szCs w:val="24"/>
          <w:highlight w:val="none"/>
          <w:lang w:eastAsia="zh-CN"/>
        </w:rPr>
        <w:t xml:space="preserve">7.</w:t>
      </w:r>
      <w:r>
        <w:rPr>
          <w:rFonts w:hint="eastAsia" w:ascii="宋体" w:hAnsi="宋体" w:eastAsia="宋体" w:cs="宋体"/>
          <w:b w:val="0"/>
          <w:bCs w:val="0"/>
          <w:color w:val="auto"/>
          <w:sz w:val="24"/>
          <w:szCs w:val="24"/>
          <w:highlight w:val="none"/>
        </w:rPr>
        <w:t xml:space="preserve">招标文件的澄清</w:t>
      </w:r>
      <w:bookmarkEnd w:id="81"/>
      <w:r/>
      <w:bookmarkEnd w:id="82"/>
      <w:r/>
      <w:bookmarkEnd w:id="83"/>
      <w:r/>
      <w:bookmarkEnd w:id="84"/>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前按招标公告中的通讯地址，以书面形式通知采购代理机构。</w:t>
      </w:r>
      <w:r/>
    </w:p>
    <w:p>
      <w:pPr>
        <w:pStyle w:val="781"/>
        <w:ind w:firstLine="52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85" w:name="_Toc462564071"/>
      <w:r/>
      <w:bookmarkStart w:id="86" w:name="_Toc513029212"/>
      <w:r/>
      <w:bookmarkStart w:id="87" w:name="_Toc20823284"/>
      <w:r/>
      <w:bookmarkStart w:id="88" w:name="_Toc16938528"/>
      <w:r>
        <w:rPr>
          <w:rFonts w:hint="eastAsia" w:ascii="宋体" w:hAnsi="宋体" w:eastAsia="宋体" w:cs="宋体"/>
          <w:b w:val="0"/>
          <w:bCs w:val="0"/>
          <w:color w:val="auto"/>
          <w:sz w:val="24"/>
          <w:szCs w:val="24"/>
          <w:highlight w:val="none"/>
          <w:lang w:eastAsia="zh-CN"/>
        </w:rPr>
        <w:t xml:space="preserve">8.</w:t>
      </w:r>
      <w:r>
        <w:rPr>
          <w:rFonts w:hint="eastAsia" w:ascii="宋体" w:hAnsi="宋体" w:eastAsia="宋体" w:cs="宋体"/>
          <w:b w:val="0"/>
          <w:bCs w:val="0"/>
          <w:color w:val="auto"/>
          <w:sz w:val="24"/>
          <w:szCs w:val="24"/>
          <w:highlight w:val="none"/>
        </w:rPr>
        <w:t xml:space="preserve">招标文件的修改</w:t>
      </w:r>
      <w:bookmarkEnd w:id="85"/>
      <w:r/>
      <w:bookmarkEnd w:id="86"/>
      <w:r/>
      <w:bookmarkEnd w:id="87"/>
      <w:r/>
      <w:bookmarkEnd w:id="88"/>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8.2在投标截止时</w:t>
      </w:r>
      <w:r>
        <w:rPr>
          <w:rFonts w:hint="eastAsia" w:ascii="宋体" w:hAnsi="宋体" w:eastAsia="宋体" w:cs="宋体"/>
          <w:bCs/>
          <w:color w:val="auto"/>
          <w:sz w:val="24"/>
          <w:szCs w:val="24"/>
          <w:highlight w:val="none"/>
          <w:lang w:eastAsia="zh-CN"/>
        </w:rPr>
        <w:t xml:space="preserve">间之</w:t>
      </w:r>
      <w:r>
        <w:rPr>
          <w:rFonts w:hint="eastAsia" w:ascii="宋体" w:hAnsi="宋体" w:eastAsia="宋体" w:cs="宋体"/>
          <w:bCs/>
          <w:color w:val="auto"/>
          <w:sz w:val="24"/>
          <w:szCs w:val="24"/>
          <w:highlight w:val="none"/>
        </w:rPr>
        <w:t xml:space="preserve">前，采购代理机构可以对招标文件进行修改。</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8.3采购代理机构有权按照法定的要求推迟投标截止日期和开标日期。</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8.4招标文件的修改将在原公告媒体上发布更正公告，补充文件将作为招标文件的组成部分，并对投标人具有约束力。</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8.5投标人应及时登录“苏采云”系统获取澄清答疑文件（修改后招标文件），如因投标人原因未能及时下载澄清和修改后的招标文件，由此造成的相关责任，由投标人承担。</w:t>
      </w:r>
      <w:r/>
    </w:p>
    <w:p>
      <w:pPr>
        <w:pStyle w:val="780"/>
        <w:ind w:firstLine="45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89" w:name="_Toc120614216"/>
      <w:r/>
      <w:bookmarkStart w:id="90" w:name="_Toc462564072"/>
      <w:r/>
      <w:bookmarkStart w:id="91" w:name="_Toc20823285"/>
      <w:r/>
      <w:bookmarkStart w:id="92" w:name="_Toc16938529"/>
      <w:r/>
      <w:bookmarkStart w:id="93" w:name="_Toc513029213"/>
      <w:r>
        <w:rPr>
          <w:rFonts w:hint="eastAsia" w:ascii="宋体" w:hAnsi="宋体" w:eastAsia="宋体" w:cs="宋体"/>
          <w:b/>
          <w:bCs/>
          <w:color w:val="auto"/>
          <w:sz w:val="24"/>
          <w:szCs w:val="24"/>
          <w:highlight w:val="none"/>
        </w:rPr>
        <w:t xml:space="preserve">三、投标文件的编制</w:t>
      </w:r>
      <w:bookmarkEnd w:id="89"/>
      <w:r/>
      <w:bookmarkEnd w:id="90"/>
      <w:r/>
      <w:bookmarkEnd w:id="91"/>
      <w:r/>
      <w:bookmarkEnd w:id="92"/>
      <w:r/>
      <w:bookmarkEnd w:id="93"/>
      <w:r/>
      <w:r/>
    </w:p>
    <w:p>
      <w:pPr>
        <w:pStyle w:val="781"/>
        <w:ind w:firstLine="520"/>
        <w:keepLines w:val="0"/>
        <w:keepNext w:val="0"/>
        <w:pageBreakBefore w:val="0"/>
        <w:spacing w:before="0" w:after="0" w:line="400" w:lineRule="exact"/>
        <w:shd w:val="clear" w:color="auto"/>
        <w:widowControl w:val="off"/>
        <w:rPr>
          <w:rFonts w:hint="eastAsia" w:ascii="宋体" w:hAnsi="宋体" w:eastAsia="宋体" w:cs="宋体"/>
          <w:bCs w:val="0"/>
          <w:color w:val="auto"/>
          <w:sz w:val="24"/>
          <w:szCs w:val="24"/>
          <w:highlight w:val="none"/>
        </w:rPr>
      </w:pPr>
      <w:r/>
      <w:bookmarkStart w:id="94" w:name="_Toc16938530"/>
      <w:r/>
      <w:bookmarkStart w:id="95" w:name="_Toc462564073"/>
      <w:r/>
      <w:bookmarkStart w:id="96" w:name="_Toc20823286"/>
      <w:r/>
      <w:bookmarkStart w:id="97" w:name="_Toc513029214"/>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rPr>
        <w:t xml:space="preserve">投标文件的语言及度量衡单位</w:t>
      </w:r>
      <w:bookmarkEnd w:id="94"/>
      <w:r/>
      <w:bookmarkEnd w:id="95"/>
      <w:r/>
      <w:bookmarkEnd w:id="96"/>
      <w:r/>
      <w:bookmarkEnd w:id="97"/>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投标人提交的投标文件以及投标人与采购代理机构就有关投标的所有来往通知、函件和文件均应使用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除技术性能另有规定外，投标文件所使用的度量衡单位，均须采用国家法定计量单位。</w:t>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98" w:name="_Toc20823287"/>
      <w:r/>
      <w:bookmarkStart w:id="99" w:name="_Toc462564074"/>
      <w:r/>
      <w:bookmarkStart w:id="100" w:name="_Toc513029215"/>
      <w:r/>
      <w:bookmarkStart w:id="101" w:name="_Toc16938531"/>
      <w:r>
        <w:rPr>
          <w:rFonts w:hint="eastAsia" w:ascii="宋体" w:hAnsi="宋体" w:eastAsia="宋体" w:cs="宋体"/>
          <w:b w:val="0"/>
          <w:bCs w:val="0"/>
          <w:color w:val="auto"/>
          <w:sz w:val="24"/>
          <w:szCs w:val="24"/>
          <w:highlight w:val="none"/>
          <w:lang w:eastAsia="zh-CN"/>
        </w:rPr>
        <w:t xml:space="preserve">10.</w:t>
      </w:r>
      <w:r>
        <w:rPr>
          <w:rFonts w:hint="eastAsia" w:ascii="宋体" w:hAnsi="宋体" w:eastAsia="宋体" w:cs="宋体"/>
          <w:b w:val="0"/>
          <w:bCs w:val="0"/>
          <w:color w:val="auto"/>
          <w:sz w:val="24"/>
          <w:szCs w:val="24"/>
          <w:highlight w:val="none"/>
        </w:rPr>
        <w:t xml:space="preserve">投标文件构成</w:t>
      </w:r>
      <w:bookmarkEnd w:id="98"/>
      <w:r/>
      <w:bookmarkEnd w:id="99"/>
      <w:r/>
      <w:bookmarkEnd w:id="100"/>
      <w:r/>
      <w:bookmarkEnd w:id="101"/>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各投标人在编制投标文件时请按照招标文件第六</w:t>
      </w:r>
      <w:r>
        <w:rPr>
          <w:rFonts w:hint="eastAsia" w:ascii="宋体" w:hAnsi="宋体" w:eastAsia="宋体" w:cs="宋体"/>
          <w:bCs/>
          <w:color w:val="auto"/>
          <w:sz w:val="24"/>
          <w:szCs w:val="24"/>
          <w:highlight w:val="none"/>
        </w:rPr>
        <w:t xml:space="preserve">章</w:t>
      </w:r>
      <w:r>
        <w:rPr>
          <w:rFonts w:hint="eastAsia" w:ascii="宋体" w:hAnsi="宋体" w:eastAsia="宋体" w:cs="宋体"/>
          <w:bCs/>
          <w:color w:val="auto"/>
          <w:sz w:val="24"/>
          <w:szCs w:val="24"/>
          <w:highlight w:val="none"/>
          <w:lang w:val="zh-CN"/>
        </w:rPr>
        <w:t xml:space="preserve">规定的格式进行，混乱的编排导致投标文件被误读或评委会查找不到有效文件是投标人的风险。</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10.2投标人编写的投标文件应包括资格证明文件、符合性证明文件、清单明细及报价表、响应及偏离表、其他证明文件、投标函、开标一览表等部分。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10.2如标书制作工具中格式和内容与“宿迁市政府采购网”发布的招标文件不一致，请以“宿迁市政府采购网”发布的招标文件为准。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10.6中标后按相关要求提供与电子投标文件一致的纸质打印投标文件4份。</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02" w:name="EBc50e2bb832bb43068403b10c1cce6141"/>
      <w:r>
        <w:rPr>
          <w:rFonts w:hint="eastAsia" w:ascii="宋体" w:hAnsi="宋体" w:eastAsia="宋体" w:cs="宋体"/>
          <w:bCs/>
          <w:color w:val="auto"/>
          <w:sz w:val="24"/>
          <w:szCs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2"/>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03" w:name="_Hlt26668975"/>
      <w:r/>
      <w:bookmarkEnd w:id="103"/>
      <w:r/>
      <w:bookmarkStart w:id="104" w:name="_Hlt26670360"/>
      <w:r/>
      <w:bookmarkEnd w:id="104"/>
      <w:r/>
      <w:bookmarkStart w:id="105" w:name="_Hlt26954838"/>
      <w:r/>
      <w:bookmarkEnd w:id="105"/>
      <w:r/>
      <w:bookmarkStart w:id="106" w:name="_Toc14577354"/>
      <w:r/>
      <w:bookmarkStart w:id="107" w:name="_Toc49090507"/>
      <w:r/>
      <w:bookmarkStart w:id="108" w:name="_Toc49090509"/>
      <w:r/>
      <w:bookmarkStart w:id="109" w:name="_Toc14577357"/>
      <w:r/>
      <w:bookmarkStart w:id="110" w:name="_Toc513029216"/>
      <w:r/>
      <w:bookmarkStart w:id="111" w:name="_Toc513029219"/>
      <w:r>
        <w:rPr>
          <w:rFonts w:hint="eastAsia" w:ascii="宋体" w:hAnsi="宋体" w:eastAsia="宋体" w:cs="宋体"/>
          <w:b w:val="0"/>
          <w:bCs w:val="0"/>
          <w:color w:val="auto"/>
          <w:sz w:val="24"/>
          <w:szCs w:val="24"/>
          <w:highlight w:val="none"/>
          <w:lang w:eastAsia="zh-CN"/>
        </w:rPr>
        <w:t xml:space="preserve">11.</w:t>
      </w:r>
      <w:r>
        <w:rPr>
          <w:rFonts w:hint="eastAsia" w:ascii="宋体" w:hAnsi="宋体" w:eastAsia="宋体" w:cs="宋体"/>
          <w:b w:val="0"/>
          <w:bCs w:val="0"/>
          <w:color w:val="auto"/>
          <w:sz w:val="24"/>
          <w:szCs w:val="24"/>
          <w:highlight w:val="none"/>
        </w:rPr>
        <w:t xml:space="preserve">证明投标人及投标标的符合招标文件规定的文件</w:t>
      </w:r>
      <w:bookmarkEnd w:id="106"/>
      <w:r/>
      <w:bookmarkEnd w:id="107"/>
      <w:r/>
      <w:bookmarkEnd w:id="108"/>
      <w:r/>
      <w:bookmarkEnd w:id="109"/>
      <w:r/>
      <w:bookmarkEnd w:id="110"/>
      <w:r/>
      <w:bookmarkEnd w:id="111"/>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12" w:name="_Toc14577355"/>
      <w:r/>
      <w:bookmarkStart w:id="113" w:name="_Toc49090508"/>
      <w:r>
        <w:rPr>
          <w:rFonts w:hint="eastAsia" w:ascii="宋体" w:hAnsi="宋体" w:eastAsia="宋体" w:cs="宋体"/>
          <w:color w:val="auto"/>
          <w:sz w:val="24"/>
          <w:szCs w:val="24"/>
          <w:highlight w:val="none"/>
        </w:rPr>
        <w:t xml:space="preserve">11.1投标人应按照</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、规章和规范性文件以及招标文件要求提交证明文件，证明其及投标标的符合招标文件规定。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12.</w:t>
      </w:r>
      <w:r>
        <w:rPr>
          <w:rFonts w:hint="eastAsia" w:ascii="宋体" w:hAnsi="宋体" w:eastAsia="宋体" w:cs="宋体"/>
          <w:b w:val="0"/>
          <w:bCs w:val="0"/>
          <w:color w:val="auto"/>
          <w:sz w:val="24"/>
          <w:szCs w:val="24"/>
          <w:highlight w:val="none"/>
        </w:rPr>
        <w:t xml:space="preserve">投标分项报价</w:t>
      </w:r>
      <w:bookmarkEnd w:id="112"/>
      <w:r/>
      <w:bookmarkStart w:id="114" w:name="_Hlt26670373"/>
      <w:r/>
      <w:bookmarkEnd w:id="114"/>
      <w:r>
        <w:rPr>
          <w:rFonts w:hint="eastAsia" w:ascii="宋体" w:hAnsi="宋体" w:eastAsia="宋体" w:cs="宋体"/>
          <w:b w:val="0"/>
          <w:bCs w:val="0"/>
          <w:color w:val="auto"/>
          <w:sz w:val="24"/>
          <w:szCs w:val="24"/>
          <w:highlight w:val="none"/>
        </w:rPr>
        <w:t xml:space="preserve">表</w:t>
      </w:r>
      <w:bookmarkEnd w:id="113"/>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投</w:t>
      </w:r>
      <w:bookmarkStart w:id="115" w:name="_Hlt26954840"/>
      <w:r/>
      <w:bookmarkEnd w:id="115"/>
      <w:r>
        <w:rPr>
          <w:rFonts w:hint="eastAsia" w:ascii="宋体" w:hAnsi="宋体" w:eastAsia="宋体" w:cs="宋体"/>
          <w:color w:val="auto"/>
          <w:sz w:val="24"/>
          <w:szCs w:val="24"/>
          <w:highlight w:val="none"/>
        </w:rPr>
        <w:t xml:space="preserve">标人应按照招标文件规定格式填报投标分项报价表</w:t>
      </w:r>
      <w:bookmarkStart w:id="116" w:name="_Hlt26670399"/>
      <w:r/>
      <w:bookmarkEnd w:id="116"/>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投标货币。投标文件中的单价和总价无特殊规定的采用人民币报价，以元为单位标注。</w:t>
      </w:r>
      <w:r>
        <w:rPr>
          <w:rFonts w:hint="eastAsia" w:ascii="宋体" w:hAnsi="宋体" w:eastAsia="宋体" w:cs="宋体"/>
          <w:color w:val="auto"/>
          <w:sz w:val="24"/>
          <w:szCs w:val="24"/>
          <w:highlight w:val="none"/>
        </w:rPr>
        <w:t xml:space="preserve">招标文件中另有规定的按规定执行。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12.3本项目不接受备选的投标方案或有选择的报价，只允许有一个报价。投标报价内容包括：完成本项目所</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的一切相关费用。</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17" w:name="_Hlt26670486"/>
      <w:r/>
      <w:bookmarkEnd w:id="117"/>
      <w:r/>
      <w:bookmarkStart w:id="118" w:name="_Hlt26670403"/>
      <w:r/>
      <w:bookmarkEnd w:id="118"/>
      <w:r/>
      <w:bookmarkStart w:id="119" w:name="_Hlt26954731"/>
      <w:r/>
      <w:bookmarkEnd w:id="119"/>
      <w:r/>
      <w:bookmarkStart w:id="120" w:name="_Hlt26670425"/>
      <w:r/>
      <w:bookmarkEnd w:id="120"/>
      <w:r/>
      <w:bookmarkStart w:id="121" w:name="_Hlt26954844"/>
      <w:r/>
      <w:bookmarkEnd w:id="121"/>
      <w:r/>
      <w:bookmarkStart w:id="122" w:name="_Hlt26954846"/>
      <w:r/>
      <w:bookmarkEnd w:id="122"/>
      <w:r/>
      <w:bookmarkStart w:id="123" w:name="_Hlt26668983"/>
      <w:r/>
      <w:bookmarkEnd w:id="123"/>
      <w:r/>
      <w:bookmarkStart w:id="124" w:name="_Hlt26954842"/>
      <w:r/>
      <w:bookmarkEnd w:id="124"/>
      <w:r/>
      <w:bookmarkStart w:id="125" w:name="_Hlt26670482"/>
      <w:r/>
      <w:bookmarkEnd w:id="125"/>
      <w:r/>
      <w:bookmarkStart w:id="126" w:name="_Hlt26954848"/>
      <w:r/>
      <w:bookmarkEnd w:id="126"/>
      <w:r/>
      <w:bookmarkStart w:id="127" w:name="_Toc14577359"/>
      <w:r/>
      <w:bookmarkStart w:id="128" w:name="_Toc49090510"/>
      <w:r>
        <w:rPr>
          <w:rFonts w:hint="eastAsia" w:ascii="宋体" w:hAnsi="宋体" w:eastAsia="宋体" w:cs="宋体"/>
          <w:b w:val="0"/>
          <w:bCs w:val="0"/>
          <w:color w:val="auto"/>
          <w:sz w:val="24"/>
          <w:szCs w:val="24"/>
          <w:highlight w:val="none"/>
          <w:lang w:eastAsia="zh-CN"/>
        </w:rPr>
        <w:t xml:space="preserve">13.</w:t>
      </w:r>
      <w:r>
        <w:rPr>
          <w:rFonts w:hint="eastAsia" w:ascii="宋体" w:hAnsi="宋体" w:eastAsia="宋体" w:cs="宋体"/>
          <w:b w:val="0"/>
          <w:bCs w:val="0"/>
          <w:color w:val="auto"/>
          <w:sz w:val="24"/>
          <w:szCs w:val="24"/>
          <w:highlight w:val="none"/>
        </w:rPr>
        <w:t xml:space="preserve">技术要求响应及偏离表、商务要求响应及偏离表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投标人需对招标文件中的技术要求与商务要求逐项作出响应或偏离，并说明原因。</w:t>
      </w:r>
      <w:r/>
    </w:p>
    <w:p>
      <w:pPr>
        <w:ind w:firstLine="480"/>
        <w:keepLines w:val="0"/>
        <w:keepNext w:val="0"/>
        <w:pageBreakBefore w:val="0"/>
        <w:spacing w:line="400" w:lineRule="exact"/>
        <w:shd w:val="clear" w:color="auto"/>
        <w:widowControl w:val="off"/>
        <w:tabs>
          <w:tab w:val="left" w:pos="103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13.2投标人可在投标文件中提供认为需要的其他技术文件或说明。</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服务承诺、培训计划、人员安排及其他</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14.2投标人需根据招标文件要求提供培训计划。</w:t>
      </w:r>
      <w:r/>
    </w:p>
    <w:p>
      <w:pPr>
        <w:ind w:firstLine="480"/>
        <w:keepLines w:val="0"/>
        <w:keepNext w:val="0"/>
        <w:pageBreakBefore w:val="0"/>
        <w:spacing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14.3投标人需根据招标文件要求提供</w:t>
      </w:r>
      <w:r>
        <w:rPr>
          <w:rFonts w:hint="eastAsia" w:ascii="宋体" w:hAnsi="宋体" w:eastAsia="宋体" w:cs="宋体"/>
          <w:color w:val="auto"/>
          <w:sz w:val="24"/>
          <w:szCs w:val="24"/>
          <w:highlight w:val="none"/>
          <w:lang w:val="zh-CN"/>
        </w:rPr>
        <w:t xml:space="preserve">所投标的的主要组成部分、功能设计、实现思路及关键技术等。</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15.</w:t>
      </w:r>
      <w:r>
        <w:rPr>
          <w:rFonts w:hint="eastAsia" w:ascii="宋体" w:hAnsi="宋体" w:eastAsia="宋体" w:cs="宋体"/>
          <w:b w:val="0"/>
          <w:bCs w:val="0"/>
          <w:color w:val="auto"/>
          <w:sz w:val="24"/>
          <w:szCs w:val="24"/>
          <w:highlight w:val="none"/>
        </w:rPr>
        <w:t xml:space="preserve">投标声明及承诺函和开标一览表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投标人应按照招标文件中提供的格式完整、正确填写投标声明及承诺函、开标一览表。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15.2</w:t>
      </w:r>
      <w:r>
        <w:rPr>
          <w:rFonts w:hint="eastAsia" w:ascii="宋体" w:hAnsi="宋体" w:eastAsia="宋体" w:cs="宋体"/>
          <w:color w:val="auto"/>
          <w:sz w:val="24"/>
          <w:szCs w:val="24"/>
          <w:highlight w:val="none"/>
        </w:rPr>
        <w:t xml:space="preserve">对于采用货币报价的项目，</w:t>
      </w:r>
      <w:r>
        <w:rPr>
          <w:rFonts w:hint="eastAsia" w:ascii="宋体" w:hAnsi="宋体" w:eastAsia="宋体" w:cs="宋体"/>
          <w:bCs/>
          <w:color w:val="auto"/>
          <w:sz w:val="24"/>
          <w:szCs w:val="24"/>
          <w:highlight w:val="none"/>
        </w:rPr>
        <w:t xml:space="preserve">开标一览表中的投标总报价应与投标分项报价表中的投标总报价一致，如不一致，</w:t>
      </w:r>
      <w:r>
        <w:rPr>
          <w:rFonts w:hint="eastAsia" w:ascii="宋体" w:hAnsi="宋体" w:eastAsia="宋体" w:cs="宋体"/>
          <w:color w:val="auto"/>
          <w:sz w:val="24"/>
          <w:szCs w:val="24"/>
          <w:highlight w:val="none"/>
        </w:rPr>
        <w:t xml:space="preserve">不作为无效投标处理</w:t>
      </w:r>
      <w:r>
        <w:rPr>
          <w:rFonts w:hint="eastAsia" w:ascii="宋体" w:hAnsi="宋体" w:eastAsia="宋体" w:cs="宋体"/>
          <w:bCs/>
          <w:color w:val="auto"/>
          <w:sz w:val="24"/>
          <w:szCs w:val="24"/>
          <w:highlight w:val="none"/>
        </w:rPr>
        <w:t xml:space="preserve">，但评标时按开标一览表中价格为准</w:t>
      </w:r>
      <w:r>
        <w:rPr>
          <w:rFonts w:hint="eastAsia" w:ascii="宋体" w:hAnsi="宋体" w:eastAsia="宋体" w:cs="宋体"/>
          <w:b/>
          <w:bCs/>
          <w:color w:val="auto"/>
          <w:sz w:val="24"/>
          <w:szCs w:val="24"/>
          <w:highlight w:val="none"/>
        </w:rPr>
        <w:t xml:space="preserve">。</w:t>
      </w:r>
      <w:bookmarkEnd w:id="127"/>
      <w:r/>
      <w:bookmarkEnd w:id="128"/>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29" w:name="_Hlt26670489"/>
      <w:r/>
      <w:bookmarkEnd w:id="129"/>
      <w:r/>
      <w:bookmarkStart w:id="130" w:name="_Hlt26954734"/>
      <w:r/>
      <w:bookmarkEnd w:id="130"/>
      <w:r/>
      <w:bookmarkStart w:id="131" w:name="_Hlt26954850"/>
      <w:r/>
      <w:bookmarkEnd w:id="131"/>
      <w:r/>
      <w:bookmarkStart w:id="132" w:name="_Toc14577360"/>
      <w:r/>
      <w:bookmarkStart w:id="133" w:name="_Toc49090511"/>
      <w:r>
        <w:rPr>
          <w:rFonts w:hint="eastAsia" w:ascii="宋体" w:hAnsi="宋体" w:eastAsia="宋体" w:cs="宋体"/>
          <w:b w:val="0"/>
          <w:bCs w:val="0"/>
          <w:color w:val="auto"/>
          <w:sz w:val="24"/>
          <w:szCs w:val="24"/>
          <w:highlight w:val="none"/>
          <w:lang w:eastAsia="zh-CN"/>
        </w:rPr>
        <w:t xml:space="preserve">16.</w:t>
      </w:r>
      <w:r>
        <w:rPr>
          <w:rFonts w:hint="eastAsia" w:ascii="宋体" w:hAnsi="宋体" w:eastAsia="宋体" w:cs="宋体"/>
          <w:b w:val="0"/>
          <w:bCs w:val="0"/>
          <w:color w:val="auto"/>
          <w:sz w:val="24"/>
          <w:szCs w:val="24"/>
          <w:highlight w:val="none"/>
        </w:rPr>
        <w:t xml:space="preserve">投标有效期</w:t>
      </w:r>
      <w:bookmarkEnd w:id="132"/>
      <w:r/>
      <w:bookmarkEnd w:id="133"/>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投标有效期为开标之日后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。投标有效期比规定短的将被视为未实质性响应招标文件而予以拒绝。</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17.</w:t>
      </w:r>
      <w:r>
        <w:rPr>
          <w:rFonts w:hint="eastAsia" w:ascii="宋体" w:hAnsi="宋体" w:eastAsia="宋体" w:cs="宋体"/>
          <w:b w:val="0"/>
          <w:bCs w:val="0"/>
          <w:color w:val="auto"/>
          <w:sz w:val="24"/>
          <w:szCs w:val="24"/>
          <w:highlight w:val="none"/>
        </w:rPr>
        <w:t xml:space="preserve">投标有效期的延长</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17.1</w:t>
      </w:r>
      <w:r>
        <w:rPr>
          <w:rFonts w:hint="eastAsia" w:ascii="宋体" w:hAnsi="宋体" w:eastAsia="宋体" w:cs="宋体"/>
          <w:bCs/>
          <w:color w:val="auto"/>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17.2中标人的投标文件作为项目合同的附件，其有效期至中标人全部合同义务履行完毕为止。</w:t>
      </w:r>
      <w:r/>
    </w:p>
    <w:p>
      <w:pPr>
        <w:pStyle w:val="780"/>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134" w:name="_Hlt26954739"/>
      <w:r/>
      <w:bookmarkEnd w:id="134"/>
      <w:r/>
      <w:bookmarkStart w:id="135" w:name="_Hlt26954852"/>
      <w:r/>
      <w:bookmarkEnd w:id="135"/>
      <w:r/>
      <w:bookmarkStart w:id="136" w:name="_Toc16938540"/>
      <w:r/>
      <w:bookmarkStart w:id="137" w:name="_Toc20823296"/>
      <w:r/>
      <w:bookmarkStart w:id="138" w:name="_Toc513029224"/>
      <w:r/>
      <w:bookmarkStart w:id="139" w:name="_Toc120614217"/>
      <w:r>
        <w:rPr>
          <w:rFonts w:hint="eastAsia" w:ascii="宋体" w:hAnsi="宋体" w:eastAsia="宋体" w:cs="宋体"/>
          <w:b/>
          <w:bCs/>
          <w:color w:val="auto"/>
          <w:sz w:val="24"/>
          <w:szCs w:val="24"/>
          <w:highlight w:val="none"/>
        </w:rPr>
        <w:t xml:space="preserve">四、投标文件的递交</w:t>
      </w:r>
      <w:bookmarkEnd w:id="136"/>
      <w:r/>
      <w:bookmarkEnd w:id="137"/>
      <w:r/>
      <w:bookmarkEnd w:id="138"/>
      <w:r/>
      <w:bookmarkEnd w:id="139"/>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40" w:name="_Toc16938541"/>
      <w:r/>
      <w:bookmarkStart w:id="141" w:name="_Toc20823297"/>
      <w:r/>
      <w:bookmarkStart w:id="142" w:name="_Toc513029225"/>
      <w:r/>
      <w:bookmarkStart w:id="143" w:name="_Toc462564084"/>
      <w:r>
        <w:rPr>
          <w:rFonts w:hint="eastAsia" w:ascii="宋体" w:hAnsi="宋体" w:eastAsia="宋体" w:cs="宋体"/>
          <w:b w:val="0"/>
          <w:bCs w:val="0"/>
          <w:color w:val="auto"/>
          <w:sz w:val="24"/>
          <w:szCs w:val="24"/>
          <w:highlight w:val="none"/>
          <w:lang w:eastAsia="zh-CN"/>
        </w:rPr>
        <w:t xml:space="preserve">18.</w:t>
      </w:r>
      <w:r>
        <w:rPr>
          <w:rFonts w:hint="eastAsia" w:ascii="宋体" w:hAnsi="宋体" w:eastAsia="宋体" w:cs="宋体"/>
          <w:b w:val="0"/>
          <w:bCs w:val="0"/>
          <w:color w:val="auto"/>
          <w:sz w:val="24"/>
          <w:szCs w:val="24"/>
          <w:highlight w:val="none"/>
        </w:rPr>
        <w:t xml:space="preserve">投标文件</w:t>
      </w:r>
      <w:bookmarkEnd w:id="140"/>
      <w:r/>
      <w:bookmarkEnd w:id="141"/>
      <w:r/>
      <w:bookmarkEnd w:id="142"/>
      <w:r/>
      <w:bookmarkEnd w:id="143"/>
      <w:r>
        <w:rPr>
          <w:rFonts w:hint="eastAsia" w:ascii="宋体" w:hAnsi="宋体" w:eastAsia="宋体" w:cs="宋体"/>
          <w:b w:val="0"/>
          <w:bCs w:val="0"/>
          <w:color w:val="auto"/>
          <w:sz w:val="24"/>
          <w:szCs w:val="24"/>
          <w:highlight w:val="none"/>
        </w:rPr>
        <w:t xml:space="preserve">的递交</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44" w:name="_Toc16938542"/>
      <w:r/>
      <w:bookmarkStart w:id="145" w:name="_Toc20823298"/>
      <w:r/>
      <w:bookmarkStart w:id="146" w:name="_Toc513029226"/>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19.</w:t>
      </w:r>
      <w:r>
        <w:rPr>
          <w:rFonts w:hint="eastAsia" w:ascii="宋体" w:hAnsi="宋体" w:eastAsia="宋体" w:cs="宋体"/>
          <w:b w:val="0"/>
          <w:color w:val="auto"/>
          <w:sz w:val="24"/>
          <w:szCs w:val="24"/>
          <w:highlight w:val="none"/>
        </w:rPr>
        <w:t xml:space="preserve">投标截止</w:t>
      </w:r>
      <w:bookmarkEnd w:id="144"/>
      <w:r/>
      <w:bookmarkEnd w:id="145"/>
      <w:r/>
      <w:bookmarkEnd w:id="146"/>
      <w:r>
        <w:rPr>
          <w:rFonts w:hint="eastAsia" w:ascii="宋体" w:hAnsi="宋体" w:eastAsia="宋体" w:cs="宋体"/>
          <w:b w:val="0"/>
          <w:color w:val="auto"/>
          <w:sz w:val="24"/>
          <w:szCs w:val="24"/>
          <w:highlight w:val="none"/>
        </w:rPr>
        <w:t xml:space="preserve">时间</w:t>
      </w:r>
      <w:r/>
    </w:p>
    <w:p>
      <w:pPr>
        <w:ind w:firstLine="480"/>
        <w:keepLines w:val="0"/>
        <w:keepNext w:val="0"/>
        <w:pageBreakBefore w:val="0"/>
        <w:spacing w:line="400" w:lineRule="exact"/>
        <w:shd w:val="clear" w:color="auto"/>
        <w:widowControl w:val="off"/>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19.1投标人上传电子投标文件的时间不得迟于招标公告中规定的投标截止时间。</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bCs/>
          <w:color w:val="auto"/>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47" w:name="_Toc513029227"/>
      <w:r/>
      <w:bookmarkStart w:id="148" w:name="_Toc16938543"/>
      <w:r/>
      <w:bookmarkStart w:id="149" w:name="_Toc20823299"/>
      <w:r>
        <w:rPr>
          <w:rFonts w:hint="eastAsia" w:ascii="宋体" w:hAnsi="宋体" w:eastAsia="宋体" w:cs="宋体"/>
          <w:b w:val="0"/>
          <w:bCs w:val="0"/>
          <w:color w:val="auto"/>
          <w:sz w:val="24"/>
          <w:szCs w:val="24"/>
          <w:highlight w:val="none"/>
          <w:lang w:eastAsia="zh-CN"/>
        </w:rPr>
        <w:t xml:space="preserve">20.</w:t>
      </w:r>
      <w:r>
        <w:rPr>
          <w:rFonts w:hint="eastAsia" w:ascii="宋体" w:hAnsi="宋体" w:eastAsia="宋体" w:cs="宋体"/>
          <w:b w:val="0"/>
          <w:bCs w:val="0"/>
          <w:color w:val="auto"/>
          <w:sz w:val="24"/>
          <w:szCs w:val="24"/>
          <w:highlight w:val="none"/>
        </w:rPr>
        <w:t xml:space="preserve">投标文件</w:t>
      </w:r>
      <w:bookmarkEnd w:id="147"/>
      <w:r/>
      <w:bookmarkEnd w:id="148"/>
      <w:r/>
      <w:bookmarkEnd w:id="149"/>
      <w:r>
        <w:rPr>
          <w:rFonts w:hint="eastAsia" w:ascii="宋体" w:hAnsi="宋体" w:eastAsia="宋体" w:cs="宋体"/>
          <w:b w:val="0"/>
          <w:bCs w:val="0"/>
          <w:color w:val="auto"/>
          <w:sz w:val="24"/>
          <w:szCs w:val="24"/>
          <w:highlight w:val="none"/>
        </w:rPr>
        <w:t xml:space="preserve">的拒收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bCs/>
          <w:color w:val="auto"/>
          <w:sz w:val="24"/>
          <w:szCs w:val="24"/>
          <w:highlight w:val="none"/>
        </w:rPr>
        <w:t xml:space="preserve">采购代理机构拒绝接收在其规定的投标截止时间后上传的任何投标文件。</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50" w:name="_Toc20823300"/>
      <w:r/>
      <w:bookmarkStart w:id="151" w:name="_Toc16938544"/>
      <w:r/>
      <w:bookmarkStart w:id="152" w:name="_Toc513029228"/>
      <w:r/>
      <w:bookmarkStart w:id="153" w:name="_Toc16938545"/>
      <w:r/>
      <w:bookmarkStart w:id="154" w:name="_Toc513029229"/>
      <w:r/>
      <w:bookmarkStart w:id="155" w:name="_Toc120614218"/>
      <w:r/>
      <w:bookmarkStart w:id="156" w:name="_Toc20823301"/>
      <w:r>
        <w:rPr>
          <w:rFonts w:hint="eastAsia" w:ascii="宋体" w:hAnsi="宋体" w:eastAsia="宋体" w:cs="宋体"/>
          <w:b w:val="0"/>
          <w:bCs w:val="0"/>
          <w:color w:val="auto"/>
          <w:sz w:val="24"/>
          <w:szCs w:val="24"/>
          <w:highlight w:val="none"/>
          <w:lang w:eastAsia="zh-CN"/>
        </w:rPr>
        <w:t xml:space="preserve">21.</w:t>
      </w:r>
      <w:r>
        <w:rPr>
          <w:rFonts w:hint="eastAsia" w:ascii="宋体" w:hAnsi="宋体" w:eastAsia="宋体" w:cs="宋体"/>
          <w:b w:val="0"/>
          <w:bCs w:val="0"/>
          <w:color w:val="auto"/>
          <w:sz w:val="24"/>
          <w:szCs w:val="24"/>
          <w:highlight w:val="none"/>
        </w:rPr>
        <w:t xml:space="preserve">投标文件的撤回和修改</w:t>
      </w:r>
      <w:bookmarkEnd w:id="150"/>
      <w:r/>
      <w:bookmarkEnd w:id="151"/>
      <w:r/>
      <w:bookmarkEnd w:id="152"/>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21.2.2</w:t>
      </w:r>
      <w:r>
        <w:rPr>
          <w:rFonts w:hint="eastAsia" w:ascii="宋体" w:hAnsi="宋体" w:eastAsia="宋体" w:cs="宋体"/>
          <w:bCs/>
          <w:color w:val="auto"/>
          <w:sz w:val="24"/>
          <w:szCs w:val="24"/>
          <w:highlight w:val="none"/>
        </w:rPr>
        <w:t xml:space="preserve">在投标截止时间之后，投标人不得对其电子投标文件作任何修改。</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21.3</w:t>
      </w:r>
      <w:r>
        <w:rPr>
          <w:rFonts w:hint="eastAsia" w:ascii="宋体" w:hAnsi="宋体" w:eastAsia="宋体" w:cs="宋体"/>
          <w:bCs/>
          <w:color w:val="auto"/>
          <w:sz w:val="24"/>
          <w:szCs w:val="24"/>
          <w:highlight w:val="none"/>
        </w:rPr>
        <w:t xml:space="preserve">在投标截止时间至招标文件中规定的投标有效期满之间的这段时间内，投标人不得撤回其投标。</w:t>
      </w:r>
      <w:r/>
    </w:p>
    <w:p>
      <w:pPr>
        <w:pStyle w:val="780"/>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五、开标与评标</w:t>
      </w:r>
      <w:bookmarkEnd w:id="153"/>
      <w:r/>
      <w:bookmarkEnd w:id="154"/>
      <w:r/>
      <w:bookmarkEnd w:id="155"/>
      <w:r/>
      <w:bookmarkEnd w:id="156"/>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57" w:name="_Toc16938546"/>
      <w:r/>
      <w:bookmarkStart w:id="158" w:name="_Toc20823302"/>
      <w:r/>
      <w:bookmarkStart w:id="159" w:name="_Toc513029230"/>
      <w:r/>
      <w:bookmarkStart w:id="160" w:name="_Toc20823303"/>
      <w:r/>
      <w:bookmarkStart w:id="161" w:name="_Toc513029231"/>
      <w:r/>
      <w:bookmarkStart w:id="162" w:name="_Toc16938547"/>
      <w:r>
        <w:rPr>
          <w:rFonts w:hint="eastAsia" w:ascii="宋体" w:hAnsi="宋体" w:eastAsia="宋体" w:cs="宋体"/>
          <w:b w:val="0"/>
          <w:bCs w:val="0"/>
          <w:color w:val="auto"/>
          <w:sz w:val="24"/>
          <w:szCs w:val="24"/>
          <w:highlight w:val="none"/>
          <w:lang w:eastAsia="zh-CN"/>
        </w:rPr>
        <w:t xml:space="preserve">22.</w:t>
      </w:r>
      <w:r>
        <w:rPr>
          <w:rFonts w:hint="eastAsia" w:ascii="宋体" w:hAnsi="宋体" w:eastAsia="宋体" w:cs="宋体"/>
          <w:b w:val="0"/>
          <w:bCs w:val="0"/>
          <w:color w:val="auto"/>
          <w:sz w:val="24"/>
          <w:szCs w:val="24"/>
          <w:highlight w:val="none"/>
        </w:rPr>
        <w:t xml:space="preserve">开标</w:t>
      </w:r>
      <w:bookmarkEnd w:id="157"/>
      <w:r/>
      <w:bookmarkEnd w:id="158"/>
      <w:r/>
      <w:bookmarkEnd w:id="159"/>
      <w:r/>
      <w:r/>
    </w:p>
    <w:p>
      <w:pPr>
        <w:pStyle w:val="965"/>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lang w:val="en-US"/>
        </w:rPr>
        <w:t xml:space="preserve">。投标人应当按照《“苏采云”系统供应商操作手册》规定，参加开标活动和在“苏采云”系统规定的时间内对投标文件进行解密。</w:t>
      </w:r>
      <w:r/>
    </w:p>
    <w:p>
      <w:pPr>
        <w:pStyle w:val="965"/>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22.3投标人在开标过程中</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的投标文件解密、开标结果确认等工作，应按照《操作手册》规定执行。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22.4投标人如果对开标过程和开标记录有疑义，应当根据《操作手册》规定提出，如“苏采云”系统中《开标记录表》宣布后5分钟内未提出的，视同认可开标结果。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评标委员会</w:t>
      </w:r>
      <w:r/>
    </w:p>
    <w:p>
      <w:pPr>
        <w:ind w:firstLine="480"/>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color w:val="auto"/>
          <w:sz w:val="24"/>
          <w:szCs w:val="24"/>
          <w:highlight w:val="none"/>
        </w:rPr>
        <w:t xml:space="preserve">23.1开标后，采购代理机构将立即组织评标委员会（以下简称评委会）进行评标。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23.3评委会独立工作，负责评审所有投标文件并确定中标候选人。</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24.</w:t>
      </w:r>
      <w:r>
        <w:rPr>
          <w:rFonts w:hint="eastAsia" w:ascii="宋体" w:hAnsi="宋体" w:eastAsia="宋体" w:cs="宋体"/>
          <w:b w:val="0"/>
          <w:bCs w:val="0"/>
          <w:color w:val="auto"/>
          <w:sz w:val="24"/>
          <w:szCs w:val="24"/>
          <w:highlight w:val="none"/>
        </w:rPr>
        <w:t xml:space="preserve">评标过程的保密与公正</w:t>
      </w:r>
      <w:bookmarkEnd w:id="160"/>
      <w:r/>
      <w:bookmarkEnd w:id="161"/>
      <w:r/>
      <w:bookmarkEnd w:id="162"/>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凡是与审查、澄清、评价和比较投标的有关资料以及授标建议等，招标人、评委、采购代理机构均不得向投标人或与评标无关的其他人员透露。</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24.3采购代理机构和评委会不向未中标的投标人解释未中标原因，也不公布评标过程中的相关细节。</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24.4采用综合评分法的项目，未中标的投标人可于中标结果公告期限届满之日起通过“苏采云”系统查看自己的评审得分及排序情况。</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63" w:name="_Toc513029232"/>
      <w:r/>
      <w:bookmarkStart w:id="164" w:name="_Toc16938548"/>
      <w:r/>
      <w:bookmarkStart w:id="165" w:name="_Toc20823304"/>
      <w:r>
        <w:rPr>
          <w:rFonts w:hint="eastAsia" w:ascii="宋体" w:hAnsi="宋体" w:eastAsia="宋体" w:cs="宋体"/>
          <w:b w:val="0"/>
          <w:bCs w:val="0"/>
          <w:color w:val="auto"/>
          <w:sz w:val="24"/>
          <w:szCs w:val="24"/>
          <w:highlight w:val="none"/>
          <w:lang w:eastAsia="zh-CN"/>
        </w:rPr>
        <w:t xml:space="preserve">25.</w:t>
      </w:r>
      <w:r>
        <w:rPr>
          <w:rFonts w:hint="eastAsia" w:ascii="宋体" w:hAnsi="宋体" w:eastAsia="宋体" w:cs="宋体"/>
          <w:b w:val="0"/>
          <w:bCs w:val="0"/>
          <w:color w:val="auto"/>
          <w:sz w:val="24"/>
          <w:szCs w:val="24"/>
          <w:highlight w:val="none"/>
        </w:rPr>
        <w:t xml:space="preserve">投标文件的澄清</w:t>
      </w:r>
      <w:bookmarkEnd w:id="163"/>
      <w:r/>
      <w:bookmarkEnd w:id="164"/>
      <w:r/>
      <w:bookmarkEnd w:id="165"/>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评委会并非对每个投标人都做澄清要求。</w:t>
      </w:r>
      <w:r/>
    </w:p>
    <w:p>
      <w:pPr>
        <w:pStyle w:val="965"/>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.2需要投标人进行澄清、说明和补正的，</w:t>
      </w:r>
      <w:r>
        <w:rPr>
          <w:rFonts w:hint="eastAsia" w:ascii="宋体" w:hAnsi="宋体" w:eastAsia="宋体" w:cs="宋体"/>
          <w:color w:val="auto"/>
          <w:sz w:val="24"/>
          <w:szCs w:val="24"/>
          <w:highlight w:val="none"/>
          <w:lang w:val="en-US"/>
        </w:rPr>
        <w:t xml:space="preserve">本项目投标人的澄清、说明或者补正采用线上澄清，</w:t>
      </w:r>
      <w:r>
        <w:rPr>
          <w:rFonts w:hint="eastAsia" w:ascii="宋体" w:hAnsi="宋体" w:eastAsia="宋体" w:cs="宋体"/>
          <w:color w:val="auto"/>
          <w:sz w:val="24"/>
          <w:szCs w:val="24"/>
          <w:highlight w:val="none"/>
        </w:rPr>
        <w:t xml:space="preserve">评委会将通过</w:t>
      </w:r>
      <w:r>
        <w:rPr>
          <w:rFonts w:hint="eastAsia" w:ascii="宋体" w:hAnsi="宋体" w:eastAsia="宋体" w:cs="宋体"/>
          <w:color w:val="auto"/>
          <w:sz w:val="24"/>
          <w:szCs w:val="24"/>
          <w:highlight w:val="none"/>
          <w:lang w:val="en-US"/>
        </w:rPr>
        <w:t xml:space="preserve">“苏采云”系统</w:t>
      </w:r>
      <w:r>
        <w:rPr>
          <w:rFonts w:hint="eastAsia" w:ascii="宋体" w:hAnsi="宋体" w:eastAsia="宋体" w:cs="宋体"/>
          <w:color w:val="auto"/>
          <w:sz w:val="24"/>
          <w:szCs w:val="24"/>
          <w:highlight w:val="none"/>
        </w:rPr>
        <w:t xml:space="preserve">向投标人发出“澄清要求函”，接到“澄清要求函”的投标人应当按照要求</w:t>
      </w:r>
      <w:r>
        <w:rPr>
          <w:rFonts w:hint="eastAsia" w:ascii="宋体" w:hAnsi="宋体" w:eastAsia="宋体" w:cs="宋体"/>
          <w:color w:val="auto"/>
          <w:sz w:val="24"/>
          <w:szCs w:val="24"/>
          <w:highlight w:val="none"/>
          <w:lang w:val="en-US"/>
        </w:rPr>
        <w:t xml:space="preserve">在规定时间内通过“苏采云”系统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66" w:name="_Toc16938549"/>
      <w:r/>
      <w:bookmarkStart w:id="167" w:name="_Toc20823305"/>
      <w:r/>
      <w:bookmarkStart w:id="168" w:name="_Toc513029233"/>
      <w:r>
        <w:rPr>
          <w:rFonts w:hint="eastAsia" w:ascii="宋体" w:hAnsi="宋体" w:eastAsia="宋体" w:cs="宋体"/>
          <w:b w:val="0"/>
          <w:bCs w:val="0"/>
          <w:color w:val="auto"/>
          <w:sz w:val="24"/>
          <w:szCs w:val="24"/>
          <w:highlight w:val="none"/>
          <w:lang w:eastAsia="zh-CN"/>
        </w:rPr>
        <w:t xml:space="preserve">26.</w:t>
      </w:r>
      <w:r>
        <w:rPr>
          <w:rFonts w:hint="eastAsia" w:ascii="宋体" w:hAnsi="宋体" w:eastAsia="宋体" w:cs="宋体"/>
          <w:b w:val="0"/>
          <w:bCs w:val="0"/>
          <w:color w:val="auto"/>
          <w:sz w:val="24"/>
          <w:szCs w:val="24"/>
          <w:highlight w:val="none"/>
        </w:rPr>
        <w:t xml:space="preserve">对投标文件的初审</w:t>
      </w:r>
      <w:bookmarkEnd w:id="166"/>
      <w:r/>
      <w:bookmarkEnd w:id="167"/>
      <w:r/>
      <w:bookmarkEnd w:id="168"/>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26.1.1资格审查：依据法律法规和招标文件的规定，</w:t>
      </w:r>
      <w:r>
        <w:rPr>
          <w:rFonts w:hint="eastAsia" w:ascii="宋体" w:hAnsi="宋体" w:eastAsia="宋体" w:cs="宋体"/>
          <w:color w:val="auto"/>
          <w:sz w:val="24"/>
          <w:szCs w:val="24"/>
          <w:highlight w:val="none"/>
        </w:rPr>
        <w:t xml:space="preserve">由招标人或其委托的代理机构对投标文件中的资格证明文件进行审查，以确定投标人是否具备投标资格。</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招标人在进行资格性审查的同时，将在“信用中国”网站（www.creditchina.gov.cn）查询投标人的信用记录，以确定投标人是否具备投标资格，查询结果留存并归档。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26.1.3对各投标人符合性审查过程中，对初步被认定为无效投标者，由评委会组长或采购人代表将集体意见通过</w:t>
      </w:r>
      <w:r>
        <w:rPr>
          <w:rFonts w:hint="eastAsia" w:ascii="宋体" w:hAnsi="宋体" w:eastAsia="宋体" w:cs="宋体"/>
          <w:color w:val="auto"/>
          <w:sz w:val="24"/>
          <w:szCs w:val="24"/>
          <w:highlight w:val="none"/>
          <w:lang w:val="zh-CN"/>
        </w:rPr>
        <w:t xml:space="preserve">“苏采云”系统告知未通过符合性审查的原因，评标结束后，将不再告知未通过符合性审查的原因</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w:t>
      </w:r>
      <w:r>
        <w:rPr>
          <w:rFonts w:hint="eastAsia" w:ascii="宋体" w:hAnsi="宋体" w:eastAsia="宋体" w:cs="宋体"/>
          <w:bCs/>
          <w:color w:val="auto"/>
          <w:sz w:val="24"/>
          <w:szCs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（1）投标文件中开标一览表内容与投标文件中相应内容不一致的，以开标一览表为准。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同时出现两种以上错误的，按照前款规定的顺序修正。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告知投标人，调整后的价格应对投标人具有约束力。如果投标人不接受修正后的价格，则其投标将被拒绝。</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ind w:firstLine="480"/>
        <w:pageBreakBefore w:val="0"/>
        <w:spacing w:line="400" w:lineRule="exact"/>
        <w:widowControl w:val="off"/>
        <w:tabs>
          <w:tab w:val="left" w:pos="900" w:leader="none"/>
        </w:tabs>
        <w:rPr>
          <w:rFonts w:hint="eastAsia" w:ascii="宋体" w:hAnsi="宋体"/>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评委会认为供应商的报价明显低于其他通过符合性审查供应商的报价，有可能影响产品质量或者不能诚信履约的，要求其在合理的时间内提供说明，必要时提交相关证明材料</w:t>
      </w:r>
      <w:r>
        <w:rPr>
          <w:rFonts w:hint="eastAsia" w:ascii="宋体" w:hAnsi="宋体" w:eastAsia="宋体" w:cs="宋体"/>
          <w:color w:val="auto"/>
          <w:sz w:val="24"/>
          <w:szCs w:val="24"/>
          <w:highlight w:val="none"/>
        </w:rPr>
        <w:t xml:space="preserve">电子件</w:t>
      </w:r>
      <w:r>
        <w:rPr>
          <w:rFonts w:hint="eastAsia" w:ascii="宋体" w:hAnsi="宋体"/>
          <w:bCs/>
          <w:color w:val="auto"/>
          <w:sz w:val="24"/>
          <w:highlight w:val="none"/>
        </w:rPr>
        <w:t xml:space="preserve">；供应商不能证明其报价合理性的，评委会</w:t>
      </w:r>
      <w:r>
        <w:rPr>
          <w:rFonts w:hint="eastAsia" w:ascii="宋体" w:hAnsi="宋体"/>
          <w:color w:val="auto"/>
          <w:sz w:val="24"/>
          <w:szCs w:val="24"/>
          <w:highlight w:val="none"/>
        </w:rPr>
        <w:t xml:space="preserve">应当将其作为无效投标处理。</w:t>
      </w:r>
      <w:r/>
    </w:p>
    <w:p>
      <w:pPr>
        <w:ind w:firstLine="480"/>
        <w:pageBreakBefore w:val="0"/>
        <w:spacing w:line="400" w:lineRule="exact"/>
        <w:widowControl w:val="off"/>
        <w:tabs>
          <w:tab w:val="left" w:pos="900" w:leader="none"/>
        </w:tabs>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2</w:t>
      </w:r>
      <w:r>
        <w:rPr>
          <w:rFonts w:hint="eastAsia" w:ascii="宋体" w:hAnsi="宋体" w:cs="宋体"/>
          <w:b/>
          <w:bCs/>
          <w:color w:val="ff0000"/>
          <w:sz w:val="24"/>
          <w:szCs w:val="24"/>
          <w:highlight w:val="none"/>
          <w:lang w:val="en-US" w:eastAsia="zh-CN"/>
        </w:rPr>
        <w:t xml:space="preserve">6</w:t>
      </w:r>
      <w:r>
        <w:rPr>
          <w:rFonts w:hint="eastAsia" w:ascii="宋体" w:hAnsi="宋体" w:eastAsia="宋体" w:cs="宋体"/>
          <w:b/>
          <w:bCs/>
          <w:color w:val="ff0000"/>
          <w:sz w:val="24"/>
          <w:szCs w:val="24"/>
          <w:highlight w:val="none"/>
        </w:rPr>
        <w:t xml:space="preserve">.</w:t>
      </w:r>
      <w:r>
        <w:rPr>
          <w:rFonts w:hint="eastAsia" w:ascii="宋体" w:hAnsi="宋体" w:cs="宋体"/>
          <w:b/>
          <w:bCs/>
          <w:color w:val="ff0000"/>
          <w:sz w:val="24"/>
          <w:szCs w:val="24"/>
          <w:highlight w:val="none"/>
          <w:lang w:val="en-US" w:eastAsia="zh-CN"/>
        </w:rPr>
        <w:t xml:space="preserve">7</w:t>
      </w:r>
      <w:r>
        <w:rPr>
          <w:rFonts w:hint="eastAsia" w:ascii="宋体" w:hAnsi="宋体" w:eastAsia="宋体" w:cs="宋体"/>
          <w:b/>
          <w:bCs/>
          <w:color w:val="ff0000"/>
          <w:sz w:val="24"/>
          <w:szCs w:val="24"/>
          <w:highlight w:val="none"/>
        </w:rPr>
        <w:t xml:space="preserve">异常低价投标审查</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政府采购评审中出现下列情形之一的，评审委员会应当启动异常低价投标（响应）审查程序： </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2</w:t>
      </w:r>
      <w:r>
        <w:rPr>
          <w:rFonts w:hint="eastAsia" w:ascii="宋体" w:hAnsi="宋体" w:cs="宋体"/>
          <w:color w:val="ff0000"/>
          <w:sz w:val="24"/>
          <w:szCs w:val="24"/>
          <w:highlight w:val="none"/>
          <w:lang w:val="en-US" w:eastAsia="zh-CN"/>
        </w:rPr>
        <w:t xml:space="preserve">6</w:t>
      </w:r>
      <w:r>
        <w:rPr>
          <w:rFonts w:hint="eastAsia" w:ascii="宋体" w:hAnsi="宋体" w:eastAsia="宋体" w:cs="宋体"/>
          <w:color w:val="ff0000"/>
          <w:sz w:val="24"/>
          <w:szCs w:val="24"/>
          <w:highlight w:val="none"/>
        </w:rPr>
        <w:t xml:space="preserve">.</w:t>
      </w:r>
      <w:r>
        <w:rPr>
          <w:rFonts w:hint="eastAsia" w:ascii="宋体" w:hAnsi="宋体" w:cs="宋体"/>
          <w:color w:val="ff0000"/>
          <w:sz w:val="24"/>
          <w:szCs w:val="24"/>
          <w:highlight w:val="none"/>
          <w:lang w:val="en-US" w:eastAsia="zh-CN"/>
        </w:rPr>
        <w:t xml:space="preserve">7.</w:t>
      </w:r>
      <w:r>
        <w:rPr>
          <w:rFonts w:hint="eastAsia" w:ascii="宋体" w:hAnsi="宋体" w:eastAsia="宋体" w:cs="宋体"/>
          <w:color w:val="ff0000"/>
          <w:sz w:val="24"/>
          <w:szCs w:val="24"/>
          <w:highlight w:val="none"/>
        </w:rPr>
        <w:t xml:space="preserve">1投标（响应）报价低于全部通过符合性审查供应商投标（响应）报价平均值50%的，即投标（响应）报价</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rPr>
        <w:t xml:space="preserve">全部通过符合性审查供应商投标（响应）报价平均值×50%；</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val="en-US" w:eastAsia="zh-CN"/>
        </w:rPr>
        <w:t xml:space="preserve">26.7.</w:t>
      </w:r>
      <w:r>
        <w:rPr>
          <w:rFonts w:hint="eastAsia" w:ascii="宋体" w:hAnsi="宋体" w:eastAsia="宋体" w:cs="宋体"/>
          <w:color w:val="ff0000"/>
          <w:sz w:val="24"/>
          <w:szCs w:val="24"/>
          <w:highlight w:val="none"/>
        </w:rPr>
        <w:t xml:space="preserve">2投标（响应）报价低于通过符合性审查的次低报价供应商投标（响应）报价50%的，即投标（响应）报价</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rPr>
        <w:t xml:space="preserve">通过符合性审查的次低报价供应商投标（响应）报价×50%；</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val="en-US" w:eastAsia="zh-CN"/>
        </w:rPr>
        <w:t xml:space="preserve">26.7.3</w:t>
      </w:r>
      <w:r>
        <w:rPr>
          <w:rFonts w:hint="eastAsia" w:ascii="宋体" w:hAnsi="宋体" w:eastAsia="宋体" w:cs="宋体"/>
          <w:color w:val="ff0000"/>
          <w:sz w:val="24"/>
          <w:szCs w:val="24"/>
          <w:highlight w:val="none"/>
        </w:rPr>
        <w:t xml:space="preserve">投标（响应）报价低于采购项目最高限价45%的，即投标（响应）报价</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rPr>
        <w:t xml:space="preserve">采购项目最高限价×45%；</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val="en-US" w:eastAsia="zh-CN"/>
        </w:rPr>
        <w:t xml:space="preserve">26.7.4</w:t>
      </w:r>
      <w:r>
        <w:rPr>
          <w:rFonts w:hint="eastAsia" w:ascii="宋体" w:hAnsi="宋体" w:eastAsia="宋体" w:cs="宋体"/>
          <w:color w:val="ff0000"/>
          <w:sz w:val="24"/>
          <w:szCs w:val="24"/>
          <w:highlight w:val="none"/>
        </w:rPr>
        <w:t xml:space="preserve">评审委员会基于专业判断，认为供应商报价过低，有可能影响产品质量或者不能诚信履约的其他情形。</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w:t>
      </w:r>
      <w:r>
        <w:rPr>
          <w:rFonts w:hint="eastAsia" w:ascii="宋体" w:hAnsi="宋体" w:eastAsia="宋体" w:cs="宋体"/>
          <w:color w:val="auto"/>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2"/>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69" w:name="_Toc20823306"/>
      <w:r/>
      <w:bookmarkStart w:id="170" w:name="_Toc16938550"/>
      <w:r/>
      <w:bookmarkStart w:id="171" w:name="_Toc513029234"/>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投标人在开、评标全过程中应随时保持系统在线，及时在“苏采云”系统查阅、答复相关信息。</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27.</w:t>
      </w:r>
      <w:bookmarkEnd w:id="169"/>
      <w:r/>
      <w:bookmarkEnd w:id="170"/>
      <w:r/>
      <w:bookmarkEnd w:id="171"/>
      <w:r>
        <w:rPr>
          <w:rFonts w:hint="eastAsia" w:ascii="宋体" w:hAnsi="宋体" w:eastAsia="宋体" w:cs="宋体"/>
          <w:b w:val="0"/>
          <w:bCs w:val="0"/>
          <w:color w:val="auto"/>
          <w:sz w:val="24"/>
          <w:szCs w:val="24"/>
          <w:highlight w:val="none"/>
        </w:rPr>
        <w:t xml:space="preserve">无效投标条款和废标条款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72" w:name="_Toc16938551"/>
      <w:r/>
      <w:bookmarkStart w:id="173" w:name="_Toc20823307"/>
      <w:r/>
      <w:bookmarkStart w:id="174" w:name="_Toc513029235"/>
      <w:r>
        <w:rPr>
          <w:rFonts w:hint="eastAsia" w:ascii="宋体" w:hAnsi="宋体" w:eastAsia="宋体" w:cs="宋体"/>
          <w:bCs/>
          <w:color w:val="auto"/>
          <w:sz w:val="24"/>
          <w:szCs w:val="24"/>
          <w:highlight w:val="none"/>
        </w:rPr>
        <w:t xml:space="preserve">27.1无效投标条款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规定的时间内未成功解密电子投标文件的。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27.1.2投标人未按照招标文件要求上传电子投标文件的。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27.1.3同一投标人提交两个（含两个）以上不同的投标报价的。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27.1.4投标人不具备招标文件中规定资格要求的。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27.1.5投标人的报价超过了采购预算或最高限价的。</w:t>
      </w:r>
      <w:r/>
    </w:p>
    <w:p>
      <w:pPr>
        <w:ind w:firstLine="480"/>
        <w:keepLines w:val="0"/>
        <w:keepNext w:val="0"/>
        <w:pageBreakBefore w:val="0"/>
        <w:spacing w:line="40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27.1.6未通过符合性审查的。</w:t>
      </w:r>
      <w:r/>
    </w:p>
    <w:p>
      <w:pPr>
        <w:ind w:firstLine="480"/>
        <w:keepLines w:val="0"/>
        <w:keepNext w:val="0"/>
        <w:pageBreakBefore w:val="0"/>
        <w:spacing w:line="40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27.1.7不符合招标文件中规定的实质性要求和条件的（</w:t>
      </w:r>
      <w:r>
        <w:rPr>
          <w:rFonts w:hint="eastAsia" w:ascii="宋体" w:hAnsi="宋体" w:eastAsia="宋体" w:cs="宋体"/>
          <w:bCs/>
          <w:i/>
          <w:color w:val="auto"/>
          <w:sz w:val="24"/>
          <w:szCs w:val="24"/>
          <w:highlight w:val="none"/>
          <w:u w:val="single"/>
        </w:rPr>
        <w:t xml:space="preserve">加斜体下划线内容或打“★”内容为实质性要求和条件）。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27.1.9投标文件含有招标人不能接受的附加条件的。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27.1.10评委会认为投标人的报价明显低于其他通过符合性审查投标人的报价，有可能影响产品质量或者不能诚信履约的，将通过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要求其在合理的时间内提供说明，必要时提交相关证明材料；投标人不能证明其报价合理性的，评委会应当将其作为无效投标处理。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.1.11本项目采购产品被财政部、国家发展改革委、生态环境部等列入“节能产品品目清单”“环境标志产品品目清单”强制采购范围，而</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所</w:t>
      </w:r>
      <w:r>
        <w:rPr>
          <w:rFonts w:hint="eastAsia" w:ascii="宋体" w:hAnsi="宋体" w:eastAsia="宋体" w:cs="宋体"/>
          <w:color w:val="auto"/>
          <w:sz w:val="24"/>
          <w:szCs w:val="24"/>
          <w:highlight w:val="none"/>
        </w:rPr>
        <w:t xml:space="preserve">投</w:t>
      </w:r>
      <w:r>
        <w:rPr>
          <w:rFonts w:hint="eastAsia" w:ascii="宋体" w:hAnsi="宋体" w:eastAsia="宋体" w:cs="宋体"/>
          <w:color w:val="auto"/>
          <w:sz w:val="24"/>
          <w:szCs w:val="24"/>
          <w:highlight w:val="none"/>
          <w:lang w:val="zh-CN"/>
        </w:rPr>
        <w:t xml:space="preserve">产品不在强制采购范围内的。（</w:t>
      </w:r>
      <w:r>
        <w:rPr>
          <w:rFonts w:hint="eastAsia" w:ascii="宋体" w:hAnsi="宋体" w:eastAsia="宋体" w:cs="宋体"/>
          <w:color w:val="auto"/>
          <w:sz w:val="24"/>
          <w:szCs w:val="24"/>
          <w:highlight w:val="none"/>
        </w:rPr>
        <w:t xml:space="preserve">所投</w:t>
      </w:r>
      <w:r>
        <w:rPr>
          <w:rFonts w:hint="eastAsia" w:ascii="宋体" w:hAnsi="宋体" w:eastAsia="宋体" w:cs="宋体"/>
          <w:color w:val="auto"/>
          <w:sz w:val="24"/>
          <w:szCs w:val="24"/>
          <w:highlight w:val="none"/>
          <w:lang w:val="zh-CN"/>
        </w:rPr>
        <w:t xml:space="preserve">产品如属于政府强制采购节能产品品目清单范围内，</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文件中必须提供国家确定的认证机构出具的、处于有效期之内的该节能产品认证证书图片）。</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27.1.12投标文件未按照招标文件要求加盖CA电子公章的。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27.1.13其他</w:t>
      </w:r>
      <w:r>
        <w:rPr>
          <w:rFonts w:hint="eastAsia" w:ascii="宋体" w:hAnsi="宋体" w:eastAsia="宋体" w:cs="宋体"/>
          <w:bCs/>
          <w:color w:val="auto"/>
          <w:sz w:val="24"/>
          <w:szCs w:val="24"/>
          <w:highlight w:val="none"/>
          <w:lang w:eastAsia="zh-CN"/>
        </w:rPr>
        <w:t xml:space="preserve">法律法规</w:t>
      </w:r>
      <w:r>
        <w:rPr>
          <w:rFonts w:hint="eastAsia" w:ascii="宋体" w:hAnsi="宋体" w:eastAsia="宋体" w:cs="宋体"/>
          <w:bCs/>
          <w:color w:val="auto"/>
          <w:sz w:val="24"/>
          <w:szCs w:val="24"/>
          <w:highlight w:val="none"/>
        </w:rPr>
        <w:t xml:space="preserve">及本招标文件规定的属无效投标的27.2废标条款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27.2.1符合专业条件的投标人或者对招标文件作实质响应的投标人不足三家的。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27.2.2出现影响采购公正的违法、违规行为的。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27.2.3因重大变故，采购任务取消的。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27.2.4评委会认定招标文件存在歧义、重大缺陷导致评审工作无法进行。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27.2.5因</w:t>
      </w:r>
      <w:r>
        <w:rPr>
          <w:rFonts w:hint="eastAsia" w:ascii="宋体" w:hAnsi="宋体" w:eastAsia="宋体" w:cs="宋体"/>
          <w:color w:val="auto"/>
          <w:sz w:val="24"/>
          <w:szCs w:val="24"/>
          <w:highlight w:val="none"/>
        </w:rPr>
        <w:t xml:space="preserve">“苏采云”系统故障</w:t>
      </w:r>
      <w:r>
        <w:rPr>
          <w:rFonts w:hint="eastAsia" w:ascii="宋体" w:hAnsi="宋体" w:eastAsia="宋体" w:cs="宋体"/>
          <w:bCs/>
          <w:color w:val="auto"/>
          <w:sz w:val="24"/>
          <w:szCs w:val="24"/>
          <w:highlight w:val="none"/>
        </w:rPr>
        <w:t xml:space="preserve">原因造成开标不成功的。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27.3投标截止时间结束后参加投标的投标人不足三家的处理：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2"/>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注：本项目为苏采云系统电子标。因系统原因评标委员会仅可通过苏采云系统向被废标供应商发送被废标的“告知函”，后续将不再向被废标供应商发放纸质版无效标通知书。</w:t>
      </w:r>
      <w:r/>
    </w:p>
    <w:p>
      <w:pPr>
        <w:pStyle w:val="780"/>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175" w:name="_Toc120614219"/>
      <w:r>
        <w:rPr>
          <w:rFonts w:hint="eastAsia" w:ascii="宋体" w:hAnsi="宋体" w:eastAsia="宋体" w:cs="宋体"/>
          <w:b/>
          <w:bCs/>
          <w:color w:val="auto"/>
          <w:sz w:val="24"/>
          <w:szCs w:val="24"/>
          <w:highlight w:val="none"/>
        </w:rPr>
        <w:t xml:space="preserve">六、</w:t>
      </w:r>
      <w:bookmarkEnd w:id="172"/>
      <w:r/>
      <w:bookmarkEnd w:id="173"/>
      <w:r/>
      <w:bookmarkEnd w:id="174"/>
      <w:r>
        <w:rPr>
          <w:rFonts w:hint="eastAsia" w:ascii="宋体" w:hAnsi="宋体" w:eastAsia="宋体" w:cs="宋体"/>
          <w:b/>
          <w:bCs/>
          <w:color w:val="auto"/>
          <w:sz w:val="24"/>
          <w:szCs w:val="24"/>
          <w:highlight w:val="none"/>
        </w:rPr>
        <w:t xml:space="preserve">定标</w:t>
      </w:r>
      <w:bookmarkEnd w:id="175"/>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bookmarkStart w:id="176" w:name="_Toc513029238"/>
      <w:r/>
      <w:bookmarkStart w:id="177" w:name="_Toc20823310"/>
      <w:r/>
      <w:bookmarkStart w:id="178" w:name="_Toc16938554"/>
      <w:r>
        <w:rPr>
          <w:rFonts w:hint="eastAsia" w:ascii="宋体" w:hAnsi="宋体" w:eastAsia="宋体" w:cs="宋体"/>
          <w:b w:val="0"/>
          <w:color w:val="auto"/>
          <w:sz w:val="24"/>
          <w:szCs w:val="24"/>
          <w:highlight w:val="none"/>
          <w:lang w:eastAsia="zh-CN"/>
        </w:rPr>
        <w:t xml:space="preserve">28.</w:t>
      </w:r>
      <w:bookmarkEnd w:id="176"/>
      <w:r>
        <w:rPr>
          <w:rFonts w:hint="eastAsia" w:ascii="宋体" w:hAnsi="宋体" w:eastAsia="宋体" w:cs="宋体"/>
          <w:b w:val="0"/>
          <w:color w:val="auto"/>
          <w:sz w:val="24"/>
          <w:szCs w:val="24"/>
          <w:highlight w:val="none"/>
        </w:rPr>
        <w:t xml:space="preserve">确定</w:t>
      </w:r>
      <w:bookmarkEnd w:id="177"/>
      <w:r/>
      <w:bookmarkEnd w:id="178"/>
      <w:r>
        <w:rPr>
          <w:rFonts w:hint="eastAsia" w:ascii="宋体" w:hAnsi="宋体" w:eastAsia="宋体" w:cs="宋体"/>
          <w:b w:val="0"/>
          <w:color w:val="auto"/>
          <w:sz w:val="24"/>
          <w:szCs w:val="24"/>
          <w:highlight w:val="none"/>
        </w:rPr>
        <w:t xml:space="preserve">中标单位</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28.1中标候选人的选取原则和数量见招标文件第五章规定。</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val="zh-CN"/>
        </w:rPr>
        <w:t xml:space="preserve">.2按以下第</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u w:val="single"/>
        </w:rPr>
        <w:t xml:space="preserve">2</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种方式确定中标人</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（1）评委会直接确定排名第一的中标候选人为中标人；</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（2）招标人在评委会推荐的中标候选人中按顺序确定中标人。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按第</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种方式确定中标人的，</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自评审结束之日起两个工作日内将评审报告送交招标人，招标人自收到评审报告之日起五个工作日内在评审报告推荐的中标候选人中按顺序确定中标人。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w:t>
      </w:r>
      <w:r>
        <w:rPr>
          <w:rFonts w:hint="eastAsia" w:ascii="宋体" w:hAnsi="宋体" w:eastAsia="宋体" w:cs="宋体"/>
          <w:color w:val="auto"/>
          <w:sz w:val="24"/>
          <w:szCs w:val="24"/>
          <w:highlight w:val="none"/>
        </w:rPr>
        <w:t xml:space="preserve">采购代理机构将在“宿迁市政府采购网”发布中标公告，公告期限为1个工作日。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28.4.2向招标人、采购代理机构行贿或者提供其他不正当利益的。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28.4.4与招标人或者其他投标人恶意串通的。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28.4.5采取不正当手段诋毁、排挤其他投标人的。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79" w:name="_Toc200451960"/>
      <w:r>
        <w:rPr>
          <w:rFonts w:hint="eastAsia" w:ascii="宋体" w:hAnsi="宋体" w:eastAsia="宋体" w:cs="宋体"/>
          <w:color w:val="auto"/>
          <w:sz w:val="24"/>
          <w:szCs w:val="24"/>
          <w:highlight w:val="none"/>
        </w:rPr>
        <w:t xml:space="preserve">28.5有下列情形之一的，视为投标人串通投标，投标无效：</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28.5.3不同投标人的投标文件载明的项目管理成员或者联系人员为同一人。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29.</w:t>
      </w:r>
      <w:r>
        <w:rPr>
          <w:rFonts w:hint="eastAsia" w:ascii="宋体" w:hAnsi="宋体" w:eastAsia="宋体" w:cs="宋体"/>
          <w:b w:val="0"/>
          <w:color w:val="auto"/>
          <w:sz w:val="24"/>
          <w:szCs w:val="24"/>
          <w:highlight w:val="none"/>
        </w:rPr>
        <w:t xml:space="preserve">质疑处理</w:t>
      </w:r>
      <w:bookmarkEnd w:id="179"/>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29.4投标人应以书面形式向招标人或者其委托的采购代理机构提出质疑。质疑超出采购机构代理范围的，投标人应当向招标人提出。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接收质疑函的方式：现场接收或邮寄接收。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lang w:eastAsia="zh-CN"/>
        </w:rPr>
        <w:t xml:space="preserve">宿迁学院</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苏世建设管理集团有限公司</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0527—84201886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0527-88856031</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lang w:eastAsia="zh-CN"/>
        </w:rPr>
        <w:t xml:space="preserve">宿迁市黄河南路399号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宿迁市世纪大道102号青海湖路城市之家4楼 </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29.5.4未参加投标活动的投标人或在投标活动中自身权益未受到损害的投标人所提出的质疑。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29.7质疑供应商对招标人、采购代理机构的答复不满意，或者招标人、采购代理机构未在规定时间内作出答复的，可以在答复期满后15个工作日内向同级财政部门提起投诉。</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30.</w:t>
      </w:r>
      <w:r>
        <w:rPr>
          <w:rFonts w:hint="eastAsia" w:ascii="宋体" w:hAnsi="宋体" w:eastAsia="宋体" w:cs="宋体"/>
          <w:b w:val="0"/>
          <w:color w:val="auto"/>
          <w:sz w:val="24"/>
          <w:szCs w:val="24"/>
          <w:highlight w:val="none"/>
        </w:rPr>
        <w:t xml:space="preserve">中标通知书</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80" w:name="_Toc513029236"/>
      <w:r/>
      <w:bookmarkStart w:id="181" w:name="_Toc16938552"/>
      <w:r/>
      <w:bookmarkStart w:id="182" w:name="_Toc120614220"/>
      <w:r/>
      <w:bookmarkStart w:id="183" w:name="_Toc20823308"/>
      <w:r>
        <w:rPr>
          <w:rFonts w:hint="eastAsia" w:ascii="宋体" w:hAnsi="宋体" w:eastAsia="宋体" w:cs="宋体"/>
          <w:color w:val="auto"/>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30.2中标通知书将是合同的一个组成部分。对招标人和中标人均具有法律效力。中标通知书发出后，招标人改变中标结果的，或者中标人放弃中标项目的，应当依法承担法律责任。</w:t>
      </w:r>
      <w:r/>
    </w:p>
    <w:p>
      <w:pPr>
        <w:pStyle w:val="780"/>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七、授予合同</w:t>
      </w:r>
      <w:bookmarkEnd w:id="180"/>
      <w:r/>
      <w:bookmarkEnd w:id="181"/>
      <w:r/>
      <w:bookmarkEnd w:id="182"/>
      <w:r/>
      <w:bookmarkEnd w:id="183"/>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bookmarkStart w:id="184" w:name="_Toc16938553"/>
      <w:r/>
      <w:bookmarkStart w:id="185" w:name="_Toc20823309"/>
      <w:r/>
      <w:bookmarkStart w:id="186" w:name="_Toc513029237"/>
      <w:r>
        <w:rPr>
          <w:rFonts w:hint="eastAsia" w:ascii="宋体" w:hAnsi="宋体" w:eastAsia="宋体" w:cs="宋体"/>
          <w:b w:val="0"/>
          <w:color w:val="auto"/>
          <w:sz w:val="24"/>
          <w:szCs w:val="24"/>
          <w:highlight w:val="none"/>
          <w:lang w:eastAsia="zh-CN"/>
        </w:rPr>
        <w:t xml:space="preserve">31.</w:t>
      </w:r>
      <w:r>
        <w:rPr>
          <w:rFonts w:hint="eastAsia" w:ascii="宋体" w:hAnsi="宋体" w:eastAsia="宋体" w:cs="宋体"/>
          <w:b w:val="0"/>
          <w:color w:val="auto"/>
          <w:sz w:val="24"/>
          <w:szCs w:val="24"/>
          <w:highlight w:val="none"/>
        </w:rPr>
        <w:t xml:space="preserve">签订合同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.l中标人应当在中标通知书发出之日起15日内，按照招标文件确定的事项与招标人签订政府采购合同。</w:t>
      </w:r>
      <w:r>
        <w:rPr>
          <w:rFonts w:hint="eastAsia" w:ascii="宋体" w:hAnsi="宋体" w:eastAsia="宋体" w:cs="宋体"/>
          <w:bCs/>
          <w:color w:val="auto"/>
          <w:sz w:val="24"/>
          <w:szCs w:val="24"/>
          <w:highlight w:val="none"/>
          <w:lang w:val="zh-CN"/>
        </w:rPr>
        <w:t xml:space="preserve">并在签订之日起2个工作日内将政府采购合同在指定的媒体上公告，但政府采购合同中涉及国家秘密、商业秘密的内容除外</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31.4本项目的非主体、非关键性工作是否允许分包按以下第</w:t>
      </w:r>
      <w:r>
        <w:rPr>
          <w:rFonts w:hint="eastAsia" w:ascii="宋体" w:hAnsi="宋体" w:eastAsia="宋体" w:cs="宋体"/>
          <w:color w:val="auto"/>
          <w:sz w:val="24"/>
          <w:szCs w:val="24"/>
          <w:highlight w:val="none"/>
          <w:u w:val="single"/>
          <w:lang w:val="en-US" w:eastAsia="zh-CN"/>
        </w:rPr>
        <w:t xml:space="preserve"> 2 </w:t>
      </w:r>
      <w:r>
        <w:rPr>
          <w:rFonts w:hint="eastAsia" w:ascii="宋体" w:hAnsi="宋体" w:eastAsia="宋体" w:cs="宋体"/>
          <w:color w:val="auto"/>
          <w:sz w:val="24"/>
          <w:szCs w:val="24"/>
          <w:highlight w:val="none"/>
        </w:rPr>
        <w:t xml:space="preserve">种方式确定：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本项目允许大中型企业向一家或者多家小微企业分包，分包具体内容、金额或比例：大中型企业向小微企业分包的，如果分包意向协议约定小微企业的合同份额占到合同总金额40%以上的，对大中型企业的报价给予5%的扣除，用扣除后的价格参加评审；</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注：①投标人须在投标文件中提供分包意向协议；分包意向协议要明确分包人的名称，分包内容，所占合同总金额比例等。分包要求：投标人须上传真实、有效的中小企业预留份额合同原件电子件。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②投标人须在《中小企业声明函》中填写签订分包意向协议的中小企业相关信息。须按《中小企业声明函》中的要求正确填写。</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2.不允许分包。未经招标人同意，中标人也不得采用分包形式履行合同，否则招标人有权终止合同。转包或分包造成招标人损失的，中标人应承担相应赔偿责任。</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31.5履约保证金</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按照以下第</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lang w:val="zh-CN"/>
        </w:rPr>
        <w:t xml:space="preserve">方式确定履约保证收取方式。</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（1）不收取履约保证金。</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（2）履约保证金应在采购合同签订前向采购人提交，履约保证金的金额：按采购合同总价的</w:t>
      </w:r>
      <w:r>
        <w:rPr>
          <w:rFonts w:hint="eastAsia" w:ascii="宋体" w:hAnsi="宋体" w:eastAsia="宋体" w:cs="宋体"/>
          <w:bCs/>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计取。除银行电汇、网上银行、数字人民币外，成交供应商还可选用银行保函、担保公司的保证担保或保险公司的保证保险等多种形式向采购人缴纳，支持和鼓励成交供应商自愿使用履约保函（保险）代替缴纳履约保证金，成交供应商如使用江苏政府采购电子履约保函（保险）的，可按采购合同总价的</w:t>
      </w: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（履约保证金原提交金额的6折）提交。办理流程、偿付等内容见江苏省政府采购网“保险保函”模块。</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履约保证金退还的条件：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货物类项目，项目验收合格，出具验收报告及履约保证金收据申请退付；</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履约保证金退还时间：采购人收到成交供应商退付申请后5个工作日内退还；</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逾期退还履约保证金的违约责任：除应当退还履约保证金外，还应当按中国人民银行同期贷款基准利率上浮20％后的利率支付超期资金占用费，但因成交供应商自身原因导致无法及时退还的除外。</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lang w:eastAsia="zh-CN"/>
        </w:rPr>
        <w:t xml:space="preserve">32.</w:t>
      </w:r>
      <w:r>
        <w:rPr>
          <w:rFonts w:hint="eastAsia" w:ascii="宋体" w:hAnsi="宋体" w:eastAsia="宋体" w:cs="宋体"/>
          <w:bCs/>
          <w:color w:val="auto"/>
          <w:sz w:val="24"/>
          <w:szCs w:val="24"/>
          <w:highlight w:val="none"/>
        </w:rPr>
        <w:t xml:space="preserve">货物（包含与货物相关的服务）的追加</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84"/>
      <w:r/>
      <w:bookmarkEnd w:id="185"/>
      <w:r/>
      <w:bookmarkEnd w:id="186"/>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33.</w:t>
      </w:r>
      <w:r>
        <w:rPr>
          <w:rFonts w:hint="eastAsia" w:ascii="宋体" w:hAnsi="宋体" w:eastAsia="宋体" w:cs="宋体"/>
          <w:b w:val="0"/>
          <w:color w:val="auto"/>
          <w:sz w:val="24"/>
          <w:szCs w:val="24"/>
          <w:highlight w:val="none"/>
        </w:rPr>
        <w:t xml:space="preserve">政府采购履约资金扶持政策</w:t>
      </w:r>
      <w:r/>
    </w:p>
    <w:p>
      <w:pPr>
        <w:pStyle w:val="789"/>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33.1根据江苏省财政厅 中国人民银行南京分行《关于深入推进政府采购线上合同信用融资工作的通知》（苏财购〔2021〕82号）</w:t>
      </w:r>
      <w:r>
        <w:rPr>
          <w:rFonts w:hint="eastAsia" w:ascii="宋体" w:hAnsi="宋体" w:eastAsia="宋体" w:cs="宋体"/>
          <w:bCs/>
          <w:color w:val="auto"/>
          <w:sz w:val="24"/>
          <w:szCs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81"/>
        <w:ind w:firstLine="482"/>
        <w:keepLines w:val="0"/>
        <w:keepNext w:val="0"/>
        <w:pageBreakBefore w:val="0"/>
        <w:spacing w:before="0" w:after="0"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34.</w:t>
      </w:r>
      <w:r>
        <w:rPr>
          <w:rFonts w:hint="eastAsia" w:ascii="宋体" w:hAnsi="宋体" w:eastAsia="宋体" w:cs="宋体"/>
          <w:color w:val="auto"/>
          <w:sz w:val="24"/>
          <w:szCs w:val="24"/>
          <w:highlight w:val="none"/>
        </w:rPr>
        <w:t xml:space="preserve">验收及付款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34.2招标人可以邀请参加本项目的其他投标人或者第三方机构参与验收。参与验收的投标人或者第三方机构的意见作为验收书的参考资料一并存档。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34.3严格按照采购合同开展履约验收。招标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条件挂钩。履约验收的各项资料应当存档备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34.4验收合格的项目，招标人将根据采购合同的约定及时向供应商支付采购资金。验收不合格的项目，招标人将依法及时处理。采购合同的履行、违约责任和解决争议的方式等适用《中华人民共和国民法典》。供应商在履约过程中有政府采购法律法规规定的违法违规情形的，招标人应当及时报告本级财政部门。</w:t>
      </w:r>
      <w:r/>
    </w:p>
    <w:p>
      <w:pPr>
        <w:ind w:firstLine="482"/>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lang w:eastAsia="zh-CN"/>
        </w:rPr>
        <w:t xml:space="preserve">35.</w:t>
      </w:r>
      <w:r>
        <w:rPr>
          <w:rFonts w:hint="eastAsia" w:ascii="宋体" w:hAnsi="宋体" w:eastAsia="宋体" w:cs="宋体"/>
          <w:b/>
          <w:color w:val="auto"/>
          <w:sz w:val="24"/>
          <w:szCs w:val="24"/>
          <w:highlight w:val="none"/>
        </w:rPr>
        <w:t xml:space="preserve">付款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87" w:name="EBec7f529f50594afd871ea9378869e456"/>
      <w:r>
        <w:rPr>
          <w:rFonts w:hint="eastAsia" w:ascii="宋体" w:hAnsi="宋体" w:eastAsia="宋体" w:cs="宋体"/>
          <w:bCs/>
          <w:color w:val="auto"/>
          <w:sz w:val="24"/>
          <w:szCs w:val="24"/>
          <w:highlight w:val="none"/>
        </w:rPr>
        <w:t xml:space="preserve">按照以下确定的付款方式，招标人及时办理付款手续。对于满足合同约定支付条件的，自收到发票后10个工作日内将资金支付到合同约定的供应商账户或供应商数字人民币账户。</w:t>
      </w:r>
      <w:bookmarkEnd w:id="187"/>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bookmarkStart w:id="188" w:name="EB11398ec6946f4019bc4c35221e27b04f"/>
      <w:r>
        <w:rPr>
          <w:rFonts w:hint="eastAsia" w:ascii="宋体" w:hAnsi="宋体" w:eastAsia="宋体" w:cs="宋体"/>
          <w:bCs/>
          <w:color w:val="auto"/>
          <w:sz w:val="24"/>
          <w:szCs w:val="24"/>
          <w:highlight w:val="none"/>
          <w:lang w:val="en-US" w:eastAsia="zh-CN"/>
        </w:rPr>
        <w:t xml:space="preserve">预付款：合同金额的30%，合同签订后按规定支付； </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进度款：验收合格后，支付至合同总价款的100%（无息）。</w:t>
      </w:r>
      <w:bookmarkEnd w:id="188"/>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资金支付的时间：收到供应商发票10个工作日内；</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资金支付的条件：满足相应阶段的要求且收到供应商发票；</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注：在签订合同时，投标人明确表示无需预付款或者主动要求降低预付款比例的金额，采购人可不适用前述规定。支付方式可以通过转账或数字人民币等方式。</w:t>
      </w:r>
      <w:r/>
    </w:p>
    <w:p>
      <w:pPr>
        <w:ind w:firstLine="480"/>
        <w:keepLines w:val="0"/>
        <w:keepNext w:val="0"/>
        <w:pageBreakBefore w:val="0"/>
        <w:spacing w:line="400" w:lineRule="exact"/>
        <w:shd w:val="clear" w:color="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36.</w:t>
      </w:r>
      <w:r>
        <w:rPr>
          <w:rFonts w:hint="eastAsia" w:ascii="宋体" w:hAnsi="宋体" w:eastAsia="宋体" w:cs="宋体"/>
          <w:b/>
          <w:bCs w:val="0"/>
          <w:color w:val="auto"/>
          <w:sz w:val="24"/>
          <w:szCs w:val="24"/>
          <w:highlight w:val="none"/>
        </w:rPr>
        <w:t xml:space="preserve">补充救济条款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采购供应商合法权益补偿救济机制。在履约过程中因政策变化、规划调整而无法履行合同约定，造成企业合法权益受损的，采购人依据实际情况对供应商进行补偿救济。</w:t>
      </w:r>
      <w:r/>
    </w:p>
    <w:p>
      <w:pPr>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pStyle w:val="778"/>
        <w:jc w:val="center"/>
        <w:shd w:val="clear" w:color="auto"/>
        <w:rPr>
          <w:rFonts w:hint="eastAsia" w:ascii="宋体" w:hAnsi="宋体" w:eastAsia="宋体" w:cs="宋体"/>
          <w:b/>
          <w:bCs w:val="0"/>
          <w:color w:val="auto"/>
          <w:sz w:val="44"/>
          <w:highlight w:val="none"/>
          <w:lang w:eastAsia="zh-CN"/>
        </w:rPr>
      </w:pPr>
      <w:r/>
      <w:bookmarkStart w:id="189" w:name="_Toc8406"/>
      <w:r>
        <w:rPr>
          <w:rFonts w:hint="eastAsia" w:ascii="宋体" w:hAnsi="宋体" w:eastAsia="宋体" w:cs="宋体"/>
          <w:b/>
          <w:bCs w:val="0"/>
          <w:color w:val="auto"/>
          <w:sz w:val="44"/>
          <w:highlight w:val="none"/>
        </w:rPr>
        <w:t xml:space="preserve">第三章  合同文本</w:t>
      </w:r>
      <w:bookmarkEnd w:id="189"/>
      <w:r>
        <w:rPr>
          <w:rFonts w:hint="eastAsia" w:ascii="宋体" w:hAnsi="宋体" w:eastAsia="宋体" w:cs="宋体"/>
          <w:b/>
          <w:bCs w:val="0"/>
          <w:color w:val="auto"/>
          <w:sz w:val="44"/>
          <w:highlight w:val="none"/>
          <w:lang w:eastAsia="zh-CN"/>
        </w:rPr>
        <w:t xml:space="preserve">（参考）</w:t>
      </w:r>
      <w:r/>
    </w:p>
    <w:p>
      <w:pPr>
        <w:jc w:val="left"/>
        <w:keepLines w:val="0"/>
        <w:keepNext w:val="0"/>
        <w:pageBreakBefore w:val="0"/>
        <w:spacing w:line="360" w:lineRule="auto"/>
        <w:widowControl w:val="off"/>
        <w:rPr>
          <w:rFonts w:hint="eastAsia" w:ascii="宋体" w:hAnsi="宋体" w:eastAsia="宋体" w:cs="宋体"/>
          <w:color w:val="auto"/>
          <w:sz w:val="30"/>
          <w:szCs w:val="30"/>
          <w:highlight w:val="none"/>
        </w:rPr>
      </w:pPr>
      <w:r/>
      <w:bookmarkStart w:id="190" w:name="_Hlt16619369"/>
      <w:r/>
      <w:bookmarkEnd w:id="190"/>
      <w:r/>
      <w:r/>
    </w:p>
    <w:p>
      <w:pPr>
        <w:jc w:val="center"/>
        <w:rPr>
          <w:rFonts w:ascii="宋体" w:hAnsi="宋体" w:cs="宋体"/>
          <w:b/>
          <w:bCs/>
          <w:spacing w:val="-20"/>
          <w:sz w:val="32"/>
          <w:szCs w:val="32"/>
        </w:rPr>
      </w:pPr>
      <w:r>
        <w:rPr>
          <w:rFonts w:hint="eastAsia" w:ascii="宋体" w:hAnsi="宋体" w:cs="宋体"/>
          <w:b/>
          <w:bCs/>
          <w:spacing w:val="-20"/>
          <w:sz w:val="32"/>
          <w:szCs w:val="32"/>
        </w:rPr>
        <w:t xml:space="preserve">财政部 政府采购货物买卖合同（试行）</w:t>
      </w:r>
      <w:r/>
    </w:p>
    <w:p>
      <w:pPr>
        <w:jc w:val="center"/>
        <w:rPr>
          <w:rFonts w:ascii="宋体" w:hAnsi="宋体" w:cs="宋体"/>
          <w:b/>
          <w:bCs/>
          <w:spacing w:val="-20"/>
          <w:sz w:val="32"/>
          <w:szCs w:val="32"/>
        </w:rPr>
      </w:pPr>
      <w:r>
        <w:rPr>
          <w:rFonts w:hint="eastAsia" w:ascii="宋体" w:hAnsi="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rFonts w:ascii="Times New Roman" w:hAnsi="Times New Roman"/>
          <w:sz w:val="28"/>
          <w:szCs w:val="28"/>
        </w:rPr>
      </w:pPr>
      <w:r>
        <w:rPr>
          <w:rFonts w:hint="eastAsia" w:ascii="宋体" w:hAnsi="宋体" w:cs="宋体"/>
          <w:sz w:val="28"/>
          <w:szCs w:val="28"/>
        </w:rPr>
        <w:t xml:space="preserve">项目名称：</w:t>
      </w:r>
      <w:r>
        <w:rPr>
          <w:rFonts w:ascii="Times New Roman" w:hAnsi="Times New Roman"/>
          <w:sz w:val="28"/>
          <w:szCs w:val="28"/>
          <w:u w:val="single"/>
        </w:rPr>
        <w:t xml:space="preserve">                             </w:t>
      </w:r>
      <w:r/>
    </w:p>
    <w:p>
      <w:pPr>
        <w:ind w:left="420"/>
        <w:spacing w:line="360" w:lineRule="auto"/>
        <w:rPr>
          <w:rFonts w:ascii="Times New Roman" w:hAnsi="Times New Roman"/>
          <w:sz w:val="28"/>
          <w:szCs w:val="28"/>
          <w:u w:val="single"/>
        </w:rPr>
      </w:pPr>
      <w:r>
        <w:rPr>
          <w:rFonts w:hint="eastAsia" w:ascii="Times New Roman" w:hAnsi="Times New Roman"/>
          <w:sz w:val="28"/>
          <w:szCs w:val="28"/>
        </w:rPr>
        <w:t xml:space="preserve">合同编号：</w:t>
      </w:r>
      <w:r>
        <w:rPr>
          <w:rFonts w:ascii="Times New Roman" w:hAnsi="Times New Roman"/>
          <w:sz w:val="28"/>
          <w:szCs w:val="28"/>
          <w:u w:val="single"/>
        </w:rPr>
        <w:t xml:space="preserve">                             </w:t>
      </w:r>
      <w:r/>
    </w:p>
    <w:p>
      <w:pPr>
        <w:ind w:left="420"/>
        <w:spacing w:line="360" w:lineRule="auto"/>
        <w:rPr>
          <w:rFonts w:ascii="Times New Roman" w:hAnsi="Times New Roman"/>
          <w:sz w:val="28"/>
          <w:szCs w:val="28"/>
        </w:rPr>
      </w:pPr>
      <w:r>
        <w:rPr>
          <w:rFonts w:hint="eastAsia" w:ascii="Times New Roman" w:hAnsi="Times New Roman"/>
          <w:sz w:val="28"/>
          <w:szCs w:val="28"/>
        </w:rPr>
        <w:t xml:space="preserve">甲</w:t>
      </w:r>
      <w:r>
        <w:rPr>
          <w:rFonts w:ascii="Times New Roman" w:hAnsi="Times New Roman"/>
          <w:sz w:val="28"/>
          <w:szCs w:val="28"/>
        </w:rPr>
        <w:t xml:space="preserve">    </w:t>
      </w:r>
      <w:r>
        <w:rPr>
          <w:rFonts w:hint="eastAsia" w:ascii="Times New Roman" w:hAnsi="Times New Roman"/>
          <w:sz w:val="28"/>
          <w:szCs w:val="28"/>
        </w:rPr>
        <w:t xml:space="preserve">方：</w:t>
      </w:r>
      <w:r>
        <w:rPr>
          <w:rFonts w:ascii="Times New Roman" w:hAnsi="Times New Roman"/>
          <w:sz w:val="28"/>
          <w:szCs w:val="28"/>
          <w:u w:val="single"/>
        </w:rPr>
        <w:t xml:space="preserve">                             </w:t>
      </w:r>
      <w:r/>
    </w:p>
    <w:p>
      <w:pPr>
        <w:ind w:left="420"/>
        <w:spacing w:line="360" w:lineRule="auto"/>
        <w:rPr>
          <w:rFonts w:ascii="Times New Roman" w:hAnsi="Times New Roman"/>
          <w:sz w:val="28"/>
          <w:szCs w:val="28"/>
          <w:u w:val="single"/>
        </w:rPr>
      </w:pPr>
      <w:r>
        <w:rPr>
          <w:rFonts w:hint="eastAsia" w:ascii="Times New Roman" w:hAnsi="Times New Roman"/>
          <w:sz w:val="28"/>
          <w:szCs w:val="28"/>
        </w:rPr>
        <w:t xml:space="preserve">乙</w:t>
      </w:r>
      <w:r>
        <w:rPr>
          <w:rFonts w:ascii="Times New Roman" w:hAnsi="Times New Roman"/>
          <w:sz w:val="28"/>
          <w:szCs w:val="28"/>
        </w:rPr>
        <w:t xml:space="preserve">    </w:t>
      </w:r>
      <w:r>
        <w:rPr>
          <w:rFonts w:hint="eastAsia" w:ascii="Times New Roman" w:hAnsi="Times New Roman"/>
          <w:sz w:val="28"/>
          <w:szCs w:val="28"/>
        </w:rPr>
        <w:t xml:space="preserve">方：</w:t>
      </w:r>
      <w:r>
        <w:rPr>
          <w:rFonts w:ascii="Times New Roman" w:hAnsi="Times New Roman"/>
          <w:sz w:val="28"/>
          <w:szCs w:val="28"/>
          <w:u w:val="single"/>
        </w:rPr>
        <w:t xml:space="preserve">                             </w:t>
      </w:r>
      <w:r/>
    </w:p>
    <w:p>
      <w:pPr>
        <w:ind w:left="420"/>
        <w:spacing w:line="360" w:lineRule="auto"/>
        <w:rPr>
          <w:rFonts w:ascii="Times New Roman" w:hAnsi="Times New Roman"/>
          <w:sz w:val="28"/>
          <w:szCs w:val="28"/>
        </w:rPr>
      </w:pPr>
      <w:r>
        <w:rPr>
          <w:rFonts w:hint="eastAsia" w:ascii="Times New Roman" w:hAnsi="Times New Roman"/>
          <w:sz w:val="28"/>
          <w:szCs w:val="28"/>
        </w:rPr>
        <w:t xml:space="preserve">签订时间：</w:t>
      </w:r>
      <w:r>
        <w:rPr>
          <w:rFonts w:ascii="Times New Roman" w:hAnsi="Times New Roman"/>
          <w:sz w:val="28"/>
          <w:szCs w:val="28"/>
          <w:u w:val="single"/>
        </w:rPr>
        <w:t xml:space="preserve">                             </w:t>
      </w:r>
      <w:r/>
    </w:p>
    <w:p>
      <w:pPr>
        <w:rPr>
          <w:rFonts w:ascii="Times New Roman" w:hAnsi="Times New Roman"/>
          <w:szCs w:val="22"/>
        </w:rPr>
      </w:pPr>
      <w:r>
        <w:rPr>
          <w:rFonts w:ascii="Times New Roman" w:hAnsi="Times New Roman"/>
          <w:szCs w:val="22"/>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jc w:val="left"/>
        <w:widowControl/>
        <w:rPr>
          <w:rFonts w:ascii="Times New Roman" w:hAnsi="Times New Roman" w:eastAsia="黑体"/>
          <w:sz w:val="44"/>
          <w:szCs w:val="44"/>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ascii="Times New Roman" w:hAnsi="Times New Roman" w:eastAsia="黑体"/>
          <w:sz w:val="44"/>
          <w:szCs w:val="44"/>
        </w:rPr>
      </w:r>
      <w:r/>
    </w:p>
    <w:p>
      <w:pPr>
        <w:jc w:val="center"/>
        <w:keepLines/>
        <w:keepNext/>
        <w:spacing w:before="260" w:after="260" w:line="400" w:lineRule="exact"/>
        <w:rPr>
          <w:rFonts w:ascii="黑体" w:hAnsi="华文中宋" w:eastAsia="黑体" w:cs="Arial"/>
          <w:sz w:val="28"/>
          <w:szCs w:val="28"/>
        </w:rPr>
        <w:outlineLvl w:val="1"/>
      </w:pPr>
      <w:r>
        <w:rPr>
          <w:rFonts w:hint="eastAsia" w:ascii="黑体" w:hAnsi="黑体" w:eastAsia="黑体" w:cs="Arial"/>
          <w:sz w:val="28"/>
          <w:szCs w:val="28"/>
        </w:rPr>
        <w:t xml:space="preserve">第一节 </w:t>
      </w:r>
      <w:r>
        <w:rPr>
          <w:rFonts w:hint="eastAsia" w:ascii="黑体" w:hAnsi="华文中宋" w:eastAsia="黑体" w:cs="Arial"/>
          <w:sz w:val="28"/>
          <w:szCs w:val="28"/>
        </w:rPr>
        <w:t xml:space="preserve">政府采购合同协议书</w:t>
      </w:r>
      <w:r/>
    </w:p>
    <w:p>
      <w:pPr>
        <w:jc w:val="center"/>
        <w:keepLines/>
        <w:keepNext/>
        <w:spacing w:before="260" w:after="260" w:line="400" w:lineRule="exact"/>
        <w:rPr>
          <w:rFonts w:ascii="黑体" w:hAnsi="华文中宋" w:eastAsia="黑体" w:cs="Arial"/>
          <w:sz w:val="28"/>
          <w:szCs w:val="28"/>
        </w:rPr>
        <w:outlineLvl w:val="1"/>
      </w:pPr>
      <w:r>
        <w:rPr>
          <w:rFonts w:ascii="黑体" w:hAnsi="华文中宋" w:eastAsia="黑体" w:cs="Arial"/>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ascii="Times New Roman" w:hAnsi="Times New Roman"/>
          <w:szCs w:val="22"/>
        </w:rPr>
        <w:t xml:space="preserve">乙方</w:t>
      </w:r>
      <w:r>
        <w:rPr>
          <w:rFonts w:hint="eastAsia" w:ascii="宋体" w:hAnsi="宋体"/>
          <w:szCs w:val="21"/>
        </w:rPr>
        <w:t xml:space="preserve">3</w:t>
      </w:r>
      <w:r>
        <w:rPr>
          <w:rFonts w:hint="eastAsia" w:ascii="Times New Roman" w:hAnsi="Times New Roman"/>
          <w:szCs w:val="22"/>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Times New Roman" w:hAnsi="Times New Roman"/>
          <w:szCs w:val="22"/>
        </w:rPr>
      </w:pPr>
      <w:r>
        <w:rPr>
          <w:rFonts w:ascii="Times New Roman" w:hAnsi="Times New Roman"/>
          <w:szCs w:val="22"/>
        </w:rPr>
      </w:r>
      <w:r/>
    </w:p>
    <w:p>
      <w:pPr>
        <w:ind w:firstLine="420"/>
        <w:spacing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中华人民共和国政府采购法》等有关的法律法规，以及本采购项目采购文件（征集文件）、乙方的《投标（响应）文件》及《中标（成交）通知书》，甲乙双方同意签订本合同。具体情况及要求如下：     </w:t>
      </w:r>
      <w:r/>
    </w:p>
    <w:p>
      <w:pPr>
        <w:numPr>
          <w:ilvl w:val="0"/>
          <w:numId w:val="1"/>
        </w:numPr>
        <w:ind w:firstLine="422"/>
        <w:spacing w:line="400" w:lineRule="exact"/>
        <w:rPr>
          <w:rFonts w:ascii="宋体" w:hAnsi="宋体"/>
          <w:b/>
          <w:szCs w:val="21"/>
        </w:rPr>
      </w:pPr>
      <w:r>
        <w:rPr>
          <w:rFonts w:hint="eastAsia" w:ascii="宋体" w:hAnsi="宋体"/>
          <w:b/>
          <w:szCs w:val="21"/>
        </w:rPr>
        <w:t xml:space="preserve">项目信息</w:t>
      </w:r>
      <w:r/>
    </w:p>
    <w:p>
      <w:pPr>
        <w:numPr>
          <w:ilvl w:val="0"/>
          <w:numId w:val="2"/>
        </w:numPr>
        <w:ind w:firstLine="420"/>
        <w:spacing w:line="400" w:lineRule="exact"/>
        <w:rPr>
          <w:rFonts w:ascii="宋体" w:hAnsi="宋体"/>
          <w:szCs w:val="21"/>
          <w:u w:val="single"/>
        </w:rPr>
      </w:pPr>
      <w:r>
        <w:rPr>
          <w:rFonts w:hint="eastAsia" w:ascii="宋体" w:hAnsi="宋体"/>
          <w:szCs w:val="21"/>
        </w:rPr>
        <w:t xml:space="preserve">采购项目名称：</w:t>
      </w:r>
      <w:r>
        <w:rPr>
          <w:rFonts w:hint="eastAsia" w:ascii="宋体" w:hAnsi="宋体"/>
          <w:szCs w:val="21"/>
          <w:u w:val="single"/>
        </w:rPr>
        <w:t xml:space="preserve">                                          </w:t>
      </w:r>
      <w:r/>
    </w:p>
    <w:p>
      <w:pPr>
        <w:spacing w:line="400" w:lineRule="exact"/>
        <w:tabs>
          <w:tab w:val="left" w:pos="999" w:leader="none"/>
        </w:tabs>
        <w:rPr>
          <w:rFonts w:ascii="宋体" w:hAnsi="宋体"/>
          <w:szCs w:val="21"/>
        </w:rPr>
      </w:pPr>
      <w:r>
        <w:rPr>
          <w:rFonts w:hint="eastAsia" w:ascii="宋体" w:hAnsi="宋体"/>
          <w:szCs w:val="21"/>
        </w:rPr>
        <w:t xml:space="preserve">         采购项目编号：</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（2）采购计划编号：</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hint="eastAsia" w:ascii="宋体" w:hAnsi="宋体"/>
          <w:szCs w:val="21"/>
          <w:lang w:val="en"/>
        </w:rPr>
        <w:t xml:space="preserve">/个/架/组等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400" w:lineRule="exact"/>
        <w:widowControl/>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400" w:lineRule="exact"/>
        <w:widowControl/>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p>
    <w:p>
      <w:pPr>
        <w:jc w:val="left"/>
        <w:spacing w:line="400" w:lineRule="exact"/>
        <w:widowControl/>
        <w:rPr>
          <w:rFonts w:ascii="宋体" w:hAnsi="宋体" w:cs="宋体"/>
          <w:szCs w:val="21"/>
        </w:rPr>
      </w:pPr>
      <w:r>
        <w:rPr>
          <w:rFonts w:hint="eastAsia" w:ascii="宋体" w:hAnsi="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ascii="宋体" w:hAnsi="宋体" w:cs="宋体"/>
          <w:szCs w:val="21"/>
        </w:rPr>
      </w:pPr>
      <w:r>
        <w:rPr>
          <w:rFonts w:hint="eastAsia" w:ascii="宋体" w:hAnsi="宋体" w:cs="宋体"/>
          <w:szCs w:val="21"/>
        </w:rPr>
        <w:t xml:space="preserve">         </w:t>
      </w:r>
      <w:r>
        <w:rPr>
          <w:rFonts w:ascii="汉仪书宋二S" w:hAnsi="汉仪书宋二S" w:eastAsia="汉仪书宋二S" w:cs="汉仪书宋二S"/>
          <w:szCs w:val="21"/>
        </w:rPr>
        <w:t xml:space="preserve">②</w:t>
      </w:r>
      <w:r>
        <w:rPr>
          <w:rFonts w:hint="eastAsia" w:ascii="宋体" w:hAnsi="宋体" w:cs="宋体"/>
          <w:szCs w:val="21"/>
        </w:rPr>
        <w:t xml:space="preserve">涉及车辆采购，请填写是否属于新能源汽车：</w:t>
      </w:r>
      <w:r/>
    </w:p>
    <w:p>
      <w:pPr>
        <w:jc w:val="left"/>
        <w:spacing w:line="400" w:lineRule="exact"/>
        <w:widowControl/>
        <w:rPr>
          <w:rFonts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数量：</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400" w:lineRule="exact"/>
        <w:widowControl/>
        <w:rPr>
          <w:rFonts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jc w:val="left"/>
        <w:spacing w:line="400" w:lineRule="exact"/>
        <w:widowControl/>
        <w:rPr>
          <w:rFonts w:ascii="宋体" w:hAnsi="宋体" w:cs="宋体"/>
          <w:szCs w:val="21"/>
        </w:rPr>
      </w:pPr>
      <w:r>
        <w:rPr>
          <w:rFonts w:hint="eastAsia" w:ascii="宋体" w:hAnsi="宋体" w:cs="宋体"/>
          <w:szCs w:val="21"/>
        </w:rPr>
        <w:t xml:space="preserve">    （</w:t>
      </w:r>
      <w:r>
        <w:rPr>
          <w:rFonts w:hint="eastAsia" w:ascii="宋体" w:hAnsi="宋体" w:cs="宋体"/>
          <w:szCs w:val="21"/>
          <w:lang w:val="en"/>
        </w:rPr>
        <w:t xml:space="preserve">4</w:t>
      </w:r>
      <w:r>
        <w:rPr>
          <w:rFonts w:hint="eastAsia" w:ascii="宋体" w:hAnsi="宋体" w:cs="宋体"/>
          <w:szCs w:val="21"/>
        </w:rPr>
        <w:t xml:space="preserve">）政府采购组织形式：</w:t>
      </w:r>
      <w:r>
        <w:rPr>
          <w:rFonts w:ascii="Wingdings" w:hAnsi="Wingdings" w:eastAsia="Wingdings" w:cs="Wingdings"/>
          <w:szCs w:val="21"/>
        </w:rPr>
        <w:t xml:space="preserve"></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p>
    <w:p>
      <w:pPr>
        <w:ind w:firstLine="420"/>
        <w:jc w:val="left"/>
        <w:spacing w:line="40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5</w:t>
      </w:r>
      <w:r>
        <w:rPr>
          <w:rFonts w:hint="eastAsia" w:ascii="宋体" w:hAnsi="宋体" w:cs="宋体"/>
          <w:szCs w:val="21"/>
        </w:rPr>
        <w:t xml:space="preserve">）政府采购方式：</w:t>
      </w:r>
      <w:r>
        <w:rPr>
          <w:rFonts w:ascii="Wingdings" w:hAnsi="Wingdings" w:eastAsia="Wingdings" w:cs="Wingdings"/>
          <w:szCs w:val="21"/>
        </w:rPr>
        <w:t xml:space="preserve"></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ind w:firstLine="420"/>
        <w:jc w:val="left"/>
        <w:spacing w:line="400" w:lineRule="exact"/>
        <w:widowControl/>
        <w:rPr>
          <w:rFonts w:ascii="宋体" w:hAnsi="宋体" w:cs="宋体"/>
          <w:szCs w:val="21"/>
          <w:u w:val="single"/>
        </w:rPr>
      </w:pPr>
      <w:r>
        <w:rPr>
          <w:rFonts w:hint="eastAsia" w:ascii="宋体" w:hAnsi="宋体" w:eastAsia="华文楷体" w:cs="宋体"/>
          <w:sz w:val="22"/>
          <w:szCs w:val="21"/>
        </w:rPr>
        <w:t xml:space="preserve">                  </w:t>
      </w: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rPr>
          <w:rFonts w:hint="eastAsia" w:ascii="宋体" w:hAnsi="宋体" w:cs="宋体"/>
          <w:szCs w:val="21"/>
          <w:u w:val="single"/>
        </w:rPr>
        <w:t xml:space="preserve">          </w:t>
      </w:r>
      <w:r/>
    </w:p>
    <w:p>
      <w:pPr>
        <w:ind w:firstLine="420"/>
        <w:jc w:val="left"/>
        <w:spacing w:line="400" w:lineRule="exact"/>
        <w:widowControl/>
        <w:rPr>
          <w:rFonts w:ascii="宋体" w:hAnsi="宋体" w:cs="宋体"/>
          <w:szCs w:val="21"/>
        </w:rPr>
      </w:pPr>
      <w:r>
        <w:rPr>
          <w:rFonts w:hint="eastAsia" w:ascii="宋体" w:hAnsi="宋体" w:cs="宋体"/>
          <w:szCs w:val="21"/>
        </w:rPr>
        <w:t xml:space="preserve">（注：在框架协议采购的第二阶段，可选择使用该合同文本）</w:t>
      </w:r>
      <w:r/>
    </w:p>
    <w:p>
      <w:pPr>
        <w:ind w:firstLine="220"/>
        <w:jc w:val="left"/>
        <w:spacing w:line="400" w:lineRule="exact"/>
        <w:widowControl/>
        <w:rPr>
          <w:rFonts w:ascii="宋体" w:hAnsi="宋体"/>
          <w:szCs w:val="21"/>
        </w:rPr>
      </w:pPr>
      <w:r>
        <w:rPr>
          <w:rFonts w:hint="eastAsia" w:ascii="宋体" w:hAnsi="宋体" w:eastAsia="华文楷体" w:cs="华文楷体"/>
          <w:sz w:val="22"/>
          <w:szCs w:val="21"/>
        </w:rPr>
        <w:t xml:space="preserve"> （</w:t>
      </w:r>
      <w:r>
        <w:rPr>
          <w:rFonts w:hint="eastAsia" w:ascii="宋体" w:hAnsi="宋体" w:eastAsia="华文楷体" w:cs="华文楷体"/>
          <w:sz w:val="22"/>
          <w:szCs w:val="21"/>
          <w:lang w:val="en"/>
        </w:rPr>
        <w:t xml:space="preserve">6</w:t>
      </w:r>
      <w:r>
        <w:rPr>
          <w:rFonts w:hint="eastAsia" w:ascii="宋体" w:hAnsi="宋体" w:eastAsia="华文楷体" w:cs="华文楷体"/>
          <w:sz w:val="22"/>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ascii="Times New Roman" w:hAnsi="Times New Roman"/>
          <w:szCs w:val="22"/>
        </w:rPr>
        <w:t xml:space="preserve">        </w:t>
      </w:r>
      <w:r>
        <w:rPr>
          <w:rFonts w:hint="eastAsia" w:ascii="Times New Roman" w:hAnsi="Times New Roman"/>
          <w:szCs w:val="22"/>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ascii="Times New Roman" w:hAnsi="Times New Roman"/>
          <w:szCs w:val="22"/>
        </w:rPr>
        <w:t xml:space="preserve">        </w:t>
      </w:r>
      <w:r>
        <w:rPr>
          <w:rFonts w:hint="eastAsia" w:ascii="Times New Roman" w:hAnsi="Times New Roman"/>
          <w:szCs w:val="22"/>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Times New Roman" w:hAnsi="Times New Roman"/>
          <w:szCs w:val="22"/>
        </w:rPr>
      </w:pPr>
      <w:r>
        <w:rPr>
          <w:rFonts w:ascii="Times New Roman" w:hAnsi="Times New Roman"/>
          <w:szCs w:val="22"/>
        </w:rPr>
        <w:t xml:space="preserve">        </w:t>
      </w:r>
      <w:r>
        <w:rPr>
          <w:rFonts w:hint="eastAsia" w:ascii="Times New Roman" w:hAnsi="Times New Roman"/>
          <w:szCs w:val="22"/>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ascii="Times New Roman" w:hAnsi="Times New Roman" w:eastAsia="华文楷体"/>
          <w:szCs w:val="22"/>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jc w:val="left"/>
        <w:spacing w:line="400" w:lineRule="exact"/>
        <w:widowControl/>
        <w:tabs>
          <w:tab w:val="left" w:pos="1340" w:leader="none"/>
        </w:tabs>
        <w:rPr>
          <w:rFonts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hint="eastAsia"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jc w:val="left"/>
        <w:spacing w:line="400" w:lineRule="exact"/>
        <w:widowControl/>
        <w:rPr>
          <w:rFonts w:ascii="宋体" w:hAnsi="宋体"/>
          <w:szCs w:val="21"/>
        </w:rPr>
      </w:pPr>
      <w:r>
        <w:rPr>
          <w:rFonts w:hint="eastAsia" w:ascii="宋体" w:hAnsi="宋体" w:eastAsia="华文楷体" w:cs="华文楷体"/>
          <w:szCs w:val="21"/>
        </w:rPr>
        <w:t xml:space="preserve">          </w:t>
      </w:r>
      <w:r>
        <w:rPr>
          <w:rFonts w:hint="eastAsia" w:ascii="宋体" w:hAnsi="宋体"/>
          <w:szCs w:val="21"/>
        </w:rPr>
        <w:t xml:space="preserve">是否涉及绿色产品： </w:t>
      </w:r>
      <w:r/>
    </w:p>
    <w:p>
      <w:pPr>
        <w:ind w:firstLine="420"/>
        <w:jc w:val="left"/>
        <w:spacing w:line="400" w:lineRule="exact"/>
        <w:widowControl/>
        <w:rPr>
          <w:rFonts w:ascii="宋体" w:hAnsi="宋体" w:cs="华文楷体"/>
          <w:sz w:val="22"/>
          <w:szCs w:val="21"/>
          <w:u w:val="single"/>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hint="eastAsia" w:ascii="宋体" w:hAnsi="宋体" w:cs="华文楷体"/>
          <w:sz w:val="22"/>
          <w:szCs w:val="21"/>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ind w:firstLine="420"/>
        <w:jc w:val="left"/>
        <w:spacing w:line="400" w:lineRule="exact"/>
        <w:widowControl/>
        <w:rPr>
          <w:rFonts w:ascii="宋体" w:hAnsi="宋体" w:eastAsia="华文楷体" w:cs="华文楷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ascii="宋体" w:hAnsi="宋体"/>
          <w:szCs w:val="21"/>
        </w:rPr>
      </w:pPr>
      <w:r>
        <w:rPr>
          <w:rFonts w:hint="eastAsia" w:ascii="宋体" w:hAnsi="宋体"/>
          <w:szCs w:val="21"/>
        </w:rPr>
        <w:t xml:space="preserve">    （1</w:t>
      </w:r>
      <w:r>
        <w:rPr>
          <w:rFonts w:hint="eastAsia" w:ascii="宋体" w:hAnsi="宋体"/>
          <w:szCs w:val="21"/>
          <w:lang w:val="en"/>
        </w:rPr>
        <w:t xml:space="preserve">1</w:t>
      </w:r>
      <w:r>
        <w:rPr>
          <w:rFonts w:hint="eastAsia" w:ascii="宋体" w:hAnsi="宋体"/>
          <w:szCs w:val="21"/>
        </w:rPr>
        <w:t xml:space="preserve">）涉及商品包装和快递包装的，是否参考《商品包装政府采购需求标准（试行）</w:t>
      </w:r>
      <w:r>
        <w:rPr>
          <w:rFonts w:hint="eastAsia" w:ascii="宋体" w:hAnsi="宋体"/>
          <w:szCs w:val="21"/>
          <w:lang w:eastAsia="zh-CN"/>
        </w:rPr>
        <w:t xml:space="preserve">》《</w:t>
      </w:r>
      <w:r>
        <w:rPr>
          <w:rFonts w:hint="eastAsia" w:ascii="宋体" w:hAnsi="宋体"/>
          <w:szCs w:val="21"/>
        </w:rPr>
        <w:t xml:space="preserve">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contextualSpacing/>
        <w:ind w:firstLine="420"/>
        <w:jc w:val="left"/>
        <w:spacing w:line="400" w:lineRule="exact"/>
        <w:widowControl/>
        <w:rPr>
          <w:rFonts w:cs="Calibri"/>
          <w:szCs w:val="21"/>
          <w:lang w:bidi="en-US"/>
        </w:rPr>
      </w:pPr>
      <w:r>
        <w:rPr>
          <w:rFonts w:hint="eastAsia" w:ascii="宋体" w:hAnsi="宋体" w:cs="Calibri"/>
          <w:szCs w:val="21"/>
          <w:lang w:bidi="en-US"/>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ascii="Times New Roman" w:hAnsi="Times New Roman"/>
          <w:szCs w:val="22"/>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szCs w:val="22"/>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40"/>
        <w:jc w:val="left"/>
        <w:spacing w:line="400" w:lineRule="exact"/>
        <w:widowControl/>
        <w:rPr>
          <w:rFonts w:ascii="宋体" w:hAnsi="宋体" w:cs="宋体"/>
          <w:szCs w:val="21"/>
        </w:rPr>
      </w:pPr>
      <w:r>
        <w:rPr>
          <w:rFonts w:hint="eastAsia" w:ascii="宋体" w:hAnsi="宋体" w:eastAsia="华文楷体" w:cs="宋体"/>
          <w:bCs/>
          <w:sz w:val="22"/>
          <w:szCs w:val="21"/>
        </w:rPr>
        <w:t xml:space="preserve"> </w:t>
      </w:r>
      <w:r>
        <w:rPr>
          <w:rFonts w:hint="eastAsia" w:ascii="宋体" w:hAnsi="宋体" w:cs="宋体"/>
          <w:szCs w:val="21"/>
        </w:rPr>
        <w:t xml:space="preserve">收取履约保证金形式：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20"/>
        <w:jc w:val="left"/>
        <w:spacing w:line="400" w:lineRule="exact"/>
        <w:widowControl/>
        <w:rPr>
          <w:rFonts w:ascii="宋体" w:hAnsi="宋体" w:cs="宋体"/>
          <w:bCs/>
          <w:szCs w:val="21"/>
          <w:u w:val="single"/>
        </w:rPr>
      </w:pPr>
      <w:r>
        <w:rPr>
          <w:rFonts w:hint="eastAsia" w:ascii="宋体" w:hAnsi="宋体" w:cs="宋体"/>
          <w:szCs w:val="21"/>
        </w:rPr>
        <w:t xml:space="preserve"> 如以履约保函（保险）形式缴纳履约保证金，供应商可通过政府采购电子履约保函（保险）平台（www.jsdzbh.com）在线申请履约保函（保险）。</w:t>
      </w:r>
      <w:r>
        <w:rPr>
          <w:rFonts w:hint="eastAsia" w:ascii="宋体" w:hAnsi="宋体" w:cs="宋体"/>
          <w:bCs/>
          <w:szCs w:val="21"/>
          <w:u w:val="single"/>
        </w:rPr>
        <w:t xml:space="preserve">                            </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合同履行结束后，甲方应及时退还交纳的履约保证金。</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履约保证金的退还：</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（1）方式：退还至乙方缴纳履约保证金的账户。如为保函（保险），在到期时自行失效。</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（2）时间：验收合格且甲方收到发票后30日内。</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（3）条件：按合同要求全部履约完成并经甲方验收合格，且甲方收到乙方出具的发票。</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（4）不予退还情形：</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除不可抗力情况外，乙方出现下列情形之一的，其履约保证金，甲方将视情节决定不予退还或部分不予退还。</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4.1乙方无正当理由拒绝签订合同的，或者在签订合同时向甲方提出附加条件或者更改合同实质性内容要求的；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4.2乙方不履行与甲方订立的合同的；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4.3乙方所供货物或服务不符合招标文件规定要求的；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4.4乙方采取欺骗、弄虚作假方式投标的或与其他投标人串通投标的；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4.5乙方将合同内容转包、违法分包的；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4.6乙方故意捏造事实或伪造证明材料，进行虚假恶意投诉或反映的。</w:t>
      </w:r>
      <w:r/>
    </w:p>
    <w:p>
      <w:pPr>
        <w:ind w:firstLine="420"/>
        <w:jc w:val="left"/>
        <w:spacing w:line="400" w:lineRule="exact"/>
        <w:widowControl/>
        <w:rPr>
          <w:rFonts w:ascii="宋体" w:hAnsi="宋体" w:cs="宋体"/>
          <w:szCs w:val="21"/>
        </w:rPr>
      </w:pPr>
      <w:r>
        <w:rPr>
          <w:rFonts w:hint="eastAsia" w:ascii="宋体" w:hAnsi="宋体" w:cs="宋体"/>
          <w:szCs w:val="21"/>
        </w:rPr>
        <w:t xml:space="preserve"> 收取</w:t>
      </w:r>
      <w:bookmarkStart w:id="191" w:name="OLE_LINK22"/>
      <w:r>
        <w:rPr>
          <w:rFonts w:hint="eastAsia" w:ascii="宋体" w:hAnsi="宋体" w:cs="宋体"/>
          <w:szCs w:val="21"/>
        </w:rPr>
        <w:t xml:space="preserve">履约保证金金额：</w:t>
      </w:r>
      <w:r>
        <w:rPr>
          <w:rFonts w:hint="eastAsia" w:ascii="宋体" w:hAnsi="宋体" w:cs="宋体"/>
          <w:bCs/>
          <w:szCs w:val="21"/>
          <w:u w:val="single"/>
        </w:rPr>
        <w:t xml:space="preserve"> （合同金额的10%）</w:t>
      </w:r>
      <w:bookmarkEnd w:id="191"/>
      <w:r>
        <w:rPr>
          <w:rFonts w:hint="eastAsia" w:ascii="宋体" w:hAnsi="宋体" w:cs="宋体"/>
          <w:bCs/>
          <w:szCs w:val="21"/>
          <w:u w:val="single"/>
        </w:rPr>
        <w:t xml:space="preserve">                           </w:t>
      </w:r>
      <w:r/>
    </w:p>
    <w:p>
      <w:pPr>
        <w:ind w:firstLine="420"/>
        <w:spacing w:line="400" w:lineRule="exact"/>
        <w:rPr>
          <w:rFonts w:ascii="宋体" w:hAnsi="宋体" w:cs="宋体"/>
          <w:szCs w:val="22"/>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1"/>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3"/>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ind w:firstLine="420"/>
        <w:jc w:val="left"/>
        <w:spacing w:line="400" w:lineRule="exact"/>
        <w:widowControl/>
        <w:rPr>
          <w:rFonts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1"/>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ind w:firstLine="420"/>
        <w:jc w:val="left"/>
        <w:spacing w:line="400" w:lineRule="exact"/>
        <w:widowControl/>
        <w:rPr>
          <w:rFonts w:ascii="宋体" w:hAnsi="宋体" w:cs="宋体"/>
          <w:szCs w:val="21"/>
        </w:rPr>
      </w:pPr>
      <w:r>
        <w:rPr>
          <w:rFonts w:hint="eastAsia" w:ascii="宋体" w:hAnsi="宋体" w:cs="宋体"/>
          <w:szCs w:val="21"/>
        </w:rPr>
        <w:t xml:space="preserve">（8）</w:t>
      </w:r>
      <w:r>
        <w:rPr>
          <w:rFonts w:hint="eastAsia" w:ascii="宋体" w:hAnsi="宋体" w:cs="宋体"/>
          <w:color w:val="000000"/>
          <w:szCs w:val="21"/>
        </w:rPr>
        <w:t xml:space="preserve">国家法律、行政法规和规章制度规定或合同约定的作为合同组成部分的其他文件</w:t>
      </w:r>
      <w:r/>
    </w:p>
    <w:p>
      <w:pPr>
        <w:numPr>
          <w:ilvl w:val="0"/>
          <w:numId w:val="1"/>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1"/>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rFonts w:ascii="Times New Roman" w:hAnsi="Times New Roman"/>
          <w:szCs w:val="22"/>
          <w:lang w:val="en"/>
        </w:rPr>
        <w:t xml:space="preserve">   </w:t>
      </w:r>
      <w:r/>
    </w:p>
    <w:p>
      <w:pPr>
        <w:contextualSpacing/>
        <w:ind w:left="720"/>
        <w:jc w:val="left"/>
        <w:widowControl/>
        <w:rPr>
          <w:rFonts w:cs="Calibri"/>
          <w:sz w:val="24"/>
          <w:lang w:bidi="en-US"/>
        </w:rPr>
      </w:pPr>
      <w:r>
        <w:rPr>
          <w:rFonts w:cs="Calibri"/>
          <w:sz w:val="24"/>
          <w:lang w:bidi="en-US"/>
        </w:rPr>
      </w:r>
      <w:r/>
    </w:p>
    <w:tbl>
      <w:tblPr>
        <w:tblStyle w:val="78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top w:val="single" w:color="auto" w:sz="4" w:space="0"/>
              <w:left w:val="single" w:color="auto" w:sz="4" w:space="0"/>
              <w:bottom w:val="single" w:color="auto" w:sz="2" w:space="0"/>
              <w:right w:val="single" w:color="auto" w:sz="2" w:space="0"/>
            </w:tcBorders>
            <w:tcW w:w="2562" w:type="pct"/>
            <w:vAlign w:val="center"/>
            <w:textDirection w:val="lrTb"/>
            <w:noWrap w:val="false"/>
          </w:tcPr>
          <w:p>
            <w:pPr>
              <w:jc w:val="center"/>
              <w:spacing w:line="300" w:lineRule="exact"/>
              <w:rPr>
                <w:rFonts w:ascii="Times New Roman" w:hAnsi="Times New Roman"/>
                <w:szCs w:val="22"/>
              </w:rPr>
            </w:pPr>
            <w:r>
              <w:rPr>
                <w:rFonts w:hint="eastAsia" w:ascii="Times New Roman" w:hAnsi="Times New Roman"/>
                <w:szCs w:val="21"/>
              </w:rPr>
              <w:t xml:space="preserve">甲方（采购人</w:t>
            </w:r>
            <w:r>
              <w:rPr>
                <w:rFonts w:hint="eastAsia" w:ascii="宋体" w:hAnsi="宋体"/>
                <w:szCs w:val="21"/>
              </w:rPr>
              <w:t xml:space="preserve">、受采购人委托签订合同的单位或</w:t>
            </w:r>
            <w:r>
              <w:rPr>
                <w:rFonts w:hint="eastAsia" w:ascii="Times New Roman" w:hAnsi="Times New Roman"/>
                <w:szCs w:val="21"/>
              </w:rPr>
              <w:t xml:space="preserve">采购文件约定的合同甲方）</w:t>
            </w:r>
            <w:r/>
          </w:p>
        </w:tc>
        <w:tc>
          <w:tcPr>
            <w:gridSpan w:val="2"/>
            <w:tcBorders>
              <w:top w:val="single" w:color="auto" w:sz="4" w:space="0"/>
              <w:left w:val="single" w:color="auto" w:sz="2" w:space="0"/>
              <w:bottom w:val="single" w:color="auto" w:sz="2" w:space="0"/>
              <w:right w:val="single" w:color="auto" w:sz="4" w:space="0"/>
            </w:tcBorders>
            <w:tcW w:w="2437" w:type="pct"/>
            <w:vAlign w:val="center"/>
            <w:textDirection w:val="lrTb"/>
            <w:noWrap w:val="false"/>
          </w:tcPr>
          <w:p>
            <w:pPr>
              <w:jc w:val="center"/>
              <w:spacing w:line="300" w:lineRule="exact"/>
              <w:rPr>
                <w:rFonts w:ascii="Times New Roman" w:hAnsi="Times New Roman"/>
                <w:szCs w:val="22"/>
                <w:lang w:eastAsia="en-US"/>
              </w:rPr>
            </w:pPr>
            <w:r>
              <w:rPr>
                <w:rFonts w:hint="eastAsia" w:ascii="Times New Roman" w:hAnsi="Times New Roman"/>
                <w:szCs w:val="21"/>
                <w:lang w:eastAsia="en-US"/>
              </w:rPr>
              <w:t xml:space="preserve">乙方（供应商）</w:t>
            </w:r>
            <w:r/>
          </w:p>
        </w:tc>
      </w:tr>
      <w:tr>
        <w:trPr>
          <w:trHeight w:val="917"/>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1171"/>
        </w:trPr>
        <w:tc>
          <w:tcPr>
            <w:tcBorders>
              <w:top w:val="single" w:color="auto" w:sz="2" w:space="0"/>
              <w:left w:val="single" w:color="auto" w:sz="4" w:space="0"/>
              <w:bottom w:val="single" w:color="auto" w:sz="2" w:space="0"/>
              <w:right w:val="single" w:color="auto" w:sz="2" w:space="0"/>
            </w:tcBorders>
            <w:tcW w:w="1126" w:type="pct"/>
            <w:vAlign w:val="center"/>
            <w:vMerge w:val="restart"/>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ind w:firstLine="101"/>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Borders>
              <w:top w:val="single" w:color="auto" w:sz="2" w:space="0"/>
              <w:left w:val="single" w:color="auto" w:sz="2" w:space="0"/>
              <w:bottom w:val="single" w:color="auto" w:sz="2" w:space="0"/>
              <w:right w:val="single" w:color="auto" w:sz="2" w:space="0"/>
            </w:tcBorders>
            <w:tcW w:w="1436" w:type="pct"/>
            <w:vAlign w:val="center"/>
            <w:vMerge w:val="restart"/>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r>
      <w:tr>
        <w:trPr>
          <w:trHeight w:val="483"/>
        </w:trPr>
        <w:tc>
          <w:tcPr>
            <w:tcBorders>
              <w:top w:val="single" w:color="auto" w:sz="2" w:space="0"/>
              <w:left w:val="single" w:color="auto" w:sz="4" w:space="0"/>
              <w:bottom w:val="single" w:color="auto" w:sz="2" w:space="0"/>
              <w:right w:val="single" w:color="auto" w:sz="2" w:space="0"/>
            </w:tcBorders>
            <w:tcW w:w="0" w:type="auto"/>
            <w:vAlign w:val="center"/>
            <w:vMerge w:val="continue"/>
            <w:textDirection w:val="lrTb"/>
            <w:noWrap w:val="false"/>
          </w:tcPr>
          <w:p>
            <w:pPr>
              <w:jc w:val="left"/>
              <w:widowControl/>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0" w:type="auto"/>
            <w:vAlign w:val="center"/>
            <w:vMerge w:val="continue"/>
            <w:textDirection w:val="lrTb"/>
            <w:noWrap w:val="false"/>
          </w:tcPr>
          <w:p>
            <w:pPr>
              <w:jc w:val="left"/>
              <w:widowControl/>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拥有者性别</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住</w:t>
            </w:r>
            <w:r>
              <w:rPr>
                <w:rFonts w:ascii="Times New Roman" w:hAnsi="Times New Roman"/>
                <w:szCs w:val="21"/>
                <w:lang w:eastAsia="en-US"/>
              </w:rPr>
              <w:t xml:space="preserve">  </w:t>
            </w:r>
            <w:r>
              <w:rPr>
                <w:rFonts w:hint="eastAsia" w:ascii="Times New Roman" w:hAnsi="Times New Roman"/>
                <w:szCs w:val="21"/>
                <w:lang w:eastAsia="en-US"/>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住</w:t>
            </w:r>
            <w:r>
              <w:rPr>
                <w:rFonts w:ascii="Times New Roman" w:hAnsi="Times New Roman"/>
                <w:szCs w:val="21"/>
                <w:lang w:eastAsia="en-US"/>
              </w:rPr>
              <w:t xml:space="preserve">  </w:t>
            </w:r>
            <w:r>
              <w:rPr>
                <w:rFonts w:hint="eastAsia" w:ascii="Times New Roman" w:hAnsi="Times New Roman"/>
                <w:szCs w:val="21"/>
                <w:lang w:eastAsia="en-US"/>
              </w:rPr>
              <w:t xml:space="preserve">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w:t>
            </w:r>
            <w:r>
              <w:rPr>
                <w:rFonts w:ascii="Times New Roman" w:hAnsi="Times New Roman"/>
                <w:szCs w:val="21"/>
                <w:lang w:eastAsia="en-US"/>
              </w:rPr>
              <w:t xml:space="preserve"> </w:t>
            </w:r>
            <w:r>
              <w:rPr>
                <w:rFonts w:hint="eastAsia" w:ascii="Times New Roman" w:hAnsi="Times New Roman"/>
                <w:szCs w:val="21"/>
                <w:lang w:eastAsia="en-US"/>
              </w:rPr>
              <w:t xml:space="preserve">系</w:t>
            </w:r>
            <w:r>
              <w:rPr>
                <w:rFonts w:ascii="Times New Roman" w:hAnsi="Times New Roman"/>
                <w:szCs w:val="21"/>
                <w:lang w:eastAsia="en-US"/>
              </w:rPr>
              <w:t xml:space="preserve"> </w:t>
            </w:r>
            <w:r>
              <w:rPr>
                <w:rFonts w:hint="eastAsia" w:ascii="Times New Roman" w:hAnsi="Times New Roman"/>
                <w:szCs w:val="21"/>
                <w:lang w:eastAsia="en-US"/>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w:t>
            </w:r>
            <w:r>
              <w:rPr>
                <w:rFonts w:ascii="Times New Roman" w:hAnsi="Times New Roman"/>
                <w:szCs w:val="21"/>
                <w:lang w:eastAsia="en-US"/>
              </w:rPr>
              <w:t xml:space="preserve"> </w:t>
            </w:r>
            <w:r>
              <w:rPr>
                <w:rFonts w:hint="eastAsia" w:ascii="Times New Roman" w:hAnsi="Times New Roman"/>
                <w:szCs w:val="21"/>
                <w:lang w:eastAsia="en-US"/>
              </w:rPr>
              <w:t xml:space="preserve">系</w:t>
            </w:r>
            <w:r>
              <w:rPr>
                <w:rFonts w:ascii="Times New Roman" w:hAnsi="Times New Roman"/>
                <w:szCs w:val="21"/>
                <w:lang w:eastAsia="en-US"/>
              </w:rPr>
              <w:t xml:space="preserve"> </w:t>
            </w:r>
            <w:r>
              <w:rPr>
                <w:rFonts w:hint="eastAsia" w:ascii="Times New Roman" w:hAnsi="Times New Roman"/>
                <w:szCs w:val="21"/>
                <w:lang w:eastAsia="en-US"/>
              </w:rPr>
              <w:t xml:space="preserve">人</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联系电话</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通信地址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邮政编码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电子邮箱</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统一社会信用代码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开户名称</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开户银行</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银行账号</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586"/>
        </w:trPr>
        <w:tc>
          <w:tcPr>
            <w:gridSpan w:val="4"/>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jc w:val="left"/>
              <w:spacing w:before="120" w:line="360" w:lineRule="auto"/>
              <w:rPr>
                <w:rFonts w:ascii="Times New Roman" w:hAnsi="Times New Roman"/>
                <w:spacing w:val="20"/>
                <w:szCs w:val="21"/>
              </w:rPr>
            </w:pPr>
            <w:r>
              <w:rPr>
                <w:rFonts w:hint="eastAsia" w:ascii="宋体" w:hAnsi="宋体"/>
                <w:szCs w:val="21"/>
              </w:rPr>
              <w:t xml:space="preserve">注：涉及联合体或其他合同主体的信息应按上表格式加列。</w:t>
            </w:r>
            <w:r/>
          </w:p>
        </w:tc>
      </w:tr>
    </w:tbl>
    <w:p>
      <w:pPr>
        <w:jc w:val="center"/>
        <w:keepLines/>
        <w:keepNext/>
        <w:spacing w:before="120" w:after="260" w:line="415" w:lineRule="auto"/>
        <w:rPr>
          <w:rFonts w:ascii="黑体" w:hAnsi="黑体" w:eastAsia="黑体" w:cs="Arial"/>
          <w:b/>
          <w:bCs/>
          <w:sz w:val="28"/>
          <w:szCs w:val="28"/>
        </w:rPr>
        <w:outlineLvl w:val="1"/>
      </w:pPr>
      <w:r>
        <w:rPr>
          <w:rFonts w:hint="eastAsia" w:ascii="宋体" w:hAnsi="宋体" w:eastAsia="幼圆" w:cs="Arial"/>
          <w:sz w:val="44"/>
          <w:szCs w:val="21"/>
          <w:u w:val="single"/>
        </w:rPr>
        <w:br w:type="page" w:clear="all"/>
      </w:r>
      <w:r>
        <w:rPr>
          <w:rFonts w:hint="eastAsia" w:ascii="黑体" w:hAnsi="黑体" w:eastAsia="黑体" w:cs="Arial"/>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szCs w:val="22"/>
        </w:rPr>
      </w:pPr>
      <w:r>
        <w:rPr>
          <w:rFonts w:hint="eastAsia" w:ascii="宋体" w:hAnsi="宋体"/>
          <w:b/>
          <w:sz w:val="24"/>
          <w:szCs w:val="22"/>
        </w:rPr>
        <w:t xml:space="preserve">1. </w:t>
      </w:r>
      <w:r>
        <w:rPr>
          <w:rFonts w:hint="eastAsia" w:ascii="宋体" w:hAnsi="宋体"/>
          <w:b/>
          <w:bCs/>
          <w:sz w:val="24"/>
          <w:szCs w:val="22"/>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hint="eastAsia"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hint="eastAsia"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4"/>
        </w:numPr>
        <w:jc w:val="left"/>
        <w:spacing w:line="400" w:lineRule="exact"/>
        <w:rPr>
          <w:rFonts w:ascii="宋体" w:hAnsi="宋体"/>
          <w:b/>
          <w:bCs/>
          <w:color w:val="000000"/>
          <w:sz w:val="24"/>
          <w:szCs w:val="22"/>
        </w:rPr>
      </w:pPr>
      <w:r>
        <w:rPr>
          <w:rFonts w:hint="eastAsia" w:ascii="宋体" w:hAnsi="宋体"/>
          <w:b/>
          <w:color w:val="000000"/>
          <w:sz w:val="24"/>
          <w:szCs w:val="22"/>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szCs w:val="22"/>
        </w:rPr>
      </w:pPr>
      <w:r>
        <w:rPr>
          <w:rFonts w:hint="eastAsia" w:ascii="宋体" w:hAnsi="宋体"/>
          <w:b/>
          <w:color w:val="000000"/>
          <w:sz w:val="24"/>
          <w:szCs w:val="22"/>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szCs w:val="22"/>
        </w:rPr>
      </w:pPr>
      <w:r>
        <w:rPr>
          <w:rFonts w:hint="eastAsia" w:ascii="宋体" w:hAnsi="宋体"/>
          <w:b/>
          <w:bCs/>
          <w:color w:val="000000"/>
          <w:sz w:val="24"/>
          <w:szCs w:val="22"/>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olor w:val="000000"/>
          <w:szCs w:val="21"/>
        </w:rPr>
      </w:pPr>
      <w:r>
        <w:rPr>
          <w:rFonts w:hint="eastAsia" w:ascii="宋体" w:hAnsi="宋体"/>
          <w:color w:val="000000"/>
          <w:szCs w:val="21"/>
        </w:rPr>
        <w:t xml:space="preserve">4.3 甲方有权要求乙方对缺陷部分予以修复，并按合同约定享有货物保修及其他合同约定的权利。</w:t>
      </w:r>
      <w:r/>
    </w:p>
    <w:p>
      <w:pPr>
        <w:ind w:firstLine="420"/>
        <w:spacing w:line="400" w:lineRule="exact"/>
        <w:rPr>
          <w:rFonts w:ascii="Times New Roman" w:hAnsi="Times New Roman" w:eastAsia="华文楷体"/>
          <w:szCs w:val="22"/>
        </w:rPr>
      </w:pPr>
      <w:r>
        <w:rPr>
          <w:rFonts w:hint="eastAsia" w:ascii="宋体" w:hAnsi="宋体"/>
          <w:color w:val="000000"/>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hint="eastAsia" w:ascii="宋体" w:hAnsi="宋体"/>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szCs w:val="22"/>
        </w:rPr>
      </w:pPr>
      <w:r>
        <w:rPr>
          <w:rFonts w:hint="eastAsia" w:ascii="宋体" w:hAnsi="宋体"/>
          <w:b/>
          <w:bCs/>
          <w:color w:val="000000"/>
          <w:sz w:val="24"/>
          <w:szCs w:val="22"/>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签署合同后，乙方应确定项目负责人（或项目联系人），负责与本合同有关的事务。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5.3乙方有权根据合同约定向甲方收取合同价款。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5.4国家法律法规规定及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5"/>
        </w:numPr>
        <w:jc w:val="left"/>
        <w:spacing w:line="400" w:lineRule="exact"/>
        <w:rPr>
          <w:rFonts w:ascii="宋体" w:hAnsi="宋体"/>
          <w:b/>
          <w:bCs/>
          <w:color w:val="000000"/>
          <w:sz w:val="24"/>
          <w:szCs w:val="22"/>
        </w:rPr>
      </w:pPr>
      <w:r>
        <w:rPr>
          <w:rFonts w:hint="eastAsia" w:ascii="宋体" w:hAnsi="宋体"/>
          <w:b/>
          <w:bCs/>
          <w:color w:val="000000"/>
          <w:sz w:val="24"/>
          <w:szCs w:val="22"/>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rPr>
          <w:rFonts w:ascii="Times New Roman" w:hAnsi="Times New Roman"/>
          <w:szCs w:val="22"/>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szCs w:val="22"/>
        </w:rPr>
      </w:pPr>
      <w:r>
        <w:rPr>
          <w:rFonts w:hint="eastAsia" w:ascii="宋体" w:hAnsi="宋体"/>
          <w:b/>
          <w:bCs/>
          <w:color w:val="000000"/>
          <w:sz w:val="24"/>
          <w:szCs w:val="22"/>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ind w:firstLine="420"/>
        <w:jc w:val="left"/>
        <w:spacing w:line="400" w:lineRule="exact"/>
        <w:widowControl/>
        <w:rPr>
          <w:rFonts w:ascii="华文楷体" w:hAnsi="华文楷体" w:eastAsia="华文楷体" w:cs="华文楷体"/>
          <w:szCs w:val="21"/>
        </w:rPr>
      </w:pPr>
      <w:r>
        <w:rPr>
          <w:rFonts w:hint="eastAsia" w:ascii="宋体" w:hAnsi="宋体"/>
          <w:color w:val="000000"/>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szCs w:val="22"/>
        </w:rPr>
      </w:pPr>
      <w:r>
        <w:rPr>
          <w:rFonts w:hint="eastAsia" w:ascii="宋体" w:hAnsi="宋体"/>
          <w:b/>
          <w:color w:val="000000"/>
          <w:sz w:val="24"/>
          <w:szCs w:val="22"/>
        </w:rPr>
        <w:t xml:space="preserve">8. </w:t>
      </w:r>
      <w:r>
        <w:rPr>
          <w:rFonts w:hint="eastAsia" w:ascii="宋体" w:hAnsi="宋体"/>
          <w:b/>
          <w:sz w:val="24"/>
          <w:szCs w:val="22"/>
        </w:rPr>
        <w:t xml:space="preserve">质量标准和保证</w:t>
      </w:r>
      <w:r/>
    </w:p>
    <w:p>
      <w:pPr>
        <w:ind w:firstLine="420"/>
        <w:jc w:val="left"/>
        <w:spacing w:line="400" w:lineRule="exact"/>
        <w:rPr>
          <w:rFonts w:ascii="宋体" w:hAnsi="宋体" w:cs="Courier New"/>
          <w:b/>
          <w:szCs w:val="21"/>
        </w:rPr>
      </w:pPr>
      <w:r>
        <w:rPr>
          <w:rFonts w:hint="eastAsia" w:ascii="宋体" w:hAnsi="宋体" w:cs="Courier New"/>
          <w:szCs w:val="21"/>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ascii="宋体" w:hAnsi="宋体" w:cs="Courier New"/>
          <w:szCs w:val="21"/>
        </w:rPr>
      </w:pPr>
      <w:r>
        <w:rPr>
          <w:rFonts w:hint="eastAsia" w:ascii="宋体" w:hAnsi="宋体" w:cs="Courier New"/>
          <w:szCs w:val="21"/>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rPr>
          <w:rFonts w:ascii="Times New Roman" w:hAnsi="Times New Roman"/>
          <w:szCs w:val="22"/>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szCs w:val="22"/>
        </w:rPr>
      </w:pPr>
      <w:r>
        <w:rPr>
          <w:rFonts w:hint="eastAsia" w:ascii="宋体" w:hAnsi="宋体"/>
          <w:b/>
          <w:bCs/>
          <w:color w:val="000000"/>
          <w:sz w:val="24"/>
          <w:szCs w:val="22"/>
        </w:rPr>
        <w:t xml:space="preserve">9</w:t>
      </w:r>
      <w:r>
        <w:rPr>
          <w:rFonts w:hint="eastAsia" w:ascii="宋体" w:hAnsi="宋体"/>
          <w:b/>
          <w:bCs/>
          <w:sz w:val="24"/>
          <w:szCs w:val="22"/>
        </w:rPr>
        <w:t xml:space="preserve">.</w:t>
      </w:r>
      <w:r>
        <w:rPr>
          <w:rFonts w:hint="eastAsia" w:ascii="宋体" w:hAnsi="宋体"/>
          <w:b/>
          <w:bCs/>
          <w:color w:val="000000"/>
          <w:sz w:val="24"/>
          <w:szCs w:val="22"/>
        </w:rPr>
        <w:t xml:space="preserve"> </w:t>
      </w:r>
      <w:r>
        <w:rPr>
          <w:rFonts w:hint="eastAsia" w:ascii="宋体" w:hAnsi="宋体"/>
          <w:b/>
          <w:bCs/>
          <w:sz w:val="24"/>
          <w:szCs w:val="22"/>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szCs w:val="22"/>
        </w:rPr>
      </w:pPr>
      <w:r>
        <w:rPr>
          <w:rFonts w:hint="eastAsia" w:ascii="宋体" w:hAnsi="宋体"/>
          <w:b/>
          <w:bCs/>
          <w:color w:val="000000"/>
          <w:sz w:val="24"/>
          <w:szCs w:val="22"/>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szCs w:val="22"/>
        </w:rPr>
      </w:pPr>
      <w:r>
        <w:rPr>
          <w:rFonts w:hint="eastAsia" w:ascii="宋体" w:hAnsi="宋体"/>
          <w:b/>
          <w:bCs/>
          <w:sz w:val="24"/>
          <w:szCs w:val="22"/>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szCs w:val="22"/>
        </w:rPr>
      </w:pPr>
      <w:r>
        <w:rPr>
          <w:rFonts w:hint="eastAsia" w:ascii="宋体" w:hAnsi="宋体"/>
          <w:b/>
          <w:bCs/>
          <w:sz w:val="24"/>
          <w:szCs w:val="22"/>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szCs w:val="22"/>
        </w:rPr>
      </w:pPr>
      <w:r>
        <w:rPr>
          <w:rFonts w:hint="eastAsia" w:ascii="宋体" w:hAnsi="宋体"/>
          <w:b/>
          <w:bCs/>
          <w:sz w:val="24"/>
          <w:szCs w:val="22"/>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imes New Roman" w:hAnsi="Times New Roman"/>
          <w:szCs w:val="22"/>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szCs w:val="22"/>
        </w:rPr>
      </w:pPr>
      <w:r>
        <w:rPr>
          <w:rFonts w:hint="eastAsia" w:ascii="宋体" w:hAnsi="宋体"/>
          <w:b/>
          <w:bCs/>
          <w:sz w:val="24"/>
          <w:szCs w:val="22"/>
        </w:rPr>
        <w:t xml:space="preserve">14. </w:t>
      </w:r>
      <w:r>
        <w:rPr>
          <w:rFonts w:hint="eastAsia" w:ascii="Times New Roman" w:hAnsi="Times New Roman"/>
          <w:b/>
          <w:sz w:val="24"/>
          <w:szCs w:val="22"/>
        </w:rPr>
        <w:t xml:space="preserve">售后</w:t>
      </w:r>
      <w:r>
        <w:rPr>
          <w:rFonts w:hint="eastAsia" w:ascii="宋体" w:hAnsi="宋体"/>
          <w:b/>
          <w:sz w:val="24"/>
          <w:szCs w:val="22"/>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ind w:firstLine="420"/>
        <w:jc w:val="left"/>
        <w:spacing w:line="400" w:lineRule="exact"/>
        <w:widowControl/>
        <w:rPr>
          <w:rFonts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szCs w:val="22"/>
        </w:rPr>
      </w:pPr>
      <w:r>
        <w:rPr>
          <w:rFonts w:hint="eastAsia" w:ascii="宋体" w:hAnsi="宋体"/>
          <w:b/>
          <w:bCs/>
          <w:sz w:val="24"/>
          <w:szCs w:val="22"/>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6"/>
        </w:numPr>
        <w:jc w:val="left"/>
        <w:spacing w:line="400" w:lineRule="exact"/>
        <w:rPr>
          <w:rFonts w:ascii="宋体" w:hAnsi="宋体"/>
          <w:b/>
          <w:sz w:val="24"/>
          <w:szCs w:val="22"/>
        </w:rPr>
      </w:pPr>
      <w:r>
        <w:rPr>
          <w:rFonts w:hint="eastAsia" w:ascii="宋体" w:hAnsi="宋体"/>
          <w:b/>
          <w:sz w:val="24"/>
          <w:szCs w:val="22"/>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widowControl/>
        <w:rPr>
          <w:rFonts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Times New Roman" w:hAnsi="Times New Roman"/>
          <w:szCs w:val="22"/>
        </w:rPr>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ind w:firstLine="440"/>
        <w:jc w:val="left"/>
        <w:spacing w:line="400" w:lineRule="exact"/>
        <w:widowControl/>
        <w:rPr>
          <w:rFonts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 xml:space="preserve">涉及国家利益、社会公共利益的情形</w:t>
      </w:r>
      <w:r/>
    </w:p>
    <w:p>
      <w:pPr>
        <w:ind w:firstLine="420"/>
        <w:spacing w:line="400" w:lineRule="exact"/>
        <w:widowControl/>
        <w:rPr>
          <w:rFonts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szCs w:val="22"/>
        </w:rPr>
      </w:pPr>
      <w:r>
        <w:rPr>
          <w:rFonts w:hint="eastAsia" w:ascii="宋体" w:hAnsi="宋体"/>
          <w:b/>
          <w:bCs/>
          <w:sz w:val="24"/>
          <w:szCs w:val="22"/>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szCs w:val="22"/>
        </w:rPr>
      </w:pPr>
      <w:r>
        <w:rPr>
          <w:rFonts w:hint="eastAsia" w:ascii="宋体" w:hAnsi="宋体"/>
          <w:b/>
          <w:bCs/>
          <w:sz w:val="24"/>
          <w:szCs w:val="22"/>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szCs w:val="22"/>
        </w:rPr>
      </w:pPr>
      <w:r>
        <w:rPr>
          <w:rFonts w:hint="eastAsia" w:ascii="宋体" w:hAnsi="宋体"/>
          <w:b/>
          <w:bCs/>
          <w:sz w:val="24"/>
          <w:szCs w:val="22"/>
        </w:rPr>
        <w:t xml:space="preserve">19. 解决争议的方法</w:t>
      </w:r>
      <w:r/>
    </w:p>
    <w:p>
      <w:pPr>
        <w:ind w:firstLine="420"/>
        <w:spacing w:line="400" w:lineRule="exact"/>
        <w:widowControl/>
        <w:rPr>
          <w:rFonts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widowControl/>
        <w:rPr>
          <w:rFonts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ind w:firstLine="420"/>
        <w:spacing w:line="400" w:lineRule="exact"/>
        <w:widowControl/>
        <w:rPr>
          <w:rFonts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jc w:val="left"/>
        <w:spacing w:line="400" w:lineRule="exact"/>
        <w:rPr>
          <w:rFonts w:ascii="宋体" w:hAnsi="宋体"/>
          <w:sz w:val="24"/>
          <w:szCs w:val="22"/>
        </w:rPr>
      </w:pPr>
      <w:r>
        <w:rPr>
          <w:rFonts w:hint="eastAsia" w:ascii="宋体" w:hAnsi="宋体"/>
          <w:b/>
          <w:sz w:val="24"/>
          <w:szCs w:val="22"/>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szCs w:val="22"/>
          <w:lang w:val="en-GB"/>
        </w:rPr>
        <w:t xml:space="preserve">本合同应当按照规定执行政府采购政策。</w:t>
      </w:r>
      <w:r/>
    </w:p>
    <w:p>
      <w:pPr>
        <w:ind w:firstLine="420"/>
        <w:jc w:val="left"/>
        <w:spacing w:line="400" w:lineRule="exact"/>
        <w:rPr>
          <w:rFonts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szCs w:val="22"/>
        </w:rPr>
        <w:t xml:space="preserve">甲乙双方</w:t>
      </w:r>
      <w:r>
        <w:rPr>
          <w:rFonts w:hint="eastAsia" w:ascii="宋体" w:hAnsi="宋体" w:cs="宋体"/>
          <w:szCs w:val="22"/>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szCs w:val="22"/>
        </w:rPr>
      </w:pPr>
      <w:r>
        <w:rPr>
          <w:rFonts w:hint="eastAsia" w:ascii="宋体" w:hAnsi="宋体"/>
          <w:b/>
          <w:sz w:val="24"/>
          <w:szCs w:val="22"/>
        </w:rPr>
        <w:t xml:space="preserve">21. 法律适用</w:t>
      </w:r>
      <w:r/>
    </w:p>
    <w:p>
      <w:pPr>
        <w:ind w:firstLine="420"/>
        <w:spacing w:line="400" w:lineRule="exact"/>
        <w:widowControl/>
        <w:rPr>
          <w:rFonts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ind w:firstLine="420"/>
        <w:spacing w:line="400" w:lineRule="exact"/>
        <w:widowControl/>
        <w:rPr>
          <w:rFonts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szCs w:val="22"/>
        </w:rPr>
      </w:pPr>
      <w:r>
        <w:rPr>
          <w:rFonts w:hint="eastAsia" w:ascii="宋体" w:hAnsi="宋体"/>
          <w:b/>
          <w:sz w:val="24"/>
          <w:szCs w:val="22"/>
        </w:rPr>
        <w:t xml:space="preserve">22. 通知</w:t>
      </w:r>
      <w:r/>
    </w:p>
    <w:p>
      <w:pPr>
        <w:ind w:firstLine="420"/>
        <w:spacing w:line="400" w:lineRule="exact"/>
        <w:widowControl/>
        <w:rPr>
          <w:rFonts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7"/>
        </w:numPr>
        <w:jc w:val="left"/>
        <w:spacing w:line="400" w:lineRule="exact"/>
        <w:rPr>
          <w:rFonts w:ascii="宋体" w:hAnsi="宋体"/>
          <w:b/>
          <w:bCs/>
          <w:sz w:val="24"/>
          <w:szCs w:val="22"/>
        </w:rPr>
      </w:pPr>
      <w:r>
        <w:rPr>
          <w:rFonts w:hint="eastAsia" w:ascii="宋体" w:hAnsi="宋体"/>
          <w:b/>
          <w:bCs/>
          <w:sz w:val="24"/>
          <w:szCs w:val="22"/>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p>
    <w:tbl>
      <w:tblPr>
        <w:tblStyle w:val="788"/>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1"/>
      </w:tblGrid>
      <w:tr>
        <w:trPr>
          <w:trHeight w:val="736"/>
        </w:trPr>
        <w:tc>
          <w:tcPr>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第1.2（6）项</w:t>
            </w:r>
            <w:r/>
          </w:p>
        </w:tc>
        <w:tc>
          <w:tcPr>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联合体具体要求</w:t>
            </w:r>
            <w:r/>
          </w:p>
        </w:tc>
        <w:tc>
          <w:tcPr>
            <w:tcBorders>
              <w:top w:val="single" w:color="auto" w:sz="4"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60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第1.2（7）项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其他术语解释</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第4.4款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第4.6款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Times New Roman" w:hAnsi="Times New Roman"/>
                <w:szCs w:val="22"/>
                <w:lang w:eastAsia="en-US"/>
              </w:rPr>
            </w:pPr>
            <w:r>
              <w:rPr>
                <w:rFonts w:hint="eastAsia" w:ascii="宋体" w:hAnsi="宋体"/>
                <w:szCs w:val="21"/>
                <w:lang w:eastAsia="en-US"/>
              </w:rPr>
              <w:t xml:space="preserve">第5.4款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第6.1款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履行合同义务的顺序</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第7.1款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包装特殊要求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lang w:eastAsia="en-US"/>
              </w:rPr>
            </w:pPr>
            <w:r>
              <w:rPr>
                <w:rFonts w:ascii="Times New Roman" w:hAnsi="Times New Roman"/>
                <w:szCs w:val="22"/>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jc w:val="left"/>
              <w:widowControl/>
              <w:rPr>
                <w:rFonts w:ascii="宋体" w:hAnsi="宋体"/>
                <w:szCs w:val="21"/>
                <w:lang w:eastAsia="en-US"/>
              </w:rPr>
            </w:pPr>
            <w:r>
              <w:rPr>
                <w:rFonts w:ascii="宋体" w:hAnsi="宋体"/>
                <w:szCs w:val="21"/>
                <w:lang w:eastAsia="en-US"/>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指定现场</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lang w:eastAsia="en-US"/>
              </w:rPr>
            </w:pPr>
            <w:r>
              <w:rPr>
                <w:rFonts w:ascii="Times New Roman" w:hAnsi="Times New Roman"/>
                <w:szCs w:val="22"/>
                <w:lang w:eastAsia="en-US"/>
              </w:rPr>
            </w:r>
            <w:r/>
          </w:p>
        </w:tc>
      </w:tr>
      <w:tr>
        <w:trPr>
          <w:trHeight w:val="772"/>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第7.2款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运输特殊要求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lang w:eastAsia="en-US"/>
              </w:rPr>
            </w:pPr>
            <w:r>
              <w:rPr>
                <w:rFonts w:ascii="Times New Roman" w:hAnsi="Times New Roman"/>
                <w:szCs w:val="22"/>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第7.3款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保险要求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lang w:eastAsia="en-US"/>
              </w:rPr>
            </w:pPr>
            <w:r>
              <w:rPr>
                <w:rFonts w:ascii="Times New Roman" w:hAnsi="Times New Roman"/>
                <w:szCs w:val="22"/>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第8.2（1）项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质量保证期</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20"/>
              <w:jc w:val="left"/>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第8.2（3）项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第二节</w:t>
            </w:r>
            <w:r/>
          </w:p>
          <w:p>
            <w:pPr>
              <w:jc w:val="center"/>
              <w:spacing w:line="400" w:lineRule="exact"/>
              <w:widowControl/>
              <w:rPr>
                <w:rFonts w:ascii="华文楷体" w:hAnsi="华文楷体" w:eastAsia="华文楷体" w:cs="华文楷体"/>
                <w:sz w:val="22"/>
                <w:szCs w:val="21"/>
                <w:lang w:eastAsia="en-US"/>
              </w:rPr>
            </w:pPr>
            <w:r>
              <w:rPr>
                <w:rFonts w:hint="eastAsia" w:ascii="宋体" w:hAnsi="宋体" w:cs="宋体"/>
                <w:sz w:val="22"/>
                <w:szCs w:val="21"/>
                <w:lang w:eastAsia="en-US"/>
              </w:rPr>
              <w:t xml:space="preserve">第11.1款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其他应当保密的信息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第12.2款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合同价款支付时间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第13.2款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第13.3款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第14.1（3）项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运行监督、维修期限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第14.1（5）项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货物回收的约定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第14.1（6）项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乙方提供的其他服务</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第15.2（2）项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迟延交货赔偿费</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u w:val="single"/>
                <w:lang w:eastAsia="en-US"/>
              </w:rPr>
            </w:pPr>
            <w:r>
              <w:rPr>
                <w:rFonts w:ascii="宋体" w:hAnsi="宋体"/>
                <w:szCs w:val="21"/>
                <w:u w:val="single"/>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逾期付款利息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u w:val="single"/>
                <w:lang w:eastAsia="en-US"/>
              </w:rPr>
            </w:pPr>
            <w:r>
              <w:rPr>
                <w:rFonts w:ascii="宋体" w:hAnsi="宋体"/>
                <w:szCs w:val="21"/>
                <w:u w:val="single"/>
                <w:lang w:eastAsia="en-US"/>
              </w:rPr>
            </w:r>
            <w:r/>
          </w:p>
        </w:tc>
      </w:tr>
      <w:tr>
        <w:trPr>
          <w:trHeight w:val="876"/>
        </w:trPr>
        <w:tc>
          <w:tcPr>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第15.4款</w:t>
            </w:r>
            <w:r/>
          </w:p>
        </w:tc>
        <w:tc>
          <w:tcPr>
            <w:tcBorders>
              <w:top w:val="single" w:color="auto" w:sz="6" w:space="0"/>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其他违约责任</w:t>
            </w:r>
            <w:r/>
          </w:p>
        </w:tc>
        <w:tc>
          <w:tcPr>
            <w:tcBorders>
              <w:top w:val="single" w:color="auto" w:sz="6" w:space="0"/>
              <w:left w:val="single" w:color="auto" w:sz="2" w:space="0"/>
              <w:bottom w:val="single" w:color="auto" w:sz="2" w:space="0"/>
              <w:right w:val="single" w:color="auto" w:sz="4" w:space="0"/>
            </w:tcBorders>
            <w:tcW w:w="5170" w:type="dxa"/>
            <w:vAlign w:val="center"/>
            <w:textDirection w:val="lrTb"/>
            <w:noWrap w:val="false"/>
          </w:tcPr>
          <w:p>
            <w:pPr>
              <w:jc w:val="left"/>
              <w:rPr>
                <w:rFonts w:ascii="宋体" w:hAnsi="宋体"/>
                <w:szCs w:val="21"/>
                <w:u w:val="single"/>
                <w:lang w:eastAsia="en-US"/>
              </w:rPr>
            </w:pPr>
            <w:r>
              <w:rPr>
                <w:rFonts w:ascii="宋体" w:hAnsi="宋体"/>
                <w:szCs w:val="21"/>
                <w:u w:val="single"/>
                <w:lang w:eastAsia="en-US"/>
              </w:rPr>
            </w:r>
            <w:r/>
          </w:p>
        </w:tc>
      </w:tr>
      <w:tr>
        <w:trPr>
          <w:trHeight w:val="90"/>
        </w:trPr>
        <w:tc>
          <w:tcPr>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第19.2款</w:t>
            </w:r>
            <w:r/>
          </w:p>
        </w:tc>
        <w:tc>
          <w:tcPr>
            <w:tcBorders>
              <w:top w:val="single" w:color="auto" w:sz="2" w:space="0"/>
              <w:left w:val="single" w:color="auto" w:sz="2" w:space="0"/>
              <w:bottom w:val="single" w:color="auto" w:sz="6" w:space="0"/>
              <w:right w:val="single" w:color="auto" w:sz="2"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解决争议的方法</w:t>
            </w:r>
            <w:r/>
          </w:p>
        </w:tc>
        <w:tc>
          <w:tcPr>
            <w:tcBorders>
              <w:top w:val="single" w:color="auto" w:sz="2" w:space="0"/>
              <w:left w:val="single" w:color="auto" w:sz="2" w:space="0"/>
              <w:bottom w:val="single" w:color="auto" w:sz="6" w:space="0"/>
              <w:right w:val="single" w:color="auto" w:sz="4"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第23.1款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bCs/>
                <w:szCs w:val="21"/>
                <w:lang w:eastAsia="en-US"/>
              </w:rPr>
              <w:t xml:space="preserve">其他专用条款</w:t>
            </w:r>
            <w:r/>
          </w:p>
        </w:tc>
        <w:tc>
          <w:tcPr>
            <w:tcBorders>
              <w:top w:val="single" w:color="auto" w:sz="6" w:space="0"/>
              <w:left w:val="single" w:color="auto" w:sz="6" w:space="0"/>
              <w:bottom w:val="single" w:color="auto" w:sz="4"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bl>
    <w:p>
      <w:pPr>
        <w:ind w:firstLine="240"/>
        <w:jc w:val="right"/>
        <w:keepLines w:val="0"/>
        <w:keepNext w:val="0"/>
        <w:pageBreakBefore w:val="0"/>
        <w:spacing w:before="120" w:after="120" w:line="3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778"/>
        <w:jc w:val="center"/>
        <w:shd w:val="clear" w:color="auto"/>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r>
      <w:r/>
    </w:p>
    <w:p>
      <w:pPr>
        <w:keepLines w:val="0"/>
        <w:keepNext w:val="0"/>
        <w:pageBreakBefore w:val="0"/>
        <w:spacing w:before="120" w:after="120" w:line="400" w:lineRule="exact"/>
        <w:rPr>
          <w:rFonts w:hint="eastAsia" w:ascii="宋体" w:hAnsi="宋体" w:eastAsia="宋体" w:cs="宋体"/>
          <w:b w:val="0"/>
          <w:bCs w:val="0"/>
          <w:color w:val="auto"/>
          <w:sz w:val="24"/>
          <w:szCs w:val="24"/>
          <w:highlight w:val="none"/>
          <w:lang w:val="en-US" w:eastAsia="zh-CN" w:bidi="ar-SA"/>
        </w:rPr>
      </w:pPr>
      <w:r/>
      <w:bookmarkStart w:id="192" w:name="_Hlk166579025"/>
      <w:r/>
      <w:r/>
    </w:p>
    <w:p>
      <w:pPr>
        <w:keepLines w:val="0"/>
        <w:keepNext w:val="0"/>
        <w:pageBreakBefore w:val="0"/>
        <w:spacing w:before="120" w:after="120" w:line="4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778"/>
        <w:jc w:val="center"/>
        <w:shd w:val="clear" w:color="auto"/>
        <w:rPr>
          <w:rFonts w:hint="eastAsia" w:ascii="宋体" w:hAnsi="宋体" w:eastAsia="宋体" w:cs="宋体"/>
          <w:bCs/>
          <w:color w:val="auto"/>
          <w:sz w:val="44"/>
          <w:highlight w:val="none"/>
        </w:rPr>
      </w:pPr>
      <w:r>
        <w:rPr>
          <w:rFonts w:hint="eastAsia" w:ascii="宋体" w:hAnsi="宋体" w:eastAsia="宋体" w:cs="宋体"/>
          <w:b/>
          <w:bCs w:val="0"/>
          <w:color w:val="auto"/>
          <w:sz w:val="44"/>
          <w:highlight w:val="none"/>
        </w:rPr>
        <w:t xml:space="preserve">第四章  采购需求</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项目属性：货物类项目</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本项目采购标的对应的中小企业划分标准所属行业：工业）</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本项目不接受进口产品。</w:t>
      </w:r>
      <w:r/>
    </w:p>
    <w:p>
      <w:pPr>
        <w:ind w:firstLine="480"/>
        <w:spacing w:line="440" w:lineRule="exact"/>
        <w:rPr>
          <w:rFonts w:ascii="宋体" w:hAnsi="宋体"/>
          <w:b/>
          <w:color w:val="000000"/>
          <w:sz w:val="24"/>
        </w:rPr>
      </w:pPr>
      <w:r>
        <w:rPr>
          <w:rFonts w:hint="eastAsia" w:ascii="宋体" w:hAnsi="宋体"/>
          <w:b/>
          <w:bCs/>
          <w:color w:val="000000"/>
          <w:sz w:val="24"/>
        </w:rPr>
        <w:t xml:space="preserve">核心产品：</w:t>
      </w:r>
      <w:r>
        <w:rPr>
          <w:rFonts w:hint="eastAsia" w:ascii="宋体" w:hAnsi="宋体"/>
          <w:b/>
          <w:bCs/>
          <w:color w:val="000000"/>
          <w:sz w:val="24"/>
          <w:lang w:val="en-US" w:eastAsia="zh-CN"/>
        </w:rPr>
        <w:t xml:space="preserve">木制</w:t>
      </w:r>
      <w:r>
        <w:rPr>
          <w:rFonts w:hint="eastAsia" w:ascii="宋体" w:hAnsi="宋体"/>
          <w:b/>
          <w:bCs/>
          <w:color w:val="000000"/>
          <w:sz w:val="24"/>
        </w:rPr>
        <w:t xml:space="preserve">餐椅</w:t>
      </w:r>
      <w:r/>
    </w:p>
    <w:p>
      <w:pPr>
        <w:spacing w:line="440" w:lineRule="exact"/>
        <w:rPr>
          <w:rFonts w:ascii="宋体" w:hAnsi="宋体"/>
          <w:b/>
          <w:color w:val="000000"/>
          <w:sz w:val="24"/>
        </w:rPr>
      </w:pPr>
      <w:r>
        <w:rPr>
          <w:rFonts w:hint="eastAsia" w:ascii="宋体" w:hAnsi="宋体"/>
          <w:b/>
          <w:color w:val="000000"/>
          <w:sz w:val="24"/>
        </w:rPr>
        <w:t xml:space="preserve">一、项目基本情况</w:t>
      </w:r>
      <w:r/>
    </w:p>
    <w:p>
      <w:pPr>
        <w:ind w:left="479" w:firstLine="64"/>
        <w:spacing w:line="440" w:lineRule="exact"/>
        <w:rPr>
          <w:rFonts w:ascii="宋体" w:hAnsi="宋体"/>
          <w:bCs/>
          <w:color w:val="000000"/>
          <w:sz w:val="24"/>
        </w:rPr>
      </w:pPr>
      <w:r>
        <w:rPr>
          <w:rFonts w:hint="eastAsia" w:ascii="宋体" w:hAnsi="宋体" w:cs="宋体"/>
          <w:bCs/>
          <w:sz w:val="24"/>
          <w:highlight w:val="white"/>
        </w:rPr>
        <w:t xml:space="preserve">本次采购内容为宿迁学院新校区南食堂大厅家具采购项目采购，包括家具制作、运输、装卸、安装、调试及售后三包服务等。</w:t>
      </w:r>
      <w:r>
        <w:rPr>
          <w:rFonts w:hint="eastAsia" w:ascii="宋体" w:hAnsi="宋体"/>
          <w:bCs/>
          <w:color w:val="000000"/>
          <w:sz w:val="24"/>
        </w:rPr>
        <w:t xml:space="preserve"> </w:t>
      </w:r>
      <w:r/>
    </w:p>
    <w:p>
      <w:pPr>
        <w:numPr>
          <w:ilvl w:val="0"/>
          <w:numId w:val="8"/>
        </w:numPr>
        <w:spacing w:line="440" w:lineRule="exact"/>
        <w:rPr>
          <w:rFonts w:ascii="宋体" w:hAnsi="宋体"/>
          <w:b/>
          <w:color w:val="000000"/>
          <w:sz w:val="24"/>
        </w:rPr>
      </w:pPr>
      <w:r>
        <w:rPr>
          <w:rFonts w:hint="eastAsia" w:ascii="宋体" w:hAnsi="宋体"/>
          <w:b/>
          <w:color w:val="000000"/>
          <w:sz w:val="24"/>
        </w:rPr>
        <w:t xml:space="preserve">技术参数要求</w:t>
      </w:r>
      <w:r/>
    </w:p>
    <w:tbl>
      <w:tblPr>
        <w:tblStyle w:val="788"/>
        <w:tblW w:w="498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46"/>
        <w:gridCol w:w="663"/>
        <w:gridCol w:w="1091"/>
        <w:gridCol w:w="2779"/>
        <w:gridCol w:w="678"/>
        <w:gridCol w:w="2072"/>
        <w:gridCol w:w="1421"/>
      </w:tblGrid>
      <w:tr>
        <w:trPr>
          <w:trHeight w:val="1220"/>
        </w:trPr>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家具名称</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1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图片样式</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颜色</w:t>
            </w:r>
            <w:r/>
          </w:p>
        </w:tc>
      </w:tr>
      <w:tr>
        <w:trPr>
          <w:trHeight w:val="3800"/>
        </w:trPr>
        <w:tc>
          <w:tcPr>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1200*600*750mm</w:t>
            </w:r>
            <w:r/>
          </w:p>
        </w:tc>
        <w:tc>
          <w:tcPr>
            <w:tcBorders>
              <w:top w:val="single" w:color="000000" w:sz="4" w:space="0"/>
              <w:left w:val="single" w:color="000000" w:sz="4" w:space="0"/>
              <w:bottom w:val="none" w:color="000000" w:sz="4" w:space="0"/>
              <w:right w:val="single" w:color="000000" w:sz="4" w:space="0"/>
            </w:tcBorders>
            <w:tcW w:w="1518"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1.尺寸：D1200*W600*H750mm±10mm；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2.材质：抗倍特板+钢架；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3.桌面：材质采用18mm抗倍特一体成型，耐80度以上高温，防水：浸水24小时后的膨胀指数不多于0.1mm，面板四周采CNC修边，四周倒角，圆润光滑无任何毛边。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4.横杆尺寸：20*40mm，厚度1.5mm，桌脚采用直径38*38mm，厚度1.8mm钢管，表面采用高温粉体烤漆，耐腐蚀，不易生锈；底部配四个脚垫。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5.▲《抗倍特板》符合GB/T 20284-2006《建筑材料或制品的单体燃烧试验》燃烧增长速率指数≦250W/S；火焰横向蔓延：不可到达试样长翼边缘；600s内总放热量≦15MJ；烟气生成速率指数≦30M²/S²；600s总烟气生成量≦50m²；600s内滴落物：无滴落物。</w:t>
            </w:r>
            <w:r>
              <w:rPr>
                <w:rFonts w:hint="eastAsia" w:ascii="宋体" w:hAnsi="宋体" w:eastAsia="宋体" w:cs="宋体"/>
                <w:b/>
                <w:bCs/>
                <w:i w:val="0"/>
                <w:iCs w:val="0"/>
                <w:color w:val="000000"/>
                <w:sz w:val="20"/>
                <w:szCs w:val="20"/>
                <w:u w:val="none"/>
                <w:lang w:val="en-US" w:eastAsia="zh-CN" w:bidi="ar"/>
              </w:rPr>
              <w:t xml:space="preserve">（投标文件中提供具有CMA标识的符合本项要求的检验检测报告电子件）</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6.▲桌面环保性能---甲醛释放量≤0.025mg/m³；桌面TVOC释放量需符合 GB/T 39600-2021《人造板及其制品甲醛释放量分级》 TVOC释放量≤0.5mg/m³·h 。（投标文件中提供具有CMA标识的符合本项要求的检验检测报告电子件）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7.▲桌面放射性核素照射指数IRa≤0.8和外照射指数Iy≤1.0</w:t>
            </w:r>
            <w:r>
              <w:rPr>
                <w:rFonts w:hint="eastAsia" w:ascii="宋体" w:hAnsi="宋体" w:eastAsia="宋体" w:cs="宋体"/>
                <w:b/>
                <w:bCs/>
                <w:i w:val="0"/>
                <w:iCs w:val="0"/>
                <w:color w:val="000000"/>
                <w:sz w:val="20"/>
                <w:szCs w:val="20"/>
                <w:u w:val="none"/>
                <w:lang w:val="en-US" w:eastAsia="zh-CN" w:bidi="ar"/>
              </w:rPr>
              <w:t xml:space="preserve">（投标文件中提供具有CMA标识的符合本项要求的检验检测报告电子件）</w:t>
            </w: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lang w:val="en-US" w:eastAsia="zh-CN"/>
              </w:rPr>
              <w:suppressLineNumbers w:val="0"/>
            </w:pPr>
            <w:r>
              <w:rPr>
                <w:rFonts w:hint="eastAsia" w:ascii="Arial" w:hAnsi="Arial" w:cs="Arial"/>
                <w:i w:val="0"/>
                <w:iCs w:val="0"/>
                <w:color w:val="000000"/>
                <w:sz w:val="20"/>
                <w:szCs w:val="20"/>
                <w:u w:val="none"/>
                <w:lang w:val="en-US" w:eastAsia="zh-CN"/>
              </w:rPr>
              <w:t xml:space="preserve">383</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-22225</wp:posOffset>
                      </wp:positionH>
                      <wp:positionV relativeFrom="paragraph">
                        <wp:posOffset>732155</wp:posOffset>
                      </wp:positionV>
                      <wp:extent cx="1181100" cy="1214120"/>
                      <wp:effectExtent l="0" t="0" r="0" b="0"/>
                      <wp:wrapNone/>
                      <wp:docPr id="4" name="图片_1"/>
                      <wp:cNvGraphicFramePr/>
                      <a:graphic xmlns:a="http://schemas.openxmlformats.org/drawingml/2006/main">
                        <a:graphicData uri="http://schemas.openxmlformats.org/drawingml/2006/picture">
                          <pic:pic xmlns:pic="http://schemas.openxmlformats.org/drawingml/2006/picture">
                            <pic:nvPicPr>
                              <pic:cNvPr id="16" name="图片_1"/>
                              <pic:cNvPicPr/>
                              <pic:nvPr/>
                            </pic:nvPicPr>
                            <pic:blipFill>
                              <a:blip r:embed="rId15"/>
                              <a:stretch/>
                            </pic:blipFill>
                            <pic:spPr bwMode="auto">
                              <a:xfrm>
                                <a:off x="0" y="0"/>
                                <a:ext cx="1181099" cy="1214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9504;o:allowoverlap:true;o:allowincell:true;mso-position-horizontal-relative:text;margin-left:-1.8pt;mso-position-horizontal:absolute;mso-position-vertical-relative:text;margin-top:57.6pt;mso-position-vertical:absolute;width:93.0pt;height:95.6pt;mso-wrap-distance-left:9.0pt;mso-wrap-distance-top:0.0pt;mso-wrap-distance-right:9.0pt;mso-wrap-distance-bottom:0.0pt;" stroked="f">
                      <v:path textboxrect="0,0,0,0"/>
                      <v:imagedata r:id="rId15"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白蜡木纹色</w:t>
            </w:r>
            <w:r/>
          </w:p>
        </w:tc>
      </w:tr>
      <w:tr>
        <w:trPr>
          <w:trHeight w:val="2920"/>
        </w:trPr>
        <w:tc>
          <w:tcPr>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none" w:color="000000" w:sz="4" w:space="0"/>
              <w:right w:val="single" w:color="000000" w:sz="4" w:space="0"/>
            </w:tcBorders>
            <w:tcW w:w="1518"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14</w:t>
            </w:r>
            <w:r>
              <w:rPr>
                <w:rFonts w:hint="eastAsia" w:ascii="Arial" w:hAnsi="Arial" w:cs="Arial"/>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23495</wp:posOffset>
                      </wp:positionH>
                      <wp:positionV relativeFrom="paragraph">
                        <wp:posOffset>92710</wp:posOffset>
                      </wp:positionV>
                      <wp:extent cx="1114425" cy="1146810"/>
                      <wp:effectExtent l="0" t="0" r="0" b="0"/>
                      <wp:wrapNone/>
                      <wp:docPr id="5" name="图片_3"/>
                      <wp:cNvGraphicFramePr/>
                      <a:graphic xmlns:a="http://schemas.openxmlformats.org/drawingml/2006/main">
                        <a:graphicData uri="http://schemas.openxmlformats.org/drawingml/2006/picture">
                          <pic:pic xmlns:pic="http://schemas.openxmlformats.org/drawingml/2006/picture">
                            <pic:nvPicPr>
                              <pic:cNvPr id="19" name="图片_3"/>
                              <pic:cNvPicPr/>
                              <pic:nvPr/>
                            </pic:nvPicPr>
                            <pic:blipFill>
                              <a:blip r:embed="rId16"/>
                              <a:stretch/>
                            </pic:blipFill>
                            <pic:spPr bwMode="auto">
                              <a:xfrm>
                                <a:off x="0" y="0"/>
                                <a:ext cx="1114425" cy="1146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0528;o:allowoverlap:true;o:allowincell:true;mso-position-horizontal-relative:text;margin-left:1.8pt;mso-position-horizontal:absolute;mso-position-vertical-relative:text;margin-top:7.3pt;mso-position-vertical:absolute;width:87.8pt;height:90.3pt;mso-wrap-distance-left:9.0pt;mso-wrap-distance-top:0.0pt;mso-wrap-distance-right:9.0pt;mso-wrap-distance-bottom:0.0pt;" stroked="f">
                      <v:path textboxrect="0,0,0,0"/>
                      <v:imagedata r:id="rId16"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暖白色</w:t>
            </w:r>
            <w:r/>
          </w:p>
        </w:tc>
      </w:tr>
      <w:tr>
        <w:trPr>
          <w:trHeight w:val="3625"/>
        </w:trPr>
        <w:tc>
          <w:tcPr>
            <w:tcBorders>
              <w:top w:val="single" w:color="000000" w:sz="4" w:space="0"/>
              <w:left w:val="single" w:color="000000" w:sz="4" w:space="0"/>
              <w:bottom w:val="none" w:color="000000" w:sz="4" w:space="0"/>
              <w:right w:val="single" w:color="000000" w:sz="4" w:space="0"/>
            </w:tcBorders>
            <w:tcW w:w="243"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600*600*750mm</w:t>
            </w:r>
            <w:r/>
          </w:p>
        </w:tc>
        <w:tc>
          <w:tcPr>
            <w:tcBorders>
              <w:top w:val="single" w:color="000000" w:sz="4" w:space="0"/>
              <w:left w:val="single" w:color="000000" w:sz="4" w:space="0"/>
              <w:bottom w:val="none" w:color="000000" w:sz="4" w:space="0"/>
              <w:right w:val="single" w:color="000000" w:sz="4" w:space="0"/>
            </w:tcBorders>
            <w:tcW w:w="1518"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lang w:val="en-US"/>
              </w:rPr>
              <w:suppressLineNumbers w:val="0"/>
            </w:pPr>
            <w:r>
              <w:rPr>
                <w:rFonts w:hint="eastAsia" w:ascii="Arial" w:hAnsi="Arial" w:cs="Arial"/>
                <w:i w:val="0"/>
                <w:iCs w:val="0"/>
                <w:color w:val="000000"/>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-9525</wp:posOffset>
                      </wp:positionH>
                      <wp:positionV relativeFrom="paragraph">
                        <wp:posOffset>571500</wp:posOffset>
                      </wp:positionV>
                      <wp:extent cx="1230630" cy="1268730"/>
                      <wp:effectExtent l="0" t="0" r="0" b="0"/>
                      <wp:wrapNone/>
                      <wp:docPr id="6" name="图片_2"/>
                      <wp:cNvGraphicFramePr/>
                      <a:graphic xmlns:a="http://schemas.openxmlformats.org/drawingml/2006/main">
                        <a:graphicData uri="http://schemas.openxmlformats.org/drawingml/2006/picture">
                          <pic:pic xmlns:pic="http://schemas.openxmlformats.org/drawingml/2006/picture">
                            <pic:nvPicPr>
                              <pic:cNvPr id="18" name="图片_2"/>
                              <pic:cNvPicPr/>
                              <pic:nvPr/>
                            </pic:nvPicPr>
                            <pic:blipFill>
                              <a:blip r:embed="rId17"/>
                              <a:stretch/>
                            </pic:blipFill>
                            <pic:spPr bwMode="auto">
                              <a:xfrm>
                                <a:off x="0" y="0"/>
                                <a:ext cx="1230630" cy="1268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71552;o:allowoverlap:true;o:allowincell:true;mso-position-horizontal-relative:text;margin-left:-0.8pt;mso-position-horizontal:absolute;mso-position-vertical-relative:text;margin-top:45.0pt;mso-position-vertical:absolute;width:96.9pt;height:99.9pt;mso-wrap-distance-left:9.0pt;mso-wrap-distance-top:0.0pt;mso-wrap-distance-right:9.0pt;mso-wrap-distance-bottom:0.0pt;" stroked="f">
                      <v:path textboxrect="0,0,0,0"/>
                      <v:imagedata r:id="rId17"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白蜡木纹色</w:t>
            </w:r>
            <w:r/>
          </w:p>
        </w:tc>
      </w:tr>
      <w:tr>
        <w:trPr>
          <w:trHeight w:val="3220"/>
        </w:trPr>
        <w:tc>
          <w:tcPr>
            <w:tcBorders>
              <w:top w:val="single" w:color="000000" w:sz="4" w:space="0"/>
              <w:left w:val="single" w:color="000000" w:sz="4" w:space="0"/>
              <w:bottom w:val="non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none" w:color="000000" w:sz="4" w:space="0"/>
              <w:right w:val="single" w:color="000000" w:sz="4" w:space="0"/>
            </w:tcBorders>
            <w:tcW w:w="1518"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lang w:val="en-US"/>
              </w:rPr>
              <w:suppressLineNumbers w:val="0"/>
            </w:pPr>
            <w:r>
              <w:rPr>
                <w:rFonts w:hint="eastAsia" w:ascii="Arial" w:hAnsi="Arial" w:cs="Arial"/>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-3175</wp:posOffset>
                      </wp:positionH>
                      <wp:positionV relativeFrom="paragraph">
                        <wp:posOffset>378460</wp:posOffset>
                      </wp:positionV>
                      <wp:extent cx="1167765" cy="1200785"/>
                      <wp:effectExtent l="0" t="0" r="0" b="0"/>
                      <wp:wrapNone/>
                      <wp:docPr id="7" name="图片_4"/>
                      <wp:cNvGraphicFramePr/>
                      <a:graphic xmlns:a="http://schemas.openxmlformats.org/drawingml/2006/main">
                        <a:graphicData uri="http://schemas.openxmlformats.org/drawingml/2006/picture">
                          <pic:pic xmlns:pic="http://schemas.openxmlformats.org/drawingml/2006/picture">
                            <pic:nvPicPr>
                              <pic:cNvPr id="22" name="图片_4"/>
                              <pic:cNvPicPr/>
                              <pic:nvPr/>
                            </pic:nvPicPr>
                            <pic:blipFill>
                              <a:blip r:embed="rId18"/>
                              <a:stretch/>
                            </pic:blipFill>
                            <pic:spPr bwMode="auto">
                              <a:xfrm>
                                <a:off x="0" y="0"/>
                                <a:ext cx="1167765" cy="1200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72576;o:allowoverlap:true;o:allowincell:true;mso-position-horizontal-relative:text;margin-left:-0.2pt;mso-position-horizontal:absolute;mso-position-vertical-relative:text;margin-top:29.8pt;mso-position-vertical:absolute;width:91.9pt;height:94.5pt;mso-wrap-distance-left:9.0pt;mso-wrap-distance-top:0.0pt;mso-wrap-distance-right:9.0pt;mso-wrap-distance-bottom:0.0pt;" stroked="f">
                      <v:path textboxrect="0,0,0,0"/>
                      <v:imagedata r:id="rId18"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暖白色</w:t>
            </w:r>
            <w:r/>
          </w:p>
        </w:tc>
      </w:tr>
      <w:tr>
        <w:trPr>
          <w:trHeight w:val="3220"/>
        </w:trPr>
        <w:tc>
          <w:tcPr>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eastAsia" w:ascii="Arial" w:hAnsi="Arial" w:cs="Arial"/>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餐椅</w:t>
            </w:r>
            <w:r/>
          </w:p>
        </w:tc>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5</w:t>
            </w:r>
            <w:r>
              <w:rPr>
                <w:rFonts w:hint="eastAsia" w:ascii="Arial" w:hAnsi="Arial" w:cs="Arial"/>
                <w:i w:val="0"/>
                <w:iCs w:val="0"/>
                <w:color w:val="000000"/>
                <w:sz w:val="20"/>
                <w:szCs w:val="20"/>
                <w:u w:val="none"/>
                <w:lang w:val="en-US" w:eastAsia="zh-CN" w:bidi="ar"/>
              </w:rPr>
              <w:t xml:space="preserve">3</w:t>
            </w:r>
            <w:r>
              <w:rPr>
                <w:rFonts w:hint="default" w:ascii="Arial" w:hAnsi="Arial" w:eastAsia="宋体" w:cs="Arial"/>
                <w:i w:val="0"/>
                <w:iCs w:val="0"/>
                <w:color w:val="000000"/>
                <w:sz w:val="20"/>
                <w:szCs w:val="20"/>
                <w:u w:val="none"/>
                <w:lang w:val="en-US" w:eastAsia="zh-CN" w:bidi="ar"/>
              </w:rPr>
              <w:t xml:space="preserve">0*4</w:t>
            </w:r>
            <w:r>
              <w:rPr>
                <w:rFonts w:hint="eastAsia" w:ascii="Arial" w:hAnsi="Arial" w:cs="Arial"/>
                <w:i w:val="0"/>
                <w:iCs w:val="0"/>
                <w:color w:val="000000"/>
                <w:sz w:val="20"/>
                <w:szCs w:val="20"/>
                <w:u w:val="none"/>
                <w:lang w:val="en-US" w:eastAsia="zh-CN" w:bidi="ar"/>
              </w:rPr>
              <w:t xml:space="preserve">6</w:t>
            </w:r>
            <w:r>
              <w:rPr>
                <w:rFonts w:hint="default" w:ascii="Arial" w:hAnsi="Arial" w:eastAsia="宋体" w:cs="Arial"/>
                <w:i w:val="0"/>
                <w:iCs w:val="0"/>
                <w:color w:val="000000"/>
                <w:sz w:val="20"/>
                <w:szCs w:val="20"/>
                <w:u w:val="none"/>
                <w:lang w:val="en-US" w:eastAsia="zh-CN" w:bidi="ar"/>
              </w:rPr>
              <w:t xml:space="preserve">0*</w:t>
            </w:r>
            <w:r>
              <w:rPr>
                <w:rFonts w:hint="eastAsia" w:ascii="Arial" w:hAnsi="Arial" w:cs="Arial"/>
                <w:i w:val="0"/>
                <w:iCs w:val="0"/>
                <w:color w:val="000000"/>
                <w:sz w:val="20"/>
                <w:szCs w:val="20"/>
                <w:u w:val="none"/>
                <w:lang w:val="en-US" w:eastAsia="zh-CN" w:bidi="ar"/>
              </w:rPr>
              <w:t xml:space="preserve">76</w:t>
            </w:r>
            <w:r>
              <w:rPr>
                <w:rFonts w:hint="default" w:ascii="Arial" w:hAnsi="Arial" w:eastAsia="宋体" w:cs="Arial"/>
                <w:i w:val="0"/>
                <w:iCs w:val="0"/>
                <w:color w:val="000000"/>
                <w:sz w:val="20"/>
                <w:szCs w:val="20"/>
                <w:u w:val="none"/>
                <w:lang w:val="en-US" w:eastAsia="zh-CN" w:bidi="ar"/>
              </w:rPr>
              <w:t xml:space="preserve">0mm</w:t>
            </w:r>
            <w:r/>
          </w:p>
        </w:tc>
        <w:tc>
          <w:tcPr>
            <w:tcBorders>
              <w:top w:val="single" w:color="000000" w:sz="4" w:space="0"/>
              <w:left w:val="single" w:color="000000" w:sz="4" w:space="0"/>
              <w:bottom w:val="single" w:color="000000" w:sz="4" w:space="0"/>
              <w:right w:val="single" w:color="000000" w:sz="4" w:space="0"/>
            </w:tcBorders>
            <w:tcW w:w="1518" w:type="pct"/>
            <w:vAlign w:val="center"/>
            <w:vMerge w:val="restart"/>
            <w:textDirection w:val="lrTb"/>
            <w:noWrap w:val="false"/>
          </w:tcPr>
          <w:p>
            <w:pPr>
              <w:jc w:val="left"/>
              <w:keepLines w:val="0"/>
              <w:keepNext w:val="0"/>
              <w:widowControl/>
              <w:rPr>
                <w:rFonts w:hint="default" w:ascii="Arial" w:hAnsi="Arial" w:cs="Arial"/>
                <w:i w:val="0"/>
                <w:iCs w:val="0"/>
                <w:color w:val="000000"/>
                <w:sz w:val="20"/>
                <w:szCs w:val="20"/>
                <w:u w:val="none"/>
              </w:rPr>
              <w:suppressLineNumbers w:val="0"/>
            </w:pPr>
            <w:r>
              <w:rPr>
                <w:rFonts w:ascii="Arial" w:hAnsi="Arial" w:eastAsia="宋体" w:cs="Arial"/>
                <w:color w:val="000000"/>
                <w:sz w:val="20"/>
                <w:szCs w:val="20"/>
                <w:lang w:val="en-US" w:eastAsia="en-US" w:bidi="ar"/>
              </w:rPr>
              <w:t xml:space="preserve">1.</w:t>
            </w:r>
            <w:r>
              <w:rPr>
                <w:rFonts w:hint="eastAsia" w:ascii="宋体" w:hAnsi="宋体" w:eastAsia="宋体" w:cs="宋体"/>
                <w:color w:val="000000"/>
                <w:sz w:val="20"/>
                <w:szCs w:val="20"/>
                <w:lang w:val="en-US" w:eastAsia="en-US" w:bidi="ar"/>
              </w:rPr>
              <w:t xml:space="preserve">规格：</w:t>
            </w:r>
            <w:r>
              <w:rPr>
                <w:rFonts w:ascii="Arial" w:hAnsi="Arial" w:eastAsia="宋体" w:cs="Arial"/>
                <w:color w:val="000000"/>
                <w:sz w:val="20"/>
                <w:szCs w:val="20"/>
                <w:lang w:val="en-US" w:eastAsia="en-US" w:bidi="ar"/>
              </w:rPr>
              <w:t xml:space="preserve">530*460*760mm</w:t>
            </w:r>
            <w:r>
              <w:rPr>
                <w:rFonts w:hint="eastAsia" w:ascii="宋体" w:hAnsi="宋体" w:eastAsia="宋体" w:cs="宋体"/>
                <w:color w:val="000000"/>
                <w:sz w:val="20"/>
                <w:szCs w:val="20"/>
                <w:lang w:val="en-US" w:eastAsia="en-US" w:bidi="ar"/>
              </w:rPr>
              <w:t xml:space="preserve">。</w:t>
            </w:r>
            <w:r>
              <w:rPr>
                <w:rFonts w:ascii="Arial" w:hAnsi="Arial" w:eastAsia="宋体" w:cs="Arial"/>
                <w:color w:val="000000"/>
                <w:sz w:val="20"/>
                <w:szCs w:val="20"/>
                <w:lang w:val="en-US" w:eastAsia="en-US" w:bidi="ar"/>
              </w:rPr>
              <w:br/>
            </w:r>
            <w:r>
              <w:rPr>
                <w:rFonts w:ascii="Arial" w:hAnsi="Arial" w:eastAsia="宋体" w:cs="Arial"/>
                <w:color w:val="000000"/>
                <w:sz w:val="20"/>
                <w:szCs w:val="20"/>
                <w:lang w:val="en-US" w:eastAsia="en-US" w:bidi="ar"/>
              </w:rPr>
              <w:t xml:space="preserve">2.</w:t>
            </w:r>
            <w:r>
              <w:rPr>
                <w:rFonts w:hint="eastAsia" w:ascii="宋体" w:hAnsi="宋体" w:eastAsia="宋体" w:cs="宋体"/>
                <w:color w:val="000000"/>
                <w:sz w:val="20"/>
                <w:szCs w:val="20"/>
                <w:lang w:val="en-US" w:eastAsia="en-US" w:bidi="ar"/>
              </w:rPr>
              <w:t xml:space="preserve">椅座：采用</w:t>
            </w:r>
            <w:r>
              <w:rPr>
                <w:rFonts w:ascii="Arial" w:hAnsi="Arial" w:eastAsia="宋体" w:cs="Arial"/>
                <w:color w:val="000000"/>
                <w:sz w:val="20"/>
                <w:szCs w:val="20"/>
                <w:lang w:val="en-US" w:eastAsia="en-US" w:bidi="ar"/>
              </w:rPr>
              <w:t xml:space="preserve"> PP</w:t>
            </w:r>
            <w:r>
              <w:rPr>
                <w:rFonts w:hint="eastAsia" w:ascii="宋体" w:hAnsi="宋体" w:eastAsia="宋体" w:cs="宋体"/>
                <w:color w:val="000000"/>
                <w:sz w:val="20"/>
                <w:szCs w:val="20"/>
                <w:lang w:val="en-US" w:eastAsia="en-US" w:bidi="ar"/>
              </w:rPr>
              <w:t xml:space="preserve">（塑料）新料一体成型，规格（宽）</w:t>
            </w:r>
            <w:r>
              <w:rPr>
                <w:rFonts w:ascii="Arial" w:hAnsi="Arial" w:eastAsia="宋体" w:cs="Arial"/>
                <w:color w:val="000000"/>
                <w:sz w:val="20"/>
                <w:szCs w:val="20"/>
                <w:lang w:val="en-US" w:eastAsia="en-US" w:bidi="ar"/>
              </w:rPr>
              <w:t xml:space="preserve">420mm*</w:t>
            </w:r>
            <w:r>
              <w:rPr>
                <w:rFonts w:hint="eastAsia" w:ascii="宋体" w:hAnsi="宋体" w:eastAsia="宋体" w:cs="宋体"/>
                <w:color w:val="000000"/>
                <w:sz w:val="20"/>
                <w:szCs w:val="20"/>
                <w:lang w:val="en-US" w:eastAsia="en-US" w:bidi="ar"/>
              </w:rPr>
              <w:t xml:space="preserve">（深）</w:t>
            </w:r>
            <w:r>
              <w:rPr>
                <w:rFonts w:ascii="Arial" w:hAnsi="Arial" w:eastAsia="宋体" w:cs="Arial"/>
                <w:color w:val="000000"/>
                <w:sz w:val="20"/>
                <w:szCs w:val="20"/>
                <w:lang w:val="en-US" w:eastAsia="en-US" w:bidi="ar"/>
              </w:rPr>
              <w:t xml:space="preserve">430mm*</w:t>
            </w:r>
            <w:r>
              <w:rPr>
                <w:rFonts w:hint="eastAsia" w:ascii="宋体" w:hAnsi="宋体" w:eastAsia="宋体" w:cs="宋体"/>
                <w:color w:val="000000"/>
                <w:sz w:val="20"/>
                <w:szCs w:val="20"/>
                <w:lang w:val="en-US" w:eastAsia="en-US" w:bidi="ar"/>
              </w:rPr>
              <w:t xml:space="preserve">（坐高）</w:t>
            </w:r>
            <w:r>
              <w:rPr>
                <w:rFonts w:hint="eastAsia" w:ascii="Arial" w:hAnsi="Arial" w:cs="Arial"/>
                <w:color w:val="000000"/>
                <w:sz w:val="20"/>
                <w:szCs w:val="20"/>
                <w:lang w:val="en-US" w:eastAsia="zh-CN" w:bidi="ar"/>
              </w:rPr>
              <w:t xml:space="preserve">440</w:t>
            </w:r>
            <w:r>
              <w:rPr>
                <w:rFonts w:ascii="Arial" w:hAnsi="Arial" w:eastAsia="宋体" w:cs="Arial"/>
                <w:color w:val="000000"/>
                <w:sz w:val="20"/>
                <w:szCs w:val="20"/>
                <w:lang w:val="en-US" w:eastAsia="en-US" w:bidi="ar"/>
              </w:rPr>
              <w:t xml:space="preserve">mm</w:t>
            </w:r>
            <w:r>
              <w:rPr>
                <w:rFonts w:hint="eastAsia" w:ascii="宋体" w:hAnsi="宋体" w:eastAsia="宋体" w:cs="宋体"/>
                <w:color w:val="000000"/>
                <w:sz w:val="20"/>
                <w:szCs w:val="20"/>
                <w:lang w:val="en-US" w:eastAsia="en-US" w:bidi="ar"/>
              </w:rPr>
              <w:t xml:space="preserve">，座板厚</w:t>
            </w:r>
            <w:r>
              <w:rPr>
                <w:rFonts w:ascii="Arial" w:hAnsi="Arial" w:eastAsia="宋体" w:cs="Arial"/>
                <w:color w:val="000000"/>
                <w:sz w:val="20"/>
                <w:szCs w:val="20"/>
                <w:lang w:val="en-US" w:eastAsia="en-US" w:bidi="ar"/>
              </w:rPr>
              <w:t xml:space="preserve">≥6mm </w:t>
            </w:r>
            <w:r>
              <w:rPr>
                <w:rFonts w:hint="eastAsia" w:ascii="宋体" w:hAnsi="宋体" w:eastAsia="宋体" w:cs="宋体"/>
                <w:color w:val="000000"/>
                <w:sz w:val="20"/>
                <w:szCs w:val="20"/>
                <w:lang w:val="en-US" w:eastAsia="en-US" w:bidi="ar"/>
              </w:rPr>
              <w:t xml:space="preserve">。</w:t>
            </w:r>
            <w:r>
              <w:rPr>
                <w:rFonts w:ascii="Arial" w:hAnsi="Arial" w:eastAsia="宋体" w:cs="Arial"/>
                <w:color w:val="000000"/>
                <w:sz w:val="20"/>
                <w:szCs w:val="20"/>
                <w:lang w:val="en-US" w:eastAsia="en-US" w:bidi="ar"/>
              </w:rPr>
              <w:br/>
            </w:r>
            <w:r>
              <w:rPr>
                <w:rFonts w:ascii="Arial" w:hAnsi="Arial" w:eastAsia="宋体" w:cs="Arial"/>
                <w:color w:val="000000"/>
                <w:sz w:val="20"/>
                <w:szCs w:val="20"/>
                <w:lang w:val="en-US" w:eastAsia="en-US" w:bidi="ar"/>
              </w:rPr>
              <w:t xml:space="preserve">3.</w:t>
            </w:r>
            <w:r>
              <w:rPr>
                <w:rFonts w:hint="eastAsia" w:ascii="宋体" w:hAnsi="宋体" w:eastAsia="宋体" w:cs="宋体"/>
                <w:color w:val="000000"/>
                <w:sz w:val="20"/>
                <w:szCs w:val="20"/>
                <w:lang w:val="en-US" w:eastAsia="en-US" w:bidi="ar"/>
              </w:rPr>
              <w:t xml:space="preserve">椅背：采用</w:t>
            </w:r>
            <w:r>
              <w:rPr>
                <w:rFonts w:ascii="Arial" w:hAnsi="Arial" w:eastAsia="宋体" w:cs="Arial"/>
                <w:color w:val="000000"/>
                <w:sz w:val="20"/>
                <w:szCs w:val="20"/>
                <w:lang w:val="en-US" w:eastAsia="en-US" w:bidi="ar"/>
              </w:rPr>
              <w:t xml:space="preserve"> PP</w:t>
            </w:r>
            <w:r>
              <w:rPr>
                <w:rFonts w:hint="eastAsia" w:ascii="宋体" w:hAnsi="宋体" w:eastAsia="宋体" w:cs="宋体"/>
                <w:color w:val="000000"/>
                <w:sz w:val="20"/>
                <w:szCs w:val="20"/>
                <w:lang w:val="en-US" w:eastAsia="en-US" w:bidi="ar"/>
              </w:rPr>
              <w:t xml:space="preserve">（塑料）新料一体成型，规格（宽）</w:t>
            </w:r>
            <w:r>
              <w:rPr>
                <w:rFonts w:ascii="Arial" w:hAnsi="Arial" w:eastAsia="宋体" w:cs="Arial"/>
                <w:color w:val="000000"/>
                <w:sz w:val="20"/>
                <w:szCs w:val="20"/>
                <w:lang w:val="en-US" w:eastAsia="en-US" w:bidi="ar"/>
              </w:rPr>
              <w:t xml:space="preserve">530mm*</w:t>
            </w:r>
            <w:r>
              <w:rPr>
                <w:rFonts w:hint="eastAsia" w:ascii="宋体" w:hAnsi="宋体" w:eastAsia="宋体" w:cs="宋体"/>
                <w:color w:val="000000"/>
                <w:sz w:val="20"/>
                <w:szCs w:val="20"/>
                <w:lang w:val="en-US" w:eastAsia="en-US" w:bidi="ar"/>
              </w:rPr>
              <w:t xml:space="preserve">（深）</w:t>
            </w:r>
            <w:r>
              <w:rPr>
                <w:rFonts w:ascii="Arial" w:hAnsi="Arial" w:eastAsia="宋体" w:cs="Arial"/>
                <w:color w:val="000000"/>
                <w:sz w:val="20"/>
                <w:szCs w:val="20"/>
                <w:lang w:val="en-US" w:eastAsia="en-US" w:bidi="ar"/>
              </w:rPr>
              <w:t xml:space="preserve">200mm*</w:t>
            </w:r>
            <w:r>
              <w:rPr>
                <w:rFonts w:hint="eastAsia" w:ascii="宋体" w:hAnsi="宋体" w:eastAsia="宋体" w:cs="宋体"/>
                <w:color w:val="000000"/>
                <w:sz w:val="20"/>
                <w:szCs w:val="20"/>
                <w:lang w:val="en-US" w:eastAsia="en-US" w:bidi="ar"/>
              </w:rPr>
              <w:t xml:space="preserve">（背高）</w:t>
            </w:r>
            <w:r>
              <w:rPr>
                <w:rFonts w:ascii="Arial" w:hAnsi="Arial" w:eastAsia="宋体" w:cs="Arial"/>
                <w:color w:val="000000"/>
                <w:sz w:val="20"/>
                <w:szCs w:val="20"/>
                <w:lang w:val="en-US" w:eastAsia="en-US" w:bidi="ar"/>
              </w:rPr>
              <w:t xml:space="preserve">330mm</w:t>
            </w:r>
            <w:r>
              <w:rPr>
                <w:rFonts w:hint="eastAsia" w:ascii="宋体" w:hAnsi="宋体" w:eastAsia="宋体" w:cs="宋体"/>
                <w:color w:val="000000"/>
                <w:sz w:val="20"/>
                <w:szCs w:val="20"/>
                <w:lang w:val="en-US" w:eastAsia="en-US" w:bidi="ar"/>
              </w:rPr>
              <w:t xml:space="preserve">；靠背整体成</w:t>
            </w:r>
            <w:r>
              <w:rPr>
                <w:rFonts w:ascii="Arial" w:hAnsi="Arial" w:eastAsia="宋体" w:cs="Arial"/>
                <w:color w:val="000000"/>
                <w:sz w:val="20"/>
                <w:szCs w:val="20"/>
                <w:lang w:val="en-US" w:eastAsia="en-US" w:bidi="ar"/>
              </w:rPr>
              <w:t xml:space="preserve"> T </w:t>
            </w:r>
            <w:r>
              <w:rPr>
                <w:rFonts w:hint="eastAsia" w:ascii="宋体" w:hAnsi="宋体" w:eastAsia="宋体" w:cs="宋体"/>
                <w:color w:val="000000"/>
                <w:sz w:val="20"/>
                <w:szCs w:val="20"/>
                <w:lang w:val="en-US" w:eastAsia="en-US" w:bidi="ar"/>
              </w:rPr>
              <w:t xml:space="preserve">字型。</w:t>
            </w:r>
            <w:r>
              <w:rPr>
                <w:rFonts w:ascii="Arial" w:hAnsi="Arial" w:eastAsia="宋体" w:cs="Arial"/>
                <w:color w:val="000000"/>
                <w:sz w:val="20"/>
                <w:szCs w:val="20"/>
                <w:lang w:val="en-US" w:eastAsia="en-US" w:bidi="ar"/>
              </w:rPr>
              <w:br/>
            </w:r>
            <w:r>
              <w:rPr>
                <w:rFonts w:ascii="Arial" w:hAnsi="Arial" w:eastAsia="宋体" w:cs="Arial"/>
                <w:color w:val="000000"/>
                <w:sz w:val="20"/>
                <w:szCs w:val="20"/>
                <w:lang w:val="en-US" w:eastAsia="en-US" w:bidi="ar"/>
              </w:rPr>
              <w:t xml:space="preserve">4.</w:t>
            </w:r>
            <w:r>
              <w:rPr>
                <w:rFonts w:hint="eastAsia" w:ascii="Calibri" w:hAnsi="Calibri" w:eastAsia="宋体"/>
                <w:sz w:val="21"/>
                <w:szCs w:val="24"/>
                <w:lang w:val="en-US" w:eastAsia="en-US" w:bidi="ar-SA"/>
              </w:rPr>
              <w:t xml:space="preserve"> </w:t>
            </w:r>
            <w:r>
              <w:rPr>
                <w:rFonts w:hint="eastAsia" w:ascii="宋体" w:hAnsi="宋体" w:eastAsia="宋体" w:cs="宋体"/>
                <w:color w:val="000000"/>
                <w:sz w:val="20"/>
                <w:szCs w:val="20"/>
                <w:lang w:val="en-US" w:eastAsia="en-US" w:bidi="ar"/>
              </w:rPr>
              <w:t xml:space="preserve">椅腿由粗到细呈变化厚度，最小处直径</w:t>
            </w:r>
            <w:r>
              <w:rPr>
                <w:rFonts w:ascii="Arial" w:hAnsi="Arial" w:eastAsia="宋体" w:cs="Arial"/>
                <w:color w:val="000000"/>
                <w:sz w:val="20"/>
                <w:szCs w:val="20"/>
                <w:lang w:val="en-US" w:eastAsia="en-US" w:bidi="ar"/>
              </w:rPr>
              <w:t xml:space="preserve">≥2</w:t>
            </w:r>
            <w:r>
              <w:rPr>
                <w:rFonts w:hint="eastAsia" w:ascii="Arial" w:hAnsi="Arial" w:cs="Arial"/>
                <w:color w:val="000000"/>
                <w:sz w:val="20"/>
                <w:szCs w:val="20"/>
                <w:lang w:val="en-US" w:eastAsia="zh-CN" w:bidi="ar"/>
              </w:rPr>
              <w:t xml:space="preserve">4</w:t>
            </w:r>
            <w:r>
              <w:rPr>
                <w:rFonts w:ascii="Arial" w:hAnsi="Arial" w:eastAsia="宋体" w:cs="Arial"/>
                <w:color w:val="000000"/>
                <w:sz w:val="20"/>
                <w:szCs w:val="20"/>
                <w:lang w:val="en-US" w:eastAsia="en-US" w:bidi="ar"/>
              </w:rPr>
              <w:t xml:space="preserve">mm</w:t>
            </w:r>
            <w:r>
              <w:rPr>
                <w:rFonts w:hint="eastAsia" w:ascii="宋体" w:hAnsi="宋体" w:eastAsia="宋体" w:cs="宋体"/>
                <w:color w:val="000000"/>
                <w:sz w:val="20"/>
                <w:szCs w:val="20"/>
                <w:lang w:val="en-US" w:eastAsia="en-US" w:bidi="ar"/>
              </w:rPr>
              <w:t xml:space="preserve">，最大处直径</w:t>
            </w:r>
            <w:r>
              <w:rPr>
                <w:rFonts w:ascii="Arial" w:hAnsi="Arial" w:eastAsia="宋体" w:cs="Arial"/>
                <w:color w:val="000000"/>
                <w:sz w:val="20"/>
                <w:szCs w:val="20"/>
                <w:lang w:val="en-US" w:eastAsia="en-US" w:bidi="ar"/>
              </w:rPr>
              <w:t xml:space="preserve">≥30mm</w:t>
            </w:r>
            <w:r>
              <w:rPr>
                <w:rFonts w:hint="eastAsia" w:ascii="宋体" w:hAnsi="宋体" w:eastAsia="宋体" w:cs="宋体"/>
                <w:color w:val="000000"/>
                <w:sz w:val="20"/>
                <w:szCs w:val="20"/>
                <w:lang w:val="en-US" w:eastAsia="en-US" w:bidi="ar"/>
              </w:rPr>
              <w:t xml:space="preserve">，椅脚采用高质量</w:t>
            </w:r>
            <w:r>
              <w:rPr>
                <w:rFonts w:ascii="Arial" w:hAnsi="Arial" w:eastAsia="宋体" w:cs="Arial"/>
                <w:color w:val="000000"/>
                <w:sz w:val="20"/>
                <w:szCs w:val="20"/>
                <w:lang w:val="en-US" w:eastAsia="en-US" w:bidi="ar"/>
              </w:rPr>
              <w:t xml:space="preserve">PVC</w:t>
            </w:r>
            <w:r>
              <w:rPr>
                <w:rFonts w:hint="eastAsia" w:ascii="宋体" w:hAnsi="宋体" w:eastAsia="宋体" w:cs="宋体"/>
                <w:color w:val="000000"/>
                <w:sz w:val="20"/>
                <w:szCs w:val="20"/>
                <w:lang w:val="en-US" w:eastAsia="en-US" w:bidi="ar"/>
              </w:rPr>
              <w:t xml:space="preserve">硅胶耐磨脚垫。</w:t>
            </w:r>
            <w:r>
              <w:rPr>
                <w:rFonts w:ascii="Arial" w:hAnsi="Arial" w:eastAsia="宋体" w:cs="Arial"/>
                <w:color w:val="000000"/>
                <w:sz w:val="20"/>
                <w:szCs w:val="20"/>
                <w:lang w:val="en-US" w:eastAsia="en-US" w:bidi="ar"/>
              </w:rPr>
              <w:t xml:space="preserve">                                                                                                5.▲PP</w:t>
            </w:r>
            <w:r>
              <w:rPr>
                <w:rFonts w:hint="eastAsia" w:ascii="宋体" w:hAnsi="宋体" w:eastAsia="宋体" w:cs="宋体"/>
                <w:color w:val="000000"/>
                <w:sz w:val="20"/>
                <w:szCs w:val="20"/>
                <w:lang w:val="en-US" w:eastAsia="en-US" w:bidi="ar"/>
              </w:rPr>
              <w:t xml:space="preserve">塑料</w:t>
            </w:r>
            <w:r>
              <w:rPr>
                <w:rFonts w:hint="eastAsia" w:ascii="宋体" w:hAnsi="宋体" w:eastAsia="宋体" w:cs="宋体"/>
                <w:color w:val="000000"/>
                <w:sz w:val="20"/>
                <w:szCs w:val="20"/>
                <w:lang w:val="en-US" w:eastAsia="zh-CN" w:bidi="ar"/>
              </w:rPr>
              <w:t xml:space="preserve">：</w:t>
            </w:r>
            <w:r>
              <w:rPr>
                <w:rFonts w:hint="eastAsia" w:ascii="宋体" w:hAnsi="宋体" w:eastAsia="宋体" w:cs="宋体"/>
                <w:color w:val="000000"/>
                <w:sz w:val="20"/>
                <w:szCs w:val="20"/>
                <w:lang w:val="en-US" w:eastAsia="en-US" w:bidi="ar"/>
              </w:rPr>
              <w:t xml:space="preserve">依据</w:t>
            </w:r>
            <w:r>
              <w:rPr>
                <w:rFonts w:ascii="Arial" w:hAnsi="Arial" w:eastAsia="宋体" w:cs="Arial"/>
                <w:color w:val="000000"/>
                <w:sz w:val="20"/>
                <w:szCs w:val="20"/>
                <w:lang w:val="en-US" w:eastAsia="en-US" w:bidi="ar"/>
              </w:rPr>
              <w:t xml:space="preserve">GB/T 31402-2023</w:t>
            </w:r>
            <w:r>
              <w:rPr>
                <w:rFonts w:hint="eastAsia" w:ascii="宋体" w:hAnsi="宋体" w:eastAsia="宋体" w:cs="宋体"/>
                <w:color w:val="000000"/>
                <w:sz w:val="20"/>
                <w:szCs w:val="20"/>
                <w:lang w:val="en-US" w:eastAsia="en-US" w:bidi="ar"/>
              </w:rPr>
              <w:t xml:space="preserve">《塑料和其他无孔材料表面抗菌活性的测定》、</w:t>
            </w:r>
            <w:r>
              <w:rPr>
                <w:rFonts w:ascii="Arial" w:hAnsi="Arial" w:eastAsia="宋体" w:cs="Arial"/>
                <w:color w:val="000000"/>
                <w:sz w:val="20"/>
                <w:szCs w:val="20"/>
                <w:lang w:val="en-US" w:eastAsia="en-US" w:bidi="ar"/>
              </w:rPr>
              <w:t xml:space="preserve">GB/T 24128-2018</w:t>
            </w:r>
            <w:r>
              <w:rPr>
                <w:rFonts w:hint="eastAsia" w:ascii="宋体" w:hAnsi="宋体" w:eastAsia="宋体" w:cs="宋体"/>
                <w:color w:val="000000"/>
                <w:sz w:val="20"/>
                <w:szCs w:val="20"/>
                <w:lang w:val="en-US" w:eastAsia="en-US" w:bidi="ar"/>
              </w:rPr>
              <w:t xml:space="preserve">《塑料</w:t>
            </w:r>
            <w:r>
              <w:rPr>
                <w:rFonts w:ascii="Arial" w:hAnsi="Arial" w:eastAsia="宋体" w:cs="Arial"/>
                <w:color w:val="000000"/>
                <w:sz w:val="20"/>
                <w:szCs w:val="20"/>
                <w:lang w:val="en-US" w:eastAsia="en-US" w:bidi="ar"/>
              </w:rPr>
              <w:t xml:space="preserve"> </w:t>
            </w:r>
            <w:r>
              <w:rPr>
                <w:rFonts w:hint="eastAsia" w:ascii="宋体" w:hAnsi="宋体" w:eastAsia="宋体" w:cs="宋体"/>
                <w:color w:val="000000"/>
                <w:sz w:val="20"/>
                <w:szCs w:val="20"/>
                <w:lang w:val="en-US" w:eastAsia="en-US" w:bidi="ar"/>
              </w:rPr>
              <w:t xml:space="preserve">塑料防霉剂的防霉效果评估》、</w:t>
            </w:r>
            <w:r>
              <w:rPr>
                <w:rFonts w:ascii="Arial" w:hAnsi="Arial" w:eastAsia="宋体" w:cs="Arial"/>
                <w:color w:val="000000"/>
                <w:sz w:val="20"/>
                <w:szCs w:val="20"/>
                <w:lang w:val="en-US" w:eastAsia="en-US" w:bidi="ar"/>
              </w:rPr>
              <w:t xml:space="preserve">GB/T 32487-2016</w:t>
            </w:r>
            <w:r>
              <w:rPr>
                <w:rFonts w:hint="eastAsia" w:ascii="宋体" w:hAnsi="宋体" w:eastAsia="宋体" w:cs="宋体"/>
                <w:color w:val="000000"/>
                <w:sz w:val="20"/>
                <w:szCs w:val="20"/>
                <w:lang w:val="en-US" w:eastAsia="en-US" w:bidi="ar"/>
              </w:rPr>
              <w:t xml:space="preserve">《塑料家具通用技术条件》，关于抗菌率</w:t>
            </w:r>
            <w:r>
              <w:rPr>
                <w:rFonts w:ascii="Arial" w:hAnsi="Arial" w:eastAsia="宋体" w:cs="Arial"/>
                <w:color w:val="000000"/>
                <w:sz w:val="20"/>
                <w:szCs w:val="20"/>
                <w:lang w:val="en-US" w:eastAsia="en-US" w:bidi="ar"/>
              </w:rPr>
              <w:t xml:space="preserve">≥99%</w:t>
            </w:r>
            <w:r>
              <w:rPr>
                <w:rFonts w:hint="eastAsia" w:ascii="宋体" w:hAnsi="宋体" w:eastAsia="宋体" w:cs="宋体"/>
                <w:color w:val="000000"/>
                <w:sz w:val="20"/>
                <w:szCs w:val="20"/>
                <w:lang w:val="en-US" w:eastAsia="en-US" w:bidi="ar"/>
              </w:rPr>
              <w:t xml:space="preserve">（不少于五个菌种）、防霉等级（菌种：出芽短梗霉、腊叶芽枝霉、桔青霉、链格孢、黑曲霉、宛氏拟青霉、绳状青霉</w:t>
            </w:r>
            <w:r>
              <w:rPr>
                <w:rFonts w:ascii="Arial" w:hAnsi="Arial" w:eastAsia="宋体" w:cs="Arial"/>
                <w:color w:val="000000"/>
                <w:sz w:val="20"/>
                <w:szCs w:val="20"/>
                <w:lang w:val="en-US" w:eastAsia="en-US" w:bidi="ar"/>
              </w:rPr>
              <w:t xml:space="preserve"> </w:t>
            </w:r>
            <w:r>
              <w:rPr>
                <w:rFonts w:hint="eastAsia" w:ascii="宋体" w:hAnsi="宋体" w:eastAsia="宋体" w:cs="宋体"/>
                <w:color w:val="000000"/>
                <w:sz w:val="20"/>
                <w:szCs w:val="20"/>
                <w:lang w:val="en-US" w:eastAsia="en-US" w:bidi="ar"/>
              </w:rPr>
              <w:t xml:space="preserve">）</w:t>
            </w:r>
            <w:r>
              <w:rPr>
                <w:rFonts w:ascii="Arial" w:hAnsi="Arial" w:eastAsia="宋体" w:cs="Arial"/>
                <w:color w:val="000000"/>
                <w:sz w:val="20"/>
                <w:szCs w:val="20"/>
                <w:lang w:val="en-US" w:eastAsia="en-US" w:bidi="ar"/>
              </w:rPr>
              <w:t xml:space="preserve">0</w:t>
            </w:r>
            <w:r>
              <w:rPr>
                <w:rFonts w:hint="eastAsia" w:ascii="宋体" w:hAnsi="宋体" w:eastAsia="宋体" w:cs="宋体"/>
                <w:color w:val="000000"/>
                <w:sz w:val="20"/>
                <w:szCs w:val="20"/>
                <w:lang w:val="en-US" w:eastAsia="en-US" w:bidi="ar"/>
              </w:rPr>
              <w:t xml:space="preserve">级或</w:t>
            </w:r>
            <w:r>
              <w:rPr>
                <w:rFonts w:ascii="Arial" w:hAnsi="Arial" w:eastAsia="宋体" w:cs="Arial"/>
                <w:color w:val="000000"/>
                <w:sz w:val="20"/>
                <w:szCs w:val="20"/>
                <w:lang w:val="en-US" w:eastAsia="en-US" w:bidi="ar"/>
              </w:rPr>
              <w:t xml:space="preserve">1</w:t>
            </w:r>
            <w:r>
              <w:rPr>
                <w:rFonts w:hint="eastAsia" w:ascii="宋体" w:hAnsi="宋体" w:eastAsia="宋体" w:cs="宋体"/>
                <w:color w:val="000000"/>
                <w:sz w:val="20"/>
                <w:szCs w:val="20"/>
                <w:lang w:val="en-US" w:eastAsia="en-US" w:bidi="ar"/>
              </w:rPr>
              <w:t xml:space="preserve">级、总迁移量</w:t>
            </w:r>
            <w:r>
              <w:rPr>
                <w:rFonts w:ascii="Arial" w:hAnsi="Arial" w:eastAsia="宋体" w:cs="Arial"/>
                <w:color w:val="000000"/>
                <w:sz w:val="20"/>
                <w:szCs w:val="20"/>
                <w:lang w:val="en-US" w:eastAsia="en-US" w:bidi="ar"/>
              </w:rPr>
              <w:t xml:space="preserve">-4%</w:t>
            </w:r>
            <w:r>
              <w:rPr>
                <w:rFonts w:hint="eastAsia" w:ascii="宋体" w:hAnsi="宋体" w:eastAsia="宋体" w:cs="宋体"/>
                <w:color w:val="000000"/>
                <w:sz w:val="20"/>
                <w:szCs w:val="20"/>
                <w:lang w:val="en-US" w:eastAsia="en-US" w:bidi="ar"/>
              </w:rPr>
              <w:t xml:space="preserve">乙酸（体积分数），</w:t>
            </w:r>
            <w:r>
              <w:rPr>
                <w:rFonts w:ascii="Arial" w:hAnsi="Arial" w:eastAsia="宋体" w:cs="Arial"/>
                <w:color w:val="000000"/>
                <w:sz w:val="20"/>
                <w:szCs w:val="20"/>
                <w:lang w:val="en-US" w:eastAsia="en-US" w:bidi="ar"/>
              </w:rPr>
              <w:t xml:space="preserve">40</w:t>
            </w:r>
            <w:r>
              <w:rPr>
                <w:rFonts w:hint="eastAsia" w:ascii="宋体" w:hAnsi="宋体" w:eastAsia="宋体" w:cs="宋体"/>
                <w:color w:val="000000"/>
                <w:sz w:val="20"/>
                <w:szCs w:val="20"/>
                <w:lang w:val="en-US" w:eastAsia="en-US" w:bidi="ar"/>
              </w:rPr>
              <w:t xml:space="preserve">℃，</w:t>
            </w:r>
            <w:r>
              <w:rPr>
                <w:rFonts w:ascii="Arial" w:hAnsi="Arial" w:eastAsia="宋体" w:cs="Arial"/>
                <w:color w:val="000000"/>
                <w:sz w:val="20"/>
                <w:szCs w:val="20"/>
                <w:lang w:val="en-US" w:eastAsia="en-US" w:bidi="ar"/>
              </w:rPr>
              <w:t xml:space="preserve">10d</w:t>
            </w:r>
            <w:r>
              <w:rPr>
                <w:rFonts w:hint="eastAsia" w:ascii="宋体" w:hAnsi="宋体" w:eastAsia="宋体" w:cs="宋体"/>
                <w:color w:val="000000"/>
                <w:sz w:val="20"/>
                <w:szCs w:val="20"/>
                <w:lang w:val="en-US" w:eastAsia="en-US" w:bidi="ar"/>
              </w:rPr>
              <w:t xml:space="preserve">检验结果</w:t>
            </w:r>
            <w:r>
              <w:rPr>
                <w:rFonts w:ascii="Arial" w:hAnsi="Arial" w:eastAsia="宋体" w:cs="Arial"/>
                <w:color w:val="000000"/>
                <w:sz w:val="20"/>
                <w:szCs w:val="20"/>
                <w:lang w:val="en-US" w:eastAsia="en-US" w:bidi="ar"/>
              </w:rPr>
              <w:t xml:space="preserve">≤1.5mg/d</w:t>
            </w:r>
            <w:r>
              <w:rPr>
                <w:rFonts w:hint="eastAsia" w:ascii="宋体" w:hAnsi="宋体" w:eastAsia="宋体" w:cs="宋体"/>
                <w:color w:val="000000"/>
                <w:sz w:val="20"/>
                <w:szCs w:val="20"/>
                <w:lang w:val="en-US" w:eastAsia="en-US" w:bidi="ar"/>
              </w:rPr>
              <w:t xml:space="preserve">㎡、耐老化性（外观颜色变化评级</w:t>
            </w:r>
            <w:r>
              <w:rPr>
                <w:rFonts w:ascii="Arial" w:hAnsi="Arial" w:eastAsia="宋体" w:cs="Arial"/>
                <w:color w:val="000000"/>
                <w:sz w:val="20"/>
                <w:szCs w:val="20"/>
                <w:lang w:val="en-US" w:eastAsia="en-US" w:bidi="ar"/>
              </w:rPr>
              <w:t xml:space="preserve">≥3</w:t>
            </w:r>
            <w:r>
              <w:rPr>
                <w:rFonts w:hint="eastAsia" w:ascii="宋体" w:hAnsi="宋体" w:eastAsia="宋体" w:cs="宋体"/>
                <w:color w:val="000000"/>
                <w:sz w:val="20"/>
                <w:szCs w:val="20"/>
                <w:lang w:val="en-US" w:eastAsia="en-US" w:bidi="ar"/>
              </w:rPr>
              <w:t xml:space="preserve">级，冲击强度的保持率</w:t>
            </w:r>
            <w:r>
              <w:rPr>
                <w:rFonts w:ascii="Arial" w:hAnsi="Arial" w:eastAsia="宋体" w:cs="Arial"/>
                <w:color w:val="000000"/>
                <w:sz w:val="20"/>
                <w:szCs w:val="20"/>
                <w:lang w:val="en-US" w:eastAsia="en-US" w:bidi="ar"/>
              </w:rPr>
              <w:t xml:space="preserve">≥60%</w:t>
            </w:r>
            <w:r>
              <w:rPr>
                <w:rFonts w:hint="eastAsia" w:ascii="宋体" w:hAnsi="宋体" w:eastAsia="宋体" w:cs="宋体"/>
                <w:color w:val="000000"/>
                <w:sz w:val="20"/>
                <w:szCs w:val="20"/>
                <w:lang w:val="en-US" w:eastAsia="en-US" w:bidi="ar"/>
              </w:rPr>
              <w:t xml:space="preserve">）、邻苯二甲酸酯总量</w:t>
            </w:r>
            <w:r>
              <w:rPr>
                <w:rFonts w:ascii="Arial" w:hAnsi="Arial" w:eastAsia="宋体" w:cs="Arial"/>
                <w:color w:val="000000"/>
                <w:sz w:val="20"/>
                <w:szCs w:val="20"/>
                <w:lang w:val="en-US" w:eastAsia="en-US" w:bidi="ar"/>
              </w:rPr>
              <w:t xml:space="preserve">≤0.1%</w:t>
            </w:r>
            <w:r>
              <w:rPr>
                <w:rFonts w:hint="eastAsia" w:ascii="宋体" w:hAnsi="宋体" w:eastAsia="宋体" w:cs="宋体"/>
                <w:color w:val="000000"/>
                <w:sz w:val="20"/>
                <w:szCs w:val="20"/>
                <w:lang w:val="en-US" w:eastAsia="en-US" w:bidi="ar"/>
              </w:rPr>
              <w:t xml:space="preserve">、</w:t>
            </w:r>
            <w:r>
              <w:rPr>
                <w:rFonts w:ascii="Arial" w:hAnsi="Arial" w:eastAsia="宋体" w:cs="Arial"/>
                <w:color w:val="000000"/>
                <w:sz w:val="20"/>
                <w:szCs w:val="20"/>
                <w:lang w:val="en-US" w:eastAsia="en-US" w:bidi="ar"/>
              </w:rPr>
              <w:t xml:space="preserve">18</w:t>
            </w:r>
            <w:r>
              <w:rPr>
                <w:rFonts w:hint="eastAsia" w:ascii="宋体" w:hAnsi="宋体" w:eastAsia="宋体" w:cs="宋体"/>
                <w:color w:val="000000"/>
                <w:sz w:val="20"/>
                <w:szCs w:val="20"/>
                <w:lang w:val="en-US" w:eastAsia="en-US" w:bidi="ar"/>
              </w:rPr>
              <w:t xml:space="preserve">种多环芳烃（</w:t>
            </w:r>
            <w:r>
              <w:rPr>
                <w:rFonts w:ascii="Arial" w:hAnsi="Arial" w:eastAsia="宋体" w:cs="Arial"/>
                <w:color w:val="000000"/>
                <w:sz w:val="20"/>
                <w:szCs w:val="20"/>
                <w:lang w:val="en-US" w:eastAsia="en-US" w:bidi="ar"/>
              </w:rPr>
              <w:t xml:space="preserve">PAH</w:t>
            </w:r>
            <w:r>
              <w:rPr>
                <w:rFonts w:hint="eastAsia" w:ascii="宋体" w:hAnsi="宋体" w:eastAsia="宋体" w:cs="宋体"/>
                <w:color w:val="000000"/>
                <w:sz w:val="20"/>
                <w:szCs w:val="20"/>
                <w:lang w:val="en-US" w:eastAsia="en-US" w:bidi="ar"/>
              </w:rPr>
              <w:t xml:space="preserve">）总量</w:t>
            </w:r>
            <w:r>
              <w:rPr>
                <w:rFonts w:ascii="Arial" w:hAnsi="Arial" w:eastAsia="宋体" w:cs="Arial"/>
                <w:color w:val="000000"/>
                <w:sz w:val="20"/>
                <w:szCs w:val="20"/>
                <w:lang w:val="en-US" w:eastAsia="en-US" w:bidi="ar"/>
              </w:rPr>
              <w:t xml:space="preserve">≤10mg/kg</w:t>
            </w:r>
            <w:r>
              <w:rPr>
                <w:rFonts w:hint="eastAsia" w:ascii="宋体" w:hAnsi="宋体" w:eastAsia="宋体" w:cs="宋体"/>
                <w:color w:val="000000"/>
                <w:sz w:val="20"/>
                <w:szCs w:val="20"/>
                <w:lang w:val="en-US" w:eastAsia="en-US" w:bidi="ar"/>
              </w:rPr>
              <w:t xml:space="preserve">、多溴联苯</w:t>
            </w:r>
            <w:r>
              <w:rPr>
                <w:rFonts w:ascii="Arial" w:hAnsi="Arial" w:eastAsia="宋体" w:cs="Arial"/>
                <w:color w:val="000000"/>
                <w:sz w:val="20"/>
                <w:szCs w:val="20"/>
                <w:lang w:val="en-US" w:eastAsia="en-US" w:bidi="ar"/>
              </w:rPr>
              <w:t xml:space="preserve">≤1000mg/kg</w:t>
            </w:r>
            <w:r>
              <w:rPr>
                <w:rFonts w:hint="eastAsia" w:ascii="宋体" w:hAnsi="宋体" w:eastAsia="宋体" w:cs="宋体"/>
                <w:color w:val="000000"/>
                <w:sz w:val="20"/>
                <w:szCs w:val="20"/>
                <w:lang w:val="en-US" w:eastAsia="en-US" w:bidi="ar"/>
              </w:rPr>
              <w:t xml:space="preserve">、多溴二苯醚</w:t>
            </w:r>
            <w:r>
              <w:rPr>
                <w:rFonts w:ascii="Arial" w:hAnsi="Arial" w:eastAsia="宋体" w:cs="Arial"/>
                <w:color w:val="000000"/>
                <w:sz w:val="20"/>
                <w:szCs w:val="20"/>
                <w:lang w:val="en-US" w:eastAsia="en-US" w:bidi="ar"/>
              </w:rPr>
              <w:t xml:space="preserve">≤1000mg/kg</w:t>
            </w:r>
            <w:r>
              <w:rPr>
                <w:rFonts w:hint="eastAsia" w:ascii="宋体" w:hAnsi="宋体" w:eastAsia="宋体" w:cs="宋体"/>
                <w:color w:val="000000"/>
                <w:sz w:val="20"/>
                <w:szCs w:val="20"/>
                <w:lang w:val="en-US" w:eastAsia="en-US" w:bidi="ar"/>
              </w:rPr>
              <w:t xml:space="preserve">。</w:t>
            </w:r>
            <w:r>
              <w:rPr>
                <w:rFonts w:hint="eastAsia" w:ascii="宋体" w:hAnsi="宋体" w:eastAsia="宋体" w:cs="宋体"/>
                <w:b/>
                <w:bCs/>
                <w:color w:val="000000"/>
                <w:sz w:val="20"/>
                <w:szCs w:val="20"/>
                <w:lang w:val="en-US" w:eastAsia="en-US" w:bidi="ar"/>
              </w:rPr>
              <w:t xml:space="preserve">（投标文件中提供具有</w:t>
            </w:r>
            <w:r>
              <w:rPr>
                <w:rFonts w:ascii="Arial" w:hAnsi="Arial" w:eastAsia="宋体" w:cs="Arial"/>
                <w:b/>
                <w:bCs/>
                <w:color w:val="000000"/>
                <w:sz w:val="20"/>
                <w:szCs w:val="20"/>
                <w:lang w:val="en-US" w:eastAsia="en-US" w:bidi="ar"/>
              </w:rPr>
              <w:t xml:space="preserve">CMA</w:t>
            </w:r>
            <w:r>
              <w:rPr>
                <w:rFonts w:hint="eastAsia" w:ascii="宋体" w:hAnsi="宋体" w:eastAsia="宋体" w:cs="宋体"/>
                <w:b/>
                <w:bCs/>
                <w:color w:val="000000"/>
                <w:sz w:val="20"/>
                <w:szCs w:val="20"/>
                <w:lang w:val="en-US" w:eastAsia="en-US" w:bidi="ar"/>
              </w:rPr>
              <w:t xml:space="preserve">标识的符合本项要求的检验检测报告电子件）</w:t>
            </w:r>
            <w:r>
              <w:rPr>
                <w:rFonts w:hint="eastAsia" w:ascii="宋体" w:hAnsi="宋体" w:eastAsia="宋体" w:cs="宋体"/>
                <w:b/>
                <w:bCs/>
                <w:color w:val="000000"/>
                <w:sz w:val="20"/>
                <w:szCs w:val="20"/>
                <w:lang w:val="en-US" w:eastAsia="en-US" w:bidi="ar"/>
              </w:rPr>
              <w:t xml:space="preserve">。</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6</w:t>
            </w:r>
            <w:r>
              <w:rPr>
                <w:rFonts w:hint="eastAsia" w:ascii="Arial" w:hAnsi="Arial" w:cs="Arial"/>
                <w:i w:val="0"/>
                <w:iCs w:val="0"/>
                <w:color w:val="000000"/>
                <w:sz w:val="20"/>
                <w:szCs w:val="20"/>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57150</wp:posOffset>
                      </wp:positionH>
                      <wp:positionV relativeFrom="paragraph">
                        <wp:posOffset>468630</wp:posOffset>
                      </wp:positionV>
                      <wp:extent cx="985520" cy="1109345"/>
                      <wp:effectExtent l="0" t="0" r="5080" b="14604"/>
                      <wp:wrapNone/>
                      <wp:docPr id="8" name="ID_165AD37F7FB44EE8BDC48CE7256E8DEF"/>
                      <wp:cNvGraphicFramePr/>
                      <a:graphic xmlns:a="http://schemas.openxmlformats.org/drawingml/2006/main">
                        <a:graphicData uri="http://schemas.openxmlformats.org/drawingml/2006/picture">
                          <pic:pic xmlns:pic="http://schemas.openxmlformats.org/drawingml/2006/picture">
                            <pic:nvPicPr>
                              <pic:cNvPr id="20" name="ID_165AD37F7FB44EE8BDC48CE7256E8DEF"/>
                              <pic:cNvPicPr/>
                              <pic:nvPr/>
                            </pic:nvPicPr>
                            <pic:blipFill>
                              <a:blip r:embed="rId19"/>
                              <a:stretch/>
                            </pic:blipFill>
                            <pic:spPr bwMode="auto">
                              <a:xfrm>
                                <a:off x="0" y="0"/>
                                <a:ext cx="985519" cy="1109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3600;o:allowoverlap:true;o:allowincell:true;mso-position-horizontal-relative:text;margin-left:4.5pt;mso-position-horizontal:absolute;mso-position-vertical-relative:text;margin-top:36.9pt;mso-position-vertical:absolute;width:77.6pt;height:87.3pt;mso-wrap-distance-left:9.0pt;mso-wrap-distance-top:0.0pt;mso-wrap-distance-right:9.0pt;mso-wrap-distance-bottom:0.0pt;" stroked="f">
                      <v:path textboxrect="0,0,0,0"/>
                      <v:imagedata r:id="rId19"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暖白色</w:t>
            </w:r>
            <w:r/>
          </w:p>
        </w:tc>
      </w:tr>
      <w:tr>
        <w:trPr>
          <w:trHeight w:val="3213"/>
        </w:trPr>
        <w:tc>
          <w:tcPr>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518" w:type="pct"/>
            <w:vAlign w:val="center"/>
            <w:vMerge w:val="continue"/>
            <w:textDirection w:val="lrTb"/>
            <w:noWrap w:val="false"/>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50800</wp:posOffset>
                      </wp:positionH>
                      <wp:positionV relativeFrom="paragraph">
                        <wp:posOffset>520065</wp:posOffset>
                      </wp:positionV>
                      <wp:extent cx="972820" cy="1045210"/>
                      <wp:effectExtent l="0" t="0" r="17780" b="2540"/>
                      <wp:wrapNone/>
                      <wp:docPr id="9" name="ID_851DCDBC983E40E98CEBB1864BDCF0BD"/>
                      <wp:cNvGraphicFramePr/>
                      <a:graphic xmlns:a="http://schemas.openxmlformats.org/drawingml/2006/main">
                        <a:graphicData uri="http://schemas.openxmlformats.org/drawingml/2006/picture">
                          <pic:pic xmlns:pic="http://schemas.openxmlformats.org/drawingml/2006/picture">
                            <pic:nvPicPr>
                              <pic:cNvPr id="24" name="ID_851DCDBC983E40E98CEBB1864BDCF0BD"/>
                              <pic:cNvPicPr/>
                              <pic:nvPr/>
                            </pic:nvPicPr>
                            <pic:blipFill>
                              <a:blip r:embed="rId20"/>
                              <a:stretch/>
                            </pic:blipFill>
                            <pic:spPr bwMode="auto">
                              <a:xfrm>
                                <a:off x="0" y="0"/>
                                <a:ext cx="972819" cy="1045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74624;o:allowoverlap:true;o:allowincell:true;mso-position-horizontal-relative:text;margin-left:4.0pt;mso-position-horizontal:absolute;mso-position-vertical-relative:text;margin-top:40.9pt;mso-position-vertical:absolute;width:76.6pt;height:82.3pt;mso-wrap-distance-left:9.0pt;mso-wrap-distance-top:0.0pt;mso-wrap-distance-right:9.0pt;mso-wrap-distance-bottom:0.0pt;" stroked="f">
                      <v:path textboxrect="0,0,0,0"/>
                      <v:imagedata r:id="rId20"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萝卜橘</w:t>
            </w:r>
            <w:r/>
          </w:p>
        </w:tc>
      </w:tr>
      <w:tr>
        <w:trPr>
          <w:trHeight w:val="3213"/>
        </w:trPr>
        <w:tc>
          <w:tcPr>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518" w:type="pct"/>
            <w:vAlign w:val="center"/>
            <w:vMerge w:val="continue"/>
            <w:textDirection w:val="lrTb"/>
            <w:noWrap w:val="false"/>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lang w:val="en-US"/>
              </w:rPr>
              <w:suppressLineNumbers w:val="0"/>
            </w:pPr>
            <w:r>
              <w:rPr>
                <w:rFonts w:hint="eastAsia" w:ascii="Arial" w:hAnsi="Arial" w:cs="Arial"/>
                <w:i w:val="0"/>
                <w:iCs w:val="0"/>
                <w:color w:val="000000"/>
                <w:sz w:val="20"/>
                <w:szCs w:val="20"/>
                <w:u w:val="none"/>
                <w:lang w:val="en-US" w:eastAsia="zh-CN" w:bidi="ar"/>
              </w:rPr>
              <w:t xml:space="preserve">628</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56515</wp:posOffset>
                      </wp:positionH>
                      <wp:positionV relativeFrom="paragraph">
                        <wp:posOffset>468630</wp:posOffset>
                      </wp:positionV>
                      <wp:extent cx="1010285" cy="1058545"/>
                      <wp:effectExtent l="0" t="0" r="18415" b="8255"/>
                      <wp:wrapNone/>
                      <wp:docPr id="10" name="ID_9FAD14C1E62C43A49CDD002839C91E30"/>
                      <wp:cNvGraphicFramePr/>
                      <a:graphic xmlns:a="http://schemas.openxmlformats.org/drawingml/2006/main">
                        <a:graphicData uri="http://schemas.openxmlformats.org/drawingml/2006/picture">
                          <pic:pic xmlns:pic="http://schemas.openxmlformats.org/drawingml/2006/picture">
                            <pic:nvPicPr>
                              <pic:cNvPr id="25" name="ID_9FAD14C1E62C43A49CDD002839C91E30"/>
                              <pic:cNvPicPr/>
                              <pic:nvPr/>
                            </pic:nvPicPr>
                            <pic:blipFill>
                              <a:blip r:embed="rId21"/>
                              <a:stretch/>
                            </pic:blipFill>
                            <pic:spPr bwMode="auto">
                              <a:xfrm>
                                <a:off x="0" y="0"/>
                                <a:ext cx="1010285" cy="1058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5648;o:allowoverlap:true;o:allowincell:true;mso-position-horizontal-relative:text;margin-left:4.5pt;mso-position-horizontal:absolute;mso-position-vertical-relative:text;margin-top:36.9pt;mso-position-vertical:absolute;width:79.5pt;height:83.3pt;mso-wrap-distance-left:9.0pt;mso-wrap-distance-top:0.0pt;mso-wrap-distance-right:9.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抹茶绿</w:t>
            </w:r>
            <w:r/>
          </w:p>
        </w:tc>
      </w:tr>
      <w:tr>
        <w:trPr>
          <w:trHeight w:val="4227"/>
        </w:trPr>
        <w:tc>
          <w:tcPr>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eastAsia" w:ascii="Arial" w:hAnsi="Arial" w:cs="Arial"/>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餐椅</w:t>
            </w:r>
            <w:r/>
          </w:p>
        </w:tc>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450*400*800mm</w:t>
            </w:r>
            <w:r/>
          </w:p>
        </w:tc>
        <w:tc>
          <w:tcPr>
            <w:tcBorders>
              <w:top w:val="single" w:color="000000" w:sz="4" w:space="0"/>
              <w:left w:val="single" w:color="000000" w:sz="4" w:space="0"/>
              <w:bottom w:val="single" w:color="000000" w:sz="4" w:space="0"/>
              <w:right w:val="single" w:color="000000" w:sz="4" w:space="0"/>
            </w:tcBorders>
            <w:tcW w:w="1518" w:type="pct"/>
            <w:vAlign w:val="center"/>
            <w:vMerge w:val="restart"/>
            <w:textDirection w:val="lrTb"/>
            <w:noWrap w:val="false"/>
          </w:tcPr>
          <w:p>
            <w:pPr>
              <w:jc w:val="left"/>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w:t>
            </w:r>
            <w:r>
              <w:rPr>
                <w:rStyle w:val="979"/>
                <w:lang w:val="en-US" w:eastAsia="zh-CN" w:bidi="ar"/>
              </w:rPr>
              <w:t xml:space="preserve">尺寸：整椅尺寸为</w:t>
            </w:r>
            <w:r>
              <w:rPr>
                <w:rStyle w:val="980"/>
                <w:rFonts w:eastAsia="宋体"/>
                <w:lang w:val="en-US" w:eastAsia="zh-CN" w:bidi="ar"/>
              </w:rPr>
              <w:t xml:space="preserve">450mm</w:t>
            </w:r>
            <w:r>
              <w:rPr>
                <w:rStyle w:val="979"/>
                <w:lang w:val="en-US" w:eastAsia="zh-CN" w:bidi="ar"/>
              </w:rPr>
              <w:t xml:space="preserve">（宽）</w:t>
            </w:r>
            <w:r>
              <w:rPr>
                <w:rStyle w:val="980"/>
                <w:rFonts w:eastAsia="宋体"/>
                <w:lang w:val="en-US" w:eastAsia="zh-CN" w:bidi="ar"/>
              </w:rPr>
              <w:t xml:space="preserve">* 400mm</w:t>
            </w:r>
            <w:r>
              <w:rPr>
                <w:rStyle w:val="979"/>
                <w:lang w:val="en-US" w:eastAsia="zh-CN" w:bidi="ar"/>
              </w:rPr>
              <w:t xml:space="preserve">（深）</w:t>
            </w:r>
            <w:r>
              <w:rPr>
                <w:rStyle w:val="980"/>
                <w:rFonts w:eastAsia="宋体"/>
                <w:lang w:val="en-US" w:eastAsia="zh-CN" w:bidi="ar"/>
              </w:rPr>
              <w:t xml:space="preserve">*800mm</w:t>
            </w:r>
            <w:r>
              <w:rPr>
                <w:rStyle w:val="979"/>
                <w:lang w:val="en-US" w:eastAsia="zh-CN" w:bidi="ar"/>
              </w:rPr>
              <w:t xml:space="preserve">（高），座高</w:t>
            </w:r>
            <w:r>
              <w:rPr>
                <w:rStyle w:val="980"/>
                <w:rFonts w:eastAsia="宋体"/>
                <w:lang w:val="en-US" w:eastAsia="zh-CN" w:bidi="ar"/>
              </w:rPr>
              <w:t xml:space="preserve">450mm</w:t>
            </w:r>
            <w:r>
              <w:rPr>
                <w:rStyle w:val="979"/>
                <w:lang w:val="en-US" w:eastAsia="zh-CN" w:bidi="ar"/>
              </w:rPr>
              <w:t xml:space="preserve">，符合人体工学标准。</w:t>
            </w:r>
            <w:r>
              <w:rPr>
                <w:rStyle w:val="980"/>
                <w:rFonts w:eastAsia="宋体"/>
                <w:lang w:val="en-US" w:eastAsia="zh-CN" w:bidi="ar"/>
              </w:rPr>
              <w:br/>
            </w:r>
            <w:r>
              <w:rPr>
                <w:rStyle w:val="980"/>
                <w:rFonts w:eastAsia="宋体"/>
                <w:lang w:val="en-US" w:eastAsia="zh-CN" w:bidi="ar"/>
              </w:rPr>
              <w:t xml:space="preserve">2.</w:t>
            </w:r>
            <w:r>
              <w:rPr>
                <w:rStyle w:val="979"/>
                <w:lang w:val="en-US" w:eastAsia="zh-CN" w:bidi="ar"/>
              </w:rPr>
              <w:t xml:space="preserve">框架：优质碳钢，规格</w:t>
            </w:r>
            <w:r>
              <w:rPr>
                <w:rStyle w:val="980"/>
                <w:rFonts w:eastAsia="宋体"/>
                <w:lang w:val="en-US" w:eastAsia="zh-CN" w:bidi="ar"/>
              </w:rPr>
              <w:t xml:space="preserve">≥40×25mm </w:t>
            </w:r>
            <w:r>
              <w:rPr>
                <w:rStyle w:val="979"/>
                <w:lang w:val="en-US" w:eastAsia="zh-CN" w:bidi="ar"/>
              </w:rPr>
              <w:t xml:space="preserve">壁厚</w:t>
            </w:r>
            <w:r>
              <w:rPr>
                <w:rStyle w:val="980"/>
                <w:rFonts w:eastAsia="宋体"/>
                <w:lang w:val="en-US" w:eastAsia="zh-CN" w:bidi="ar"/>
              </w:rPr>
              <w:t xml:space="preserve">1.5mm</w:t>
            </w:r>
            <w:r>
              <w:rPr>
                <w:rStyle w:val="979"/>
                <w:lang w:val="en-US" w:eastAsia="zh-CN" w:bidi="ar"/>
              </w:rPr>
              <w:t xml:space="preserve">，四根腿加横向加固梁</w:t>
            </w:r>
            <w:r>
              <w:rPr>
                <w:rStyle w:val="980"/>
                <w:rFonts w:eastAsia="宋体"/>
                <w:lang w:val="en-US" w:eastAsia="zh-CN" w:bidi="ar"/>
              </w:rPr>
              <w:t xml:space="preserve">≥20*40mm</w:t>
            </w:r>
            <w:r>
              <w:rPr>
                <w:rStyle w:val="979"/>
                <w:lang w:val="en-US" w:eastAsia="zh-CN" w:bidi="ar"/>
              </w:rPr>
              <w:t xml:space="preserve">；表面做热转印处理。</w:t>
            </w:r>
            <w:r>
              <w:rPr>
                <w:rStyle w:val="980"/>
                <w:rFonts w:eastAsia="宋体"/>
                <w:lang w:val="en-US" w:eastAsia="zh-CN" w:bidi="ar"/>
              </w:rPr>
              <w:br/>
            </w:r>
            <w:r>
              <w:rPr>
                <w:rStyle w:val="980"/>
                <w:rFonts w:eastAsia="宋体"/>
                <w:lang w:val="en-US" w:eastAsia="zh-CN" w:bidi="ar"/>
              </w:rPr>
              <w:t xml:space="preserve">3.</w:t>
            </w:r>
            <w:r>
              <w:rPr>
                <w:rStyle w:val="979"/>
                <w:lang w:val="en-US" w:eastAsia="zh-CN" w:bidi="ar"/>
              </w:rPr>
              <w:t xml:space="preserve">座面</w:t>
            </w:r>
            <w:r>
              <w:rPr>
                <w:rStyle w:val="980"/>
                <w:rFonts w:eastAsia="宋体"/>
                <w:lang w:val="en-US" w:eastAsia="zh-CN" w:bidi="ar"/>
              </w:rPr>
              <w:t xml:space="preserve">/</w:t>
            </w:r>
            <w:r>
              <w:rPr>
                <w:rStyle w:val="979"/>
                <w:lang w:val="en-US" w:eastAsia="zh-CN" w:bidi="ar"/>
              </w:rPr>
              <w:t xml:space="preserve">靠背：基材采用</w:t>
            </w:r>
            <w:r>
              <w:rPr>
                <w:rStyle w:val="980"/>
                <w:rFonts w:eastAsia="宋体"/>
                <w:lang w:val="en-US" w:eastAsia="zh-CN" w:bidi="ar"/>
              </w:rPr>
              <w:t xml:space="preserve">≥25mm</w:t>
            </w:r>
            <w:r>
              <w:rPr>
                <w:rStyle w:val="979"/>
                <w:lang w:val="en-US" w:eastAsia="zh-CN" w:bidi="ar"/>
              </w:rPr>
              <w:t xml:space="preserve">厚</w:t>
            </w:r>
            <w:r>
              <w:rPr>
                <w:rStyle w:val="980"/>
                <w:rFonts w:eastAsia="宋体"/>
                <w:lang w:val="en-US" w:eastAsia="zh-CN" w:bidi="ar"/>
              </w:rPr>
              <w:t xml:space="preserve">E1</w:t>
            </w:r>
            <w:r>
              <w:rPr>
                <w:rStyle w:val="979"/>
                <w:lang w:val="en-US" w:eastAsia="zh-CN" w:bidi="ar"/>
              </w:rPr>
              <w:t xml:space="preserve">级实木多层板，面贴</w:t>
            </w:r>
            <w:r>
              <w:rPr>
                <w:rStyle w:val="980"/>
                <w:rFonts w:eastAsia="宋体"/>
                <w:lang w:val="en-US" w:eastAsia="zh-CN" w:bidi="ar"/>
              </w:rPr>
              <w:t xml:space="preserve">≥0.7mm</w:t>
            </w:r>
            <w:r>
              <w:rPr>
                <w:rStyle w:val="979"/>
                <w:lang w:val="en-US" w:eastAsia="zh-CN" w:bidi="ar"/>
              </w:rPr>
              <w:t xml:space="preserve">厚防火板，四周油漆封边处理。</w:t>
            </w:r>
            <w:r>
              <w:rPr>
                <w:rStyle w:val="980"/>
                <w:rFonts w:eastAsia="宋体"/>
                <w:lang w:val="en-US" w:eastAsia="zh-CN" w:bidi="ar"/>
              </w:rPr>
              <w:br/>
            </w:r>
            <w:r>
              <w:rPr>
                <w:rStyle w:val="980"/>
                <w:rFonts w:eastAsia="宋体"/>
                <w:lang w:val="en-US" w:eastAsia="zh-CN" w:bidi="ar"/>
              </w:rPr>
              <w:t xml:space="preserve">4.</w:t>
            </w:r>
            <w:r>
              <w:rPr>
                <w:rStyle w:val="979"/>
                <w:lang w:val="en-US" w:eastAsia="zh-CN" w:bidi="ar"/>
              </w:rPr>
              <w:t xml:space="preserve">承重：</w:t>
            </w:r>
            <w:r>
              <w:rPr>
                <w:rStyle w:val="980"/>
                <w:rFonts w:eastAsia="宋体"/>
                <w:lang w:val="en-US" w:eastAsia="zh-CN" w:bidi="ar"/>
              </w:rPr>
              <w:t xml:space="preserve">≥ 150kg</w:t>
            </w:r>
            <w:r>
              <w:rPr>
                <w:rStyle w:val="979"/>
                <w:lang w:val="en-US" w:eastAsia="zh-CN" w:bidi="ar"/>
              </w:rPr>
              <w:t xml:space="preserve">（符合公共家具标准）</w:t>
            </w:r>
            <w:r>
              <w:rPr>
                <w:rStyle w:val="979"/>
                <w:lang w:val="en-US" w:eastAsia="zh-CN" w:bidi="ar"/>
              </w:rPr>
              <w:t xml:space="preserve">。</w:t>
            </w:r>
            <w:r>
              <w:rPr>
                <w:rStyle w:val="980"/>
                <w:rFonts w:eastAsia="宋体"/>
                <w:lang w:val="en-US" w:eastAsia="zh-CN" w:bidi="ar"/>
              </w:rPr>
              <w:b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lang w:val="en-US"/>
              </w:rPr>
              <w:suppressLineNumbers w:val="0"/>
            </w:pPr>
            <w:r>
              <w:rPr>
                <w:rFonts w:hint="eastAsia" w:ascii="Arial" w:hAnsi="Arial" w:cs="Arial"/>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167005</wp:posOffset>
                      </wp:positionH>
                      <wp:positionV relativeFrom="paragraph">
                        <wp:posOffset>772795</wp:posOffset>
                      </wp:positionV>
                      <wp:extent cx="788035" cy="1119505"/>
                      <wp:effectExtent l="0" t="0" r="12065" b="4445"/>
                      <wp:wrapNone/>
                      <wp:docPr id="11" name="ID_0D5780662CB9415B9507E1EEF7151995"/>
                      <wp:cNvGraphicFramePr/>
                      <a:graphic xmlns:a="http://schemas.openxmlformats.org/drawingml/2006/main">
                        <a:graphicData uri="http://schemas.openxmlformats.org/drawingml/2006/picture">
                          <pic:pic xmlns:pic="http://schemas.openxmlformats.org/drawingml/2006/picture">
                            <pic:nvPicPr>
                              <pic:cNvPr id="21" name="ID_0D5780662CB9415B9507E1EEF7151995"/>
                              <pic:cNvPicPr/>
                              <pic:nvPr/>
                            </pic:nvPicPr>
                            <pic:blipFill>
                              <a:blip r:embed="rId22"/>
                              <a:stretch/>
                            </pic:blipFill>
                            <pic:spPr bwMode="auto">
                              <a:xfrm>
                                <a:off x="0" y="0"/>
                                <a:ext cx="788034" cy="1119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76672;o:allowoverlap:true;o:allowincell:true;mso-position-horizontal-relative:text;margin-left:13.1pt;mso-position-horizontal:absolute;mso-position-vertical-relative:text;margin-top:60.8pt;mso-position-vertical:absolute;width:62.0pt;height:88.1pt;mso-wrap-distance-left:9.0pt;mso-wrap-distance-top:0.0pt;mso-wrap-distance-right:9.0pt;mso-wrap-distance-bottom:0.0pt;" stroked="f">
                      <v:path textboxrect="0,0,0,0"/>
                      <v:imagedata r:id="rId22"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白蜡木纹色</w:t>
            </w:r>
            <w:r/>
          </w:p>
        </w:tc>
      </w:tr>
      <w:tr>
        <w:trPr>
          <w:trHeight w:val="4227"/>
        </w:trPr>
        <w:tc>
          <w:tcPr>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518"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lang w:val="en-US"/>
              </w:rPr>
              <w:suppressLineNumbers w:val="0"/>
            </w:pPr>
            <w:r>
              <w:rPr>
                <w:rFonts w:hint="eastAsia" w:ascii="Arial" w:hAnsi="Arial" w:cs="Arial"/>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73025</wp:posOffset>
                      </wp:positionH>
                      <wp:positionV relativeFrom="paragraph">
                        <wp:posOffset>860425</wp:posOffset>
                      </wp:positionV>
                      <wp:extent cx="999490" cy="1029970"/>
                      <wp:effectExtent l="0" t="0" r="10160" b="17780"/>
                      <wp:wrapNone/>
                      <wp:docPr id="12" name="图片_1_SpCnt_1"/>
                      <wp:cNvGraphicFramePr/>
                      <a:graphic xmlns:a="http://schemas.openxmlformats.org/drawingml/2006/main">
                        <a:graphicData uri="http://schemas.openxmlformats.org/drawingml/2006/picture">
                          <pic:pic xmlns:pic="http://schemas.openxmlformats.org/drawingml/2006/picture">
                            <pic:nvPicPr>
                              <pic:cNvPr id="26" name="图片_1_SpCnt_1"/>
                              <pic:cNvPicPr/>
                              <pic:nvPr/>
                            </pic:nvPicPr>
                            <pic:blipFill>
                              <a:blip r:embed="rId23"/>
                              <a:stretch/>
                            </pic:blipFill>
                            <pic:spPr bwMode="auto">
                              <a:xfrm>
                                <a:off x="0" y="0"/>
                                <a:ext cx="999490" cy="1029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7696;o:allowoverlap:true;o:allowincell:true;mso-position-horizontal-relative:text;margin-left:5.8pt;mso-position-horizontal:absolute;mso-position-vertical-relative:text;margin-top:67.8pt;mso-position-vertical:absolute;width:78.7pt;height:81.1pt;mso-wrap-distance-left:9.0pt;mso-wrap-distance-top:0.0pt;mso-wrap-distance-right:9.0pt;mso-wrap-distance-bottom:0.0pt;" stroked="f">
                      <v:path textboxrect="0,0,0,0"/>
                      <v:imagedata r:id="rId23"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靠背和座面浅湖蓝色，椅腿白蜡木纹色</w:t>
            </w:r>
            <w:r/>
          </w:p>
        </w:tc>
      </w:tr>
      <w:tr>
        <w:trPr>
          <w:trHeight w:val="4227"/>
        </w:trPr>
        <w:tc>
          <w:tcPr>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518"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lang w:val="en-US"/>
              </w:rPr>
              <w:suppressLineNumbers w:val="0"/>
            </w:pPr>
            <w:r>
              <w:rPr>
                <w:rFonts w:hint="eastAsia" w:ascii="Arial" w:hAnsi="Arial" w:cs="Arial"/>
                <w:i w:val="0"/>
                <w:iCs w:val="0"/>
                <w:color w:val="000000"/>
                <w:sz w:val="20"/>
                <w:szCs w:val="20"/>
                <w:u w:val="none"/>
                <w:lang w:val="en-US" w:eastAsia="zh-CN" w:bidi="ar"/>
              </w:rPr>
              <w:t xml:space="preserve">421</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99060</wp:posOffset>
                      </wp:positionH>
                      <wp:positionV relativeFrom="paragraph">
                        <wp:posOffset>421640</wp:posOffset>
                      </wp:positionV>
                      <wp:extent cx="953770" cy="1000125"/>
                      <wp:effectExtent l="0" t="0" r="17780" b="9525"/>
                      <wp:wrapNone/>
                      <wp:docPr id="13" name="ID_CA99A3B32C04491FB577B7221C706358"/>
                      <wp:cNvGraphicFramePr/>
                      <a:graphic xmlns:a="http://schemas.openxmlformats.org/drawingml/2006/main">
                        <a:graphicData uri="http://schemas.openxmlformats.org/drawingml/2006/picture">
                          <pic:pic xmlns:pic="http://schemas.openxmlformats.org/drawingml/2006/picture">
                            <pic:nvPicPr>
                              <pic:cNvPr id="23" name="ID_CA99A3B32C04491FB577B7221C706358"/>
                              <pic:cNvPicPr/>
                              <pic:nvPr/>
                            </pic:nvPicPr>
                            <pic:blipFill>
                              <a:blip r:embed="rId24"/>
                              <a:stretch/>
                            </pic:blipFill>
                            <pic:spPr bwMode="auto">
                              <a:xfrm>
                                <a:off x="0" y="0"/>
                                <a:ext cx="953770" cy="1000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8720;o:allowoverlap:true;o:allowincell:true;mso-position-horizontal-relative:text;margin-left:7.8pt;mso-position-horizontal:absolute;mso-position-vertical-relative:text;margin-top:33.2pt;mso-position-vertical:absolute;width:75.1pt;height:78.8pt;mso-wrap-distance-left:9.0pt;mso-wrap-distance-top:0.0pt;mso-wrap-distance-right:9.0pt;mso-wrap-distance-bottom:0.0pt;" stroked="f">
                      <v:path textboxrect="0,0,0,0"/>
                      <v:imagedata r:id="rId24"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暖白色</w:t>
            </w:r>
            <w:r/>
          </w:p>
        </w:tc>
      </w:tr>
      <w:tr>
        <w:trPr>
          <w:trHeight w:val="4227"/>
        </w:trPr>
        <w:tc>
          <w:tcPr>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518"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lang w:val="en-US"/>
              </w:rPr>
              <w:suppressLineNumbers w:val="0"/>
            </w:pPr>
            <w:r>
              <w:rPr>
                <w:rFonts w:hint="eastAsia" w:ascii="Arial" w:hAnsi="Arial" w:cs="Arial"/>
                <w:i w:val="0"/>
                <w:iCs w:val="0"/>
                <w:color w:val="000000"/>
                <w:sz w:val="20"/>
                <w:szCs w:val="20"/>
                <w:u w:val="none"/>
                <w:lang w:val="en-US" w:eastAsia="zh-CN" w:bidi="ar"/>
              </w:rPr>
              <w:t xml:space="preserve">401</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3810</wp:posOffset>
                      </wp:positionH>
                      <wp:positionV relativeFrom="paragraph">
                        <wp:posOffset>382905</wp:posOffset>
                      </wp:positionV>
                      <wp:extent cx="1026160" cy="1076960"/>
                      <wp:effectExtent l="0" t="0" r="2540" b="8890"/>
                      <wp:wrapNone/>
                      <wp:docPr id="14" name="ID_CA99A3B32C04491FB577B7221C706358_SpCnt_1"/>
                      <wp:cNvGraphicFramePr/>
                      <a:graphic xmlns:a="http://schemas.openxmlformats.org/drawingml/2006/main">
                        <a:graphicData uri="http://schemas.openxmlformats.org/drawingml/2006/picture">
                          <pic:pic xmlns:pic="http://schemas.openxmlformats.org/drawingml/2006/picture">
                            <pic:nvPicPr>
                              <pic:cNvPr id="17" name="ID_CA99A3B32C04491FB577B7221C706358_SpCnt_1"/>
                              <pic:cNvPicPr/>
                              <pic:nvPr/>
                            </pic:nvPicPr>
                            <pic:blipFill>
                              <a:blip r:embed="rId25"/>
                              <a:stretch/>
                            </pic:blipFill>
                            <pic:spPr bwMode="auto">
                              <a:xfrm>
                                <a:off x="0" y="0"/>
                                <a:ext cx="1026160" cy="1076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9744;o:allowoverlap:true;o:allowincell:true;mso-position-horizontal-relative:text;margin-left:0.3pt;mso-position-horizontal:absolute;mso-position-vertical-relative:text;margin-top:30.1pt;mso-position-vertical:absolute;width:80.8pt;height:84.8pt;mso-wrap-distance-left:9.0pt;mso-wrap-distance-top:0.0pt;mso-wrap-distance-right:9.0pt;mso-wrap-distance-bottom:0.0pt;" stroked="f">
                      <v:path textboxrect="0,0,0,0"/>
                      <v:imagedata r:id="rId25"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黑</w:t>
            </w:r>
            <w:r>
              <w:rPr>
                <w:rFonts w:hint="eastAsia" w:ascii="宋体" w:hAnsi="宋体" w:eastAsia="宋体" w:cs="宋体"/>
                <w:i w:val="0"/>
                <w:iCs w:val="0"/>
                <w:color w:val="000000"/>
                <w:sz w:val="20"/>
                <w:szCs w:val="20"/>
                <w:u w:val="none"/>
                <w:lang w:val="en-US" w:eastAsia="zh-CN" w:bidi="ar"/>
              </w:rPr>
              <w:t xml:space="preserve">色</w:t>
            </w:r>
            <w:r/>
          </w:p>
        </w:tc>
      </w:tr>
    </w:tbl>
    <w:p>
      <w:pPr>
        <w:numPr>
          <w:ilvl w:val="12"/>
          <w:numId w:val="0"/>
        </w:numPr>
        <w:spacing w:line="440" w:lineRule="exact"/>
        <w:rPr>
          <w:rFonts w:ascii="宋体" w:hAnsi="宋体"/>
          <w:b/>
          <w:color w:val="000000"/>
          <w:sz w:val="24"/>
        </w:rPr>
      </w:pPr>
      <w:r>
        <w:rPr>
          <w:rFonts w:ascii="宋体" w:hAnsi="宋体"/>
          <w:b/>
          <w:color w:val="000000"/>
          <w:sz w:val="24"/>
        </w:rPr>
      </w:r>
      <w:r/>
    </w:p>
    <w:p>
      <w:pPr>
        <w:spacing w:line="440" w:lineRule="exact"/>
        <w:rPr>
          <w:rFonts w:ascii="宋体" w:hAnsi="宋体"/>
          <w:b/>
          <w:color w:val="000000"/>
          <w:sz w:val="24"/>
        </w:rPr>
      </w:pPr>
      <w:r>
        <w:rPr>
          <w:rFonts w:hint="eastAsia" w:ascii="宋体" w:hAnsi="宋体"/>
          <w:b/>
          <w:color w:val="000000"/>
          <w:sz w:val="24"/>
        </w:rPr>
        <w:t xml:space="preserve">三、交付期、</w:t>
      </w:r>
      <w:r>
        <w:rPr>
          <w:rFonts w:hint="eastAsia" w:ascii="宋体" w:hAnsi="宋体" w:cs="宋体"/>
          <w:b/>
          <w:bCs/>
          <w:color w:val="000000"/>
          <w:sz w:val="24"/>
        </w:rPr>
        <w:t xml:space="preserve">交付地点</w:t>
      </w:r>
      <w:r>
        <w:rPr>
          <w:rFonts w:hint="eastAsia" w:ascii="宋体" w:hAnsi="宋体"/>
          <w:b/>
          <w:color w:val="000000"/>
          <w:sz w:val="24"/>
        </w:rPr>
        <w:t xml:space="preserve">及</w:t>
      </w:r>
      <w:r>
        <w:rPr>
          <w:rFonts w:hint="eastAsia" w:ascii="宋体" w:hAnsi="宋体" w:cs="宋体"/>
          <w:b/>
          <w:bCs/>
          <w:color w:val="000000"/>
          <w:sz w:val="24"/>
        </w:rPr>
        <w:t xml:space="preserve">质保期限</w:t>
      </w:r>
      <w:r>
        <w:rPr>
          <w:rFonts w:hint="eastAsia" w:ascii="宋体" w:hAnsi="宋体"/>
          <w:b/>
          <w:color w:val="000000"/>
          <w:sz w:val="24"/>
        </w:rPr>
        <w:t xml:space="preserve">等要求：</w:t>
      </w:r>
      <w:r/>
    </w:p>
    <w:p>
      <w:pPr>
        <w:ind w:firstLine="480"/>
        <w:spacing w:line="440" w:lineRule="exact"/>
        <w:rPr>
          <w:rFonts w:ascii="宋体" w:hAnsi="宋体"/>
          <w:color w:val="000000"/>
          <w:sz w:val="24"/>
          <w:u w:val="single"/>
        </w:rPr>
      </w:pPr>
      <w:r>
        <w:rPr>
          <w:rFonts w:hint="eastAsia" w:ascii="宋体" w:hAnsi="宋体" w:cs="宋体"/>
          <w:color w:val="000000"/>
          <w:sz w:val="24"/>
        </w:rPr>
        <w:t xml:space="preserve">1.交付期：</w:t>
      </w:r>
      <w:r>
        <w:rPr>
          <w:rFonts w:hint="eastAsia" w:ascii="宋体" w:hAnsi="宋体"/>
          <w:color w:val="000000"/>
          <w:sz w:val="24"/>
        </w:rPr>
        <w:t xml:space="preserve">合同签订后15日历天内完成所有家具供货至采购人指定地点，接到采购人通知后7日内安装调试完毕（含二次搬运）并交付使用。</w:t>
      </w:r>
      <w:r/>
    </w:p>
    <w:p>
      <w:pPr>
        <w:ind w:firstLine="420"/>
        <w:jc w:val="left"/>
        <w:spacing w:line="440" w:lineRule="exact"/>
        <w:widowControl/>
        <w:rPr>
          <w:rFonts w:ascii="宋体" w:hAnsi="宋体" w:cs="宋体"/>
          <w:color w:val="000000"/>
          <w:sz w:val="24"/>
        </w:rPr>
      </w:pPr>
      <w:r>
        <w:rPr>
          <w:rFonts w:hint="eastAsia" w:ascii="宋体" w:hAnsi="宋体" w:cs="宋体"/>
          <w:color w:val="000000"/>
          <w:sz w:val="24"/>
        </w:rPr>
        <w:t xml:space="preserve">2.交付地点：采购人指定地点。</w:t>
      </w:r>
      <w:r/>
    </w:p>
    <w:p>
      <w:pPr>
        <w:ind w:firstLine="420"/>
        <w:jc w:val="left"/>
        <w:spacing w:line="440" w:lineRule="exact"/>
        <w:widowControl/>
        <w:rPr>
          <w:rFonts w:ascii="宋体" w:hAnsi="宋体" w:cs="宋体"/>
          <w:color w:val="000000"/>
          <w:sz w:val="24"/>
        </w:rPr>
      </w:pPr>
      <w:r>
        <w:rPr>
          <w:rFonts w:hint="eastAsia" w:ascii="宋体" w:hAnsi="宋体" w:cs="宋体"/>
          <w:color w:val="000000"/>
          <w:sz w:val="24"/>
        </w:rPr>
        <w:t xml:space="preserve">3.质保期限：不少于</w:t>
      </w:r>
      <w:r>
        <w:rPr>
          <w:rFonts w:hint="eastAsia" w:ascii="宋体" w:hAnsi="宋体" w:cs="宋体"/>
          <w:color w:val="000000"/>
          <w:sz w:val="24"/>
          <w:u w:val="single"/>
        </w:rPr>
        <w:t xml:space="preserve">3</w:t>
      </w:r>
      <w:r>
        <w:rPr>
          <w:rFonts w:hint="eastAsia" w:ascii="宋体" w:hAnsi="宋体" w:cs="宋体"/>
          <w:color w:val="000000"/>
          <w:sz w:val="24"/>
        </w:rPr>
        <w:t xml:space="preserve">年；  </w:t>
      </w:r>
      <w:r/>
    </w:p>
    <w:p>
      <w:pPr>
        <w:ind w:firstLine="420"/>
        <w:jc w:val="left"/>
        <w:spacing w:line="440" w:lineRule="exact"/>
        <w:widowControl/>
        <w:rPr>
          <w:rFonts w:ascii="宋体" w:hAnsi="宋体" w:cs="宋体"/>
          <w:color w:val="000000"/>
          <w:sz w:val="24"/>
        </w:rPr>
      </w:pPr>
      <w:r>
        <w:rPr>
          <w:rFonts w:hint="eastAsia" w:ascii="宋体" w:hAnsi="宋体" w:cs="宋体"/>
          <w:color w:val="000000"/>
          <w:sz w:val="24"/>
        </w:rPr>
        <w:t xml:space="preserve">4.质量标准：货物质量等级为“合格”，并符合招标文件中技术需求、国家现行的相关规范标准及有关部门最新颁布的相应的最新标准；项目确保按规范和标准验收，且达国家合格标准。</w:t>
      </w:r>
      <w:r/>
    </w:p>
    <w:p>
      <w:pPr>
        <w:ind w:firstLine="480"/>
        <w:spacing w:line="440" w:lineRule="exact"/>
        <w:rPr>
          <w:rFonts w:ascii="宋体" w:hAnsi="宋体"/>
          <w:b/>
          <w:bCs/>
          <w:color w:val="000000"/>
          <w:sz w:val="24"/>
        </w:rPr>
      </w:pPr>
      <w:r>
        <w:rPr>
          <w:rFonts w:hint="eastAsia" w:ascii="宋体" w:hAnsi="宋体" w:cs="宋体"/>
          <w:i/>
          <w:iCs/>
          <w:color w:val="000000"/>
          <w:sz w:val="24"/>
          <w:u w:val="single"/>
        </w:rPr>
        <w:t xml:space="preserve">5.</w:t>
      </w:r>
      <w:r>
        <w:rPr>
          <w:rFonts w:hint="eastAsia" w:ascii="宋体" w:hAnsi="宋体" w:cs="宋体"/>
          <w:b/>
          <w:bCs/>
          <w:i/>
          <w:iCs/>
          <w:color w:val="000000"/>
          <w:sz w:val="24"/>
          <w:u w:val="single"/>
        </w:rPr>
        <w:t xml:space="preserve">本项目</w:t>
      </w:r>
      <w:r>
        <w:rPr>
          <w:rFonts w:hint="eastAsia" w:ascii="宋体" w:hAnsi="宋体"/>
          <w:b/>
          <w:bCs/>
          <w:i/>
          <w:iCs/>
          <w:color w:val="000000"/>
          <w:sz w:val="24"/>
          <w:u w:val="single"/>
        </w:rPr>
        <w:t xml:space="preserve">不接受进口产品投标。</w:t>
      </w:r>
      <w:r/>
    </w:p>
    <w:p>
      <w:pPr>
        <w:spacing w:line="440" w:lineRule="exact"/>
        <w:rPr>
          <w:rFonts w:ascii="宋体" w:hAnsi="宋体"/>
          <w:b/>
          <w:color w:val="000000"/>
          <w:sz w:val="24"/>
        </w:rPr>
      </w:pPr>
      <w:r>
        <w:rPr>
          <w:rFonts w:hint="eastAsia" w:ascii="宋体" w:hAnsi="宋体"/>
          <w:b/>
          <w:color w:val="000000"/>
          <w:sz w:val="24"/>
        </w:rPr>
        <w:t xml:space="preserve">四、付款方式：</w:t>
      </w:r>
      <w:r/>
    </w:p>
    <w:p>
      <w:pPr>
        <w:pStyle w:val="794"/>
        <w:ind w:firstLine="480"/>
        <w:spacing w:before="120" w:after="120" w:line="400" w:lineRule="exact"/>
        <w:rPr>
          <w:rFonts w:ascii="Times New Roman" w:hAnsi="Times New Roman" w:eastAsia="宋体" w:cs="Times New Roman"/>
          <w:sz w:val="24"/>
        </w:rPr>
      </w:pPr>
      <w:r>
        <w:rPr>
          <w:rFonts w:hint="eastAsia" w:ascii="Times New Roman" w:hAnsi="Times New Roman" w:eastAsia="宋体" w:cs="Times New Roman"/>
          <w:sz w:val="24"/>
        </w:rPr>
        <w:t xml:space="preserve">签订合同后，采购人支付合同总价款的30%作为预付款。货到现场，将委托第三方专业检测机构进行抽样检测(检测费用由中标供应商支付)。对家具进行破坏性抽检，对基材、五金配件及各项指标是否按照招标文件要求进行检测抽查，家具安装调试结束，采购人验收合格后，付至合同总价款的100%。</w:t>
      </w:r>
      <w:r/>
    </w:p>
    <w:p>
      <w:pPr>
        <w:ind w:firstLine="480"/>
        <w:spacing w:line="440" w:lineRule="exact"/>
        <w:rPr>
          <w:rFonts w:ascii="宋体" w:hAnsi="宋体" w:cs="宋体"/>
          <w:bCs/>
          <w:sz w:val="24"/>
        </w:rPr>
      </w:pPr>
      <w:r>
        <w:rPr>
          <w:rFonts w:hint="eastAsia" w:ascii="宋体" w:hAnsi="宋体" w:cs="宋体"/>
          <w:bCs/>
          <w:sz w:val="24"/>
        </w:rPr>
        <w:t xml:space="preserve">注：在签订合同时，中标人明确表示无需预付款或者主动要求降低预付款比例的金额，采购人可不适用预付款规定。</w:t>
      </w:r>
      <w:r/>
    </w:p>
    <w:p>
      <w:pPr>
        <w:ind w:firstLine="480"/>
        <w:spacing w:line="440" w:lineRule="exact"/>
        <w:rPr>
          <w:rFonts w:ascii="宋体" w:hAnsi="宋体" w:cs="宋体"/>
          <w:bCs/>
          <w:sz w:val="24"/>
        </w:rPr>
      </w:pPr>
      <w:r>
        <w:rPr>
          <w:rFonts w:hint="eastAsia" w:ascii="Times New Roman" w:hAnsi="Times New Roman" w:eastAsia="宋体"/>
          <w:sz w:val="24"/>
        </w:rPr>
        <w:t xml:space="preserve">本项目中标供应商须向采购人缴纳合同金额的10%的履约保证金，具体要求详见合同条款。</w:t>
      </w:r>
      <w:r/>
    </w:p>
    <w:p>
      <w:pPr>
        <w:numPr>
          <w:ilvl w:val="0"/>
          <w:numId w:val="9"/>
        </w:numPr>
        <w:spacing w:line="440" w:lineRule="exact"/>
        <w:tabs>
          <w:tab w:val="left" w:pos="900" w:leader="none"/>
        </w:tabs>
        <w:rPr>
          <w:rFonts w:ascii="宋体" w:hAnsi="宋体"/>
          <w:b/>
          <w:color w:val="000000"/>
          <w:sz w:val="24"/>
        </w:rPr>
      </w:pPr>
      <w:r>
        <w:rPr>
          <w:rFonts w:hint="eastAsia" w:ascii="宋体" w:hAnsi="宋体"/>
          <w:b/>
          <w:color w:val="000000"/>
          <w:sz w:val="24"/>
        </w:rPr>
        <w:t xml:space="preserve">商务要求</w:t>
      </w:r>
      <w:r/>
    </w:p>
    <w:p>
      <w:pPr>
        <w:ind w:firstLine="241"/>
        <w:spacing w:line="440" w:lineRule="exact"/>
        <w:tabs>
          <w:tab w:val="left" w:pos="900" w:leader="none"/>
        </w:tabs>
        <w:rPr>
          <w:rFonts w:ascii="宋体" w:hAnsi="宋体"/>
          <w:b/>
          <w:color w:val="000000"/>
          <w:sz w:val="24"/>
        </w:rPr>
      </w:pPr>
      <w:r>
        <w:rPr>
          <w:rFonts w:hint="eastAsia" w:ascii="宋体" w:hAnsi="宋体"/>
          <w:b/>
          <w:color w:val="000000"/>
          <w:sz w:val="24"/>
        </w:rPr>
        <w:t xml:space="preserve">5.1质量保证及进度安排</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1、质量保障措施要求：投标人应在投标文件中提出详细的产品生产质量管理计划，计划应包含生产车间安全管理、质量控制措施、出厂检验标准以及测试程序。</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2、进度安排要求：投标文件中需包含一份详尽的项目进度计划，有明确的时间节点和进度安排，展示项目各阶段的起止时间、关键过程等，且要充分考虑暑期暴雨及酷暑影响，避免影响工期。每延迟交付一天，按合同总价款的5‰支付违约金，违约金采购单位有权从本次货款中直接扣除。</w:t>
      </w:r>
      <w:r/>
    </w:p>
    <w:p>
      <w:pPr>
        <w:pStyle w:val="981"/>
        <w:jc w:val="both"/>
        <w:spacing w:beforeAutospacing="0" w:afterAutospacing="0" w:line="440" w:lineRule="exact"/>
        <w:rPr>
          <w:rFonts w:ascii="宋体" w:hAnsi="宋体"/>
          <w:b/>
          <w:color w:val="000000"/>
        </w:rPr>
      </w:pPr>
      <w:r>
        <w:rPr>
          <w:rFonts w:hint="eastAsia" w:ascii="宋体" w:hAnsi="宋体" w:cs="宋体"/>
          <w:color w:val="000000"/>
        </w:rPr>
        <w:t xml:space="preserve">  </w:t>
      </w:r>
      <w:r>
        <w:rPr>
          <w:rFonts w:hint="eastAsia" w:ascii="宋体" w:hAnsi="宋体"/>
          <w:b/>
          <w:color w:val="000000"/>
        </w:rPr>
        <w:t xml:space="preserve">5.2现场管理及突发事件处置方案</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1、现场管理要求：描述现场管理策略，包括安全生产措施、环境保护措施以及日常现场管理流程等，以及现场安装人员管理要求，进校施工的人员必须严格遵守学院规章制度，自觉接受检查，无证人员一律不得进入安装现场，在规定的区域施工，未经批准不得进入其他区域。</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2、突发事件处置要求：投标人应充分考虑履约过程可能遇到的各种突发情况，有针对性的制订预防措施，需在投标文件中进行注意阐述，并建立一个明确的沟通框架，包括定期回访、问题解决机制及变更管理流程。</w:t>
      </w:r>
      <w:r/>
    </w:p>
    <w:p>
      <w:pPr>
        <w:pStyle w:val="981"/>
        <w:jc w:val="both"/>
        <w:spacing w:beforeAutospacing="0" w:afterAutospacing="0" w:line="440" w:lineRule="exact"/>
        <w:rPr>
          <w:rFonts w:ascii="宋体" w:hAnsi="宋体"/>
          <w:b/>
          <w:color w:val="000000"/>
        </w:rPr>
      </w:pPr>
      <w:r>
        <w:rPr>
          <w:rFonts w:hint="eastAsia" w:ascii="宋体" w:hAnsi="宋体"/>
          <w:b/>
          <w:color w:val="000000"/>
        </w:rPr>
        <w:t xml:space="preserve">5.3配送及安装方案</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1、配送要求：a.中标供应商在设备出厂前，应提供明细的设备清单交由采购人进行确认，包含设备名称、详细规格、材质、颜色等内容，由采购人确认后，方可进行供货；b.产品必需是正规厂家新品，不得以次充好；c. 中标人负责货物的包装、保险、运输至业主指定的交货地点。零散及易损件需用木箱包装，确保防盗、防震、防潮、防破损、运输方式确定，并且由于运输造成的设备损坏，丢失均由中标人负责处理；d. 中标人负责货物装卸车、就位、组装、调试等工作，保证交给采购人货物的完好性。</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2、安装要求：a.各床位保持水平，在一条直线上；b.柜门启闭灵活、顺畅、不得有磕碰现象；c.各零件、组合件表面应光滑、平整、不得有尖角突起；d.焊接件应牢固，无焊渣、无虚焊、无焊穿、焊痕光滑平整；e.喷塑涂层不脱落，漆膜无橘皮，无流挂，无返锈，色泽均匀，厚薄适中；f.安装时，所产生的垃圾应随时清理出场，保持场地干净；g.在安装过程中，对原有装修产生碰损，中标人除全部包赔外，还应处违约金1000元/次。</w:t>
      </w:r>
      <w:r/>
    </w:p>
    <w:p>
      <w:pPr>
        <w:pStyle w:val="981"/>
        <w:jc w:val="both"/>
        <w:spacing w:beforeAutospacing="0" w:afterAutospacing="0" w:line="440" w:lineRule="exact"/>
        <w:rPr>
          <w:rFonts w:ascii="宋体" w:hAnsi="宋体"/>
          <w:b/>
          <w:color w:val="000000"/>
        </w:rPr>
      </w:pPr>
      <w:r>
        <w:rPr>
          <w:rFonts w:hint="eastAsia" w:ascii="宋体" w:hAnsi="宋体"/>
          <w:b/>
          <w:color w:val="000000"/>
        </w:rPr>
        <w:t xml:space="preserve">5.4售后服务要求</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1、中标人对所售出的产品实行三包：售后服务期限为三年，即产品在正常使用情况下发生质量问题时，供方应按使用方的要求，负责对产品实行包修、包换、包退。</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2、投标人对由于产品设计、工艺、材料、配套件的缺陷而造成的任何产品质量问题或故障负责。在质量保证期内，供方负责修理和替换不合格的部件并承担费用，包括部件调换的运输费用。在质量保证期内，更换后的部件或零件质量保证期为更换之日起顺延12个月。</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3、售后服务期内容，产品发生质量问题，中标人应在接到采购人提出故障通知半小时以内做出响应，24小时内到达现场免费予以排除故障、修复或更换零部件，或启用替代品。如需更换设备或送修，需在2个工作日内解决</w:t>
      </w:r>
      <w:r>
        <w:rPr>
          <w:rFonts w:hint="eastAsia" w:ascii="宋体" w:hAnsi="宋体" w:cs="宋体"/>
          <w:color w:val="000000"/>
          <w:lang w:eastAsia="zh-CN"/>
        </w:rPr>
        <w:t xml:space="preserve">，</w:t>
      </w:r>
      <w:r>
        <w:rPr>
          <w:rFonts w:hint="eastAsia" w:ascii="宋体" w:hAnsi="宋体" w:cs="宋体"/>
          <w:color w:val="000000"/>
        </w:rPr>
        <w:t xml:space="preserve">涉及安全方面的问题4小时内解决，相关费用包含在本次投标报价内。 </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4、中标人除提供所供全部设备的安装调试服务外，还需有完善的培训服务体系，保证使用方能掌握设备的正常使用及日常维护工作。</w:t>
      </w:r>
      <w:r/>
    </w:p>
    <w:p>
      <w:pPr>
        <w:pStyle w:val="981"/>
        <w:ind w:firstLine="420"/>
        <w:jc w:val="both"/>
        <w:spacing w:beforeAutospacing="0" w:afterAutospacing="0" w:line="440" w:lineRule="exact"/>
        <w:rPr>
          <w:rFonts w:ascii="宋体" w:hAnsi="宋体"/>
          <w:b/>
          <w:color w:val="000000"/>
        </w:rPr>
      </w:pPr>
      <w:r>
        <w:rPr>
          <w:rFonts w:hint="eastAsia" w:ascii="宋体" w:hAnsi="宋体"/>
          <w:b/>
          <w:color w:val="000000"/>
        </w:rPr>
        <w:t xml:space="preserve">六、验收</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1、在发货前，乙方应对该批次货物的质量、规格、性能、数量或重量等进行准确而全面的检验，并出具一份证明货物符合合同规定的检验合格证书，但该证书不应视为最终检验。检验的结果和细节应附在检验证书后面。</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2、货物交付后，在安装前应仔细检查货物自身无缺陷后方可安装，如果存在货物破损、自身材质、规格等质量缺陷，甲方有权要求将货物退场，由此引起的一切后果由乙方承担。</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3、货物进场后乙方继续负责对家具的看管工作，如因看管不善所造成的一切损失均由乙方承担；家具进场后乙方应准备好相关初步验收资料，验收内容包括：产地、货号、规格、数量、外观质量</w:t>
      </w:r>
      <w:r>
        <w:rPr>
          <w:rFonts w:hint="eastAsia" w:ascii="宋体" w:hAnsi="宋体" w:cs="宋体"/>
          <w:color w:val="000000"/>
          <w:lang w:eastAsia="zh-CN"/>
        </w:rPr>
        <w:t xml:space="preserve">及</w:t>
      </w:r>
      <w:r>
        <w:rPr>
          <w:rFonts w:hint="eastAsia" w:ascii="宋体" w:hAnsi="宋体" w:cs="宋体"/>
          <w:color w:val="000000"/>
        </w:rPr>
        <w:t xml:space="preserve">家具包装是否完好。甲方应按签订采购合同约定时间组织验收。</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4、乙方货物全部进场安装调试，并提供相关初步验收资料后，甲方组织验收并出具验收报告。如果家具的质量、规格与合同规定不符，或在质量保证期内发现货物是有缺陷的（包括潜在缺陷或使用不符合要求的材料），甲方应报请法定检验机构进行检测（检测费由乙方承担），有权凭其出具的检验报告向乙方提出索赔。</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5、中标人的投标实物样品在采购招标活动结束后将由采购人封存，以供批量到货验收时比对或检测选择使用。</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6、采购人有权请检测机构相关专家和采购人单位代表在生产前随时到生产现场，查看所有制作材料的型号和进货清单等书面材料及原始凭证，中标供应商承担有可能产生的材料品牌检测费。</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7、采购标的对应的中小企业划分标准所属行业一览表</w:t>
      </w:r>
      <w:r/>
    </w:p>
    <w:tbl>
      <w:tblPr>
        <w:tblStyle w:val="788"/>
        <w:tblW w:w="0" w:type="auto"/>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14"/>
        <w:gridCol w:w="3170"/>
        <w:gridCol w:w="4173"/>
      </w:tblGrid>
      <w:tr>
        <w:trPr>
          <w:jc w:val="center"/>
          <w:tblCellSpacing w:w="0" w:type="dxa"/>
          <w:trHeight w:val="755"/>
        </w:trPr>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981"/>
              <w:jc w:val="center"/>
              <w:spacing w:beforeAutospacing="0" w:afterAutospacing="0" w:line="0" w:lineRule="atLeast"/>
              <w:widowControl w:val="off"/>
              <w:rPr>
                <w:rFonts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序号</w:t>
            </w:r>
            <w:r/>
          </w:p>
        </w:tc>
        <w:tc>
          <w:tcPr>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pStyle w:val="981"/>
              <w:jc w:val="center"/>
              <w:spacing w:beforeAutospacing="0" w:afterAutospacing="0" w:line="0" w:lineRule="atLeast"/>
              <w:widowControl w:val="off"/>
              <w:rPr>
                <w:rFonts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采购标的</w:t>
            </w:r>
            <w:r/>
          </w:p>
        </w:tc>
        <w:tc>
          <w:tcPr>
            <w:tcBorders>
              <w:top w:val="single" w:color="000000" w:sz="4" w:space="0"/>
              <w:left w:val="single" w:color="000000" w:sz="4" w:space="0"/>
              <w:bottom w:val="single" w:color="000000" w:sz="4" w:space="0"/>
              <w:right w:val="single" w:color="000000" w:sz="4" w:space="0"/>
            </w:tcBorders>
            <w:tcW w:w="4173" w:type="dxa"/>
            <w:vAlign w:val="center"/>
            <w:textDirection w:val="lrTb"/>
            <w:noWrap w:val="false"/>
          </w:tcPr>
          <w:p>
            <w:pPr>
              <w:pStyle w:val="981"/>
              <w:jc w:val="center"/>
              <w:spacing w:beforeAutospacing="0" w:afterAutospacing="0" w:line="0" w:lineRule="atLeast"/>
              <w:widowControl w:val="off"/>
              <w:rPr>
                <w:rFonts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对应中小企业划分标准所属行业</w:t>
            </w:r>
            <w:r/>
          </w:p>
        </w:tc>
      </w:tr>
      <w:tr>
        <w:trPr>
          <w:jc w:val="center"/>
          <w:tblCellSpacing w:w="0" w:type="dxa"/>
          <w:trHeight w:val="954"/>
        </w:trPr>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981"/>
              <w:jc w:val="center"/>
              <w:spacing w:beforeAutospacing="0" w:afterAutospacing="0" w:line="0" w:lineRule="atLeas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pStyle w:val="981"/>
              <w:jc w:val="center"/>
              <w:spacing w:beforeAutospacing="0" w:afterAutospacing="0" w:line="0" w:lineRule="atLeast"/>
              <w:widowControl w:val="off"/>
              <w:rPr>
                <w:rFonts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宿迁学院新校区南食堂大厅家具</w:t>
            </w:r>
            <w:r/>
          </w:p>
        </w:tc>
        <w:tc>
          <w:tcPr>
            <w:tcBorders>
              <w:top w:val="single" w:color="000000" w:sz="4" w:space="0"/>
              <w:left w:val="single" w:color="000000" w:sz="4" w:space="0"/>
              <w:bottom w:val="single" w:color="000000" w:sz="4" w:space="0"/>
              <w:right w:val="single" w:color="000000" w:sz="4" w:space="0"/>
            </w:tcBorders>
            <w:tcW w:w="4173" w:type="dxa"/>
            <w:vAlign w:val="center"/>
            <w:textDirection w:val="lrTb"/>
            <w:noWrap w:val="false"/>
          </w:tcPr>
          <w:p>
            <w:pPr>
              <w:pStyle w:val="981"/>
              <w:jc w:val="center"/>
              <w:spacing w:beforeAutospacing="0" w:afterAutospacing="0" w:line="0" w:lineRule="atLeast"/>
              <w:widowControl w:val="off"/>
              <w:rPr>
                <w:rFonts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工业 </w:t>
            </w:r>
            <w:r/>
          </w:p>
        </w:tc>
      </w:tr>
    </w:tbl>
    <w:p>
      <w:pPr>
        <w:numPr>
          <w:ilvl w:val="0"/>
          <w:numId w:val="0"/>
        </w:numPr>
        <w:jc w:val="left"/>
        <w:spacing w:line="460" w:lineRule="exact"/>
        <w:rPr>
          <w:rFonts w:ascii="宋体" w:hAnsi="宋体" w:cs="宋体"/>
          <w:b/>
          <w:bCs/>
          <w:sz w:val="24"/>
        </w:rPr>
      </w:pPr>
      <w:r>
        <w:rPr>
          <w:rFonts w:hint="eastAsia" w:ascii="宋体" w:hAnsi="宋体" w:cs="宋体"/>
          <w:b/>
          <w:bCs/>
          <w:sz w:val="24"/>
          <w:lang w:val="en-US" w:eastAsia="zh-CN"/>
        </w:rPr>
        <w:t xml:space="preserve">七、</w:t>
      </w:r>
      <w:r>
        <w:rPr>
          <w:rFonts w:hint="eastAsia" w:ascii="宋体" w:hAnsi="宋体" w:cs="宋体"/>
          <w:b/>
          <w:bCs/>
          <w:sz w:val="24"/>
        </w:rPr>
        <w:t xml:space="preserve">投标时样品（小样）携带：</w:t>
      </w:r>
      <w:r/>
    </w:p>
    <w:p>
      <w:pPr>
        <w:jc w:val="left"/>
        <w:spacing w:line="460" w:lineRule="exact"/>
        <w:rPr>
          <w:rFonts w:ascii="宋体" w:hAnsi="宋体" w:cs="宋体"/>
          <w:b/>
          <w:bCs/>
          <w:sz w:val="24"/>
        </w:rPr>
      </w:pPr>
      <w:r>
        <w:rPr>
          <w:rFonts w:hint="eastAsia" w:ascii="宋体" w:hAnsi="宋体" w:cs="宋体"/>
          <w:sz w:val="24"/>
          <w:lang w:val="en-US" w:eastAsia="zh-CN"/>
        </w:rPr>
        <w:t xml:space="preserve">7</w:t>
      </w:r>
      <w:r>
        <w:rPr>
          <w:rFonts w:hint="eastAsia" w:ascii="宋体" w:hAnsi="宋体" w:cs="宋体"/>
          <w:sz w:val="24"/>
        </w:rPr>
        <w:t xml:space="preserve">.1、请供应商根据本项目技术参数要求和工艺要求，现场提供以下实物样品：</w:t>
      </w:r>
      <w:r/>
    </w:p>
    <w:tbl>
      <w:tblPr>
        <w:tblStyle w:val="788"/>
        <w:tblW w:w="8323" w:type="dxa"/>
        <w:jc w:val="center"/>
        <w:tblLayout w:type="fixed"/>
        <w:tblCellMar>
          <w:left w:w="108" w:type="dxa"/>
          <w:top w:w="0" w:type="dxa"/>
          <w:right w:w="108" w:type="dxa"/>
          <w:bottom w:w="0" w:type="dxa"/>
        </w:tblCellMar>
        <w:tblLook w:val="04A0" w:firstRow="1" w:lastRow="0" w:firstColumn="1" w:lastColumn="0" w:noHBand="0" w:noVBand="1"/>
      </w:tblPr>
      <w:tblGrid>
        <w:gridCol w:w="678"/>
        <w:gridCol w:w="1275"/>
        <w:gridCol w:w="3860"/>
        <w:gridCol w:w="2510"/>
      </w:tblGrid>
      <w:tr>
        <w:trPr>
          <w:jc w:val="center"/>
          <w:trHeight w:val="661"/>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widowControl/>
              <w:rPr>
                <w:rFonts w:ascii="宋体" w:hAnsi="宋体" w:cs="宋体"/>
                <w:b/>
                <w:bCs/>
                <w:szCs w:val="21"/>
                <w:lang w:eastAsia="en-US"/>
              </w:rPr>
            </w:pPr>
            <w:r>
              <w:rPr>
                <w:rFonts w:hint="eastAsia" w:ascii="宋体" w:hAnsi="宋体" w:cs="宋体"/>
                <w:b/>
                <w:bCs/>
                <w:szCs w:val="21"/>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b/>
                <w:bCs/>
                <w:szCs w:val="21"/>
                <w:lang w:eastAsia="en-US"/>
              </w:rPr>
            </w:pPr>
            <w:r>
              <w:rPr>
                <w:rFonts w:hint="eastAsia" w:ascii="宋体" w:hAnsi="宋体" w:cs="宋体"/>
                <w:b/>
                <w:bCs/>
                <w:szCs w:val="21"/>
                <w:lang w:eastAsia="en-US"/>
              </w:rPr>
              <w:t xml:space="preserve">样品名称</w:t>
            </w:r>
            <w:r/>
          </w:p>
        </w:tc>
        <w:tc>
          <w:tcPr>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jc w:val="center"/>
              <w:widowControl/>
              <w:rPr>
                <w:rFonts w:ascii="宋体" w:hAnsi="宋体" w:cs="宋体"/>
                <w:b/>
                <w:bCs/>
                <w:szCs w:val="21"/>
                <w:lang w:eastAsia="en-US"/>
              </w:rPr>
            </w:pPr>
            <w:r>
              <w:rPr>
                <w:rFonts w:hint="eastAsia" w:ascii="宋体" w:hAnsi="宋体" w:cs="宋体"/>
                <w:b/>
                <w:bCs/>
                <w:szCs w:val="21"/>
                <w:lang w:eastAsia="en-US"/>
              </w:rPr>
              <w:t xml:space="preserve">样品制作标准和要求</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widowControl/>
              <w:rPr>
                <w:rFonts w:ascii="宋体" w:hAnsi="宋体" w:cs="宋体"/>
                <w:b/>
                <w:bCs/>
                <w:szCs w:val="21"/>
                <w:lang w:eastAsia="en-US"/>
              </w:rPr>
            </w:pPr>
            <w:r>
              <w:rPr>
                <w:rFonts w:hint="eastAsia" w:ascii="宋体" w:hAnsi="宋体" w:cs="宋体"/>
                <w:b/>
                <w:bCs/>
                <w:szCs w:val="21"/>
                <w:lang w:eastAsia="en-US"/>
              </w:rPr>
              <w:t xml:space="preserve">备注</w:t>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1</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桌面板1</w:t>
            </w:r>
            <w:r/>
          </w:p>
        </w:tc>
        <w:tc>
          <w:tcPr>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jc w:val="left"/>
              <w:widowControl/>
              <w:rPr>
                <w:rFonts w:hint="eastAsia" w:ascii="宋体" w:hAnsi="宋体" w:eastAsia="宋体" w:cs="宋体"/>
                <w:szCs w:val="21"/>
                <w:lang w:eastAsia="zh-CN"/>
              </w:rPr>
            </w:pPr>
            <w:r>
              <w:rPr>
                <w:rFonts w:hint="eastAsia" w:ascii="宋体" w:hAnsi="宋体" w:cs="宋体"/>
                <w:b/>
                <w:bCs/>
                <w:szCs w:val="21"/>
              </w:rPr>
              <w:t xml:space="preserve">材质:</w:t>
            </w:r>
            <w:r>
              <w:rPr>
                <w:rFonts w:hint="eastAsia" w:ascii="宋体" w:hAnsi="宋体" w:cs="宋体"/>
                <w:szCs w:val="21"/>
              </w:rPr>
              <w:t xml:space="preserve">采用抗倍特一体成型</w:t>
            </w:r>
            <w:r>
              <w:rPr>
                <w:rFonts w:hint="eastAsia" w:ascii="宋体" w:hAnsi="宋体" w:cs="宋体"/>
                <w:szCs w:val="21"/>
                <w:lang w:eastAsia="zh-CN"/>
              </w:rPr>
              <w:t xml:space="preserve">。</w:t>
            </w:r>
            <w:r/>
          </w:p>
          <w:p>
            <w:pPr>
              <w:jc w:val="left"/>
              <w:widowControl/>
              <w:rPr>
                <w:rFonts w:ascii="宋体" w:hAnsi="宋体" w:cs="宋体"/>
                <w:szCs w:val="21"/>
              </w:rPr>
            </w:pPr>
            <w:r>
              <w:rPr>
                <w:rFonts w:hint="eastAsia" w:ascii="宋体" w:hAnsi="宋体" w:cs="宋体"/>
                <w:b/>
                <w:bCs/>
                <w:szCs w:val="21"/>
                <w:lang w:val="en-US" w:eastAsia="zh-CN"/>
              </w:rPr>
              <w:t xml:space="preserve">工艺：</w:t>
            </w:r>
            <w:r>
              <w:rPr>
                <w:rFonts w:hint="eastAsia" w:ascii="宋体" w:hAnsi="宋体" w:cs="宋体"/>
                <w:szCs w:val="21"/>
              </w:rPr>
              <w:t xml:space="preserve">面板四周采用CNC修边，四周倒角</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b/>
                <w:bCs/>
                <w:szCs w:val="21"/>
                <w:lang w:val="en-US" w:eastAsia="zh-CN"/>
              </w:rPr>
              <w:t xml:space="preserve">外观：</w:t>
            </w:r>
            <w:r>
              <w:rPr>
                <w:rFonts w:hint="eastAsia" w:ascii="宋体" w:hAnsi="宋体" w:cs="宋体"/>
                <w:szCs w:val="21"/>
              </w:rPr>
              <w:t xml:space="preserve">圆润光滑无任何毛边。</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widowControl/>
              <w:rPr>
                <w:rFonts w:ascii="宋体" w:hAnsi="宋体" w:cs="宋体"/>
                <w:szCs w:val="21"/>
                <w:lang w:eastAsia="en-US"/>
              </w:rPr>
            </w:pPr>
            <w:r>
              <w:rPr>
                <w:rFonts w:hint="eastAsia" w:ascii="宋体" w:hAnsi="宋体" w:cs="宋体"/>
                <w:szCs w:val="21"/>
                <w:lang w:eastAsia="en-US"/>
              </w:rPr>
              <w:t xml:space="preserve">提供桌面板切割小样</w:t>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桌脚</w:t>
            </w:r>
            <w:r/>
          </w:p>
        </w:tc>
        <w:tc>
          <w:tcPr>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widowControl/>
              <w:rPr>
                <w:rFonts w:hint="eastAsia" w:ascii="宋体" w:hAnsi="宋体" w:cs="宋体"/>
                <w:szCs w:val="21"/>
                <w:lang w:eastAsia="zh-CN"/>
              </w:rPr>
            </w:pPr>
            <w:r>
              <w:rPr>
                <w:rFonts w:hint="eastAsia" w:ascii="宋体" w:hAnsi="宋体" w:cs="宋体"/>
                <w:b/>
                <w:bCs/>
                <w:szCs w:val="21"/>
              </w:rPr>
              <w:t xml:space="preserve">材质:</w:t>
            </w:r>
            <w:r>
              <w:rPr>
                <w:rFonts w:hint="eastAsia" w:ascii="宋体" w:hAnsi="宋体" w:cs="宋体"/>
                <w:szCs w:val="21"/>
              </w:rPr>
              <w:t xml:space="preserve">采用钢管</w:t>
            </w:r>
            <w:r>
              <w:rPr>
                <w:rFonts w:hint="eastAsia" w:ascii="宋体" w:hAnsi="宋体" w:cs="宋体"/>
                <w:szCs w:val="21"/>
                <w:lang w:eastAsia="zh-CN"/>
              </w:rPr>
              <w:t xml:space="preserve">。</w:t>
            </w:r>
            <w:r/>
          </w:p>
          <w:p>
            <w:pPr>
              <w:widowControl/>
              <w:rPr>
                <w:rFonts w:hint="eastAsia" w:ascii="宋体" w:hAnsi="宋体" w:cs="宋体"/>
                <w:szCs w:val="21"/>
                <w:lang w:eastAsia="zh-CN"/>
              </w:rPr>
            </w:pPr>
            <w:r>
              <w:rPr>
                <w:rFonts w:hint="eastAsia" w:ascii="宋体" w:hAnsi="宋体" w:cs="宋体"/>
                <w:b/>
                <w:bCs/>
                <w:szCs w:val="21"/>
                <w:lang w:val="en-US" w:eastAsia="zh-CN"/>
              </w:rPr>
              <w:t xml:space="preserve">工艺：</w:t>
            </w:r>
            <w:r>
              <w:rPr>
                <w:rFonts w:hint="eastAsia" w:ascii="宋体" w:hAnsi="宋体" w:cs="宋体"/>
                <w:szCs w:val="21"/>
              </w:rPr>
              <w:t xml:space="preserve">表面采用高温粉体烤漆</w:t>
            </w:r>
            <w:r>
              <w:rPr>
                <w:rFonts w:hint="eastAsia" w:ascii="宋体" w:hAnsi="宋体" w:cs="宋体"/>
                <w:szCs w:val="21"/>
                <w:lang w:eastAsia="zh-CN"/>
              </w:rPr>
              <w:t xml:space="preserve">，</w:t>
            </w:r>
            <w:r>
              <w:rPr>
                <w:rFonts w:hint="eastAsia" w:ascii="宋体" w:hAnsi="宋体" w:cs="宋体"/>
                <w:szCs w:val="21"/>
              </w:rPr>
              <w:t xml:space="preserve">耐腐蚀，不易生锈</w:t>
            </w:r>
            <w:r>
              <w:rPr>
                <w:rFonts w:hint="eastAsia" w:ascii="宋体" w:hAnsi="宋体" w:cs="宋体"/>
                <w:szCs w:val="21"/>
                <w:lang w:eastAsia="zh-CN"/>
              </w:rPr>
              <w:t xml:space="preserve">。</w:t>
            </w:r>
            <w:r/>
          </w:p>
          <w:p>
            <w:pPr>
              <w:widowControl/>
              <w:rPr>
                <w:rFonts w:ascii="宋体" w:hAnsi="宋体" w:cs="宋体"/>
                <w:szCs w:val="21"/>
              </w:rPr>
            </w:pPr>
            <w:r>
              <w:rPr>
                <w:rFonts w:hint="eastAsia" w:ascii="宋体" w:hAnsi="宋体" w:cs="宋体"/>
                <w:b/>
                <w:bCs/>
                <w:szCs w:val="21"/>
                <w:lang w:val="en-US" w:eastAsia="zh-CN"/>
              </w:rPr>
              <w:t xml:space="preserve">外观：</w:t>
            </w:r>
            <w:r>
              <w:rPr>
                <w:rFonts w:hint="eastAsia" w:ascii="宋体" w:hAnsi="宋体" w:cs="宋体"/>
                <w:color w:val="000000"/>
                <w:sz w:val="20"/>
                <w:szCs w:val="20"/>
                <w:lang w:bidi="ar"/>
              </w:rPr>
              <w:t xml:space="preserve">圆润光滑无任何毛边。</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widowControl/>
              <w:rPr>
                <w:rFonts w:ascii="宋体" w:hAnsi="宋体" w:cs="宋体"/>
                <w:szCs w:val="21"/>
                <w:lang w:eastAsia="en-US"/>
              </w:rPr>
            </w:pPr>
            <w:r>
              <w:rPr>
                <w:rFonts w:hint="eastAsia" w:ascii="宋体" w:hAnsi="宋体" w:cs="宋体"/>
                <w:szCs w:val="21"/>
                <w:lang w:eastAsia="en-US"/>
              </w:rPr>
              <w:t xml:space="preserve">提供桌脚切割小样</w:t>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桌面板2</w:t>
            </w:r>
            <w:r/>
          </w:p>
        </w:tc>
        <w:tc>
          <w:tcPr>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widowControl/>
              <w:rPr>
                <w:rFonts w:hint="eastAsia" w:ascii="宋体" w:hAnsi="宋体" w:cs="宋体"/>
                <w:szCs w:val="21"/>
                <w:lang w:eastAsia="zh-CN"/>
              </w:rPr>
            </w:pPr>
            <w:r>
              <w:rPr>
                <w:rFonts w:hint="eastAsia" w:ascii="宋体" w:hAnsi="宋体" w:cs="宋体"/>
                <w:b/>
                <w:bCs/>
                <w:szCs w:val="21"/>
              </w:rPr>
              <w:t xml:space="preserve">材质:</w:t>
            </w:r>
            <w:r>
              <w:rPr>
                <w:rFonts w:hint="eastAsia" w:ascii="宋体" w:hAnsi="宋体" w:cs="宋体"/>
                <w:szCs w:val="21"/>
              </w:rPr>
              <w:t xml:space="preserve">采用实木多层板，面贴高压装饰防火板，纹理采用胡桃木纹理</w:t>
            </w:r>
            <w:r>
              <w:rPr>
                <w:rFonts w:hint="eastAsia" w:ascii="宋体" w:hAnsi="宋体" w:cs="宋体"/>
                <w:szCs w:val="21"/>
                <w:lang w:eastAsia="zh-CN"/>
              </w:rPr>
              <w:t xml:space="preserve">。</w:t>
            </w:r>
            <w:r/>
          </w:p>
          <w:p>
            <w:pPr>
              <w:widowControl/>
              <w:rPr>
                <w:rFonts w:hint="eastAsia" w:ascii="宋体" w:hAnsi="宋体" w:cs="宋体"/>
                <w:szCs w:val="21"/>
              </w:rPr>
            </w:pPr>
            <w:r>
              <w:rPr>
                <w:rFonts w:hint="eastAsia" w:ascii="宋体" w:hAnsi="宋体" w:cs="宋体"/>
                <w:b/>
                <w:bCs/>
                <w:szCs w:val="21"/>
                <w:lang w:val="en-US" w:eastAsia="zh-CN"/>
              </w:rPr>
              <w:t xml:space="preserve">工艺：</w:t>
            </w:r>
            <w:r>
              <w:rPr>
                <w:rFonts w:hint="eastAsia" w:ascii="宋体" w:hAnsi="宋体" w:cs="宋体"/>
                <w:szCs w:val="21"/>
              </w:rPr>
              <w:t xml:space="preserve">四周做倒鸭嘴斜角环保油漆封边。</w:t>
            </w:r>
            <w:r/>
          </w:p>
          <w:p>
            <w:pPr>
              <w:widowControl/>
              <w:rPr>
                <w:rFonts w:hint="eastAsia" w:ascii="宋体" w:hAnsi="宋体" w:cs="宋体"/>
                <w:szCs w:val="21"/>
              </w:rPr>
            </w:pPr>
            <w:r>
              <w:rPr>
                <w:rFonts w:hint="eastAsia" w:ascii="宋体" w:hAnsi="宋体" w:cs="宋体"/>
                <w:b/>
                <w:bCs/>
                <w:szCs w:val="21"/>
                <w:lang w:val="en-US" w:eastAsia="zh-CN"/>
              </w:rPr>
              <w:t xml:space="preserve">外观：</w:t>
            </w:r>
            <w:r>
              <w:rPr>
                <w:rFonts w:hint="eastAsia" w:ascii="宋体" w:hAnsi="宋体" w:cs="宋体"/>
                <w:color w:val="000000"/>
                <w:sz w:val="20"/>
                <w:szCs w:val="20"/>
                <w:lang w:bidi="ar"/>
              </w:rPr>
              <w:t xml:space="preserve">圆润光滑无任何毛边。</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widowControl/>
              <w:rPr>
                <w:rFonts w:ascii="宋体" w:hAnsi="宋体" w:cs="宋体"/>
                <w:szCs w:val="21"/>
                <w:lang w:eastAsia="en-US"/>
              </w:rPr>
            </w:pPr>
            <w:r>
              <w:rPr>
                <w:rFonts w:hint="eastAsia" w:ascii="宋体" w:hAnsi="宋体" w:cs="宋体"/>
                <w:szCs w:val="21"/>
                <w:lang w:eastAsia="en-US"/>
              </w:rPr>
              <w:t xml:space="preserve">提供桌面板切割小样</w:t>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4</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椅子</w:t>
            </w:r>
            <w:r/>
          </w:p>
        </w:tc>
        <w:tc>
          <w:tcPr>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widowControl/>
              <w:rPr>
                <w:rStyle w:val="979"/>
                <w:lang w:val="en-US" w:eastAsia="zh-CN" w:bidi="ar"/>
              </w:rPr>
            </w:pPr>
            <w:r>
              <w:rPr>
                <w:rFonts w:hint="eastAsia" w:ascii="宋体" w:hAnsi="宋体" w:cs="宋体"/>
                <w:b/>
                <w:bCs/>
                <w:szCs w:val="21"/>
              </w:rPr>
              <w:t xml:space="preserve">材质:</w:t>
            </w:r>
            <w:r>
              <w:rPr>
                <w:rStyle w:val="979"/>
                <w:lang w:val="en-US" w:eastAsia="zh-CN" w:bidi="ar"/>
              </w:rPr>
              <w:t xml:space="preserve">框架：优质碳钢，座面</w:t>
            </w:r>
            <w:r>
              <w:rPr>
                <w:rStyle w:val="980"/>
                <w:rFonts w:eastAsia="宋体"/>
                <w:lang w:val="en-US" w:eastAsia="zh-CN" w:bidi="ar"/>
              </w:rPr>
              <w:t xml:space="preserve">/</w:t>
            </w:r>
            <w:r>
              <w:rPr>
                <w:rStyle w:val="979"/>
                <w:lang w:val="en-US" w:eastAsia="zh-CN" w:bidi="ar"/>
              </w:rPr>
              <w:t xml:space="preserve">靠背：基材采用实木多层板，面贴防火板。</w:t>
            </w:r>
            <w:r/>
          </w:p>
          <w:p>
            <w:pPr>
              <w:widowControl/>
              <w:rPr>
                <w:rStyle w:val="979"/>
                <w:lang w:val="en-US" w:eastAsia="zh-CN" w:bidi="ar"/>
              </w:rPr>
            </w:pPr>
            <w:r>
              <w:rPr>
                <w:rFonts w:hint="eastAsia" w:ascii="宋体" w:hAnsi="宋体" w:cs="宋体"/>
                <w:b/>
                <w:bCs/>
                <w:szCs w:val="21"/>
                <w:lang w:val="en-US" w:eastAsia="zh-CN"/>
              </w:rPr>
              <w:t xml:space="preserve">工艺：</w:t>
            </w:r>
            <w:r>
              <w:rPr>
                <w:rStyle w:val="979"/>
                <w:lang w:val="en-US" w:eastAsia="zh-CN" w:bidi="ar"/>
              </w:rPr>
              <w:t xml:space="preserve">框架表面做热转印，座面</w:t>
            </w:r>
            <w:r>
              <w:rPr>
                <w:rStyle w:val="980"/>
                <w:rFonts w:eastAsia="宋体"/>
                <w:lang w:val="en-US" w:eastAsia="zh-CN" w:bidi="ar"/>
              </w:rPr>
              <w:t xml:space="preserve">/</w:t>
            </w:r>
            <w:r>
              <w:rPr>
                <w:rStyle w:val="979"/>
                <w:lang w:val="en-US" w:eastAsia="zh-CN" w:bidi="ar"/>
              </w:rPr>
              <w:t xml:space="preserve">靠背四周油漆封边处理，处理</w:t>
            </w:r>
            <w:r>
              <w:rPr>
                <w:rStyle w:val="979"/>
                <w:rFonts w:hint="eastAsia"/>
                <w:lang w:val="en-US" w:eastAsia="zh-CN" w:bidi="ar"/>
              </w:rPr>
              <w:t xml:space="preserve">颜色：</w:t>
            </w:r>
            <w:r>
              <w:rPr>
                <w:rFonts w:hint="eastAsia" w:ascii="宋体" w:hAnsi="宋体" w:eastAsia="宋体" w:cs="宋体"/>
                <w:i w:val="0"/>
                <w:iCs w:val="0"/>
                <w:color w:val="000000"/>
                <w:sz w:val="20"/>
                <w:szCs w:val="20"/>
                <w:u w:val="none"/>
                <w:lang w:val="en-US" w:eastAsia="zh-CN" w:bidi="ar"/>
              </w:rPr>
              <w:t xml:space="preserve">白蜡木纹色</w:t>
            </w:r>
            <w:r>
              <w:rPr>
                <w:rFonts w:hint="eastAsia" w:ascii="宋体" w:hAnsi="宋体" w:cs="宋体"/>
                <w:i w:val="0"/>
                <w:iCs w:val="0"/>
                <w:color w:val="000000"/>
                <w:sz w:val="20"/>
                <w:szCs w:val="20"/>
                <w:u w:val="none"/>
                <w:lang w:val="en-US" w:eastAsia="zh-CN" w:bidi="ar"/>
              </w:rPr>
              <w:t xml:space="preserve">。</w:t>
            </w:r>
            <w:r/>
          </w:p>
          <w:p>
            <w:pPr>
              <w:widowControl/>
              <w:rPr>
                <w:rStyle w:val="979"/>
                <w:rFonts w:hint="default"/>
                <w:lang w:val="en-US" w:eastAsia="zh-CN" w:bidi="ar"/>
              </w:rPr>
            </w:pPr>
            <w:r>
              <w:rPr>
                <w:rFonts w:hint="eastAsia" w:ascii="宋体" w:hAnsi="宋体" w:cs="宋体"/>
                <w:b/>
                <w:bCs/>
                <w:szCs w:val="21"/>
                <w:lang w:val="en-US" w:eastAsia="zh-CN"/>
              </w:rPr>
              <w:t xml:space="preserve">外观：</w:t>
            </w:r>
            <w:r>
              <w:rPr>
                <w:rFonts w:hint="eastAsia" w:ascii="宋体" w:hAnsi="宋体" w:cs="宋体"/>
                <w:color w:val="000000"/>
                <w:sz w:val="20"/>
                <w:szCs w:val="20"/>
                <w:lang w:bidi="ar"/>
              </w:rPr>
              <w:t xml:space="preserve">圆润光滑无任何毛边。</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widowControl/>
              <w:rPr>
                <w:rFonts w:ascii="宋体" w:hAnsi="宋体" w:cs="宋体"/>
                <w:szCs w:val="21"/>
                <w:lang w:eastAsia="en-US"/>
              </w:rPr>
            </w:pPr>
            <w:r>
              <w:rPr>
                <w:rFonts w:hint="eastAsia" w:ascii="宋体" w:hAnsi="宋体" w:cs="宋体"/>
                <w:szCs w:val="21"/>
                <w:lang w:eastAsia="en-US"/>
              </w:rPr>
              <w:t xml:space="preserve">整体一把</w:t>
            </w:r>
            <w:r/>
          </w:p>
        </w:tc>
      </w:tr>
    </w:tbl>
    <w:p>
      <w:pPr>
        <w:ind w:firstLine="480"/>
        <w:jc w:val="left"/>
        <w:spacing w:line="360" w:lineRule="exact"/>
        <w:rPr>
          <w:rFonts w:hint="eastAsia" w:ascii="宋体" w:hAnsi="宋体" w:cs="宋体"/>
          <w:sz w:val="24"/>
        </w:rPr>
      </w:pPr>
      <w:r>
        <w:rPr>
          <w:rFonts w:hint="eastAsia" w:ascii="宋体" w:hAnsi="宋体" w:cs="宋体"/>
          <w:sz w:val="24"/>
        </w:rPr>
      </w:r>
      <w:r/>
    </w:p>
    <w:p>
      <w:pPr>
        <w:ind w:firstLine="480"/>
        <w:jc w:val="left"/>
        <w:spacing w:line="360" w:lineRule="exact"/>
        <w:rPr>
          <w:rFonts w:ascii="宋体" w:hAnsi="宋体" w:cs="宋体"/>
          <w:sz w:val="24"/>
        </w:rPr>
      </w:pPr>
      <w:r>
        <w:rPr>
          <w:rFonts w:hint="eastAsia" w:ascii="宋体" w:hAnsi="宋体" w:cs="宋体"/>
          <w:sz w:val="24"/>
        </w:rPr>
        <w:t xml:space="preserve">注：小样技术</w:t>
      </w:r>
      <w:r>
        <w:rPr>
          <w:rFonts w:ascii="宋体" w:hAnsi="宋体" w:cs="宋体"/>
          <w:sz w:val="24"/>
        </w:rPr>
        <w:t xml:space="preserve">参照采购需求中的技术参数</w:t>
      </w:r>
      <w:r>
        <w:rPr>
          <w:rFonts w:hint="eastAsia" w:ascii="宋体" w:hAnsi="宋体" w:cs="宋体"/>
          <w:sz w:val="24"/>
        </w:rPr>
        <w:t xml:space="preserve">，尺寸自拟（便于携带和评审，不作为评分依据）。</w:t>
      </w:r>
      <w:r/>
    </w:p>
    <w:p>
      <w:pPr>
        <w:ind w:firstLine="480"/>
        <w:jc w:val="left"/>
        <w:spacing w:line="460" w:lineRule="exact"/>
        <w:rPr>
          <w:rFonts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.2样品接收要求</w:t>
      </w:r>
      <w:r/>
    </w:p>
    <w:p>
      <w:pPr>
        <w:ind w:firstLine="240"/>
        <w:keepLines w:val="0"/>
        <w:keepNext w:val="0"/>
        <w:pageBreakBefore w:val="0"/>
        <w:spacing w:line="480" w:lineRule="exact"/>
        <w:widowControl/>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1）投标人提供的样品应为全新的产品。样品提交时间：2026年7月</w:t>
      </w:r>
      <w:r>
        <w:rPr>
          <w:rFonts w:hint="eastAsia" w:ascii="宋体" w:hAnsi="宋体"/>
          <w:color w:val="000000"/>
          <w:sz w:val="24"/>
          <w:szCs w:val="24"/>
          <w:lang w:val="en-US" w:eastAsia="zh-CN"/>
        </w:rPr>
        <w:t xml:space="preserve">20</w:t>
      </w:r>
      <w:r>
        <w:rPr>
          <w:rFonts w:hint="eastAsia" w:ascii="宋体" w:hAnsi="宋体"/>
          <w:color w:val="000000"/>
          <w:sz w:val="24"/>
          <w:szCs w:val="24"/>
        </w:rPr>
        <w:t xml:space="preserve">日上午10:30-12:00，</w:t>
      </w:r>
      <w:r>
        <w:rPr>
          <w:rFonts w:hint="eastAsia" w:ascii="宋体" w:hAnsi="宋体"/>
          <w:color w:val="000000"/>
          <w:sz w:val="24"/>
          <w:szCs w:val="24"/>
          <w:lang w:eastAsia="zh-CN"/>
        </w:rPr>
        <w:t xml:space="preserve">14:30</w:t>
      </w:r>
      <w:r>
        <w:rPr>
          <w:rFonts w:hint="eastAsia" w:ascii="宋体" w:hAnsi="宋体"/>
          <w:color w:val="000000"/>
          <w:sz w:val="24"/>
          <w:szCs w:val="24"/>
        </w:rPr>
        <w:t xml:space="preserve">-17:30。样品不显示品牌及投标单位名称信息。样品制作及运输费用由投标人自行承担，因投标人原因导致样品无法送达指定地点的，责任由投标人自负。</w:t>
      </w:r>
      <w:r/>
    </w:p>
    <w:p>
      <w:pPr>
        <w:ind w:firstLine="240"/>
        <w:keepLines w:val="0"/>
        <w:keepNext w:val="0"/>
        <w:pageBreakBefore w:val="0"/>
        <w:spacing w:line="480" w:lineRule="exact"/>
        <w:widowControl/>
        <w:rPr>
          <w:rFonts w:hint="eastAsia" w:ascii="宋体" w:hAnsi="宋体"/>
          <w:color w:val="000000"/>
          <w:sz w:val="24"/>
          <w:szCs w:val="24"/>
        </w:rPr>
      </w:pPr>
      <w:r>
        <w:rPr>
          <w:rFonts w:hint="eastAsia" w:ascii="宋体" w:hAnsi="宋体"/>
          <w:color w:val="000000"/>
          <w:sz w:val="24"/>
          <w:szCs w:val="24"/>
        </w:rPr>
        <w:t xml:space="preserve">（2）样品由采购人和采购代理共同组织接收，每种样品只接收一个。接收地点：宿迁市公共资源交易中心（宿迁市便民方舟2#楼10层或11层开标厅，具体房间号按现场指示牌要求执行）。样品递交截止时间后递交的样品将被拒绝接收。</w:t>
      </w:r>
      <w:r/>
    </w:p>
    <w:p>
      <w:pPr>
        <w:keepLines w:val="0"/>
        <w:keepNext w:val="0"/>
        <w:pageBreakBefore w:val="0"/>
        <w:spacing w:line="480" w:lineRule="exact"/>
        <w:widowControl/>
        <w:rPr>
          <w:rFonts w:hint="eastAsia" w:ascii="宋体" w:hAnsi="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eastAsia="宋体"/>
          <w:color w:val="000000"/>
          <w:sz w:val="24"/>
          <w:szCs w:val="24"/>
          <w:lang w:val="en-US" w:eastAsia="zh-CN"/>
        </w:rPr>
        <w:t xml:space="preserve">雍老师</w:t>
      </w:r>
      <w:bookmarkStart w:id="214" w:name="_GoBack"/>
      <w:r/>
      <w:bookmarkEnd w:id="214"/>
      <w:r>
        <w:rPr>
          <w:rFonts w:hint="eastAsia" w:ascii="宋体" w:hAnsi="宋体" w:eastAsia="宋体"/>
          <w:color w:val="000000"/>
          <w:sz w:val="24"/>
          <w:szCs w:val="24"/>
          <w:lang w:val="en-US" w:eastAsia="zh-CN"/>
        </w:rPr>
        <w:t xml:space="preserve">1395399908</w:t>
      </w:r>
      <w:r>
        <w:rPr>
          <w:rFonts w:hint="eastAsia" w:ascii="宋体" w:hAnsi="宋体"/>
          <w:color w:val="000000"/>
          <w:sz w:val="24"/>
          <w:szCs w:val="24"/>
          <w:highlight w:val="none"/>
        </w:rPr>
        <w:t xml:space="preserve">；</w:t>
      </w:r>
      <w:r>
        <w:rPr>
          <w:rFonts w:hint="eastAsia" w:ascii="宋体" w:hAnsi="宋体"/>
          <w:color w:val="000000"/>
          <w:sz w:val="24"/>
          <w:szCs w:val="24"/>
          <w:lang w:val="en-US" w:eastAsia="zh-CN"/>
        </w:rPr>
        <w:t xml:space="preserve">袁帅</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15751596019。</w:t>
      </w:r>
      <w:r/>
    </w:p>
    <w:p>
      <w:pPr>
        <w:ind w:firstLine="240"/>
        <w:keepLines w:val="0"/>
        <w:keepNext w:val="0"/>
        <w:pageBreakBefore w:val="0"/>
        <w:spacing w:line="480" w:lineRule="exact"/>
        <w:widowControl/>
        <w:rPr>
          <w:rFonts w:hint="eastAsia" w:ascii="宋体" w:hAnsi="宋体"/>
          <w:color w:val="000000"/>
          <w:sz w:val="24"/>
          <w:szCs w:val="24"/>
        </w:rPr>
      </w:pPr>
      <w:r>
        <w:rPr>
          <w:rFonts w:hint="eastAsia" w:ascii="宋体" w:hAnsi="宋体"/>
          <w:color w:val="000000"/>
          <w:sz w:val="24"/>
          <w:szCs w:val="24"/>
        </w:rPr>
        <w:t xml:space="preserve">（3）样品的退还。未中标样品在招标投标活动结束后由投标人自行搬运撤离（费用自理）。各投标人应在接到退还通知后，48小时内将样品搬离；超时未取走的，由采购人自行处置。中标人的样品由中标人负责运送到采购人指定地点并封存，作为履约验收参考。</w:t>
      </w:r>
      <w:r/>
    </w:p>
    <w:p>
      <w:pPr>
        <w:ind w:firstLine="482"/>
        <w:pageBreakBefore w:val="0"/>
        <w:spacing w:line="480" w:lineRule="exact"/>
        <w:widowControl w:val="off"/>
        <w:rPr>
          <w:rFonts w:hint="eastAsia" w:ascii="宋体" w:hAnsi="宋体" w:cs="宋体"/>
          <w:bCs/>
          <w:sz w:val="24"/>
          <w:szCs w:val="24"/>
          <w:highlight w:val="none"/>
        </w:rPr>
      </w:pPr>
      <w:r>
        <w:rPr>
          <w:rFonts w:hint="eastAsia" w:ascii="宋体" w:hAnsi="宋体"/>
          <w:color w:val="000000"/>
          <w:sz w:val="24"/>
          <w:szCs w:val="24"/>
        </w:rPr>
        <w:t xml:space="preserve">（4）投标人提交、取回样品时，不得破坏或损毁其他投标人的样品，也不得对其他投标人的样品拍照、录像。</w:t>
      </w:r>
      <w:r/>
    </w:p>
    <w:p>
      <w:pPr>
        <w:ind w:firstLine="482"/>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八</w:t>
      </w:r>
      <w:r>
        <w:rPr>
          <w:rFonts w:hint="eastAsia" w:ascii="宋体" w:hAnsi="宋体" w:eastAsia="宋体" w:cs="宋体"/>
          <w:b/>
          <w:bCs/>
          <w:color w:val="000000"/>
          <w:sz w:val="24"/>
          <w:szCs w:val="24"/>
        </w:rPr>
        <w:t xml:space="preserve">、商品包装环保要求</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商品包装层数不得超过 3 层，空隙率不大于 40%；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商品包装尽可能使用单一材质的包装材料，如因功能需求</w:t>
      </w:r>
      <w:r>
        <w:rPr>
          <w:rFonts w:hint="eastAsia" w:ascii="宋体" w:hAnsi="宋体" w:eastAsia="宋体" w:cs="宋体"/>
          <w:color w:val="000000"/>
          <w:sz w:val="24"/>
          <w:szCs w:val="24"/>
          <w:lang w:eastAsia="zh-CN"/>
        </w:rPr>
        <w:t xml:space="preserve">必须</w:t>
      </w:r>
      <w:r>
        <w:rPr>
          <w:rFonts w:hint="eastAsia" w:ascii="宋体" w:hAnsi="宋体" w:eastAsia="宋体" w:cs="宋体"/>
          <w:color w:val="000000"/>
          <w:sz w:val="24"/>
          <w:szCs w:val="24"/>
        </w:rPr>
        <w:t xml:space="preserve">使用不同材质，不同材质间应便于分离；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商品包装中铅、汞、镉、六价铬的总含量应不大于100mg/kg；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商品包装印刷使用的油墨中挥发性有机化合物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含量应不大于 5%（以重量计）；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塑料材质商品包装上呈现的印刷颜色不得超过6色；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纸质商品包装应使用75%以上的可再生纤维原料生产；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木质商品包装的原料应来源于可持续性森林。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注：检测方法 1.商品包装中重金属（铅、汞、镉、六价铬）总量的检测按照 GB/T 10004-2008《包装用塑料复合膜、袋干法复合、挤出复合》规定的方法进行。2.商品包装印刷使用的油墨中挥发性有机化合物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的检测按照 GB/T 23986-2009《色漆和清漆挥发性有机化合物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含量的测定气相色谱法》规定的方法。</w:t>
      </w:r>
      <w:r/>
    </w:p>
    <w:p>
      <w:pPr>
        <w:ind w:firstLine="482"/>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九、</w:t>
      </w:r>
      <w:r>
        <w:rPr>
          <w:rFonts w:hint="eastAsia" w:ascii="宋体" w:hAnsi="宋体" w:eastAsia="宋体" w:cs="宋体"/>
          <w:b/>
          <w:bCs/>
          <w:color w:val="000000"/>
          <w:sz w:val="24"/>
          <w:szCs w:val="24"/>
        </w:rPr>
        <w:t xml:space="preserve">快递包装环保要求</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快递包装中重金属（铅、汞、镉、六价铬）总量应不大于100mg/kg；</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快递包装印刷使用的油墨中不应添加邻苯二甲酸酯，其挥发性有机化合物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含量应不大于5%（以重量计）；</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快递包装中使用纸基材的包装材料，纸基材中的有机氯的含量应不大于150 mg/kg；</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快递包装中使用塑料基材的包装材料不得使用邻苯二甲酸二异壬酯、邻苯二甲酸二正辛酯、邻苯二甲酸二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乙基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己酯、邻苯二甲酸二异癸酯、邻苯二甲酸丁基苄基酯、邻苯二甲酸二丁酯等作为增塑剂；</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快递中使用的塑料包装袋不得使用聚氯乙烯作为原料，且原料应为单一材质制成，生物分解率大于60%；</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快递中使用的充气类填充物不得使用聚氯乙烯作为原料，且原料为单一材质制成，生物分解率大于60%；</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快递中使用的集装袋应为单一材质制成，其重复使用次数应不小于80次；</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快递中应使用幅宽不大于45mm 的生物降解胶带；</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快递包装中不得使用溶剂型</w:t>
      </w:r>
      <w:r>
        <w:rPr>
          <w:rFonts w:hint="eastAsia" w:ascii="宋体" w:hAnsi="宋体" w:eastAsia="宋体" w:cs="宋体"/>
          <w:color w:val="000000"/>
          <w:sz w:val="24"/>
          <w:szCs w:val="24"/>
          <w:lang w:eastAsia="zh-CN"/>
        </w:rPr>
        <w:t xml:space="preserve">胶黏剂</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快递应使用电子面单；</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直接使用商品包装作为快递包装的商品，其商品包装满足《商品包装政府采购需求标准（试行）》即可；</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快递包装产品质量和封装方式应符合相关国家或行业标准技术指标要求。</w:t>
      </w:r>
      <w:r/>
    </w:p>
    <w:p>
      <w:pPr>
        <w:ind w:firstLine="482"/>
        <w:keepLines w:val="0"/>
        <w:keepNext w:val="0"/>
        <w:pageBreakBefore w:val="0"/>
        <w:spacing w:line="400" w:lineRule="exact"/>
        <w:rPr>
          <w:rFonts w:hint="eastAsia" w:ascii="宋体" w:hAnsi="宋体" w:eastAsia="宋体" w:cs="宋体"/>
          <w:b/>
          <w:bCs/>
          <w:color w:val="auto"/>
          <w:sz w:val="24"/>
          <w:highlight w:val="none"/>
          <w:lang w:val="en-US" w:eastAsia="zh-CN"/>
        </w:rPr>
        <w:outlineLvl w:val="0"/>
      </w:pPr>
      <w:r>
        <w:rPr>
          <w:rFonts w:hint="eastAsia" w:ascii="宋体" w:hAnsi="宋体" w:eastAsia="宋体" w:cs="宋体"/>
          <w:b/>
          <w:bCs/>
          <w:color w:val="auto"/>
          <w:sz w:val="24"/>
          <w:szCs w:val="24"/>
          <w:highlight w:val="none"/>
          <w:lang w:val="en-US" w:eastAsia="zh-CN" w:bidi="ar-SA"/>
        </w:rPr>
        <w:t xml:space="preserve">十、</w:t>
      </w:r>
      <w:r>
        <w:rPr>
          <w:rFonts w:hint="eastAsia" w:ascii="宋体" w:hAnsi="宋体" w:eastAsia="宋体" w:cs="宋体"/>
          <w:b/>
          <w:bCs/>
          <w:color w:val="auto"/>
          <w:sz w:val="24"/>
          <w:highlight w:val="none"/>
          <w:lang w:val="en-US" w:eastAsia="zh-CN"/>
        </w:rPr>
        <w:t xml:space="preserve">采购标的需实现的功能或者目标，以及为落实政府采购政策需满足的要求</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1.采购本国货物、工程和服务</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2.中小企业政策</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种政策确定本项目落实的中小企业政策：</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（1）本项目专门面向中小企业（含监狱企业、残疾人福利企业）采购。</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（2）投标人提供的货物符合下列情形的，对小微企业报价给予</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的扣除，用扣除后的价格参加评审。</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在货物采购项目中，货物由中小企业制造，即货物由中小企业生产且使用该中小企业商号或者注册商标。</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投标文件中上传加盖出具单位公章的电子件）。</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政府采购节能产品、环境标志产品</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（3）招标人拟采购的产品属于优先采购的节能环保品目清单范围的，按以下条件优先采购：</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采用综合评分法的项目，对提供有效节能环保证书的投标人加分。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采用最低评标价法的项目，同等条件下优先推荐提供有效节能环保证书多的投标人为中标人。</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采购本国产品的支持政策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00" w:lineRule="exact"/>
        <w:shd w:val="clear" w:color="auto"/>
        <w:widowControl/>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ff0000"/>
          <w:sz w:val="24"/>
          <w:highlight w:val="none"/>
        </w:rPr>
        <w:t xml:space="preserve">供应商需在“第六章 投标文件格式”的“</w:t>
      </w:r>
      <w:r>
        <w:rPr>
          <w:rFonts w:hint="eastAsia" w:ascii="宋体" w:hAnsi="宋体" w:eastAsia="宋体" w:cs="宋体"/>
          <w:b/>
          <w:bCs/>
          <w:color w:val="ff0000"/>
          <w:sz w:val="24"/>
          <w:highlight w:val="none"/>
        </w:rPr>
        <w:t xml:space="preserve">六、</w:t>
      </w:r>
      <w:r>
        <w:rPr>
          <w:rFonts w:hint="eastAsia" w:ascii="宋体" w:hAnsi="宋体" w:eastAsia="宋体" w:cs="宋体"/>
          <w:b/>
          <w:bCs/>
          <w:color w:val="ff0000"/>
          <w:sz w:val="24"/>
          <w:highlight w:val="none"/>
          <w:lang w:eastAsia="zh-CN"/>
        </w:rPr>
        <w:t xml:space="preserve">投标明细报价表</w:t>
      </w:r>
      <w:r>
        <w:rPr>
          <w:rFonts w:hint="eastAsia" w:ascii="宋体" w:hAnsi="宋体" w:eastAsia="宋体" w:cs="宋体"/>
          <w:color w:val="ff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shd w:val="clear" w:color="auto"/>
        <w:rPr>
          <w:rFonts w:hint="eastAsia" w:ascii="宋体" w:hAnsi="宋体" w:eastAsia="宋体" w:cs="宋体"/>
          <w:b/>
          <w:bCs/>
          <w:color w:val="ff0000"/>
          <w:sz w:val="24"/>
          <w:szCs w:val="24"/>
          <w:highlight w:val="none"/>
        </w:rPr>
      </w:pPr>
      <w:r>
        <w:rPr>
          <w:rFonts w:hint="eastAsia" w:ascii="宋体" w:hAnsi="宋体" w:eastAsia="宋体" w:cs="宋体"/>
          <w:color w:val="ff0000"/>
          <w:sz w:val="24"/>
          <w:szCs w:val="24"/>
          <w:highlight w:val="none"/>
        </w:rPr>
        <w:t xml:space="preserve">（3）</w:t>
      </w:r>
      <w:r>
        <w:rPr>
          <w:rFonts w:hint="eastAsia" w:ascii="宋体" w:hAnsi="宋体" w:eastAsia="宋体" w:cs="宋体"/>
          <w:b/>
          <w:bCs/>
          <w:color w:val="ff0000"/>
          <w:sz w:val="24"/>
          <w:szCs w:val="24"/>
          <w:highlight w:val="none"/>
        </w:rPr>
        <w:t xml:space="preserve">供应商需按照招标文件的要求提供《关于符合本国产品标准的声明函》（以下简称《声明函》），如不提供将不享受本国产品价格评审优惠。</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ff0000"/>
          <w:sz w:val="24"/>
          <w:szCs w:val="24"/>
          <w:highlight w:val="none"/>
        </w:rPr>
        <w:t xml:space="preserve">供应商需在《声明函》中逐一、准确填写产品名称、厂名、生产厂址三项信息（《声明函》中用斜线划除的地方无需填写），</w:t>
      </w:r>
      <w:r>
        <w:rPr>
          <w:rFonts w:hint="eastAsia" w:ascii="宋体" w:hAnsi="宋体" w:eastAsia="宋体" w:cs="宋体"/>
          <w:color w:val="auto"/>
          <w:sz w:val="24"/>
          <w:szCs w:val="24"/>
          <w:highlight w:val="none"/>
        </w:rPr>
        <w:t xml:space="preserve">三项信息中任意一项未填写的视为该项产品不符合本国产品标准，不享受本国产品价格评审优惠。</w:t>
      </w:r>
      <w:r/>
    </w:p>
    <w:p>
      <w:pPr>
        <w:ind w:firstLine="480"/>
        <w:spacing w:line="500" w:lineRule="exact"/>
        <w:shd w:val="clear" w:color="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r>
      <w:r/>
    </w:p>
    <w:p>
      <w:pPr>
        <w:numPr>
          <w:ilvl w:val="0"/>
          <w:numId w:val="0"/>
        </w:numPr>
        <w:ind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r>
      <w:bookmarkEnd w:id="192"/>
      <w:r/>
      <w:r/>
    </w:p>
    <w:p>
      <w:pPr>
        <w:pStyle w:val="961"/>
        <w:rPr>
          <w:rFonts w:hint="eastAsia"/>
          <w:lang w:val="en-US" w:eastAsia="zh-CN"/>
        </w:rPr>
      </w:pPr>
      <w:r>
        <w:rPr>
          <w:rFonts w:hint="eastAsia"/>
          <w:lang w:val="en-US" w:eastAsia="zh-CN"/>
        </w:rPr>
      </w:r>
      <w:r/>
    </w:p>
    <w:p>
      <w:pPr>
        <w:pStyle w:val="778"/>
        <w:jc w:val="center"/>
        <w:shd w:val="clear" w:color="auto"/>
        <w:rPr>
          <w:rFonts w:hint="eastAsia" w:ascii="宋体" w:hAnsi="宋体" w:eastAsia="宋体" w:cs="宋体"/>
          <w:b/>
          <w:bCs w:val="0"/>
          <w:color w:val="auto"/>
          <w:sz w:val="44"/>
          <w:highlight w:val="none"/>
        </w:rPr>
      </w:pPr>
      <w:r/>
      <w:bookmarkStart w:id="193" w:name="_Toc7441"/>
      <w:r>
        <w:rPr>
          <w:rFonts w:hint="eastAsia" w:ascii="宋体" w:hAnsi="宋体" w:eastAsia="宋体" w:cs="宋体"/>
          <w:b/>
          <w:bCs w:val="0"/>
          <w:color w:val="auto"/>
          <w:sz w:val="44"/>
          <w:highlight w:val="none"/>
        </w:rPr>
        <w:t xml:space="preserve">第五章  评标方法与评标标准</w:t>
      </w:r>
      <w:bookmarkEnd w:id="193"/>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一、资格审查。</w:t>
      </w:r>
      <w:r>
        <w:rPr>
          <w:rFonts w:hint="eastAsia" w:ascii="宋体" w:hAnsi="宋体" w:eastAsia="宋体" w:cs="宋体"/>
          <w:color w:val="auto"/>
          <w:sz w:val="24"/>
          <w:highlight w:val="none"/>
        </w:rPr>
        <w:t xml:space="preserve">资格审查人员按照下列指标对各投标人的资格进行审查，未通过审查的为无效标，不参与评标。</w:t>
      </w:r>
      <w:r/>
    </w:p>
    <w:tbl>
      <w:tblPr>
        <w:tblStyle w:val="788"/>
        <w:tblW w:w="5574" w:type="pct"/>
        <w:tblInd w:w="-498"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7186"/>
        <w:gridCol w:w="2817"/>
      </w:tblGrid>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资格审查因素</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审查标准</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投标声明及承诺函</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中小（微）企业或残疾人福利性单位声明函</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信用信息</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二、符合性审查。</w:t>
      </w:r>
      <w:r>
        <w:rPr>
          <w:rFonts w:hint="eastAsia" w:ascii="宋体" w:hAnsi="宋体" w:eastAsia="宋体" w:cs="宋体"/>
          <w:color w:val="auto"/>
          <w:sz w:val="24"/>
          <w:highlight w:val="none"/>
        </w:rPr>
        <w:t xml:space="preserve">评标委员会首先按照下列指标对各投标人的投标文件进行符合性审查，未通过审查的为无效标，不再参与评审。</w:t>
      </w:r>
      <w:r/>
    </w:p>
    <w:tbl>
      <w:tblPr>
        <w:tblStyle w:val="788"/>
        <w:tblW w:w="5568" w:type="pct"/>
        <w:tblInd w:w="-48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7140"/>
        <w:gridCol w:w="2852"/>
      </w:tblGrid>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符合性审查因素</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审查标准</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法定代表人身份证明或授权委托书</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投标报价</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技术标准和要求</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其他</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keepLines w:val="0"/>
        <w:keepNext w:val="0"/>
        <w:pageBreakBefore w:val="0"/>
        <w:spacing w:line="400" w:lineRule="exact"/>
        <w:shd w:val="clear" w:color="auto"/>
        <w:widowControl/>
        <w:rPr>
          <w:rFonts w:hint="eastAsia" w:ascii="宋体" w:hAnsi="宋体" w:eastAsia="宋体" w:cs="宋体"/>
          <w:b/>
          <w:color w:val="auto"/>
          <w:sz w:val="28"/>
          <w:highlight w:val="none"/>
        </w:rPr>
      </w:pPr>
      <w:r>
        <w:rPr>
          <w:rFonts w:hint="eastAsia" w:ascii="宋体" w:hAnsi="宋体" w:eastAsia="宋体" w:cs="宋体"/>
          <w:b/>
          <w:color w:val="auto"/>
          <w:sz w:val="28"/>
          <w:highlight w:val="none"/>
        </w:rPr>
        <w:t xml:space="preserve">三、评分办法—综合评分法</w:t>
      </w:r>
      <w:r/>
    </w:p>
    <w:p>
      <w:pPr>
        <w:ind w:firstLine="241"/>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（一）评标办法：</w:t>
      </w:r>
      <w:r>
        <w:rPr>
          <w:rFonts w:hint="eastAsia" w:ascii="宋体" w:hAnsi="宋体" w:eastAsia="宋体" w:cs="宋体"/>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w:t>
      </w:r>
      <w:r/>
    </w:p>
    <w:p>
      <w:pPr>
        <w:ind w:firstLine="241"/>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（二）详细评审。</w:t>
      </w:r>
      <w:r>
        <w:rPr>
          <w:rFonts w:hint="eastAsia" w:ascii="宋体" w:hAnsi="宋体" w:eastAsia="宋体" w:cs="宋体"/>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88"/>
        <w:tblW w:w="4993"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27"/>
        <w:gridCol w:w="1086"/>
        <w:gridCol w:w="6643"/>
      </w:tblGrid>
      <w:tr>
        <w:trPr>
          <w:trHeight w:val="572"/>
        </w:trPr>
        <w:tc>
          <w:tcPr>
            <w:tcBorders>
              <w:top w:val="single" w:color="auto" w:sz="6" w:space="0"/>
              <w:left w:val="single" w:color="auto" w:sz="6" w:space="0"/>
              <w:bottom w:val="single" w:color="auto" w:sz="6" w:space="0"/>
              <w:right w:val="single" w:color="auto" w:sz="6" w:space="0"/>
            </w:tcBorders>
            <w:tcW w:w="685" w:type="pct"/>
            <w:vAlign w:val="center"/>
            <w:textDirection w:val="lrTb"/>
            <w:noWrap w:val="false"/>
          </w:tcPr>
          <w:p>
            <w:pPr>
              <w:jc w:val="center"/>
              <w:widowControl/>
              <w:rPr>
                <w:rFonts w:ascii="宋体" w:hAnsi="宋体" w:eastAsia="宋体" w:cs="宋体"/>
                <w:b/>
                <w:bCs/>
                <w:color w:val="000000"/>
                <w:sz w:val="21"/>
                <w:szCs w:val="24"/>
                <w:lang w:val="en-US" w:eastAsia="en-US" w:bidi="ar-SA"/>
              </w:rPr>
            </w:pPr>
            <w:r>
              <w:rPr>
                <w:rFonts w:hint="eastAsia" w:ascii="宋体" w:hAnsi="宋体" w:eastAsia="宋体" w:cs="宋体"/>
                <w:b/>
                <w:bCs/>
                <w:color w:val="000000"/>
                <w:sz w:val="21"/>
                <w:szCs w:val="24"/>
                <w:lang w:val="en-US" w:eastAsia="en-US" w:bidi="ar-SA"/>
              </w:rPr>
              <w:t xml:space="preserve">序号</w:t>
            </w:r>
            <w:r/>
          </w:p>
        </w:tc>
        <w:tc>
          <w:tcPr>
            <w:tcBorders>
              <w:top w:val="single" w:color="auto" w:sz="6" w:space="0"/>
              <w:left w:val="single" w:color="auto" w:sz="6" w:space="0"/>
              <w:bottom w:val="single" w:color="auto" w:sz="6" w:space="0"/>
              <w:right w:val="single" w:color="auto" w:sz="6" w:space="0"/>
            </w:tcBorders>
            <w:tcW w:w="606" w:type="pct"/>
            <w:vAlign w:val="center"/>
            <w:textDirection w:val="lrTb"/>
            <w:noWrap w:val="false"/>
          </w:tcPr>
          <w:p>
            <w:pPr>
              <w:jc w:val="center"/>
              <w:widowControl/>
              <w:rPr>
                <w:rFonts w:ascii="宋体" w:hAnsi="宋体" w:eastAsia="宋体" w:cs="宋体"/>
                <w:b/>
                <w:bCs/>
                <w:color w:val="000000"/>
                <w:sz w:val="21"/>
                <w:szCs w:val="24"/>
                <w:lang w:val="en-US" w:eastAsia="en-US" w:bidi="ar-SA"/>
              </w:rPr>
            </w:pPr>
            <w:r>
              <w:rPr>
                <w:rFonts w:hint="eastAsia" w:ascii="宋体" w:hAnsi="宋体" w:eastAsia="宋体" w:cs="宋体"/>
                <w:b/>
                <w:bCs/>
                <w:color w:val="000000"/>
                <w:sz w:val="21"/>
                <w:szCs w:val="24"/>
                <w:lang w:val="en-US" w:eastAsia="en-US" w:bidi="ar-SA"/>
              </w:rPr>
              <w:t xml:space="preserve">评分要素</w:t>
            </w:r>
            <w:r/>
          </w:p>
        </w:tc>
        <w:tc>
          <w:tcPr>
            <w:tcBorders>
              <w:top w:val="single" w:color="auto" w:sz="6" w:space="0"/>
              <w:left w:val="single" w:color="auto" w:sz="6" w:space="0"/>
              <w:bottom w:val="single" w:color="auto" w:sz="6" w:space="0"/>
              <w:right w:val="single" w:color="auto" w:sz="6" w:space="0"/>
            </w:tcBorders>
            <w:tcW w:w="3707" w:type="pct"/>
            <w:vAlign w:val="center"/>
            <w:textDirection w:val="lrTb"/>
            <w:noWrap w:val="false"/>
          </w:tcPr>
          <w:p>
            <w:pPr>
              <w:jc w:val="center"/>
              <w:widowControl/>
              <w:rPr>
                <w:rFonts w:ascii="宋体" w:hAnsi="宋体" w:eastAsia="宋体" w:cs="宋体"/>
                <w:b/>
                <w:bCs/>
                <w:color w:val="000000"/>
                <w:sz w:val="21"/>
                <w:szCs w:val="24"/>
                <w:lang w:val="en-US" w:eastAsia="en-US" w:bidi="ar-SA"/>
              </w:rPr>
            </w:pPr>
            <w:r>
              <w:rPr>
                <w:rFonts w:hint="eastAsia" w:ascii="宋体" w:hAnsi="宋体" w:eastAsia="宋体" w:cs="宋体"/>
                <w:b/>
                <w:bCs/>
                <w:color w:val="000000"/>
                <w:sz w:val="21"/>
                <w:szCs w:val="24"/>
                <w:lang w:val="en-US" w:eastAsia="en-US" w:bidi="ar-SA"/>
              </w:rPr>
              <w:t xml:space="preserve">分值</w:t>
            </w:r>
            <w:r/>
          </w:p>
        </w:tc>
      </w:tr>
      <w:tr>
        <w:trPr/>
        <w:tc>
          <w:tcPr>
            <w:tcBorders>
              <w:top w:val="single" w:color="auto" w:sz="6" w:space="0"/>
              <w:left w:val="single" w:color="auto" w:sz="6" w:space="0"/>
              <w:bottom w:val="single" w:color="auto" w:sz="6"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一、投标报价</w:t>
            </w:r>
            <w:r/>
          </w:p>
        </w:tc>
        <w:tc>
          <w:tcPr>
            <w:tcBorders>
              <w:top w:val="single" w:color="auto" w:sz="6" w:space="0"/>
              <w:left w:val="single" w:color="auto" w:sz="6" w:space="0"/>
              <w:bottom w:val="single" w:color="auto" w:sz="6" w:space="0"/>
              <w:right w:val="single" w:color="auto" w:sz="6" w:space="0"/>
            </w:tcBorders>
            <w:tcW w:w="606"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30</w:t>
            </w:r>
            <w:r/>
          </w:p>
        </w:tc>
        <w:tc>
          <w:tcPr>
            <w:tcBorders>
              <w:top w:val="single" w:color="auto" w:sz="6" w:space="0"/>
              <w:left w:val="single" w:color="auto" w:sz="6" w:space="0"/>
              <w:bottom w:val="single" w:color="auto" w:sz="6" w:space="0"/>
              <w:right w:val="single" w:color="auto" w:sz="6"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采用低价优先法计算，即满足招标文件要求且投标价格最低的投标报价为评标基准价，其价格分为满分。其他投标人投标报价得分＝（评标基准价/投标报价）*30。</w:t>
            </w:r>
            <w:r/>
          </w:p>
        </w:tc>
      </w:tr>
      <w:tr>
        <w:trPr>
          <w:trHeight w:val="2962"/>
        </w:trPr>
        <w:tc>
          <w:tcPr>
            <w:tcBorders>
              <w:top w:val="single" w:color="auto" w:sz="6" w:space="0"/>
              <w:left w:val="single" w:color="auto" w:sz="6" w:space="0"/>
              <w:bottom w:val="single" w:color="auto" w:sz="4"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二、技术参数响应</w:t>
            </w:r>
            <w:r/>
          </w:p>
        </w:tc>
        <w:tc>
          <w:tcPr>
            <w:tcBorders>
              <w:top w:val="single" w:color="auto" w:sz="6"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en-US" w:bidi="ar-SA"/>
              </w:rPr>
              <w:t xml:space="preserve">2</w:t>
            </w:r>
            <w:r>
              <w:rPr>
                <w:rFonts w:hint="eastAsia" w:ascii="宋体" w:hAnsi="宋体" w:eastAsia="宋体" w:cs="宋体"/>
                <w:sz w:val="21"/>
                <w:szCs w:val="21"/>
                <w:lang w:val="en-US" w:eastAsia="zh-CN" w:bidi="ar-SA"/>
              </w:rPr>
              <w:t xml:space="preserve">8</w:t>
            </w:r>
            <w:r/>
          </w:p>
        </w:tc>
        <w:tc>
          <w:tcPr>
            <w:tcBorders>
              <w:top w:val="single" w:color="auto" w:sz="6" w:space="0"/>
              <w:left w:val="single" w:color="auto" w:sz="6" w:space="0"/>
              <w:bottom w:val="single" w:color="auto" w:sz="4" w:space="0"/>
              <w:right w:val="single" w:color="auto" w:sz="6"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针对招标文件“第四</w:t>
            </w:r>
            <w:r>
              <w:rPr>
                <w:rFonts w:hint="eastAsia" w:ascii="宋体" w:hAnsi="宋体" w:eastAsia="宋体" w:cs="宋体"/>
                <w:sz w:val="21"/>
                <w:szCs w:val="21"/>
                <w:lang w:val="en-US" w:eastAsia="zh-CN" w:bidi="ar-SA"/>
              </w:rPr>
              <w:t xml:space="preserve">章</w:t>
            </w:r>
            <w:r>
              <w:rPr>
                <w:rFonts w:hint="eastAsia" w:ascii="宋体" w:hAnsi="宋体" w:eastAsia="宋体" w:cs="宋体"/>
                <w:sz w:val="21"/>
                <w:szCs w:val="21"/>
                <w:lang w:val="en-US" w:eastAsia="en-US" w:bidi="ar-SA"/>
              </w:rPr>
              <w:t xml:space="preserve">、采购需求”中的“三、技术参数要求”所列内容)进行评分，所投产品技术参数完全满足或优于招标文件技术参数要求的得</w:t>
            </w:r>
            <w:r>
              <w:rPr>
                <w:rFonts w:hint="eastAsia" w:ascii="宋体" w:hAnsi="宋体" w:eastAsia="宋体" w:cs="宋体"/>
                <w:sz w:val="21"/>
                <w:szCs w:val="21"/>
                <w:lang w:val="en-US" w:eastAsia="zh-CN" w:bidi="ar-SA"/>
              </w:rPr>
              <w:t xml:space="preserve">28</w:t>
            </w:r>
            <w:r>
              <w:rPr>
                <w:rFonts w:hint="eastAsia" w:ascii="宋体" w:hAnsi="宋体" w:eastAsia="宋体" w:cs="宋体"/>
                <w:sz w:val="21"/>
                <w:szCs w:val="21"/>
                <w:lang w:val="en-US" w:eastAsia="en-US" w:bidi="ar-SA"/>
              </w:rPr>
              <w:t xml:space="preserve">分。</w:t>
            </w:r>
            <w:r/>
          </w:p>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2.1“▲”为重点参数要求，每有一项（共</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项）不满足的扣</w:t>
            </w:r>
            <w:r>
              <w:rPr>
                <w:rFonts w:hint="eastAsia" w:ascii="宋体" w:hAnsi="宋体" w:eastAsia="宋体" w:cs="宋体"/>
                <w:sz w:val="21"/>
                <w:szCs w:val="21"/>
                <w:lang w:val="en-US" w:eastAsia="zh-CN" w:bidi="ar-SA"/>
              </w:rPr>
              <w:t xml:space="preserve">2.5</w:t>
            </w:r>
            <w:r>
              <w:rPr>
                <w:rFonts w:hint="eastAsia" w:ascii="宋体" w:hAnsi="宋体" w:eastAsia="宋体" w:cs="宋体"/>
                <w:sz w:val="21"/>
                <w:szCs w:val="21"/>
                <w:lang w:val="en-US" w:eastAsia="en-US" w:bidi="ar-SA"/>
              </w:rPr>
              <w:t xml:space="preserve">分，共10分；</w:t>
            </w:r>
            <w:r/>
          </w:p>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2.2其余指标为一般性指标，每有一项（共</w:t>
            </w:r>
            <w:r>
              <w:rPr>
                <w:rFonts w:hint="eastAsia" w:ascii="宋体" w:hAnsi="宋体" w:eastAsia="宋体" w:cs="宋体"/>
                <w:sz w:val="21"/>
                <w:szCs w:val="21"/>
                <w:lang w:val="en-US" w:eastAsia="zh-CN" w:bidi="ar-SA"/>
              </w:rPr>
              <w:t xml:space="preserve">12</w:t>
            </w:r>
            <w:r>
              <w:rPr>
                <w:rFonts w:hint="eastAsia" w:ascii="宋体" w:hAnsi="宋体" w:eastAsia="宋体" w:cs="宋体"/>
                <w:sz w:val="21"/>
                <w:szCs w:val="21"/>
                <w:lang w:val="en-US" w:eastAsia="en-US" w:bidi="ar-SA"/>
              </w:rPr>
              <w:t xml:space="preserve">项）负偏离扣</w:t>
            </w:r>
            <w:r>
              <w:rPr>
                <w:rFonts w:hint="eastAsia" w:ascii="宋体" w:hAnsi="宋体" w:eastAsia="宋体" w:cs="宋体"/>
                <w:sz w:val="21"/>
                <w:szCs w:val="21"/>
                <w:lang w:val="en-US" w:eastAsia="zh-CN" w:bidi="ar-SA"/>
              </w:rPr>
              <w:t xml:space="preserve">1.5</w:t>
            </w:r>
            <w:r>
              <w:rPr>
                <w:rFonts w:hint="eastAsia" w:ascii="宋体" w:hAnsi="宋体" w:eastAsia="宋体" w:cs="宋体"/>
                <w:sz w:val="21"/>
                <w:szCs w:val="21"/>
                <w:lang w:val="en-US" w:eastAsia="en-US" w:bidi="ar-SA"/>
              </w:rPr>
              <w:t xml:space="preserve">分，共</w:t>
            </w:r>
            <w:r>
              <w:rPr>
                <w:rFonts w:hint="eastAsia" w:ascii="宋体" w:hAnsi="宋体" w:eastAsia="宋体" w:cs="宋体"/>
                <w:sz w:val="21"/>
                <w:szCs w:val="21"/>
                <w:lang w:val="en-US" w:eastAsia="zh-CN" w:bidi="ar-SA"/>
              </w:rPr>
              <w:t xml:space="preserve">18</w:t>
            </w:r>
            <w:r>
              <w:rPr>
                <w:rFonts w:hint="eastAsia" w:ascii="宋体" w:hAnsi="宋体" w:eastAsia="宋体" w:cs="宋体"/>
                <w:sz w:val="21"/>
                <w:szCs w:val="21"/>
                <w:lang w:val="en-US" w:eastAsia="en-US" w:bidi="ar-SA"/>
              </w:rPr>
              <w:t xml:space="preserve">分。</w:t>
            </w:r>
            <w:r/>
          </w:p>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 注：1、投标人针对本项评分内容在投标文件《技术响应偏离表》中逐条列出响应及偏离情况，采购需求中要求提供证明材料的，以证明材料为准，并详细标明所在投标文件中的位置；采购需求中未要求提供证明材料的，以《技术响应偏离表》为准。2、未按要求提供证明材料或未在响应偏离表中列明偏离情况的对应项按负偏离进行扣分处理。</w:t>
            </w:r>
            <w:r/>
          </w:p>
        </w:tc>
      </w:tr>
      <w:tr>
        <w:trPr>
          <w:trHeight w:val="1362"/>
        </w:trPr>
        <w:tc>
          <w:tcPr>
            <w:tcBorders>
              <w:top w:val="single" w:color="auto" w:sz="4" w:space="0"/>
              <w:left w:val="single" w:color="auto" w:sz="6" w:space="0"/>
              <w:bottom w:val="single" w:color="auto" w:sz="4"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三、样品</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9 </w:t>
            </w:r>
            <w:r/>
          </w:p>
        </w:tc>
        <w:tc>
          <w:tcPr>
            <w:tcBorders>
              <w:top w:val="single" w:color="auto" w:sz="4" w:space="0"/>
              <w:left w:val="single" w:color="auto" w:sz="6" w:space="0"/>
              <w:bottom w:val="single" w:color="auto" w:sz="4" w:space="0"/>
              <w:right w:val="single" w:color="auto" w:sz="6" w:space="0"/>
            </w:tcBorders>
            <w:tcW w:w="3707" w:type="pct"/>
            <w:vAlign w:val="center"/>
            <w:textDirection w:val="lrTb"/>
            <w:noWrap w:val="false"/>
          </w:tcPr>
          <w:p>
            <w:pPr>
              <w:jc w:val="left"/>
              <w:spacing w:line="360" w:lineRule="exac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评审委员会根据投标人所提供的样品（</w:t>
            </w:r>
            <w:r>
              <w:rPr>
                <w:rFonts w:hint="eastAsia" w:ascii="宋体" w:hAnsi="宋体" w:eastAsia="宋体" w:cs="宋体"/>
                <w:color w:val="000000"/>
                <w:sz w:val="21"/>
                <w:szCs w:val="21"/>
                <w:lang w:val="zh-CN" w:eastAsia="en-US" w:bidi="ar-SA"/>
              </w:rPr>
              <w:t xml:space="preserve">桌面板1、桌脚、桌面板2、</w:t>
            </w:r>
            <w:r>
              <w:rPr>
                <w:rFonts w:hint="eastAsia" w:ascii="宋体" w:hAnsi="宋体" w:eastAsia="宋体" w:cs="宋体"/>
                <w:color w:val="000000"/>
                <w:sz w:val="21"/>
                <w:szCs w:val="21"/>
                <w:lang w:val="en-US" w:eastAsia="en-US" w:bidi="ar-SA"/>
              </w:rPr>
              <w:t xml:space="preserve">椅子</w:t>
            </w:r>
            <w:r>
              <w:rPr>
                <w:rFonts w:hint="eastAsia" w:ascii="宋体" w:hAnsi="宋体" w:eastAsia="宋体" w:cs="宋体"/>
                <w:sz w:val="21"/>
                <w:szCs w:val="21"/>
                <w:lang w:val="en-US" w:eastAsia="en-US" w:bidi="ar-SA"/>
              </w:rPr>
              <w:t xml:space="preserve">）进行评审。</w:t>
            </w:r>
            <w:r/>
          </w:p>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3.1</w:t>
            </w:r>
            <w:bookmarkStart w:id="194" w:name="OLE_LINK37"/>
            <w:r>
              <w:rPr>
                <w:rFonts w:hint="eastAsia" w:ascii="宋体" w:hAnsi="宋体" w:eastAsia="宋体" w:cs="宋体"/>
                <w:sz w:val="21"/>
                <w:szCs w:val="21"/>
                <w:lang w:val="en-US" w:eastAsia="en-US" w:bidi="ar-SA"/>
              </w:rPr>
              <w:t xml:space="preserve">样品的</w:t>
            </w:r>
            <w:bookmarkEnd w:id="194"/>
            <w:r>
              <w:rPr>
                <w:rFonts w:hint="eastAsia" w:ascii="宋体" w:hAnsi="宋体" w:eastAsia="宋体" w:cs="宋体"/>
                <w:sz w:val="21"/>
                <w:szCs w:val="21"/>
                <w:lang w:val="en-US" w:eastAsia="en-US" w:bidi="ar-SA"/>
              </w:rPr>
              <w:t xml:space="preserve">外观优于“样品清单列表”要求的得3分，符合“样品清单列表”要求的得1.5分，不符合“样品清单列表”要求或未按要求提供样品的不得分。</w:t>
            </w:r>
            <w:r/>
          </w:p>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3.2样品的材质优于“样品清单列表”要求的得3分，符合“样品清单列表”要求的得1.5分，不符合“样品清单列表”要求或未按要求提供样品的不得分。</w:t>
            </w:r>
            <w:r/>
          </w:p>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3.3样品的工艺优于“样品清单列表”要求的得3分，符合“样品清单列表”要求的得1.5分，不符合“样品清单列表”要求或未按要求提供样品的不得分。</w:t>
            </w:r>
            <w:r/>
          </w:p>
        </w:tc>
      </w:tr>
      <w:tr>
        <w:trPr>
          <w:trHeight w:val="2208"/>
        </w:trPr>
        <w:tc>
          <w:tcPr>
            <w:tcBorders>
              <w:top w:val="single" w:color="auto" w:sz="4" w:space="0"/>
              <w:left w:val="single" w:color="auto" w:sz="6" w:space="0"/>
              <w:bottom w:val="single" w:color="auto" w:sz="4"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四、生产设备</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p>
        </w:tc>
        <w:tc>
          <w:tcPr>
            <w:tcBorders>
              <w:top w:val="single" w:color="auto" w:sz="4" w:space="0"/>
              <w:left w:val="single" w:color="auto" w:sz="6" w:space="0"/>
              <w:bottom w:val="single" w:color="auto" w:sz="4" w:space="0"/>
              <w:right w:val="single" w:color="auto" w:sz="6"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投标人或所投产品制造商具备以下生产设备：激光切割设备、焊接机器人（自动焊接设备）、全自动喷涂生产线、数控弯管机、数控板材开料锯</w:t>
            </w:r>
            <w:r>
              <w:rPr>
                <w:rFonts w:hint="eastAsia" w:ascii="宋体" w:hAnsi="宋体" w:cs="宋体"/>
                <w:szCs w:val="21"/>
              </w:rPr>
              <w:t xml:space="preserve">、自动封边机</w:t>
            </w:r>
            <w:r>
              <w:rPr>
                <w:rFonts w:hint="eastAsia" w:ascii="宋体" w:hAnsi="宋体" w:eastAsia="宋体" w:cs="宋体"/>
                <w:sz w:val="21"/>
                <w:szCs w:val="21"/>
                <w:lang w:val="en-US" w:eastAsia="en-US" w:bidi="ar-SA"/>
              </w:rPr>
              <w:t xml:space="preserve">，每提供一项得</w:t>
            </w:r>
            <w:r>
              <w:rPr>
                <w:rFonts w:hint="eastAsia" w:ascii="宋体" w:hAnsi="宋体" w:eastAsia="宋体" w:cs="宋体"/>
                <w:sz w:val="21"/>
                <w:szCs w:val="21"/>
                <w:lang w:val="en-US" w:eastAsia="zh-CN" w:bidi="ar-SA"/>
              </w:rPr>
              <w:t xml:space="preserve">0.5</w:t>
            </w:r>
            <w:r>
              <w:rPr>
                <w:rFonts w:hint="eastAsia" w:ascii="宋体" w:hAnsi="宋体" w:eastAsia="宋体" w:cs="宋体"/>
                <w:sz w:val="21"/>
                <w:szCs w:val="21"/>
                <w:lang w:val="en-US" w:eastAsia="en-US" w:bidi="ar-SA"/>
              </w:rPr>
              <w:t xml:space="preserve">分，本项最高得</w:t>
            </w: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en-US" w:eastAsia="en-US" w:bidi="ar-SA"/>
              </w:rPr>
              <w:t xml:space="preserve">分。</w:t>
            </w:r>
            <w:r/>
          </w:p>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注：</w:t>
            </w:r>
            <w:r>
              <w:rPr>
                <w:rFonts w:hint="eastAsia" w:ascii="宋体" w:hAnsi="宋体" w:eastAsia="宋体" w:cs="宋体"/>
                <w:szCs w:val="21"/>
                <w:highlight w:val="none"/>
              </w:rPr>
              <w:t xml:space="preserve">注：1.需提供设备生产车间实景照片、设备照片、设备清单及生产设备购置（租赁）发票（或设备采购（租赁）合同或付款凭证），否则不得分；2.如所提供设备名称与要求不完全一致，但功能符合要求，需提供相应功能证明材料可得分。</w:t>
            </w:r>
            <w:r/>
          </w:p>
        </w:tc>
      </w:tr>
      <w:tr>
        <w:trPr>
          <w:trHeight w:val="1620"/>
        </w:trPr>
        <w:tc>
          <w:tcPr>
            <w:tcBorders>
              <w:top w:val="single" w:color="auto" w:sz="4" w:space="0"/>
              <w:left w:val="single" w:color="auto" w:sz="6" w:space="0"/>
              <w:bottom w:val="single" w:color="auto" w:sz="4"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
              </w:rPr>
              <w:t xml:space="preserve">五、环保认证</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2</w:t>
            </w:r>
            <w:r/>
          </w:p>
        </w:tc>
        <w:tc>
          <w:tcPr>
            <w:tcBorders>
              <w:top w:val="single" w:color="auto" w:sz="4" w:space="0"/>
              <w:left w:val="single" w:color="auto" w:sz="6" w:space="0"/>
              <w:bottom w:val="single" w:color="auto" w:sz="4" w:space="0"/>
              <w:right w:val="single" w:color="auto" w:sz="6" w:space="0"/>
            </w:tcBorders>
            <w:tcW w:w="3707" w:type="pct"/>
            <w:vAlign w:val="center"/>
            <w:textDirection w:val="lrTb"/>
            <w:noWrap w:val="false"/>
          </w:tcPr>
          <w:p>
            <w:pPr>
              <w:jc w:val="both"/>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所投产品在财政部、生态环境部公布的“环境标志产品政府采购品目清单”内，且投标文件中提供国家市场监督管理总局确定的列入“参与实施政府采购环境标志产品认证机构名录”内的认证机构出具的、有效期内的该产品</w:t>
            </w:r>
            <w:bookmarkStart w:id="195" w:name="OLE_LINK18"/>
            <w:r>
              <w:rPr>
                <w:rFonts w:hint="eastAsia" w:ascii="宋体" w:hAnsi="宋体" w:eastAsia="宋体" w:cs="宋体"/>
                <w:sz w:val="21"/>
                <w:szCs w:val="21"/>
                <w:lang w:val="en-US" w:eastAsia="en-US" w:bidi="ar-SA"/>
              </w:rPr>
              <w:t xml:space="preserve">中国环境标志产品认证证书</w:t>
            </w:r>
            <w:bookmarkEnd w:id="195"/>
            <w:r>
              <w:rPr>
                <w:rFonts w:hint="eastAsia" w:ascii="宋体" w:hAnsi="宋体" w:eastAsia="宋体" w:cs="宋体"/>
                <w:sz w:val="21"/>
                <w:szCs w:val="21"/>
                <w:lang w:val="en-US" w:eastAsia="en-US" w:bidi="ar-SA"/>
              </w:rPr>
              <w:t xml:space="preserve">电子件的，认证单元每有一项与本项目采购产品相关的得1分，本项最高得2分。</w:t>
            </w:r>
            <w:r/>
          </w:p>
          <w:p>
            <w:pPr>
              <w:jc w:val="both"/>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注：投标文件提供上述证书电子件，未提供的不得分。</w:t>
            </w:r>
            <w:r/>
          </w:p>
        </w:tc>
      </w:tr>
      <w:tr>
        <w:trPr/>
        <w:tc>
          <w:tcPr>
            <w:tcBorders>
              <w:top w:val="single" w:color="auto" w:sz="4" w:space="0"/>
              <w:left w:val="single" w:color="auto" w:sz="6" w:space="0"/>
              <w:bottom w:val="single" w:color="auto" w:sz="4"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六、企业业绩</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10</w:t>
            </w:r>
            <w:r/>
          </w:p>
        </w:tc>
        <w:tc>
          <w:tcPr>
            <w:tcBorders>
              <w:top w:val="single" w:color="auto" w:sz="4" w:space="0"/>
              <w:left w:val="single" w:color="auto" w:sz="6" w:space="0"/>
              <w:bottom w:val="single" w:color="auto" w:sz="4" w:space="0"/>
              <w:right w:val="single" w:color="auto" w:sz="6"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投标人具有自2023年1月1日（以合同签订时间为准）以来,承担过与本项目类似家具业绩，每提供一个得</w:t>
            </w:r>
            <w:r>
              <w:rPr>
                <w:rFonts w:hint="eastAsia" w:ascii="宋体" w:hAnsi="宋体" w:eastAsia="宋体" w:cs="宋体"/>
                <w:sz w:val="21"/>
                <w:szCs w:val="21"/>
                <w:lang w:val="en-US" w:eastAsia="zh-CN" w:bidi="ar-SA"/>
              </w:rPr>
              <w:t xml:space="preserve">2.5</w:t>
            </w:r>
            <w:r>
              <w:rPr>
                <w:rFonts w:hint="eastAsia" w:ascii="宋体" w:hAnsi="宋体" w:eastAsia="宋体" w:cs="宋体"/>
                <w:sz w:val="21"/>
                <w:szCs w:val="21"/>
                <w:lang w:val="en-US" w:eastAsia="en-US" w:bidi="ar-SA"/>
              </w:rPr>
              <w:t xml:space="preserve">分，最多得10分。注：业绩需提供项目合同材料电子件，且业绩合同中主要内容、标的、金额、签订时间等清晰可见，否则该业绩不得分。</w:t>
            </w:r>
            <w:r/>
          </w:p>
        </w:tc>
      </w:tr>
      <w:tr>
        <w:trPr>
          <w:trHeight w:val="269"/>
        </w:trPr>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七、质量保证及进度安排方案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5</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投标人根据招标文件“第四</w:t>
            </w:r>
            <w:r>
              <w:rPr>
                <w:rFonts w:hint="eastAsia" w:ascii="宋体" w:hAnsi="宋体" w:eastAsia="宋体" w:cs="宋体"/>
                <w:sz w:val="21"/>
                <w:szCs w:val="21"/>
                <w:lang w:val="en-US" w:eastAsia="zh-CN" w:bidi="ar-SA"/>
              </w:rPr>
              <w:t xml:space="preserve">章</w:t>
            </w:r>
            <w:r>
              <w:rPr>
                <w:rFonts w:hint="eastAsia" w:ascii="宋体" w:hAnsi="宋体" w:eastAsia="宋体" w:cs="宋体"/>
                <w:sz w:val="21"/>
                <w:szCs w:val="21"/>
                <w:lang w:val="en-US" w:eastAsia="en-US" w:bidi="ar-SA"/>
              </w:rPr>
              <w:t xml:space="preserve">：五-商务要求，5.1质量保证及进度安排制定制定项目实施方案，优于采购需求的，得5分；满足采购需求的，得3分；</w:t>
            </w:r>
            <w:bookmarkStart w:id="196" w:name="OLE_LINK38"/>
            <w:r>
              <w:rPr>
                <w:rFonts w:hint="eastAsia" w:ascii="宋体" w:hAnsi="宋体" w:eastAsia="宋体" w:cs="宋体"/>
                <w:color w:val="000000"/>
                <w:sz w:val="21"/>
                <w:szCs w:val="21"/>
                <w:lang w:val="en-US" w:eastAsia="en-US" w:bidi="ar"/>
              </w:rPr>
              <w:t xml:space="preserve">不</w:t>
            </w:r>
            <w:r>
              <w:rPr>
                <w:rFonts w:ascii="宋体" w:hAnsi="宋体" w:eastAsia="宋体" w:cs="宋体"/>
                <w:color w:val="000000"/>
                <w:sz w:val="21"/>
                <w:szCs w:val="21"/>
                <w:lang w:val="en-US" w:eastAsia="en-US" w:bidi="ar"/>
              </w:rPr>
              <w:t xml:space="preserve">满足或未提供</w:t>
            </w:r>
            <w:bookmarkEnd w:id="196"/>
            <w:r>
              <w:rPr>
                <w:rFonts w:ascii="宋体" w:hAnsi="宋体" w:eastAsia="宋体" w:cs="宋体"/>
                <w:color w:val="000000"/>
                <w:sz w:val="21"/>
                <w:szCs w:val="21"/>
                <w:lang w:val="en-US" w:eastAsia="en-US" w:bidi="ar"/>
              </w:rPr>
              <w:t xml:space="preserve">的不得分。</w:t>
            </w:r>
            <w:r/>
          </w:p>
        </w:tc>
      </w:tr>
      <w:tr>
        <w:trPr>
          <w:trHeight w:val="269"/>
        </w:trPr>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八、现场管理及突发事件处置方案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5</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投标人根据招标文件“第四</w:t>
            </w:r>
            <w:r>
              <w:rPr>
                <w:rFonts w:hint="eastAsia" w:ascii="宋体" w:hAnsi="宋体" w:eastAsia="宋体" w:cs="宋体"/>
                <w:sz w:val="21"/>
                <w:szCs w:val="21"/>
                <w:lang w:val="en-US" w:eastAsia="zh-CN" w:bidi="ar-SA"/>
              </w:rPr>
              <w:t xml:space="preserve">章</w:t>
            </w:r>
            <w:r>
              <w:rPr>
                <w:rFonts w:hint="eastAsia" w:ascii="宋体" w:hAnsi="宋体" w:eastAsia="宋体" w:cs="宋体"/>
                <w:sz w:val="21"/>
                <w:szCs w:val="21"/>
                <w:lang w:val="en-US" w:eastAsia="en-US" w:bidi="ar-SA"/>
              </w:rPr>
              <w:t xml:space="preserve">：五-商务要求，5.2现场管理及突发事件处置方案，优于采购需求的，得5分；满足采购需求的，得3分；</w:t>
            </w:r>
            <w:r>
              <w:rPr>
                <w:rFonts w:hint="eastAsia" w:ascii="宋体" w:hAnsi="宋体" w:eastAsia="宋体" w:cs="宋体"/>
                <w:color w:val="000000"/>
                <w:sz w:val="21"/>
                <w:szCs w:val="21"/>
                <w:lang w:val="en-US" w:eastAsia="en-US" w:bidi="ar"/>
              </w:rPr>
              <w:t xml:space="preserve">不满足或未提供</w:t>
            </w:r>
            <w:r>
              <w:rPr>
                <w:rFonts w:ascii="宋体" w:hAnsi="宋体" w:eastAsia="宋体" w:cs="宋体"/>
                <w:color w:val="000000"/>
                <w:sz w:val="21"/>
                <w:szCs w:val="21"/>
                <w:lang w:val="en-US" w:eastAsia="en-US" w:bidi="ar"/>
              </w:rPr>
              <w:t xml:space="preserve">的不得分。</w:t>
            </w:r>
            <w:r/>
          </w:p>
        </w:tc>
      </w:tr>
      <w:tr>
        <w:trPr>
          <w:trHeight w:val="269"/>
        </w:trPr>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九、配送及安装方案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bCs/>
                <w:color w:val="000000"/>
                <w:sz w:val="24"/>
                <w:szCs w:val="24"/>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投标人根据招标文件“第四部分：五-商务要求，5.3配送及安装方案，优于采购需求的，得</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分；满足采购需求的，得</w:t>
            </w: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eastAsia="en-US" w:bidi="ar-SA"/>
              </w:rPr>
              <w:t xml:space="preserve">分；</w:t>
            </w:r>
            <w:r>
              <w:rPr>
                <w:rFonts w:hint="eastAsia" w:ascii="宋体" w:hAnsi="宋体" w:eastAsia="宋体" w:cs="宋体"/>
                <w:color w:val="000000"/>
                <w:sz w:val="21"/>
                <w:szCs w:val="21"/>
                <w:lang w:val="en-US" w:eastAsia="en-US" w:bidi="ar"/>
              </w:rPr>
              <w:t xml:space="preserve">不满足或未提供</w:t>
            </w:r>
            <w:r>
              <w:rPr>
                <w:rFonts w:ascii="宋体" w:hAnsi="宋体" w:eastAsia="宋体" w:cs="宋体"/>
                <w:color w:val="000000"/>
                <w:sz w:val="21"/>
                <w:szCs w:val="21"/>
                <w:lang w:val="en-US" w:eastAsia="en-US" w:bidi="ar"/>
              </w:rPr>
              <w:t xml:space="preserve">的不得分。</w:t>
            </w:r>
            <w:r/>
          </w:p>
        </w:tc>
      </w:tr>
      <w:tr>
        <w:trPr>
          <w:trHeight w:val="957"/>
        </w:trPr>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十、售后服务方案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投标人根据招标文件“第四</w:t>
            </w:r>
            <w:r>
              <w:rPr>
                <w:rFonts w:hint="eastAsia" w:ascii="宋体" w:hAnsi="宋体" w:eastAsia="宋体" w:cs="宋体"/>
                <w:sz w:val="21"/>
                <w:szCs w:val="21"/>
                <w:lang w:val="en-US" w:eastAsia="zh-CN" w:bidi="ar-SA"/>
              </w:rPr>
              <w:t xml:space="preserve">章</w:t>
            </w:r>
            <w:r>
              <w:rPr>
                <w:rFonts w:hint="eastAsia" w:ascii="宋体" w:hAnsi="宋体" w:eastAsia="宋体" w:cs="宋体"/>
                <w:sz w:val="21"/>
                <w:szCs w:val="21"/>
                <w:lang w:val="en-US" w:eastAsia="en-US" w:bidi="ar-SA"/>
              </w:rPr>
              <w:t xml:space="preserve">：五-商务要求5.4售后服务要求”制定售后服务方案 ，评标委员会根据投标人提供的售后服务方案进行打分，优于采购需求的，得</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分；满足采购需求的，得</w:t>
            </w: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eastAsia="en-US" w:bidi="ar-SA"/>
              </w:rPr>
              <w:t xml:space="preserve">分；</w:t>
            </w:r>
            <w:r>
              <w:rPr>
                <w:rFonts w:hint="eastAsia" w:ascii="宋体" w:hAnsi="宋体" w:eastAsia="宋体" w:cs="宋体"/>
                <w:color w:val="000000"/>
                <w:sz w:val="21"/>
                <w:szCs w:val="21"/>
                <w:lang w:val="en-US" w:eastAsia="en-US" w:bidi="ar"/>
              </w:rPr>
              <w:t xml:space="preserve">不满足或未提供</w:t>
            </w:r>
            <w:r>
              <w:rPr>
                <w:rFonts w:ascii="宋体" w:hAnsi="宋体" w:eastAsia="宋体" w:cs="宋体"/>
                <w:color w:val="000000"/>
                <w:sz w:val="21"/>
                <w:szCs w:val="21"/>
                <w:lang w:val="en-US" w:eastAsia="en-US" w:bidi="ar"/>
              </w:rPr>
              <w:t xml:space="preserve">的不得分。</w:t>
            </w:r>
            <w:r/>
          </w:p>
        </w:tc>
      </w:tr>
    </w:tbl>
    <w:p>
      <w:pPr>
        <w:ind w:firstLine="482"/>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（三）评标结果。</w:t>
      </w:r>
      <w:r>
        <w:rPr>
          <w:rFonts w:hint="eastAsia" w:ascii="宋体" w:hAnsi="宋体" w:eastAsia="宋体" w:cs="宋体"/>
          <w:color w:val="auto"/>
          <w:sz w:val="24"/>
          <w:highlight w:val="none"/>
        </w:rPr>
        <w:t xml:space="preserve">评标委员会按照本办法规定推荐中标候选人，并形成评标报告。</w:t>
      </w:r>
      <w:r/>
    </w:p>
    <w:p>
      <w:pPr>
        <w:ind w:firstLine="482"/>
        <w:keepLines w:val="0"/>
        <w:keepNext w:val="0"/>
        <w:pageBreakBefore w:val="0"/>
        <w:spacing w:line="400" w:lineRule="exact"/>
        <w:shd w:val="clear" w:color="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（四）政府采购政策功能落实</w:t>
      </w:r>
      <w:r/>
    </w:p>
    <w:p>
      <w:pPr>
        <w:ind w:firstLine="482"/>
        <w:keepLines w:val="0"/>
        <w:keepNext w:val="0"/>
        <w:pageBreakBefore w:val="0"/>
        <w:spacing w:line="400" w:lineRule="exact"/>
        <w:shd w:val="clear" w:color="auto"/>
        <w:widowControl/>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本项目落实的政府采购政策对应以下序号为</w:t>
      </w:r>
      <w:r>
        <w:rPr>
          <w:rFonts w:hint="eastAsia" w:ascii="宋体" w:hAnsi="宋体" w:eastAsia="宋体" w:cs="宋体"/>
          <w:b/>
          <w:bCs/>
          <w:color w:val="auto"/>
          <w:sz w:val="24"/>
          <w:highlight w:val="none"/>
          <w:u w:val="single"/>
        </w:rPr>
        <w:t xml:space="preserve"> 1</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lang w:val="en-US" w:eastAsia="zh-CN"/>
        </w:rPr>
        <w:t xml:space="preserve">2（1）、3（3）、4</w:t>
      </w:r>
      <w:r>
        <w:rPr>
          <w:rFonts w:hint="eastAsia" w:ascii="宋体" w:hAnsi="宋体" w:eastAsia="宋体" w:cs="宋体"/>
          <w:b/>
          <w:bCs/>
          <w:color w:val="auto"/>
          <w:sz w:val="24"/>
          <w:highlight w:val="none"/>
          <w:u w:val="single"/>
        </w:rPr>
        <w:t xml:space="preserve">  </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1.采购本国货物、工程和服务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2.中小企业政策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本项目按以下第</w:t>
      </w:r>
      <w:r>
        <w:rPr>
          <w:rFonts w:hint="eastAsia" w:ascii="宋体" w:hAnsi="宋体" w:eastAsia="宋体" w:cs="宋体"/>
          <w:b/>
          <w:bCs/>
          <w:color w:val="auto"/>
          <w:sz w:val="24"/>
          <w:highlight w:val="none"/>
          <w:u w:val="single"/>
        </w:rPr>
        <w:t xml:space="preserve"> </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val="0"/>
          <w:bCs w:val="0"/>
          <w:color w:val="auto"/>
          <w:sz w:val="24"/>
          <w:highlight w:val="none"/>
          <w:u w:val="single"/>
          <w:lang w:val="en-US" w:eastAsia="zh-CN"/>
        </w:rPr>
        <w:t xml:space="preserve">1</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rPr>
        <w:t xml:space="preserve">种政策确定本项目落实的中小企业政策：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（1）本项目专门面向中小企业（含监狱企业、残疾人福利企业）采购。</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（2）投标人提供的货物符合下列情形的，对小微企业报价给予</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的扣除，用扣除后的价格参加评审。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z w:val="24"/>
          <w:highlight w:val="none"/>
          <w:lang w:eastAsia="zh-CN"/>
        </w:rPr>
        <w:t xml:space="preserve">（在</w:t>
      </w:r>
      <w:r>
        <w:rPr>
          <w:rFonts w:hint="eastAsia" w:ascii="宋体" w:hAnsi="宋体" w:eastAsia="宋体" w:cs="宋体"/>
          <w:color w:val="auto"/>
          <w:sz w:val="24"/>
          <w:highlight w:val="none"/>
        </w:rPr>
        <w:t xml:space="preserve">投标文件中上传加盖出具单位公章的电子件）。</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允许大中型企业向一家或者多家小微企业分包的采购项目，对于分包意向协议约定小微企业的合同份额占到合同总金额40%以上的，对大中型企业的报价给予5%的扣除，用扣除后的价格参加评审。（是否接受联合体以“项目基本情况”相关内容为准，是否允许大中型企业向一家或者多家小微企业分包以“投标人须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采购需求”相关内容为准。）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政府采购节能产品、环境标志产品</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根据《财政部发展改革委生态环境部市场监管总局关于调整优化节能产品、环境标志产品政府采购执行机制的通知》（财库〔2019〕9号）、《关于印发节能产品政府采购品目清单的通知》（财库〔2019〕19号）文件规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招标人拟采购的产品属于政府强制采购的节能产品品目清单范围的，投标人须提供国家确定的认证机构出具的、处于有效期之内的节能产品认证证书的，否则无效标处理。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（3）招标人拟采购的产品属于优先采购的节能环保品目清单范围的，按以下条件优先采购：</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采用综合评分法的项目，对提供有效节能环保证书的投标人加分。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采用最低评标价法的项目，同等条件下优先推荐提供有效节能环保证书多的投标人为中标人。</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采购本国产品的支持政策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ff0000"/>
          <w:sz w:val="24"/>
          <w:highlight w:val="none"/>
        </w:rPr>
        <w:t xml:space="preserve">供应商需在“第六章 投标文件格式”的“</w:t>
      </w:r>
      <w:r>
        <w:rPr>
          <w:rFonts w:hint="eastAsia" w:ascii="宋体" w:hAnsi="宋体" w:eastAsia="宋体" w:cs="宋体"/>
          <w:b/>
          <w:bCs/>
          <w:color w:val="ff0000"/>
          <w:sz w:val="24"/>
          <w:highlight w:val="none"/>
        </w:rPr>
        <w:t xml:space="preserve">六、</w:t>
      </w:r>
      <w:r>
        <w:rPr>
          <w:rFonts w:hint="eastAsia" w:ascii="宋体" w:hAnsi="宋体" w:eastAsia="宋体" w:cs="宋体"/>
          <w:b/>
          <w:bCs/>
          <w:color w:val="ff0000"/>
          <w:sz w:val="24"/>
          <w:highlight w:val="none"/>
          <w:lang w:eastAsia="zh-CN"/>
        </w:rPr>
        <w:t xml:space="preserve">投标明细报价表</w:t>
      </w:r>
      <w:r>
        <w:rPr>
          <w:rFonts w:hint="eastAsia" w:ascii="宋体" w:hAnsi="宋体" w:eastAsia="宋体" w:cs="宋体"/>
          <w:color w:val="ff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（3）供应商需按照招标文件的要求提供《关于符合本国产品标准的声明函》（以下简称《声明函》），如不提供将不享受本国产品价格评审优惠。</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ff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78"/>
        <w:jc w:val="center"/>
        <w:shd w:val="clear" w:color="auto"/>
        <w:rPr>
          <w:rFonts w:hint="eastAsia" w:ascii="宋体" w:hAnsi="宋体" w:eastAsia="宋体" w:cs="宋体"/>
          <w:b/>
          <w:bCs w:val="0"/>
          <w:color w:val="auto"/>
          <w:sz w:val="44"/>
          <w:highlight w:val="none"/>
        </w:rPr>
      </w:pPr>
      <w:r/>
      <w:bookmarkStart w:id="197" w:name="_Toc20454"/>
      <w:r>
        <w:rPr>
          <w:rFonts w:hint="eastAsia" w:ascii="宋体" w:hAnsi="宋体" w:eastAsia="宋体" w:cs="宋体"/>
          <w:b/>
          <w:bCs w:val="0"/>
          <w:color w:val="auto"/>
          <w:sz w:val="44"/>
          <w:highlight w:val="none"/>
        </w:rPr>
        <w:t xml:space="preserve">第六章  投标文件格式</w:t>
      </w:r>
      <w:bookmarkEnd w:id="197"/>
      <w:r/>
      <w:r/>
    </w:p>
    <w:p>
      <w:pPr>
        <w:jc w:val="center"/>
        <w:shd w:val="clear" w:color="auto"/>
        <w:rPr>
          <w:rFonts w:hint="eastAsia" w:ascii="宋体" w:hAnsi="宋体" w:eastAsia="宋体" w:cs="宋体"/>
          <w:b/>
          <w:color w:val="auto"/>
          <w:sz w:val="72"/>
          <w:highlight w:val="none"/>
        </w:rPr>
      </w:pPr>
      <w:r/>
      <w:bookmarkStart w:id="198" w:name="_Hlt26671244"/>
      <w:r/>
      <w:bookmarkEnd w:id="198"/>
      <w:r/>
      <w:bookmarkStart w:id="199" w:name="_Hlt26955039"/>
      <w:r/>
      <w:bookmarkEnd w:id="199"/>
      <w:r/>
      <w:bookmarkStart w:id="200" w:name="_Toc120614282"/>
      <w:r/>
      <w:bookmarkStart w:id="201" w:name="_Toc26554094"/>
      <w:r/>
      <w:bookmarkStart w:id="202" w:name="_Toc49090576"/>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（加盖CA电子公章）</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084"/>
        <w:shd w:val="clear" w:color="auto"/>
        <w:rPr>
          <w:rFonts w:hint="eastAsia" w:ascii="宋体" w:hAnsi="宋体" w:eastAsia="宋体" w:cs="宋体"/>
          <w:b/>
          <w:bCs/>
          <w:color w:val="auto"/>
          <w:sz w:val="32"/>
          <w:szCs w:val="32"/>
          <w:highlight w:val="none"/>
        </w:rPr>
      </w:pPr>
      <w:r>
        <w:rPr>
          <w:rFonts w:hint="eastAsia" w:ascii="宋体" w:hAnsi="宋体" w:eastAsia="宋体" w:cs="宋体"/>
          <w:b/>
          <w:color w:val="auto"/>
          <w:sz w:val="36"/>
          <w:highlight w:val="none"/>
          <w:u w:val="single"/>
        </w:rPr>
        <w:br w:type="page" w:clear="all"/>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一、投标声明及承诺函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二、投标人基本情况</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三、满足特定资格要求的证明文件（如果设置特定资格要求，则需要提供）</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四、法定代表人身份证明或授权委托书</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五、开标一览表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六、投标报价明细表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七、中小（微）企业声明函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八、技术要求响应及偏离表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九、项目组成员</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十、企业业绩</w:t>
      </w:r>
      <w:r/>
    </w:p>
    <w:p>
      <w:pPr>
        <w:ind w:firstLine="560"/>
        <w:spacing w:line="600" w:lineRule="exact"/>
        <w:shd w:val="clear" w:color="auto"/>
        <w:rPr>
          <w:rFonts w:hint="eastAsia" w:ascii="宋体" w:hAnsi="宋体" w:eastAsia="宋体" w:cs="宋体"/>
          <w:color w:val="ff0000"/>
          <w:sz w:val="28"/>
          <w:szCs w:val="28"/>
          <w:highlight w:val="none"/>
        </w:rPr>
      </w:pPr>
      <w:r>
        <w:rPr>
          <w:rFonts w:hint="eastAsia" w:ascii="宋体" w:hAnsi="宋体" w:eastAsia="宋体" w:cs="宋体"/>
          <w:color w:val="ff0000"/>
          <w:sz w:val="28"/>
          <w:szCs w:val="28"/>
          <w:highlight w:val="none"/>
        </w:rPr>
        <w:t xml:space="preserve">十一、关于符合本国产品标准的声明函</w:t>
      </w:r>
      <w:r/>
    </w:p>
    <w:p>
      <w:pPr>
        <w:ind w:firstLine="480"/>
        <w:spacing w:line="440" w:lineRule="exact"/>
        <w:shd w:val="clear" w:color="auto"/>
        <w:rPr>
          <w:rFonts w:hint="eastAsia" w:ascii="宋体" w:hAnsi="宋体" w:eastAsia="宋体" w:cs="宋体"/>
          <w:b/>
          <w:bCs/>
          <w:color w:val="auto"/>
          <w:sz w:val="24"/>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rPr>
        <w:t xml:space="preserve">、投标所需其他材料</w:t>
      </w:r>
      <w:r/>
    </w:p>
    <w:p>
      <w:pPr>
        <w:pStyle w:val="968"/>
        <w:shd w:val="clear" w:color="auto"/>
        <w:rPr>
          <w:rFonts w:hint="eastAsia" w:ascii="宋体" w:hAnsi="宋体" w:eastAsia="宋体" w:cs="宋体"/>
          <w:b/>
          <w:color w:val="auto"/>
          <w:sz w:val="32"/>
          <w:szCs w:val="32"/>
          <w:highlight w:val="none"/>
        </w:rPr>
        <w:outlineLvl w:val="1"/>
      </w:pPr>
      <w:r/>
      <w:bookmarkStart w:id="203" w:name="_Toc23838"/>
      <w:r>
        <w:rPr>
          <w:rFonts w:hint="eastAsia" w:ascii="宋体" w:hAnsi="宋体" w:eastAsia="宋体" w:cs="宋体"/>
          <w:color w:val="auto"/>
          <w:highlight w:val="none"/>
        </w:rPr>
        <w:br w:type="page" w:clear="all"/>
      </w:r>
      <w:bookmarkEnd w:id="203"/>
      <w:r>
        <w:rPr>
          <w:rFonts w:hint="eastAsia" w:ascii="宋体" w:hAnsi="宋体" w:eastAsia="宋体" w:cs="宋体"/>
          <w:b/>
          <w:color w:val="auto"/>
          <w:sz w:val="32"/>
          <w:szCs w:val="32"/>
          <w:highlight w:val="none"/>
        </w:rPr>
        <w:t xml:space="preserve">一、</w:t>
      </w:r>
      <w:bookmarkEnd w:id="200"/>
      <w:r/>
      <w:bookmarkEnd w:id="201"/>
      <w:r/>
      <w:bookmarkEnd w:id="202"/>
      <w:r>
        <w:rPr>
          <w:rFonts w:hint="eastAsia" w:ascii="宋体" w:hAnsi="宋体" w:eastAsia="宋体" w:cs="宋体"/>
          <w:b/>
          <w:color w:val="auto"/>
          <w:sz w:val="32"/>
          <w:szCs w:val="32"/>
          <w:highlight w:val="none"/>
        </w:rPr>
        <w:t xml:space="preserve">投标声明及承诺函</w:t>
      </w:r>
      <w:r/>
    </w:p>
    <w:p>
      <w:pPr>
        <w:pStyle w:val="969"/>
        <w:jc w:val="left"/>
        <w:spacing w:line="50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（采购单位名称）：</w:t>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项目的招标文件，我方在参加本项目招投标活动中，特</w:t>
      </w:r>
      <w:r>
        <w:rPr>
          <w:rFonts w:hint="eastAsia" w:ascii="宋体" w:hAnsi="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如下承诺：</w:t>
      </w:r>
      <w:r/>
    </w:p>
    <w:p>
      <w:pPr>
        <w:pStyle w:val="969"/>
        <w:ind w:firstLine="480"/>
        <w:jc w:val="left"/>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三、我方按招标文件要求提交投标文件，响应招标文件规定的投标有效期；</w:t>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四、如果我方的投标文件被接受，我方将</w:t>
      </w:r>
      <w:r>
        <w:rPr>
          <w:rFonts w:hint="eastAsia" w:ascii="宋体" w:hAnsi="宋体" w:cs="宋体"/>
          <w:color w:val="auto"/>
          <w:sz w:val="24"/>
          <w:szCs w:val="24"/>
          <w:highlight w:val="none"/>
          <w:lang w:eastAsia="zh-CN"/>
        </w:rPr>
        <w:t xml:space="preserve">按照《中华人民共和国</w:t>
      </w:r>
      <w:r>
        <w:rPr>
          <w:rFonts w:hint="eastAsia" w:ascii="宋体" w:hAnsi="宋体" w:eastAsia="宋体" w:cs="宋体"/>
          <w:color w:val="auto"/>
          <w:sz w:val="24"/>
          <w:szCs w:val="24"/>
          <w:highlight w:val="none"/>
        </w:rPr>
        <w:t xml:space="preserve">民法典（第三编合同）》及其他有关</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的规定，按期、按质、按量交付采购单位，全面做到履约守信；</w:t>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五、我方若违背本声明及承诺约定，经查实，自愿接受招标人及相关主管部门相应的规定处理，并依法承担相应的法律责任。</w:t>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六、我方同意招标人、采购代理机构将本声明及承诺函上网公开。</w:t>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9"/>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pStyle w:val="969"/>
        <w:ind w:firstLine="480"/>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年    月   日</w:t>
      </w:r>
      <w:r/>
    </w:p>
    <w:p>
      <w:pPr>
        <w:pStyle w:val="968"/>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二、投标人基本情况</w:t>
      </w:r>
      <w:r/>
    </w:p>
    <w:p>
      <w:pPr>
        <w:pStyle w:val="970"/>
        <w:jc w:val="center"/>
        <w:shd w:val="clear" w:color="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投标人基本情况表</w:t>
      </w:r>
      <w:r/>
    </w:p>
    <w:tbl>
      <w:tblPr>
        <w:tblStyle w:val="7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gridSpan w:val="3"/>
            <w:tcW w:w="699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投标人类别</w:t>
            </w:r>
            <w:r/>
          </w:p>
        </w:tc>
        <w:tc>
          <w:tcPr>
            <w:gridSpan w:val="3"/>
            <w:tcW w:w="699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76"/>
        </w:trPr>
        <w:tc>
          <w:tcPr>
            <w:tcW w:w="1526" w:type="dxa"/>
            <w:vAlign w:val="center"/>
            <w:textDirection w:val="lrTb"/>
            <w:noWrap w:val="false"/>
          </w:tcPr>
          <w:p>
            <w:pPr>
              <w:pStyle w:val="970"/>
              <w:jc w:val="center"/>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textDirection w:val="lrTb"/>
            <w:noWrap w:val="false"/>
          </w:tcPr>
          <w:p>
            <w:pPr>
              <w:pStyle w:val="970"/>
              <w:ind w:firstLine="1432"/>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34"/>
        </w:trPr>
        <w:tc>
          <w:tcPr>
            <w:tcW w:w="1526" w:type="dxa"/>
            <w:vAlign w:val="center"/>
            <w:textDirection w:val="lrTb"/>
            <w:noWrap w:val="false"/>
          </w:tcPr>
          <w:p>
            <w:pPr>
              <w:pStyle w:val="970"/>
              <w:jc w:val="center"/>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970"/>
              <w:jc w:val="center"/>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提供营业执照等证明材料</w:t>
            </w:r>
            <w:r/>
          </w:p>
        </w:tc>
      </w:tr>
    </w:tbl>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9"/>
        <w:shd w:val="clear" w:color="auto"/>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shd w:val="clear" w:color="auto"/>
        <w:rPr>
          <w:rFonts w:hint="eastAsia" w:ascii="宋体" w:hAnsi="宋体" w:eastAsia="宋体" w:cs="宋体"/>
          <w:i/>
          <w:color w:val="auto"/>
          <w:sz w:val="32"/>
          <w:szCs w:val="32"/>
          <w:highlight w:val="none"/>
          <w:u w:val="singl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三、满足特定资格要求的证明文件（如果设置特定资格要求，则需要提供。</w:t>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如果本项目申请人的特定资格要求中要求提供的，必须提供。</w:t>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四、法定代表人身份证明或授权委托书</w:t>
      </w:r>
      <w:r/>
    </w:p>
    <w:p>
      <w:pPr>
        <w:pStyle w:val="971"/>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cs="宋体"/>
          <w:b/>
          <w:bCs/>
          <w:color w:val="000000"/>
          <w:sz w:val="28"/>
          <w:szCs w:val="28"/>
          <w:highlight w:val="none"/>
        </w:rPr>
      </w:pPr>
      <w:r>
        <w:rPr>
          <w:rFonts w:hint="eastAsia" w:cs="宋体"/>
          <w:b/>
          <w:bCs/>
          <w:color w:val="000000"/>
          <w:sz w:val="28"/>
          <w:szCs w:val="28"/>
          <w:highlight w:val="none"/>
          <w:lang w:eastAsia="zh-CN"/>
        </w:rPr>
        <w:t xml:space="preserve">1.</w:t>
      </w:r>
      <w:r>
        <w:rPr>
          <w:rFonts w:hint="eastAsia" w:cs="宋体"/>
          <w:b/>
          <w:bCs/>
          <w:color w:val="000000"/>
          <w:sz w:val="28"/>
          <w:szCs w:val="28"/>
          <w:highlight w:val="none"/>
        </w:rPr>
        <w:t xml:space="preserve">法定代表人身份证明</w:t>
      </w:r>
      <w:r/>
    </w:p>
    <w:p>
      <w:pPr>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人名称：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单位性质：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成立时间：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日</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经营期限：</w:t>
      </w:r>
      <w:r>
        <w:rPr>
          <w:rFonts w:hint="eastAsia" w:ascii="宋体" w:hAnsi="宋体" w:cs="宋体"/>
          <w:color w:val="000000"/>
          <w:sz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性别：</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职务：</w:t>
      </w:r>
      <w:r>
        <w:rPr>
          <w:rFonts w:hint="eastAsia" w:ascii="宋体" w:hAnsi="宋体" w:cs="宋体"/>
          <w:color w:val="000000"/>
          <w:sz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人名称）的法定代表人。</w:t>
      </w:r>
      <w:r/>
    </w:p>
    <w:p>
      <w:pPr>
        <w:ind w:firstLine="480"/>
        <w:spacing w:line="56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lang w:val="en-US" w:eastAsia="zh-CN"/>
        </w:rPr>
        <w:t xml:space="preserve">法人</w:t>
      </w:r>
      <w:r>
        <w:rPr>
          <w:rFonts w:hint="eastAsia" w:ascii="Times New Roman" w:hAnsi="Times New Roman"/>
          <w:color w:val="000000"/>
          <w:sz w:val="24"/>
          <w:szCs w:val="24"/>
          <w:highlight w:val="none"/>
        </w:rPr>
        <w:t xml:space="preserve">联系电话：（手机）</w:t>
      </w:r>
      <w:r>
        <w:rPr>
          <w:rFonts w:hint="eastAsia" w:ascii="Times New Roman" w:hAnsi="Times New Roman"/>
          <w:color w:val="000000"/>
          <w:sz w:val="24"/>
          <w:szCs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特此证明。</w:t>
      </w:r>
      <w:r/>
    </w:p>
    <w:p>
      <w:pPr>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（法定代表人出席</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的提供，未出席的可不提供。</w:t>
      </w:r>
      <w:r>
        <w:rPr>
          <w:rFonts w:hint="eastAsia" w:ascii="宋体" w:hAnsi="宋体" w:cs="宋体"/>
          <w:b/>
          <w:color w:val="000000"/>
          <w:sz w:val="24"/>
          <w:highlight w:val="none"/>
        </w:rPr>
        <w:t xml:space="preserve">附法定代表人居民身份证</w:t>
      </w:r>
      <w:r>
        <w:rPr>
          <w:rFonts w:hint="eastAsia" w:ascii="宋体" w:hAnsi="宋体" w:cs="宋体"/>
          <w:color w:val="000000"/>
          <w:sz w:val="24"/>
          <w:highlight w:val="none"/>
        </w:rPr>
        <w:t xml:space="preserve">。）</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cs="宋体"/>
          <w:color w:val="000000"/>
          <w:sz w:val="24"/>
          <w:szCs w:val="24"/>
          <w:highlight w:val="none"/>
        </w:rPr>
      </w:pPr>
      <w:r>
        <w:rPr>
          <w:rFonts w:hint="eastAsia" w:cs="宋体"/>
          <w:color w:val="000000"/>
          <w:sz w:val="24"/>
          <w:szCs w:val="24"/>
          <w:highlight w:val="none"/>
        </w:rPr>
      </w:r>
      <w:r/>
    </w:p>
    <w:p>
      <w:pPr>
        <w:spacing w:line="360" w:lineRule="auto"/>
        <w:rPr>
          <w:rFonts w:hint="eastAsia" w:cs="宋体"/>
          <w:color w:val="000000"/>
          <w:sz w:val="24"/>
          <w:szCs w:val="24"/>
          <w:highlight w:val="none"/>
        </w:rPr>
      </w:pPr>
      <w:r>
        <w:rPr>
          <w:rFonts w:hint="eastAsia" w:cs="宋体"/>
          <w:color w:val="000000"/>
          <w:sz w:val="24"/>
          <w:szCs w:val="24"/>
          <w:highlight w:val="none"/>
        </w:rPr>
        <w:t xml:space="preserve">    法定代表人（签字或盖章）：</w:t>
      </w:r>
      <w:r>
        <w:rPr>
          <w:rFonts w:hint="eastAsia" w:ascii="宋体" w:hAnsi="宋体" w:eastAsia="宋体" w:cs="宋体"/>
          <w:color w:val="auto"/>
          <w:sz w:val="24"/>
          <w:szCs w:val="24"/>
          <w:highlight w:val="none"/>
          <w:u w:val="single"/>
        </w:rPr>
        <w:t xml:space="preserve">                            </w:t>
      </w:r>
      <w:r/>
    </w:p>
    <w:p>
      <w:pPr>
        <w:ind w:firstLine="480"/>
        <w:jc w:val="both"/>
        <w:spacing w:line="360" w:lineRule="auto"/>
        <w:rPr>
          <w:rFonts w:hint="eastAsia" w:cs="宋体"/>
          <w:color w:val="000000"/>
          <w:sz w:val="24"/>
          <w:szCs w:val="24"/>
          <w:highlight w:val="none"/>
        </w:rPr>
      </w:pPr>
      <w:r>
        <w:rPr>
          <w:rFonts w:hint="eastAsia" w:cs="宋体"/>
          <w:color w:val="000000"/>
          <w:sz w:val="24"/>
          <w:szCs w:val="24"/>
          <w:highlight w:val="none"/>
        </w:rPr>
      </w:r>
      <w:r/>
    </w:p>
    <w:p>
      <w:pPr>
        <w:ind w:firstLine="480"/>
        <w:jc w:val="both"/>
        <w:spacing w:line="360" w:lineRule="auto"/>
        <w:rPr>
          <w:rFonts w:hint="eastAsia" w:cs="宋体"/>
          <w:color w:val="000000"/>
          <w:sz w:val="24"/>
          <w:szCs w:val="24"/>
          <w:highlight w:val="none"/>
        </w:rPr>
      </w:pPr>
      <w:r>
        <w:rPr>
          <w:rFonts w:hint="eastAsia" w:cs="宋体"/>
          <w:color w:val="000000"/>
          <w:sz w:val="24"/>
          <w:szCs w:val="24"/>
          <w:highlight w:val="none"/>
        </w:rPr>
        <w:t xml:space="preserve">年   月    日   </w:t>
      </w:r>
      <w:r/>
    </w:p>
    <w:p>
      <w:pPr>
        <w:spacing w:line="360" w:lineRule="auto"/>
        <w:rPr>
          <w:rFonts w:hint="eastAsia" w:cs="宋体"/>
          <w:color w:val="000000"/>
          <w:sz w:val="24"/>
          <w:szCs w:val="24"/>
          <w:highlight w:val="none"/>
        </w:rPr>
      </w:pPr>
      <w:r>
        <w:rPr>
          <w:rFonts w:hint="eastAsia" w:cs="宋体"/>
          <w:color w:val="000000"/>
          <w:sz w:val="24"/>
          <w:szCs w:val="24"/>
          <w:highlight w:val="none"/>
        </w:rPr>
      </w:r>
      <w:r/>
    </w:p>
    <w:p>
      <w:pPr>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ascii="宋体" w:hAnsi="宋体" w:eastAsia="宋体" w:cs="宋体"/>
          <w:color w:val="auto"/>
          <w:sz w:val="24"/>
          <w:szCs w:val="24"/>
          <w:highlight w:val="none"/>
        </w:rPr>
        <w:t xml:space="preserve">投标人名称</w:t>
      </w:r>
      <w:r>
        <w:rPr>
          <w:rFonts w:hint="eastAsia" w:cs="宋体"/>
          <w:color w:val="000000"/>
          <w:sz w:val="24"/>
          <w:szCs w:val="24"/>
          <w:highlight w:val="none"/>
        </w:rPr>
        <w:t xml:space="preserve">：</w:t>
      </w:r>
      <w:r>
        <w:rPr>
          <w:rFonts w:hint="eastAsia" w:ascii="Times New Roman" w:hAnsi="Times New Roman"/>
          <w:color w:val="000000"/>
          <w:sz w:val="24"/>
          <w:szCs w:val="24"/>
          <w:highlight w:val="none"/>
        </w:rPr>
        <w:t xml:space="preserve">（加盖CA电子公章）</w:t>
      </w:r>
      <w:r>
        <w:rPr>
          <w:rFonts w:hint="eastAsia" w:cs="宋体"/>
          <w:color w:val="000000"/>
          <w:sz w:val="24"/>
          <w:szCs w:val="24"/>
          <w:highlight w:val="none"/>
        </w:rPr>
        <w:t xml:space="preserve">                                      </w:t>
      </w:r>
      <w:r/>
    </w:p>
    <w:p>
      <w:pPr>
        <w:jc w:val="right"/>
        <w:spacing w:line="360" w:lineRule="auto"/>
        <w:rPr>
          <w:rFonts w:hint="eastAsia" w:ascii="宋体" w:hAnsi="宋体" w:cs="宋体"/>
          <w:color w:val="000000"/>
          <w:sz w:val="24"/>
          <w:szCs w:val="24"/>
          <w:highlight w:val="none"/>
        </w:rPr>
      </w:pPr>
      <w:r>
        <w:rPr>
          <w:rFonts w:hint="eastAsia" w:cs="宋体"/>
          <w:color w:val="000000"/>
          <w:sz w:val="24"/>
          <w:szCs w:val="24"/>
          <w:highlight w:val="none"/>
        </w:rPr>
        <w:t xml:space="preserve">年   月    日 </w:t>
      </w:r>
      <w:r/>
    </w:p>
    <w:p>
      <w:pPr>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22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spacing w:line="360" w:lineRule="auto"/>
        <w:rPr>
          <w:rFonts w:hint="default" w:cs="宋体" w:eastAsiaTheme="minorEastAsia"/>
          <w:b/>
          <w:bCs/>
          <w:color w:val="000000"/>
          <w:sz w:val="28"/>
          <w:szCs w:val="28"/>
          <w:highlight w:val="none"/>
          <w:lang w:val="en-US" w:eastAsia="zh-CN"/>
        </w:rPr>
      </w:pPr>
      <w:r>
        <w:rPr>
          <w:rFonts w:hint="eastAsia" w:cs="宋体"/>
          <w:b/>
          <w:bCs/>
          <w:color w:val="000000"/>
          <w:sz w:val="28"/>
          <w:szCs w:val="28"/>
          <w:highlight w:val="none"/>
          <w:lang w:val="en-US" w:eastAsia="zh-CN"/>
        </w:rPr>
        <w:t xml:space="preserve">2.</w:t>
      </w:r>
      <w:r>
        <w:rPr>
          <w:rFonts w:hint="eastAsia" w:cs="宋体"/>
          <w:b/>
          <w:bCs/>
          <w:color w:val="000000"/>
          <w:sz w:val="28"/>
          <w:szCs w:val="28"/>
          <w:highlight w:val="none"/>
        </w:rPr>
        <w:t xml:space="preserve">法定</w:t>
      </w:r>
      <w:r>
        <w:rPr>
          <w:rFonts w:hint="eastAsia" w:cs="宋体"/>
          <w:b/>
          <w:bCs/>
          <w:color w:val="000000"/>
          <w:sz w:val="28"/>
          <w:szCs w:val="28"/>
          <w:highlight w:val="none"/>
          <w:lang w:val="en-US" w:eastAsia="zh-CN"/>
        </w:rPr>
        <w:t xml:space="preserve">授权书</w:t>
      </w:r>
      <w:r/>
    </w:p>
    <w:p>
      <w:pPr>
        <w:pStyle w:val="971"/>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1"/>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本授权书声明：____________（投标人名称）授权________________（被授权人的姓名）为我方就项目编号为</w:t>
      </w:r>
      <w:r>
        <w:rPr>
          <w:rFonts w:hint="eastAsia" w:ascii="宋体" w:hAnsi="宋体" w:eastAsia="宋体" w:cs="宋体"/>
          <w:color w:val="auto"/>
          <w:sz w:val="24"/>
          <w:szCs w:val="24"/>
          <w:highlight w:val="none"/>
          <w:u w:val="single"/>
          <w:lang w:eastAsia="zh-CN"/>
        </w:rPr>
        <w:t xml:space="preserve">JSZC-321300-SSJT-G2026-0040</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eastAsia="zh-CN"/>
        </w:rPr>
        <w:t xml:space="preserve">宿迁学院新校区南食堂大厅家具采购项目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项目名称）采购活动的合法代理人，以本单位名义全权处理一切与该项目采购有关的事务。</w:t>
      </w:r>
      <w:r/>
    </w:p>
    <w:p>
      <w:pPr>
        <w:pStyle w:val="971"/>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971"/>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Style w:val="971"/>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971"/>
        <w:ind w:firstLine="120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971"/>
        <w:ind w:firstLine="120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rPr>
          <w:rFonts w:hint="eastAsia" w:cs="宋体"/>
          <w:color w:val="000000"/>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971"/>
        <w:ind w:firstLine="120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被授权人（签字或盖章）</w:t>
      </w:r>
      <w:r>
        <w:rPr>
          <w:rFonts w:hint="eastAsia" w:cs="宋体"/>
          <w:color w:val="000000"/>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971"/>
        <w:ind w:firstLine="48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971"/>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204" w:name="_Hlt26955070"/>
      <w:r/>
      <w:bookmarkEnd w:id="204"/>
      <w:r/>
      <w:bookmarkStart w:id="205" w:name="_Hlt26671380"/>
      <w:r/>
      <w:bookmarkEnd w:id="205"/>
      <w:r/>
      <w:bookmarkStart w:id="206" w:name="_格式3__银行出具的资信证明"/>
      <w:r/>
      <w:bookmarkEnd w:id="206"/>
      <w:r>
        <w:rPr>
          <w:rFonts w:hint="eastAsia" w:ascii="宋体" w:hAnsi="宋体" w:eastAsia="宋体" w:cs="宋体"/>
          <w:color w:val="auto"/>
          <w:sz w:val="24"/>
          <w:szCs w:val="24"/>
          <w:highlight w:val="none"/>
          <w:u w:val="single"/>
        </w:rPr>
        <w:t xml:space="preserve">                                            </w:t>
      </w:r>
      <w:r/>
    </w:p>
    <w:p>
      <w:pPr>
        <w:pStyle w:val="789"/>
        <w:spacing w:line="480" w:lineRule="auto"/>
        <w:shd w:val="clear" w:color="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pStyle w:val="789"/>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1205"/>
        <w:shd w:val="clear" w:color="auto"/>
        <w:rPr>
          <w:rFonts w:hint="eastAsia" w:ascii="宋体" w:hAnsi="宋体" w:eastAsia="宋体" w:cs="宋体"/>
          <w:color w:val="auto"/>
          <w:sz w:val="24"/>
          <w:szCs w:val="20"/>
          <w:highlight w:val="none"/>
        </w:rPr>
        <w:outlineLvl w:val="1"/>
      </w:pP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rPr>
        <w:t xml:space="preserve">附法定代表人居民身份证</w:t>
      </w:r>
      <w:r>
        <w:rPr>
          <w:rFonts w:hint="eastAsia" w:ascii="宋体" w:hAnsi="宋体" w:cs="宋体"/>
          <w:b/>
          <w:bCs w:val="0"/>
          <w:color w:val="000000"/>
          <w:sz w:val="24"/>
          <w:highlight w:val="none"/>
          <w:lang w:val="en-US" w:eastAsia="zh-CN"/>
        </w:rPr>
        <w:t xml:space="preserve">及</w:t>
      </w:r>
      <w:r>
        <w:rPr>
          <w:rFonts w:hint="eastAsia" w:ascii="宋体" w:hAnsi="宋体" w:eastAsia="宋体" w:cs="宋体"/>
          <w:b/>
          <w:bCs w:val="0"/>
          <w:color w:val="auto"/>
          <w:sz w:val="24"/>
          <w:szCs w:val="24"/>
          <w:highlight w:val="none"/>
        </w:rPr>
        <w:t xml:space="preserve">被授权人</w:t>
      </w:r>
      <w:r>
        <w:rPr>
          <w:rFonts w:hint="eastAsia" w:ascii="宋体" w:hAnsi="宋体" w:cs="宋体"/>
          <w:b/>
          <w:bCs w:val="0"/>
          <w:color w:val="000000"/>
          <w:sz w:val="24"/>
          <w:highlight w:val="none"/>
        </w:rPr>
        <w:t xml:space="preserve">居民身份证</w:t>
      </w:r>
      <w:r>
        <w:rPr>
          <w:rFonts w:hint="eastAsia" w:ascii="宋体" w:hAnsi="宋体" w:cs="宋体"/>
          <w:b/>
          <w:bCs w:val="0"/>
          <w:color w:val="000000"/>
          <w:sz w:val="24"/>
          <w:highlight w:val="none"/>
          <w:lang w:eastAsia="zh-CN"/>
        </w:rPr>
        <w:t xml:space="preserve">）</w:t>
      </w:r>
      <w:r>
        <w:rPr>
          <w:rFonts w:hint="eastAsia" w:ascii="宋体" w:hAnsi="宋体" w:eastAsia="宋体" w:cs="宋体"/>
          <w:b/>
          <w:bCs w:val="0"/>
          <w:color w:val="auto"/>
          <w:sz w:val="24"/>
          <w:highlight w:val="none"/>
        </w:rPr>
        <w:br w:type="page" w:clear="all"/>
      </w:r>
      <w:r>
        <w:rPr>
          <w:rFonts w:hint="eastAsia" w:ascii="宋体" w:hAnsi="宋体" w:eastAsia="宋体" w:cs="宋体"/>
          <w:b/>
          <w:color w:val="auto"/>
          <w:sz w:val="32"/>
          <w:szCs w:val="32"/>
          <w:highlight w:val="none"/>
        </w:rPr>
        <w:t xml:space="preserve">五、开标一览表</w:t>
      </w:r>
      <w:r/>
    </w:p>
    <w:p>
      <w:pPr>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投标人全称（CA</w:t>
      </w:r>
      <w:r>
        <w:rPr>
          <w:rFonts w:hint="eastAsia" w:ascii="宋体" w:hAnsi="宋体" w:eastAsia="宋体" w:cs="宋体"/>
          <w:color w:val="auto"/>
          <w:sz w:val="24"/>
          <w:szCs w:val="24"/>
          <w:highlight w:val="none"/>
          <w:lang w:val="en-US" w:eastAsia="zh-CN"/>
        </w:rPr>
        <w:t xml:space="preserve">公章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供应商名称</w:t>
      </w:r>
      <w:r/>
    </w:p>
    <w:p>
      <w:pPr>
        <w:ind w:firstLine="480"/>
        <w:spacing w:line="48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宿迁学院新校区南食堂大厅家具采购项目</w:t>
      </w:r>
      <w:r/>
    </w:p>
    <w:p>
      <w:pPr>
        <w:ind w:firstLine="480"/>
        <w:spacing w:line="48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招标编号：</w:t>
      </w:r>
      <w:r>
        <w:rPr>
          <w:rFonts w:hint="eastAsia" w:ascii="宋体" w:hAnsi="宋体" w:eastAsia="宋体" w:cs="宋体"/>
          <w:color w:val="auto"/>
          <w:sz w:val="24"/>
          <w:szCs w:val="24"/>
          <w:highlight w:val="none"/>
          <w:lang w:eastAsia="zh-CN"/>
        </w:rPr>
        <w:t xml:space="preserve">JSZC-321300-SSJT-G2026-0040</w:t>
      </w:r>
      <w:r/>
    </w:p>
    <w:tbl>
      <w:tblPr>
        <w:tblStyle w:val="788"/>
        <w:tblW w:w="9534"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7809"/>
      </w:tblGrid>
      <w:tr>
        <w:trPr>
          <w:cantSplit/>
          <w:trHeight w:val="668"/>
        </w:trPr>
        <w:tc>
          <w:tcPr>
            <w:tcW w:w="1725" w:type="dxa"/>
            <w:vAlign w:val="center"/>
            <w:textDirection w:val="lrTb"/>
            <w:noWrap w:val="false"/>
          </w:tcPr>
          <w:p>
            <w:pPr>
              <w:jc w:val="center"/>
              <w:keepLines w:val="0"/>
              <w:keepNext w:val="0"/>
              <w:pageBreakBefore w:val="0"/>
              <w:spacing w:line="560" w:lineRule="exact"/>
              <w:widowControl w:val="off"/>
              <w:rPr>
                <w:rFonts w:hint="eastAsia" w:ascii="宋体" w:hAnsi="宋体" w:eastAsiaTheme="minorEastAsia"/>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标题</w:t>
            </w:r>
            <w:r/>
          </w:p>
        </w:tc>
        <w:tc>
          <w:tcPr>
            <w:tcW w:w="7809" w:type="dxa"/>
            <w:vAlign w:val="center"/>
            <w:textDirection w:val="lrTb"/>
            <w:noWrap w:val="false"/>
          </w:tcPr>
          <w:p>
            <w:pPr>
              <w:jc w:val="center"/>
              <w:keepLines w:val="0"/>
              <w:keepNext w:val="0"/>
              <w:pageBreakBefore w:val="0"/>
              <w:spacing w:line="560" w:lineRule="exact"/>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内容</w:t>
            </w:r>
            <w:r/>
          </w:p>
        </w:tc>
      </w:tr>
      <w:tr>
        <w:trPr>
          <w:cantSplit/>
          <w:trHeight w:val="592"/>
        </w:trPr>
        <w:tc>
          <w:tcPr>
            <w:tcW w:w="1725" w:type="dxa"/>
            <w:vAlign w:val="center"/>
            <w:textDirection w:val="lrTb"/>
            <w:noWrap w:val="false"/>
          </w:tcPr>
          <w:p>
            <w:pPr>
              <w:pStyle w:val="962"/>
              <w:ind w:firstLine="0"/>
              <w:keepLines w:val="0"/>
              <w:keepNext w:val="0"/>
              <w:pageBreakBefore w:val="0"/>
              <w:spacing w:before="0" w:after="0" w:line="560" w:lineRule="exact"/>
              <w:widowControl w:val="off"/>
              <w:rPr>
                <w:rFonts w:hint="eastAsia" w:ascii="宋体" w:hAnsi="宋体"/>
                <w:color w:val="000000"/>
                <w:sz w:val="24"/>
                <w:szCs w:val="24"/>
                <w:highlight w:val="none"/>
              </w:rPr>
            </w:pPr>
            <w:r>
              <w:rPr>
                <w:rFonts w:hint="eastAsia" w:ascii="宋体" w:hAnsi="宋体" w:cs="宋体"/>
                <w:color w:val="000000"/>
                <w:sz w:val="24"/>
                <w:szCs w:val="24"/>
                <w:highlight w:val="none"/>
                <w:lang w:val="en-US" w:eastAsia="zh-CN"/>
              </w:rPr>
              <w:t xml:space="preserve">报价（</w:t>
            </w:r>
            <w:r>
              <w:rPr>
                <w:rFonts w:hint="eastAsia" w:ascii="宋体" w:hAnsi="宋体" w:cs="宋体"/>
                <w:color w:val="000000"/>
                <w:sz w:val="24"/>
                <w:szCs w:val="24"/>
                <w:highlight w:val="none"/>
              </w:rPr>
              <w:t xml:space="preserve">小写</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p>
        </w:tc>
        <w:tc>
          <w:tcPr>
            <w:tcW w:w="7809" w:type="dxa"/>
            <w:vAlign w:val="center"/>
            <w:textDirection w:val="lrTb"/>
            <w:noWrap w:val="false"/>
          </w:tcPr>
          <w:p>
            <w:pPr>
              <w:pStyle w:val="962"/>
              <w:ind w:firstLine="0"/>
              <w:keepLines w:val="0"/>
              <w:keepNext w:val="0"/>
              <w:pageBreakBefore w:val="0"/>
              <w:spacing w:before="0" w:after="0" w:line="560" w:lineRule="exact"/>
              <w:widowControl w:val="off"/>
              <w:rPr>
                <w:rFonts w:hint="default" w:ascii="宋体" w:hAnsi="宋体" w:cs="宋体" w:eastAsiaTheme="minorEastAsia"/>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元</w:t>
            </w:r>
            <w:r/>
          </w:p>
        </w:tc>
      </w:tr>
      <w:tr>
        <w:trPr>
          <w:cantSplit/>
          <w:trHeight w:val="612"/>
        </w:trPr>
        <w:tc>
          <w:tcPr>
            <w:tcW w:w="1725" w:type="dxa"/>
            <w:vAlign w:val="center"/>
            <w:textDirection w:val="lrTb"/>
            <w:noWrap w:val="false"/>
          </w:tcPr>
          <w:p>
            <w:pPr>
              <w:pStyle w:val="962"/>
              <w:ind w:firstLine="0"/>
              <w:keepLines w:val="0"/>
              <w:keepNext w:val="0"/>
              <w:pageBreakBefore w:val="0"/>
              <w:spacing w:before="0" w:after="0" w:line="56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报价（</w:t>
            </w:r>
            <w:r>
              <w:rPr>
                <w:rFonts w:hint="eastAsia" w:ascii="宋体" w:hAnsi="宋体" w:cs="宋体"/>
                <w:color w:val="000000"/>
                <w:sz w:val="24"/>
                <w:szCs w:val="24"/>
                <w:highlight w:val="none"/>
              </w:rPr>
              <w:t xml:space="preserve">大写</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p>
        </w:tc>
        <w:tc>
          <w:tcPr>
            <w:tcW w:w="7809" w:type="dxa"/>
            <w:vAlign w:val="center"/>
            <w:textDirection w:val="lrTb"/>
            <w:noWrap w:val="false"/>
          </w:tcPr>
          <w:p>
            <w:pPr>
              <w:pStyle w:val="962"/>
              <w:ind w:firstLine="0"/>
              <w:keepLines w:val="0"/>
              <w:keepNext w:val="0"/>
              <w:pageBreakBefore w:val="0"/>
              <w:spacing w:before="0" w:after="0" w:line="560" w:lineRule="exact"/>
              <w:widowControl w:val="off"/>
              <w:rPr>
                <w:rFonts w:hint="default"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金额大写（人民币：元）</w:t>
            </w:r>
            <w:r/>
          </w:p>
        </w:tc>
      </w:tr>
    </w:tbl>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hd w:val="clear" w:color="auto"/>
        <w:rPr>
          <w:rFonts w:hint="eastAsia" w:ascii="宋体" w:hAnsi="宋体" w:eastAsia="宋体" w:cs="宋体"/>
          <w:color w:val="auto"/>
          <w:sz w:val="24"/>
          <w:szCs w:val="24"/>
          <w:highlight w:val="none"/>
        </w:rPr>
        <w:sectPr>
          <w:headerReference w:type="default" r:id="rId9"/>
          <w:footerReference w:type="default" r:id="rId12"/>
          <w:footnotePr/>
          <w:endnotePr/>
          <w:type w:val="nextPage"/>
          <w:pgSz w:w="11906" w:h="16838" w:orient="portrait"/>
          <w:pgMar w:top="1417" w:right="1587" w:bottom="1417" w:left="1366" w:header="851" w:footer="907" w:gutter="0"/>
          <w:cols w:num="1" w:sep="0" w:space="720" w:equalWidth="1"/>
          <w:docGrid w:linePitch="360"/>
        </w:sectPr>
      </w:pPr>
      <w:r>
        <w:rPr>
          <w:rFonts w:hint="eastAsia" w:ascii="宋体" w:hAnsi="宋体" w:eastAsia="宋体" w:cs="宋体"/>
          <w:color w:val="auto"/>
          <w:sz w:val="24"/>
          <w:szCs w:val="24"/>
          <w:highlight w:val="none"/>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t xml:space="preserve">六、投标报价明细表</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88"/>
        <w:tblW w:w="9915" w:type="dxa"/>
        <w:tblInd w:w="-4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890"/>
        <w:gridCol w:w="1080"/>
        <w:gridCol w:w="1245"/>
        <w:gridCol w:w="930"/>
        <w:gridCol w:w="870"/>
        <w:gridCol w:w="1665"/>
        <w:gridCol w:w="1395"/>
      </w:tblGrid>
      <w:tr>
        <w:trPr>
          <w:cantSplit/>
          <w:trHeight w:val="544"/>
        </w:trPr>
        <w:tc>
          <w:tcPr>
            <w:tcW w:w="840"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8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0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9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16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39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294"/>
        </w:trPr>
        <w:tc>
          <w:tcPr>
            <w:tcW w:w="840"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标的名称</w:t>
            </w:r>
            <w:r/>
          </w:p>
        </w:tc>
        <w:tc>
          <w:tcPr>
            <w:tcW w:w="10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245" w:type="dxa"/>
            <w:vAlign w:val="center"/>
            <w:textDirection w:val="lrTb"/>
            <w:noWrap w:val="false"/>
          </w:tcPr>
          <w:p>
            <w:pPr>
              <w:jc w:val="both"/>
              <w:spacing w:line="0" w:lineRule="atLeast"/>
              <w:rPr>
                <w:rFonts w:ascii="宋体" w:hAnsi="宋体"/>
                <w:sz w:val="24"/>
                <w:szCs w:val="24"/>
              </w:rPr>
            </w:pPr>
            <w:r>
              <w:rPr>
                <w:rFonts w:hint="eastAsia" w:ascii="宋体" w:hAnsi="宋体"/>
                <w:sz w:val="24"/>
                <w:szCs w:val="24"/>
              </w:rPr>
              <w:t xml:space="preserve">规格型号</w:t>
            </w:r>
            <w:r/>
          </w:p>
        </w:tc>
        <w:tc>
          <w:tcPr>
            <w:tcW w:w="9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8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6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分项单价</w:t>
            </w:r>
            <w:r/>
          </w:p>
        </w:tc>
        <w:tc>
          <w:tcPr>
            <w:tcW w:w="139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分项总价</w:t>
            </w:r>
            <w:r/>
          </w:p>
        </w:tc>
      </w:tr>
      <w:tr>
        <w:trPr>
          <w:cantSplit/>
          <w:trHeight w:val="849"/>
        </w:trPr>
        <w:tc>
          <w:tcPr>
            <w:tcW w:w="8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890" w:type="dxa"/>
            <w:vAlign w:val="center"/>
            <w:textDirection w:val="lrTb"/>
            <w:noWrap w:val="false"/>
          </w:tcPr>
          <w:p>
            <w:pPr>
              <w:spacing w:line="0" w:lineRule="atLeast"/>
              <w:rPr>
                <w:rFonts w:ascii="宋体" w:hAnsi="宋体" w:eastAsia="宋体"/>
                <w:sz w:val="24"/>
                <w:szCs w:val="24"/>
                <w:lang w:val="en-US" w:eastAsia="zh-CN"/>
              </w:rPr>
            </w:pPr>
            <w:r>
              <w:rPr>
                <w:rFonts w:ascii="宋体" w:hAnsi="宋体" w:eastAsia="宋体"/>
                <w:sz w:val="24"/>
                <w:szCs w:val="24"/>
                <w:lang w:val="en-US" w:eastAsia="zh-CN"/>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tcW w:w="1890" w:type="dxa"/>
            <w:vAlign w:val="center"/>
            <w:textDirection w:val="lrTb"/>
            <w:noWrap w:val="false"/>
          </w:tcPr>
          <w:p>
            <w:pPr>
              <w:spacing w:line="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3</w:t>
            </w:r>
            <w:r/>
          </w:p>
        </w:tc>
        <w:tc>
          <w:tcPr>
            <w:tcW w:w="1890" w:type="dxa"/>
            <w:vAlign w:val="center"/>
            <w:textDirection w:val="lrTb"/>
            <w:noWrap w:val="false"/>
          </w:tcPr>
          <w:p>
            <w:pPr>
              <w:spacing w:line="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4</w:t>
            </w:r>
            <w:r/>
          </w:p>
        </w:tc>
        <w:tc>
          <w:tcPr>
            <w:tcW w:w="1890" w:type="dxa"/>
            <w:vAlign w:val="center"/>
            <w:textDirection w:val="lrTb"/>
            <w:noWrap w:val="false"/>
          </w:tcPr>
          <w:p>
            <w:pP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w:t>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1030"/>
        </w:trPr>
        <w:tc>
          <w:tcPr>
            <w:gridSpan w:val="7"/>
            <w:tcW w:w="85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总报价（人民币：    ）</w:t>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1030"/>
        </w:trPr>
        <w:tc>
          <w:tcPr>
            <w:gridSpan w:val="8"/>
            <w:tcW w:w="9915" w:type="dxa"/>
            <w:vAlign w:val="center"/>
            <w:textDirection w:val="lrTb"/>
            <w:noWrap w:val="false"/>
          </w:tcPr>
          <w:p>
            <w:pPr>
              <w:spacing w:line="0" w:lineRule="atLeast"/>
              <w:rPr>
                <w:rFonts w:ascii="宋体" w:hAnsi="宋体"/>
                <w:sz w:val="24"/>
                <w:szCs w:val="24"/>
              </w:rPr>
            </w:pPr>
            <w:r>
              <w:rPr>
                <w:rFonts w:hint="eastAsia" w:ascii="Times New Roman" w:hAnsi="Times New Roman"/>
                <w:color w:val="ff0000"/>
                <w:sz w:val="24"/>
                <w:szCs w:val="24"/>
                <w:highlight w:val="none"/>
                <w:lang w:eastAsia="zh-CN"/>
              </w:rPr>
              <w:t xml:space="preserve">注：本采购包中提供的符合本国产品标准的产品成本之和占该采购包提供的全部产品成本之和的比例为</w:t>
            </w:r>
            <w:r>
              <w:rPr>
                <w:rFonts w:hint="eastAsia" w:ascii="Times New Roman" w:hAnsi="Times New Roman"/>
                <w:color w:val="ff0000"/>
                <w:sz w:val="24"/>
                <w:szCs w:val="24"/>
                <w:highlight w:val="none"/>
                <w:u w:val="single"/>
                <w:lang w:eastAsia="zh-CN"/>
              </w:rPr>
              <w:t xml:space="preserve">        </w:t>
            </w:r>
            <w:r>
              <w:rPr>
                <w:rFonts w:hint="eastAsia" w:ascii="Times New Roman" w:hAnsi="Times New Roman"/>
                <w:color w:val="ff0000"/>
                <w:sz w:val="24"/>
                <w:szCs w:val="24"/>
                <w:highlight w:val="none"/>
                <w:lang w:eastAsia="zh-CN"/>
              </w:rPr>
              <w:t xml:space="preserve"> %。</w:t>
            </w:r>
            <w:r/>
          </w:p>
        </w:tc>
      </w:tr>
    </w:tbl>
    <w:p>
      <w:pPr>
        <w:numPr>
          <w:ilvl w:val="0"/>
          <w:numId w:val="0"/>
        </w:numPr>
        <w:shd w:val="clear" w:color="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r>
      <w:r/>
    </w:p>
    <w:p>
      <w:pPr>
        <w:numPr>
          <w:ilvl w:val="0"/>
          <w:numId w:val="0"/>
        </w:numPr>
        <w:shd w:val="clear" w:color="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备注：1.投标报价采用总承包方式，“投标总报价”应包括采购人需求的货物、服务（包含服务过程中的一切费用）、价格，项目在指定地点、环境交付、安装、调试、验收所需费用和所有相关税金费用及为完成整个项目所产生的</w:t>
      </w:r>
      <w:r>
        <w:rPr>
          <w:rFonts w:hint="eastAsia" w:ascii="宋体" w:hAnsi="宋体" w:eastAsia="宋体" w:cs="宋体"/>
          <w:color w:val="auto"/>
          <w:sz w:val="24"/>
          <w:highlight w:val="none"/>
          <w:lang w:eastAsia="zh-CN"/>
        </w:rPr>
        <w:t xml:space="preserve">其他所有</w:t>
      </w:r>
      <w:r>
        <w:rPr>
          <w:rFonts w:hint="eastAsia" w:ascii="宋体" w:hAnsi="宋体" w:eastAsia="宋体" w:cs="宋体"/>
          <w:color w:val="auto"/>
          <w:sz w:val="24"/>
          <w:highlight w:val="none"/>
        </w:rPr>
        <w:t xml:space="preserve">费用。</w:t>
      </w:r>
      <w:r/>
    </w:p>
    <w:p>
      <w:pPr>
        <w:numPr>
          <w:ilvl w:val="0"/>
          <w:numId w:val="0"/>
        </w:numPr>
        <w:ind w:firstLine="720"/>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宋体" w:hAnsi="宋体" w:eastAsia="宋体" w:cs="宋体"/>
          <w:color w:val="auto"/>
          <w:sz w:val="24"/>
          <w:highlight w:val="none"/>
        </w:rPr>
        <w:t xml:space="preserve">2.“投标总报价”数额应当与“开标一览表”中“报价”数额一致。</w:t>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pStyle w:val="961"/>
        <w:rPr>
          <w:rFonts w:hint="eastAsia" w:ascii="Times New Roman" w:hAnsi="Times New Roman" w:eastAsia="宋体" w:cs="Times New Roman"/>
          <w:b/>
          <w:caps w:val="0"/>
          <w:color w:val="auto"/>
          <w:sz w:val="32"/>
          <w:szCs w:val="32"/>
          <w:lang w:val="en-US" w:eastAsia="zh-CN" w:bidi="ar-SA"/>
        </w:rPr>
      </w:pPr>
      <w:r>
        <w:rPr>
          <w:rFonts w:hint="eastAsia" w:ascii="Times New Roman" w:hAnsi="Times New Roman" w:eastAsia="宋体" w:cs="Times New Roman"/>
          <w:b/>
          <w:caps w:val="0"/>
          <w:color w:val="auto"/>
          <w:sz w:val="32"/>
          <w:szCs w:val="32"/>
          <w:lang w:val="en-US" w:eastAsia="zh-CN" w:bidi="ar-SA"/>
        </w:rPr>
      </w:r>
      <w:r/>
    </w:p>
    <w:p>
      <w:pPr>
        <w:rPr>
          <w:rFonts w:hint="eastAsia"/>
          <w:lang w:val="en-US" w:eastAsia="zh-CN"/>
        </w:rPr>
      </w:pPr>
      <w:r>
        <w:rPr>
          <w:rFonts w:hint="eastAsia"/>
          <w:lang w:val="en-US" w:eastAsia="zh-CN"/>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t xml:space="preserve">七、中小（微）企业声明函</w:t>
      </w:r>
      <w:r/>
    </w:p>
    <w:p>
      <w:pPr>
        <w:pStyle w:val="972"/>
        <w:jc w:val="center"/>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72"/>
        <w:jc w:val="center"/>
        <w:spacing w:line="360" w:lineRule="auto"/>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中小企业声明函（货物）</w:t>
      </w:r>
      <w:r/>
    </w:p>
    <w:p>
      <w:pPr>
        <w:pStyle w:val="972"/>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本公司郑重声明，根据《政府采购促进中小企业发展管理办法》（财库〔2020〕46号）的规定，本公司参加</w:t>
      </w:r>
      <w:r>
        <w:rPr>
          <w:rFonts w:hint="eastAsia" w:ascii="宋体" w:hAnsi="宋体" w:eastAsia="宋体" w:cs="宋体"/>
          <w:b w:val="0"/>
          <w:bCs/>
          <w:color w:val="auto"/>
          <w:sz w:val="24"/>
          <w:highlight w:val="none"/>
          <w:u w:val="single"/>
        </w:rPr>
        <w:t xml:space="preserve">       （单位名称）</w:t>
      </w:r>
      <w:r>
        <w:rPr>
          <w:rFonts w:hint="eastAsia" w:ascii="宋体" w:hAnsi="宋体" w:eastAsia="宋体" w:cs="宋体"/>
          <w:b w:val="0"/>
          <w:bCs/>
          <w:color w:val="auto"/>
          <w:sz w:val="24"/>
          <w:highlight w:val="none"/>
        </w:rPr>
        <w:t xml:space="preserve">的</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（项目名称）采购活动，提供的</w:t>
      </w:r>
      <w:r>
        <w:rPr>
          <w:rFonts w:hint="eastAsia" w:ascii="宋体" w:hAnsi="宋体" w:eastAsia="宋体" w:cs="宋体"/>
          <w:b w:val="0"/>
          <w:bCs/>
          <w:color w:val="auto"/>
          <w:sz w:val="24"/>
          <w:highlight w:val="none"/>
          <w:u w:val="single"/>
        </w:rPr>
        <w:t xml:space="preserve">货物全部由符合政策要求的中小企业制造</w:t>
      </w:r>
      <w:r>
        <w:rPr>
          <w:rFonts w:hint="eastAsia" w:ascii="宋体" w:hAnsi="宋体" w:eastAsia="宋体" w:cs="宋体"/>
          <w:b w:val="0"/>
          <w:bCs/>
          <w:color w:val="auto"/>
          <w:sz w:val="24"/>
          <w:highlight w:val="none"/>
        </w:rPr>
        <w:t xml:space="preserve">。相关企业（含签订分包意向协议的中小企业）的具体情况如下：</w:t>
      </w:r>
      <w:r/>
    </w:p>
    <w:p>
      <w:pPr>
        <w:pStyle w:val="972"/>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1.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          （企业名称）</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（中型企业、小型企业、微型企业）；</w:t>
      </w:r>
      <w:r/>
    </w:p>
    <w:p>
      <w:pPr>
        <w:pStyle w:val="972"/>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2.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pStyle w:val="972"/>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3.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          （企业名称）</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（中型企业、小型企业、微型企业）；</w:t>
      </w:r>
      <w:r/>
    </w:p>
    <w:p>
      <w:pPr>
        <w:pStyle w:val="972"/>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4.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pStyle w:val="972"/>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5.</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w:t>
      </w:r>
      <w:r/>
    </w:p>
    <w:p>
      <w:pPr>
        <w:ind w:right="180" w:firstLine="360"/>
        <w:jc w:val="righ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jc w:val="center"/>
        <w:keepLines w:val="0"/>
        <w:keepNext w:val="0"/>
        <w:pageBreakBefore w:val="0"/>
        <w:spacing w:line="360" w:lineRule="auto"/>
        <w:shd w:val="clear" w:color="auto"/>
        <w:widowControl/>
        <w:rPr>
          <w:rFonts w:hint="eastAsia" w:ascii="宋体" w:hAnsi="宋体" w:eastAsia="宋体" w:cs="宋体"/>
          <w:b/>
          <w:color w:val="auto"/>
          <w:sz w:val="36"/>
          <w:szCs w:val="36"/>
          <w:highlight w:val="none"/>
          <w:lang w:val="en-US" w:eastAsia="zh-CN" w:bidi="ar-SA"/>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年___月___日</w:t>
      </w:r>
      <w:r>
        <w:rPr>
          <w:rFonts w:hint="eastAsia" w:ascii="宋体" w:hAnsi="宋体" w:eastAsia="宋体" w:cs="宋体"/>
          <w:color w:val="auto"/>
          <w:szCs w:val="32"/>
          <w:highlight w:val="none"/>
        </w:rPr>
        <w:br w:type="page" w:clear="all"/>
      </w:r>
      <w:r>
        <w:rPr>
          <w:rFonts w:hint="eastAsia" w:ascii="宋体" w:hAnsi="宋体" w:eastAsia="宋体" w:cs="宋体"/>
          <w:b/>
          <w:color w:val="auto"/>
          <w:sz w:val="36"/>
          <w:szCs w:val="36"/>
          <w:highlight w:val="none"/>
          <w:lang w:val="en-US" w:eastAsia="zh-CN" w:bidi="ar-SA"/>
        </w:rPr>
        <w:t xml:space="preserve">中小企业声明函（工程、服务）</w:t>
      </w:r>
      <w:r/>
    </w:p>
    <w:p>
      <w:pPr>
        <w:pStyle w:val="972"/>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7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本公司郑重声明，根据《政府采购促进中小企业发展管理办法》（财库〔2020〕46号）的规定，本公司参加</w:t>
      </w:r>
      <w:r>
        <w:rPr>
          <w:rFonts w:hint="eastAsia" w:ascii="宋体" w:hAnsi="宋体" w:eastAsia="宋体" w:cs="宋体"/>
          <w:b w:val="0"/>
          <w:bCs/>
          <w:color w:val="auto"/>
          <w:sz w:val="24"/>
          <w:highlight w:val="none"/>
          <w:u w:val="single"/>
        </w:rPr>
        <w:t xml:space="preserve"> 单位名称  </w:t>
      </w:r>
      <w:r>
        <w:rPr>
          <w:rFonts w:hint="eastAsia" w:ascii="宋体" w:hAnsi="宋体" w:eastAsia="宋体" w:cs="宋体"/>
          <w:b w:val="0"/>
          <w:bCs/>
          <w:color w:val="auto"/>
          <w:sz w:val="24"/>
          <w:highlight w:val="none"/>
        </w:rPr>
        <w:t xml:space="preserve">的（</w:t>
      </w:r>
      <w:r>
        <w:rPr>
          <w:rFonts w:hint="eastAsia" w:ascii="宋体" w:hAnsi="宋体" w:eastAsia="宋体" w:cs="宋体"/>
          <w:b w:val="0"/>
          <w:bCs/>
          <w:color w:val="auto"/>
          <w:sz w:val="24"/>
          <w:highlight w:val="none"/>
          <w:u w:val="single"/>
        </w:rPr>
        <w:t xml:space="preserve">项目名称）</w:t>
      </w:r>
      <w:r>
        <w:rPr>
          <w:rFonts w:hint="eastAsia" w:ascii="宋体" w:hAnsi="宋体" w:eastAsia="宋体" w:cs="宋体"/>
          <w:b w:val="0"/>
          <w:bCs/>
          <w:color w:val="auto"/>
          <w:sz w:val="24"/>
          <w:highlight w:val="none"/>
        </w:rPr>
        <w:t xml:space="preserve"> 采购活动，工程的施工单位全部为符合政策要求的中小企业（或者：服务全部由符合政策要求的中小企业承接）。相关企业（含签订分包意向协议的中小企业）的具体情况如下：</w:t>
      </w:r>
      <w:r/>
    </w:p>
    <w:p>
      <w:pPr>
        <w:pStyle w:val="972"/>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1.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；承建（承接）企业为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（中型企业、小型企业、微型企业）；</w:t>
      </w:r>
      <w:r/>
    </w:p>
    <w:p>
      <w:pPr>
        <w:pStyle w:val="972"/>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2.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；承建（承接）企业为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（中型企业、小型企业、微型企业）；</w:t>
      </w:r>
      <w:r/>
    </w:p>
    <w:p>
      <w:pPr>
        <w:pStyle w:val="97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w:t>
      </w:r>
      <w:r/>
    </w:p>
    <w:p>
      <w:pPr>
        <w:pStyle w:val="97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以上企业，不属于大企业的分支机构，不存在控股股东为大企业的情形，也不存在与大企业的负责人为同一人的情形。</w:t>
      </w:r>
      <w:r/>
    </w:p>
    <w:p>
      <w:pPr>
        <w:pStyle w:val="97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本企业对上述声明内容的真实性负责。如有虚假，将依法承担相应责任。</w:t>
      </w:r>
      <w:r/>
    </w:p>
    <w:p>
      <w:pPr>
        <w:pStyle w:val="972"/>
        <w:ind w:firstLine="480"/>
        <w:jc w:val="center"/>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7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企业名称（电子签章）：</w:t>
      </w:r>
      <w:r/>
    </w:p>
    <w:p>
      <w:pPr>
        <w:pStyle w:val="97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  年  月  日</w:t>
      </w:r>
      <w:r/>
    </w:p>
    <w:p>
      <w:pPr>
        <w:pStyle w:val="97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7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从业人员、营业收入、资产总额填报上一年数据，无上一年数据的新成立企业可不填报。</w:t>
      </w:r>
      <w:r/>
    </w:p>
    <w:p>
      <w:pPr>
        <w:jc w:val="center"/>
        <w:spacing w:line="360" w:lineRule="auto"/>
        <w:shd w:val="clear" w:color="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240" w:after="240" w:line="460" w:lineRule="exact"/>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残疾人福利性单位声明函</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lang w:eastAsia="zh-CN"/>
        </w:rPr>
        <w:t xml:space="preserve">〔2017〕141号</w:t>
      </w:r>
      <w:r>
        <w:rPr>
          <w:rFonts w:hint="eastAsia" w:ascii="宋体" w:hAnsi="宋体" w:eastAsia="宋体" w:cs="宋体"/>
          <w:color w:val="auto"/>
          <w:sz w:val="24"/>
          <w:highlight w:val="none"/>
        </w:rPr>
        <w:t xml:space="preserve">）的规定，本单位为符合条件的残疾人福利性单位，且本单位参加______单位的采购文件项目编号为______的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shd w:val="clear" w:color="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shd w:val="clear" w:color="auto"/>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供应商全称（加盖CA电子公章）：</w:t>
      </w:r>
      <w:r/>
    </w:p>
    <w:p>
      <w:pPr>
        <w:ind w:right="1560" w:firstLine="480"/>
        <w:jc w:val="center"/>
        <w:spacing w:line="588" w:lineRule="exact"/>
        <w:shd w:val="clear" w:color="auto"/>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jc w:val="center"/>
        <w:spacing w:line="560" w:lineRule="exact"/>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560" w:lineRule="exact"/>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八、技术要求响应及偏离表</w:t>
      </w:r>
      <w:r/>
    </w:p>
    <w:tbl>
      <w:tblPr>
        <w:tblStyle w:val="788"/>
        <w:tblW w:w="0" w:type="auto"/>
        <w:tblInd w:w="-117"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shd w:val="clear" w:color="auto" w:fill="auto"/>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招标文件内容</w:t>
            </w:r>
            <w:r/>
          </w:p>
        </w:tc>
        <w:tc>
          <w:tcPr>
            <w:shd w:val="clear" w:color="auto" w:fill="auto"/>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投标文件内容</w:t>
            </w:r>
            <w:r/>
          </w:p>
        </w:tc>
        <w:tc>
          <w:tcPr>
            <w:shd w:val="clear" w:color="auto" w:fill="auto"/>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偏离内容及说明（</w:t>
            </w:r>
            <w:r>
              <w:rPr>
                <w:rFonts w:hint="eastAsia" w:ascii="宋体" w:hAnsi="宋体" w:eastAsia="宋体" w:cs="宋体"/>
                <w:b/>
                <w:color w:val="auto"/>
                <w:sz w:val="24"/>
                <w:highlight w:val="none"/>
              </w:rPr>
              <w:t xml:space="preserve">正偏离、负偏离、无偏离</w:t>
            </w:r>
            <w:r>
              <w:rPr>
                <w:rFonts w:hint="eastAsia" w:ascii="宋体" w:hAnsi="宋体" w:eastAsia="宋体" w:cs="宋体"/>
                <w:color w:val="auto"/>
                <w:sz w:val="28"/>
                <w:highlight w:val="none"/>
              </w:rPr>
              <w:t xml:space="preserve">）</w:t>
            </w:r>
            <w:r/>
          </w:p>
        </w:tc>
        <w:tc>
          <w:tcPr>
            <w:shd w:val="clear" w:color="auto" w:fill="auto"/>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shd w:val="clear" w:color="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备注</w:t>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备注：1.针对采购需求中要求提供证明材料的，以证明材料为准；若《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》填写情况与提供证明材料的内容不一致，以证明材料为准；采购需求中未要求提供证明材料的，以《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》为准，《</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》中未列明的，作无效响应处理。</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对采购需求的</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非实质性要求，投标人按所投产品情况在此表中详细列出偏离情况（包括正偏离、负偏离、无偏离）并说明理由；未列明的均视为未响应招标文件要求。</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3.供应商所投产品如与招标文件要求的规格及配置不一致，则须在上表偏离说明中详细注明</w:t>
      </w:r>
      <w:r>
        <w:rPr>
          <w:rFonts w:hint="eastAsia" w:ascii="宋体" w:hAnsi="宋体" w:eastAsia="宋体" w:cs="宋体"/>
          <w:color w:val="auto"/>
          <w:sz w:val="24"/>
          <w:highlight w:val="none"/>
        </w:rPr>
        <w:t xml:space="preserve">。</w:t>
      </w:r>
      <w:r/>
    </w:p>
    <w:p>
      <w:pPr>
        <w:numPr>
          <w:ilvl w:val="0"/>
          <w:numId w:val="0"/>
        </w:numPr>
        <w:ind w:left="0" w:firstLine="0"/>
        <w:spacing w:line="588" w:lineRule="exact"/>
        <w:shd w:val="clear" w:color="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4.行数不够，可自行添加。</w:t>
      </w:r>
      <w:r/>
    </w:p>
    <w:p>
      <w:pPr>
        <w:spacing w:line="56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九、项目组人员</w:t>
      </w:r>
      <w:r/>
    </w:p>
    <w:p>
      <w:pPr>
        <w:pStyle w:val="807"/>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项目组成员一览表</w:t>
      </w:r>
      <w:r/>
    </w:p>
    <w:tbl>
      <w:tblPr>
        <w:tblStyle w:val="788"/>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3"/>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280"/>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07"/>
              <w:jc w:val="center"/>
              <w:shd w:val="clear" w:color="auto"/>
              <w:rPr>
                <w:rFonts w:hint="eastAsia" w:ascii="宋体" w:hAnsi="宋体" w:eastAsia="宋体" w:cs="宋体"/>
                <w:color w:val="auto"/>
                <w:sz w:val="20"/>
                <w:szCs w:val="20"/>
                <w:highlight w:val="none"/>
              </w:rPr>
            </w:pPr>
            <w:r>
              <w:rPr>
                <w:rFonts w:hint="eastAsia" w:ascii="宋体" w:hAnsi="宋体" w:eastAsia="宋体" w:cs="宋体"/>
                <w:color w:val="auto"/>
                <w:sz w:val="28"/>
                <w:szCs w:val="28"/>
                <w:highlight w:val="none"/>
                <w:lang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07"/>
              <w:jc w:val="center"/>
              <w:shd w:val="clear" w:color="auto"/>
              <w:rPr>
                <w:rFonts w:hint="eastAsia" w:ascii="宋体" w:hAnsi="宋体" w:eastAsia="宋体" w:cs="宋体"/>
                <w:color w:val="auto"/>
                <w:sz w:val="28"/>
                <w:szCs w:val="28"/>
                <w:highlight w:val="none"/>
              </w:rPr>
            </w:pPr>
            <w:r>
              <w:rPr>
                <w:rFonts w:hint="eastAsia"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07"/>
              <w:jc w:val="center"/>
              <w:shd w:val="clear" w:color="auto"/>
              <w:rPr>
                <w:rFonts w:hint="eastAsia" w:ascii="宋体" w:hAnsi="宋体" w:eastAsia="宋体" w:cs="宋体"/>
                <w:color w:val="auto"/>
                <w:sz w:val="28"/>
                <w:szCs w:val="28"/>
                <w:highlight w:val="none"/>
              </w:rPr>
            </w:pPr>
            <w:r>
              <w:rPr>
                <w:rFonts w:hint="eastAsia"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07"/>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07"/>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807"/>
        <w:ind w:firstLine="398"/>
        <w:spacing w:line="460" w:lineRule="exact"/>
        <w:shd w:val="clear" w:color="auto"/>
        <w:rPr>
          <w:rFonts w:hint="eastAsia" w:ascii="宋体" w:hAnsi="宋体" w:eastAsia="宋体" w:cs="宋体"/>
          <w:color w:val="auto"/>
          <w:highlight w:val="none"/>
        </w:rPr>
      </w:pPr>
      <w:r>
        <w:rPr>
          <w:rFonts w:hint="eastAsia" w:ascii="宋体" w:hAnsi="宋体" w:eastAsia="宋体" w:cs="宋体"/>
          <w:b/>
          <w:color w:val="auto"/>
          <w:highlight w:val="none"/>
          <w:lang w:bidi="ar"/>
        </w:rPr>
        <w:t xml:space="preserve">注：如投标人中标，项目组成员必须按本表承诺人员操作，不得随意更换。按投标文件要求附相关人员证书。</w:t>
      </w:r>
      <w:r/>
    </w:p>
    <w:p>
      <w:pPr>
        <w:pStyle w:val="807"/>
        <w:ind w:firstLine="280"/>
        <w:spacing w:line="50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4"/>
        <w:spacing w:line="50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207" w:name="_Toc11176"/>
      <w:r>
        <w:rPr>
          <w:rFonts w:hint="eastAsia" w:ascii="宋体" w:hAnsi="宋体" w:eastAsia="宋体" w:cs="宋体"/>
          <w:b/>
          <w:color w:val="auto"/>
          <w:sz w:val="32"/>
          <w:highlight w:val="none"/>
        </w:rPr>
        <w:t xml:space="preserve">十、</w:t>
      </w:r>
      <w:bookmarkEnd w:id="207"/>
      <w:r>
        <w:rPr>
          <w:rFonts w:hint="eastAsia" w:ascii="宋体" w:hAnsi="宋体" w:eastAsia="宋体" w:cs="宋体"/>
          <w:b/>
          <w:color w:val="auto"/>
          <w:sz w:val="32"/>
          <w:highlight w:val="none"/>
        </w:rPr>
        <w:t xml:space="preserve">企业业绩</w:t>
      </w:r>
      <w:r/>
    </w:p>
    <w:p>
      <w:pPr>
        <w:pStyle w:val="975"/>
        <w:jc w:val="center"/>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788"/>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76"/>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975"/>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 xml:space="preserve">注：请填写此表，并按要求上传业绩资料电子件。</w:t>
      </w:r>
      <w:bookmarkStart w:id="208" w:name="_Toc28140"/>
      <w:r/>
      <w:r/>
    </w:p>
    <w:p>
      <w:pPr>
        <w:pStyle w:val="977"/>
        <w:numPr>
          <w:ilvl w:val="0"/>
          <w:numId w:val="0"/>
        </w:num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color w:val="auto"/>
          <w:highlight w:val="none"/>
          <w:lang w:val="en-US" w:eastAsia="zh-CN"/>
        </w:rPr>
        <w:t xml:space="preserve">十一、</w:t>
      </w:r>
      <w:r>
        <w:rPr>
          <w:rFonts w:hint="eastAsia" w:ascii="宋体" w:hAnsi="宋体" w:eastAsia="宋体" w:cs="宋体"/>
          <w:b/>
          <w:color w:val="auto"/>
          <w:sz w:val="32"/>
          <w:szCs w:val="32"/>
          <w:highlight w:val="none"/>
        </w:rPr>
        <w:t xml:space="preserve">关于符合本国产品标准的声明函</w:t>
      </w:r>
      <w:r/>
    </w:p>
    <w:p>
      <w:pPr>
        <w:pStyle w:val="977"/>
        <w:numPr>
          <w:ilvl w:val="0"/>
          <w:numId w:val="0"/>
        </w:num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本公司（单位）郑重声明，根据《国务院办公厅关于在政府采购中实施本国产品标准及相关政策的通知》（国办发〔2025〕34号）的规定，本公司（单位）</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提供的以下产品属于本国产品。具体情况如下：</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2811780</wp:posOffset>
                </wp:positionH>
                <wp:positionV relativeFrom="paragraph">
                  <wp:posOffset>850265</wp:posOffset>
                </wp:positionV>
                <wp:extent cx="816610" cy="147320"/>
                <wp:effectExtent l="635" t="4445" r="1905" b="19685"/>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1312;o:allowoverlap:true;o:allowincell:true;mso-position-horizontal-relative:text;margin-left:221.4pt;mso-position-horizontal:absolute;mso-position-vertical-relative:text;margin-top:67.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1133475</wp:posOffset>
                </wp:positionH>
                <wp:positionV relativeFrom="paragraph">
                  <wp:posOffset>824230</wp:posOffset>
                </wp:positionV>
                <wp:extent cx="816610" cy="147320"/>
                <wp:effectExtent l="635" t="4445" r="1905" b="19685"/>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0288;o:allowoverlap:true;o:allowincell:true;mso-position-horizontal-relative:text;margin-left:89.2pt;mso-position-horizontal:absolute;mso-position-vertical-relative:text;margin-top:64.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3978910</wp:posOffset>
                </wp:positionH>
                <wp:positionV relativeFrom="paragraph">
                  <wp:posOffset>591185</wp:posOffset>
                </wp:positionV>
                <wp:extent cx="816610" cy="147320"/>
                <wp:effectExtent l="635" t="4445" r="1905" b="19685"/>
                <wp:wrapNone/>
                <wp:docPr id="17" name="直接箭头连接符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59264;o:allowoverlap:true;o:allowincell:true;mso-position-horizontal-relative:text;margin-left:313.3pt;mso-position-horizontal:absolute;mso-position-vertical-relative:text;margin-top:46.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1951355</wp:posOffset>
                </wp:positionH>
                <wp:positionV relativeFrom="paragraph">
                  <wp:posOffset>603885</wp:posOffset>
                </wp:positionV>
                <wp:extent cx="816610" cy="147320"/>
                <wp:effectExtent l="635" t="4445" r="1905" b="19685"/>
                <wp:wrapNone/>
                <wp:docPr id="18" name="直接箭头连接符 5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6432;o:allowoverlap:true;o:allowincell:true;mso-position-horizontal-relative:text;margin-left:153.7pt;mso-position-horizontal:absolute;mso-position-vertical-relative:text;margin-top:47.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2620010</wp:posOffset>
                </wp:positionH>
                <wp:positionV relativeFrom="paragraph">
                  <wp:posOffset>367030</wp:posOffset>
                </wp:positionV>
                <wp:extent cx="803910" cy="88900"/>
                <wp:effectExtent l="635" t="4445" r="14604" b="20955"/>
                <wp:wrapNone/>
                <wp:docPr id="19" name="直接箭头连接符 52"/>
                <wp:cNvGraphicFramePr/>
                <a:graphic xmlns:a="http://schemas.openxmlformats.org/drawingml/2006/main">
                  <a:graphicData uri="http://schemas.microsoft.com/office/word/2010/wordprocessingShape">
                    <wps:wsp>
                      <wps:cNvPr id="0" name=""/>
                      <wps:cNvSpPr/>
                      <wps:spPr bwMode="auto">
                        <a:xfrm flipV="1">
                          <a:off x="0" y="0"/>
                          <a:ext cx="803910" cy="889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5408;o:allowoverlap:true;o:allowincell:true;mso-position-horizontal-relative:text;margin-left:206.3pt;mso-position-horizontal:absolute;mso-position-vertical-relative:text;margin-top:28.9pt;mso-position-vertical:absolute;width:63.3pt;height:7.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w:t xml:space="preserve">1.（产品名称1）</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，生产厂为（厂名）</w:t>
      </w:r>
      <w:r>
        <w:rPr>
          <w:rFonts w:hint="eastAsia" w:ascii="宋体" w:hAnsi="宋体" w:eastAsia="宋体" w:cs="宋体"/>
          <w:b w:val="0"/>
          <w:bCs/>
          <w:color w:val="ff0000"/>
          <w:sz w:val="24"/>
          <w:szCs w:val="24"/>
          <w:highlight w:val="none"/>
          <w:vertAlign w:val="superscript"/>
        </w:rPr>
        <w:t xml:space="preserve">2</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，厂址为（生产厂址）</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在中国境内生产。（产品名称1）的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2798445</wp:posOffset>
                </wp:positionH>
                <wp:positionV relativeFrom="paragraph">
                  <wp:posOffset>772795</wp:posOffset>
                </wp:positionV>
                <wp:extent cx="773430" cy="221615"/>
                <wp:effectExtent l="1270" t="4445" r="6350" b="21590"/>
                <wp:wrapNone/>
                <wp:docPr id="20" name="直接箭头连接符 47"/>
                <wp:cNvGraphicFramePr/>
                <a:graphic xmlns:a="http://schemas.openxmlformats.org/drawingml/2006/main">
                  <a:graphicData uri="http://schemas.microsoft.com/office/word/2010/wordprocessingShape">
                    <wps:wsp>
                      <wps:cNvPr id="0" name=""/>
                      <wps:cNvSpPr/>
                      <wps:spPr bwMode="auto">
                        <a:xfrm flipV="1">
                          <a:off x="0" y="0"/>
                          <a:ext cx="773430" cy="2216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3360;o:allowoverlap:true;o:allowincell:true;mso-position-horizontal-relative:text;margin-left:220.3pt;mso-position-horizontal:absolute;mso-position-vertical-relative:text;margin-top:60.8pt;mso-position-vertical:absolute;width:60.9pt;height:17.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3896360</wp:posOffset>
                </wp:positionH>
                <wp:positionV relativeFrom="paragraph">
                  <wp:posOffset>525145</wp:posOffset>
                </wp:positionV>
                <wp:extent cx="780415" cy="212725"/>
                <wp:effectExtent l="1270" t="4445" r="18415" b="11430"/>
                <wp:wrapNone/>
                <wp:docPr id="21" name="直接箭头连接符 54"/>
                <wp:cNvGraphicFramePr/>
                <a:graphic xmlns:a="http://schemas.openxmlformats.org/drawingml/2006/main">
                  <a:graphicData uri="http://schemas.microsoft.com/office/word/2010/wordprocessingShape">
                    <wps:wsp>
                      <wps:cNvPr id="0" name=""/>
                      <wps:cNvSpPr/>
                      <wps:spPr bwMode="auto">
                        <a:xfrm flipV="1">
                          <a:off x="0" y="0"/>
                          <a:ext cx="780415" cy="21272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7456;o:allowoverlap:true;o:allowincell:true;mso-position-horizontal-relative:text;margin-left:306.8pt;mso-position-horizontal:absolute;mso-position-vertical-relative:text;margin-top:41.4pt;mso-position-vertical:absolute;width:61.4pt;height:1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1113155</wp:posOffset>
                </wp:positionH>
                <wp:positionV relativeFrom="paragraph">
                  <wp:posOffset>816610</wp:posOffset>
                </wp:positionV>
                <wp:extent cx="816610" cy="147320"/>
                <wp:effectExtent l="635" t="4445" r="1905" b="19685"/>
                <wp:wrapNone/>
                <wp:docPr id="22" name="直接箭头连接符 4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64384;o:allowoverlap:true;o:allowincell:true;mso-position-horizontal-relative:text;margin-left:87.6pt;mso-position-horizontal:absolute;mso-position-vertical-relative:text;margin-top:64.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1939290</wp:posOffset>
                </wp:positionH>
                <wp:positionV relativeFrom="paragraph">
                  <wp:posOffset>578485</wp:posOffset>
                </wp:positionV>
                <wp:extent cx="816610" cy="147320"/>
                <wp:effectExtent l="635" t="4445" r="1905" b="19685"/>
                <wp:wrapNone/>
                <wp:docPr id="23" name="直接箭头连接符 5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68480;o:allowoverlap:true;o:allowincell:true;mso-position-horizontal-relative:text;margin-left:152.7pt;mso-position-horizontal:absolute;mso-position-vertical-relative:text;margin-top:45.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2646045</wp:posOffset>
                </wp:positionH>
                <wp:positionV relativeFrom="paragraph">
                  <wp:posOffset>339725</wp:posOffset>
                </wp:positionV>
                <wp:extent cx="816610" cy="147320"/>
                <wp:effectExtent l="635" t="4445" r="1905" b="19685"/>
                <wp:wrapNone/>
                <wp:docPr id="24" name="直接箭头连接符 4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62336;o:allowoverlap:true;o:allowincell:true;mso-position-horizontal-relative:text;margin-left:208.3pt;mso-position-horizontal:absolute;mso-position-vertical-relative:text;margin-top:26.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w:t xml:space="preserve">2.（产品名称2）</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，生产厂为（厂名）</w:t>
      </w:r>
      <w:r>
        <w:rPr>
          <w:rFonts w:hint="eastAsia" w:ascii="宋体" w:hAnsi="宋体" w:eastAsia="宋体" w:cs="宋体"/>
          <w:b w:val="0"/>
          <w:bCs/>
          <w:color w:val="ff0000"/>
          <w:sz w:val="24"/>
          <w:szCs w:val="24"/>
          <w:highlight w:val="none"/>
          <w:vertAlign w:val="superscript"/>
        </w:rPr>
        <w:t xml:space="preserve">2</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，厂址为（生产厂址）</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在中国境内生产。（产品名称2）的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本公司（单位）对上述声明内容的真实性负责。如有虚假，愿承担相应法律责任。</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公司（单位）名称（盖章）：</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日期：    年    月    日</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ff0000"/>
          <w:sz w:val="24"/>
          <w:szCs w:val="24"/>
          <w:highlight w:val="none"/>
        </w:rPr>
        <w:t xml:space="preserve">1.产品如有型号，请在“产品名称”栏一并填写。</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2.生产厂名与厂址应与生产厂营业执照载明的相关信息保持一致。</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3.该产品的中国境内生产的组件成本占比相关要求实施前，“规定比例”栏可不填，下同。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4.该产品的关键组件要求实施前，“关键组件”栏可不填，下同。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5.该产品的关键工序要求实施前，“关键工序”栏可不填，下同。</w:t>
      </w:r>
      <w:r/>
    </w:p>
    <w:p>
      <w:pPr>
        <w:ind w:firstLine="562"/>
        <w:jc w:val="both"/>
        <w:spacing w:line="500" w:lineRule="exact"/>
        <w:shd w:val="clear" w:color="auto"/>
        <w:rPr>
          <w:rFonts w:hint="eastAsia" w:ascii="宋体" w:hAnsi="宋体" w:eastAsia="宋体" w:cs="宋体"/>
          <w:color w:val="auto"/>
          <w:sz w:val="20"/>
          <w:highlight w:val="none"/>
        </w:rPr>
      </w:pPr>
      <w:r>
        <w:rPr>
          <w:rFonts w:hint="eastAsia" w:ascii="宋体" w:hAnsi="宋体" w:eastAsia="宋体" w:cs="宋体"/>
          <w:b w:val="0"/>
          <w:bCs/>
          <w:color w:val="auto"/>
          <w:sz w:val="24"/>
          <w:szCs w:val="24"/>
          <w:highlight w:val="none"/>
        </w:rPr>
        <w:t xml:space="preserve">6.用斜线划除的地方无需填写。</w:t>
      </w:r>
      <w:bookmarkEnd w:id="208"/>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48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80" w:lineRule="auto"/>
        <w:shd w:val="clear" w:color="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789"/>
        <w:ind w:firstLine="0"/>
        <w:shd w:val="clear" w:color="auto"/>
        <w:rPr>
          <w:rFonts w:hint="eastAsia" w:ascii="宋体" w:hAnsi="宋体" w:eastAsia="宋体" w:cs="宋体"/>
          <w:color w:val="auto"/>
          <w:sz w:val="24"/>
          <w:highlight w:val="none"/>
        </w:rPr>
      </w:pPr>
      <w:r/>
      <w:bookmarkStart w:id="209" w:name="_Hlt26609389"/>
      <w:r/>
      <w:bookmarkEnd w:id="209"/>
      <w:r/>
      <w:bookmarkStart w:id="210" w:name="_Hlt26671374"/>
      <w:r/>
      <w:bookmarkEnd w:id="210"/>
      <w:r/>
      <w:bookmarkStart w:id="211" w:name="_Hlt26955066"/>
      <w:r/>
      <w:bookmarkEnd w:id="211"/>
      <w:r/>
      <w:bookmarkStart w:id="212" w:name="_Toc462564146"/>
      <w:r/>
      <w:bookmarkEnd w:id="212"/>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3"/>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3"/>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7"/>
        <w:numPr>
          <w:ilvl w:val="0"/>
          <w:numId w:val="0"/>
        </w:numPr>
        <w:shd w:val="clear" w:color="auto"/>
        <w:rPr>
          <w:rFonts w:hint="eastAsia" w:ascii="宋体" w:hAnsi="宋体" w:eastAsia="宋体" w:cs="宋体"/>
          <w:color w:val="auto"/>
          <w:highlight w:val="none"/>
          <w:lang w:val="en-US" w:eastAsia="zh-CN"/>
        </w:rPr>
        <w:outlineLvl w:val="1"/>
      </w:pPr>
      <w:r/>
      <w:bookmarkStart w:id="213" w:name="_格式2__法定代表人授权书"/>
      <w:r/>
      <w:bookmarkEnd w:id="213"/>
      <w:r>
        <w:rPr>
          <w:rFonts w:hint="eastAsia" w:ascii="宋体" w:hAnsi="宋体" w:eastAsia="宋体" w:cs="宋体"/>
          <w:b/>
          <w:bCs/>
          <w:color w:val="auto"/>
          <w:sz w:val="32"/>
          <w:szCs w:val="32"/>
          <w:highlight w:val="none"/>
        </w:rPr>
        <w:br w:type="page" w:clear="all"/>
      </w:r>
      <w:r>
        <w:rPr>
          <w:rFonts w:hint="eastAsia" w:ascii="宋体" w:hAnsi="宋体" w:eastAsia="宋体" w:cs="宋体"/>
          <w:color w:val="auto"/>
          <w:highlight w:val="none"/>
          <w:lang w:val="en-US" w:eastAsia="zh-CN"/>
        </w:rPr>
        <w:t xml:space="preserve">十二、投标所需其他材料</w:t>
      </w:r>
      <w:r/>
    </w:p>
    <w:p>
      <w:pPr>
        <w:pStyle w:val="978"/>
        <w:ind w:firstLine="560"/>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40"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一、质疑投标人基本信息</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质疑投标人：</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招标人名称：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1.投标人提出质疑时，应提交质疑函和必要的证明材料。</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3.质疑投标人若对项目的某一分包进行质疑，质疑函中应列明具体分包号。</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spacing w:line="400" w:lineRule="exact"/>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ind w:firstLine="4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rPr>
      </w:pPr>
      <w:r>
        <w:rPr>
          <w:rFonts w:hint="eastAsia" w:ascii="宋体" w:hAnsi="宋体" w:eastAsia="宋体" w:cs="宋体"/>
        </w:rPr>
      </w:r>
      <w:r/>
    </w:p>
    <w:p>
      <w:r/>
      <w:r/>
    </w:p>
    <w:sectPr>
      <w:headerReference w:type="default" r:id="rId10"/>
      <w:footerReference w:type="default" r:id="rId13"/>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Times New Roman">
    <w:panose1 w:val="02020603050405020304"/>
  </w:font>
  <w:font w:name="Calibri">
    <w:panose1 w:val="020F0502020204030204"/>
  </w:font>
  <w:font w:name="幼圆">
    <w:panose1 w:val="02010509060101010101"/>
  </w:font>
  <w:font w:name="华文中宋">
    <w:panose1 w:val="02010600040101010101"/>
  </w:font>
  <w:font w:name="黑体">
    <w:panose1 w:val="02010609060101010101"/>
  </w:font>
  <w:font w:name="仿宋_GB2312">
    <w:panose1 w:val="02010609060101010101"/>
  </w:font>
  <w:font w:name="Courier New">
    <w:panose1 w:val="02070309020205020404"/>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tabs>
        <w:tab w:val="center" w:pos="4153" w:leader="none"/>
        <w:tab w:val="clear" w:pos="7143" w:leader="none"/>
        <w:tab w:val="right" w:pos="8306" w:leader="none"/>
        <w:tab w:val="clear" w:pos="14287"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１</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１</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lvlOverride w:ilvl="0">
      <w:startOverride w:val="1"/>
    </w:lvlOverride>
  </w:num>
  <w:num w:numId="2">
    <w:abstractNumId w:val="1"/>
    <w:lvlOverride w:ilvl="0">
      <w:startOverride w:val="1"/>
    </w:lvlOverride>
  </w:num>
  <w:num w:numId="3">
    <w:abstractNumId w:val="4"/>
    <w:lvlOverride w:ilvl="0">
      <w:startOverride w:val="1"/>
    </w:lvlOverride>
  </w:num>
  <w:num w:numId="4">
    <w:abstractNumId w:val="2"/>
    <w:lvlOverride w:ilvl="0">
      <w:startOverride w:val="2"/>
    </w:lvlOverride>
  </w:num>
  <w:num w:numId="5">
    <w:abstractNumId w:val="6"/>
    <w:lvlOverride w:ilvl="0">
      <w:startOverride w:val="6"/>
    </w:lvlOverride>
  </w:num>
  <w:num w:numId="6">
    <w:abstractNumId w:val="0"/>
    <w:lvlOverride w:ilvl="0">
      <w:startOverride w:val="16"/>
    </w:lvlOverride>
  </w:num>
  <w:num w:numId="7">
    <w:abstractNumId w:val="8"/>
    <w:lvlOverride w:ilvl="0">
      <w:startOverride w:val="23"/>
    </w:lvlOverride>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default="1">
    <w:name w:val="Normal"/>
    <w:uiPriority w:val="0"/>
    <w:qFormat/>
    <w:rPr>
      <w:rFonts w:hint="default" w:asciiTheme="minorHAnsi" w:hAnsiTheme="minorHAnsi" w:eastAsiaTheme="minorEastAsia" w:cstheme="minorBidi"/>
      <w:sz w:val="21"/>
      <w:szCs w:val="22"/>
      <w:lang w:val="en-US" w:eastAsia="zh-CN" w:bidi="ar-SA"/>
    </w:rPr>
  </w:style>
  <w:style w:type="paragraph" w:styleId="778">
    <w:name w:val="Heading 1"/>
    <w:basedOn w:val="777"/>
    <w:next w:val="777"/>
    <w:uiPriority w:val="9"/>
    <w:qFormat/>
    <w:pPr>
      <w:keepLines/>
      <w:keepNext/>
      <w:spacing w:before="480" w:after="200"/>
      <w:outlineLvl w:val="0"/>
    </w:pPr>
    <w:rPr>
      <w:rFonts w:ascii="Arial" w:hAnsi="Arial" w:eastAsia="Arial" w:cs="Arial"/>
      <w:sz w:val="40"/>
      <w:szCs w:val="40"/>
    </w:rPr>
  </w:style>
  <w:style w:type="paragraph" w:styleId="779">
    <w:name w:val="Heading 2"/>
    <w:basedOn w:val="777"/>
    <w:next w:val="777"/>
    <w:link w:val="814"/>
    <w:uiPriority w:val="9"/>
    <w:unhideWhenUsed/>
    <w:qFormat/>
    <w:pPr>
      <w:keepLines/>
      <w:keepNext/>
      <w:spacing w:before="360" w:after="200"/>
      <w:outlineLvl w:val="1"/>
    </w:pPr>
    <w:rPr>
      <w:rFonts w:ascii="Arial" w:hAnsi="Arial" w:eastAsia="Arial" w:cs="Arial"/>
      <w:sz w:val="34"/>
    </w:rPr>
  </w:style>
  <w:style w:type="paragraph" w:styleId="780">
    <w:name w:val="Heading 3"/>
    <w:basedOn w:val="777"/>
    <w:next w:val="789"/>
    <w:uiPriority w:val="9"/>
    <w:unhideWhenUsed/>
    <w:qFormat/>
    <w:pPr>
      <w:keepLines/>
      <w:keepNext/>
      <w:spacing w:before="320" w:after="200"/>
      <w:outlineLvl w:val="2"/>
    </w:pPr>
    <w:rPr>
      <w:rFonts w:ascii="Arial" w:hAnsi="Arial" w:eastAsia="Arial" w:cs="Arial"/>
      <w:sz w:val="30"/>
      <w:szCs w:val="30"/>
    </w:rPr>
  </w:style>
  <w:style w:type="paragraph" w:styleId="781">
    <w:name w:val="Heading 4"/>
    <w:basedOn w:val="777"/>
    <w:next w:val="789"/>
    <w:uiPriority w:val="9"/>
    <w:unhideWhenUsed/>
    <w:qFormat/>
    <w:pPr>
      <w:keepLines/>
      <w:keepNext/>
      <w:spacing w:before="320" w:after="200"/>
      <w:outlineLvl w:val="3"/>
    </w:pPr>
    <w:rPr>
      <w:rFonts w:ascii="Arial" w:hAnsi="Arial" w:eastAsia="Arial" w:cs="Arial"/>
      <w:b/>
      <w:bCs/>
      <w:sz w:val="26"/>
      <w:szCs w:val="26"/>
    </w:rPr>
  </w:style>
  <w:style w:type="paragraph" w:styleId="782">
    <w:name w:val="Heading 5"/>
    <w:basedOn w:val="777"/>
    <w:next w:val="777"/>
    <w:link w:val="817"/>
    <w:uiPriority w:val="9"/>
    <w:unhideWhenUsed/>
    <w:qFormat/>
    <w:pPr>
      <w:keepLines/>
      <w:keepNext/>
      <w:spacing w:before="320" w:after="200"/>
      <w:outlineLvl w:val="4"/>
    </w:pPr>
    <w:rPr>
      <w:rFonts w:ascii="Arial" w:hAnsi="Arial" w:eastAsia="Arial" w:cs="Arial"/>
      <w:b/>
      <w:bCs/>
      <w:sz w:val="24"/>
      <w:szCs w:val="24"/>
    </w:rPr>
  </w:style>
  <w:style w:type="paragraph" w:styleId="783">
    <w:name w:val="Heading 6"/>
    <w:basedOn w:val="777"/>
    <w:next w:val="777"/>
    <w:link w:val="818"/>
    <w:uiPriority w:val="9"/>
    <w:unhideWhenUsed/>
    <w:qFormat/>
    <w:pPr>
      <w:keepLines/>
      <w:keepNext/>
      <w:spacing w:before="320" w:after="200"/>
      <w:outlineLvl w:val="5"/>
    </w:pPr>
    <w:rPr>
      <w:rFonts w:ascii="Arial" w:hAnsi="Arial" w:eastAsia="Arial" w:cs="Arial"/>
      <w:b/>
      <w:bCs/>
      <w:sz w:val="22"/>
      <w:szCs w:val="22"/>
    </w:rPr>
  </w:style>
  <w:style w:type="paragraph" w:styleId="784">
    <w:name w:val="Heading 7"/>
    <w:basedOn w:val="777"/>
    <w:next w:val="777"/>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Heading 8"/>
    <w:basedOn w:val="777"/>
    <w:next w:val="777"/>
    <w:link w:val="820"/>
    <w:uiPriority w:val="9"/>
    <w:unhideWhenUsed/>
    <w:qFormat/>
    <w:pPr>
      <w:keepLines/>
      <w:keepNext/>
      <w:spacing w:before="320" w:after="200"/>
      <w:outlineLvl w:val="7"/>
    </w:pPr>
    <w:rPr>
      <w:rFonts w:ascii="Arial" w:hAnsi="Arial" w:eastAsia="Arial" w:cs="Arial"/>
      <w:i/>
      <w:iCs/>
      <w:sz w:val="22"/>
      <w:szCs w:val="22"/>
    </w:rPr>
  </w:style>
  <w:style w:type="paragraph" w:styleId="786">
    <w:name w:val="Heading 9"/>
    <w:basedOn w:val="777"/>
    <w:next w:val="777"/>
    <w:link w:val="821"/>
    <w:uiPriority w:val="9"/>
    <w:unhideWhenUsed/>
    <w:qFormat/>
    <w:pPr>
      <w:keepLines/>
      <w:keepNext/>
      <w:spacing w:before="320" w:after="200"/>
      <w:outlineLvl w:val="8"/>
    </w:pPr>
    <w:rPr>
      <w:rFonts w:ascii="Arial" w:hAnsi="Arial" w:eastAsia="Arial" w:cs="Arial"/>
      <w:i/>
      <w:iCs/>
      <w:sz w:val="21"/>
      <w:szCs w:val="21"/>
    </w:rPr>
  </w:style>
  <w:style w:type="character" w:styleId="787" w:default="1">
    <w:name w:val="Default Paragraph Font"/>
    <w:uiPriority w:val="0"/>
    <w:semiHidden/>
    <w:qFormat/>
  </w:style>
  <w:style w:type="table" w:styleId="788" w:default="1">
    <w:name w:val="Normal Table"/>
    <w:uiPriority w:val="0"/>
    <w:semiHidden/>
    <w:qFormat/>
    <w:tblPr>
      <w:tblCellMar>
        <w:left w:w="108" w:type="dxa"/>
        <w:top w:w="0" w:type="dxa"/>
        <w:right w:w="108" w:type="dxa"/>
        <w:bottom w:w="0" w:type="dxa"/>
      </w:tblCellMar>
    </w:tblPr>
  </w:style>
  <w:style w:type="paragraph" w:styleId="789">
    <w:name w:val="Normal Indent"/>
    <w:basedOn w:val="777"/>
    <w:next w:val="777"/>
    <w:uiPriority w:val="0"/>
    <w:qFormat/>
    <w:pPr>
      <w:ind w:firstLine="420"/>
    </w:pPr>
  </w:style>
  <w:style w:type="paragraph" w:styleId="790">
    <w:name w:val="toc 7"/>
    <w:basedOn w:val="777"/>
    <w:next w:val="777"/>
    <w:uiPriority w:val="39"/>
    <w:unhideWhenUsed/>
    <w:qFormat/>
    <w:pPr>
      <w:ind w:left="1701" w:right="0" w:firstLine="0"/>
      <w:spacing w:after="57"/>
    </w:pPr>
  </w:style>
  <w:style w:type="paragraph" w:styleId="791">
    <w:name w:val="Caption"/>
    <w:basedOn w:val="777"/>
    <w:next w:val="77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2">
    <w:name w:val="toc 5"/>
    <w:basedOn w:val="777"/>
    <w:next w:val="777"/>
    <w:uiPriority w:val="39"/>
    <w:unhideWhenUsed/>
    <w:qFormat/>
    <w:pPr>
      <w:ind w:left="1134" w:right="0" w:firstLine="0"/>
      <w:spacing w:after="57"/>
    </w:pPr>
  </w:style>
  <w:style w:type="paragraph" w:styleId="793">
    <w:name w:val="toc 3"/>
    <w:basedOn w:val="777"/>
    <w:next w:val="777"/>
    <w:uiPriority w:val="39"/>
    <w:unhideWhenUsed/>
    <w:qFormat/>
    <w:pPr>
      <w:ind w:left="567" w:right="0" w:firstLine="0"/>
      <w:spacing w:after="57"/>
    </w:pPr>
  </w:style>
  <w:style w:type="paragraph" w:styleId="794">
    <w:name w:val="Plain Text"/>
    <w:basedOn w:val="777"/>
    <w:uiPriority w:val="0"/>
    <w:qFormat/>
    <w:rPr>
      <w:rFonts w:ascii="宋体" w:hAnsi="Courier New" w:cs="Courier New"/>
    </w:rPr>
  </w:style>
  <w:style w:type="paragraph" w:styleId="795">
    <w:name w:val="toc 8"/>
    <w:basedOn w:val="777"/>
    <w:next w:val="777"/>
    <w:uiPriority w:val="39"/>
    <w:unhideWhenUsed/>
    <w:qFormat/>
    <w:pPr>
      <w:ind w:left="1984" w:right="0" w:firstLine="0"/>
      <w:spacing w:after="57"/>
    </w:pPr>
  </w:style>
  <w:style w:type="paragraph" w:styleId="796">
    <w:name w:val="endnote text"/>
    <w:basedOn w:val="777"/>
    <w:link w:val="959"/>
    <w:uiPriority w:val="99"/>
    <w:semiHidden/>
    <w:unhideWhenUsed/>
    <w:qFormat/>
    <w:pPr>
      <w:spacing w:after="0" w:line="240" w:lineRule="auto"/>
    </w:pPr>
    <w:rPr>
      <w:sz w:val="20"/>
    </w:rPr>
  </w:style>
  <w:style w:type="paragraph" w:styleId="797">
    <w:name w:val="Footer"/>
    <w:basedOn w:val="777"/>
    <w:uiPriority w:val="99"/>
    <w:unhideWhenUsed/>
    <w:qFormat/>
    <w:pPr>
      <w:tabs>
        <w:tab w:val="center" w:pos="7143" w:leader="none"/>
        <w:tab w:val="right" w:pos="14287" w:leader="none"/>
      </w:tabs>
    </w:pPr>
  </w:style>
  <w:style w:type="paragraph" w:styleId="798">
    <w:name w:val="Header"/>
    <w:basedOn w:val="777"/>
    <w:uiPriority w:val="99"/>
    <w:unhideWhenUsed/>
    <w:qFormat/>
    <w:pPr>
      <w:tabs>
        <w:tab w:val="center" w:pos="7143" w:leader="none"/>
        <w:tab w:val="right" w:pos="14287" w:leader="none"/>
      </w:tabs>
    </w:pPr>
  </w:style>
  <w:style w:type="paragraph" w:styleId="799">
    <w:name w:val="toc 1"/>
    <w:basedOn w:val="777"/>
    <w:next w:val="777"/>
    <w:uiPriority w:val="39"/>
    <w:unhideWhenUsed/>
    <w:qFormat/>
    <w:pPr>
      <w:spacing w:after="57"/>
    </w:pPr>
  </w:style>
  <w:style w:type="paragraph" w:styleId="800">
    <w:name w:val="toc 4"/>
    <w:basedOn w:val="777"/>
    <w:next w:val="777"/>
    <w:uiPriority w:val="39"/>
    <w:unhideWhenUsed/>
    <w:qFormat/>
    <w:pPr>
      <w:ind w:left="850" w:right="0" w:firstLine="0"/>
      <w:spacing w:after="57"/>
    </w:pPr>
  </w:style>
  <w:style w:type="paragraph" w:styleId="801">
    <w:name w:val="Subtitle"/>
    <w:basedOn w:val="777"/>
    <w:next w:val="777"/>
    <w:link w:val="825"/>
    <w:uiPriority w:val="11"/>
    <w:qFormat/>
    <w:pPr>
      <w:spacing w:before="200" w:after="200"/>
    </w:pPr>
    <w:rPr>
      <w:sz w:val="24"/>
      <w:szCs w:val="24"/>
    </w:rPr>
  </w:style>
  <w:style w:type="paragraph" w:styleId="802">
    <w:name w:val="footnote text"/>
    <w:basedOn w:val="777"/>
    <w:link w:val="958"/>
    <w:uiPriority w:val="99"/>
    <w:semiHidden/>
    <w:unhideWhenUsed/>
    <w:qFormat/>
    <w:pPr>
      <w:spacing w:after="40" w:line="240" w:lineRule="auto"/>
    </w:pPr>
    <w:rPr>
      <w:sz w:val="18"/>
    </w:rPr>
  </w:style>
  <w:style w:type="paragraph" w:styleId="803">
    <w:name w:val="toc 6"/>
    <w:basedOn w:val="777"/>
    <w:next w:val="777"/>
    <w:uiPriority w:val="39"/>
    <w:unhideWhenUsed/>
    <w:qFormat/>
    <w:pPr>
      <w:ind w:left="1417" w:right="0" w:firstLine="0"/>
      <w:spacing w:after="57"/>
    </w:pPr>
  </w:style>
  <w:style w:type="paragraph" w:styleId="804">
    <w:name w:val="table of figures"/>
    <w:basedOn w:val="777"/>
    <w:next w:val="777"/>
    <w:uiPriority w:val="99"/>
    <w:unhideWhenUsed/>
    <w:qFormat/>
    <w:pPr>
      <w:spacing w:after="0" w:afterAutospacing="0"/>
    </w:pPr>
  </w:style>
  <w:style w:type="paragraph" w:styleId="805">
    <w:name w:val="toc 2"/>
    <w:basedOn w:val="777"/>
    <w:next w:val="777"/>
    <w:uiPriority w:val="39"/>
    <w:unhideWhenUsed/>
    <w:qFormat/>
    <w:pPr>
      <w:ind w:left="283" w:right="0" w:firstLine="0"/>
      <w:spacing w:after="57"/>
    </w:pPr>
  </w:style>
  <w:style w:type="paragraph" w:styleId="806">
    <w:name w:val="toc 9"/>
    <w:basedOn w:val="777"/>
    <w:next w:val="777"/>
    <w:uiPriority w:val="39"/>
    <w:unhideWhenUsed/>
    <w:qFormat/>
    <w:pPr>
      <w:ind w:left="2268" w:right="0" w:firstLine="0"/>
      <w:spacing w:after="57"/>
    </w:pPr>
  </w:style>
  <w:style w:type="paragraph" w:styleId="807">
    <w:name w:val="Normal (Web)"/>
    <w:basedOn w:val="777"/>
    <w:uiPriority w:val="99"/>
    <w:qFormat/>
    <w:pPr>
      <w:spacing w:before="100" w:beforeAutospacing="1" w:after="100" w:afterAutospacing="1"/>
    </w:pPr>
    <w:rPr>
      <w:rFonts w:ascii="宋体" w:hAnsi="宋体" w:cs="宋体"/>
      <w:sz w:val="24"/>
      <w:szCs w:val="24"/>
    </w:rPr>
  </w:style>
  <w:style w:type="paragraph" w:styleId="808">
    <w:name w:val="Title"/>
    <w:basedOn w:val="777"/>
    <w:next w:val="777"/>
    <w:link w:val="824"/>
    <w:uiPriority w:val="10"/>
    <w:qFormat/>
    <w:pPr>
      <w:contextualSpacing/>
      <w:spacing w:before="300" w:after="200"/>
    </w:pPr>
    <w:rPr>
      <w:sz w:val="48"/>
      <w:szCs w:val="48"/>
    </w:rPr>
  </w:style>
  <w:style w:type="table" w:styleId="809">
    <w:name w:val="Table Grid"/>
    <w:basedOn w:val="78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0">
    <w:name w:val="endnote reference"/>
    <w:basedOn w:val="787"/>
    <w:uiPriority w:val="99"/>
    <w:semiHidden/>
    <w:unhideWhenUsed/>
    <w:qFormat/>
    <w:rPr>
      <w:vertAlign w:val="superscript"/>
    </w:rPr>
  </w:style>
  <w:style w:type="character" w:styleId="811">
    <w:name w:val="Hyperlink"/>
    <w:uiPriority w:val="99"/>
    <w:unhideWhenUsed/>
    <w:qFormat/>
    <w:rPr>
      <w:color w:val="0026e5" w:themeColor="hyperlink"/>
      <w:u w:val="single"/>
      <w14:textFill>
        <w14:solidFill>
          <w14:schemeClr w14:val="hlink"/>
        </w14:solidFill>
      </w14:textFill>
    </w:rPr>
  </w:style>
  <w:style w:type="character" w:styleId="812">
    <w:name w:val="footnote reference"/>
    <w:basedOn w:val="787"/>
    <w:uiPriority w:val="99"/>
    <w:unhideWhenUsed/>
    <w:qFormat/>
    <w:rPr>
      <w:vertAlign w:val="superscript"/>
    </w:rPr>
  </w:style>
  <w:style w:type="character" w:styleId="813" w:customStyle="1">
    <w:name w:val="Heading 1 Char"/>
    <w:basedOn w:val="787"/>
    <w:uiPriority w:val="9"/>
    <w:qFormat/>
    <w:rPr>
      <w:rFonts w:ascii="Arial" w:hAnsi="Arial" w:eastAsia="Arial" w:cs="Arial"/>
      <w:sz w:val="40"/>
      <w:szCs w:val="40"/>
    </w:rPr>
  </w:style>
  <w:style w:type="character" w:styleId="814" w:customStyle="1">
    <w:name w:val="Heading 2 Char"/>
    <w:basedOn w:val="787"/>
    <w:link w:val="779"/>
    <w:uiPriority w:val="9"/>
    <w:qFormat/>
    <w:rPr>
      <w:rFonts w:ascii="Arial" w:hAnsi="Arial" w:eastAsia="Arial" w:cs="Arial"/>
      <w:sz w:val="34"/>
    </w:rPr>
  </w:style>
  <w:style w:type="character" w:styleId="815" w:customStyle="1">
    <w:name w:val="Heading 3 Char"/>
    <w:basedOn w:val="787"/>
    <w:uiPriority w:val="9"/>
    <w:qFormat/>
    <w:rPr>
      <w:rFonts w:ascii="Arial" w:hAnsi="Arial" w:eastAsia="Arial" w:cs="Arial"/>
      <w:sz w:val="30"/>
      <w:szCs w:val="30"/>
    </w:rPr>
  </w:style>
  <w:style w:type="character" w:styleId="816" w:customStyle="1">
    <w:name w:val="Heading 4 Char"/>
    <w:basedOn w:val="787"/>
    <w:uiPriority w:val="9"/>
    <w:qFormat/>
    <w:rPr>
      <w:rFonts w:ascii="Arial" w:hAnsi="Arial" w:eastAsia="Arial" w:cs="Arial"/>
      <w:b/>
      <w:bCs/>
      <w:sz w:val="26"/>
      <w:szCs w:val="26"/>
    </w:rPr>
  </w:style>
  <w:style w:type="character" w:styleId="817" w:customStyle="1">
    <w:name w:val="Heading 5 Char"/>
    <w:basedOn w:val="787"/>
    <w:link w:val="782"/>
    <w:uiPriority w:val="9"/>
    <w:qFormat/>
    <w:rPr>
      <w:rFonts w:ascii="Arial" w:hAnsi="Arial" w:eastAsia="Arial" w:cs="Arial"/>
      <w:b/>
      <w:bCs/>
      <w:sz w:val="24"/>
      <w:szCs w:val="24"/>
    </w:rPr>
  </w:style>
  <w:style w:type="character" w:styleId="818" w:customStyle="1">
    <w:name w:val="Heading 6 Char"/>
    <w:basedOn w:val="787"/>
    <w:link w:val="783"/>
    <w:uiPriority w:val="9"/>
    <w:qFormat/>
    <w:rPr>
      <w:rFonts w:ascii="Arial" w:hAnsi="Arial" w:eastAsia="Arial" w:cs="Arial"/>
      <w:b/>
      <w:bCs/>
      <w:sz w:val="22"/>
      <w:szCs w:val="22"/>
    </w:rPr>
  </w:style>
  <w:style w:type="character" w:styleId="819" w:customStyle="1">
    <w:name w:val="Heading 7 Char"/>
    <w:basedOn w:val="787"/>
    <w:link w:val="784"/>
    <w:uiPriority w:val="9"/>
    <w:qFormat/>
    <w:rPr>
      <w:rFonts w:ascii="Arial" w:hAnsi="Arial" w:eastAsia="Arial" w:cs="Arial"/>
      <w:b/>
      <w:bCs/>
      <w:i/>
      <w:iCs/>
      <w:sz w:val="22"/>
      <w:szCs w:val="22"/>
    </w:rPr>
  </w:style>
  <w:style w:type="character" w:styleId="820" w:customStyle="1">
    <w:name w:val="Heading 8 Char"/>
    <w:basedOn w:val="787"/>
    <w:link w:val="785"/>
    <w:uiPriority w:val="9"/>
    <w:qFormat/>
    <w:rPr>
      <w:rFonts w:ascii="Arial" w:hAnsi="Arial" w:eastAsia="Arial" w:cs="Arial"/>
      <w:i/>
      <w:iCs/>
      <w:sz w:val="22"/>
      <w:szCs w:val="22"/>
    </w:rPr>
  </w:style>
  <w:style w:type="character" w:styleId="821" w:customStyle="1">
    <w:name w:val="Heading 9 Char"/>
    <w:basedOn w:val="787"/>
    <w:link w:val="786"/>
    <w:uiPriority w:val="9"/>
    <w:qFormat/>
    <w:rPr>
      <w:rFonts w:ascii="Arial" w:hAnsi="Arial" w:eastAsia="Arial" w:cs="Arial"/>
      <w:i/>
      <w:iCs/>
      <w:sz w:val="21"/>
      <w:szCs w:val="21"/>
    </w:rPr>
  </w:style>
  <w:style w:type="paragraph" w:styleId="822">
    <w:name w:val="List Paragraph"/>
    <w:basedOn w:val="777"/>
    <w:uiPriority w:val="34"/>
    <w:qFormat/>
    <w:pPr>
      <w:contextualSpacing/>
      <w:ind w:left="720"/>
    </w:pPr>
  </w:style>
  <w:style w:type="paragraph" w:styleId="823">
    <w:name w:val="No Spacing"/>
    <w:uiPriority w:val="1"/>
    <w:qFormat/>
    <w:pPr>
      <w:spacing w:before="0" w:after="0" w:line="240" w:lineRule="auto"/>
    </w:pPr>
    <w:rPr>
      <w:rFonts w:hint="default" w:asciiTheme="minorHAnsi" w:hAnsiTheme="minorHAnsi" w:eastAsiaTheme="minorEastAsia" w:cstheme="minorBidi"/>
    </w:rPr>
  </w:style>
  <w:style w:type="character" w:styleId="824" w:customStyle="1">
    <w:name w:val="Title Char"/>
    <w:basedOn w:val="787"/>
    <w:link w:val="808"/>
    <w:uiPriority w:val="10"/>
    <w:qFormat/>
    <w:rPr>
      <w:sz w:val="48"/>
      <w:szCs w:val="48"/>
    </w:rPr>
  </w:style>
  <w:style w:type="character" w:styleId="825" w:customStyle="1">
    <w:name w:val="Subtitle Char"/>
    <w:basedOn w:val="787"/>
    <w:link w:val="801"/>
    <w:uiPriority w:val="11"/>
    <w:qFormat/>
    <w:rPr>
      <w:sz w:val="24"/>
      <w:szCs w:val="24"/>
    </w:rPr>
  </w:style>
  <w:style w:type="paragraph" w:styleId="826">
    <w:name w:val="Quote"/>
    <w:basedOn w:val="777"/>
    <w:next w:val="777"/>
    <w:link w:val="827"/>
    <w:uiPriority w:val="29"/>
    <w:qFormat/>
    <w:pPr>
      <w:ind w:left="720" w:right="720"/>
    </w:pPr>
    <w:rPr>
      <w:i/>
    </w:rPr>
  </w:style>
  <w:style w:type="character" w:styleId="827" w:customStyle="1">
    <w:name w:val="Quote Char"/>
    <w:link w:val="826"/>
    <w:uiPriority w:val="29"/>
    <w:qFormat/>
    <w:rPr>
      <w:i/>
    </w:rPr>
  </w:style>
  <w:style w:type="paragraph" w:styleId="828">
    <w:name w:val="Intense Quote"/>
    <w:basedOn w:val="777"/>
    <w:next w:val="777"/>
    <w:link w:val="8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Intense Quote Char"/>
    <w:link w:val="828"/>
    <w:uiPriority w:val="30"/>
    <w:qFormat/>
    <w:rPr>
      <w:i/>
    </w:rPr>
  </w:style>
  <w:style w:type="character" w:styleId="830" w:customStyle="1">
    <w:name w:val="Header Char"/>
    <w:basedOn w:val="787"/>
    <w:uiPriority w:val="99"/>
    <w:qFormat/>
  </w:style>
  <w:style w:type="character" w:styleId="831" w:customStyle="1">
    <w:name w:val="Footer Char"/>
    <w:basedOn w:val="787"/>
    <w:uiPriority w:val="99"/>
    <w:qFormat/>
  </w:style>
  <w:style w:type="character" w:styleId="832" w:customStyle="1">
    <w:name w:val="Caption Char"/>
    <w:uiPriority w:val="99"/>
    <w:qFormat/>
  </w:style>
  <w:style w:type="table" w:styleId="833" w:customStyle="1">
    <w:name w:val="Table Grid Light"/>
    <w:basedOn w:val="7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4" w:customStyle="1">
    <w:name w:val="Plain Table 1"/>
    <w:basedOn w:val="7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2"/>
    <w:basedOn w:val="7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3"/>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Plain Table 4"/>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Plain Table 5"/>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Grid Table 1 Light"/>
    <w:basedOn w:val="7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basedOn w:val="78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basedOn w:val="78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basedOn w:val="78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basedOn w:val="78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basedOn w:val="78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basedOn w:val="78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6" w:customStyle="1">
    <w:name w:val="Grid Table 2"/>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basedOn w:val="78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basedOn w:val="78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basedOn w:val="78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basedOn w:val="78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basedOn w:val="78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2" w:customStyle="1">
    <w:name w:val="Grid Table 2 - Accent 6"/>
    <w:basedOn w:val="78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3" w:customStyle="1">
    <w:name w:val="Grid Table 3"/>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basedOn w:val="78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basedOn w:val="78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basedOn w:val="78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basedOn w:val="78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basedOn w:val="78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basedOn w:val="78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w:basedOn w:val="7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basedOn w:val="788"/>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2" w:customStyle="1">
    <w:name w:val="Grid Table 4 - Accent 2"/>
    <w:basedOn w:val="788"/>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3" w:customStyle="1">
    <w:name w:val="Grid Table 4 - Accent 3"/>
    <w:basedOn w:val="788"/>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4" w:customStyle="1">
    <w:name w:val="Grid Table 4 - Accent 4"/>
    <w:basedOn w:val="788"/>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5" w:customStyle="1">
    <w:name w:val="Grid Table 4 - Accent 5"/>
    <w:basedOn w:val="788"/>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6" w:customStyle="1">
    <w:name w:val="Grid Table 4 - Accent 6"/>
    <w:basedOn w:val="788"/>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67" w:customStyle="1">
    <w:name w:val="Grid Table 5 Dark"/>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69" w:customStyle="1">
    <w:name w:val="Grid Table 5 Dark - Accent 2"/>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0" w:customStyle="1">
    <w:name w:val="Grid Table 5 Dark - Accent 3"/>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1" w:customStyle="1">
    <w:name w:val="Grid Table 5 Dark- Accent 4"/>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2" w:customStyle="1">
    <w:name w:val="Grid Table 5 Dark - Accent 5"/>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3" w:customStyle="1">
    <w:name w:val="Grid Table 5 Dark - Accent 6"/>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4" w:customStyle="1">
    <w:name w:val="Grid Table 6 Colorful"/>
    <w:basedOn w:val="7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6 Colorful - Accent 1"/>
    <w:basedOn w:val="788"/>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76" w:customStyle="1">
    <w:name w:val="Grid Table 6 Colorful - Accent 2"/>
    <w:basedOn w:val="78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77" w:customStyle="1">
    <w:name w:val="Grid Table 6 Colorful - Accent 3"/>
    <w:basedOn w:val="788"/>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78" w:customStyle="1">
    <w:name w:val="Grid Table 6 Colorful - Accent 4"/>
    <w:basedOn w:val="78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79" w:customStyle="1">
    <w:name w:val="Grid Table 6 Colorful - Accent 5"/>
    <w:basedOn w:val="788"/>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0" w:customStyle="1">
    <w:name w:val="Grid Table 6 Colorful - Accent 6"/>
    <w:basedOn w:val="788"/>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1" w:customStyle="1">
    <w:name w:val="Grid Table 7 Colorful"/>
    <w:basedOn w:val="7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basedOn w:val="788"/>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basedOn w:val="788"/>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basedOn w:val="788"/>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basedOn w:val="788"/>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basedOn w:val="788"/>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basedOn w:val="788"/>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88" w:customStyle="1">
    <w:name w:val="List Table 1 Light"/>
    <w:basedOn w:val="7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basedOn w:val="788"/>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0" w:customStyle="1">
    <w:name w:val="List Table 1 Light - Accent 2"/>
    <w:basedOn w:val="788"/>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1" w:customStyle="1">
    <w:name w:val="List Table 1 Light - Accent 3"/>
    <w:basedOn w:val="788"/>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2" w:customStyle="1">
    <w:name w:val="List Table 1 Light - Accent 4"/>
    <w:basedOn w:val="788"/>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3" w:customStyle="1">
    <w:name w:val="List Table 1 Light - Accent 5"/>
    <w:basedOn w:val="788"/>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4" w:customStyle="1">
    <w:name w:val="List Table 1 Light - Accent 6"/>
    <w:basedOn w:val="788"/>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5" w:customStyle="1">
    <w:name w:val="List Table 2"/>
    <w:basedOn w:val="7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List Table 2 - Accent 1"/>
    <w:basedOn w:val="788"/>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97" w:customStyle="1">
    <w:name w:val="List Table 2 - Accent 2"/>
    <w:basedOn w:val="788"/>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98" w:customStyle="1">
    <w:name w:val="List Table 2 - Accent 3"/>
    <w:basedOn w:val="788"/>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99" w:customStyle="1">
    <w:name w:val="List Table 2 - Accent 4"/>
    <w:basedOn w:val="788"/>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0" w:customStyle="1">
    <w:name w:val="List Table 2 - Accent 5"/>
    <w:basedOn w:val="788"/>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1" w:customStyle="1">
    <w:name w:val="List Table 2 - Accent 6"/>
    <w:basedOn w:val="788"/>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2" w:customStyle="1">
    <w:name w:val="List Table 3"/>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basedOn w:val="788"/>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4" w:customStyle="1">
    <w:name w:val="List Table 3 - Accent 2"/>
    <w:basedOn w:val="78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05" w:customStyle="1">
    <w:name w:val="List Table 3 - Accent 3"/>
    <w:basedOn w:val="788"/>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06" w:customStyle="1">
    <w:name w:val="List Table 3 - Accent 4"/>
    <w:basedOn w:val="78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07" w:customStyle="1">
    <w:name w:val="List Table 3 - Accent 5"/>
    <w:basedOn w:val="788"/>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08" w:customStyle="1">
    <w:name w:val="List Table 3 - Accent 6"/>
    <w:basedOn w:val="788"/>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09" w:customStyle="1">
    <w:name w:val="List Table 4"/>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basedOn w:val="788"/>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1" w:customStyle="1">
    <w:name w:val="List Table 4 - Accent 2"/>
    <w:basedOn w:val="788"/>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2" w:customStyle="1">
    <w:name w:val="List Table 4 - Accent 3"/>
    <w:basedOn w:val="788"/>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3" w:customStyle="1">
    <w:name w:val="List Table 4 - Accent 4"/>
    <w:basedOn w:val="788"/>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4" w:customStyle="1">
    <w:name w:val="List Table 4 - Accent 5"/>
    <w:basedOn w:val="788"/>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5" w:customStyle="1">
    <w:name w:val="List Table 4 - Accent 6"/>
    <w:basedOn w:val="788"/>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6" w:customStyle="1">
    <w:name w:val="List Table 5 Dark"/>
    <w:basedOn w:val="7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1"/>
    <w:basedOn w:val="788"/>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basedOn w:val="788"/>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basedOn w:val="788"/>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basedOn w:val="788"/>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basedOn w:val="788"/>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basedOn w:val="788"/>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6 Colorful"/>
    <w:basedOn w:val="7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6 Colorful - Accent 1"/>
    <w:basedOn w:val="788"/>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25" w:customStyle="1">
    <w:name w:val="List Table 6 Colorful - Accent 2"/>
    <w:basedOn w:val="788"/>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26" w:customStyle="1">
    <w:name w:val="List Table 6 Colorful - Accent 3"/>
    <w:basedOn w:val="788"/>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27" w:customStyle="1">
    <w:name w:val="List Table 6 Colorful - Accent 4"/>
    <w:basedOn w:val="788"/>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28" w:customStyle="1">
    <w:name w:val="List Table 6 Colorful - Accent 5"/>
    <w:basedOn w:val="788"/>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29" w:customStyle="1">
    <w:name w:val="List Table 6 Colorful - Accent 6"/>
    <w:basedOn w:val="788"/>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0" w:customStyle="1">
    <w:name w:val="List Table 7 Colorful"/>
    <w:basedOn w:val="7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basedOn w:val="788"/>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basedOn w:val="788"/>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basedOn w:val="788"/>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basedOn w:val="788"/>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basedOn w:val="788"/>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basedOn w:val="788"/>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37" w:customStyle="1">
    <w:name w:val="Lined - Accent"/>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Lined - Accent 1"/>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9" w:customStyle="1">
    <w:name w:val="Lined - Accent 2"/>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0" w:customStyle="1">
    <w:name w:val="Lined - Accent 3"/>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1" w:customStyle="1">
    <w:name w:val="Lined - Accent 4"/>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2" w:customStyle="1">
    <w:name w:val="Lined - Accent 5"/>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3" w:customStyle="1">
    <w:name w:val="Lined - Accent 6"/>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4" w:customStyle="1">
    <w:name w:val="Bordered &amp; Lined - Accent"/>
    <w:basedOn w:val="78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Bordered &amp; Lined - Accent 1"/>
    <w:basedOn w:val="788"/>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6" w:customStyle="1">
    <w:name w:val="Bordered &amp; Lined - Accent 2"/>
    <w:basedOn w:val="788"/>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7" w:customStyle="1">
    <w:name w:val="Bordered &amp; Lined - Accent 3"/>
    <w:basedOn w:val="788"/>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8" w:customStyle="1">
    <w:name w:val="Bordered &amp; Lined - Accent 4"/>
    <w:basedOn w:val="788"/>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9" w:customStyle="1">
    <w:name w:val="Bordered &amp; Lined - Accent 5"/>
    <w:basedOn w:val="788"/>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0" w:customStyle="1">
    <w:name w:val="Bordered &amp; Lined - Accent 6"/>
    <w:basedOn w:val="788"/>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1" w:customStyle="1">
    <w:name w:val="Bordered"/>
    <w:basedOn w:val="78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2" w:customStyle="1">
    <w:name w:val="Bordered - Accent 1"/>
    <w:basedOn w:val="78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3" w:customStyle="1">
    <w:name w:val="Bordered - Accent 2"/>
    <w:basedOn w:val="78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4" w:customStyle="1">
    <w:name w:val="Bordered - Accent 3"/>
    <w:basedOn w:val="78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55" w:customStyle="1">
    <w:name w:val="Bordered - Accent 4"/>
    <w:basedOn w:val="78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6" w:customStyle="1">
    <w:name w:val="Bordered - Accent 5"/>
    <w:basedOn w:val="78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57" w:customStyle="1">
    <w:name w:val="Bordered - Accent 6"/>
    <w:basedOn w:val="78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58" w:customStyle="1">
    <w:name w:val="Footnote Text Char"/>
    <w:link w:val="802"/>
    <w:uiPriority w:val="99"/>
    <w:qFormat/>
    <w:rPr>
      <w:sz w:val="18"/>
    </w:rPr>
  </w:style>
  <w:style w:type="character" w:styleId="959" w:customStyle="1">
    <w:name w:val="Endnote Text Char"/>
    <w:link w:val="796"/>
    <w:uiPriority w:val="99"/>
    <w:qFormat/>
    <w:rPr>
      <w:sz w:val="20"/>
    </w:rPr>
  </w:style>
  <w:style w:type="paragraph" w:styleId="960" w:customStyle="1">
    <w:name w:val="TOC Heading"/>
    <w:uiPriority w:val="39"/>
    <w:unhideWhenUsed/>
    <w:qFormat/>
    <w:rPr>
      <w:rFonts w:hint="default" w:asciiTheme="minorHAnsi" w:hAnsiTheme="minorHAnsi" w:eastAsiaTheme="minorEastAsia" w:cstheme="minorBidi"/>
    </w:rPr>
  </w:style>
  <w:style w:type="paragraph" w:styleId="961" w:customStyle="1">
    <w:name w:val="正文文本缩进11"/>
    <w:basedOn w:val="777"/>
    <w:next w:val="777"/>
    <w:uiPriority w:val="0"/>
    <w:qFormat/>
    <w:pPr>
      <w:ind w:firstLine="225"/>
    </w:pPr>
    <w:rPr>
      <w:rFonts w:ascii="仿宋_GB2312" w:eastAsia="仿宋_GB2312"/>
      <w:sz w:val="32"/>
    </w:rPr>
  </w:style>
  <w:style w:type="paragraph" w:styleId="962" w:customStyle="1">
    <w:name w:val="普通正文"/>
    <w:basedOn w:val="777"/>
    <w:uiPriority w:val="0"/>
    <w:qFormat/>
    <w:pPr>
      <w:ind w:firstLine="480"/>
      <w:spacing w:before="120" w:after="120" w:line="360" w:lineRule="auto"/>
    </w:pPr>
    <w:rPr>
      <w:rFonts w:ascii="Arial" w:hAnsi="Arial"/>
      <w:sz w:val="24"/>
      <w:szCs w:val="24"/>
    </w:rPr>
  </w:style>
  <w:style w:type="paragraph" w:styleId="963" w:customStyle="1">
    <w:name w:val="正文空2字"/>
    <w:basedOn w:val="964"/>
    <w:uiPriority w:val="99"/>
    <w:qFormat/>
    <w:pPr>
      <w:ind w:firstLine="640"/>
      <w:spacing w:line="560" w:lineRule="exact"/>
      <w:widowControl w:val="off"/>
    </w:pPr>
    <w:rPr>
      <w:rFonts w:ascii="仿宋_GB2312" w:hAnsi="仿宋_GB2312" w:cs="仿宋_GB2312"/>
      <w:lang w:val="zh-TW"/>
    </w:rPr>
  </w:style>
  <w:style w:type="paragraph" w:styleId="964" w:customStyle="1">
    <w:name w:val="左对齐正文"/>
    <w:uiPriority w:val="99"/>
    <w:qFormat/>
    <w:rPr>
      <w:rFonts w:hint="default" w:ascii="Calibri" w:hAnsi="Calibri" w:eastAsia="仿宋_GB2312" w:cs="Calibri"/>
      <w:sz w:val="32"/>
      <w:szCs w:val="32"/>
      <w:lang w:val="en-US" w:eastAsia="zh-CN" w:bidi="ar-SA"/>
    </w:rPr>
  </w:style>
  <w:style w:type="paragraph" w:styleId="965" w:customStyle="1">
    <w:name w:val="首行缩进"/>
    <w:basedOn w:val="777"/>
    <w:uiPriority w:val="0"/>
    <w:qFormat/>
    <w:pPr>
      <w:ind w:firstLine="480"/>
    </w:pPr>
    <w:rPr>
      <w:rFonts w:ascii="Times New Roman" w:hAnsi="Times New Roman" w:cs="Times New Roman"/>
      <w:lang w:val="zh-CN"/>
    </w:rPr>
  </w:style>
  <w:style w:type="table" w:styleId="966" w:customStyle="1">
    <w:name w:val="网格型1"/>
    <w:basedOn w:val="967"/>
    <w:uiPriority w:val="0"/>
    <w:qFormat/>
    <w:pPr>
      <w:jc w:val="both"/>
      <w:widowControl w:val="off"/>
    </w:pPr>
    <w:tblPr/>
  </w:style>
  <w:style w:type="table" w:styleId="967" w:customStyle="1">
    <w:name w:val="普通表格1"/>
    <w:uiPriority w:val="99"/>
    <w:unhideWhenUsed/>
    <w:qFormat/>
    <w:tblPr/>
  </w:style>
  <w:style w:type="paragraph" w:styleId="96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69"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7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71" w:customStyle="1">
    <w:name w:val="Char"/>
    <w:basedOn w:val="777"/>
    <w:uiPriority w:val="0"/>
    <w:qFormat/>
    <w:pPr>
      <w:ind w:firstLine="200"/>
      <w:tabs>
        <w:tab w:val="left" w:pos="360" w:leader="none"/>
      </w:tabs>
    </w:pPr>
    <w:rPr>
      <w:sz w:val="28"/>
      <w:szCs w:val="30"/>
    </w:rPr>
  </w:style>
  <w:style w:type="paragraph" w:styleId="972" w:customStyle="1">
    <w:name w:val="Normal_12_0"/>
    <w:uiPriority w:val="0"/>
    <w:qFormat/>
    <w:rPr>
      <w:rFonts w:hint="default" w:ascii="黑体" w:hAnsi="黑体" w:eastAsia="黑体" w:cs="Times New Roman"/>
      <w:b/>
      <w:sz w:val="32"/>
      <w:szCs w:val="24"/>
      <w:lang w:val="en-US" w:eastAsia="zh-CN" w:bidi="ar-SA"/>
    </w:rPr>
  </w:style>
  <w:style w:type="paragraph" w:styleId="973" w:customStyle="1">
    <w:name w:val="正文_12_0_0_0_0"/>
    <w:basedOn w:val="777"/>
    <w:uiPriority w:val="0"/>
    <w:qFormat/>
    <w:rPr>
      <w:rFonts w:ascii="Times New Roman" w:hAnsi="Times New Roman"/>
      <w:szCs w:val="24"/>
    </w:rPr>
  </w:style>
  <w:style w:type="paragraph" w:styleId="97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7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7" w:customStyle="1">
    <w:name w:val="Normal_20"/>
    <w:uiPriority w:val="0"/>
    <w:qFormat/>
    <w:rPr>
      <w:rFonts w:hint="default" w:ascii="黑体" w:hAnsi="黑体" w:eastAsia="黑体" w:cs="黑体"/>
      <w:b/>
      <w:sz w:val="32"/>
      <w:szCs w:val="24"/>
      <w:lang w:val="en-US" w:eastAsia="zh-CN" w:bidi="ar-SA"/>
    </w:rPr>
  </w:style>
  <w:style w:type="paragraph" w:styleId="97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979" w:customStyle="1">
    <w:name w:val="font11"/>
    <w:basedOn w:val="787"/>
    <w:uiPriority w:val="0"/>
    <w:qFormat/>
    <w:rPr>
      <w:rFonts w:hint="eastAsia" w:ascii="宋体" w:hAnsi="宋体" w:eastAsia="宋体" w:cs="宋体"/>
      <w:color w:val="000000"/>
      <w:sz w:val="20"/>
      <w:szCs w:val="20"/>
      <w:u w:val="none"/>
    </w:rPr>
  </w:style>
  <w:style w:type="character" w:styleId="980" w:customStyle="1">
    <w:name w:val="font01"/>
    <w:basedOn w:val="787"/>
    <w:uiPriority w:val="0"/>
    <w:qFormat/>
    <w:rPr>
      <w:rFonts w:hint="default" w:ascii="Arial" w:hAnsi="Arial" w:cs="Arial"/>
      <w:color w:val="000000"/>
      <w:sz w:val="20"/>
      <w:szCs w:val="20"/>
      <w:u w:val="none"/>
    </w:rPr>
  </w:style>
  <w:style w:type="paragraph" w:styleId="981" w:customStyle="1">
    <w:name w:val="普通(网站)1"/>
    <w:basedOn w:val="777"/>
    <w:uiPriority w:val="0"/>
    <w:qFormat/>
    <w:pPr>
      <w:jc w:val="left"/>
      <w:spacing w:beforeAutospacing="1" w:afterAutospacing="1"/>
    </w:pPr>
    <w:rPr>
      <w:sz w:val="24"/>
    </w:r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张祥</cp:lastModifiedBy>
  <cp:revision>10</cp:revision>
  <dcterms:created xsi:type="dcterms:W3CDTF">2022-10-10T04:43:00Z</dcterms:created>
  <dcterms:modified xsi:type="dcterms:W3CDTF">2026-06-29T01:52:58Z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CD416544197942ED999F44903FA8F967</vt:lpwstr>
  </property>
  <property fmtid="{D5CDD505-2E9C-101B-9397-08002B2CF9AE}" pid="4" name="KSOTemplateDocerSaveRecord">
    <vt:lpwstr>eyJoZGlkIjoiODAyYjE2NTJhMzMzODg2NGNjYWU0OWNkMTJiN2E5MWYiLCJ1c2VySWQiOiIxOTQ5NzAzNjMifQ==</vt:lpwstr>
  </property>
</Properties>
</file>