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5544"/>
      <w:r/>
      <w:bookmarkStart w:id="2" w:name="_Toc6715"/>
      <w:r/>
      <w:bookmarkStart w:id="3" w:name="_Toc6554"/>
      <w:r/>
      <w:bookmarkStart w:id="4" w:name="_Toc2539"/>
      <w:r/>
      <w:bookmarkStart w:id="5" w:name="_Toc10769"/>
      <w:r/>
      <w:r/>
    </w:p>
    <w:p>
      <w:pPr>
        <w:pStyle w:val="1073"/>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3"/>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3"/>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17697"/>
      <w:r/>
      <w:bookmarkStart w:id="7" w:name="_Toc2262"/>
      <w:r/>
      <w:bookmarkStart w:id="8" w:name="_Toc14121"/>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cs="宋体"/>
          <w:b/>
          <w:bCs/>
          <w:sz w:val="32"/>
          <w:szCs w:val="32"/>
          <w:highlight w:val="none"/>
          <w:lang w:eastAsia="zh-CN"/>
        </w:rPr>
        <w:t xml:space="preserve">张家港市河道安全监测与巡查项目</w:t>
      </w:r>
      <w:r/>
    </w:p>
    <w:p>
      <w:pPr>
        <w:pStyle w:val="1073"/>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cyan"/>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编号：JSZC-320582-SZHH-G2026-0001</w:t>
      </w:r>
      <w:r/>
    </w:p>
    <w:p>
      <w:pPr>
        <w:pStyle w:val="1073"/>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73"/>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55"/>
        <w:rPr>
          <w:b/>
          <w:bCs/>
          <w:sz w:val="32"/>
          <w:szCs w:val="32"/>
          <w:highlight w:val="none"/>
        </w:rPr>
      </w:pPr>
      <w:r>
        <w:rPr>
          <w:b/>
          <w:bCs/>
          <w:sz w:val="32"/>
          <w:szCs w:val="32"/>
          <w:highlight w:val="none"/>
        </w:rPr>
      </w:r>
      <w:r/>
    </w:p>
    <w:p>
      <w:pPr>
        <w:pStyle w:val="1055"/>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978"/>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479757206"/>
      <w:r/>
      <w:bookmarkStart w:id="10" w:name="_Toc523127445"/>
      <w:r/>
      <w:bookmarkStart w:id="11" w:name="_Toc20823272"/>
      <w:r/>
      <w:bookmarkStart w:id="12" w:name="_Toc16938516"/>
      <w:r/>
      <w:bookmarkStart w:id="13" w:name="_Toc513029200"/>
      <w:r/>
      <w:bookmarkStart w:id="14" w:name="_Toc120614211"/>
      <w:r>
        <w:rPr>
          <w:rFonts w:hint="eastAsia"/>
          <w:b/>
          <w:bCs/>
          <w:sz w:val="32"/>
          <w:szCs w:val="32"/>
          <w:highlight w:val="none"/>
          <w:lang w:eastAsia="zh-CN"/>
        </w:rPr>
        <w:t xml:space="preserve">苏州弘晖工程造价咨询有限公司</w:t>
      </w:r>
      <w:r/>
    </w:p>
    <w:p>
      <w:pPr>
        <w:pStyle w:val="1073"/>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62"/>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6</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3"/>
          <w:footerReference w:type="first" r:id="rId14"/>
          <w:footnotePr>
            <w:numFmt w:val="decimalEnclosedCircleChinese"/>
          </w:footnotePr>
          <w:endnotePr/>
          <w:type w:val="nextPage"/>
          <w:pgSz w:w="11906" w:h="16838" w:orient="portrait"/>
          <w:pgMar w:top="1440" w:right="1080" w:bottom="1440" w:left="1080" w:header="851" w:footer="992" w:gutter="0"/>
          <w:pgNumType w:start="1"/>
          <w:cols w:num="1" w:sep="0" w:space="720"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color w:val="auto"/>
          <w:sz w:val="24"/>
          <w:highlight w:val="none"/>
        </w:rPr>
      </w:pPr>
      <w:r>
        <w:rPr>
          <w:rFonts w:hint="eastAsia" w:ascii="宋体" w:hAnsi="宋体" w:eastAsia="宋体" w:cs="宋体"/>
          <w:b/>
          <w:bCs/>
          <w:color w:val="auto"/>
          <w:sz w:val="44"/>
          <w:szCs w:val="44"/>
          <w:highlight w:val="none"/>
        </w:rPr>
        <w:t xml:space="preserve">总  目  录</w:t>
      </w:r>
      <w:r/>
    </w:p>
    <w:p>
      <w:pPr>
        <w:ind w:firstLine="562"/>
        <w:tabs>
          <w:tab w:val="left" w:pos="1440" w:leader="none"/>
        </w:tabs>
        <w:rPr>
          <w:color w:val="auto"/>
          <w:highlight w:val="none"/>
        </w:rPr>
      </w:pPr>
      <w:r>
        <w:rPr>
          <w:rFonts w:hint="eastAsia" w:ascii="仿宋_GB2312" w:eastAsia="仿宋_GB2312"/>
          <w:b/>
          <w:bCs/>
          <w:color w:val="auto"/>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     </w:t>
      </w:r>
      <w:r/>
    </w:p>
    <w:p>
      <w:pPr>
        <w:pStyle w:val="1152"/>
        <w:ind w:firstLine="0"/>
        <w:keepLines w:val="0"/>
        <w:keepNext w:val="0"/>
        <w:pageBreakBefore w:val="0"/>
        <w:spacing w:line="480" w:lineRule="auto"/>
        <w:widowControl w:val="off"/>
        <w:tabs>
          <w:tab w:val="right" w:pos="9746"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TOC \o "1-1" \h \u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_Toc17527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_Toc17527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r/>
    </w:p>
    <w:p>
      <w:pPr>
        <w:pStyle w:val="1152"/>
        <w:ind w:firstLine="0"/>
        <w:keepLines w:val="0"/>
        <w:keepNext w:val="0"/>
        <w:pageBreakBefore w:val="0"/>
        <w:spacing w:line="480" w:lineRule="auto"/>
        <w:widowControl w:val="off"/>
        <w:tabs>
          <w:tab w:val="right" w:pos="9746"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_Toc29007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_Toc29007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5</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r/>
    </w:p>
    <w:p>
      <w:pPr>
        <w:pStyle w:val="1152"/>
        <w:ind w:firstLine="0"/>
        <w:keepLines w:val="0"/>
        <w:keepNext w:val="0"/>
        <w:pageBreakBefore w:val="0"/>
        <w:spacing w:line="480" w:lineRule="auto"/>
        <w:widowControl w:val="off"/>
        <w:tabs>
          <w:tab w:val="right" w:pos="9746"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_Toc26922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 xml:space="preserve">第三章 合同条款及格式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_Toc26922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16</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r/>
    </w:p>
    <w:p>
      <w:pPr>
        <w:pStyle w:val="1152"/>
        <w:ind w:firstLine="0"/>
        <w:keepLines w:val="0"/>
        <w:keepNext w:val="0"/>
        <w:pageBreakBefore w:val="0"/>
        <w:spacing w:line="480" w:lineRule="auto"/>
        <w:widowControl w:val="off"/>
        <w:tabs>
          <w:tab w:val="right" w:pos="9746"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_Toc18404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 xml:space="preserve">第四章 项目需求</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_Toc18404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21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r/>
    </w:p>
    <w:p>
      <w:pPr>
        <w:pStyle w:val="1152"/>
        <w:ind w:firstLine="0"/>
        <w:keepLines w:val="0"/>
        <w:keepNext w:val="0"/>
        <w:pageBreakBefore w:val="0"/>
        <w:spacing w:line="480" w:lineRule="auto"/>
        <w:widowControl w:val="off"/>
        <w:tabs>
          <w:tab w:val="right" w:pos="9746" w:leader="dot"/>
        </w:tabs>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_Toc21635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 xml:space="preserve">第五章 评标方法与评标标准</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_Toc21635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 xml:space="preserve">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r/>
    </w:p>
    <w:p>
      <w:pPr>
        <w:pStyle w:val="1152"/>
        <w:ind w:firstLine="0"/>
        <w:keepLines w:val="0"/>
        <w:keepNext w:val="0"/>
        <w:pageBreakBefore w:val="0"/>
        <w:spacing w:line="480" w:lineRule="auto"/>
        <w:widowControl w:val="off"/>
        <w:tabs>
          <w:tab w:val="right" w:pos="9746" w:leader="dot"/>
        </w:tabs>
        <w:rPr>
          <w:rFonts w:hint="default" w:ascii="宋体" w:hAnsi="宋体" w:eastAsia="宋体" w:cs="宋体"/>
          <w:color w:val="auto"/>
          <w:sz w:val="28"/>
          <w:szCs w:val="36"/>
          <w:highlight w:val="none"/>
          <w:lang w:val="en-US" w:eastAsia="zh-CN"/>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_Toc299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rPr>
        <w:t xml:space="preserve">第六章 </w:t>
      </w:r>
      <w:r>
        <w:rPr>
          <w:rFonts w:hint="eastAsia" w:ascii="宋体" w:hAnsi="宋体" w:eastAsia="宋体" w:cs="宋体"/>
          <w:bCs/>
          <w:color w:val="auto"/>
          <w:sz w:val="28"/>
          <w:szCs w:val="44"/>
          <w:highlight w:val="none"/>
          <w:lang w:val="en-US" w:eastAsia="zh-CN" w:bidi="ar-SA"/>
        </w:rPr>
        <w:t xml:space="preserve">投标文件格式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end"/>
      </w:r>
      <w:r>
        <w:rPr>
          <w:rFonts w:hint="eastAsia" w:ascii="宋体" w:hAnsi="宋体" w:cs="宋体"/>
          <w:color w:val="auto"/>
          <w:sz w:val="28"/>
          <w:szCs w:val="36"/>
          <w:highlight w:val="none"/>
          <w:lang w:val="en-US" w:eastAsia="zh-CN"/>
        </w:rPr>
        <w:t xml:space="preserve">47</w:t>
      </w:r>
      <w:r/>
    </w:p>
    <w:p>
      <w:pPr>
        <w:ind w:firstLine="0"/>
        <w:keepLines w:val="0"/>
        <w:keepNext w:val="0"/>
        <w:pageBreakBefore w:val="0"/>
        <w:spacing w:line="480" w:lineRule="auto"/>
        <w:widowControl w:val="off"/>
        <w:rPr>
          <w:color w:val="auto"/>
          <w:highlight w:val="none"/>
        </w:rPr>
      </w:pPr>
      <w:r>
        <w:rPr>
          <w:rFonts w:hint="eastAsia" w:ascii="宋体" w:hAnsi="宋体" w:eastAsia="宋体" w:cs="宋体"/>
          <w:color w:val="auto"/>
          <w:sz w:val="28"/>
          <w:szCs w:val="36"/>
          <w:highlight w:val="none"/>
        </w:rPr>
        <w:fldChar w:fldCharType="end"/>
      </w:r>
      <w:r/>
    </w:p>
    <w:p>
      <w:pPr>
        <w:ind w:firstLine="723"/>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 </w:t>
      </w:r>
      <w:r/>
    </w:p>
    <w:p>
      <w:pPr>
        <w:ind w:firstLine="723"/>
        <w:rPr>
          <w:rFonts w:hint="eastAsia" w:hAnsi="宋体"/>
          <w:color w:val="auto"/>
          <w:sz w:val="24"/>
          <w:highlight w:val="none"/>
        </w:rPr>
      </w:pPr>
      <w:r>
        <w:rPr>
          <w:rFonts w:hint="eastAsia"/>
          <w:b/>
          <w:color w:val="auto"/>
          <w:sz w:val="24"/>
          <w:highlight w:val="none"/>
        </w:rPr>
        <w:t xml:space="preserve">     </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bookmarkEnd w:id="15"/>
      <w:r/>
    </w:p>
    <w:p>
      <w:pPr>
        <w:ind w:firstLine="199"/>
        <w:rPr>
          <w:rFonts w:hint="eastAsia" w:hAnsi="宋体"/>
          <w:color w:val="auto"/>
          <w:szCs w:val="21"/>
          <w:highlight w:val="none"/>
        </w:rPr>
        <w:sectPr>
          <w:footerReference w:type="default" r:id="rId15"/>
          <w:footnotePr>
            <w:numFmt w:val="decimalEnclosedCircleChinese"/>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hAnsi="宋体"/>
          <w:color w:val="auto"/>
          <w:szCs w:val="21"/>
          <w:highlight w:val="none"/>
        </w:rPr>
      </w:r>
      <w:r/>
    </w:p>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bookmarkStart w:id="16" w:name="_Toc3895"/>
      <w:r/>
      <w:bookmarkStart w:id="17" w:name="_Toc25300"/>
      <w:r/>
      <w:bookmarkStart w:id="18" w:name="_Toc31221"/>
      <w:r/>
      <w:bookmarkStart w:id="19" w:name="_Toc23092"/>
      <w:r/>
      <w:bookmarkStart w:id="20" w:name="_Toc17527"/>
      <w:r/>
      <w:bookmarkStart w:id="21" w:name="_Toc789"/>
      <w:r>
        <w:rPr>
          <w:rFonts w:hint="eastAsia" w:ascii="宋体" w:hAnsi="宋体" w:eastAsia="宋体" w:cs="宋体"/>
          <w:b/>
          <w:bCs/>
          <w:color w:val="auto"/>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360" w:lineRule="auto"/>
        <w:rPr>
          <w:color w:val="auto"/>
          <w:highlight w:val="none"/>
        </w:rPr>
      </w:pPr>
      <w:r>
        <w:rPr>
          <w:rFonts w:hint="eastAsia" w:ascii="宋体" w:hAnsi="宋体" w:cs="宋体"/>
          <w:color w:val="auto"/>
          <w:sz w:val="24"/>
          <w:szCs w:val="24"/>
          <w:highlight w:val="none"/>
          <w:u w:val="none"/>
          <w:lang w:val="en-US" w:eastAsia="zh-CN"/>
        </w:rPr>
        <w:t xml:space="preserve">张家港市河道安全监测与巡查项目JSZC-320582-SZHH-G2026-0001</w:t>
      </w:r>
      <w:r>
        <w:rPr>
          <w:rFonts w:hint="eastAsia" w:ascii="宋体" w:hAnsi="宋体" w:eastAsia="宋体" w:cs="宋体"/>
          <w:color w:val="auto"/>
          <w:sz w:val="24"/>
          <w:szCs w:val="24"/>
          <w:highlight w:val="none"/>
          <w:lang w:val="en-US" w:eastAsia="zh-CN" w:bidi="ar"/>
        </w:rPr>
        <w:t xml:space="preserve">招标项目的潜在投标人应在苏采云政府采购一体化平台（网址：http://jszfcg.jsczt.cn/）获取招标文件，</w:t>
      </w:r>
      <w:r>
        <w:rPr>
          <w:rFonts w:hint="eastAsia" w:ascii="宋体" w:hAnsi="宋体" w:cs="宋体"/>
          <w:color w:val="auto"/>
          <w:sz w:val="24"/>
          <w:highlight w:val="none"/>
        </w:rPr>
        <w:t xml:space="preserve">并于202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0（北京时间）前递交投标文件。</w:t>
      </w:r>
      <w:r/>
    </w:p>
    <w:p>
      <w:pPr>
        <w:numPr>
          <w:ilvl w:val="0"/>
          <w:numId w:val="0"/>
        </w:numPr>
        <w:ind w:firstLine="0"/>
        <w:spacing w:line="360" w:lineRule="auto"/>
        <w:rPr>
          <w:rFonts w:hint="eastAsia" w:ascii="宋体" w:hAnsi="宋体" w:eastAsia="宋体" w:cs="宋体"/>
          <w:b/>
          <w:bCs/>
          <w:i w:val="0"/>
          <w:iCs w:val="0"/>
          <w:color w:val="auto"/>
          <w:sz w:val="24"/>
          <w:highlight w:val="none"/>
          <w:u w:val="none"/>
        </w:rPr>
        <w:outlineLvl w:val="1"/>
      </w:pPr>
      <w:r/>
      <w:bookmarkStart w:id="22" w:name="_Toc22623"/>
      <w:r/>
      <w:bookmarkStart w:id="23" w:name="_Toc19500"/>
      <w:r/>
      <w:bookmarkStart w:id="24" w:name="_Toc1246"/>
      <w:r>
        <w:rPr>
          <w:rFonts w:hint="eastAsia" w:ascii="宋体" w:hAnsi="宋体" w:eastAsia="宋体" w:cs="宋体"/>
          <w:b/>
          <w:bCs/>
          <w:i w:val="0"/>
          <w:iCs w:val="0"/>
          <w:color w:val="auto"/>
          <w:sz w:val="24"/>
          <w:highlight w:val="none"/>
          <w:u w:val="none"/>
        </w:rPr>
        <w:t xml:space="preserve">项目</w:t>
      </w:r>
      <w:r>
        <w:rPr>
          <w:rFonts w:hint="eastAsia" w:ascii="宋体" w:hAnsi="宋体" w:eastAsia="宋体" w:cs="宋体"/>
          <w:b/>
          <w:bCs/>
          <w:i w:val="0"/>
          <w:iCs w:val="0"/>
          <w:color w:val="auto"/>
          <w:sz w:val="24"/>
          <w:highlight w:val="none"/>
          <w:u w:val="none"/>
          <w:lang w:val="en-US" w:eastAsia="zh-CN"/>
        </w:rPr>
        <w:t xml:space="preserve">概况</w:t>
      </w:r>
      <w:bookmarkEnd w:id="22"/>
      <w:r/>
      <w:bookmarkEnd w:id="23"/>
      <w:r/>
      <w:bookmarkEnd w:id="24"/>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张家港市河道安全监测与巡查项目</w:t>
      </w:r>
      <w:r>
        <w:rPr>
          <w:rFonts w:hint="eastAsia" w:ascii="宋体" w:hAnsi="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项目编号：JSZC-320582-SZHH-G2026-0001</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预算</w:t>
      </w:r>
      <w:r>
        <w:rPr>
          <w:rFonts w:hint="eastAsia" w:ascii="宋体" w:hAnsi="宋体" w:cs="宋体"/>
          <w:color w:val="auto"/>
          <w:sz w:val="24"/>
          <w:highlight w:val="none"/>
          <w:lang w:val="en-US" w:eastAsia="zh-CN"/>
        </w:rPr>
        <w:t xml:space="preserve">金额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万元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200</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rPr>
        <w:t xml:space="preserve">元</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采购需求：对张家港市现有河道养护管理等情况进行</w:t>
      </w:r>
      <w:r>
        <w:rPr>
          <w:rFonts w:hint="eastAsia" w:ascii="宋体" w:hAnsi="宋体" w:cs="宋体"/>
          <w:color w:val="auto"/>
          <w:sz w:val="24"/>
          <w:highlight w:val="none"/>
          <w:lang w:val="en-US" w:eastAsia="zh-CN"/>
        </w:rPr>
        <w:t xml:space="preserve">河道提防设施监测</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各级遥感图斑、交办问题复核及整改跟踪</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河道管护巡查及</w:t>
      </w:r>
      <w:r>
        <w:rPr>
          <w:rFonts w:hint="eastAsia" w:ascii="宋体" w:hAnsi="宋体" w:eastAsia="宋体" w:cs="宋体"/>
          <w:color w:val="auto"/>
          <w:sz w:val="24"/>
          <w:highlight w:val="none"/>
        </w:rPr>
        <w:t xml:space="preserve">数据统计分析和平台维护等工作。具体要求详见项目需求</w:t>
      </w:r>
      <w:r>
        <w:rPr>
          <w:rFonts w:hint="eastAsia" w:ascii="宋体" w:hAnsi="宋体" w:cs="宋体"/>
          <w:color w:val="auto"/>
          <w:sz w:val="24"/>
          <w:highlight w:val="none"/>
          <w:lang w:eastAsia="zh-CN"/>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合同履行</w:t>
      </w:r>
      <w:r>
        <w:rPr>
          <w:rFonts w:hint="eastAsia" w:ascii="宋体" w:hAnsi="宋体" w:cs="宋体"/>
          <w:color w:val="auto"/>
          <w:sz w:val="24"/>
          <w:highlight w:val="none"/>
        </w:rPr>
        <w:t xml:space="preserve">期限：</w:t>
      </w:r>
      <w:r>
        <w:rPr>
          <w:rFonts w:hint="default" w:ascii="宋体" w:hAnsi="宋体" w:cs="宋体"/>
          <w:color w:val="auto"/>
          <w:sz w:val="24"/>
          <w:highlight w:val="none"/>
          <w:lang w:val="en-US" w:eastAsia="zh-CN"/>
        </w:rPr>
        <w:t xml:space="preserve">服务期</w:t>
      </w:r>
      <w:r>
        <w:rPr>
          <w:rFonts w:hint="eastAsia" w:ascii="宋体" w:hAnsi="宋体" w:cs="宋体"/>
          <w:color w:val="auto"/>
          <w:sz w:val="24"/>
          <w:highlight w:val="none"/>
          <w:lang w:val="en-US" w:eastAsia="zh-CN"/>
        </w:rPr>
        <w:t xml:space="preserve">自</w:t>
      </w:r>
      <w:r>
        <w:rPr>
          <w:rFonts w:hint="default" w:ascii="宋体" w:hAnsi="宋体" w:cs="宋体"/>
          <w:color w:val="auto"/>
          <w:sz w:val="24"/>
          <w:highlight w:val="none"/>
          <w:lang w:val="en-US" w:eastAsia="zh-CN"/>
        </w:rPr>
        <w:t xml:space="preserve">合同签订之日起2年</w:t>
      </w:r>
      <w:r>
        <w:rPr>
          <w:rFonts w:hint="eastAsia" w:ascii="宋体" w:hAnsi="宋体" w:cs="宋体"/>
          <w:color w:val="auto"/>
          <w:sz w:val="24"/>
          <w:highlight w:val="none"/>
          <w:lang w:val="en-US" w:eastAsia="zh-CN"/>
        </w:rPr>
        <w:t xml:space="preserve">。</w:t>
      </w:r>
      <w:r/>
    </w:p>
    <w:p>
      <w:pPr>
        <w:ind w:firstLine="480"/>
        <w:jc w:val="left"/>
        <w:spacing w:line="360" w:lineRule="auto"/>
        <w:widowControl/>
        <w:rPr>
          <w:rFonts w:hint="eastAsia" w:ascii="宋体" w:hAnsi="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 xml:space="preserve">本项目不接受联合体投标。</w:t>
      </w:r>
      <w:r/>
    </w:p>
    <w:p>
      <w:pPr>
        <w:numPr>
          <w:ilvl w:val="0"/>
          <w:numId w:val="0"/>
        </w:numPr>
        <w:ind w:firstLine="0"/>
        <w:spacing w:line="360" w:lineRule="auto"/>
        <w:rPr>
          <w:rFonts w:hint="eastAsia" w:ascii="宋体" w:hAnsi="宋体" w:cs="宋体"/>
          <w:b/>
          <w:bCs/>
          <w:i w:val="0"/>
          <w:iCs w:val="0"/>
          <w:color w:val="auto"/>
          <w:sz w:val="24"/>
          <w:highlight w:val="none"/>
          <w:u w:val="none"/>
        </w:rPr>
        <w:outlineLvl w:val="1"/>
      </w:pPr>
      <w:r/>
      <w:bookmarkStart w:id="25" w:name="_Toc23113"/>
      <w:r/>
      <w:bookmarkStart w:id="26" w:name="_Toc3044"/>
      <w:r/>
      <w:bookmarkStart w:id="27" w:name="_Toc7697"/>
      <w:r>
        <w:rPr>
          <w:rFonts w:hint="eastAsia" w:ascii="宋体" w:hAnsi="宋体" w:cs="宋体"/>
          <w:b/>
          <w:bCs/>
          <w:i w:val="0"/>
          <w:iCs w:val="0"/>
          <w:color w:val="auto"/>
          <w:sz w:val="24"/>
          <w:highlight w:val="none"/>
          <w:u w:val="none"/>
        </w:rPr>
        <w:t xml:space="preserve">供应商资格要求</w:t>
      </w:r>
      <w:bookmarkEnd w:id="25"/>
      <w:r/>
      <w:bookmarkEnd w:id="26"/>
      <w:r/>
      <w:bookmarkEnd w:id="27"/>
      <w:r/>
      <w:r/>
    </w:p>
    <w:p>
      <w:pPr>
        <w:pStyle w:val="978"/>
        <w:numPr>
          <w:ilvl w:val="0"/>
          <w:numId w:val="0"/>
        </w:numPr>
        <w:ind w:left="0" w:firstLine="480"/>
        <w:keepLines w:val="0"/>
        <w:keepNext w:val="0"/>
        <w:pageBreakBefore w:val="0"/>
        <w:spacing w:line="360" w:lineRule="auto"/>
        <w:widowControl w:val="off"/>
        <w:rPr>
          <w:rFonts w:hint="eastAsia" w:cs="宋体"/>
          <w:i w:val="0"/>
          <w:iCs w:val="0"/>
          <w:color w:val="auto"/>
          <w:highlight w:val="none"/>
          <w:u w:val="none"/>
        </w:rPr>
      </w:pPr>
      <w:r>
        <w:rPr>
          <w:rFonts w:hint="eastAsia"/>
          <w:color w:val="auto"/>
          <w:highlight w:val="none"/>
        </w:rPr>
        <w:t xml:space="preserve">满足《中华人民共和国政府采购法》第二十二条规定；</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（2）财务状况报告（成立不满一年不需要提供）（若供应商为分公司，可提供总公司财务状况报告）；</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（3）依法缴纳税收和社会保障资金的相关材料（如依法享受缓缴、免缴税收、社会保障资金的，应提供相关证明材料）；</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（4）具备履行合同所必需的设备和专业技术能力的书面声明；</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（5）参加政府采购活动前3年内在经营活动中没有重大违法记录的书面声明；</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（6）授权委托书（被授权人非法定代表人的，应提供授权委托书；被授权人是法定代表人应提供授权委托书或法定代表人身份证明书）；</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rPr>
          <w:rFonts w:hint="eastAsia" w:cs="宋体"/>
          <w:i w:val="0"/>
          <w:iCs w:val="0"/>
          <w:color w:val="auto"/>
          <w:sz w:val="24"/>
          <w:szCs w:val="24"/>
          <w:highlight w:val="none"/>
          <w:u w:val="none"/>
          <w:lang w:val="en-US" w:eastAsia="zh-CN"/>
        </w:rPr>
        <w:t xml:space="preserve">关于</w:t>
      </w:r>
      <w:r>
        <w:rPr>
          <w:rFonts w:hint="eastAsia" w:ascii="宋体" w:hAnsi="宋体" w:eastAsia="宋体" w:cs="宋体"/>
          <w:i w:val="0"/>
          <w:iCs w:val="0"/>
          <w:color w:val="auto"/>
          <w:sz w:val="24"/>
          <w:szCs w:val="24"/>
          <w:highlight w:val="none"/>
          <w:u w:val="none"/>
          <w:lang w:val="en-US" w:eastAsia="zh-CN"/>
        </w:rPr>
        <w:t xml:space="preserve">资格证明文件的书面承诺。</w:t>
      </w:r>
      <w:r/>
    </w:p>
    <w:p>
      <w:pPr>
        <w:pStyle w:val="978"/>
        <w:numPr>
          <w:ilvl w:val="0"/>
          <w:numId w:val="0"/>
        </w:numPr>
        <w:ind w:lef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落实政府采购政策需满足的资格要求：</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outlineLvl w:val="9"/>
      </w:pPr>
      <w:r/>
      <w:bookmarkStart w:id="28" w:name="_Toc17592"/>
      <w:r>
        <w:rPr>
          <w:rFonts w:hint="eastAsia" w:ascii="宋体" w:hAnsi="宋体" w:eastAsia="宋体" w:cs="宋体"/>
          <w:i w:val="0"/>
          <w:iCs w:val="0"/>
          <w:color w:val="auto"/>
          <w:sz w:val="24"/>
          <w:szCs w:val="24"/>
          <w:highlight w:val="none"/>
          <w:u w:val="none"/>
          <w:lang w:val="en-US" w:eastAsia="zh-CN"/>
        </w:rPr>
        <w:t xml:space="preserve">2.1本项目专门面向中小企业采购</w:t>
      </w:r>
      <w:bookmarkEnd w:id="28"/>
      <w:r>
        <w:rPr>
          <w:rFonts w:hint="eastAsia" w:ascii="宋体" w:hAnsi="宋体" w:eastAsia="宋体" w:cs="宋体"/>
          <w:i w:val="0"/>
          <w:iCs w:val="0"/>
          <w:color w:val="auto"/>
          <w:sz w:val="24"/>
          <w:szCs w:val="24"/>
          <w:highlight w:val="none"/>
          <w:u w:val="none"/>
          <w:lang w:val="en-US" w:eastAsia="zh-CN"/>
        </w:rPr>
        <w:t xml:space="preserve">。</w:t>
      </w:r>
      <w:r/>
    </w:p>
    <w:p>
      <w:pPr>
        <w:pStyle w:val="978"/>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978"/>
        <w:numPr>
          <w:ilvl w:val="0"/>
          <w:numId w:val="0"/>
        </w:numPr>
        <w:ind w:lef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根据《关于政府采购支持监狱企业发展有关问题的通知》（财库〔2014〕68号）的通知规定，在政府采购活动中，监狱企业视同小型、微型企业。</w:t>
      </w:r>
      <w:r/>
    </w:p>
    <w:p>
      <w:pPr>
        <w:pStyle w:val="978"/>
        <w:numPr>
          <w:ilvl w:val="0"/>
          <w:numId w:val="0"/>
        </w:numPr>
        <w:ind w:lef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本项目的特定资格要求：</w:t>
      </w:r>
      <w:r/>
    </w:p>
    <w:p>
      <w:pPr>
        <w:pStyle w:val="978"/>
        <w:numPr>
          <w:ilvl w:val="0"/>
          <w:numId w:val="0"/>
        </w:numPr>
        <w:ind w:left="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供应商须具备测绘行政主管部门颁发的测绘乙级（含以上）资质。</w:t>
      </w:r>
      <w:r/>
    </w:p>
    <w:p>
      <w:pPr>
        <w:pStyle w:val="978"/>
        <w:numPr>
          <w:ilvl w:val="0"/>
          <w:numId w:val="0"/>
        </w:numPr>
        <w:ind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备注：基于张家港市河道堤防设施监测与巡查实际工作内容与技术要求需要，本项目涉及测绘活动主要包括河道地形测量、断面测量及纵横断面测量等常规工程测量内容，依据《测绘资质管理办法》及《测绘资质分类分级标准》分类规定、本项按常规性河道检测任务属于工程测量专业范畴，按上述要求设置。</w:t>
      </w:r>
      <w:r/>
    </w:p>
    <w:p>
      <w:pPr>
        <w:numPr>
          <w:ilvl w:val="0"/>
          <w:numId w:val="0"/>
        </w:numPr>
        <w:ind w:firstLine="0"/>
        <w:spacing w:line="360" w:lineRule="auto"/>
        <w:rPr>
          <w:rFonts w:hint="eastAsia" w:ascii="宋体" w:hAnsi="宋体" w:eastAsia="宋体" w:cs="宋体"/>
          <w:b/>
          <w:bCs/>
          <w:color w:val="auto"/>
          <w:sz w:val="24"/>
          <w:szCs w:val="24"/>
          <w:highlight w:val="none"/>
        </w:rPr>
        <w:outlineLvl w:val="1"/>
      </w:pPr>
      <w:r/>
      <w:bookmarkStart w:id="29" w:name="_Toc11655"/>
      <w:r/>
      <w:bookmarkStart w:id="30" w:name="_Toc10458"/>
      <w:r/>
      <w:bookmarkStart w:id="31" w:name="_Toc29811"/>
      <w:r>
        <w:rPr>
          <w:rFonts w:hint="eastAsia" w:ascii="宋体" w:hAnsi="宋体" w:eastAsia="宋体" w:cs="宋体"/>
          <w:b/>
          <w:bCs/>
          <w:color w:val="auto"/>
          <w:sz w:val="24"/>
          <w:szCs w:val="24"/>
          <w:highlight w:val="none"/>
        </w:rPr>
        <w:t xml:space="preserve">获取招标文件</w:t>
      </w:r>
      <w:bookmarkEnd w:id="29"/>
      <w:r/>
      <w:bookmarkEnd w:id="30"/>
      <w:r/>
      <w:bookmarkEnd w:id="31"/>
      <w:r/>
      <w:r/>
    </w:p>
    <w:p>
      <w:pPr>
        <w:pStyle w:val="958"/>
        <w:ind w:right="0" w:firstLine="480"/>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bookmarkStart w:id="32" w:name="_Toc22145"/>
      <w:r/>
      <w:bookmarkStart w:id="33" w:name="_Toc18899"/>
      <w:r/>
      <w:bookmarkStart w:id="34" w:name="_Toc14544"/>
      <w:r>
        <w:rPr>
          <w:rFonts w:hint="eastAsia" w:ascii="宋体" w:hAnsi="宋体" w:eastAsia="宋体" w:cs="宋体"/>
          <w:color w:val="auto"/>
          <w:sz w:val="24"/>
          <w:szCs w:val="24"/>
          <w:highlight w:val="none"/>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地点：苏采云政府采购一体化平台（网址http://jszfcg.jsczt.cn/） </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1.CA证书办理</w:t>
      </w:r>
      <w:r/>
    </w:p>
    <w:p>
      <w:pPr>
        <w:ind w:firstLine="540"/>
        <w:spacing w:line="360" w:lineRule="auto"/>
        <w:shd w:val="clear" w:color="auto" w:fill="ffffff"/>
        <w:widowControl/>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color w:val="auto"/>
          <w:spacing w:val="8"/>
          <w:sz w:val="24"/>
          <w:highlight w:val="none"/>
          <w:lang w:eastAsia="zh-CN"/>
        </w:rPr>
        <w:t xml:space="preserve">苏州市高新区邓尉路105号狮山科技馆一楼服务大厅</w:t>
      </w:r>
      <w:r>
        <w:rPr>
          <w:rFonts w:ascii="Times New Roman" w:hAnsi="Times New Roman"/>
          <w:color w:val="auto"/>
          <w:spacing w:val="8"/>
          <w:sz w:val="24"/>
          <w:highlight w:val="none"/>
        </w:rPr>
        <w:t xml:space="preserve">窗口，咨询电话：</w:t>
      </w:r>
      <w:r>
        <w:rPr>
          <w:rFonts w:hint="eastAsia"/>
          <w:color w:val="auto"/>
          <w:spacing w:val="8"/>
          <w:sz w:val="24"/>
          <w:highlight w:val="none"/>
          <w:lang w:eastAsia="zh-CN"/>
        </w:rPr>
        <w:t xml:space="preserve">0512-65737699。</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2.参与采购活动</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3.电子投标准备</w:t>
      </w:r>
      <w:r/>
    </w:p>
    <w:p>
      <w:pPr>
        <w:ind w:firstLine="540"/>
        <w:jc w:val="left"/>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注册咨询：18261002950；</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CA技术咨询电话：400-608-6099；</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系统使用指导与咨询：18261002950、0512-69820854。</w:t>
      </w:r>
      <w:r/>
    </w:p>
    <w:p>
      <w:pPr>
        <w:pStyle w:val="942"/>
        <w:ind w:left="0" w:firstLine="512"/>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pacing w:val="8"/>
          <w:sz w:val="24"/>
          <w:highlight w:val="none"/>
        </w:rPr>
        <w:t xml:space="preserve">4.售价：无</w:t>
      </w:r>
      <w:r/>
    </w:p>
    <w:p>
      <w:pPr>
        <w:numPr>
          <w:ilvl w:val="0"/>
          <w:numId w:val="0"/>
        </w:numPr>
        <w:ind w:firstLine="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提交投标文件截止时间、开标时间和地点</w:t>
      </w:r>
      <w:bookmarkEnd w:id="32"/>
      <w:r/>
      <w:bookmarkEnd w:id="33"/>
      <w:r/>
      <w:bookmarkEnd w:id="34"/>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(北京时间)</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highlight w:val="none"/>
          <w:lang w:val="en-US" w:eastAsia="zh-CN"/>
        </w:rPr>
        <w:t xml:space="preserve">2.</w:t>
      </w:r>
      <w:r>
        <w:rPr>
          <w:rFonts w:hint="eastAsia" w:ascii="宋体" w:hAnsi="宋体" w:eastAsia="宋体" w:cs="宋体"/>
          <w:color w:val="auto"/>
          <w:spacing w:val="8"/>
          <w:sz w:val="24"/>
          <w:highlight w:val="none"/>
        </w:rPr>
        <w:t xml:space="preserve">开标</w:t>
      </w: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val="en-US" w:eastAsia="zh-CN" w:bidi="ar-SA"/>
        </w:rPr>
        <w:t xml:space="preserve">：江苏省政府采购一体化不见面开标（采购）大厅。</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0"/>
        </w:numPr>
        <w:ind w:firstLine="0"/>
        <w:spacing w:line="360" w:lineRule="auto"/>
        <w:rPr>
          <w:rFonts w:hint="eastAsia" w:ascii="宋体" w:hAnsi="宋体" w:eastAsia="宋体" w:cs="宋体"/>
          <w:b/>
          <w:bCs/>
          <w:sz w:val="24"/>
          <w:szCs w:val="24"/>
          <w:highlight w:val="none"/>
        </w:rPr>
        <w:outlineLvl w:val="1"/>
      </w:pPr>
      <w:r/>
      <w:bookmarkStart w:id="35" w:name="_Toc17599"/>
      <w:r/>
      <w:bookmarkStart w:id="36" w:name="_Toc27695"/>
      <w:r/>
      <w:bookmarkStart w:id="37" w:name="_Toc17677"/>
      <w:r>
        <w:rPr>
          <w:rFonts w:hint="eastAsia" w:ascii="宋体" w:hAnsi="宋体" w:eastAsia="宋体" w:cs="宋体"/>
          <w:b/>
          <w:bCs/>
          <w:sz w:val="24"/>
          <w:szCs w:val="24"/>
          <w:highlight w:val="none"/>
        </w:rPr>
        <w:t xml:space="preserve">公告期限</w:t>
      </w:r>
      <w:bookmarkEnd w:id="35"/>
      <w:r/>
      <w:bookmarkEnd w:id="36"/>
      <w:r/>
      <w:bookmarkEnd w:id="37"/>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0"/>
        </w:numPr>
        <w:ind w:firstLine="0"/>
        <w:spacing w:line="360" w:lineRule="auto"/>
        <w:rPr>
          <w:rFonts w:hint="eastAsia" w:ascii="宋体" w:hAnsi="宋体" w:eastAsia="宋体" w:cs="宋体"/>
          <w:b/>
          <w:bCs/>
          <w:sz w:val="24"/>
          <w:szCs w:val="24"/>
          <w:highlight w:val="none"/>
        </w:rPr>
        <w:outlineLvl w:val="1"/>
      </w:pPr>
      <w:r/>
      <w:bookmarkStart w:id="38" w:name="_Toc20437"/>
      <w:r/>
      <w:bookmarkStart w:id="39" w:name="_Toc10825"/>
      <w:r/>
      <w:bookmarkStart w:id="40" w:name="_Toc3003"/>
      <w:r>
        <w:rPr>
          <w:rFonts w:hint="eastAsia" w:ascii="宋体" w:hAnsi="宋体" w:eastAsia="宋体" w:cs="宋体"/>
          <w:b/>
          <w:bCs/>
          <w:sz w:val="24"/>
          <w:szCs w:val="24"/>
          <w:highlight w:val="none"/>
        </w:rPr>
        <w:t xml:space="preserve">其他补充事宜</w:t>
      </w:r>
      <w:bookmarkEnd w:id="38"/>
      <w:r/>
      <w:bookmarkEnd w:id="39"/>
      <w:r/>
      <w:bookmarkEnd w:id="40"/>
      <w:r/>
      <w:r/>
    </w:p>
    <w:p>
      <w:pPr>
        <w:ind w:firstLine="384"/>
        <w:keepLines w:val="0"/>
        <w:keepNext w:val="0"/>
        <w:pageBreakBefore w:val="0"/>
        <w:spacing w:line="360" w:lineRule="auto"/>
        <w:shd w:val="clear" w:color="auto" w:fill="ffffff"/>
        <w:widowControl/>
        <w:rPr>
          <w:rFonts w:hint="eastAsia" w:ascii="宋体" w:hAnsi="宋体" w:eastAsia="宋体" w:cs="宋体"/>
          <w:bCs/>
          <w:i w:val="0"/>
          <w:iCs/>
          <w:spacing w:val="8"/>
          <w:sz w:val="24"/>
          <w:szCs w:val="24"/>
        </w:rPr>
      </w:pPr>
      <w:r/>
      <w:bookmarkStart w:id="41" w:name="_Toc24685"/>
      <w:r/>
      <w:bookmarkStart w:id="42" w:name="_Toc5578"/>
      <w:r/>
      <w:bookmarkStart w:id="43" w:name="_Toc12262"/>
      <w:r>
        <w:rPr>
          <w:rFonts w:hint="eastAsia" w:ascii="宋体" w:hAnsi="宋体" w:eastAsia="宋体" w:cs="宋体"/>
          <w:i w:val="0"/>
          <w:iCs/>
          <w:spacing w:val="8"/>
          <w:sz w:val="24"/>
        </w:rPr>
        <w:t xml:space="preserve">（一）拒绝下述供应商参加本次采购活动：</w:t>
      </w:r>
      <w:r/>
    </w:p>
    <w:p>
      <w:pPr>
        <w:ind w:firstLine="512"/>
        <w:keepLines w:val="0"/>
        <w:keepNext w:val="0"/>
        <w:pageBreakBefore w:val="0"/>
        <w:spacing w:line="360" w:lineRule="auto"/>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360" w:lineRule="auto"/>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1"/>
      <w:r/>
      <w:bookmarkEnd w:id="42"/>
      <w:r/>
      <w:bookmarkEnd w:id="43"/>
      <w:r/>
      <w:r/>
    </w:p>
    <w:p>
      <w:pPr>
        <w:numPr>
          <w:ilvl w:val="0"/>
          <w:numId w:val="0"/>
        </w:numPr>
        <w:ind w:firstLine="0"/>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97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44"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4"/>
      <w:r/>
      <w:r/>
    </w:p>
    <w:p>
      <w:pPr>
        <w:ind w:firstLine="480"/>
        <w:jc w:val="left"/>
        <w:keepLines w:val="0"/>
        <w:keepNext w:val="0"/>
        <w:pageBreakBefore w:val="0"/>
        <w:spacing w:line="360" w:lineRule="auto"/>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ascii="宋体" w:hAnsi="宋体" w:eastAsia="宋体" w:cs="宋体"/>
          <w:spacing w:val="-1"/>
          <w:sz w:val="24"/>
          <w:szCs w:val="24"/>
        </w:rPr>
        <w:t xml:space="preserve">张家港市水务局</w:t>
      </w:r>
      <w:r>
        <w:rPr>
          <w:rFonts w:hint="eastAsia" w:ascii="宋体" w:hAnsi="宋体" w:cs="宋体"/>
          <w:sz w:val="24"/>
          <w:szCs w:val="24"/>
          <w:lang w:val="en-US" w:eastAsia="zh-CN"/>
        </w:rPr>
        <w:t xml:space="preserve"> </w:t>
      </w:r>
      <w:r/>
    </w:p>
    <w:p>
      <w:pPr>
        <w:ind w:firstLine="480"/>
        <w:jc w:val="left"/>
        <w:keepLines w:val="0"/>
        <w:keepNext w:val="0"/>
        <w:pageBreakBefore w:val="0"/>
        <w:spacing w:line="360" w:lineRule="auto"/>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5" w:name="EB9c4a1aaeb2f740559d87fd6428ed78cc"/>
      <w:r>
        <w:rPr>
          <w:rFonts w:hint="eastAsia" w:ascii="宋体" w:hAnsi="宋体" w:eastAsia="宋体" w:cs="宋体"/>
          <w:color w:val="000000"/>
          <w:spacing w:val="8"/>
          <w:sz w:val="24"/>
          <w:szCs w:val="24"/>
          <w:highlight w:val="none"/>
        </w:rPr>
        <w:t xml:space="preserve">张家港市人民中路60号国脉大厦</w:t>
      </w:r>
      <w:bookmarkEnd w:id="45"/>
      <w:r/>
      <w:r/>
    </w:p>
    <w:p>
      <w:pPr>
        <w:ind w:firstLine="480"/>
        <w:jc w:val="left"/>
        <w:keepLines w:val="0"/>
        <w:keepNext w:val="0"/>
        <w:pageBreakBefore w:val="0"/>
        <w:spacing w:line="360" w:lineRule="auto"/>
        <w:widowControl/>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联系人：霍瑜斌</w:t>
      </w:r>
      <w:r/>
    </w:p>
    <w:p>
      <w:pPr>
        <w:ind w:firstLine="480"/>
        <w:jc w:val="left"/>
        <w:keepLines w:val="0"/>
        <w:keepNext w:val="0"/>
        <w:pageBreakBefore w:val="0"/>
        <w:spacing w:line="360" w:lineRule="auto"/>
        <w:widowControl/>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 0512-56992600</w:t>
      </w:r>
      <w:r/>
    </w:p>
    <w:p>
      <w:pPr>
        <w:pStyle w:val="97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outlineLvl w:val="9"/>
      </w:pPr>
      <w:r/>
      <w:bookmarkStart w:id="46" w:name="_Toc3823"/>
      <w:r>
        <w:rPr>
          <w:rFonts w:hint="eastAsia" w:ascii="宋体" w:hAnsi="宋体" w:eastAsia="宋体" w:cs="宋体"/>
          <w:sz w:val="24"/>
          <w:szCs w:val="24"/>
        </w:rPr>
        <w:t xml:space="preserve">采购代理机构信息</w:t>
      </w:r>
      <w:bookmarkEnd w:id="46"/>
      <w:r/>
      <w:r/>
    </w:p>
    <w:p>
      <w:pPr>
        <w:ind w:firstLine="480"/>
        <w:jc w:val="left"/>
        <w:keepLines w:val="0"/>
        <w:keepNext w:val="0"/>
        <w:pageBreakBefore w:val="0"/>
        <w:spacing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苏州弘晖工程造价咨询有限公司</w:t>
      </w:r>
      <w:r/>
    </w:p>
    <w:p>
      <w:pPr>
        <w:ind w:firstLine="480"/>
        <w:jc w:val="left"/>
        <w:keepLines w:val="0"/>
        <w:keepNext w:val="0"/>
        <w:pageBreakBefore w:val="0"/>
        <w:spacing w:line="360" w:lineRule="auto"/>
        <w:widowControl/>
        <w:rPr>
          <w:rFonts w:hint="default" w:ascii="宋体" w:hAnsi="宋体" w:eastAsia="宋体" w:cs="宋体"/>
          <w:sz w:val="24"/>
          <w:szCs w:val="24"/>
          <w:lang w:val="en-US"/>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张家港市攀华国际广场8幢一单元8楼</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cs="Times New Roman"/>
          <w:color w:val="auto"/>
          <w:sz w:val="24"/>
          <w:szCs w:val="24"/>
          <w:highlight w:val="none"/>
          <w:lang w:val="en-US" w:eastAsia="zh-CN" w:bidi="ar"/>
        </w:rPr>
        <w:t xml:space="preserve">18921963798/18751131400</w:t>
      </w:r>
      <w:r>
        <w:rPr>
          <w:rFonts w:hint="eastAsia" w:ascii="宋体" w:hAnsi="宋体" w:eastAsia="宋体" w:cs="宋体"/>
          <w:sz w:val="24"/>
          <w:szCs w:val="24"/>
          <w:lang w:val="en-US" w:eastAsia="zh-CN"/>
        </w:rPr>
        <w:t xml:space="preserve"> </w:t>
      </w:r>
      <w:bookmarkStart w:id="47" w:name="_Toc35244867"/>
      <w:r/>
      <w:bookmarkStart w:id="48" w:name="_Toc256000001"/>
      <w:r/>
      <w:bookmarkStart w:id="49" w:name="_Toc54119645"/>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outlineLvl w:val="9"/>
      </w:pPr>
      <w:r/>
      <w:bookmarkStart w:id="50" w:name="_Toc30374"/>
      <w:r>
        <w:rPr>
          <w:rFonts w:hint="eastAsia" w:ascii="宋体" w:hAnsi="宋体" w:eastAsia="宋体" w:cs="宋体"/>
          <w:sz w:val="24"/>
          <w:szCs w:val="24"/>
          <w:lang w:val="en-US" w:eastAsia="zh-CN"/>
        </w:rPr>
        <w:t xml:space="preserve">3.项目联系方式</w:t>
      </w:r>
      <w:bookmarkEnd w:id="50"/>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吴洁</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cs="Times New Roman"/>
          <w:color w:val="auto"/>
          <w:sz w:val="24"/>
          <w:szCs w:val="24"/>
          <w:highlight w:val="none"/>
          <w:lang w:val="en-US" w:eastAsia="zh-CN" w:bidi="ar"/>
        </w:rPr>
        <w:t xml:space="preserve">18921963798</w:t>
      </w:r>
      <w:r>
        <w:rPr>
          <w:rFonts w:hint="eastAsia" w:ascii="宋体" w:hAnsi="宋体" w:eastAsia="宋体" w:cs="宋体"/>
          <w:sz w:val="24"/>
          <w:szCs w:val="24"/>
          <w:lang w:val="en-US" w:eastAsia="zh-CN"/>
        </w:rPr>
        <w:t xml:space="preserve"> </w:t>
      </w:r>
      <w:r/>
    </w:p>
    <w:p>
      <w:pPr>
        <w:pStyle w:val="97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bookmarkStart w:id="51" w:name="_Toc29007"/>
      <w:r/>
      <w:bookmarkStart w:id="52" w:name="_Toc2894"/>
      <w:r/>
      <w:bookmarkStart w:id="53" w:name="_Toc3236"/>
      <w:r/>
      <w:bookmarkStart w:id="54" w:name="_Toc15478"/>
      <w:r/>
      <w:bookmarkStart w:id="55" w:name="_Toc24105"/>
      <w:r/>
      <w:bookmarkStart w:id="56" w:name="_Toc12702"/>
      <w:r>
        <w:rPr>
          <w:rFonts w:hint="eastAsia" w:ascii="宋体" w:hAnsi="宋体" w:eastAsia="宋体" w:cs="宋体"/>
          <w:b/>
          <w:bCs/>
          <w:color w:val="auto"/>
          <w:sz w:val="32"/>
          <w:szCs w:val="32"/>
          <w:highlight w:val="none"/>
          <w:lang w:val="en-US" w:eastAsia="zh-CN" w:bidi="ar-SA"/>
        </w:rPr>
        <w:t xml:space="preserve">投标人须知</w:t>
      </w:r>
      <w:bookmarkEnd w:id="47"/>
      <w:r/>
      <w:bookmarkEnd w:id="48"/>
      <w:r/>
      <w:bookmarkEnd w:id="49"/>
      <w:r/>
      <w:bookmarkEnd w:id="51"/>
      <w:r/>
      <w:bookmarkEnd w:id="52"/>
      <w:r/>
      <w:bookmarkEnd w:id="53"/>
      <w:r/>
      <w:bookmarkEnd w:id="54"/>
      <w:r/>
      <w:bookmarkEnd w:id="55"/>
      <w:r/>
      <w:bookmarkEnd w:id="56"/>
      <w:r/>
      <w:r/>
    </w:p>
    <w:p>
      <w:pPr>
        <w:numPr>
          <w:ilvl w:val="1"/>
          <w:numId w:val="0"/>
        </w:numPr>
        <w:ind w:left="0" w:firstLine="0"/>
        <w:jc w:val="left"/>
        <w:keepLines w:val="0"/>
        <w:keepNext w:val="0"/>
        <w:pageBreakBefore w:val="0"/>
        <w:spacing w:line="360" w:lineRule="auto"/>
        <w:widowControl w:val="off"/>
        <w:rPr>
          <w:rFonts w:hint="eastAsia" w:ascii="宋体" w:hAnsi="宋体" w:cs="宋体"/>
          <w:b/>
          <w:bCs/>
          <w:sz w:val="24"/>
          <w:szCs w:val="24"/>
        </w:rPr>
        <w:outlineLvl w:val="1"/>
      </w:pPr>
      <w:r/>
      <w:bookmarkStart w:id="57" w:name="_Toc54119646"/>
      <w:r/>
      <w:bookmarkStart w:id="58" w:name="_Toc35244868"/>
      <w:r/>
      <w:bookmarkStart w:id="59" w:name="_Toc256000002"/>
      <w:r/>
      <w:bookmarkStart w:id="60" w:name="_Toc10713"/>
      <w:r/>
      <w:bookmarkStart w:id="61" w:name="_Toc15644"/>
      <w:r/>
      <w:bookmarkStart w:id="62" w:name="_Toc21316"/>
      <w:r>
        <w:rPr>
          <w:rStyle w:val="1041"/>
          <w:rFonts w:hint="eastAsia" w:ascii="宋体" w:hAnsi="宋体" w:cs="宋体"/>
          <w:b/>
          <w:bCs/>
          <w:sz w:val="24"/>
          <w:szCs w:val="24"/>
        </w:rPr>
        <w:t xml:space="preserve">总则</w:t>
      </w:r>
      <w:bookmarkEnd w:id="57"/>
      <w:r/>
      <w:bookmarkEnd w:id="58"/>
      <w:r/>
      <w:bookmarkEnd w:id="59"/>
      <w:r/>
      <w:bookmarkEnd w:id="60"/>
      <w:r/>
      <w:bookmarkEnd w:id="61"/>
      <w:r/>
      <w:bookmarkEnd w:id="62"/>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63" w:name="_Toc14561"/>
      <w:r>
        <w:rPr>
          <w:rFonts w:hint="eastAsia" w:ascii="宋体" w:hAnsi="宋体" w:cs="宋体"/>
          <w:b/>
          <w:bCs/>
          <w:sz w:val="24"/>
        </w:rPr>
        <w:t xml:space="preserve">招标方式</w:t>
      </w:r>
      <w:bookmarkEnd w:id="63"/>
      <w:r/>
      <w:r/>
    </w:p>
    <w:p>
      <w:pPr>
        <w:numPr>
          <w:ilvl w:val="1"/>
          <w:numId w:val="0"/>
        </w:numPr>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rPr>
        <w:outlineLvl w:val="2"/>
      </w:pPr>
      <w:r/>
      <w:bookmarkStart w:id="64" w:name="_Toc2878"/>
      <w:r>
        <w:rPr>
          <w:rFonts w:hint="eastAsia" w:ascii="宋体" w:hAnsi="宋体" w:eastAsia="宋体" w:cs="宋体"/>
          <w:b/>
          <w:bCs/>
          <w:sz w:val="24"/>
        </w:rPr>
        <w:t xml:space="preserve">合格的投标人</w:t>
      </w:r>
      <w:bookmarkEnd w:id="64"/>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rPr>
        <w:outlineLvl w:val="2"/>
      </w:pPr>
      <w:r/>
      <w:bookmarkStart w:id="65" w:name="_Toc6011"/>
      <w:r>
        <w:rPr>
          <w:rFonts w:hint="eastAsia" w:ascii="宋体" w:hAnsi="宋体" w:eastAsia="宋体" w:cs="宋体"/>
          <w:b/>
          <w:bCs/>
          <w:sz w:val="24"/>
        </w:rPr>
        <w:t xml:space="preserve">适用法律</w:t>
      </w:r>
      <w:bookmarkEnd w:id="65"/>
      <w:r/>
      <w:r/>
    </w:p>
    <w:p>
      <w:pPr>
        <w:numPr>
          <w:ilvl w:val="1"/>
          <w:numId w:val="0"/>
        </w:numPr>
        <w:ind w:lef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highlight w:val="none"/>
        </w:rPr>
        <w:outlineLvl w:val="2"/>
      </w:pPr>
      <w:r/>
      <w:bookmarkStart w:id="66" w:name="_Toc9150"/>
      <w:r>
        <w:rPr>
          <w:rFonts w:hint="eastAsia" w:ascii="宋体" w:hAnsi="宋体" w:eastAsia="宋体" w:cs="宋体"/>
          <w:b/>
          <w:bCs/>
          <w:sz w:val="24"/>
          <w:highlight w:val="none"/>
        </w:rPr>
        <w:t xml:space="preserve">投标费用</w:t>
      </w:r>
      <w:bookmarkEnd w:id="66"/>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bookmarkStart w:id="67" w:name="_Toc31542"/>
      <w:r>
        <w:rPr>
          <w:rFonts w:hint="eastAsia" w:ascii="宋体" w:hAnsi="宋体" w:eastAsia="宋体" w:cs="宋体"/>
          <w:sz w:val="24"/>
        </w:rPr>
        <w:t xml:space="preserve">本次招标采购代理机构收取代理服务费。</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本项目采购代理服务费</w:t>
      </w:r>
      <w:r>
        <w:rPr>
          <w:rFonts w:hint="eastAsia" w:ascii="宋体" w:hAnsi="宋体"/>
          <w:color w:val="000000"/>
          <w:sz w:val="24"/>
          <w:highlight w:val="none"/>
        </w:rPr>
        <w:t xml:space="preserve">由</w:t>
      </w:r>
      <w:r>
        <w:rPr>
          <w:rFonts w:hint="eastAsia" w:ascii="宋体" w:hAnsi="宋体"/>
          <w:color w:val="000000"/>
          <w:sz w:val="24"/>
          <w:highlight w:val="none"/>
          <w:lang w:val="en-US" w:eastAsia="zh-CN"/>
        </w:rPr>
        <w:t xml:space="preserve">采购人支付</w:t>
      </w:r>
      <w:r>
        <w:rPr>
          <w:rFonts w:hint="eastAsia" w:ascii="宋体" w:hAnsi="宋体" w:cs="宋体"/>
          <w:sz w:val="24"/>
          <w:lang w:eastAsia="zh-CN"/>
        </w:rPr>
        <w:t xml:space="preserve">。</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7"/>
      <w:r/>
      <w:r/>
    </w:p>
    <w:p>
      <w:pPr>
        <w:numPr>
          <w:ilvl w:val="1"/>
          <w:numId w:val="0"/>
        </w:numPr>
        <w:ind w:left="0" w:firstLine="480"/>
        <w:jc w:val="left"/>
        <w:keepLines w:val="0"/>
        <w:keepNext w:val="0"/>
        <w:pageBreakBefore w:val="0"/>
        <w:spacing w:line="360" w:lineRule="auto"/>
        <w:widowControl w:val="off"/>
        <w:rPr>
          <w:rFonts w:hint="eastAsia" w:ascii="宋体" w:hAnsi="宋体" w:cs="宋体"/>
          <w:sz w:val="24"/>
        </w:rPr>
      </w:pPr>
      <w:r/>
      <w:bookmarkStart w:id="68" w:name="_Toc35244869"/>
      <w:r/>
      <w:bookmarkStart w:id="69" w:name="_Toc256000003"/>
      <w:r/>
      <w:bookmarkStart w:id="70" w:name="_Toc54119647"/>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0"/>
        </w:numPr>
        <w:ind w:left="0" w:firstLine="0"/>
        <w:jc w:val="left"/>
        <w:keepLines w:val="0"/>
        <w:keepNext w:val="0"/>
        <w:pageBreakBefore w:val="0"/>
        <w:spacing w:line="360" w:lineRule="auto"/>
        <w:widowControl w:val="off"/>
        <w:rPr>
          <w:rFonts w:hint="eastAsia" w:ascii="宋体" w:hAnsi="宋体" w:cs="宋体"/>
          <w:b/>
          <w:bCs w:val="0"/>
          <w:sz w:val="24"/>
          <w:szCs w:val="24"/>
        </w:rPr>
        <w:outlineLvl w:val="1"/>
      </w:pPr>
      <w:r/>
      <w:bookmarkStart w:id="71" w:name="_Toc21400"/>
      <w:r/>
      <w:bookmarkStart w:id="72" w:name="_Toc14347"/>
      <w:r/>
      <w:bookmarkStart w:id="73" w:name="_Toc4727"/>
      <w:r>
        <w:rPr>
          <w:rStyle w:val="1041"/>
          <w:rFonts w:hint="eastAsia" w:ascii="宋体" w:hAnsi="宋体" w:cs="宋体"/>
          <w:b/>
          <w:bCs w:val="0"/>
          <w:sz w:val="24"/>
          <w:szCs w:val="24"/>
        </w:rPr>
        <w:t xml:space="preserve">招标文件</w:t>
      </w:r>
      <w:bookmarkEnd w:id="68"/>
      <w:r/>
      <w:bookmarkEnd w:id="69"/>
      <w:r/>
      <w:bookmarkEnd w:id="70"/>
      <w:r/>
      <w:bookmarkEnd w:id="71"/>
      <w:r/>
      <w:bookmarkEnd w:id="72"/>
      <w:r/>
      <w:bookmarkEnd w:id="73"/>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74" w:name="_Toc31846"/>
      <w:r>
        <w:rPr>
          <w:rFonts w:hint="eastAsia" w:ascii="宋体" w:hAnsi="宋体" w:eastAsia="宋体" w:cs="宋体"/>
          <w:b/>
          <w:bCs/>
          <w:sz w:val="24"/>
          <w:szCs w:val="24"/>
        </w:rPr>
        <w:t xml:space="preserve">招标文件构成</w:t>
      </w:r>
      <w:bookmarkEnd w:id="74"/>
      <w:r/>
      <w:r/>
    </w:p>
    <w:p>
      <w:pPr>
        <w:numPr>
          <w:ilvl w:val="1"/>
          <w:numId w:val="0"/>
        </w:numPr>
        <w:ind w:lef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lang w:val="en-US" w:eastAsia="zh-CN"/>
        </w:rPr>
        <w:t xml:space="preserve">由</w:t>
      </w:r>
      <w:r>
        <w:rPr>
          <w:rFonts w:hint="eastAsia" w:ascii="宋体" w:hAnsi="宋体" w:cs="宋体"/>
          <w:sz w:val="24"/>
        </w:rPr>
        <w:t xml:space="preserve">以下部分组成：</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苏州弘晖工程造价咨询有限公司</w:t>
      </w:r>
      <w:r>
        <w:rPr>
          <w:rFonts w:hint="eastAsia" w:ascii="宋体" w:hAnsi="宋体" w:cs="宋体"/>
          <w:sz w:val="24"/>
        </w:rPr>
        <w:t xml:space="preserve">联系解决。</w:t>
      </w:r>
      <w:r/>
    </w:p>
    <w:p>
      <w:pPr>
        <w:numPr>
          <w:ilvl w:val="1"/>
          <w:numId w:val="0"/>
        </w:numPr>
        <w:ind w:lef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75"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5"/>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苏州弘晖工程造价咨询有限公司</w:t>
      </w:r>
      <w:r>
        <w:rPr>
          <w:rFonts w:hint="eastAsia" w:ascii="宋体" w:hAnsi="宋体" w:eastAsia="宋体" w:cs="宋体"/>
          <w:sz w:val="24"/>
          <w:szCs w:val="24"/>
        </w:rPr>
        <w:t xml:space="preserve">可以对招标文件进行澄清或修改。</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苏州弘晖工程造价咨询有限公司</w:t>
      </w:r>
      <w:r>
        <w:rPr>
          <w:rFonts w:hint="eastAsia" w:ascii="宋体" w:hAnsi="宋体" w:eastAsia="宋体" w:cs="宋体"/>
          <w:sz w:val="24"/>
          <w:szCs w:val="24"/>
        </w:rPr>
        <w:t xml:space="preserve">有权按照法定的要求推迟投标截止日期和开标日期。</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0"/>
        </w:numPr>
        <w:ind w:left="0" w:firstLine="0"/>
        <w:jc w:val="left"/>
        <w:keepLines w:val="0"/>
        <w:keepNext w:val="0"/>
        <w:pageBreakBefore w:val="0"/>
        <w:spacing w:line="360" w:lineRule="auto"/>
        <w:widowControl w:val="off"/>
        <w:rPr>
          <w:rFonts w:hint="eastAsia" w:ascii="宋体" w:hAnsi="宋体" w:eastAsia="宋体" w:cs="宋体"/>
          <w:b/>
          <w:bCs w:val="0"/>
          <w:sz w:val="24"/>
          <w:szCs w:val="24"/>
        </w:rPr>
        <w:outlineLvl w:val="1"/>
      </w:pPr>
      <w:r/>
      <w:bookmarkStart w:id="76" w:name="_Toc21471"/>
      <w:r/>
      <w:bookmarkStart w:id="77" w:name="_Toc9095"/>
      <w:r/>
      <w:bookmarkStart w:id="78" w:name="_Toc20600"/>
      <w:r/>
      <w:bookmarkStart w:id="79" w:name="_Toc35244870"/>
      <w:r/>
      <w:bookmarkStart w:id="80" w:name="_Toc54119648"/>
      <w:r/>
      <w:bookmarkStart w:id="81" w:name="_Toc256000004"/>
      <w:r>
        <w:rPr>
          <w:rStyle w:val="1041"/>
          <w:rFonts w:hint="eastAsia" w:ascii="宋体" w:hAnsi="宋体" w:eastAsia="宋体" w:cs="宋体"/>
          <w:b/>
          <w:bCs w:val="0"/>
          <w:sz w:val="24"/>
          <w:szCs w:val="24"/>
        </w:rPr>
        <w:t xml:space="preserve">投标文件的编制</w:t>
      </w:r>
      <w:bookmarkEnd w:id="76"/>
      <w:r/>
      <w:bookmarkEnd w:id="77"/>
      <w:r/>
      <w:bookmarkEnd w:id="78"/>
      <w:r/>
      <w:bookmarkEnd w:id="79"/>
      <w:r/>
      <w:bookmarkEnd w:id="80"/>
      <w:r/>
      <w:bookmarkEnd w:id="81"/>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82" w:name="_Toc4429"/>
      <w:r>
        <w:rPr>
          <w:rFonts w:hint="eastAsia" w:ascii="宋体" w:hAnsi="宋体" w:cs="宋体"/>
          <w:b/>
          <w:bCs/>
          <w:sz w:val="24"/>
        </w:rPr>
        <w:t xml:space="preserve">投标文件的语言及度量衡单位</w:t>
      </w:r>
      <w:bookmarkEnd w:id="82"/>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苏州弘晖工程造价咨询有限公司</w:t>
      </w:r>
      <w:r>
        <w:rPr>
          <w:rFonts w:hint="eastAsia" w:ascii="宋体" w:hAnsi="宋体" w:eastAsia="宋体" w:cs="宋体"/>
          <w:sz w:val="24"/>
        </w:rPr>
        <w:t xml:space="preserve">就有关投标的所有来往通知、函件和文件均应使用简体中文。</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83" w:name="_Toc28334"/>
      <w:r>
        <w:rPr>
          <w:rFonts w:hint="eastAsia" w:ascii="宋体" w:hAnsi="宋体" w:eastAsia="宋体" w:cs="宋体"/>
          <w:b/>
          <w:bCs/>
          <w:sz w:val="24"/>
          <w:szCs w:val="24"/>
        </w:rPr>
        <w:t xml:space="preserve">投标文件构成</w:t>
      </w:r>
      <w:bookmarkEnd w:id="83"/>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0"/>
        </w:numPr>
        <w:ind w:lef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highlight w:val="none"/>
        </w:rPr>
        <w:outlineLvl w:val="2"/>
      </w:pPr>
      <w:r/>
      <w:bookmarkStart w:id="84" w:name="_Toc5753"/>
      <w:r>
        <w:rPr>
          <w:rFonts w:hint="eastAsia" w:ascii="宋体" w:hAnsi="宋体" w:cs="宋体"/>
          <w:b/>
          <w:bCs/>
          <w:sz w:val="24"/>
          <w:highlight w:val="none"/>
        </w:rPr>
        <w:t xml:space="preserve">投标函和开标一览表</w:t>
      </w:r>
      <w:bookmarkEnd w:id="84"/>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85" w:name="_Toc7298"/>
      <w:r>
        <w:rPr>
          <w:rFonts w:hint="eastAsia" w:ascii="宋体" w:hAnsi="宋体" w:cs="宋体"/>
          <w:b/>
          <w:bCs/>
          <w:sz w:val="24"/>
        </w:rPr>
        <w:t xml:space="preserve">投标人资格证明文件</w:t>
      </w:r>
      <w:bookmarkEnd w:id="85"/>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highlight w:val="none"/>
        </w:rPr>
        <w:outlineLvl w:val="2"/>
      </w:pPr>
      <w:r/>
      <w:bookmarkStart w:id="86" w:name="_Toc6816"/>
      <w:r>
        <w:rPr>
          <w:rFonts w:hint="eastAsia" w:ascii="宋体" w:hAnsi="宋体" w:cs="宋体"/>
          <w:b/>
          <w:bCs/>
          <w:sz w:val="24"/>
          <w:highlight w:val="none"/>
        </w:rPr>
        <w:t xml:space="preserve">投标配置与分项报价</w:t>
      </w:r>
      <w:bookmarkStart w:id="87" w:name="_Hlt26670373"/>
      <w:r/>
      <w:bookmarkEnd w:id="8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6"/>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0"/>
        </w:numPr>
        <w:ind w:left="0" w:firstLine="72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0"/>
        </w:numPr>
        <w:ind w:left="0" w:firstLine="720"/>
        <w:jc w:val="left"/>
        <w:keepLines w:val="0"/>
        <w:keepNext w:val="0"/>
        <w:pageBreakBefore w:val="0"/>
        <w:spacing w:line="360" w:lineRule="auto"/>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0"/>
        </w:numPr>
        <w:ind w:left="0"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Style w:val="1036"/>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036"/>
          <w:rFonts w:hint="eastAsia" w:ascii="宋体" w:hAnsi="宋体" w:eastAsia="宋体" w:cs="宋体"/>
          <w:b w:val="0"/>
          <w:color w:val="auto"/>
          <w:spacing w:val="7"/>
          <w:sz w:val="24"/>
          <w:szCs w:val="24"/>
          <w:highlight w:val="none"/>
          <w:lang w:eastAsia="zh-CN"/>
        </w:rPr>
        <w:t xml:space="preserve">。</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bookmarkStart w:id="88" w:name="_Hlt26954844"/>
      <w:r/>
      <w:bookmarkEnd w:id="88"/>
      <w:r/>
      <w:bookmarkStart w:id="89" w:name="_Hlt26668983"/>
      <w:r/>
      <w:bookmarkEnd w:id="89"/>
      <w:r/>
      <w:bookmarkStart w:id="90" w:name="_Hlt26670403"/>
      <w:r/>
      <w:bookmarkEnd w:id="90"/>
      <w:r/>
      <w:bookmarkStart w:id="91" w:name="_Hlt26954842"/>
      <w:r/>
      <w:bookmarkEnd w:id="91"/>
      <w:r/>
      <w:bookmarkStart w:id="92" w:name="_Hlt26670425"/>
      <w:r/>
      <w:bookmarkEnd w:id="92"/>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highlight w:val="none"/>
        </w:rPr>
        <w:outlineLvl w:val="2"/>
      </w:pPr>
      <w:r/>
      <w:bookmarkStart w:id="93" w:name="_Toc5702"/>
      <w:r>
        <w:rPr>
          <w:rFonts w:hint="eastAsia" w:ascii="宋体" w:hAnsi="宋体" w:eastAsia="宋体" w:cs="宋体"/>
          <w:b/>
          <w:bCs/>
          <w:sz w:val="24"/>
          <w:highlight w:val="none"/>
        </w:rPr>
        <w:t xml:space="preserve">技术参数响应及偏离表、商务条款响应及偏离表</w:t>
      </w:r>
      <w:bookmarkEnd w:id="93"/>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highlight w:val="none"/>
          <w:lang w:val="zh-CN" w:eastAsia="zh-CN"/>
        </w:rPr>
        <w:outlineLvl w:val="2"/>
      </w:pPr>
      <w:r/>
      <w:bookmarkStart w:id="94" w:name="_Toc18124"/>
      <w:r>
        <w:rPr>
          <w:rFonts w:hint="eastAsia" w:ascii="宋体" w:hAnsi="宋体" w:eastAsia="宋体" w:cs="宋体"/>
          <w:b/>
          <w:bCs/>
          <w:sz w:val="24"/>
          <w:highlight w:val="none"/>
        </w:rPr>
        <w:t xml:space="preserve">投标人情况介绍</w:t>
      </w:r>
      <w:bookmarkEnd w:id="94"/>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highlight w:val="none"/>
        </w:rPr>
        <w:outlineLvl w:val="2"/>
      </w:pPr>
      <w:r/>
      <w:bookmarkStart w:id="95" w:name="_Toc27190"/>
      <w:r>
        <w:rPr>
          <w:rFonts w:hint="eastAsia" w:ascii="宋体" w:hAnsi="宋体" w:cs="宋体"/>
          <w:b/>
          <w:bCs/>
          <w:sz w:val="24"/>
          <w:highlight w:val="none"/>
        </w:rPr>
        <w:t xml:space="preserve">投标保证金</w:t>
      </w:r>
      <w:bookmarkEnd w:id="95"/>
      <w:r/>
      <w:r/>
    </w:p>
    <w:p>
      <w:pPr>
        <w:numPr>
          <w:ilvl w:val="1"/>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96" w:name="_Toc19819"/>
      <w:r>
        <w:rPr>
          <w:rFonts w:hint="eastAsia" w:ascii="宋体" w:hAnsi="宋体" w:cs="宋体"/>
          <w:b/>
          <w:bCs/>
          <w:sz w:val="24"/>
        </w:rPr>
        <w:t xml:space="preserve">投标有效期</w:t>
      </w:r>
      <w:bookmarkEnd w:id="96"/>
      <w:r/>
      <w:r/>
    </w:p>
    <w:p>
      <w:pPr>
        <w:numPr>
          <w:ilvl w:val="1"/>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苏州弘晖工程造价咨询有限公司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0"/>
        </w:numPr>
        <w:ind w:left="0" w:firstLine="508"/>
        <w:jc w:val="left"/>
        <w:keepLines w:val="0"/>
        <w:keepNext w:val="0"/>
        <w:pageBreakBefore w:val="0"/>
        <w:spacing w:line="360" w:lineRule="auto"/>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苏州弘晖工程造价咨询有限公司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w:t>
      </w:r>
      <w:r>
        <w:rPr>
          <w:rFonts w:hint="eastAsia" w:ascii="宋体" w:hAnsi="宋体" w:cs="宋体"/>
          <w:spacing w:val="7"/>
          <w:sz w:val="24"/>
          <w:szCs w:val="24"/>
          <w:highlight w:val="none"/>
          <w:lang w:val="en-US" w:eastAsia="zh-CN" w:bidi="ar-SA"/>
        </w:rPr>
        <w:t xml:space="preserve">苏州弘晖工程造价咨询有限公司</w:t>
      </w:r>
      <w:r>
        <w:rPr>
          <w:rFonts w:hint="eastAsia" w:ascii="宋体" w:hAnsi="宋体" w:eastAsia="宋体" w:cs="宋体"/>
          <w:spacing w:val="7"/>
          <w:sz w:val="24"/>
          <w:szCs w:val="24"/>
          <w:highlight w:val="none"/>
          <w:lang w:val="en-US" w:eastAsia="zh-CN" w:bidi="ar-SA"/>
        </w:rPr>
        <w:t xml:space="preserve">的这一要求而放弃投标。同意延长投标有效期的投标人既不能要求也不允许修改其投标文件。</w:t>
      </w:r>
      <w:r/>
    </w:p>
    <w:p>
      <w:pPr>
        <w:numPr>
          <w:ilvl w:val="0"/>
          <w:numId w:val="0"/>
        </w:numPr>
        <w:ind w:left="0" w:firstLine="255"/>
        <w:jc w:val="left"/>
        <w:keepLines w:val="0"/>
        <w:keepNext w:val="0"/>
        <w:pageBreakBefore w:val="0"/>
        <w:spacing w:line="360" w:lineRule="auto"/>
        <w:widowControl w:val="off"/>
        <w:rPr>
          <w:rFonts w:hint="eastAsia" w:ascii="宋体" w:hAnsi="宋体" w:eastAsia="宋体" w:cs="宋体"/>
          <w:b/>
          <w:bCs/>
          <w:spacing w:val="7"/>
          <w:sz w:val="24"/>
          <w:szCs w:val="32"/>
          <w:highlight w:val="none"/>
        </w:rPr>
        <w:outlineLvl w:val="2"/>
      </w:pPr>
      <w:r/>
      <w:bookmarkStart w:id="97" w:name="_Toc16988"/>
      <w:r>
        <w:rPr>
          <w:rFonts w:hint="eastAsia" w:ascii="宋体" w:hAnsi="宋体" w:eastAsia="宋体" w:cs="宋体"/>
          <w:b/>
          <w:bCs/>
          <w:spacing w:val="7"/>
          <w:sz w:val="24"/>
          <w:szCs w:val="32"/>
          <w:highlight w:val="none"/>
        </w:rPr>
        <w:t xml:space="preserve">投标文件签署</w:t>
      </w:r>
      <w:bookmarkEnd w:id="97"/>
      <w:r/>
      <w:r/>
    </w:p>
    <w:p>
      <w:pPr>
        <w:numPr>
          <w:ilvl w:val="1"/>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0"/>
        </w:numPr>
        <w:ind w:left="0" w:firstLine="0"/>
        <w:jc w:val="left"/>
        <w:keepLines w:val="0"/>
        <w:keepNext w:val="0"/>
        <w:pageBreakBefore w:val="0"/>
        <w:spacing w:line="360" w:lineRule="auto"/>
        <w:widowControl w:val="off"/>
        <w:rPr>
          <w:rFonts w:hint="eastAsia" w:ascii="宋体" w:hAnsi="宋体" w:eastAsia="宋体" w:cs="宋体"/>
          <w:b/>
          <w:bCs w:val="0"/>
          <w:sz w:val="24"/>
          <w:szCs w:val="24"/>
        </w:rPr>
        <w:outlineLvl w:val="1"/>
      </w:pPr>
      <w:r/>
      <w:bookmarkStart w:id="98" w:name="_Toc54119649"/>
      <w:r/>
      <w:bookmarkStart w:id="99" w:name="_Toc256000005"/>
      <w:r/>
      <w:bookmarkStart w:id="100" w:name="_Toc9093"/>
      <w:r/>
      <w:bookmarkStart w:id="101" w:name="_Toc8407"/>
      <w:r/>
      <w:bookmarkStart w:id="102" w:name="_Toc13063"/>
      <w:r>
        <w:rPr>
          <w:rStyle w:val="1041"/>
          <w:rFonts w:hint="eastAsia" w:ascii="宋体" w:hAnsi="宋体" w:cs="宋体"/>
          <w:b/>
          <w:bCs w:val="0"/>
          <w:sz w:val="24"/>
          <w:szCs w:val="24"/>
        </w:rPr>
        <w:t xml:space="preserve">投标文件的</w:t>
      </w:r>
      <w:bookmarkEnd w:id="98"/>
      <w:r/>
      <w:bookmarkEnd w:id="99"/>
      <w:r>
        <w:rPr>
          <w:rStyle w:val="1041"/>
          <w:rFonts w:hint="eastAsia" w:ascii="宋体" w:hAnsi="宋体" w:cs="宋体"/>
          <w:b/>
          <w:bCs w:val="0"/>
          <w:sz w:val="24"/>
          <w:szCs w:val="24"/>
        </w:rPr>
        <w:t xml:space="preserve">制作、上传、</w:t>
      </w:r>
      <w:r>
        <w:rPr>
          <w:rStyle w:val="1041"/>
          <w:rFonts w:hint="eastAsia" w:ascii="宋体" w:hAnsi="宋体" w:cs="宋体"/>
          <w:b/>
          <w:bCs w:val="0"/>
          <w:sz w:val="24"/>
          <w:szCs w:val="24"/>
          <w:lang w:val="en-US" w:eastAsia="zh-CN"/>
        </w:rPr>
        <w:t xml:space="preserve">提</w:t>
      </w:r>
      <w:r>
        <w:rPr>
          <w:rStyle w:val="1041"/>
          <w:rFonts w:hint="eastAsia" w:ascii="宋体" w:hAnsi="宋体" w:cs="宋体"/>
          <w:b/>
          <w:bCs w:val="0"/>
          <w:sz w:val="24"/>
          <w:szCs w:val="24"/>
        </w:rPr>
        <w:t xml:space="preserve">交</w:t>
      </w:r>
      <w:bookmarkEnd w:id="100"/>
      <w:r/>
      <w:bookmarkEnd w:id="101"/>
      <w:r/>
      <w:bookmarkEnd w:id="102"/>
      <w:r/>
      <w:r/>
    </w:p>
    <w:p>
      <w:pPr>
        <w:numPr>
          <w:ilvl w:val="0"/>
          <w:numId w:val="0"/>
        </w:numPr>
        <w:ind w:left="0" w:firstLine="255"/>
        <w:jc w:val="left"/>
        <w:keepLines w:val="0"/>
        <w:keepNext w:val="0"/>
        <w:pageBreakBefore w:val="0"/>
        <w:spacing w:line="360" w:lineRule="auto"/>
        <w:widowControl w:val="off"/>
        <w:rPr>
          <w:rFonts w:hint="eastAsia" w:ascii="宋体" w:hAnsi="宋体" w:eastAsia="宋体" w:cs="宋体"/>
          <w:b/>
          <w:bCs/>
          <w:spacing w:val="7"/>
          <w:sz w:val="24"/>
          <w:szCs w:val="32"/>
        </w:rPr>
        <w:outlineLvl w:val="2"/>
      </w:pPr>
      <w:r/>
      <w:bookmarkStart w:id="103"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3"/>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04" w:name="_Toc6389298"/>
      <w:r/>
      <w:bookmarkStart w:id="105" w:name="_Toc19418"/>
      <w:r/>
      <w:bookmarkStart w:id="106" w:name="_Toc6388850"/>
      <w:r>
        <w:rPr>
          <w:rFonts w:hint="eastAsia" w:ascii="宋体" w:hAnsi="宋体" w:cs="宋体"/>
          <w:b/>
          <w:bCs/>
          <w:sz w:val="24"/>
        </w:rPr>
        <w:t xml:space="preserve">投标截止日期</w:t>
      </w:r>
      <w:bookmarkEnd w:id="104"/>
      <w:r/>
      <w:bookmarkEnd w:id="105"/>
      <w:r/>
      <w:bookmarkEnd w:id="106"/>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bookmarkStart w:id="107" w:name="_Toc6389299"/>
      <w:r/>
      <w:bookmarkStart w:id="108"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Style w:val="1036"/>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7"/>
      <w:r/>
      <w:bookmarkEnd w:id="108"/>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09" w:name="_Toc6389300"/>
      <w:r/>
      <w:bookmarkStart w:id="110" w:name="_Toc6388852"/>
      <w:r/>
      <w:bookmarkStart w:id="111" w:name="_Toc28400"/>
      <w:r>
        <w:rPr>
          <w:rFonts w:hint="eastAsia" w:ascii="宋体" w:hAnsi="宋体" w:cs="宋体"/>
          <w:b/>
          <w:bCs/>
          <w:sz w:val="24"/>
        </w:rPr>
        <w:t xml:space="preserve">投标文件的递交</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b w:val="0"/>
          <w:color w:val="auto"/>
          <w:spacing w:val="7"/>
          <w:sz w:val="24"/>
          <w:szCs w:val="24"/>
          <w:highlight w:val="none"/>
        </w:rPr>
      </w:pPr>
      <w:r>
        <w:rPr>
          <w:rStyle w:val="1036"/>
          <w:rFonts w:hint="eastAsia" w:ascii="宋体" w:hAnsi="宋体" w:cs="宋体"/>
          <w:b w:val="0"/>
          <w:color w:val="auto"/>
          <w:spacing w:val="7"/>
          <w:sz w:val="24"/>
          <w:szCs w:val="24"/>
          <w:highlight w:val="none"/>
          <w:lang w:eastAsia="zh-CN"/>
        </w:rPr>
        <w:t xml:space="preserve">苏州弘晖工程造价咨询有限公司</w:t>
      </w:r>
      <w:r>
        <w:rPr>
          <w:rStyle w:val="1036"/>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09"/>
      <w:r/>
      <w:bookmarkEnd w:id="110"/>
      <w:r/>
      <w:bookmarkEnd w:id="111"/>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0"/>
        </w:numPr>
        <w:ind w:left="0" w:firstLine="0"/>
        <w:jc w:val="left"/>
        <w:keepLines w:val="0"/>
        <w:keepNext w:val="0"/>
        <w:pageBreakBefore w:val="0"/>
        <w:spacing w:line="360" w:lineRule="auto"/>
        <w:widowControl w:val="off"/>
        <w:rPr>
          <w:rFonts w:hint="eastAsia" w:ascii="宋体" w:hAnsi="宋体" w:eastAsia="宋体" w:cs="宋体"/>
          <w:b/>
          <w:bCs w:val="0"/>
          <w:sz w:val="24"/>
          <w:szCs w:val="24"/>
        </w:rPr>
        <w:outlineLvl w:val="1"/>
      </w:pPr>
      <w:r/>
      <w:bookmarkStart w:id="112" w:name="_Toc22772"/>
      <w:r/>
      <w:bookmarkStart w:id="113" w:name="_Toc256000006"/>
      <w:r/>
      <w:bookmarkStart w:id="114" w:name="_Toc21743"/>
      <w:r/>
      <w:bookmarkStart w:id="115" w:name="_Toc5723"/>
      <w:r/>
      <w:bookmarkStart w:id="116" w:name="_Toc54119650"/>
      <w:r/>
      <w:bookmarkStart w:id="117" w:name="_Toc35244872"/>
      <w:r>
        <w:rPr>
          <w:rStyle w:val="1041"/>
          <w:rFonts w:hint="eastAsia" w:ascii="宋体" w:hAnsi="宋体" w:eastAsia="宋体" w:cs="宋体"/>
          <w:b/>
          <w:bCs w:val="0"/>
          <w:sz w:val="24"/>
          <w:szCs w:val="24"/>
        </w:rPr>
        <w:t xml:space="preserve">开标与评标</w:t>
      </w:r>
      <w:bookmarkEnd w:id="112"/>
      <w:r/>
      <w:bookmarkEnd w:id="113"/>
      <w:r/>
      <w:bookmarkEnd w:id="114"/>
      <w:r/>
      <w:bookmarkEnd w:id="115"/>
      <w:r/>
      <w:bookmarkEnd w:id="116"/>
      <w:r/>
      <w:bookmarkEnd w:id="117"/>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18" w:name="_Toc30366"/>
      <w:r>
        <w:rPr>
          <w:rFonts w:hint="eastAsia" w:ascii="宋体" w:hAnsi="宋体" w:cs="宋体"/>
          <w:b/>
          <w:bCs/>
          <w:sz w:val="24"/>
        </w:rPr>
        <w:t xml:space="preserve">开标</w:t>
      </w:r>
      <w:bookmarkEnd w:id="118"/>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bookmarkStart w:id="119"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19"/>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w:t>
      </w:r>
      <w:r>
        <w:rPr>
          <w:rFonts w:hint="eastAsia" w:ascii="宋体" w:hAnsi="宋体" w:cs="宋体"/>
          <w:spacing w:val="7"/>
          <w:sz w:val="24"/>
          <w:szCs w:val="24"/>
          <w:highlight w:val="none"/>
          <w:lang w:val="en-US" w:eastAsia="zh-CN" w:bidi="ar-SA"/>
        </w:rPr>
        <w:t xml:space="preserve">苏州弘晖工程造价咨询有限公司</w:t>
      </w:r>
      <w:r>
        <w:rPr>
          <w:rFonts w:hint="eastAsia" w:ascii="宋体" w:hAnsi="宋体" w:eastAsia="宋体" w:cs="宋体"/>
          <w:spacing w:val="7"/>
          <w:sz w:val="24"/>
          <w:szCs w:val="24"/>
          <w:highlight w:val="none"/>
          <w:lang w:val="en-US" w:eastAsia="zh-CN" w:bidi="ar-SA"/>
        </w:rPr>
        <w:t xml:space="preserve">将立即组织评标委员会（以下简称评委会）进行评标。</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20" w:name="_Toc2623"/>
      <w:r>
        <w:rPr>
          <w:rFonts w:hint="eastAsia" w:ascii="宋体" w:hAnsi="宋体" w:cs="宋体"/>
          <w:b/>
          <w:bCs/>
          <w:sz w:val="24"/>
        </w:rPr>
        <w:t xml:space="preserve">评标过程的保密与公正</w:t>
      </w:r>
      <w:bookmarkEnd w:id="120"/>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苏州弘晖工程造价咨询有限公司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21" w:name="_Toc6849"/>
      <w:r>
        <w:rPr>
          <w:rFonts w:hint="eastAsia" w:ascii="宋体" w:hAnsi="宋体" w:cs="宋体"/>
          <w:b/>
          <w:bCs/>
          <w:sz w:val="24"/>
        </w:rPr>
        <w:t xml:space="preserve">投标的澄清</w:t>
      </w:r>
      <w:bookmarkEnd w:id="121"/>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0"/>
        </w:numPr>
        <w:ind w:left="0" w:firstLine="241"/>
        <w:jc w:val="left"/>
        <w:keepLines w:val="0"/>
        <w:keepNext w:val="0"/>
        <w:pageBreakBefore w:val="0"/>
        <w:spacing w:line="360" w:lineRule="auto"/>
        <w:widowControl w:val="off"/>
        <w:rPr>
          <w:rFonts w:hint="eastAsia" w:ascii="宋体" w:hAnsi="宋体" w:cs="宋体"/>
          <w:b/>
          <w:bCs/>
          <w:sz w:val="24"/>
        </w:rPr>
        <w:outlineLvl w:val="2"/>
      </w:pPr>
      <w:r/>
      <w:bookmarkStart w:id="122" w:name="_Toc13348"/>
      <w:r>
        <w:rPr>
          <w:rFonts w:hint="eastAsia" w:ascii="宋体" w:hAnsi="宋体" w:cs="宋体"/>
          <w:b/>
          <w:bCs/>
          <w:sz w:val="24"/>
        </w:rPr>
        <w:t xml:space="preserve">对投标文件的初审</w:t>
      </w:r>
      <w:bookmarkEnd w:id="122"/>
      <w:r/>
      <w:r/>
    </w:p>
    <w:p>
      <w:pPr>
        <w:numPr>
          <w:ilvl w:val="1"/>
          <w:numId w:val="0"/>
        </w:numPr>
        <w:ind w:firstLine="508"/>
        <w:jc w:val="left"/>
        <w:keepLines w:val="0"/>
        <w:keepNext w:val="0"/>
        <w:pageBreakBefore w:val="0"/>
        <w:spacing w:line="360" w:lineRule="auto"/>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0"/>
        </w:numPr>
        <w:ind w:left="0" w:firstLine="508"/>
        <w:jc w:val="left"/>
        <w:keepLines w:val="0"/>
        <w:keepNext w:val="0"/>
        <w:pageBreakBefore w:val="0"/>
        <w:spacing w:line="360" w:lineRule="auto"/>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0"/>
        </w:numPr>
        <w:ind w:left="0" w:firstLine="508"/>
        <w:jc w:val="left"/>
        <w:keepLines w:val="0"/>
        <w:keepNext w:val="0"/>
        <w:pageBreakBefore w:val="0"/>
        <w:spacing w:line="360" w:lineRule="auto"/>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0"/>
        </w:numPr>
        <w:ind w:left="0" w:firstLine="480"/>
        <w:jc w:val="left"/>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0"/>
        </w:numPr>
        <w:ind w:left="0" w:firstLine="480"/>
        <w:jc w:val="left"/>
        <w:keepLines w:val="0"/>
        <w:keepNext w:val="0"/>
        <w:pageBreakBefore w:val="0"/>
        <w:spacing w:line="360" w:lineRule="auto"/>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0"/>
        </w:numPr>
        <w:ind w:left="0" w:firstLine="480"/>
        <w:jc w:val="left"/>
        <w:keepLines w:val="0"/>
        <w:keepNext w:val="0"/>
        <w:pageBreakBefore w:val="0"/>
        <w:spacing w:line="360" w:lineRule="auto"/>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0"/>
        </w:numPr>
        <w:ind w:left="0" w:firstLine="508"/>
        <w:jc w:val="left"/>
        <w:keepLines w:val="0"/>
        <w:keepNext w:val="0"/>
        <w:pageBreakBefore w:val="0"/>
        <w:spacing w:line="360" w:lineRule="auto"/>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1.投标（响应）报价低于全部通过符合性审查供应商投标（响应）报价平均50%的，即投标（响应）报价&lt;全部通过符合性审查供应商投标（响应）报价平均值×50%；</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360" w:lineRule="auto"/>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123" w:name="_Toc10736"/>
      <w:r>
        <w:rPr>
          <w:rFonts w:hint="eastAsia" w:ascii="宋体" w:hAnsi="宋体" w:eastAsia="宋体" w:cs="宋体"/>
          <w:b/>
          <w:bCs/>
          <w:sz w:val="24"/>
          <w:szCs w:val="24"/>
        </w:rPr>
        <w:t xml:space="preserve">无效投标条款和废标条款</w:t>
      </w:r>
      <w:bookmarkEnd w:id="123"/>
      <w:r/>
      <w:r/>
    </w:p>
    <w:p>
      <w:pPr>
        <w:numPr>
          <w:ilvl w:val="1"/>
          <w:numId w:val="0"/>
        </w:numPr>
        <w:ind w:firstLine="510"/>
        <w:jc w:val="left"/>
        <w:keepLines w:val="0"/>
        <w:keepNext w:val="0"/>
        <w:pageBreakBefore w:val="0"/>
        <w:spacing w:line="360" w:lineRule="auto"/>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0"/>
        </w:numPr>
        <w:ind w:firstLine="510"/>
        <w:jc w:val="left"/>
        <w:keepLines w:val="0"/>
        <w:keepNext w:val="0"/>
        <w:pageBreakBefore w:val="0"/>
        <w:spacing w:line="360" w:lineRule="auto"/>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0"/>
        </w:numPr>
        <w:ind w:left="0" w:firstLine="508"/>
        <w:jc w:val="left"/>
        <w:keepLines w:val="0"/>
        <w:keepNext w:val="0"/>
        <w:pageBreakBefore w:val="0"/>
        <w:spacing w:line="360" w:lineRule="auto"/>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4" w:name="_Toc35244873"/>
      <w:r/>
      <w:bookmarkStart w:id="125" w:name="_Toc256000007"/>
      <w:r/>
      <w:bookmarkStart w:id="126" w:name="_Toc54119651"/>
      <w:r>
        <w:rPr>
          <w:rFonts w:hint="eastAsia" w:ascii="宋体" w:hAnsi="宋体" w:cs="宋体"/>
          <w:spacing w:val="7"/>
          <w:sz w:val="24"/>
          <w:szCs w:val="32"/>
          <w:highlight w:val="none"/>
          <w:lang w:eastAsia="zh-CN"/>
        </w:rPr>
        <w:t xml:space="preserve">，</w:t>
      </w:r>
      <w:r>
        <w:rPr>
          <w:rStyle w:val="973"/>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0"/>
        </w:numPr>
        <w:ind w:left="0" w:firstLine="0"/>
        <w:jc w:val="left"/>
        <w:keepLines w:val="0"/>
        <w:keepNext w:val="0"/>
        <w:pageBreakBefore w:val="0"/>
        <w:spacing w:line="360" w:lineRule="auto"/>
        <w:widowControl w:val="off"/>
        <w:rPr>
          <w:rFonts w:hint="eastAsia" w:ascii="宋体" w:hAnsi="宋体" w:eastAsia="宋体" w:cs="宋体"/>
          <w:b/>
          <w:bCs w:val="0"/>
          <w:sz w:val="24"/>
          <w:szCs w:val="24"/>
        </w:rPr>
        <w:outlineLvl w:val="1"/>
      </w:pPr>
      <w:r/>
      <w:bookmarkStart w:id="127" w:name="_Toc4706"/>
      <w:r/>
      <w:bookmarkStart w:id="128" w:name="_Toc24282"/>
      <w:r/>
      <w:bookmarkStart w:id="129" w:name="_Toc23197"/>
      <w:r>
        <w:rPr>
          <w:rStyle w:val="1041"/>
          <w:rFonts w:hint="eastAsia" w:ascii="宋体" w:hAnsi="宋体" w:eastAsia="宋体" w:cs="宋体"/>
          <w:b/>
          <w:bCs w:val="0"/>
          <w:sz w:val="24"/>
          <w:szCs w:val="24"/>
        </w:rPr>
        <w:t xml:space="preserve">定标</w:t>
      </w:r>
      <w:bookmarkEnd w:id="124"/>
      <w:r/>
      <w:bookmarkEnd w:id="125"/>
      <w:r/>
      <w:bookmarkEnd w:id="126"/>
      <w:r/>
      <w:bookmarkEnd w:id="127"/>
      <w:r/>
      <w:bookmarkEnd w:id="128"/>
      <w:r/>
      <w:bookmarkEnd w:id="129"/>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130" w:name="_Toc19094"/>
      <w:r>
        <w:rPr>
          <w:rFonts w:hint="eastAsia" w:ascii="宋体" w:hAnsi="宋体" w:eastAsia="宋体" w:cs="宋体"/>
          <w:b/>
          <w:bCs/>
          <w:sz w:val="24"/>
          <w:szCs w:val="24"/>
        </w:rPr>
        <w:t xml:space="preserve">确定中标单位</w:t>
      </w:r>
      <w:bookmarkEnd w:id="130"/>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0"/>
        </w:numPr>
        <w:ind w:firstLine="508"/>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highlight w:val="none"/>
        </w:rPr>
        <w:outlineLvl w:val="2"/>
      </w:pPr>
      <w:r/>
      <w:bookmarkStart w:id="131" w:name="_Toc3103"/>
      <w:r>
        <w:rPr>
          <w:rFonts w:hint="eastAsia" w:ascii="宋体" w:hAnsi="宋体" w:eastAsia="宋体" w:cs="宋体"/>
          <w:b/>
          <w:bCs/>
          <w:sz w:val="24"/>
          <w:szCs w:val="24"/>
          <w:highlight w:val="none"/>
        </w:rPr>
        <w:t xml:space="preserve">质疑</w:t>
      </w:r>
      <w:bookmarkEnd w:id="131"/>
      <w:r/>
      <w:r/>
    </w:p>
    <w:p>
      <w:pPr>
        <w:numPr>
          <w:ilvl w:val="1"/>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苏州弘晖工程造价咨询有限公司</w:t>
      </w:r>
      <w:r>
        <w:rPr>
          <w:rFonts w:hint="eastAsia" w:ascii="宋体" w:hAnsi="宋体" w:eastAsia="宋体" w:cs="宋体"/>
          <w:color w:val="auto"/>
          <w:sz w:val="24"/>
          <w:szCs w:val="24"/>
          <w:highlight w:val="none"/>
        </w:rPr>
        <w:t xml:space="preserve">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w:t>
      </w:r>
      <w:r>
        <w:rPr>
          <w:rFonts w:hint="eastAsia" w:ascii="宋体" w:hAnsi="宋体" w:cs="宋体"/>
          <w:b w:val="0"/>
          <w:bCs w:val="0"/>
          <w:sz w:val="24"/>
          <w:szCs w:val="24"/>
          <w:lang w:val="en-US" w:eastAsia="zh-CN"/>
        </w:rPr>
        <w:t xml:space="preserve">中华人民共和国</w:t>
      </w:r>
      <w:r>
        <w:rPr>
          <w:rFonts w:hint="eastAsia" w:ascii="宋体" w:hAnsi="宋体" w:eastAsia="宋体" w:cs="宋体"/>
          <w:b w:val="0"/>
          <w:bCs w:val="0"/>
          <w:sz w:val="24"/>
          <w:szCs w:val="24"/>
        </w:rPr>
        <w:t xml:space="preserve">政府采购法》、《</w:t>
      </w:r>
      <w:r>
        <w:rPr>
          <w:rFonts w:hint="eastAsia" w:ascii="宋体" w:hAnsi="宋体" w:cs="宋体"/>
          <w:b w:val="0"/>
          <w:bCs w:val="0"/>
          <w:sz w:val="24"/>
          <w:szCs w:val="24"/>
          <w:lang w:val="en-US" w:eastAsia="zh-CN"/>
        </w:rPr>
        <w:t xml:space="preserve">中华人民共和国</w:t>
      </w:r>
      <w:r>
        <w:rPr>
          <w:rFonts w:hint="eastAsia" w:ascii="宋体" w:hAnsi="宋体" w:eastAsia="宋体" w:cs="宋体"/>
          <w:b w:val="0"/>
          <w:bCs w:val="0"/>
          <w:sz w:val="24"/>
          <w:szCs w:val="24"/>
        </w:rPr>
        <w:t xml:space="preserve">政府采购法实施条例》及财政部94号令的相关规定提交，未按上述要求提交的质疑函</w:t>
      </w:r>
      <w:r>
        <w:rPr>
          <w:rFonts w:hint="eastAsia" w:ascii="宋体" w:hAnsi="宋体" w:cs="宋体"/>
          <w:b w:val="0"/>
          <w:bCs w:val="0"/>
          <w:sz w:val="24"/>
          <w:szCs w:val="24"/>
          <w:lang w:eastAsia="zh-CN"/>
        </w:rPr>
        <w:t xml:space="preserve">苏州弘晖工程造价咨询有限公司</w:t>
      </w:r>
      <w:r>
        <w:rPr>
          <w:rFonts w:hint="eastAsia" w:ascii="宋体" w:hAnsi="宋体" w:eastAsia="宋体" w:cs="宋体"/>
          <w:b w:val="0"/>
          <w:bCs w:val="0"/>
          <w:sz w:val="24"/>
          <w:szCs w:val="24"/>
        </w:rPr>
        <w:t xml:space="preserve">有权不予受理。</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苏州弘晖工程造价咨询有限公司</w:t>
      </w:r>
      <w:r>
        <w:rPr>
          <w:rFonts w:hint="eastAsia" w:ascii="宋体" w:hAnsi="宋体" w:eastAsia="宋体" w:cs="宋体"/>
          <w:color w:val="auto"/>
          <w:sz w:val="24"/>
          <w:szCs w:val="24"/>
          <w:highlight w:val="none"/>
        </w:rPr>
        <w:t xml:space="preserve">有权不予受理。</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360" w:lineRule="auto"/>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苏州弘晖工程造价咨询有限公司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苏州弘晖工程造价咨询有限公司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132" w:name="_Toc3291"/>
      <w:r>
        <w:rPr>
          <w:rFonts w:hint="eastAsia" w:ascii="宋体" w:hAnsi="宋体" w:eastAsia="宋体" w:cs="宋体"/>
          <w:b/>
          <w:bCs/>
          <w:sz w:val="24"/>
          <w:szCs w:val="24"/>
        </w:rPr>
        <w:t xml:space="preserve">中标通知书</w:t>
      </w:r>
      <w:bookmarkEnd w:id="132"/>
      <w:r/>
      <w:r/>
    </w:p>
    <w:p>
      <w:pPr>
        <w:numPr>
          <w:ilvl w:val="1"/>
          <w:numId w:val="0"/>
        </w:numPr>
        <w:ind w:firstLine="508"/>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0"/>
        </w:numPr>
        <w:ind w:firstLine="508"/>
        <w:jc w:val="left"/>
        <w:keepLines w:val="0"/>
        <w:keepNext w:val="0"/>
        <w:pageBreakBefore w:val="0"/>
        <w:spacing w:line="360" w:lineRule="auto"/>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3" w:name="_Toc256000008"/>
      <w:r/>
      <w:bookmarkStart w:id="134" w:name="_Toc54119652"/>
      <w:r/>
      <w:bookmarkStart w:id="135" w:name="_Toc35244874"/>
      <w:r>
        <w:rPr>
          <w:rFonts w:hint="eastAsia" w:ascii="宋体" w:hAnsi="宋体" w:eastAsia="宋体" w:cs="宋体"/>
          <w:spacing w:val="7"/>
          <w:sz w:val="24"/>
          <w:szCs w:val="24"/>
          <w:highlight w:val="none"/>
          <w:lang w:val="en-US" w:eastAsia="zh-CN" w:bidi="ar-SA"/>
        </w:rPr>
        <w:t xml:space="preserve">。</w:t>
      </w:r>
      <w:r/>
    </w:p>
    <w:p>
      <w:pPr>
        <w:numPr>
          <w:ilvl w:val="1"/>
          <w:numId w:val="0"/>
        </w:numPr>
        <w:ind w:left="0" w:firstLine="0"/>
        <w:jc w:val="left"/>
        <w:keepLines w:val="0"/>
        <w:keepNext w:val="0"/>
        <w:pageBreakBefore w:val="0"/>
        <w:spacing w:line="360" w:lineRule="auto"/>
        <w:widowControl w:val="off"/>
        <w:rPr>
          <w:rFonts w:hint="eastAsia" w:ascii="宋体" w:hAnsi="宋体" w:eastAsia="宋体" w:cs="宋体"/>
          <w:b/>
          <w:bCs w:val="0"/>
          <w:sz w:val="24"/>
          <w:szCs w:val="24"/>
        </w:rPr>
        <w:outlineLvl w:val="1"/>
      </w:pPr>
      <w:r/>
      <w:bookmarkStart w:id="136" w:name="_Toc3470"/>
      <w:r/>
      <w:bookmarkStart w:id="137" w:name="_Toc26742"/>
      <w:r/>
      <w:bookmarkStart w:id="138" w:name="_Toc30218"/>
      <w:r>
        <w:rPr>
          <w:rStyle w:val="1041"/>
          <w:rFonts w:hint="eastAsia" w:ascii="宋体" w:hAnsi="宋体" w:eastAsia="宋体" w:cs="宋体"/>
          <w:b/>
          <w:bCs w:val="0"/>
          <w:sz w:val="24"/>
          <w:szCs w:val="24"/>
        </w:rPr>
        <w:t xml:space="preserve">授予合同</w:t>
      </w:r>
      <w:bookmarkEnd w:id="133"/>
      <w:r/>
      <w:bookmarkEnd w:id="134"/>
      <w:r/>
      <w:bookmarkEnd w:id="135"/>
      <w:r/>
      <w:bookmarkEnd w:id="136"/>
      <w:r/>
      <w:bookmarkEnd w:id="137"/>
      <w:r/>
      <w:bookmarkEnd w:id="138"/>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139" w:name="_Toc18927"/>
      <w:r>
        <w:rPr>
          <w:rFonts w:hint="eastAsia" w:ascii="宋体" w:hAnsi="宋体" w:eastAsia="宋体" w:cs="宋体"/>
          <w:b/>
          <w:bCs/>
          <w:sz w:val="24"/>
          <w:szCs w:val="24"/>
        </w:rPr>
        <w:t xml:space="preserve">签订合同</w:t>
      </w:r>
      <w:bookmarkEnd w:id="139"/>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0"/>
        </w:numPr>
        <w:ind w:firstLine="508"/>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rPr>
        <w:outlineLvl w:val="2"/>
      </w:pPr>
      <w:r/>
      <w:bookmarkStart w:id="140" w:name="_Toc17363"/>
      <w:r>
        <w:rPr>
          <w:rFonts w:hint="eastAsia" w:ascii="宋体" w:hAnsi="宋体" w:eastAsia="宋体" w:cs="宋体"/>
          <w:b/>
          <w:bCs/>
          <w:sz w:val="24"/>
          <w:szCs w:val="24"/>
        </w:rPr>
        <w:t xml:space="preserve">货物和服务的追加、减少和添购。</w:t>
      </w:r>
      <w:bookmarkEnd w:id="140"/>
      <w:r>
        <w:rPr>
          <w:rFonts w:hint="eastAsia" w:ascii="宋体" w:hAnsi="宋体" w:eastAsia="宋体" w:cs="宋体"/>
          <w:b/>
          <w:bCs/>
          <w:sz w:val="24"/>
          <w:szCs w:val="24"/>
        </w:rPr>
        <w:t xml:space="preserve"> </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0"/>
        </w:numPr>
        <w:ind w:left="0" w:firstLine="241"/>
        <w:jc w:val="left"/>
        <w:keepLines w:val="0"/>
        <w:keepNext w:val="0"/>
        <w:pageBreakBefore w:val="0"/>
        <w:spacing w:line="360" w:lineRule="auto"/>
        <w:widowControl w:val="off"/>
        <w:rPr>
          <w:rFonts w:hint="eastAsia" w:ascii="宋体" w:hAnsi="宋体" w:eastAsia="宋体" w:cs="宋体"/>
          <w:b/>
          <w:bCs/>
          <w:sz w:val="24"/>
          <w:szCs w:val="24"/>
          <w:highlight w:val="none"/>
        </w:rPr>
        <w:outlineLvl w:val="2"/>
      </w:pPr>
      <w:r/>
      <w:bookmarkStart w:id="141" w:name="_Toc18878"/>
      <w:r>
        <w:rPr>
          <w:rFonts w:hint="eastAsia" w:ascii="宋体" w:hAnsi="宋体" w:eastAsia="宋体" w:cs="宋体"/>
          <w:b/>
          <w:bCs/>
          <w:sz w:val="24"/>
          <w:szCs w:val="24"/>
          <w:highlight w:val="none"/>
        </w:rPr>
        <w:t xml:space="preserve">履约保证金</w:t>
      </w:r>
      <w:bookmarkEnd w:id="141"/>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w:t>
      </w:r>
      <w:r>
        <w:rPr>
          <w:rFonts w:hint="eastAsia" w:ascii="宋体" w:hAnsi="宋体" w:cs="宋体"/>
          <w:spacing w:val="7"/>
          <w:sz w:val="24"/>
          <w:szCs w:val="24"/>
          <w:highlight w:val="none"/>
          <w:lang w:val="en-US" w:eastAsia="zh-CN" w:bidi="ar-SA"/>
        </w:rPr>
        <w:t xml:space="preserve">0</w:t>
      </w:r>
      <w:r>
        <w:rPr>
          <w:rFonts w:hint="eastAsia" w:ascii="宋体" w:hAnsi="宋体" w:eastAsia="宋体" w:cs="宋体"/>
          <w:spacing w:val="7"/>
          <w:sz w:val="24"/>
          <w:szCs w:val="24"/>
          <w:highlight w:val="none"/>
          <w:lang w:val="en-US" w:eastAsia="zh-CN" w:bidi="ar-SA"/>
        </w:rPr>
        <w:t xml:space="preserve">％。</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0"/>
        </w:numPr>
        <w:ind w:firstLine="508"/>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0"/>
        </w:numPr>
        <w:ind w:left="0" w:firstLine="255"/>
        <w:jc w:val="left"/>
        <w:keepLines w:val="0"/>
        <w:keepNext w:val="0"/>
        <w:pageBreakBefore w:val="0"/>
        <w:spacing w:line="360" w:lineRule="auto"/>
        <w:widowControl w:val="off"/>
        <w:rPr>
          <w:rFonts w:hint="eastAsia" w:ascii="宋体" w:hAnsi="宋体" w:eastAsia="宋体" w:cs="宋体"/>
          <w:b/>
          <w:bCs/>
          <w:spacing w:val="7"/>
          <w:sz w:val="24"/>
          <w:szCs w:val="24"/>
          <w:highlight w:val="none"/>
          <w:lang w:val="en-US" w:eastAsia="zh-CN" w:bidi="ar-SA"/>
        </w:rPr>
        <w:outlineLvl w:val="2"/>
      </w:pPr>
      <w:r/>
      <w:bookmarkStart w:id="142" w:name="_Toc6954"/>
      <w:r>
        <w:rPr>
          <w:rFonts w:hint="eastAsia" w:ascii="宋体" w:hAnsi="宋体" w:eastAsia="宋体" w:cs="宋体"/>
          <w:b/>
          <w:bCs/>
          <w:spacing w:val="7"/>
          <w:sz w:val="24"/>
          <w:szCs w:val="24"/>
          <w:highlight w:val="none"/>
          <w:lang w:val="en-US" w:eastAsia="zh-CN" w:bidi="ar-SA"/>
        </w:rPr>
        <w:t xml:space="preserve">监督和公证</w:t>
      </w:r>
      <w:bookmarkEnd w:id="142"/>
      <w:r/>
      <w:r/>
    </w:p>
    <w:p>
      <w:pPr>
        <w:numPr>
          <w:ilvl w:val="1"/>
          <w:numId w:val="0"/>
        </w:numPr>
        <w:ind w:left="0" w:firstLine="254"/>
        <w:jc w:val="left"/>
        <w:keepLines w:val="0"/>
        <w:keepNext w:val="0"/>
        <w:pageBreakBefore w:val="0"/>
        <w:spacing w:line="360" w:lineRule="auto"/>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bookmarkStart w:id="143" w:name="_Toc9399"/>
      <w:r/>
      <w:bookmarkStart w:id="144" w:name="_Toc26922"/>
      <w:r/>
      <w:bookmarkStart w:id="145" w:name="_Toc3639"/>
      <w:r/>
      <w:bookmarkStart w:id="146" w:name="_Toc10256"/>
      <w:r/>
      <w:bookmarkStart w:id="147" w:name="_Toc913"/>
      <w:r/>
      <w:bookmarkStart w:id="148" w:name="_Toc9061"/>
      <w:r/>
      <w:bookmarkStart w:id="149" w:name="_Hlt16619350"/>
      <w:r/>
      <w:bookmarkStart w:id="150" w:name="_Hlk65328514"/>
      <w:r/>
      <w:bookmarkStart w:id="151" w:name="_Toc16938590"/>
      <w:r/>
      <w:bookmarkStart w:id="152" w:name="_Toc120614244"/>
      <w:r/>
      <w:bookmarkStart w:id="153" w:name="_Toc20823346"/>
      <w:r/>
      <w:bookmarkStart w:id="154" w:name="_Toc479757211"/>
      <w:r/>
      <w:bookmarkStart w:id="155" w:name="_Toc462564139"/>
      <w:r>
        <w:rPr>
          <w:rFonts w:hint="eastAsia" w:ascii="宋体" w:hAnsi="宋体" w:eastAsia="宋体" w:cs="宋体"/>
          <w:b/>
          <w:bCs/>
          <w:color w:val="auto"/>
          <w:sz w:val="32"/>
          <w:szCs w:val="32"/>
          <w:highlight w:val="none"/>
          <w:lang w:val="en-US" w:eastAsia="zh-CN" w:bidi="ar-SA"/>
        </w:rPr>
        <w:t xml:space="preserve">合同条款及格式</w:t>
      </w:r>
      <w:bookmarkEnd w:id="143"/>
      <w:r/>
      <w:bookmarkEnd w:id="144"/>
      <w:r/>
      <w:bookmarkEnd w:id="145"/>
      <w:r/>
      <w:bookmarkEnd w:id="146"/>
      <w:r/>
      <w:bookmarkEnd w:id="147"/>
      <w:r/>
      <w:bookmarkEnd w:id="148"/>
      <w:r/>
      <w:r/>
    </w:p>
    <w:p>
      <w:pPr>
        <w:pStyle w:val="999"/>
        <w:ind w:firstLine="480"/>
        <w:spacing w:line="360" w:lineRule="auto"/>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以下为中标(成交)后</w:t>
      </w:r>
      <w:r>
        <w:rPr>
          <w:rStyle w:val="973"/>
          <w:rFonts w:hint="eastAsia" w:ascii="宋体" w:hAnsi="宋体" w:eastAsia="宋体" w:cs="宋体"/>
          <w:bCs/>
          <w:color w:val="000000"/>
          <w:sz w:val="24"/>
          <w:lang w:val="en-US" w:eastAsia="zh-CN"/>
        </w:rPr>
        <w:t xml:space="preserve">签订</w:t>
      </w:r>
      <w:r>
        <w:rPr>
          <w:rStyle w:val="973"/>
          <w:rFonts w:hint="eastAsia" w:ascii="宋体" w:hAnsi="宋体" w:eastAsia="宋体" w:cs="宋体"/>
          <w:bCs/>
          <w:color w:val="000000"/>
          <w:sz w:val="24"/>
        </w:rPr>
        <w:t xml:space="preserve">本项目合同的通用条款，中标(成交)供应商不得提出实质性的修改。</w:t>
      </w:r>
      <w:r/>
    </w:p>
    <w:p>
      <w:pPr>
        <w:pStyle w:val="1000"/>
        <w:ind w:left="0" w:firstLine="0"/>
        <w:jc w:val="center"/>
        <w:spacing w:line="360" w:lineRule="auto"/>
        <w:rPr>
          <w:rFonts w:hint="eastAsia" w:ascii="宋体" w:hAnsi="宋体" w:eastAsia="宋体" w:cs="宋体"/>
          <w:b/>
          <w:bCs w:val="0"/>
          <w:color w:val="000000"/>
          <w:sz w:val="32"/>
          <w:szCs w:val="32"/>
        </w:rPr>
      </w:pPr>
      <w:r>
        <w:rPr>
          <w:rStyle w:val="973"/>
          <w:rFonts w:hint="eastAsia" w:ascii="宋体" w:hAnsi="宋体" w:eastAsia="宋体" w:cs="宋体"/>
          <w:b/>
          <w:bCs w:val="0"/>
          <w:color w:val="000000"/>
          <w:sz w:val="32"/>
          <w:szCs w:val="32"/>
        </w:rPr>
        <w:t xml:space="preserve">张家港</w:t>
      </w:r>
      <w:r>
        <w:rPr>
          <w:rStyle w:val="973"/>
          <w:rFonts w:hint="eastAsia" w:ascii="宋体" w:hAnsi="宋体" w:eastAsia="宋体" w:cs="宋体"/>
          <w:b/>
          <w:bCs w:val="0"/>
          <w:color w:val="000000"/>
          <w:sz w:val="32"/>
          <w:szCs w:val="32"/>
          <w:highlight w:val="none"/>
        </w:rPr>
        <w:t xml:space="preserve">市政府采购合同</w:t>
      </w:r>
      <w:r/>
    </w:p>
    <w:p>
      <w:pPr>
        <w:pStyle w:val="1000"/>
        <w:keepLines w:val="0"/>
        <w:keepNext w:val="0"/>
        <w:pageBreakBefore w:val="0"/>
        <w:spacing w:line="360" w:lineRule="auto"/>
        <w:widowControl w:val="off"/>
        <w:rPr>
          <w:rFonts w:hint="eastAsia" w:ascii="宋体" w:hAnsi="宋体" w:eastAsia="宋体" w:cs="宋体"/>
          <w:bCs/>
          <w:color w:val="000000"/>
          <w:sz w:val="24"/>
          <w:u w:val="single"/>
        </w:rPr>
      </w:pPr>
      <w:r>
        <w:rPr>
          <w:rStyle w:val="973"/>
          <w:rFonts w:hint="eastAsia" w:ascii="宋体" w:hAnsi="宋体" w:eastAsia="宋体" w:cs="宋体"/>
          <w:bCs/>
          <w:color w:val="000000"/>
          <w:sz w:val="24"/>
        </w:rPr>
        <w:t xml:space="preserve">项目名称：</w:t>
      </w:r>
      <w:r>
        <w:rPr>
          <w:rStyle w:val="973"/>
          <w:rFonts w:hint="eastAsia" w:ascii="宋体" w:hAnsi="宋体" w:eastAsia="宋体" w:cs="宋体"/>
          <w:bCs/>
          <w:color w:val="000000"/>
          <w:sz w:val="24"/>
          <w:u w:val="single"/>
        </w:rPr>
        <w:t xml:space="preserve">               </w:t>
      </w:r>
      <w:r/>
    </w:p>
    <w:p>
      <w:pPr>
        <w:pStyle w:val="1000"/>
        <w:keepLines w:val="0"/>
        <w:keepNext w:val="0"/>
        <w:pageBreakBefore w:val="0"/>
        <w:spacing w:line="360" w:lineRule="auto"/>
        <w:widowControl w:val="off"/>
        <w:rPr>
          <w:rFonts w:hint="eastAsia" w:ascii="宋体" w:hAnsi="宋体" w:eastAsia="宋体" w:cs="宋体"/>
          <w:bCs/>
          <w:color w:val="000000"/>
          <w:sz w:val="24"/>
          <w:u w:val="single"/>
        </w:rPr>
      </w:pPr>
      <w:r>
        <w:rPr>
          <w:rStyle w:val="973"/>
          <w:rFonts w:hint="eastAsia" w:ascii="宋体" w:hAnsi="宋体" w:eastAsia="宋体" w:cs="宋体"/>
          <w:bCs/>
          <w:color w:val="000000"/>
          <w:sz w:val="24"/>
        </w:rPr>
        <w:t xml:space="preserve">项目编号：</w:t>
      </w:r>
      <w:r>
        <w:rPr>
          <w:rStyle w:val="973"/>
          <w:rFonts w:hint="eastAsia" w:ascii="宋体" w:hAnsi="宋体" w:eastAsia="宋体" w:cs="宋体"/>
          <w:bCs/>
          <w:color w:val="000000"/>
          <w:sz w:val="24"/>
          <w:u w:val="single"/>
        </w:rPr>
        <w:t xml:space="preserve">               </w:t>
      </w:r>
      <w:r/>
    </w:p>
    <w:p>
      <w:pPr>
        <w:pStyle w:val="1000"/>
        <w:keepLines w:val="0"/>
        <w:keepNext w:val="0"/>
        <w:pageBreakBefore w:val="0"/>
        <w:spacing w:line="360" w:lineRule="auto"/>
        <w:widowControl w:val="off"/>
        <w:rPr>
          <w:rFonts w:hint="eastAsia" w:ascii="宋体" w:hAnsi="宋体" w:eastAsia="宋体" w:cs="宋体"/>
          <w:bCs/>
          <w:color w:val="000000"/>
          <w:sz w:val="24"/>
          <w:u w:val="single"/>
        </w:rPr>
      </w:pPr>
      <w:r>
        <w:rPr>
          <w:rStyle w:val="973"/>
          <w:rFonts w:hint="eastAsia" w:ascii="宋体" w:hAnsi="宋体" w:eastAsia="宋体" w:cs="宋体"/>
          <w:bCs/>
          <w:color w:val="000000"/>
          <w:sz w:val="24"/>
        </w:rPr>
        <w:t xml:space="preserve">甲方：（买方）</w:t>
      </w:r>
      <w:r>
        <w:rPr>
          <w:rStyle w:val="973"/>
          <w:rFonts w:hint="eastAsia" w:ascii="宋体" w:hAnsi="宋体" w:eastAsia="宋体" w:cs="宋体"/>
          <w:bCs/>
          <w:color w:val="000000"/>
          <w:sz w:val="24"/>
          <w:u w:val="single"/>
        </w:rPr>
        <w:t xml:space="preserve">              </w:t>
      </w:r>
      <w:r/>
    </w:p>
    <w:p>
      <w:pPr>
        <w:pStyle w:val="1000"/>
        <w:keepLines w:val="0"/>
        <w:keepNext w:val="0"/>
        <w:pageBreakBefore w:val="0"/>
        <w:spacing w:line="360" w:lineRule="auto"/>
        <w:widowControl w:val="off"/>
        <w:rPr>
          <w:rFonts w:hint="eastAsia" w:ascii="宋体" w:hAnsi="宋体" w:eastAsia="宋体" w:cs="宋体"/>
          <w:bCs/>
          <w:color w:val="000000"/>
          <w:sz w:val="24"/>
          <w:u w:val="single"/>
        </w:rPr>
      </w:pPr>
      <w:r>
        <w:rPr>
          <w:rStyle w:val="973"/>
          <w:rFonts w:hint="eastAsia" w:ascii="宋体" w:hAnsi="宋体" w:eastAsia="宋体" w:cs="宋体"/>
          <w:bCs/>
          <w:color w:val="000000"/>
          <w:sz w:val="24"/>
        </w:rPr>
        <w:t xml:space="preserve">乙方：（卖方）</w:t>
      </w:r>
      <w:r>
        <w:rPr>
          <w:rStyle w:val="973"/>
          <w:rFonts w:hint="eastAsia" w:ascii="宋体" w:hAnsi="宋体" w:eastAsia="宋体" w:cs="宋体"/>
          <w:bCs/>
          <w:color w:val="000000"/>
          <w:sz w:val="24"/>
          <w:u w:val="single"/>
        </w:rPr>
        <w:t xml:space="preserve">              </w:t>
      </w:r>
      <w:r/>
    </w:p>
    <w:p>
      <w:pPr>
        <w:pStyle w:val="1000"/>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甲、乙双方根据</w:t>
      </w:r>
      <w:r>
        <w:rPr>
          <w:rStyle w:val="973"/>
          <w:rFonts w:hint="eastAsia" w:cs="宋体"/>
          <w:bCs/>
          <w:color w:val="000000"/>
          <w:sz w:val="24"/>
          <w:lang w:eastAsia="zh-CN"/>
        </w:rPr>
        <w:t xml:space="preserve">苏州弘晖工程造价咨询有限公司</w:t>
      </w:r>
      <w:r>
        <w:rPr>
          <w:rStyle w:val="973"/>
          <w:rFonts w:hint="eastAsia" w:ascii="宋体" w:hAnsi="宋体" w:eastAsia="宋体" w:cs="宋体"/>
          <w:bCs/>
          <w:i w:val="0"/>
          <w:iCs w:val="0"/>
          <w:color w:val="000000"/>
          <w:sz w:val="24"/>
          <w:u w:val="single"/>
        </w:rPr>
        <w:t xml:space="preserve">      </w:t>
      </w:r>
      <w:r>
        <w:rPr>
          <w:rStyle w:val="973"/>
          <w:rFonts w:hint="eastAsia" w:ascii="宋体" w:hAnsi="宋体" w:eastAsia="宋体" w:cs="宋体"/>
          <w:bCs/>
          <w:color w:val="000000"/>
          <w:sz w:val="24"/>
        </w:rPr>
        <w:t xml:space="preserve">项目公开招标的结果，签署本合同。</w:t>
      </w:r>
      <w:r/>
    </w:p>
    <w:p>
      <w:pPr>
        <w:pStyle w:val="999"/>
        <w:ind w:firstLine="482"/>
        <w:spacing w:line="360" w:lineRule="auto"/>
        <w:rPr>
          <w:rFonts w:ascii="宋体" w:hAnsi="宋体" w:cs="宋体"/>
          <w:b/>
          <w:bCs/>
          <w:sz w:val="24"/>
        </w:rPr>
      </w:pPr>
      <w:r>
        <w:rPr>
          <w:rStyle w:val="973"/>
          <w:rFonts w:hint="eastAsia" w:ascii="宋体" w:hAnsi="宋体" w:cs="宋体"/>
          <w:b/>
          <w:bCs/>
          <w:color w:val="000000"/>
          <w:sz w:val="24"/>
        </w:rPr>
        <w:t xml:space="preserve">一、服务内容</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999"/>
              <w:ind w:firstLine="0"/>
              <w:jc w:val="center"/>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999"/>
              <w:ind w:firstLine="480"/>
              <w:jc w:val="center"/>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999"/>
              <w:ind w:firstLine="240"/>
              <w:jc w:val="both"/>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999"/>
              <w:ind w:firstLine="0"/>
              <w:jc w:val="both"/>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999"/>
              <w:ind w:firstLine="0"/>
              <w:jc w:val="both"/>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999"/>
              <w:ind w:firstLine="0"/>
              <w:jc w:val="both"/>
              <w:spacing w:line="360" w:lineRule="auto"/>
              <w:widowControl w:val="off"/>
              <w:rPr>
                <w:rFonts w:ascii="宋体" w:hAnsi="宋体" w:eastAsia="宋体" w:cs="宋体"/>
                <w:sz w:val="24"/>
                <w:szCs w:val="24"/>
                <w:lang w:val="en-US" w:eastAsia="zh-CN" w:bidi="ar-SA"/>
              </w:rPr>
            </w:pPr>
            <w:r>
              <w:rPr>
                <w:rStyle w:val="973"/>
                <w:rFonts w:hint="eastAsia" w:ascii="宋体" w:hAnsi="宋体" w:eastAsia="宋体" w:cs="宋体"/>
                <w:color w:val="000000"/>
                <w:sz w:val="24"/>
                <w:szCs w:val="24"/>
                <w:lang w:val="en-US" w:eastAsia="zh-CN" w:bidi="ar-SA"/>
              </w:rPr>
              <w:t xml:space="preserve">             </w:t>
            </w:r>
            <w:r/>
          </w:p>
        </w:tc>
      </w:tr>
    </w:tbl>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 二、合同金额</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2.1 本合同金额为（大写）：</w:t>
      </w:r>
      <w:r>
        <w:rPr>
          <w:rStyle w:val="973"/>
          <w:rFonts w:hint="eastAsia" w:ascii="宋体" w:hAnsi="宋体" w:eastAsia="宋体" w:cs="宋体"/>
          <w:bCs/>
          <w:color w:val="000000"/>
          <w:sz w:val="24"/>
          <w:u w:val="single"/>
        </w:rPr>
        <w:t xml:space="preserve">                    </w:t>
      </w:r>
      <w:r>
        <w:rPr>
          <w:rStyle w:val="973"/>
          <w:rFonts w:hint="eastAsia" w:ascii="宋体" w:hAnsi="宋体" w:eastAsia="宋体" w:cs="宋体"/>
          <w:bCs/>
          <w:color w:val="000000"/>
          <w:sz w:val="24"/>
        </w:rPr>
        <w:t xml:space="preserve">（</w:t>
      </w:r>
      <w:r>
        <w:rPr>
          <w:rStyle w:val="973"/>
          <w:rFonts w:hint="eastAsia" w:ascii="宋体" w:hAnsi="宋体" w:eastAsia="宋体" w:cs="宋体"/>
          <w:bCs/>
          <w:color w:val="000000"/>
          <w:sz w:val="24"/>
          <w:u w:val="single"/>
        </w:rPr>
        <w:t xml:space="preserve">               </w:t>
      </w:r>
      <w:r>
        <w:rPr>
          <w:rStyle w:val="973"/>
          <w:rFonts w:hint="eastAsia" w:ascii="宋体" w:hAnsi="宋体" w:eastAsia="宋体" w:cs="宋体"/>
          <w:bCs/>
          <w:color w:val="000000"/>
          <w:sz w:val="24"/>
        </w:rPr>
        <w:t xml:space="preserve">元）人民币。</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三、履约保证金</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3.1合同签订前，乙方向采购单位交纳人民币</w:t>
      </w:r>
      <w:r>
        <w:rPr>
          <w:rStyle w:val="973"/>
          <w:rFonts w:hint="eastAsia" w:ascii="宋体" w:hAnsi="宋体" w:eastAsia="宋体" w:cs="宋体"/>
          <w:bCs/>
          <w:color w:val="000000"/>
          <w:sz w:val="24"/>
          <w:u w:val="single"/>
        </w:rPr>
        <w:t xml:space="preserve">    </w:t>
      </w:r>
      <w:r>
        <w:rPr>
          <w:rStyle w:val="973"/>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3.3乙方不履行与甲方订立的合同的，履约保证金不予退还。</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lang w:val="en-US" w:eastAsia="zh-CN"/>
        </w:rPr>
      </w:pPr>
      <w:r>
        <w:rPr>
          <w:rStyle w:val="973"/>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999"/>
        <w:ind w:firstLine="482"/>
        <w:spacing w:line="360" w:lineRule="auto"/>
        <w:rPr>
          <w:rFonts w:hint="eastAsia" w:ascii="宋体" w:hAnsi="宋体" w:eastAsia="宋体" w:cs="宋体"/>
          <w:bCs/>
          <w:color w:val="000000"/>
          <w:sz w:val="24"/>
        </w:rPr>
      </w:pPr>
      <w:r>
        <w:rPr>
          <w:rStyle w:val="973"/>
          <w:rFonts w:hint="eastAsia" w:ascii="宋体" w:hAnsi="宋体" w:eastAsia="宋体" w:cs="宋体"/>
          <w:b/>
          <w:bCs/>
          <w:color w:val="000000"/>
          <w:sz w:val="24"/>
        </w:rPr>
        <w:t xml:space="preserve">四、转包或分包</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4.1 本合同范围的服务，应由乙方直接提供，不得转让他人提供；</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4.2 如有转包和分包行为，甲方有权给予终止合同。</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五、服务期限</w:t>
      </w:r>
      <w:r/>
    </w:p>
    <w:p>
      <w:pPr>
        <w:pStyle w:val="958"/>
        <w:ind w:left="0" w:right="0" w:firstLine="470"/>
        <w:jc w:val="both"/>
        <w:keepLines w:val="0"/>
        <w:keepNext w:val="0"/>
        <w:spacing w:before="0" w:beforeAutospacing="0" w:after="0" w:afterAutospacing="0" w:line="360" w:lineRule="auto"/>
        <w:widowControl w:val="off"/>
        <w:rPr>
          <w:rFonts w:hint="eastAsia" w:ascii="宋体" w:hAnsi="宋体" w:eastAsia="宋体" w:cs="宋体"/>
          <w:bCs/>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服务期限为</w:t>
      </w:r>
      <w:r>
        <w:rPr>
          <w:rFonts w:hint="eastAsia" w:ascii="宋体" w:hAnsi="宋体" w:eastAsia="宋体" w:cs="宋体"/>
          <w:color w:val="000000"/>
          <w:sz w:val="24"/>
          <w:szCs w:val="24"/>
          <w:u w:val="single"/>
        </w:rPr>
        <w:t xml:space="preserve"> </w:t>
      </w:r>
      <w:bookmarkStart w:id="156" w:name="fuwuqixian"/>
      <w:r>
        <w:rPr>
          <w:rFonts w:hint="eastAsia" w:ascii="宋体" w:hAnsi="宋体" w:eastAsia="宋体" w:cs="宋体"/>
          <w:color w:val="000000"/>
          <w:sz w:val="24"/>
          <w:szCs w:val="24"/>
          <w:u w:val="single"/>
        </w:rPr>
        <w:t xml:space="preserve"> </w:t>
      </w:r>
      <w:bookmarkEnd w:id="156"/>
      <w:r>
        <w:rPr>
          <w:rFonts w:hint="eastAsia" w:ascii="宋体" w:hAnsi="宋体" w:eastAsia="宋体" w:cs="宋体"/>
          <w:color w:val="000000"/>
          <w:sz w:val="24"/>
          <w:szCs w:val="24"/>
          <w:u w:val="single"/>
        </w:rPr>
        <w:t xml:space="preserve">          </w:t>
      </w:r>
      <w:r/>
    </w:p>
    <w:p>
      <w:pPr>
        <w:pStyle w:val="999"/>
        <w:ind w:firstLine="482"/>
        <w:spacing w:line="360" w:lineRule="auto"/>
        <w:rPr>
          <w:rFonts w:hint="eastAsia" w:ascii="宋体" w:hAnsi="宋体" w:eastAsia="宋体" w:cs="宋体"/>
          <w:bCs/>
          <w:color w:val="000000"/>
          <w:sz w:val="24"/>
        </w:rPr>
      </w:pPr>
      <w:r>
        <w:rPr>
          <w:rStyle w:val="973"/>
          <w:rFonts w:hint="eastAsia" w:ascii="宋体" w:hAnsi="宋体" w:eastAsia="宋体" w:cs="宋体"/>
          <w:b/>
          <w:bCs/>
          <w:color w:val="000000"/>
          <w:sz w:val="24"/>
        </w:rPr>
        <w:t xml:space="preserve">六、货款支付</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6.1 结付程序：</w:t>
      </w:r>
      <w:r>
        <w:rPr>
          <w:rStyle w:val="973"/>
          <w:rFonts w:hint="eastAsia" w:ascii="宋体" w:hAnsi="宋体" w:eastAsia="宋体" w:cs="宋体"/>
          <w:bCs/>
          <w:color w:val="000000"/>
          <w:sz w:val="24"/>
          <w:u w:val="single"/>
        </w:rPr>
        <w:t xml:space="preserve">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lang w:eastAsia="zh-CN"/>
        </w:rPr>
      </w:pPr>
      <w:r>
        <w:rPr>
          <w:rStyle w:val="973"/>
          <w:rFonts w:hint="eastAsia" w:ascii="宋体" w:hAnsi="宋体" w:eastAsia="宋体" w:cs="宋体"/>
          <w:bCs/>
          <w:color w:val="000000"/>
          <w:sz w:val="24"/>
        </w:rPr>
        <w:t xml:space="preserve">6.2结付期限：</w:t>
      </w:r>
      <w:r>
        <w:rPr>
          <w:rStyle w:val="973"/>
          <w:rFonts w:hint="eastAsia" w:ascii="宋体" w:hAnsi="宋体" w:eastAsia="宋体" w:cs="宋体"/>
          <w:bCs/>
          <w:color w:val="000000"/>
          <w:sz w:val="24"/>
          <w:u w:val="single"/>
        </w:rPr>
        <w:t xml:space="preserve">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u w:val="single"/>
        </w:rPr>
      </w:pPr>
      <w:r>
        <w:rPr>
          <w:rStyle w:val="973"/>
          <w:rFonts w:hint="eastAsia" w:ascii="宋体" w:hAnsi="宋体" w:eastAsia="宋体" w:cs="宋体"/>
          <w:bCs/>
          <w:color w:val="000000"/>
          <w:sz w:val="24"/>
        </w:rPr>
        <w:t xml:space="preserve">6.3乙方收款账户：</w:t>
      </w:r>
      <w:r>
        <w:rPr>
          <w:rStyle w:val="973"/>
          <w:rFonts w:hint="eastAsia" w:ascii="宋体" w:hAnsi="宋体" w:eastAsia="宋体" w:cs="宋体"/>
          <w:bCs/>
          <w:color w:val="000000"/>
          <w:sz w:val="24"/>
          <w:u w:val="single"/>
        </w:rPr>
        <w:t xml:space="preserve">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6.4甲方合同款支付方式：</w:t>
      </w:r>
      <w:r>
        <w:rPr>
          <w:rStyle w:val="973"/>
          <w:rFonts w:hint="eastAsia" w:ascii="宋体" w:hAnsi="宋体" w:eastAsia="宋体" w:cs="宋体"/>
          <w:bCs/>
          <w:color w:val="000000"/>
          <w:sz w:val="24"/>
          <w:u w:val="single"/>
        </w:rPr>
        <w:t xml:space="preserve">     </w:t>
      </w:r>
      <w:r>
        <w:rPr>
          <w:rStyle w:val="973"/>
          <w:rFonts w:hint="eastAsia" w:ascii="宋体" w:hAnsi="宋体" w:eastAsia="宋体" w:cs="宋体"/>
          <w:bCs/>
          <w:color w:val="000000"/>
          <w:sz w:val="24"/>
        </w:rPr>
        <w:t xml:space="preserve">（若乙方为中小企业，不得强制其接受非现金支付方式）</w:t>
      </w:r>
      <w:r/>
    </w:p>
    <w:p>
      <w:pPr>
        <w:pStyle w:val="999"/>
        <w:ind w:firstLine="482"/>
        <w:spacing w:line="360" w:lineRule="auto"/>
        <w:rPr>
          <w:rFonts w:hint="eastAsia" w:ascii="宋体" w:hAnsi="宋体" w:eastAsia="宋体" w:cs="宋体"/>
          <w:bCs/>
          <w:color w:val="000000"/>
          <w:sz w:val="24"/>
        </w:rPr>
      </w:pPr>
      <w:r>
        <w:rPr>
          <w:rStyle w:val="973"/>
          <w:rFonts w:hint="eastAsia" w:ascii="宋体" w:hAnsi="宋体" w:eastAsia="宋体" w:cs="宋体"/>
          <w:b/>
          <w:bCs/>
          <w:color w:val="000000"/>
          <w:sz w:val="24"/>
        </w:rPr>
        <w:t xml:space="preserve">七、税</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7.1 本合同执行中相关的一切税费均由乙方负担。</w:t>
      </w:r>
      <w:r/>
    </w:p>
    <w:p>
      <w:pPr>
        <w:pStyle w:val="999"/>
        <w:ind w:firstLine="482"/>
        <w:spacing w:line="360" w:lineRule="auto"/>
        <w:rPr>
          <w:rFonts w:hint="eastAsia" w:ascii="宋体" w:hAnsi="宋体" w:eastAsia="宋体" w:cs="宋体"/>
          <w:bCs/>
          <w:color w:val="000000"/>
          <w:sz w:val="24"/>
        </w:rPr>
      </w:pPr>
      <w:r>
        <w:rPr>
          <w:rStyle w:val="973"/>
          <w:rFonts w:hint="eastAsia" w:ascii="宋体" w:hAnsi="宋体" w:eastAsia="宋体" w:cs="宋体"/>
          <w:b/>
          <w:bCs/>
          <w:color w:val="000000"/>
          <w:sz w:val="24"/>
        </w:rPr>
        <w:t xml:space="preserve">八、管理事项</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按招标内容要求以及响应单位的承诺项目阐述。</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九、双方权利义务</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9.1 甲方的权利和义务</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(1)甲方制定的委托乙方承担的项目管理内容。（详见项目需求）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(2)检查监督乙方管理工作的实施及制度的执行情况。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(3)审定乙方提出的项目管理计划。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(4)协助乙方做好项目管理工作的宣传教育。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(5)乙方有违约行为的，甲方有权解除合同并向乙方支付余款。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(6)甲方有权对成交后再转包或分包的乙方终止承包合同。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(7)积极配合并协助乙方做好交接工作，确保项目服务工作的顺利展开。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(8)对乙方技术服务人员进行资格审查，对其技术能力、工作态度进行考核。对不符合要求的技术服务人员，甲方有权利要求乙方更换。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(9)甲方委托张家港市水资源管理处负责乙方服务情况的监督管理考核、组织验收、结算审核、资金拨付申请等管理事宜。</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9.2 乙方的权利和义务</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(1)根据有关法律、法规及本合同的约定，制订项目管理制度。</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(2)按合同约定，履行项目管理职责。</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(3)负责编制项目管理年度管理计划。</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(4)工作人员</w:t>
      </w:r>
      <w:r>
        <w:rPr>
          <w:rStyle w:val="973"/>
          <w:rFonts w:hint="eastAsia" w:cs="宋体"/>
          <w:bCs/>
          <w:color w:val="000000"/>
          <w:sz w:val="24"/>
          <w:lang w:val="en-US" w:eastAsia="zh-CN"/>
        </w:rPr>
        <w:t xml:space="preserve">做好</w:t>
      </w:r>
      <w:r>
        <w:rPr>
          <w:rStyle w:val="973"/>
          <w:rFonts w:hint="eastAsia" w:ascii="宋体" w:hAnsi="宋体" w:eastAsia="宋体" w:cs="宋体"/>
          <w:bCs/>
          <w:color w:val="000000"/>
          <w:sz w:val="24"/>
        </w:rPr>
        <w:t xml:space="preserve">相关劳动安全防护工作，严格遵守各项管理规定。</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(5)乙方必须规范用工，签订用工合同。乙方负有对自己员工的安全责任，甲方不承担任何相关责任。</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(6)本合同终止时，乙方须向甲方移交项目管理全部档案资料。</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(7)乙方应及时调整不适应工作需求的管理人员及其员工。如甲方认为该员工不能胜任本职工作的，必须调整。乙方若要更换项目负责人，需提前5个工作日向甲方提出书面申请，征得甲方同意后方可执行。</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(8)履行合同职责和义务期间造成的所有人身、财产损失由乙方承担并赔偿所有损失。</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(9)乙方在从事服务工作中应当做到文明工作、安全服务，采取必要的安全防范措施，合同期内，乙方工作人员发生的一切安全问题包括由于乙方提供服务导致的安全事故的责任，均由乙方自行负责，与甲方无关。</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十、服务质量</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10.1 乙方提供的服务应达到投标文件所约定的目标。对达标的理解有异议的，由双方共同认可的第三方予以评定。 </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10.2 乙方应保证所提供服务涉及到的知识产权和技术资料是合法取得，并享有完整的知识产权，不会因为甲方的使用而被责令停止使用、追偿或要求赔偿损失，如出现此情况，一切经济和法律责任均由乙方承担。</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10.3 乙方需在规定的时间内完成项目服务工作，甲方将组织对成果进行确认、验收，如发现与要求不符等问题，应作详细记录，甲方有权要求终止服务，由此造成的各种费用损失均由乙方承担。</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10.4 乙方应对评估的分析数据有保密责任，不得泄漏给任何第三方。</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10.5 如有现场检测项目，必须在样品采集的同时进行测定。</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10.6 乙方在服务期间，应能随时</w:t>
      </w:r>
      <w:r>
        <w:rPr>
          <w:rStyle w:val="973"/>
          <w:rFonts w:hint="eastAsia" w:cs="宋体"/>
          <w:bCs/>
          <w:color w:val="000000"/>
          <w:sz w:val="24"/>
          <w:lang w:val="en-US" w:eastAsia="zh-CN"/>
        </w:rPr>
        <w:t xml:space="preserve">接受</w:t>
      </w:r>
      <w:r>
        <w:rPr>
          <w:rStyle w:val="973"/>
          <w:rFonts w:hint="eastAsia" w:ascii="宋体" w:hAnsi="宋体" w:eastAsia="宋体" w:cs="宋体"/>
          <w:bCs/>
          <w:color w:val="000000"/>
          <w:sz w:val="24"/>
        </w:rPr>
        <w:t xml:space="preserve">甲方要求提供原始记录等的抽检要求；如将承担的检测服务转包他人，或者出现数据弄虚作假欺骗用户，将被解除服务合同。</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10.7 验收标准：按采购文件的规定和相关行业现行法律、规范及规定。</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十一、违约责任</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十二、不可抗力事件处理</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12.2 不可抗力事件发生后，应立即通知对方，并寄送有关权威机构出具的证明。</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12.3 不可抗力事件延续120天以上，双方应通过友好协商，确定是否继续履行合同。</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十三、诉讼</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999"/>
        <w:ind w:firstLine="482"/>
        <w:spacing w:line="360" w:lineRule="auto"/>
        <w:rPr>
          <w:rFonts w:hint="eastAsia" w:ascii="宋体" w:hAnsi="宋体" w:eastAsia="宋体" w:cs="宋体"/>
          <w:b/>
          <w:bCs/>
          <w:color w:val="000000"/>
          <w:sz w:val="24"/>
        </w:rPr>
      </w:pPr>
      <w:r>
        <w:rPr>
          <w:rStyle w:val="973"/>
          <w:rFonts w:hint="eastAsia" w:ascii="宋体" w:hAnsi="宋体" w:eastAsia="宋体" w:cs="宋体"/>
          <w:b/>
          <w:bCs/>
          <w:color w:val="000000"/>
          <w:sz w:val="24"/>
        </w:rPr>
        <w:t xml:space="preserve">十四、合同其他文件</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14.1下列文件为本合同不可分割</w:t>
      </w:r>
      <w:r>
        <w:rPr>
          <w:rStyle w:val="973"/>
          <w:rFonts w:hint="eastAsia" w:cs="宋体"/>
          <w:bCs/>
          <w:color w:val="000000"/>
          <w:sz w:val="24"/>
          <w:lang w:val="en-US" w:eastAsia="zh-CN"/>
        </w:rPr>
        <w:t xml:space="preserve">部分</w:t>
      </w:r>
      <w:r>
        <w:rPr>
          <w:rStyle w:val="973"/>
          <w:rFonts w:hint="eastAsia" w:ascii="宋体" w:hAnsi="宋体" w:eastAsia="宋体" w:cs="宋体"/>
          <w:bCs/>
          <w:color w:val="000000"/>
          <w:sz w:val="24"/>
        </w:rPr>
        <w:t xml:space="preserve">，与本合同具有同等效力。</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(1)中标通知书；</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(2)</w:t>
      </w:r>
      <w:r>
        <w:rPr>
          <w:rStyle w:val="973"/>
          <w:rFonts w:hint="eastAsia" w:cs="宋体"/>
          <w:bCs/>
          <w:color w:val="000000"/>
          <w:sz w:val="24"/>
          <w:lang w:val="en-US" w:eastAsia="zh-CN"/>
        </w:rPr>
        <w:t xml:space="preserve">乙</w:t>
      </w:r>
      <w:r>
        <w:rPr>
          <w:rStyle w:val="973"/>
          <w:rFonts w:hint="eastAsia" w:ascii="宋体" w:hAnsi="宋体" w:eastAsia="宋体" w:cs="宋体"/>
          <w:bCs/>
          <w:color w:val="000000"/>
          <w:sz w:val="24"/>
        </w:rPr>
        <w:t xml:space="preserve">方中标的投标书；</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(3)招标文件；</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(4)</w:t>
      </w:r>
      <w:r>
        <w:rPr>
          <w:rStyle w:val="973"/>
          <w:rFonts w:hint="eastAsia" w:cs="宋体"/>
          <w:bCs/>
          <w:color w:val="000000"/>
          <w:sz w:val="24"/>
          <w:lang w:val="en-US" w:eastAsia="zh-CN"/>
        </w:rPr>
        <w:t xml:space="preserve">乙</w:t>
      </w:r>
      <w:r>
        <w:rPr>
          <w:rStyle w:val="973"/>
          <w:rFonts w:hint="eastAsia" w:ascii="宋体" w:hAnsi="宋体" w:eastAsia="宋体" w:cs="宋体"/>
          <w:bCs/>
          <w:color w:val="000000"/>
          <w:sz w:val="24"/>
        </w:rPr>
        <w:t xml:space="preserve">方在招投标过程中所作的其他承诺、声明、书面澄清等。</w:t>
      </w:r>
      <w:r/>
    </w:p>
    <w:p>
      <w:pPr>
        <w:pStyle w:val="999"/>
        <w:ind w:firstLine="482"/>
        <w:spacing w:line="360" w:lineRule="auto"/>
        <w:rPr>
          <w:rFonts w:hint="eastAsia" w:ascii="宋体" w:hAnsi="宋体" w:eastAsia="宋体" w:cs="宋体"/>
          <w:bCs/>
          <w:color w:val="000000"/>
          <w:sz w:val="24"/>
        </w:rPr>
      </w:pPr>
      <w:r>
        <w:rPr>
          <w:rStyle w:val="973"/>
          <w:rFonts w:hint="eastAsia" w:ascii="宋体" w:hAnsi="宋体" w:eastAsia="宋体" w:cs="宋体"/>
          <w:b/>
          <w:bCs/>
          <w:color w:val="000000"/>
          <w:sz w:val="24"/>
        </w:rPr>
        <w:t xml:space="preserve">十五、合同生效及其它</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rPr>
      </w:pPr>
      <w:r>
        <w:rPr>
          <w:rStyle w:val="973"/>
          <w:rFonts w:hint="eastAsia" w:ascii="宋体" w:hAnsi="宋体" w:eastAsia="宋体" w:cs="宋体"/>
          <w:bCs/>
          <w:color w:val="000000"/>
          <w:sz w:val="24"/>
        </w:rPr>
        <w:t xml:space="preserve">15.2 本合同未尽事宜，遵照《</w:t>
      </w:r>
      <w:r>
        <w:rPr>
          <w:rStyle w:val="973"/>
          <w:rFonts w:hint="eastAsia" w:cs="宋体"/>
          <w:bCs/>
          <w:color w:val="000000"/>
          <w:sz w:val="24"/>
          <w:lang w:val="en-US" w:eastAsia="zh-CN"/>
        </w:rPr>
        <w:t xml:space="preserve">中华人民共和国</w:t>
      </w:r>
      <w:r>
        <w:rPr>
          <w:rStyle w:val="973"/>
          <w:rFonts w:hint="eastAsia" w:ascii="宋体" w:hAnsi="宋体" w:eastAsia="宋体" w:cs="宋体"/>
          <w:bCs/>
          <w:color w:val="000000"/>
          <w:sz w:val="24"/>
        </w:rPr>
        <w:t xml:space="preserve">民法典》合同编经甲乙双方协商一致可签订补充协议。</w:t>
      </w:r>
      <w:r/>
    </w:p>
    <w:p>
      <w:pPr>
        <w:pStyle w:val="1000"/>
        <w:ind w:firstLine="482"/>
        <w:keepLines w:val="0"/>
        <w:keepNext w:val="0"/>
        <w:pageBreakBefore w:val="0"/>
        <w:spacing w:line="360" w:lineRule="auto"/>
        <w:widowControl w:val="off"/>
        <w:rPr>
          <w:rFonts w:hint="eastAsia" w:ascii="宋体" w:hAnsi="宋体" w:eastAsia="宋体" w:cs="宋体"/>
          <w:bCs/>
          <w:color w:val="000000"/>
          <w:sz w:val="24"/>
          <w:lang w:eastAsia="zh-CN"/>
        </w:rPr>
      </w:pPr>
      <w:r>
        <w:rPr>
          <w:rStyle w:val="973"/>
          <w:rFonts w:hint="eastAsia" w:ascii="宋体" w:hAnsi="宋体" w:eastAsia="宋体" w:cs="宋体"/>
          <w:bCs/>
          <w:color w:val="000000"/>
          <w:sz w:val="24"/>
        </w:rPr>
        <w:t xml:space="preserve">15.3本合同正本一式</w:t>
      </w:r>
      <w:r>
        <w:rPr>
          <w:rStyle w:val="973"/>
          <w:rFonts w:hint="eastAsia" w:ascii="宋体" w:hAnsi="宋体" w:eastAsia="宋体" w:cs="宋体"/>
          <w:bCs/>
          <w:color w:val="000000"/>
          <w:sz w:val="24"/>
          <w:lang w:val="en-US" w:eastAsia="zh-CN"/>
        </w:rPr>
        <w:t xml:space="preserve">六</w:t>
      </w:r>
      <w:r>
        <w:rPr>
          <w:rStyle w:val="973"/>
          <w:rFonts w:hint="eastAsia" w:ascii="宋体" w:hAnsi="宋体" w:eastAsia="宋体" w:cs="宋体"/>
          <w:bCs/>
          <w:color w:val="000000"/>
          <w:sz w:val="24"/>
        </w:rPr>
        <w:t xml:space="preserve">份，具有同等法律效力，甲</w:t>
      </w:r>
      <w:r>
        <w:rPr>
          <w:rStyle w:val="973"/>
          <w:rFonts w:hint="eastAsia" w:ascii="宋体" w:hAnsi="宋体" w:eastAsia="宋体" w:cs="宋体"/>
          <w:bCs/>
          <w:color w:val="000000"/>
          <w:sz w:val="24"/>
          <w:lang w:val="en-US" w:eastAsia="zh-CN"/>
        </w:rPr>
        <w:t xml:space="preserve">方</w:t>
      </w:r>
      <w:r>
        <w:rPr>
          <w:rStyle w:val="973"/>
          <w:rFonts w:hint="eastAsia" w:ascii="宋体" w:hAnsi="宋体" w:eastAsia="宋体" w:cs="宋体"/>
          <w:bCs/>
          <w:color w:val="000000"/>
          <w:sz w:val="24"/>
        </w:rPr>
        <w:t xml:space="preserve">三份，乙方、采购代理机构</w:t>
      </w:r>
      <w:r>
        <w:rPr>
          <w:rStyle w:val="973"/>
          <w:rFonts w:hint="eastAsia" w:ascii="宋体" w:hAnsi="宋体" w:eastAsia="宋体" w:cs="宋体"/>
          <w:bCs/>
          <w:color w:val="000000"/>
          <w:sz w:val="24"/>
          <w:lang w:eastAsia="zh-CN"/>
        </w:rPr>
        <w:t xml:space="preserve">、</w:t>
      </w:r>
      <w:r>
        <w:rPr>
          <w:rStyle w:val="973"/>
          <w:rFonts w:hint="eastAsia" w:ascii="宋体" w:hAnsi="宋体" w:eastAsia="宋体" w:cs="宋体"/>
          <w:bCs/>
          <w:color w:val="000000"/>
          <w:sz w:val="24"/>
          <w:lang w:val="en-US" w:eastAsia="zh-CN"/>
        </w:rPr>
        <w:t xml:space="preserve">张家港市政府采购管理中心</w:t>
      </w:r>
      <w:r>
        <w:rPr>
          <w:rStyle w:val="973"/>
          <w:rFonts w:hint="eastAsia" w:ascii="宋体" w:hAnsi="宋体" w:eastAsia="宋体" w:cs="宋体"/>
          <w:bCs/>
          <w:color w:val="000000"/>
          <w:sz w:val="24"/>
        </w:rPr>
        <w:t xml:space="preserve">各执一份。</w:t>
      </w:r>
      <w:r/>
    </w:p>
    <w:tbl>
      <w:tblPr>
        <w:tblStyle w:val="936"/>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144"/>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144"/>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144"/>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144"/>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144"/>
              <w:jc w:val="right"/>
              <w:keepLines w:val="0"/>
              <w:keepNext w:val="0"/>
              <w:pageBreakBefore w:val="0"/>
              <w:spacing w:line="360" w:lineRule="auto"/>
              <w:widowControl w:val="off"/>
              <w:rPr>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758"/>
        </w:trPr>
        <w:tc>
          <w:tcPr>
            <w:tcMar>
              <w:top w:w="100" w:type="dxa"/>
              <w:bottom w:w="100" w:type="dxa"/>
            </w:tcMar>
            <w:tcW w:w="5120" w:type="dxa"/>
            <w:vAlign w:val="center"/>
            <w:textDirection w:val="lrTb"/>
            <w:noWrap w:val="false"/>
          </w:tcPr>
          <w:p>
            <w:pPr>
              <w:pStyle w:val="1144"/>
              <w:jc w:val="both"/>
              <w:keepLines w:val="0"/>
              <w:keepNext w:val="0"/>
              <w:pageBreakBefore w:val="0"/>
              <w:spacing w:line="360" w:lineRule="auto"/>
              <w:widowControl w:val="off"/>
              <w:rPr>
                <w:rFonts w:ascii="宋体" w:hAnsi="宋体" w:eastAsia="宋体" w:cs="宋体"/>
                <w:b w:val="0"/>
                <w:sz w:val="24"/>
                <w:szCs w:val="24"/>
                <w:lang w:val="en-US" w:eastAsia="zh-CN"/>
              </w:rPr>
              <w:outlineLvl w:val="9"/>
            </w:pPr>
            <w:r>
              <w:rPr>
                <w:rStyle w:val="973"/>
                <w:rFonts w:hint="eastAsia" w:ascii="宋体" w:hAnsi="宋体" w:eastAsia="宋体" w:cs="宋体"/>
                <w:color w:val="000000"/>
                <w:sz w:val="24"/>
                <w:lang w:val="en-US" w:eastAsia="zh-CN"/>
              </w:rPr>
              <w:t xml:space="preserve">代理机构：苏州弘晖工程造价咨询有限公司</w:t>
            </w:r>
            <w:r/>
          </w:p>
        </w:tc>
        <w:tc>
          <w:tcPr>
            <w:tcMar>
              <w:top w:w="100" w:type="dxa"/>
              <w:bottom w:w="100" w:type="dxa"/>
            </w:tcMar>
            <w:tcW w:w="5123" w:type="dxa"/>
            <w:vAlign w:val="center"/>
            <w:textDirection w:val="lrTb"/>
            <w:noWrap w:val="false"/>
          </w:tcPr>
          <w:p>
            <w:pPr>
              <w:pStyle w:val="1144"/>
              <w:jc w:val="both"/>
              <w:keepLines w:val="0"/>
              <w:keepNext w:val="0"/>
              <w:pageBreakBefore w:val="0"/>
              <w:spacing w:line="360" w:lineRule="auto"/>
              <w:widowControl w:val="off"/>
              <w:rPr>
                <w:rFonts w:ascii="宋体" w:hAnsi="宋体" w:eastAsia="宋体" w:cs="宋体"/>
                <w:b w:val="0"/>
                <w:sz w:val="24"/>
                <w:szCs w:val="24"/>
                <w:lang w:val="en-US" w:eastAsia="zh-CN"/>
              </w:rPr>
              <w:outlineLvl w:val="9"/>
            </w:pPr>
            <w:r>
              <w:rPr>
                <w:rStyle w:val="973"/>
                <w:rFonts w:hint="eastAsia" w:ascii="宋体" w:hAnsi="宋体" w:cs="宋体"/>
                <w:color w:val="000000"/>
                <w:sz w:val="24"/>
              </w:rPr>
              <w:t xml:space="preserve">张家港市政府釆购管理中心</w:t>
            </w:r>
            <w:r>
              <w:rPr>
                <w:rStyle w:val="973"/>
                <w:rFonts w:hint="eastAsia" w:ascii="宋体" w:hAnsi="宋体" w:cs="宋体"/>
                <w:color w:val="000000"/>
                <w:sz w:val="24"/>
                <w:lang w:eastAsia="zh-CN"/>
              </w:rPr>
              <w:t xml:space="preserve">（</w:t>
            </w:r>
            <w:r>
              <w:rPr>
                <w:rStyle w:val="973"/>
                <w:rFonts w:hint="eastAsia" w:ascii="宋体" w:hAnsi="宋体" w:cs="宋体"/>
                <w:color w:val="000000"/>
                <w:sz w:val="24"/>
                <w:lang w:val="en-US" w:eastAsia="zh-CN"/>
              </w:rPr>
              <w:t xml:space="preserve">备案章</w:t>
            </w:r>
            <w:r>
              <w:rPr>
                <w:rStyle w:val="973"/>
                <w:rFonts w:hint="eastAsia" w:ascii="宋体" w:hAnsi="宋体" w:cs="宋体"/>
                <w:color w:val="000000"/>
                <w:sz w:val="24"/>
                <w:lang w:eastAsia="zh-CN"/>
              </w:rPr>
              <w:t xml:space="preserve">）</w:t>
            </w:r>
            <w:bookmarkEnd w:id="149"/>
            <w:bookmarkEnd w:id="150"/>
            <w:bookmarkEnd w:id="151"/>
            <w:bookmarkEnd w:id="152"/>
            <w:bookmarkEnd w:id="153"/>
            <w:r/>
          </w:p>
        </w:tc>
      </w:tr>
    </w:tbl>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bookmarkStart w:id="157" w:name="_Toc3329"/>
      <w:r/>
      <w:bookmarkStart w:id="158" w:name="_Toc13251"/>
      <w:r/>
      <w:bookmarkStart w:id="159" w:name="_Toc2284"/>
      <w:r/>
      <w:bookmarkStart w:id="160" w:name="_Toc7502"/>
      <w:r/>
      <w:bookmarkStart w:id="161" w:name="_Toc18404"/>
      <w:r/>
      <w:bookmarkStart w:id="162" w:name="_Toc25031"/>
      <w:r/>
      <w:bookmarkStart w:id="163" w:name="_Toc26554093"/>
      <w:r/>
      <w:bookmarkStart w:id="164" w:name="_Toc120614281"/>
      <w:r/>
      <w:bookmarkStart w:id="165" w:name="_Toc49090575"/>
      <w:r>
        <w:rPr>
          <w:rFonts w:hint="eastAsia" w:ascii="宋体" w:hAnsi="宋体" w:eastAsia="宋体" w:cs="宋体"/>
          <w:b/>
          <w:bCs/>
          <w:color w:val="auto"/>
          <w:sz w:val="32"/>
          <w:szCs w:val="32"/>
          <w:highlight w:val="none"/>
          <w:lang w:val="en-US" w:eastAsia="zh-CN" w:bidi="ar-SA"/>
        </w:rPr>
        <w:t xml:space="preserve">项目需求</w:t>
      </w:r>
      <w:bookmarkEnd w:id="157"/>
      <w:r/>
      <w:bookmarkEnd w:id="158"/>
      <w:r/>
      <w:bookmarkEnd w:id="159"/>
      <w:r/>
      <w:bookmarkEnd w:id="160"/>
      <w:r/>
      <w:bookmarkEnd w:id="161"/>
      <w:r/>
      <w:bookmarkEnd w:id="162"/>
      <w:r/>
      <w:r/>
    </w:p>
    <w:p>
      <w:pPr>
        <w:pStyle w:val="926"/>
        <w:numPr>
          <w:ilvl w:val="0"/>
          <w:numId w:val="3"/>
        </w:numPr>
        <w:ind w:left="432" w:hanging="432"/>
        <w:rPr>
          <w:sz w:val="24"/>
          <w:szCs w:val="24"/>
        </w:rPr>
      </w:pPr>
      <w:r/>
      <w:bookmarkStart w:id="166" w:name="_Toc14486"/>
      <w:r/>
      <w:bookmarkStart w:id="167" w:name="_Toc6092"/>
      <w:r/>
      <w:bookmarkStart w:id="168" w:name="_Toc9671"/>
      <w:r>
        <w:rPr>
          <w:rFonts w:hint="eastAsia"/>
          <w:sz w:val="24"/>
          <w:szCs w:val="24"/>
        </w:rPr>
        <w:t xml:space="preserve">清单</w:t>
      </w:r>
      <w:bookmarkEnd w:id="166"/>
      <w:r/>
      <w:bookmarkEnd w:id="167"/>
      <w:r/>
      <w:bookmarkEnd w:id="168"/>
      <w:r/>
      <w:r/>
    </w:p>
    <w:p>
      <w:pPr>
        <w:pStyle w:val="1021"/>
        <w:numPr>
          <w:ilvl w:val="0"/>
          <w:numId w:val="0"/>
        </w:numPr>
        <w:ind w:left="0" w:firstLine="508"/>
        <w:keepLines w:val="0"/>
        <w:keepNext w:val="0"/>
        <w:pageBreakBefore w:val="0"/>
        <w:spacing w:line="440" w:lineRule="exact"/>
        <w:widowControl/>
        <w:rPr>
          <w:rFonts w:ascii="宋体" w:hAnsi="宋体" w:eastAsia="宋体" w:cs="宋体"/>
          <w:b w:val="0"/>
          <w:spacing w:val="7"/>
          <w:sz w:val="24"/>
          <w:highlight w:val="none"/>
        </w:rPr>
        <w:outlineLvl w:val="2"/>
      </w:pPr>
      <w:r/>
      <w:bookmarkStart w:id="169"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973"/>
          <w:rFonts w:ascii="宋体" w:hAnsi="宋体" w:eastAsia="宋体" w:cs="宋体"/>
          <w:b w:val="0"/>
          <w:color w:val="000000"/>
          <w:spacing w:val="7"/>
          <w:sz w:val="24"/>
          <w:highlight w:val="none"/>
        </w:rPr>
        <w:t xml:space="preserve">清单</w:t>
      </w:r>
      <w:bookmarkEnd w:id="169"/>
      <w:r/>
      <w:r/>
    </w:p>
    <w:tbl>
      <w:tblPr>
        <w:tblStyle w:val="93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614"/>
        <w:gridCol w:w="2550"/>
        <w:gridCol w:w="713"/>
        <w:gridCol w:w="737"/>
        <w:gridCol w:w="3669"/>
        <w:gridCol w:w="725"/>
        <w:gridCol w:w="819"/>
      </w:tblGrid>
      <w:tr>
        <w:trPr>
          <w:jc w:val="center"/>
          <w:trHeight w:val="275"/>
        </w:trPr>
        <w:tc>
          <w:tcPr>
            <w:tcMar>
              <w:top w:w="100" w:type="dxa"/>
              <w:bottom w:w="100" w:type="dxa"/>
            </w:tcMar>
            <w:tcW w:w="614"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rPr>
              <w:outlineLvl w:val="9"/>
            </w:pPr>
            <w:r>
              <w:rPr>
                <w:rStyle w:val="973"/>
                <w:rFonts w:ascii="宋体" w:hAnsi="宋体" w:eastAsia="宋体" w:cs="宋体"/>
                <w:b w:val="0"/>
                <w:color w:val="000000"/>
                <w:sz w:val="24"/>
                <w:szCs w:val="24"/>
              </w:rPr>
              <w:t xml:space="preserve">序号</w:t>
            </w:r>
            <w:r/>
          </w:p>
        </w:tc>
        <w:tc>
          <w:tcPr>
            <w:tcMar>
              <w:top w:w="100" w:type="dxa"/>
              <w:bottom w:w="100" w:type="dxa"/>
            </w:tcMar>
            <w:tcW w:w="2550"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rPr>
              <w:outlineLvl w:val="9"/>
            </w:pPr>
            <w:r>
              <w:rPr>
                <w:rStyle w:val="973"/>
                <w:rFonts w:ascii="宋体" w:hAnsi="宋体" w:eastAsia="宋体" w:cs="宋体"/>
                <w:b w:val="0"/>
                <w:color w:val="000000"/>
                <w:sz w:val="24"/>
                <w:szCs w:val="24"/>
              </w:rPr>
              <w:t xml:space="preserve">名称</w:t>
            </w:r>
            <w:r/>
          </w:p>
        </w:tc>
        <w:tc>
          <w:tcPr>
            <w:tcMar>
              <w:top w:w="100" w:type="dxa"/>
              <w:bottom w:w="100" w:type="dxa"/>
            </w:tcMar>
            <w:tcW w:w="713"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rPr>
              <w:outlineLvl w:val="9"/>
            </w:pPr>
            <w:r>
              <w:rPr>
                <w:rStyle w:val="973"/>
                <w:rFonts w:ascii="宋体" w:hAnsi="宋体" w:eastAsia="宋体" w:cs="宋体"/>
                <w:b w:val="0"/>
                <w:color w:val="000000"/>
                <w:sz w:val="24"/>
                <w:szCs w:val="24"/>
              </w:rPr>
              <w:t xml:space="preserve">数量</w:t>
            </w:r>
            <w:r/>
          </w:p>
        </w:tc>
        <w:tc>
          <w:tcPr>
            <w:tcMar>
              <w:top w:w="100" w:type="dxa"/>
              <w:bottom w:w="100" w:type="dxa"/>
            </w:tcMar>
            <w:tcW w:w="737"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rPr>
              <w:outlineLvl w:val="9"/>
            </w:pPr>
            <w:r>
              <w:rPr>
                <w:rStyle w:val="973"/>
                <w:rFonts w:ascii="宋体" w:hAnsi="宋体" w:eastAsia="宋体" w:cs="宋体"/>
                <w:b w:val="0"/>
                <w:color w:val="000000"/>
                <w:sz w:val="24"/>
                <w:szCs w:val="24"/>
              </w:rPr>
              <w:t xml:space="preserve">单位</w:t>
            </w:r>
            <w:r/>
          </w:p>
        </w:tc>
        <w:tc>
          <w:tcPr>
            <w:tcMar>
              <w:top w:w="100" w:type="dxa"/>
              <w:bottom w:w="100" w:type="dxa"/>
            </w:tcMar>
            <w:tcW w:w="3669"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rPr>
              <w:outlineLvl w:val="9"/>
            </w:pPr>
            <w:r>
              <w:rPr>
                <w:rStyle w:val="973"/>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color w:val="000000"/>
                <w:sz w:val="24"/>
                <w:szCs w:val="24"/>
              </w:rPr>
              <w:outlineLvl w:val="9"/>
            </w:pPr>
            <w:r>
              <w:rPr>
                <w:rStyle w:val="973"/>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color w:val="000000"/>
                <w:sz w:val="24"/>
                <w:szCs w:val="24"/>
              </w:rPr>
              <w:outlineLvl w:val="9"/>
            </w:pPr>
            <w:r>
              <w:rPr>
                <w:rStyle w:val="973"/>
                <w:rFonts w:ascii="宋体" w:hAnsi="宋体" w:eastAsia="宋体" w:cs="宋体"/>
                <w:b w:val="0"/>
                <w:color w:val="000000"/>
                <w:sz w:val="24"/>
                <w:szCs w:val="24"/>
              </w:rPr>
              <w:t xml:space="preserve">标的属性</w:t>
            </w:r>
            <w:r/>
          </w:p>
        </w:tc>
      </w:tr>
      <w:tr>
        <w:trPr>
          <w:jc w:val="center"/>
          <w:trHeight w:val="2338"/>
        </w:trPr>
        <w:tc>
          <w:tcPr>
            <w:tcMar>
              <w:top w:w="100" w:type="dxa"/>
              <w:bottom w:w="100" w:type="dxa"/>
            </w:tcMar>
            <w:tcW w:w="614"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color w:val="000000"/>
                <w:sz w:val="24"/>
                <w:szCs w:val="24"/>
                <w:lang w:val="en-US" w:eastAsia="zh-CN"/>
              </w:rPr>
              <w:outlineLvl w:val="9"/>
            </w:pPr>
            <w:r>
              <w:rPr>
                <w:rStyle w:val="973"/>
                <w:rFonts w:hint="eastAsia" w:ascii="宋体" w:hAnsi="宋体" w:eastAsia="宋体" w:cs="宋体"/>
                <w:b w:val="0"/>
                <w:color w:val="000000"/>
                <w:sz w:val="24"/>
                <w:szCs w:val="24"/>
                <w:lang w:val="en-US" w:eastAsia="zh-CN"/>
              </w:rPr>
              <w:t xml:space="preserve">1</w:t>
            </w:r>
            <w:r/>
          </w:p>
        </w:tc>
        <w:tc>
          <w:tcPr>
            <w:tcMar>
              <w:top w:w="100" w:type="dxa"/>
              <w:bottom w:w="100" w:type="dxa"/>
            </w:tcMar>
            <w:tcW w:w="2550" w:type="dxa"/>
            <w:vAlign w:val="center"/>
            <w:textDirection w:val="lrTb"/>
            <w:noWrap w:val="false"/>
          </w:tcPr>
          <w:p>
            <w:pPr>
              <w:pStyle w:val="1144"/>
              <w:jc w:val="center"/>
              <w:keepLines w:val="0"/>
              <w:keepNext w:val="0"/>
              <w:pageBreakBefore w:val="0"/>
              <w:spacing w:line="360" w:lineRule="auto"/>
              <w:widowControl w:val="off"/>
              <w:rPr>
                <w:rFonts w:hint="eastAsia" w:ascii="宋体" w:hAnsi="宋体" w:eastAsia="宋体" w:cs="宋体"/>
                <w:b w:val="0"/>
                <w:sz w:val="24"/>
                <w:szCs w:val="24"/>
                <w:lang w:val="en-US" w:eastAsia="zh-CN"/>
              </w:rPr>
              <w:outlineLvl w:val="9"/>
            </w:pPr>
            <w:r>
              <w:rPr>
                <w:rFonts w:hint="eastAsia" w:ascii="宋体" w:hAnsi="宋体" w:eastAsia="宋体" w:cs="宋体"/>
                <w:sz w:val="24"/>
                <w:highlight w:val="none"/>
                <w:lang w:eastAsia="zh-CN"/>
              </w:rPr>
              <w:t xml:space="preserve">张家港市河道安全监测与巡查项目</w:t>
            </w:r>
            <w:r/>
          </w:p>
        </w:tc>
        <w:tc>
          <w:tcPr>
            <w:tcMar>
              <w:top w:w="100" w:type="dxa"/>
              <w:bottom w:w="100" w:type="dxa"/>
            </w:tcMar>
            <w:tcW w:w="713" w:type="dxa"/>
            <w:vAlign w:val="center"/>
            <w:textDirection w:val="lrTb"/>
            <w:noWrap w:val="false"/>
          </w:tcPr>
          <w:p>
            <w:pPr>
              <w:pStyle w:val="1144"/>
              <w:jc w:val="center"/>
              <w:keepLines w:val="0"/>
              <w:keepNext w:val="0"/>
              <w:pageBreakBefore w:val="0"/>
              <w:spacing w:line="360" w:lineRule="auto"/>
              <w:widowControl w:val="off"/>
              <w:rPr>
                <w:rFonts w:hint="default" w:ascii="宋体" w:hAnsi="宋体" w:eastAsia="宋体" w:cs="宋体"/>
                <w:b w:val="0"/>
                <w:sz w:val="24"/>
                <w:szCs w:val="24"/>
                <w:highlight w:val="none"/>
                <w:lang w:val="en-US" w:eastAsia="zh-CN"/>
              </w:rPr>
              <w:outlineLvl w:val="9"/>
            </w:pPr>
            <w:r>
              <w:rPr>
                <w:rStyle w:val="973"/>
                <w:rFonts w:hint="eastAsia" w:ascii="宋体" w:hAnsi="宋体" w:eastAsia="宋体" w:cs="宋体"/>
                <w:b w:val="0"/>
                <w:sz w:val="24"/>
                <w:szCs w:val="24"/>
                <w:highlight w:val="none"/>
                <w:lang w:val="en-US" w:eastAsia="zh-CN"/>
              </w:rPr>
              <w:t xml:space="preserve">1</w:t>
            </w:r>
            <w:r/>
          </w:p>
        </w:tc>
        <w:tc>
          <w:tcPr>
            <w:tcMar>
              <w:top w:w="100" w:type="dxa"/>
              <w:bottom w:w="100" w:type="dxa"/>
            </w:tcMar>
            <w:tcW w:w="737" w:type="dxa"/>
            <w:vAlign w:val="center"/>
            <w:textDirection w:val="lrTb"/>
            <w:noWrap w:val="false"/>
          </w:tcPr>
          <w:p>
            <w:pPr>
              <w:pStyle w:val="1144"/>
              <w:jc w:val="center"/>
              <w:keepLines w:val="0"/>
              <w:keepNext w:val="0"/>
              <w:pageBreakBefore w:val="0"/>
              <w:spacing w:line="360" w:lineRule="auto"/>
              <w:widowControl w:val="off"/>
              <w:rPr>
                <w:rFonts w:hint="default" w:ascii="宋体" w:hAnsi="宋体" w:eastAsia="宋体" w:cs="宋体"/>
                <w:b w:val="0"/>
                <w:sz w:val="24"/>
                <w:szCs w:val="24"/>
                <w:highlight w:val="none"/>
                <w:lang w:val="en-US" w:eastAsia="zh-CN"/>
              </w:rPr>
              <w:outlineLvl w:val="9"/>
            </w:pPr>
            <w:r>
              <w:rPr>
                <w:rStyle w:val="973"/>
                <w:rFonts w:hint="eastAsia" w:ascii="宋体" w:hAnsi="宋体" w:eastAsia="宋体" w:cs="宋体"/>
                <w:b w:val="0"/>
                <w:sz w:val="24"/>
                <w:szCs w:val="24"/>
                <w:highlight w:val="none"/>
                <w:lang w:val="en-US" w:eastAsia="zh-CN"/>
              </w:rPr>
              <w:t xml:space="preserve">项</w:t>
            </w:r>
            <w:r/>
          </w:p>
        </w:tc>
        <w:tc>
          <w:tcPr>
            <w:tcMar>
              <w:top w:w="100" w:type="dxa"/>
              <w:bottom w:w="100" w:type="dxa"/>
            </w:tcMar>
            <w:tcW w:w="3669"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lang w:val="en-US" w:eastAsia="zh-CN"/>
              </w:rPr>
              <w:outlineLvl w:val="9"/>
            </w:pPr>
            <w:r>
              <w:rPr>
                <w:rStyle w:val="973"/>
                <w:rFonts w:hint="eastAsia" w:ascii="宋体" w:hAnsi="宋体" w:eastAsia="宋体" w:cs="宋体"/>
                <w:b w:val="0"/>
                <w:sz w:val="24"/>
                <w:szCs w:val="24"/>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25"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lang w:val="en-US" w:eastAsia="zh-CN"/>
              </w:rPr>
              <w:outlineLvl w:val="9"/>
            </w:pPr>
            <w:r>
              <w:rPr>
                <w:rStyle w:val="973"/>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144"/>
              <w:jc w:val="center"/>
              <w:keepLines w:val="0"/>
              <w:keepNext w:val="0"/>
              <w:pageBreakBefore w:val="0"/>
              <w:spacing w:line="360" w:lineRule="auto"/>
              <w:widowControl w:val="off"/>
              <w:rPr>
                <w:rFonts w:ascii="宋体" w:hAnsi="宋体" w:eastAsia="宋体" w:cs="宋体"/>
                <w:b w:val="0"/>
                <w:sz w:val="24"/>
                <w:szCs w:val="24"/>
                <w:lang w:val="en-US" w:eastAsia="zh-CN"/>
              </w:rPr>
              <w:outlineLvl w:val="9"/>
            </w:pPr>
            <w:r>
              <w:rPr>
                <w:rStyle w:val="973"/>
                <w:rFonts w:hint="eastAsia" w:ascii="宋体" w:hAnsi="宋体" w:eastAsia="宋体" w:cs="宋体"/>
                <w:b w:val="0"/>
                <w:sz w:val="24"/>
                <w:szCs w:val="24"/>
                <w:lang w:val="en-US" w:eastAsia="zh-CN"/>
              </w:rPr>
              <w:t xml:space="preserve">服务类</w:t>
            </w:r>
            <w:r/>
          </w:p>
        </w:tc>
      </w:tr>
    </w:tbl>
    <w:p>
      <w:pPr>
        <w:pStyle w:val="1011"/>
        <w:ind w:firstLine="500"/>
        <w:spacing w:line="440" w:lineRule="exact"/>
        <w:rPr>
          <w:rFonts w:hint="eastAsia" w:ascii="宋体" w:hAnsi="宋体" w:eastAsia="宋体" w:cs="宋体"/>
          <w:b w:val="0"/>
          <w:color w:val="000000"/>
          <w:spacing w:val="7"/>
          <w:sz w:val="24"/>
        </w:rPr>
        <w:outlineLvl w:val="9"/>
      </w:pPr>
      <w:r>
        <w:rPr>
          <w:rStyle w:val="973"/>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16"/>
        <w:ind w:firstLine="508"/>
        <w:spacing w:line="440" w:lineRule="exact"/>
        <w:rPr>
          <w:rFonts w:hint="eastAsia" w:ascii="宋体" w:hAnsi="宋体" w:eastAsia="宋体" w:cs="宋体"/>
          <w:b w:val="0"/>
          <w:color w:val="000000"/>
          <w:spacing w:val="7"/>
          <w:sz w:val="24"/>
          <w:lang w:val="en-US" w:eastAsia="zh-CN"/>
        </w:rPr>
        <w:outlineLvl w:val="2"/>
      </w:pPr>
      <w:r/>
      <w:bookmarkStart w:id="170" w:name="_Toc24467"/>
      <w:r>
        <w:rPr>
          <w:rStyle w:val="973"/>
          <w:rFonts w:ascii="宋体" w:hAnsi="宋体" w:eastAsia="宋体" w:cs="宋体"/>
          <w:b w:val="0"/>
          <w:color w:val="000000"/>
          <w:spacing w:val="7"/>
          <w:sz w:val="24"/>
        </w:rPr>
        <w:t xml:space="preserve">2</w:t>
      </w:r>
      <w:r>
        <w:rPr>
          <w:rStyle w:val="973"/>
          <w:rFonts w:hint="eastAsia" w:ascii="宋体" w:hAnsi="宋体" w:eastAsia="宋体" w:cs="宋体"/>
          <w:b w:val="0"/>
          <w:color w:val="000000"/>
          <w:spacing w:val="7"/>
          <w:sz w:val="24"/>
          <w:lang w:eastAsia="zh-CN"/>
        </w:rPr>
        <w:t xml:space="preserve">、</w:t>
      </w:r>
      <w:r>
        <w:rPr>
          <w:rStyle w:val="973"/>
          <w:rFonts w:ascii="宋体" w:hAnsi="宋体" w:eastAsia="宋体" w:cs="宋体"/>
          <w:b w:val="0"/>
          <w:color w:val="000000"/>
          <w:spacing w:val="7"/>
          <w:sz w:val="24"/>
        </w:rPr>
        <w:t xml:space="preserve">核心产品清单</w:t>
      </w:r>
      <w:bookmarkEnd w:id="170"/>
      <w:r>
        <w:rPr>
          <w:rStyle w:val="973"/>
          <w:rFonts w:hint="eastAsia" w:ascii="宋体" w:hAnsi="宋体" w:eastAsia="宋体" w:cs="宋体"/>
          <w:b w:val="0"/>
          <w:color w:val="000000"/>
          <w:spacing w:val="7"/>
          <w:sz w:val="24"/>
          <w:lang w:eastAsia="zh-CN"/>
        </w:rPr>
        <w:t xml:space="preserve">：</w:t>
      </w:r>
      <w:r>
        <w:rPr>
          <w:rStyle w:val="973"/>
          <w:rFonts w:hint="eastAsia" w:ascii="宋体" w:hAnsi="宋体" w:eastAsia="宋体" w:cs="宋体"/>
          <w:b w:val="0"/>
          <w:color w:val="000000"/>
          <w:spacing w:val="7"/>
          <w:sz w:val="24"/>
          <w:lang w:val="en-US" w:eastAsia="zh-CN"/>
        </w:rPr>
        <w:t xml:space="preserve">无</w:t>
      </w:r>
      <w:r/>
    </w:p>
    <w:p>
      <w:pPr>
        <w:pStyle w:val="1064"/>
        <w:ind w:firstLine="508"/>
        <w:spacing w:line="440" w:lineRule="exact"/>
        <w:rPr>
          <w:rFonts w:ascii="宋体" w:hAnsi="宋体" w:eastAsia="宋体" w:cs="宋体"/>
          <w:b w:val="0"/>
          <w:spacing w:val="7"/>
          <w:sz w:val="24"/>
        </w:rPr>
        <w:outlineLvl w:val="9"/>
      </w:pPr>
      <w:r>
        <w:rPr>
          <w:rStyle w:val="973"/>
          <w:rFonts w:ascii="宋体" w:hAnsi="宋体" w:eastAsia="宋体" w:cs="宋体"/>
          <w:b w:val="0"/>
          <w:color w:val="000000"/>
          <w:spacing w:val="7"/>
          <w:sz w:val="24"/>
        </w:rPr>
        <w:t xml:space="preserve">3</w:t>
      </w:r>
      <w:r>
        <w:rPr>
          <w:rStyle w:val="973"/>
          <w:rFonts w:hint="eastAsia" w:ascii="宋体" w:hAnsi="宋体" w:eastAsia="宋体" w:cs="宋体"/>
          <w:b w:val="0"/>
          <w:color w:val="000000"/>
          <w:spacing w:val="7"/>
          <w:sz w:val="24"/>
          <w:lang w:eastAsia="zh-CN"/>
        </w:rPr>
        <w:t xml:space="preserve">、</w:t>
      </w:r>
      <w:r>
        <w:rPr>
          <w:rStyle w:val="973"/>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064"/>
        <w:ind w:firstLine="508"/>
        <w:spacing w:line="440" w:lineRule="exact"/>
        <w:rPr>
          <w:rFonts w:ascii="宋体" w:hAnsi="宋体" w:eastAsia="宋体" w:cs="宋体"/>
          <w:b w:val="0"/>
          <w:spacing w:val="7"/>
          <w:sz w:val="24"/>
        </w:rPr>
        <w:outlineLvl w:val="9"/>
      </w:pPr>
      <w:r>
        <w:rPr>
          <w:rStyle w:val="973"/>
          <w:rFonts w:ascii="宋体" w:hAnsi="宋体" w:eastAsia="宋体" w:cs="宋体"/>
          <w:b w:val="0"/>
          <w:color w:val="000000"/>
          <w:spacing w:val="7"/>
          <w:sz w:val="24"/>
        </w:rPr>
        <w:t xml:space="preserve">节能产品政府采购品目清单： 无 </w:t>
      </w:r>
      <w:r/>
    </w:p>
    <w:p>
      <w:pPr>
        <w:pStyle w:val="1045"/>
        <w:ind w:firstLine="508"/>
        <w:spacing w:line="440" w:lineRule="exact"/>
        <w:rPr>
          <w:rFonts w:ascii="宋体" w:hAnsi="宋体" w:eastAsia="宋体" w:cs="宋体"/>
          <w:b w:val="0"/>
          <w:color w:val="000000"/>
          <w:spacing w:val="7"/>
          <w:sz w:val="24"/>
        </w:rPr>
        <w:outlineLvl w:val="9"/>
      </w:pPr>
      <w:r>
        <w:rPr>
          <w:rStyle w:val="973"/>
          <w:rFonts w:ascii="宋体" w:hAnsi="宋体" w:eastAsia="宋体" w:cs="宋体"/>
          <w:b w:val="0"/>
          <w:color w:val="000000"/>
          <w:spacing w:val="7"/>
          <w:sz w:val="24"/>
        </w:rPr>
        <w:t xml:space="preserve">环境标志产品政府采购品目清单</w:t>
      </w:r>
      <w:r>
        <w:rPr>
          <w:rStyle w:val="973"/>
          <w:rFonts w:hint="eastAsia" w:ascii="宋体" w:hAnsi="宋体" w:eastAsia="宋体" w:cs="宋体"/>
          <w:b w:val="0"/>
          <w:color w:val="000000"/>
          <w:spacing w:val="7"/>
          <w:sz w:val="24"/>
          <w:lang w:eastAsia="zh-CN"/>
        </w:rPr>
        <w:t xml:space="preserve">：</w:t>
      </w:r>
      <w:r>
        <w:rPr>
          <w:rStyle w:val="973"/>
          <w:rFonts w:ascii="宋体" w:hAnsi="宋体" w:eastAsia="宋体" w:cs="宋体"/>
          <w:b w:val="0"/>
          <w:color w:val="000000"/>
          <w:spacing w:val="7"/>
          <w:sz w:val="24"/>
        </w:rPr>
        <w:t xml:space="preserve">无</w:t>
      </w:r>
      <w:r/>
    </w:p>
    <w:p>
      <w:pPr>
        <w:pStyle w:val="1011"/>
        <w:ind w:firstLine="508"/>
        <w:keepLines w:val="0"/>
        <w:keepNext w:val="0"/>
        <w:pageBreakBefore w:val="0"/>
        <w:spacing w:line="440" w:lineRule="exact"/>
        <w:rPr>
          <w:rFonts w:hint="default" w:ascii="宋体" w:hAnsi="宋体" w:eastAsia="宋体" w:cs="宋体"/>
          <w:b w:val="0"/>
          <w:color w:val="auto"/>
          <w:spacing w:val="7"/>
          <w:sz w:val="24"/>
          <w:szCs w:val="24"/>
          <w:lang w:val="en-US"/>
        </w:rPr>
        <w:outlineLvl w:val="9"/>
      </w:pPr>
      <w:r>
        <w:rPr>
          <w:rStyle w:val="1036"/>
          <w:rFonts w:hint="eastAsia" w:ascii="宋体" w:hAnsi="宋体" w:eastAsia="宋体" w:cs="宋体"/>
          <w:b w:val="0"/>
          <w:color w:val="auto"/>
          <w:spacing w:val="7"/>
          <w:sz w:val="24"/>
          <w:szCs w:val="24"/>
        </w:rPr>
        <w:t xml:space="preserve">4、绿色采购其他政策： </w:t>
      </w:r>
      <w:r>
        <w:rPr>
          <w:rStyle w:val="1036"/>
          <w:rFonts w:hint="eastAsia" w:ascii="宋体" w:hAnsi="宋体" w:eastAsia="宋体" w:cs="宋体"/>
          <w:b w:val="0"/>
          <w:color w:val="auto"/>
          <w:spacing w:val="7"/>
          <w:sz w:val="24"/>
          <w:szCs w:val="24"/>
          <w:lang w:val="en-US" w:eastAsia="zh-CN"/>
        </w:rPr>
        <w:t xml:space="preserve">无</w:t>
      </w:r>
      <w:r/>
    </w:p>
    <w:p>
      <w:pPr>
        <w:pStyle w:val="926"/>
        <w:numPr>
          <w:ilvl w:val="0"/>
          <w:numId w:val="3"/>
        </w:numPr>
        <w:ind w:left="432" w:hanging="432"/>
        <w:rPr>
          <w:rFonts w:hint="eastAsia"/>
          <w:sz w:val="24"/>
          <w:szCs w:val="24"/>
        </w:rPr>
      </w:pPr>
      <w:r/>
      <w:bookmarkStart w:id="171" w:name="_Toc24848"/>
      <w:r/>
      <w:bookmarkStart w:id="172" w:name="_Toc5508"/>
      <w:r/>
      <w:bookmarkStart w:id="173" w:name="_Toc25985"/>
      <w:r>
        <w:rPr>
          <w:rFonts w:hint="eastAsia"/>
          <w:sz w:val="24"/>
          <w:szCs w:val="24"/>
        </w:rPr>
        <w:t xml:space="preserve">技术要求</w:t>
      </w:r>
      <w:bookmarkEnd w:id="171"/>
      <w:r/>
      <w:bookmarkEnd w:id="172"/>
      <w:r/>
      <w:bookmarkEnd w:id="173"/>
      <w:r/>
      <w:r/>
    </w:p>
    <w:tbl>
      <w:tblPr>
        <w:tblStyle w:val="93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4"/>
        <w:gridCol w:w="1129"/>
        <w:gridCol w:w="7949"/>
      </w:tblGrid>
      <w:tr>
        <w:trPr>
          <w:jc w:val="center"/>
          <w:trHeight w:val="0"/>
          <w:tblHeader/>
        </w:trPr>
        <w:tc>
          <w:tcPr>
            <w:shd w:val="clear" w:color="auto" w:fill="4f81bd" w:themeFill="accent1"/>
            <w:tcW w:w="884"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b/>
                <w:bCs w:val="0"/>
                <w:i w:val="0"/>
                <w:iCs w:val="0"/>
                <w:color w:val="ffffff"/>
                <w:sz w:val="24"/>
                <w:szCs w:val="24"/>
                <w:highlight w:val="none"/>
                <w:u w:val="none"/>
                <w:lang w:val="en-US" w:eastAsia="zh-CN" w:bidi="ar"/>
              </w:rPr>
              <w:suppressLineNumbers w:val="0"/>
            </w:pPr>
            <w:r/>
            <w:bookmarkStart w:id="174" w:name="_Toc8533"/>
            <w:r/>
            <w:bookmarkStart w:id="175" w:name="_Toc19243"/>
            <w:r/>
            <w:bookmarkStart w:id="176" w:name="_Toc6370"/>
            <w:r>
              <w:rPr>
                <w:rFonts w:hint="eastAsia" w:asciiTheme="minorEastAsia" w:hAnsiTheme="minorEastAsia" w:eastAsiaTheme="minorEastAsia" w:cstheme="minorEastAsia"/>
                <w:b/>
                <w:bCs w:val="0"/>
                <w:i w:val="0"/>
                <w:iCs w:val="0"/>
                <w:color w:val="ffffff"/>
                <w:sz w:val="24"/>
                <w:szCs w:val="24"/>
                <w:highlight w:val="none"/>
                <w:u w:val="none"/>
                <w:lang w:val="en-US" w:eastAsia="zh-CN" w:bidi="ar"/>
              </w:rPr>
              <w:t xml:space="preserve">序号</w:t>
            </w:r>
            <w:r/>
          </w:p>
        </w:tc>
        <w:tc>
          <w:tcPr>
            <w:shd w:val="clear" w:color="auto" w:fill="4f81bd" w:themeFill="accent1"/>
            <w:tcW w:w="1129"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b/>
                <w:bCs w:val="0"/>
                <w:i w:val="0"/>
                <w:iCs w:val="0"/>
                <w:color w:val="ffffff"/>
                <w:sz w:val="24"/>
                <w:szCs w:val="24"/>
                <w:highlight w:val="none"/>
                <w:u w:val="none"/>
                <w:lang w:val="en-US" w:eastAsia="zh-CN" w:bidi="ar"/>
              </w:rPr>
              <w:suppressLineNumbers w:val="0"/>
            </w:pPr>
            <w:r>
              <w:rPr>
                <w:rFonts w:hint="eastAsia" w:asciiTheme="minorEastAsia" w:hAnsiTheme="minorEastAsia" w:eastAsiaTheme="minorEastAsia" w:cstheme="minorEastAsia"/>
                <w:b/>
                <w:bCs w:val="0"/>
                <w:i w:val="0"/>
                <w:iCs w:val="0"/>
                <w:color w:val="ffffff"/>
                <w:sz w:val="24"/>
                <w:szCs w:val="24"/>
                <w:highlight w:val="none"/>
                <w:u w:val="none"/>
                <w:lang w:val="en-US" w:eastAsia="zh-CN" w:bidi="ar"/>
              </w:rPr>
              <w:t xml:space="preserve">名称</w:t>
            </w:r>
            <w:r/>
          </w:p>
        </w:tc>
        <w:tc>
          <w:tcPr>
            <w:shd w:val="clear" w:color="auto" w:fill="4f81bd" w:themeFill="accent1"/>
            <w:tcW w:w="7949" w:type="dxa"/>
            <w:vAlign w:val="center"/>
            <w:textDirection w:val="lrTb"/>
            <w:noWrap w:val="false"/>
          </w:tcPr>
          <w:p>
            <w:pPr>
              <w:ind w:left="0" w:right="0" w:firstLine="0"/>
              <w:jc w:val="center"/>
              <w:keepLines w:val="0"/>
              <w:keepNext w:val="0"/>
              <w:pageBreakBefore w:val="0"/>
              <w:spacing w:line="360" w:lineRule="auto"/>
              <w:widowControl/>
              <w:rPr>
                <w:rFonts w:hint="eastAsia" w:asciiTheme="minorEastAsia" w:hAnsiTheme="minorEastAsia" w:eastAsiaTheme="minorEastAsia" w:cstheme="minorEastAsia"/>
                <w:b/>
                <w:bCs w:val="0"/>
                <w:i w:val="0"/>
                <w:iCs w:val="0"/>
                <w:color w:val="ffffff"/>
                <w:sz w:val="24"/>
                <w:szCs w:val="24"/>
                <w:highlight w:val="none"/>
                <w:u w:val="none"/>
              </w:rPr>
              <w:suppressLineNumbers w:val="0"/>
            </w:pPr>
            <w:r>
              <w:rPr>
                <w:rFonts w:hint="eastAsia" w:asciiTheme="minorEastAsia" w:hAnsiTheme="minorEastAsia" w:eastAsiaTheme="minorEastAsia" w:cstheme="minorEastAsia"/>
                <w:b/>
                <w:bCs w:val="0"/>
                <w:i w:val="0"/>
                <w:iCs w:val="0"/>
                <w:color w:val="ffffff"/>
                <w:sz w:val="24"/>
                <w:szCs w:val="24"/>
                <w:highlight w:val="none"/>
                <w:u w:val="none"/>
                <w:lang w:val="en-US" w:eastAsia="zh-CN"/>
              </w:rPr>
              <w:t xml:space="preserve">内容</w:t>
            </w:r>
            <w:r/>
          </w:p>
        </w:tc>
      </w:tr>
      <w:tr>
        <w:trPr>
          <w:jc w:val="center"/>
          <w:trHeight w:val="0"/>
        </w:trPr>
        <w:tc>
          <w:tcPr>
            <w:shd w:val="clear" w:color="auto" w:fill="ffffff"/>
            <w:tcW w:w="884"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一</w:t>
            </w:r>
            <w:r/>
          </w:p>
        </w:tc>
        <w:tc>
          <w:tcPr>
            <w:shd w:val="clear" w:color="auto" w:fill="ffffff"/>
            <w:tcW w:w="1129"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color w:val="000000"/>
                <w:sz w:val="21"/>
                <w:szCs w:val="21"/>
                <w:highlight w:val="none"/>
              </w:rPr>
              <w:t xml:space="preserve">项目概况</w:t>
            </w:r>
            <w:r/>
          </w:p>
        </w:tc>
        <w:tc>
          <w:tcPr>
            <w:shd w:val="clear" w:color="auto" w:fill="ffffff"/>
            <w:tcW w:w="7949" w:type="dxa"/>
            <w:vAlign w:val="center"/>
            <w:textDirection w:val="lrTb"/>
            <w:noWrap w:val="false"/>
          </w:tcPr>
          <w:p>
            <w:p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rPr>
              <w:suppressLineNumbers w:val="0"/>
            </w:pPr>
            <w:r>
              <w:rPr>
                <w:rFonts w:hint="eastAsia" w:ascii="宋体" w:eastAsia="宋体" w:hAnsiTheme="minorEastAsia" w:cstheme="minorEastAsia"/>
                <w:b w:val="0"/>
                <w:bCs w:val="0"/>
                <w:i w:val="0"/>
                <w:color w:val="000000"/>
                <w:sz w:val="21"/>
                <w:szCs w:val="21"/>
                <w:highlight w:val="none"/>
              </w:rPr>
              <w:t xml:space="preserve">张家港市水务局就其所需的河道堤防设施监测与巡查项目拟采取公开招标的形式确定一家专业服务单位，根据采购人委托的内容和要求，承担对张家港市现有河道养护管理等情况</w:t>
            </w:r>
            <w:r>
              <w:rPr>
                <w:rFonts w:hint="eastAsia" w:ascii="宋体" w:eastAsia="宋体" w:hAnsiTheme="minorEastAsia" w:cstheme="minorEastAsia"/>
                <w:b w:val="0"/>
                <w:bCs w:val="0"/>
                <w:i w:val="0"/>
                <w:color w:val="000000"/>
                <w:sz w:val="21"/>
                <w:szCs w:val="21"/>
                <w:highlight w:val="none"/>
                <w:u w:val="single"/>
              </w:rPr>
              <w:t xml:space="preserve">进行巡查、水质检测、沉降监测、图斑处理、数据统计分析和平台维护等工作。</w:t>
            </w:r>
            <w:r/>
          </w:p>
        </w:tc>
      </w:tr>
      <w:tr>
        <w:trPr>
          <w:jc w:val="center"/>
          <w:trHeight w:val="0"/>
        </w:trPr>
        <w:tc>
          <w:tcPr>
            <w:shd w:val="clear" w:color="auto" w:fill="ffffff"/>
            <w:tcW w:w="884" w:type="dxa"/>
            <w:vAlign w:val="center"/>
            <w:textDirection w:val="lrTb"/>
            <w:noWrap w:val="false"/>
          </w:tcPr>
          <w:p>
            <w:pPr>
              <w:ind w:left="0" w:right="0" w:firstLine="0"/>
              <w:jc w:val="both"/>
              <w:keepLines w:val="0"/>
              <w:keepNext w:val="0"/>
              <w:pageBreakBefore w:val="0"/>
              <w:spacing w:line="360" w:lineRule="auto"/>
              <w:rPr>
                <w:rFonts w:hint="default" w:ascii="宋体" w:eastAsia="宋体" w:hAnsiTheme="minorEastAsia" w:cstheme="minorEastAsia"/>
                <w:b w:val="0"/>
                <w:bCs w:val="0"/>
                <w:i w:val="0"/>
                <w:iCs w:val="0"/>
                <w:color w:val="000000"/>
                <w:sz w:val="21"/>
                <w:szCs w:val="21"/>
                <w:highlight w:val="none"/>
                <w:u w:val="none"/>
                <w:lang w:val="en-US" w:eastAsia="zh-CN" w:bidi="ar"/>
              </w:rPr>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二</w:t>
            </w:r>
            <w:r/>
          </w:p>
        </w:tc>
        <w:tc>
          <w:tcPr>
            <w:shd w:val="clear" w:color="auto" w:fill="ffffff"/>
            <w:tcW w:w="1129"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设备需求</w:t>
            </w:r>
            <w:r/>
          </w:p>
        </w:tc>
        <w:tc>
          <w:tcPr>
            <w:shd w:val="clear" w:color="auto" w:fill="ffffff"/>
            <w:tcW w:w="7949" w:type="dxa"/>
            <w:vAlign w:val="center"/>
            <w:textDirection w:val="lrTb"/>
            <w:noWrap w:val="false"/>
          </w:tcPr>
          <w:p>
            <w:pPr>
              <w:numPr>
                <w:ilvl w:val="0"/>
                <w:numId w:val="0"/>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2.1、投标供应商在监测设备、水质检测设备方面，需满足如下要求：</w:t>
            </w:r>
            <w:r/>
          </w:p>
          <w:p>
            <w:pPr>
              <w:numPr>
                <w:ilvl w:val="0"/>
                <w:numId w:val="4"/>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城区河段不少于16公里，涵盖东横河、谷渎港、新市河、新沙河等城区段；河势不稳定河段不少于10公里，涵盖走马塘、十字港等部分河段；具体根据项目实际情况确定；投标人须根据上述要求进行水下地形多波束对比扫测，形成3D扫测图及水底扫床报告。</w:t>
            </w:r>
            <w:r/>
          </w:p>
          <w:p>
            <w:pPr>
              <w:numPr>
                <w:ilvl w:val="0"/>
                <w:numId w:val="4"/>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在合同期内每年对二干河10.6公里新建挡墙沉降位移进行对比监测。</w:t>
            </w:r>
            <w:r/>
          </w:p>
          <w:p>
            <w:pPr>
              <w:numPr>
                <w:ilvl w:val="0"/>
                <w:numId w:val="4"/>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配合做好水域面积补偿相关现场测量与资料整理工作。</w:t>
            </w:r>
            <w:r/>
          </w:p>
          <w:p>
            <w:pPr>
              <w:numPr>
                <w:ilvl w:val="0"/>
                <w:numId w:val="4"/>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投标人为本项目配备全站仪设备、电子水准仪设备和水下高精度三维侧扫多波束设备。</w:t>
            </w:r>
            <w:r/>
          </w:p>
          <w:p>
            <w:pPr>
              <w:numPr>
                <w:ilvl w:val="0"/>
                <w:numId w:val="4"/>
              </w:numPr>
              <w:ind w:left="0" w:right="0" w:firstLine="42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投标人需自备针对本项目配置的便携式水质检测设备（能现场测出COD、氨氮、总磷准确数值）、全站仪、电子水准仪和水下高精度三维侧扫多波束设备等。</w:t>
            </w:r>
            <w:r/>
          </w:p>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2.2、投标人为本项目配备巡查车辆、自备巡查车辆不少于2辆（使用及保养等相关费用包含于合同总价内）</w:t>
            </w:r>
            <w:r/>
          </w:p>
          <w:p>
            <w:pPr>
              <w:ind w:left="0" w:right="0" w:firstLine="0"/>
              <w:jc w:val="both"/>
              <w:keepLines w:val="0"/>
              <w:keepNext w:val="0"/>
              <w:pageBreakBefore w:val="0"/>
              <w:spacing w:line="360" w:lineRule="auto"/>
              <w:widowControl/>
              <w:rPr>
                <w:rFonts w:hint="default"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2.3、以上设备须于本项目公示结束后3日历天内完成进场工作。</w:t>
            </w:r>
            <w:r/>
          </w:p>
        </w:tc>
      </w:tr>
      <w:tr>
        <w:trPr>
          <w:jc w:val="center"/>
          <w:trHeight w:val="0"/>
        </w:trPr>
        <w:tc>
          <w:tcPr>
            <w:shd w:val="clear" w:color="auto" w:fill="ffffff"/>
            <w:tcW w:w="884" w:type="dxa"/>
            <w:vAlign w:val="center"/>
            <w:textDirection w:val="lrTb"/>
            <w:noWrap w:val="false"/>
          </w:tcPr>
          <w:p>
            <w:pPr>
              <w:ind w:left="0" w:right="0" w:firstLine="0"/>
              <w:jc w:val="both"/>
              <w:keepLines w:val="0"/>
              <w:keepNext w:val="0"/>
              <w:pageBreakBefore w:val="0"/>
              <w:spacing w:line="360" w:lineRule="auto"/>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 xml:space="preserve">三</w:t>
            </w:r>
            <w:r/>
          </w:p>
        </w:tc>
        <w:tc>
          <w:tcPr>
            <w:shd w:val="clear" w:color="auto" w:fill="ffffff"/>
            <w:tcW w:w="1129" w:type="dxa"/>
            <w:vAlign w:val="center"/>
            <w:textDirection w:val="lrTb"/>
            <w:noWrap w:val="false"/>
          </w:tcPr>
          <w:p>
            <w:pPr>
              <w:numPr>
                <w:ilvl w:val="0"/>
                <w:numId w:val="0"/>
              </w:numPr>
              <w:ind w:left="0" w:right="0" w:firstLine="0"/>
              <w:jc w:val="both"/>
              <w:keepLines w:val="0"/>
              <w:keepNext w:val="0"/>
              <w:pageBreakBefore w:val="0"/>
              <w:spacing w:line="360" w:lineRule="auto"/>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 xml:space="preserve">人员要求</w:t>
            </w:r>
            <w:r/>
          </w:p>
        </w:tc>
        <w:tc>
          <w:tcPr>
            <w:shd w:val="clear" w:color="auto" w:fill="ffffff"/>
            <w:tcW w:w="7949" w:type="dxa"/>
            <w:vAlign w:val="center"/>
            <w:textDirection w:val="lrTb"/>
            <w:noWrap w:val="false"/>
          </w:tcPr>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bCs/>
                <w:i/>
                <w:iCs/>
                <w:color w:val="000000"/>
                <w:sz w:val="21"/>
                <w:szCs w:val="21"/>
                <w:highlight w:val="none"/>
                <w:u w:val="single"/>
                <w:lang w:val="en-US" w:eastAsia="zh-CN" w:bidi="ar"/>
              </w:rPr>
              <w:t xml:space="preserve">3.1、人员年龄要求：项目组配备人员须为在职人员，年龄要求为女性未满55周岁、男性未满60周岁。投标文件中须明确人员信息，包括详细的人员清单、性别、人员身份证正反面复印件，以及投标人为其缴纳的近一个月有效社保证明；同时需提供承诺书，承诺本项目配备的项目组人员于中标后3日历天内配齐到岗。投标人应与巡查人员签订劳动合同，承担相应责任与义务，支付其薪酬、社保、医保等全部费用，并为所有巡查人员购买意外伤害保险。以上人员须于本项目公示结束后3日历天内完成进场。</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3.2、驻场要求：项目须至少安排2名资料员在甲方指定地点办公，办公用品由投标人自备，伙食由资料员自行承担；</w:t>
            </w:r>
            <w:r/>
          </w:p>
          <w:p>
            <w:pPr>
              <w:numPr>
                <w:ilvl w:val="0"/>
                <w:numId w:val="0"/>
              </w:numPr>
              <w:ind w:left="0" w:right="0" w:firstLine="0"/>
              <w:jc w:val="both"/>
              <w:keepLines w:val="0"/>
              <w:keepNext w:val="0"/>
              <w:pageBreakBefore w:val="0"/>
              <w:spacing w:line="360" w:lineRule="auto"/>
              <w:widowControl/>
              <w:rPr>
                <w:rFonts w:hint="eastAsia" w:ascii="宋体" w:eastAsia="宋体"/>
                <w:b w:val="0"/>
                <w:bCs w:val="0"/>
                <w:i w:val="0"/>
                <w:iCs w:val="0"/>
                <w:sz w:val="21"/>
                <w:u w:val="none"/>
                <w:lang w:eastAsia="zh-CN"/>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3.3、项目人员组成：设项目负责人1名，其他成员7名（含巡查人员4名、资料员3名）。</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3.4、人员资质要求：投标人为本项目配备的项目负责人须具备中级及以上工程师职称，并具有一定的巡查服务经验和管理经验；投标人为本项目投入的项目组成员（不含项目负责人）须具备中级及以上工程师职称证书，且项目组成员须具备测绘中级及以上工程师资质。</w:t>
            </w:r>
            <w:r/>
          </w:p>
        </w:tc>
      </w:tr>
      <w:tr>
        <w:trPr>
          <w:jc w:val="center"/>
          <w:trHeight w:val="0"/>
        </w:trPr>
        <w:tc>
          <w:tcPr>
            <w:shd w:val="clear" w:color="auto" w:fill="ffffff"/>
            <w:tcW w:w="884" w:type="dxa"/>
            <w:vAlign w:val="center"/>
            <w:textDirection w:val="lrTb"/>
            <w:noWrap w:val="false"/>
          </w:tcPr>
          <w:p>
            <w:pPr>
              <w:ind w:left="0" w:right="0" w:firstLine="0"/>
              <w:jc w:val="both"/>
              <w:keepLines w:val="0"/>
              <w:keepNext w:val="0"/>
              <w:pageBreakBefore w:val="0"/>
              <w:spacing w:line="360" w:lineRule="auto"/>
              <w:rPr>
                <w:rFonts w:hint="eastAsia" w:ascii="宋体" w:eastAsia="宋体" w:hAnsiTheme="minorEastAsia" w:cstheme="minorEastAsia"/>
                <w:b w:val="0"/>
                <w:bCs w:val="0"/>
                <w:i w:val="0"/>
                <w:iCs w:val="0"/>
                <w:color w:val="000000"/>
                <w:sz w:val="21"/>
                <w:szCs w:val="21"/>
                <w:highlight w:val="none"/>
                <w:u w:val="none"/>
                <w:lang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 xml:space="preserve">四</w:t>
            </w:r>
            <w:r/>
          </w:p>
        </w:tc>
        <w:tc>
          <w:tcPr>
            <w:shd w:val="clear" w:color="auto" w:fill="ffffff"/>
            <w:tcW w:w="1129" w:type="dxa"/>
            <w:vAlign w:val="center"/>
            <w:textDirection w:val="lrTb"/>
            <w:noWrap w:val="false"/>
          </w:tcPr>
          <w:p>
            <w:pPr>
              <w:numPr>
                <w:ilvl w:val="0"/>
                <w:numId w:val="0"/>
              </w:numPr>
              <w:ind w:left="0" w:right="0" w:firstLine="0"/>
              <w:jc w:val="both"/>
              <w:keepLines w:val="0"/>
              <w:keepNext w:val="0"/>
              <w:pageBreakBefore w:val="0"/>
              <w:spacing w:line="360" w:lineRule="auto"/>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 xml:space="preserve">服务要求</w:t>
            </w:r>
            <w:r/>
          </w:p>
        </w:tc>
        <w:tc>
          <w:tcPr>
            <w:shd w:val="clear" w:color="auto" w:fill="ffffff"/>
            <w:tcW w:w="7949" w:type="dxa"/>
            <w:vAlign w:val="center"/>
            <w:textDirection w:val="lrTb"/>
            <w:noWrap w:val="false"/>
          </w:tcPr>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具体需满足如下要求：</w:t>
            </w:r>
            <w:r>
              <w:rPr>
                <w:rFonts w:hint="eastAsia" w:ascii="宋体" w:eastAsia="宋体" w:hAnsiTheme="minorEastAsia" w:cstheme="minorEastAsia"/>
                <w:b w:val="0"/>
                <w:bCs w:val="0"/>
                <w:i w:val="0"/>
                <w:color w:val="000000"/>
                <w:sz w:val="21"/>
                <w:szCs w:val="21"/>
                <w:highlight w:val="none"/>
              </w:rPr>
              <w:t xml:space="preserve">服务方案应包含以下内容：1）项目现状分析；2）河道分布状况分析；3）河道监测方案；4）河道巡查方案；5）水体水质检测方案；6）遥感图斑及交办问题处理方案；7）河湖管理软件平台维护方案。</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投标人需根据招标文件要求提供详细完整的工作计划。</w:t>
            </w:r>
            <w:r/>
          </w:p>
          <w:p>
            <w:pPr>
              <w:numPr>
                <w:ilvl w:val="1"/>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日常河道巡查要求：按规定频次对市级河道、镇级河道、村组河道及湖泊开展全覆盖巡查，重点排查违章建筑、违法占用河道空间、垃圾渣土倾倒、排污、水面漂浮物、有害生物、堤防护岸破损开裂、护岸树木损毁等问题。</w:t>
            </w:r>
            <w:r/>
          </w:p>
          <w:p>
            <w:pPr>
              <w:numPr>
                <w:ilvl w:val="1"/>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重点任务巡查要求：对已销号黑臭河道及劣Ⅴ类水体每半年开展一次全覆盖“回头看”巡查；针对水质检测、来信来访反映的问题点位，按采购人要求开展专项巡查，并根据采购方指令进行水质采样、送样或氨氮、总磷、COD等指标的快速检测。</w:t>
            </w:r>
            <w:r/>
          </w:p>
          <w:p>
            <w:pPr>
              <w:numPr>
                <w:ilvl w:val="0"/>
                <w:numId w:val="0"/>
              </w:numPr>
              <w:ind w:left="0" w:right="0" w:firstLine="0"/>
              <w:jc w:val="both"/>
              <w:keepLines w:val="0"/>
              <w:keepNext w:val="0"/>
              <w:pageBreakBefore w:val="0"/>
              <w:spacing w:line="360" w:lineRule="auto"/>
              <w:widowControl/>
              <w:rPr>
                <w:rFonts w:hint="default" w:ascii="宋体" w:eastAsia="宋体" w:hAnsiTheme="minorEastAsia" w:cstheme="minorEastAsia"/>
                <w:b w:val="0"/>
                <w:bCs w:val="0"/>
                <w:i w:val="0"/>
                <w:color w:val="000000"/>
                <w:sz w:val="21"/>
                <w:szCs w:val="21"/>
                <w:highlight w:val="none"/>
                <w:lang w:val="en-US" w:eastAsia="zh-CN"/>
              </w:rPr>
              <w:suppressLineNumbers w:val="0"/>
            </w:pPr>
            <w:r>
              <w:rPr>
                <w:rFonts w:hint="default" w:ascii="宋体" w:eastAsia="宋体" w:hAnsiTheme="minorEastAsia" w:cstheme="minorEastAsia"/>
                <w:b w:val="0"/>
                <w:bCs w:val="0"/>
                <w:i w:val="0"/>
                <w:color w:val="000000"/>
                <w:sz w:val="21"/>
                <w:szCs w:val="21"/>
                <w:highlight w:val="none"/>
                <w:lang w:val="en-US" w:eastAsia="zh-CN"/>
              </w:rPr>
              <w:t xml:space="preserve">2.3 平台运维与数据管理</w:t>
            </w:r>
            <w:r/>
          </w:p>
          <w:p>
            <w:pPr>
              <w:numPr>
                <w:ilvl w:val="0"/>
                <w:numId w:val="0"/>
              </w:numPr>
              <w:ind w:left="0" w:right="0" w:firstLine="0"/>
              <w:jc w:val="both"/>
              <w:keepLines w:val="0"/>
              <w:keepNext w:val="0"/>
              <w:pageBreakBefore w:val="0"/>
              <w:spacing w:line="360" w:lineRule="auto"/>
              <w:widowControl/>
              <w:rPr>
                <w:rFonts w:hint="default" w:ascii="宋体" w:eastAsia="宋体" w:hAnsiTheme="minorEastAsia" w:cstheme="minorEastAsia"/>
                <w:b w:val="0"/>
                <w:bCs w:val="0"/>
                <w:i w:val="0"/>
                <w:color w:val="000000"/>
                <w:sz w:val="21"/>
                <w:szCs w:val="21"/>
                <w:highlight w:val="none"/>
                <w:lang w:val="en-US" w:eastAsia="zh-CN"/>
              </w:rPr>
              <w:suppressLineNumbers w:val="0"/>
            </w:pPr>
            <w:r>
              <w:rPr>
                <w:rFonts w:hint="default" w:ascii="宋体" w:eastAsia="宋体" w:hAnsiTheme="minorEastAsia" w:cstheme="minorEastAsia"/>
                <w:b w:val="0"/>
                <w:bCs w:val="0"/>
                <w:i w:val="0"/>
                <w:color w:val="000000"/>
                <w:sz w:val="21"/>
                <w:szCs w:val="21"/>
                <w:highlight w:val="none"/>
                <w:lang w:val="en-US" w:eastAsia="zh-CN"/>
              </w:rPr>
              <w:t xml:space="preserve">（1）负责河湖管理软件平台的日常运行维护，确保"党政通"及"今日张家港"两个平台每日稳定、正常运行；</w:t>
            </w:r>
            <w:r/>
          </w:p>
          <w:p>
            <w:pPr>
              <w:numPr>
                <w:ilvl w:val="0"/>
                <w:numId w:val="0"/>
              </w:numPr>
              <w:ind w:left="0" w:right="0" w:firstLine="0"/>
              <w:jc w:val="both"/>
              <w:keepLines w:val="0"/>
              <w:keepNext w:val="0"/>
              <w:pageBreakBefore w:val="0"/>
              <w:spacing w:line="360" w:lineRule="auto"/>
              <w:widowControl/>
              <w:rPr>
                <w:rFonts w:hint="default" w:ascii="宋体" w:eastAsia="宋体" w:hAnsiTheme="minorEastAsia" w:cstheme="minorEastAsia"/>
                <w:b w:val="0"/>
                <w:bCs w:val="0"/>
                <w:i w:val="0"/>
                <w:color w:val="000000"/>
                <w:sz w:val="21"/>
                <w:szCs w:val="21"/>
                <w:highlight w:val="none"/>
                <w:lang w:val="en-US" w:eastAsia="zh-CN"/>
              </w:rPr>
              <w:suppressLineNumbers w:val="0"/>
            </w:pPr>
            <w:r>
              <w:rPr>
                <w:rFonts w:hint="default" w:ascii="宋体" w:eastAsia="宋体" w:hAnsiTheme="minorEastAsia" w:cstheme="minorEastAsia"/>
                <w:b w:val="0"/>
                <w:bCs w:val="0"/>
                <w:i w:val="0"/>
                <w:color w:val="000000"/>
                <w:sz w:val="21"/>
                <w:szCs w:val="21"/>
                <w:highlight w:val="none"/>
                <w:lang w:val="en-US" w:eastAsia="zh-CN"/>
              </w:rPr>
              <w:t xml:space="preserve">（2）承担上述两个平台的数据录入、统计、汇总及动态更新工作，保障数据完整性、准确性与时效性；</w:t>
            </w:r>
            <w:r/>
          </w:p>
          <w:p>
            <w:pPr>
              <w:numPr>
                <w:ilvl w:val="0"/>
                <w:numId w:val="0"/>
              </w:numPr>
              <w:ind w:left="0" w:right="0" w:firstLine="0"/>
              <w:jc w:val="both"/>
              <w:keepLines w:val="0"/>
              <w:keepNext w:val="0"/>
              <w:pageBreakBefore w:val="0"/>
              <w:spacing w:line="360" w:lineRule="auto"/>
              <w:widowControl/>
              <w:rPr>
                <w:rFonts w:hint="default" w:ascii="宋体" w:eastAsia="宋体" w:hAnsiTheme="minorEastAsia" w:cstheme="minorEastAsia"/>
                <w:b w:val="0"/>
                <w:bCs w:val="0"/>
                <w:i w:val="0"/>
                <w:color w:val="000000"/>
                <w:sz w:val="21"/>
                <w:szCs w:val="21"/>
                <w:highlight w:val="none"/>
                <w:lang w:val="en-US" w:eastAsia="zh-CN"/>
              </w:rPr>
              <w:suppressLineNumbers w:val="0"/>
            </w:pPr>
            <w:r>
              <w:rPr>
                <w:rFonts w:hint="default" w:ascii="宋体" w:eastAsia="宋体" w:hAnsiTheme="minorEastAsia" w:cstheme="minorEastAsia"/>
                <w:b w:val="0"/>
                <w:bCs w:val="0"/>
                <w:i w:val="0"/>
                <w:color w:val="000000"/>
                <w:sz w:val="21"/>
                <w:szCs w:val="21"/>
                <w:highlight w:val="none"/>
                <w:lang w:val="en-US" w:eastAsia="zh-CN"/>
              </w:rPr>
              <w:t xml:space="preserve">（3）建立平台运行台账，定期排查系统隐患，及时上报并处置异常情况，确保平台服务连续可靠；</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default" w:ascii="宋体" w:eastAsia="宋体" w:hAnsiTheme="minorEastAsia" w:cstheme="minorEastAsia"/>
                <w:b w:val="0"/>
                <w:bCs w:val="0"/>
                <w:i w:val="0"/>
                <w:color w:val="000000"/>
                <w:sz w:val="21"/>
                <w:szCs w:val="21"/>
                <w:highlight w:val="none"/>
                <w:lang w:val="en-US" w:eastAsia="zh-CN"/>
              </w:rPr>
              <w:t xml:space="preserve">（4）"党政通"及"今日张家港"两个平台的正常使用维护费用已含在本项目投标报价中，投标人须自行承担，招标人不再另行支付</w:t>
            </w:r>
            <w:r>
              <w:rPr>
                <w:rFonts w:hint="eastAsia" w:ascii="宋体" w:eastAsia="宋体" w:hAnsiTheme="minorEastAsia" w:cstheme="minorEastAsia"/>
                <w:b w:val="0"/>
                <w:bCs w:val="0"/>
                <w:i w:val="0"/>
                <w:color w:val="000000"/>
                <w:sz w:val="21"/>
                <w:szCs w:val="21"/>
                <w:highlight w:val="none"/>
                <w:lang w:val="en-US" w:eastAsia="zh-CN"/>
              </w:rPr>
              <w:t xml:space="preserve">；</w:t>
            </w:r>
            <w:r/>
          </w:p>
          <w:p>
            <w:pPr>
              <w:numPr>
                <w:ilvl w:val="1"/>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河湖巡查相关要求：（1）中标人需对每条巡查河道建立记录表，留存照片或影像资料；一类、二类河道按河名分类管理，三类河道按村分类管理；</w:t>
            </w:r>
            <w:r/>
          </w:p>
          <w:p>
            <w:pPr>
              <w:numPr>
                <w:ilvl w:val="1"/>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汇总频次及要求：（1）中标人每日汇总巡查情况形成巡查记录，若发现大面积垃圾漂浮物、水质异常、涉河违章等特殊情况，须第一时间上报；每月将巡查问题按区镇整理形成巡查月报并上报。（2）中标人不得擅自发布调查信息，所有巡查考评结果需经采购人最终核实</w:t>
            </w:r>
            <w:r>
              <w:rPr>
                <w:rFonts w:hint="eastAsia" w:ascii="宋体" w:eastAsia="宋体" w:hAnsiTheme="minorEastAsia" w:cstheme="minorEastAsia"/>
                <w:b w:val="0"/>
                <w:bCs w:val="0"/>
                <w:i w:val="0"/>
                <w:iCs w:val="0"/>
                <w:color w:val="000000"/>
                <w:sz w:val="21"/>
                <w:szCs w:val="21"/>
                <w:highlight w:val="none"/>
                <w:u w:val="none"/>
                <w:lang w:val="en-US" w:eastAsia="zh-CN"/>
              </w:rPr>
              <w:t xml:space="preserve">后方可公布；按要求整理、汇总、上报遥感图斑及交办问题的相关资料，同时完成历史图斑、交办问题的资料收集、方案编写与填报处理等工作。</w:t>
            </w:r>
            <w:r/>
          </w:p>
          <w:p>
            <w:pPr>
              <w:numPr>
                <w:ilvl w:val="1"/>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各级遥感图斑、交办问题的复核及整改跟踪：协助开展部、省、市各级遥感监测图斑及交办问题的现场复核，核实真实性、建设状态、建设单位、审批情况等信息，拍摄现场照片并形成情况清单；如需移动端复核，按要求及时完成填报。对未批先建的涉水图斑及交办问题，协助开展复核与情况跟踪。</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投标人应结合本项目具体要</w:t>
            </w:r>
            <w:r>
              <w:rPr>
                <w:rFonts w:hint="eastAsia" w:ascii="宋体" w:eastAsia="宋体" w:hAnsiTheme="minorEastAsia" w:cstheme="minorEastAsia"/>
                <w:b w:val="0"/>
                <w:bCs w:val="0"/>
                <w:i w:val="0"/>
                <w:iCs w:val="0"/>
                <w:color w:val="000000"/>
                <w:sz w:val="21"/>
                <w:szCs w:val="21"/>
                <w:highlight w:val="none"/>
                <w:u w:val="none"/>
                <w:lang w:val="en-US" w:eastAsia="zh-CN"/>
              </w:rPr>
              <w:t xml:space="preserve">求及自身实际，建立完整的管理架构、人员及设备保障机制，确保人员调配合理、设备到位及时、工作高效推进。</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管理机制：投标人需根据招标文件要求提供管理机制方案，内容应包括</w:t>
            </w:r>
            <w:r>
              <w:rPr>
                <w:rFonts w:hint="eastAsia" w:ascii="宋体" w:eastAsia="宋体" w:hAnsiTheme="minorEastAsia" w:cstheme="minorEastAsia"/>
                <w:b w:val="0"/>
                <w:bCs w:val="0"/>
                <w:i w:val="0"/>
                <w:iCs w:val="0"/>
                <w:color w:val="000000"/>
                <w:sz w:val="21"/>
                <w:szCs w:val="21"/>
                <w:highlight w:val="none"/>
                <w:u w:val="single"/>
                <w:lang w:val="en-US" w:eastAsia="zh-CN" w:bidi="ar"/>
              </w:rPr>
              <w:t xml:space="preserve">项目管理架构、人员及设备保障机制、成果管理、项目风险管理与控制等。</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售后服务与应急措施：投标人需根据招标文件要求提供售后服务与保障方案，内容包含售后服务承诺、服务保障体系、突发事件处理方案等；建立成果管理及项目风险管理与控制机制，确保成果得到有效应用并对治理工作具有指导作用，对项目实施风险实现提前预知、防范，最大限度降低风险；建立应急响应工作方案，确保突发事件发生时能快速有效处置，制定应急人员配备名单（相关人员需具备相应工作经验），并根</w:t>
            </w:r>
            <w:r>
              <w:rPr>
                <w:rFonts w:hint="eastAsia" w:ascii="宋体" w:eastAsia="宋体" w:hAnsiTheme="minorEastAsia" w:cstheme="minorEastAsia"/>
                <w:b w:val="0"/>
                <w:bCs w:val="0"/>
                <w:i w:val="0"/>
                <w:iCs w:val="0"/>
                <w:color w:val="000000"/>
                <w:sz w:val="21"/>
                <w:szCs w:val="21"/>
                <w:highlight w:val="none"/>
                <w:u w:val="none"/>
                <w:lang w:val="en-US" w:eastAsia="zh-CN"/>
              </w:rPr>
              <w:t xml:space="preserve">据实际情况灵活调整方案，第一时间解决问题。</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color w:val="000000"/>
                <w:sz w:val="21"/>
                <w:szCs w:val="21"/>
                <w:highlight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安全保障方案：投标人提供相关安全保障方案，内容需涵盖健全的安全制度体系、野外作业注意事项、劳动保护等各环节安全措施。</w:t>
            </w:r>
            <w:r/>
          </w:p>
          <w:p>
            <w:pPr>
              <w:numPr>
                <w:ilvl w:val="0"/>
                <w:numId w:val="0"/>
              </w:num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eastAsia="zh-CN"/>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培训计划：投标人需根据招标文件要求提供针对本项目的培训方案。</w:t>
            </w:r>
            <w:r>
              <w:rPr>
                <w:rFonts w:hint="eastAsia" w:ascii="宋体" w:eastAsia="宋体" w:hAnsiTheme="minorEastAsia" w:cstheme="minorEastAsia"/>
                <w:b w:val="0"/>
                <w:bCs w:val="0"/>
                <w:i w:val="0"/>
                <w:iCs w:val="0"/>
                <w:color w:val="000000"/>
                <w:sz w:val="21"/>
                <w:szCs w:val="21"/>
                <w:highlight w:val="none"/>
                <w:u w:val="none"/>
                <w:lang w:eastAsia="zh-CN"/>
              </w:rPr>
              <w:t xml:space="preserve">培训要求：必须开展符合工作需求的培训，投标单位应在投标书中提供详细培训计划，内容包括但不限于岗位标准、专业知识、巡查办法、职业道德规范、劳动安全教育等；明确培训方式（如平台理论学习、实践操作、考试制度等），以及培训的时间、内容、形式，同时制定培训测试不合格员工的合理处理方案，确保考评人员尽快熟悉</w:t>
            </w:r>
            <w:r>
              <w:rPr>
                <w:rFonts w:hint="eastAsia" w:ascii="宋体" w:eastAsia="宋体" w:hAnsiTheme="minorEastAsia" w:cstheme="minorEastAsia"/>
                <w:b w:val="0"/>
                <w:bCs w:val="0"/>
                <w:i w:val="0"/>
                <w:iCs w:val="0"/>
                <w:color w:val="000000"/>
                <w:sz w:val="21"/>
                <w:szCs w:val="21"/>
                <w:highlight w:val="none"/>
                <w:u w:val="none"/>
                <w:lang w:val="en-US" w:eastAsia="zh-CN"/>
              </w:rPr>
              <w:t xml:space="preserve">本项目所在地的河道长效管护工作及河网水系，提供专业评估服务。</w:t>
            </w:r>
            <w:r/>
          </w:p>
        </w:tc>
      </w:tr>
      <w:tr>
        <w:trPr>
          <w:jc w:val="center"/>
          <w:trHeight w:val="0"/>
        </w:trPr>
        <w:tc>
          <w:tcPr>
            <w:shd w:val="clear" w:color="auto" w:fill="ffffff"/>
            <w:tcW w:w="884"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sz w:val="21"/>
                <w:highlight w:val="none"/>
                <w:lang w:val="en-US" w:eastAsia="zh-CN"/>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五</w:t>
            </w:r>
            <w:r/>
          </w:p>
        </w:tc>
        <w:tc>
          <w:tcPr>
            <w:shd w:val="clear" w:color="auto" w:fill="ffffff"/>
            <w:tcW w:w="1129"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lang w:val="en-US" w:eastAsia="zh-CN" w:bidi="ar"/>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类似业绩</w:t>
            </w:r>
            <w:r/>
          </w:p>
        </w:tc>
        <w:tc>
          <w:tcPr>
            <w:shd w:val="clear" w:color="auto" w:fill="ffffff"/>
            <w:tcW w:w="7949" w:type="dxa"/>
            <w:vAlign w:val="center"/>
            <w:textDirection w:val="lrTb"/>
            <w:noWrap w:val="false"/>
          </w:tcPr>
          <w:p>
            <w:pPr>
              <w:ind w:left="0" w:right="0" w:firstLine="0"/>
              <w:jc w:val="both"/>
              <w:keepLines w:val="0"/>
              <w:keepNext w:val="0"/>
              <w:pageBreakBefore w:val="0"/>
              <w:spacing w:line="360" w:lineRule="auto"/>
              <w:widowControl/>
              <w:rPr>
                <w:rFonts w:hint="eastAsia" w:ascii="宋体" w:eastAsia="宋体" w:hAnsiTheme="minorEastAsia" w:cstheme="minorEastAsia"/>
                <w:b w:val="0"/>
                <w:bCs w:val="0"/>
                <w:i w:val="0"/>
                <w:iCs w:val="0"/>
                <w:color w:val="000000"/>
                <w:sz w:val="21"/>
                <w:szCs w:val="21"/>
                <w:highlight w:val="none"/>
                <w:u w:val="none"/>
              </w:rPr>
              <w:suppressLineNumbers w:val="0"/>
            </w:pPr>
            <w:r>
              <w:rPr>
                <w:rFonts w:hint="eastAsia" w:ascii="宋体" w:eastAsia="宋体" w:hAnsiTheme="minorEastAsia" w:cstheme="minorEastAsia"/>
                <w:b w:val="0"/>
                <w:bCs w:val="0"/>
                <w:i w:val="0"/>
                <w:iCs w:val="0"/>
                <w:color w:val="000000"/>
                <w:sz w:val="21"/>
                <w:szCs w:val="21"/>
                <w:highlight w:val="none"/>
                <w:u w:val="none"/>
                <w:lang w:val="en-US" w:eastAsia="zh-CN" w:bidi="ar"/>
              </w:rPr>
              <w:t xml:space="preserve">投标人提供2022年1月1日以来承接的类似业绩（包括但不限于河道巡查类、河道沉降观测类等）</w:t>
            </w:r>
            <w:r/>
          </w:p>
        </w:tc>
      </w:tr>
      <w:tr>
        <w:trPr>
          <w:jc w:val="center"/>
          <w:trHeight w:val="0"/>
        </w:trPr>
        <w:tc>
          <w:tcPr>
            <w:gridSpan w:val="3"/>
            <w:shd w:val="clear" w:color="auto" w:fill="ffffff"/>
            <w:tcW w:w="9962" w:type="dxa"/>
            <w:vAlign w:val="center"/>
            <w:textDirection w:val="lrTb"/>
            <w:noWrap w:val="false"/>
          </w:tcPr>
          <w:p>
            <w:pPr>
              <w:ind w:left="0" w:right="0" w:firstLine="0"/>
              <w:jc w:val="both"/>
              <w:keepLines w:val="0"/>
              <w:keepNext w:val="0"/>
              <w:pageBreakBefore w:val="0"/>
              <w:spacing w:line="360" w:lineRule="auto"/>
              <w:widowControl/>
              <w:rPr>
                <w:rFonts w:hint="eastAsia" w:asciiTheme="minorEastAsia" w:hAnsiTheme="minorEastAsia" w:eastAsiaTheme="minorEastAsia" w:cstheme="minorEastAsia"/>
                <w:b w:val="0"/>
                <w:bCs w:val="0"/>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本需求表中未尽事宜，详见评标办法的详细内容。</w:t>
            </w:r>
            <w:r/>
          </w:p>
        </w:tc>
      </w:tr>
    </w:tbl>
    <w:p>
      <w:pPr>
        <w:pStyle w:val="926"/>
        <w:numPr>
          <w:ilvl w:val="0"/>
          <w:numId w:val="3"/>
        </w:numPr>
        <w:ind w:left="432" w:hanging="432"/>
        <w:rPr>
          <w:rFonts w:hint="eastAsia"/>
          <w:sz w:val="24"/>
          <w:szCs w:val="24"/>
        </w:rPr>
      </w:pPr>
      <w:r>
        <w:rPr>
          <w:rFonts w:hint="eastAsia"/>
          <w:sz w:val="24"/>
          <w:szCs w:val="24"/>
        </w:rPr>
        <w:t xml:space="preserve">商务条款</w:t>
      </w:r>
      <w:bookmarkEnd w:id="174"/>
      <w:r/>
      <w:bookmarkEnd w:id="175"/>
      <w:r/>
      <w:bookmarkEnd w:id="176"/>
      <w:r/>
      <w:r/>
    </w:p>
    <w:p>
      <w:pPr>
        <w:pStyle w:val="1149"/>
        <w:numPr>
          <w:ilvl w:val="0"/>
          <w:numId w:val="0"/>
        </w:numPr>
        <w:ind w:firstLine="510"/>
        <w:keepLines w:val="0"/>
        <w:keepNext w:val="0"/>
        <w:pageBreakBefore w:val="0"/>
        <w:spacing w:line="420" w:lineRule="exact"/>
        <w:rPr>
          <w:rFonts w:ascii="宋体" w:hAnsi="宋体" w:eastAsia="宋体" w:cs="宋体"/>
          <w:b/>
          <w:i w:val="0"/>
          <w:color w:val="auto"/>
          <w:spacing w:val="7"/>
          <w:sz w:val="24"/>
          <w:szCs w:val="24"/>
          <w:highlight w:val="none"/>
          <w:u w:val="none"/>
        </w:rPr>
        <w:outlineLvl w:val="9"/>
      </w:pPr>
      <w:r>
        <w:rPr>
          <w:rStyle w:val="1036"/>
          <w:rFonts w:ascii="宋体" w:hAnsi="宋体" w:eastAsia="宋体" w:cs="宋体"/>
          <w:b/>
          <w:i w:val="0"/>
          <w:color w:val="auto"/>
          <w:spacing w:val="7"/>
          <w:sz w:val="24"/>
          <w:szCs w:val="24"/>
          <w:highlight w:val="none"/>
          <w:u w:val="none"/>
          <w:lang w:val="en-US" w:eastAsia="zh-CN" w:bidi="ar-SA"/>
        </w:rPr>
        <w:t xml:space="preserve">1</w:t>
      </w:r>
      <w:r>
        <w:rPr>
          <w:rStyle w:val="1036"/>
          <w:rFonts w:hint="eastAsia" w:ascii="宋体" w:hAnsi="宋体" w:eastAsia="宋体" w:cs="宋体"/>
          <w:b/>
          <w:i w:val="0"/>
          <w:color w:val="auto"/>
          <w:spacing w:val="7"/>
          <w:sz w:val="24"/>
          <w:szCs w:val="24"/>
          <w:highlight w:val="none"/>
          <w:u w:val="none"/>
          <w:lang w:val="en-US" w:eastAsia="zh-CN" w:bidi="ar-SA"/>
        </w:rPr>
        <w:t xml:space="preserve">.</w:t>
      </w:r>
      <w:r>
        <w:rPr>
          <w:rStyle w:val="1036"/>
          <w:rFonts w:ascii="宋体" w:hAnsi="宋体" w:eastAsia="宋体" w:cs="宋体"/>
          <w:b/>
          <w:i w:val="0"/>
          <w:color w:val="auto"/>
          <w:spacing w:val="7"/>
          <w:sz w:val="24"/>
          <w:szCs w:val="24"/>
          <w:highlight w:val="none"/>
          <w:u w:val="none"/>
          <w:lang w:val="en-US" w:eastAsia="zh-CN" w:bidi="ar-SA"/>
        </w:rPr>
        <w:t xml:space="preserve">服务期限</w:t>
      </w:r>
      <w:r/>
    </w:p>
    <w:p>
      <w:pPr>
        <w:pStyle w:val="1149"/>
        <w:ind w:firstLine="500"/>
        <w:keepLines w:val="0"/>
        <w:keepNext w:val="0"/>
        <w:pageBreakBefore w:val="0"/>
        <w:spacing w:line="420" w:lineRule="exact"/>
        <w:rPr>
          <w:rFonts w:ascii="宋体" w:hAnsi="宋体" w:eastAsia="宋体" w:cs="宋体"/>
          <w:b w:val="0"/>
          <w:i/>
          <w:color w:val="auto"/>
          <w:spacing w:val="7"/>
          <w:sz w:val="24"/>
          <w:szCs w:val="24"/>
          <w:highlight w:val="none"/>
          <w:u w:val="single"/>
        </w:rPr>
        <w:outlineLvl w:val="9"/>
      </w:pPr>
      <w:r>
        <w:rPr>
          <w:rStyle w:val="1036"/>
          <w:rFonts w:ascii="宋体" w:hAnsi="宋体" w:eastAsia="宋体" w:cs="宋体"/>
          <w:b w:val="0"/>
          <w:i/>
          <w:color w:val="auto"/>
          <w:spacing w:val="7"/>
          <w:sz w:val="24"/>
          <w:szCs w:val="24"/>
          <w:highlight w:val="none"/>
          <w:u w:val="single"/>
          <w:lang w:val="en-US" w:eastAsia="zh-CN" w:bidi="ar-SA"/>
        </w:rPr>
        <w:t xml:space="preserve">1.1服务期限</w:t>
      </w:r>
      <w:r/>
    </w:p>
    <w:p>
      <w:pPr>
        <w:pStyle w:val="1133"/>
        <w:ind w:firstLine="500"/>
        <w:keepLines w:val="0"/>
        <w:keepNext w:val="0"/>
        <w:pageBreakBefore w:val="0"/>
        <w:spacing w:line="420" w:lineRule="exact"/>
        <w:rPr>
          <w:rFonts w:hint="eastAsia" w:ascii="宋体" w:hAnsi="宋体" w:eastAsia="宋体" w:cs="宋体"/>
          <w:i/>
          <w:iCs w:val="0"/>
          <w:color w:val="000000"/>
          <w:spacing w:val="7"/>
          <w:sz w:val="24"/>
          <w:highlight w:val="none"/>
          <w:u w:val="single"/>
        </w:rPr>
      </w:pPr>
      <w:r>
        <w:rPr>
          <w:rStyle w:val="973"/>
          <w:rFonts w:hint="default" w:ascii="宋体" w:hAnsi="宋体" w:eastAsia="宋体" w:cs="宋体"/>
          <w:i/>
          <w:iCs w:val="0"/>
          <w:color w:val="000000"/>
          <w:spacing w:val="7"/>
          <w:sz w:val="24"/>
          <w:highlight w:val="none"/>
          <w:u w:val="single"/>
          <w:lang w:val="en-US"/>
        </w:rPr>
        <w:t xml:space="preserve">服务期</w:t>
      </w:r>
      <w:r>
        <w:rPr>
          <w:rStyle w:val="973"/>
          <w:rFonts w:hint="eastAsia" w:ascii="宋体" w:hAnsi="宋体" w:eastAsia="宋体" w:cs="宋体"/>
          <w:i/>
          <w:iCs w:val="0"/>
          <w:color w:val="000000"/>
          <w:spacing w:val="7"/>
          <w:sz w:val="24"/>
          <w:highlight w:val="none"/>
          <w:u w:val="single"/>
          <w:lang w:val="en-US" w:eastAsia="zh-CN"/>
        </w:rPr>
        <w:t xml:space="preserve">自</w:t>
      </w:r>
      <w:r>
        <w:rPr>
          <w:rStyle w:val="973"/>
          <w:rFonts w:hint="default" w:ascii="宋体" w:hAnsi="宋体" w:eastAsia="宋体" w:cs="宋体"/>
          <w:i/>
          <w:iCs w:val="0"/>
          <w:color w:val="000000"/>
          <w:spacing w:val="7"/>
          <w:sz w:val="24"/>
          <w:highlight w:val="none"/>
          <w:u w:val="single"/>
          <w:lang w:val="en-US"/>
        </w:rPr>
        <w:t xml:space="preserve">合同签订之日起2年</w:t>
      </w:r>
      <w:r>
        <w:rPr>
          <w:rStyle w:val="973"/>
          <w:rFonts w:hint="eastAsia" w:ascii="宋体" w:hAnsi="宋体" w:eastAsia="宋体" w:cs="宋体"/>
          <w:i/>
          <w:iCs w:val="0"/>
          <w:color w:val="000000"/>
          <w:spacing w:val="7"/>
          <w:sz w:val="24"/>
          <w:highlight w:val="none"/>
          <w:u w:val="single"/>
        </w:rPr>
        <w:t xml:space="preserve">。</w:t>
      </w:r>
      <w:r/>
    </w:p>
    <w:p>
      <w:pPr>
        <w:pStyle w:val="1149"/>
        <w:numPr>
          <w:ilvl w:val="0"/>
          <w:numId w:val="0"/>
        </w:numPr>
        <w:ind w:firstLine="510"/>
        <w:keepLines w:val="0"/>
        <w:keepNext w:val="0"/>
        <w:pageBreakBefore w:val="0"/>
        <w:spacing w:line="420" w:lineRule="exact"/>
        <w:rPr>
          <w:rFonts w:hint="eastAsia" w:ascii="宋体" w:hAnsi="宋体" w:eastAsia="宋体" w:cs="宋体"/>
          <w:b/>
          <w:i w:val="0"/>
          <w:color w:val="auto"/>
          <w:spacing w:val="7"/>
          <w:sz w:val="24"/>
          <w:szCs w:val="24"/>
          <w:highlight w:val="none"/>
          <w:u w:val="none"/>
          <w:lang w:val="en-US" w:eastAsia="zh-CN" w:bidi="ar-SA"/>
        </w:rPr>
        <w:outlineLvl w:val="9"/>
      </w:pPr>
      <w:r>
        <w:rPr>
          <w:rStyle w:val="1036"/>
          <w:rFonts w:hint="eastAsia" w:ascii="宋体" w:hAnsi="宋体" w:eastAsia="宋体" w:cs="宋体"/>
          <w:b/>
          <w:i w:val="0"/>
          <w:color w:val="auto"/>
          <w:spacing w:val="7"/>
          <w:sz w:val="24"/>
          <w:szCs w:val="24"/>
          <w:highlight w:val="none"/>
          <w:u w:val="none"/>
          <w:lang w:val="en-US" w:eastAsia="zh-CN" w:bidi="ar-SA"/>
        </w:rPr>
        <w:t xml:space="preserve">2.履约验收</w:t>
      </w:r>
      <w:r/>
    </w:p>
    <w:p>
      <w:pPr>
        <w:pStyle w:val="1133"/>
        <w:numPr>
          <w:ilvl w:val="0"/>
          <w:numId w:val="0"/>
        </w:numPr>
        <w:ind w:firstLine="508"/>
        <w:keepLines w:val="0"/>
        <w:keepNext w:val="0"/>
        <w:pageBreakBefore w:val="0"/>
        <w:spacing w:line="420" w:lineRule="exact"/>
        <w:rPr>
          <w:rFonts w:hint="eastAsia" w:eastAsia="宋体"/>
          <w:highlight w:val="none"/>
          <w:lang w:eastAsia="zh-CN"/>
        </w:rPr>
      </w:pPr>
      <w:r>
        <w:rPr>
          <w:rStyle w:val="973"/>
          <w:rFonts w:hint="eastAsia" w:ascii="宋体" w:hAnsi="宋体" w:eastAsia="宋体" w:cs="宋体"/>
          <w:i/>
          <w:iCs w:val="0"/>
          <w:color w:val="000000"/>
          <w:spacing w:val="7"/>
          <w:sz w:val="24"/>
          <w:highlight w:val="none"/>
          <w:u w:val="single"/>
          <w:lang w:val="en-US" w:eastAsia="zh-CN"/>
        </w:rPr>
        <w:t xml:space="preserve">每年开展1次考核，服务期满进行验收。考核主要依据配备人员、车辆设备、巡查覆盖率、水质检测及沉降观测覆盖率等指标执行。</w:t>
      </w:r>
      <w:r/>
    </w:p>
    <w:p>
      <w:pPr>
        <w:pStyle w:val="1149"/>
        <w:ind w:firstLine="500"/>
        <w:keepLines w:val="0"/>
        <w:keepNext w:val="0"/>
        <w:pageBreakBefore w:val="0"/>
        <w:spacing w:line="420" w:lineRule="exact"/>
        <w:rPr>
          <w:rFonts w:ascii="宋体" w:hAnsi="宋体" w:eastAsia="宋体" w:cs="宋体"/>
          <w:b/>
          <w:i w:val="0"/>
          <w:color w:val="auto"/>
          <w:spacing w:val="7"/>
          <w:sz w:val="24"/>
          <w:szCs w:val="24"/>
          <w:highlight w:val="none"/>
          <w:u w:val="none"/>
        </w:rPr>
        <w:outlineLvl w:val="9"/>
      </w:pPr>
      <w:r>
        <w:rPr>
          <w:rStyle w:val="1036"/>
          <w:rFonts w:hint="eastAsia" w:ascii="宋体" w:hAnsi="宋体" w:eastAsia="宋体" w:cs="宋体"/>
          <w:b/>
          <w:i w:val="0"/>
          <w:color w:val="auto"/>
          <w:spacing w:val="7"/>
          <w:sz w:val="24"/>
          <w:szCs w:val="24"/>
          <w:highlight w:val="none"/>
          <w:u w:val="none"/>
          <w:lang w:val="en-US" w:eastAsia="zh-CN" w:bidi="ar-SA"/>
        </w:rPr>
        <w:t xml:space="preserve">3.</w:t>
      </w:r>
      <w:r>
        <w:rPr>
          <w:rStyle w:val="1036"/>
          <w:rFonts w:ascii="宋体" w:hAnsi="宋体" w:eastAsia="宋体" w:cs="宋体"/>
          <w:b/>
          <w:i w:val="0"/>
          <w:color w:val="auto"/>
          <w:spacing w:val="7"/>
          <w:sz w:val="24"/>
          <w:szCs w:val="24"/>
          <w:highlight w:val="none"/>
          <w:u w:val="none"/>
          <w:lang w:val="en-US" w:eastAsia="zh-CN" w:bidi="ar-SA"/>
        </w:rPr>
        <w:t xml:space="preserve">货款支付</w:t>
      </w:r>
      <w:r/>
    </w:p>
    <w:p>
      <w:pPr>
        <w:ind w:firstLine="508"/>
        <w:jc w:val="left"/>
        <w:keepLines w:val="0"/>
        <w:keepNext w:val="0"/>
        <w:pageBreakBefore w:val="0"/>
        <w:spacing w:line="420" w:lineRule="exact"/>
        <w:widowControl w:val="off"/>
        <w:rPr>
          <w:rFonts w:hint="eastAsia" w:ascii="宋体" w:hAnsi="宋体" w:eastAsia="宋体" w:cs="宋体"/>
          <w:i/>
          <w:color w:val="auto"/>
          <w:spacing w:val="7"/>
          <w:sz w:val="24"/>
          <w:szCs w:val="24"/>
          <w:highlight w:val="none"/>
          <w:u w:val="single"/>
        </w:rPr>
      </w:pPr>
      <w:r/>
      <w:bookmarkStart w:id="177" w:name="EB46fc682c2c764bbdaed30f22794dcce7"/>
      <w:r/>
      <w:bookmarkEnd w:id="177"/>
      <w:r>
        <w:rPr>
          <w:rFonts w:hint="eastAsia" w:ascii="宋体" w:hAnsi="宋体" w:cs="宋体"/>
          <w:i/>
          <w:color w:val="auto"/>
          <w:spacing w:val="7"/>
          <w:sz w:val="24"/>
          <w:szCs w:val="24"/>
          <w:highlight w:val="none"/>
          <w:u w:val="single"/>
          <w:lang w:val="en-US" w:eastAsia="zh-CN"/>
        </w:rPr>
        <w:t xml:space="preserve">3</w:t>
      </w:r>
      <w:r>
        <w:rPr>
          <w:rFonts w:hint="eastAsia" w:ascii="宋体" w:hAnsi="宋体" w:eastAsia="宋体" w:cs="宋体"/>
          <w:i/>
          <w:color w:val="auto"/>
          <w:spacing w:val="7"/>
          <w:sz w:val="24"/>
          <w:szCs w:val="24"/>
          <w:highlight w:val="none"/>
          <w:u w:val="single"/>
        </w:rPr>
        <w:t xml:space="preserve">.</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133"/>
        <w:ind w:firstLine="500"/>
        <w:keepLines w:val="0"/>
        <w:keepNext w:val="0"/>
        <w:pageBreakBefore w:val="0"/>
        <w:spacing w:line="420" w:lineRule="exact"/>
        <w:rPr>
          <w:rFonts w:ascii="宋体" w:hAnsi="宋体" w:eastAsia="宋体" w:cs="宋体"/>
          <w:i/>
          <w:color w:val="000000"/>
          <w:spacing w:val="7"/>
          <w:highlight w:val="none"/>
          <w:u w:val="single"/>
        </w:rPr>
      </w:pPr>
      <w:r>
        <w:rPr>
          <w:rFonts w:eastAsia="宋体"/>
          <w:i/>
          <w:spacing w:val="7"/>
          <w:highlight w:val="none"/>
          <w:u w:val="single"/>
        </w:rPr>
        <w:t xml:space="preserve">中标人按本合同内容合格地履行服务义务后，</w:t>
      </w:r>
      <w:r>
        <w:rPr>
          <w:rFonts w:ascii="宋体" w:hAnsi="宋体" w:eastAsia="宋体" w:cs="宋体"/>
          <w:i/>
          <w:color w:val="000000"/>
          <w:spacing w:val="7"/>
          <w:highlight w:val="none"/>
          <w:u w:val="single"/>
        </w:rPr>
        <w:t xml:space="preserve">凭发票等相关资料</w:t>
      </w:r>
      <w:r>
        <w:rPr>
          <w:rFonts w:eastAsia="宋体"/>
          <w:i/>
          <w:spacing w:val="7"/>
          <w:highlight w:val="none"/>
          <w:u w:val="single"/>
        </w:rPr>
        <w:t xml:space="preserve">到采购单位办理结算手续</w:t>
      </w:r>
      <w:r>
        <w:rPr>
          <w:rFonts w:hint="eastAsia" w:ascii="宋体" w:hAnsi="宋体" w:eastAsia="宋体" w:cs="宋体"/>
          <w:i/>
          <w:color w:val="000000"/>
          <w:spacing w:val="7"/>
          <w:highlight w:val="none"/>
          <w:u w:val="single"/>
        </w:rPr>
        <w:t xml:space="preserve">。</w:t>
      </w:r>
      <w:r/>
    </w:p>
    <w:p>
      <w:pPr>
        <w:pStyle w:val="1133"/>
        <w:ind w:firstLine="500"/>
        <w:keepLines w:val="0"/>
        <w:keepNext w:val="0"/>
        <w:pageBreakBefore w:val="0"/>
        <w:spacing w:line="420" w:lineRule="exact"/>
        <w:rPr>
          <w:rFonts w:ascii="宋体" w:hAnsi="宋体" w:eastAsia="宋体" w:cs="宋体"/>
          <w:i/>
          <w:iCs w:val="0"/>
          <w:color w:val="000000"/>
          <w:spacing w:val="0"/>
          <w:highlight w:val="none"/>
          <w:u w:val="single"/>
        </w:rPr>
      </w:pPr>
      <w:r>
        <w:rPr>
          <w:rFonts w:hint="eastAsia" w:ascii="宋体" w:hAnsi="宋体" w:eastAsia="宋体" w:cs="宋体"/>
          <w:i/>
          <w:iCs w:val="0"/>
          <w:color w:val="000000"/>
          <w:spacing w:val="0"/>
          <w:highlight w:val="none"/>
          <w:u w:val="single"/>
          <w:lang w:val="en-US" w:eastAsia="zh-CN"/>
        </w:rPr>
        <w:t xml:space="preserve">3</w:t>
      </w:r>
      <w:r>
        <w:rPr>
          <w:rFonts w:ascii="宋体" w:hAnsi="宋体" w:eastAsia="宋体" w:cs="宋体"/>
          <w:i/>
          <w:iCs w:val="0"/>
          <w:color w:val="000000"/>
          <w:spacing w:val="0"/>
          <w:highlight w:val="none"/>
          <w:u w:val="single"/>
        </w:rPr>
        <w:t xml:space="preserve">.2、结付期限</w:t>
      </w:r>
      <w:r/>
    </w:p>
    <w:p>
      <w:pPr>
        <w:pStyle w:val="1133"/>
        <w:ind w:firstLine="500"/>
        <w:keepLines w:val="0"/>
        <w:keepNext w:val="0"/>
        <w:pageBreakBefore w:val="0"/>
        <w:spacing w:line="420" w:lineRule="exact"/>
        <w:rPr>
          <w:rFonts w:ascii="宋体" w:hAnsi="宋体" w:eastAsia="宋体" w:cs="宋体"/>
          <w:i/>
          <w:iCs w:val="0"/>
          <w:spacing w:val="0"/>
          <w:highlight w:val="none"/>
          <w:u w:val="single"/>
        </w:rPr>
      </w:pPr>
      <w:r>
        <w:rPr>
          <w:rFonts w:hint="eastAsia" w:ascii="宋体" w:hAnsi="宋体" w:eastAsia="宋体" w:cs="宋体"/>
          <w:i/>
          <w:iCs w:val="0"/>
          <w:color w:val="000000"/>
          <w:spacing w:val="0"/>
          <w:highlight w:val="none"/>
          <w:u w:val="single"/>
          <w:lang w:val="en-US" w:eastAsia="zh-CN"/>
        </w:rPr>
        <w:t xml:space="preserve">项目预付款10%，第二年服务满一年后考核支付一次、合同期满后考核支付尾款，每次均为45%，实际付款以中标价和考核结果为准。</w:t>
      </w:r>
      <w:r/>
    </w:p>
    <w:p>
      <w:pPr>
        <w:ind w:firstLine="510"/>
        <w:jc w:val="left"/>
        <w:keepLines w:val="0"/>
        <w:keepNext w:val="0"/>
        <w:pageBreakBefore w:val="0"/>
        <w:spacing w:line="420" w:lineRule="exact"/>
        <w:widowControl/>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 xml:space="preserve">3</w:t>
      </w:r>
      <w:r>
        <w:rPr>
          <w:rFonts w:hint="eastAsia" w:ascii="宋体" w:hAnsi="宋体" w:cs="宋体"/>
          <w:b/>
          <w:color w:val="auto"/>
          <w:spacing w:val="7"/>
          <w:sz w:val="24"/>
          <w:szCs w:val="24"/>
          <w:highlight w:val="none"/>
          <w:lang w:eastAsia="zh-CN"/>
        </w:rPr>
        <w:t xml:space="preserve">.</w:t>
      </w:r>
      <w:r>
        <w:rPr>
          <w:rFonts w:ascii="宋体" w:hAnsi="宋体" w:eastAsia="宋体" w:cs="宋体"/>
          <w:b/>
          <w:color w:val="auto"/>
          <w:spacing w:val="7"/>
          <w:sz w:val="24"/>
          <w:szCs w:val="24"/>
          <w:highlight w:val="none"/>
        </w:rPr>
        <w:t xml:space="preserve">投标货币</w:t>
      </w:r>
      <w:r/>
    </w:p>
    <w:p>
      <w:pPr>
        <w:ind w:firstLine="500"/>
        <w:jc w:val="left"/>
        <w:keepLines w:val="0"/>
        <w:keepNext w:val="0"/>
        <w:pageBreakBefore w:val="0"/>
        <w:spacing w:line="420" w:lineRule="exact"/>
        <w:widowControl/>
        <w:rPr>
          <w:rFonts w:ascii="宋体" w:hAnsi="宋体" w:eastAsia="宋体" w:cs="宋体"/>
          <w:i/>
          <w:color w:val="auto"/>
          <w:spacing w:val="7"/>
          <w:sz w:val="24"/>
          <w:szCs w:val="24"/>
          <w:highlight w:val="none"/>
          <w:u w:val="single"/>
        </w:rPr>
      </w:pPr>
      <w:r>
        <w:rPr>
          <w:rFonts w:ascii="宋体" w:hAnsi="宋体" w:eastAsia="宋体" w:cs="宋体"/>
          <w:i/>
          <w:color w:val="auto"/>
          <w:spacing w:val="7"/>
          <w:sz w:val="24"/>
          <w:szCs w:val="24"/>
          <w:highlight w:val="none"/>
          <w:u w:val="single"/>
        </w:rPr>
        <w:t xml:space="preserve">3.1投标货币</w:t>
      </w:r>
      <w:r/>
    </w:p>
    <w:p>
      <w:pPr>
        <w:ind w:firstLine="500"/>
        <w:jc w:val="left"/>
        <w:keepLines w:val="0"/>
        <w:keepNext w:val="0"/>
        <w:pageBreakBefore w:val="0"/>
        <w:spacing w:line="420" w:lineRule="exact"/>
        <w:widowControl/>
        <w:rPr>
          <w:rFonts w:hint="eastAsia"/>
          <w:highlight w:val="none"/>
        </w:rPr>
      </w:pPr>
      <w:r>
        <w:rPr>
          <w:rFonts w:hint="eastAsia" w:ascii="宋体" w:hAnsi="宋体" w:eastAsia="宋体" w:cs="宋体"/>
          <w:i/>
          <w:iCs/>
          <w:sz w:val="24"/>
          <w:szCs w:val="24"/>
          <w:highlight w:val="none"/>
          <w:u w:val="single"/>
          <w:lang w:val="en-US" w:eastAsia="zh-CN"/>
        </w:rPr>
        <w:t xml:space="preserve">人民币</w:t>
      </w:r>
      <w:r>
        <w:rPr>
          <w:rFonts w:hint="eastAsia"/>
          <w:highlight w:val="none"/>
        </w:rPr>
        <w:tab/>
      </w:r>
      <w:r>
        <w:rPr>
          <w:rFonts w:hint="eastAsia"/>
          <w:highlight w:val="none"/>
        </w:rPr>
        <w:tab/>
      </w:r>
      <w:r/>
    </w:p>
    <w:p>
      <w:pPr>
        <w:pStyle w:val="926"/>
        <w:numPr>
          <w:ilvl w:val="0"/>
          <w:numId w:val="3"/>
        </w:numPr>
        <w:ind w:left="432" w:hanging="432"/>
        <w:rPr>
          <w:rFonts w:hint="eastAsia"/>
          <w:sz w:val="24"/>
          <w:szCs w:val="24"/>
          <w:lang w:val="en-US" w:eastAsia="zh-CN"/>
        </w:rPr>
      </w:pPr>
      <w:r>
        <w:rPr>
          <w:rFonts w:hint="eastAsia"/>
          <w:sz w:val="24"/>
          <w:szCs w:val="24"/>
          <w:lang w:val="en-US" w:eastAsia="zh-CN"/>
        </w:rPr>
        <w:t xml:space="preserve">供应商考核办法</w:t>
      </w:r>
      <w:r/>
    </w:p>
    <w:p>
      <w:pPr>
        <w:ind w:firstLine="0"/>
        <w:jc w:val="center"/>
        <w:spacing w:after="0" w:line="360" w:lineRule="auto"/>
        <w:rPr>
          <w:rFonts w:hint="eastAsia" w:asciiTheme="majorEastAsia" w:hAnsiTheme="majorEastAsia" w:eastAsiaTheme="majorEastAsia" w:cstheme="majorEastAsia"/>
          <w:color w:val="auto"/>
          <w:sz w:val="28"/>
          <w:szCs w:val="28"/>
          <w:highlight w:val="none"/>
        </w:rPr>
      </w:pPr>
      <w:r>
        <w:rPr>
          <w:rFonts w:hint="eastAsia"/>
          <w:highlight w:val="none"/>
        </w:rPr>
        <w:tab/>
      </w:r>
      <w:r>
        <w:rPr>
          <w:rFonts w:hint="eastAsia"/>
          <w:highlight w:val="none"/>
        </w:rPr>
        <w:tab/>
      </w:r>
      <w:r>
        <w:rPr>
          <w:rFonts w:hint="eastAsia" w:asciiTheme="majorEastAsia" w:hAnsiTheme="majorEastAsia" w:eastAsiaTheme="majorEastAsia" w:cstheme="majorEastAsia"/>
          <w:b/>
          <w:color w:val="auto"/>
          <w:spacing w:val="40"/>
          <w:sz w:val="28"/>
          <w:szCs w:val="28"/>
          <w:highlight w:val="none"/>
        </w:rPr>
        <w:t xml:space="preserve">张家港市河道</w:t>
      </w:r>
      <w:r>
        <w:rPr>
          <w:rFonts w:hint="eastAsia" w:asciiTheme="majorEastAsia" w:hAnsiTheme="majorEastAsia" w:eastAsiaTheme="majorEastAsia" w:cstheme="majorEastAsia"/>
          <w:b/>
          <w:color w:val="auto"/>
          <w:spacing w:val="40"/>
          <w:sz w:val="28"/>
          <w:szCs w:val="28"/>
          <w:highlight w:val="none"/>
          <w:lang w:val="en-US" w:eastAsia="zh-CN"/>
        </w:rPr>
        <w:t xml:space="preserve">安全</w:t>
      </w:r>
      <w:r>
        <w:rPr>
          <w:rFonts w:hint="eastAsia" w:asciiTheme="majorEastAsia" w:hAnsiTheme="majorEastAsia" w:eastAsiaTheme="majorEastAsia" w:cstheme="majorEastAsia"/>
          <w:b/>
          <w:color w:val="auto"/>
          <w:spacing w:val="40"/>
          <w:sz w:val="28"/>
          <w:szCs w:val="28"/>
          <w:highlight w:val="none"/>
        </w:rPr>
        <w:t xml:space="preserve">监测与巡查项目</w:t>
      </w:r>
      <w:r/>
    </w:p>
    <w:p>
      <w:pPr>
        <w:ind w:firstLine="0"/>
        <w:jc w:val="center"/>
        <w:spacing w:after="0"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color w:val="auto"/>
          <w:spacing w:val="40"/>
          <w:sz w:val="28"/>
          <w:szCs w:val="28"/>
          <w:highlight w:val="none"/>
        </w:rPr>
        <w:t xml:space="preserve">供应商考核办法</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第一章  总则</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目的与依据</w:t>
      </w:r>
      <w:r/>
    </w:p>
    <w:p>
      <w:pPr>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为加强张家港市河道</w:t>
      </w:r>
      <w:r>
        <w:rPr>
          <w:rFonts w:hint="eastAsia" w:ascii="宋体" w:hAnsi="宋体" w:eastAsia="宋体" w:cs="宋体"/>
          <w:sz w:val="24"/>
          <w:szCs w:val="24"/>
          <w:highlight w:val="none"/>
          <w:lang w:val="en-US" w:eastAsia="zh-CN"/>
        </w:rPr>
        <w:t xml:space="preserve">安全</w:t>
      </w:r>
      <w:r>
        <w:rPr>
          <w:rFonts w:hint="eastAsia" w:ascii="宋体" w:hAnsi="宋体" w:eastAsia="宋体" w:cs="宋体"/>
          <w:sz w:val="24"/>
          <w:szCs w:val="24"/>
          <w:highlight w:val="none"/>
        </w:rPr>
        <w:t xml:space="preserve">监测与巡查项目（以下简称本项目）的履约管理，规范供应商服务行为，提升河道监测、巡查及管护工作质量，根据《中华人民共和国政府采购法》《中华人民共和国民法典》《江苏省政府采购履约验收管理办法》（苏财规〔2024〕7号）及本项目招标文件、合同约定，结合张家港市河道管理实际，制定本办法。</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适用范围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本办法适用于与本项目中标供应商（以下简称供应商）的履约考核工作。考核结果作为采购人拨付合同款项、及决定是否续签合同的重要依据。</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考核原则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考核工作遵循以下原则：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依法依约原则：以法律法规、采购文件及合同约定为基本依据；</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客观公正原则：考核标准统一、程序规范、结果公开；</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量化评分原则：采用百分制量化评分，确保考核结果可衡量、可比较；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奖惩挂钩原则：考核结果与服务费用拨付、合同续签直接挂钩。</w:t>
      </w:r>
      <w:r/>
    </w:p>
    <w:p>
      <w:pPr>
        <w:ind w:left="0" w:firstLine="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第二章  考核组织</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第四条  考核主体</w:t>
      </w:r>
      <w:r/>
    </w:p>
    <w:p>
      <w:pPr>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采购人（张家港市水务局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亦可委托张家港市河道管理处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sz w:val="24"/>
          <w:szCs w:val="24"/>
          <w:highlight w:val="none"/>
        </w:rPr>
        <w:t xml:space="preserve">对供应商服务情况进行日常监督管理、组织考核</w:t>
      </w:r>
      <w:r>
        <w:rPr>
          <w:rFonts w:hint="eastAsia" w:ascii="宋体" w:hAnsi="宋体" w:eastAsia="宋体" w:cs="宋体"/>
          <w:sz w:val="24"/>
          <w:szCs w:val="24"/>
          <w:highlight w:val="none"/>
          <w:lang w:val="en-US" w:eastAsia="zh-CN"/>
        </w:rPr>
        <w:t xml:space="preserve">工作</w:t>
      </w:r>
      <w:r>
        <w:rPr>
          <w:rFonts w:hint="eastAsia" w:ascii="宋体" w:hAnsi="宋体" w:eastAsia="宋体" w:cs="宋体"/>
          <w:sz w:val="24"/>
          <w:szCs w:val="24"/>
          <w:highlight w:val="none"/>
        </w:rPr>
        <w:t xml:space="preserve">、结算审核及资金拨付申请等。</w:t>
      </w:r>
      <w:r/>
    </w:p>
    <w:p>
      <w:pPr>
        <w:ind w:left="0" w:firstLine="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第五条  考核小组</w:t>
      </w:r>
      <w:r/>
    </w:p>
    <w:p>
      <w:pPr>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考核人成立考核小组，负责具体考核工作。考核小组由3名（含）以上单数工作人员组成，设组长1名，成员</w:t>
      </w:r>
      <w:r>
        <w:rPr>
          <w:rFonts w:hint="eastAsia" w:ascii="宋体" w:hAnsi="宋体" w:eastAsia="宋体" w:cs="宋体"/>
          <w:sz w:val="24"/>
          <w:szCs w:val="24"/>
          <w:highlight w:val="none"/>
          <w:lang w:val="en-US" w:eastAsia="zh-CN"/>
        </w:rPr>
        <w:t xml:space="preserve">由</w:t>
      </w:r>
      <w:r>
        <w:rPr>
          <w:rFonts w:hint="eastAsia" w:ascii="宋体" w:hAnsi="宋体" w:eastAsia="宋体" w:cs="宋体"/>
          <w:sz w:val="24"/>
          <w:szCs w:val="24"/>
          <w:highlight w:val="none"/>
        </w:rPr>
        <w:t xml:space="preserve">张家港市水务局</w:t>
      </w:r>
      <w:r>
        <w:rPr>
          <w:rFonts w:hint="eastAsia" w:ascii="宋体" w:hAnsi="宋体" w:eastAsia="宋体" w:cs="宋体"/>
          <w:sz w:val="24"/>
          <w:szCs w:val="24"/>
          <w:highlight w:val="none"/>
          <w:lang w:val="en-US" w:eastAsia="zh-CN"/>
        </w:rPr>
        <w:t xml:space="preserve">或张家港市河道管理处管理人员组成，</w:t>
      </w:r>
      <w:r>
        <w:rPr>
          <w:rFonts w:hint="eastAsia" w:ascii="宋体" w:hAnsi="宋体" w:eastAsia="宋体" w:cs="宋体"/>
          <w:sz w:val="24"/>
          <w:szCs w:val="24"/>
          <w:highlight w:val="none"/>
        </w:rPr>
        <w:t xml:space="preserve">必要时可邀请第三方专业机构或行业专家参与考核。</w:t>
      </w:r>
      <w:r/>
    </w:p>
    <w:p>
      <w:pPr>
        <w:ind w:left="0" w:firstLine="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第六条  考核方式</w:t>
      </w:r>
      <w:r/>
    </w:p>
    <w:p>
      <w:pPr>
        <w:ind w:lef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考核采取日常巡查、定期检查、随机抽查、台账审查相结合的方式，实行</w:t>
      </w:r>
      <w:r>
        <w:rPr>
          <w:rFonts w:hint="eastAsia" w:ascii="宋体" w:hAnsi="宋体" w:cs="宋体"/>
          <w:sz w:val="24"/>
          <w:szCs w:val="24"/>
          <w:highlight w:val="none"/>
          <w:lang w:val="en-US" w:eastAsia="zh-CN"/>
        </w:rPr>
        <w:t xml:space="preserve">年度</w:t>
      </w:r>
      <w:r>
        <w:rPr>
          <w:rFonts w:hint="eastAsia" w:ascii="宋体" w:hAnsi="宋体" w:eastAsia="宋体" w:cs="宋体"/>
          <w:sz w:val="24"/>
          <w:szCs w:val="24"/>
          <w:highlight w:val="none"/>
        </w:rPr>
        <w:t xml:space="preserve">考核</w:t>
      </w:r>
      <w:r>
        <w:rPr>
          <w:rFonts w:hint="eastAsia" w:ascii="宋体" w:hAnsi="宋体" w:cs="宋体"/>
          <w:sz w:val="24"/>
          <w:szCs w:val="24"/>
          <w:highlight w:val="none"/>
          <w:lang w:eastAsia="zh-CN"/>
        </w:rPr>
        <w:t xml:space="preserve">。</w:t>
      </w:r>
      <w:r/>
    </w:p>
    <w:p>
      <w:pPr>
        <w:ind w:left="0" w:firstLine="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第三章  考核方式</w:t>
      </w:r>
      <w:r/>
    </w:p>
    <w:p>
      <w:pPr>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第七条  </w:t>
      </w:r>
      <w:r>
        <w:rPr>
          <w:rFonts w:hint="eastAsia" w:ascii="宋体" w:hAnsi="宋体" w:cs="宋体"/>
          <w:b/>
          <w:bCs/>
          <w:sz w:val="24"/>
          <w:szCs w:val="24"/>
          <w:highlight w:val="none"/>
          <w:lang w:val="en-US" w:eastAsia="zh-CN"/>
        </w:rPr>
        <w:t xml:space="preserve">年度</w:t>
      </w:r>
      <w:r>
        <w:rPr>
          <w:rFonts w:hint="eastAsia" w:ascii="宋体" w:hAnsi="宋体" w:eastAsia="宋体" w:cs="宋体"/>
          <w:b/>
          <w:bCs/>
          <w:sz w:val="24"/>
          <w:szCs w:val="24"/>
          <w:highlight w:val="none"/>
        </w:rPr>
        <w:t xml:space="preserve">考核</w:t>
      </w:r>
      <w:r/>
    </w:p>
    <w:p>
      <w:pPr>
        <w:ind w:lef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cs="宋体"/>
          <w:sz w:val="24"/>
          <w:szCs w:val="24"/>
          <w:highlight w:val="none"/>
          <w:lang w:val="en-US" w:eastAsia="zh-CN"/>
        </w:rPr>
        <w:t xml:space="preserve">年</w:t>
      </w:r>
      <w:r>
        <w:rPr>
          <w:rFonts w:hint="eastAsia" w:ascii="宋体" w:hAnsi="宋体" w:eastAsia="宋体" w:cs="宋体"/>
          <w:sz w:val="24"/>
          <w:szCs w:val="24"/>
          <w:highlight w:val="none"/>
        </w:rPr>
        <w:t xml:space="preserve">开展一次，由考核小组对供应商</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rPr>
        <w:t xml:space="preserve">服务情况进行全面检查评分。</w:t>
      </w:r>
      <w:r>
        <w:rPr>
          <w:rFonts w:hint="eastAsia" w:ascii="宋体" w:hAnsi="宋体" w:eastAsia="宋体" w:cs="宋体"/>
          <w:sz w:val="24"/>
          <w:szCs w:val="24"/>
          <w:highlight w:val="none"/>
          <w:lang w:val="en-US" w:eastAsia="zh-CN"/>
        </w:rPr>
        <w:t xml:space="preserve">主要</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rPr>
        <w:t xml:space="preserve">：</w:t>
      </w:r>
      <w:r/>
    </w:p>
    <w:p>
      <w:pPr>
        <w:ind w:left="0"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年度</w:t>
      </w:r>
      <w:r>
        <w:rPr>
          <w:rFonts w:hint="eastAsia" w:ascii="宋体" w:hAnsi="宋体" w:eastAsia="宋体" w:cs="宋体"/>
          <w:sz w:val="24"/>
          <w:szCs w:val="24"/>
          <w:highlight w:val="none"/>
        </w:rPr>
        <w:t xml:space="preserve">巡查覆盖率是否达到合同要求（一类河道每周不少于1次、二类河道每月不少于1次、三类河道每季度不少于1次）；</w:t>
      </w:r>
      <w:r/>
    </w:p>
    <w:p>
      <w:pPr>
        <w:ind w:left="0" w:firstLine="480"/>
        <w:rPr>
          <w:rFonts w:hint="eastAsia" w:ascii="宋体" w:hAnsi="宋体" w:eastAsia="宋体" w:cs="宋体"/>
          <w:sz w:val="24"/>
          <w:szCs w:val="24"/>
        </w:rPr>
      </w:pPr>
      <w:r>
        <w:rPr>
          <w:rFonts w:hint="eastAsia" w:ascii="宋体" w:hAnsi="宋体" w:eastAsia="宋体" w:cs="宋体"/>
          <w:sz w:val="24"/>
          <w:szCs w:val="24"/>
        </w:rPr>
        <w:t xml:space="preserve">季度监测报告（水下地形扫测报告、挡墙沉降监测报告）完成质量；</w:t>
      </w:r>
      <w:r/>
    </w:p>
    <w:p>
      <w:pPr>
        <w:ind w:left="0" w:firstLine="480"/>
        <w:rPr>
          <w:rFonts w:hint="eastAsia" w:ascii="宋体" w:hAnsi="宋体" w:eastAsia="宋体" w:cs="宋体"/>
          <w:sz w:val="24"/>
          <w:szCs w:val="24"/>
        </w:rPr>
      </w:pPr>
      <w:r>
        <w:rPr>
          <w:rFonts w:hint="eastAsia" w:ascii="宋体" w:hAnsi="宋体" w:eastAsia="宋体" w:cs="宋体"/>
          <w:sz w:val="24"/>
          <w:szCs w:val="24"/>
        </w:rPr>
        <w:t xml:space="preserve">信息化平台数据更新及时率、系统故障响应时效；</w:t>
      </w:r>
      <w:r/>
    </w:p>
    <w:p>
      <w:pPr>
        <w:ind w:left="0" w:firstLine="480"/>
        <w:rPr>
          <w:rFonts w:hint="eastAsia" w:ascii="宋体" w:hAnsi="宋体" w:eastAsia="宋体" w:cs="宋体"/>
          <w:sz w:val="24"/>
          <w:szCs w:val="24"/>
        </w:rPr>
      </w:pPr>
      <w:r>
        <w:rPr>
          <w:rFonts w:hint="eastAsia" w:ascii="宋体" w:hAnsi="宋体" w:eastAsia="宋体" w:cs="宋体"/>
          <w:sz w:val="24"/>
          <w:szCs w:val="24"/>
        </w:rPr>
        <w:t xml:space="preserve">上级交办问题及遥感图斑整改跟踪完成情况。</w:t>
      </w:r>
      <w:r/>
    </w:p>
    <w:p>
      <w:pPr>
        <w:rPr>
          <w:rFonts w:hint="eastAsia" w:ascii="宋体" w:hAnsi="宋体" w:eastAsia="宋体" w:cs="宋体"/>
          <w:sz w:val="24"/>
          <w:szCs w:val="24"/>
        </w:rPr>
      </w:pPr>
      <w:r>
        <w:rPr>
          <w:rFonts w:hint="eastAsia" w:ascii="宋体" w:hAnsi="宋体" w:eastAsia="宋体" w:cs="宋体"/>
          <w:b/>
          <w:bCs/>
          <w:sz w:val="24"/>
          <w:szCs w:val="24"/>
        </w:rPr>
        <w:t xml:space="preserve">第四章  考核内容与评分标准</w:t>
      </w:r>
      <w:r/>
    </w:p>
    <w:p>
      <w:pPr>
        <w:rPr>
          <w:rFonts w:hint="eastAsia" w:ascii="宋体" w:hAnsi="宋体" w:eastAsia="宋体" w:cs="宋体"/>
          <w:sz w:val="24"/>
          <w:szCs w:val="24"/>
        </w:rPr>
      </w:pPr>
      <w:r>
        <w:rPr>
          <w:rFonts w:hint="eastAsia" w:ascii="宋体" w:hAnsi="宋体" w:eastAsia="宋体" w:cs="宋体"/>
          <w:b/>
          <w:bCs/>
          <w:sz w:val="24"/>
          <w:szCs w:val="24"/>
        </w:rPr>
        <w:t xml:space="preserve">第十条  考核内容构成</w:t>
      </w:r>
      <w:r/>
    </w:p>
    <w:p>
      <w:pPr>
        <w:rPr>
          <w:rFonts w:hint="eastAsia" w:asciiTheme="minorEastAsia" w:hAnsiTheme="minorEastAsia" w:eastAsiaTheme="minorEastAsia" w:cstheme="minorEastAsia"/>
          <w:color w:val="auto"/>
          <w:szCs w:val="24"/>
          <w:highlight w:val="none"/>
        </w:rPr>
      </w:pPr>
      <w:r>
        <w:rPr>
          <w:rFonts w:hint="eastAsia" w:ascii="宋体" w:hAnsi="宋体" w:eastAsia="宋体" w:cs="宋体"/>
          <w:sz w:val="24"/>
          <w:szCs w:val="24"/>
        </w:rPr>
        <w:t xml:space="preserve">考核内容分为八个模块，总分100分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年度</w:t>
      </w:r>
      <w:r>
        <w:rPr>
          <w:rFonts w:hint="eastAsia" w:ascii="宋体" w:hAnsi="宋体" w:eastAsia="宋体" w:cs="宋体"/>
          <w:sz w:val="24"/>
          <w:szCs w:val="24"/>
          <w:lang w:val="en-US" w:eastAsia="zh-CN"/>
        </w:rPr>
        <w:t xml:space="preserve">考核一次</w:t>
      </w:r>
      <w:r>
        <w:rPr>
          <w:rFonts w:hint="eastAsia" w:ascii="宋体" w:hAnsi="宋体" w:eastAsia="宋体" w:cs="宋体"/>
          <w:sz w:val="24"/>
          <w:szCs w:val="24"/>
        </w:rPr>
        <w:t xml:space="preserve">。具体构成如下：</w:t>
      </w:r>
      <w:r/>
    </w:p>
    <w:tbl>
      <w:tblPr>
        <w:tblStyle w:val="936"/>
        <w:tblW w:w="0" w:type="auto"/>
        <w:tblInd w:w="0" w:type="dxa"/>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Layout w:type="autofit"/>
        <w:tblCellMar>
          <w:left w:w="10" w:type="dxa"/>
          <w:top w:w="0" w:type="dxa"/>
          <w:right w:w="10" w:type="dxa"/>
          <w:bottom w:w="0" w:type="dxa"/>
        </w:tblCellMar>
        <w:tblLook w:val="04A0" w:firstRow="1" w:lastRow="0" w:firstColumn="1" w:lastColumn="0" w:noHBand="0" w:noVBand="1"/>
      </w:tblPr>
      <w:tblGrid>
        <w:gridCol w:w="501"/>
        <w:gridCol w:w="2165"/>
        <w:gridCol w:w="779"/>
        <w:gridCol w:w="6321"/>
      </w:tblGrid>
      <w:tr>
        <w:trPr>
          <w:tblHeader/>
        </w:trPr>
        <w:tc>
          <w:tcPr>
            <w:shd w:val="clear" w:color="auto" w:fill="d6e4f0"/>
            <w:tcW w:w="501" w:type="dxa"/>
            <w:vAlign w:val="center"/>
            <w:textDirection w:val="lrTb"/>
            <w:noWrap w:val="false"/>
          </w:tcPr>
          <w:p>
            <w:pPr>
              <w:ind w:firstLine="0"/>
              <w:jc w:val="center"/>
              <w:pageBreakBefore w:val="0"/>
              <w:spacing w:before="60" w:after="6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序号</w:t>
            </w:r>
            <w:r/>
          </w:p>
        </w:tc>
        <w:tc>
          <w:tcPr>
            <w:shd w:val="clear" w:color="auto" w:fill="d6e4f0"/>
            <w:tcW w:w="2165" w:type="dxa"/>
            <w:vAlign w:val="center"/>
            <w:textDirection w:val="lrTb"/>
            <w:noWrap w:val="false"/>
          </w:tcPr>
          <w:p>
            <w:pPr>
              <w:ind w:firstLine="0"/>
              <w:jc w:val="center"/>
              <w:pageBreakBefore w:val="0"/>
              <w:spacing w:before="60" w:after="6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考核模块</w:t>
            </w:r>
            <w:r/>
          </w:p>
        </w:tc>
        <w:tc>
          <w:tcPr>
            <w:shd w:val="clear" w:color="auto" w:fill="d6e4f0"/>
            <w:tcW w:w="779" w:type="dxa"/>
            <w:vAlign w:val="center"/>
            <w:textDirection w:val="lrTb"/>
            <w:noWrap w:val="false"/>
          </w:tcPr>
          <w:p>
            <w:pPr>
              <w:ind w:firstLine="0"/>
              <w:jc w:val="center"/>
              <w:pageBreakBefore w:val="0"/>
              <w:spacing w:before="60" w:after="6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分值</w:t>
            </w:r>
            <w:r/>
          </w:p>
        </w:tc>
        <w:tc>
          <w:tcPr>
            <w:shd w:val="clear" w:color="auto" w:fill="d6e4f0"/>
            <w:tcW w:w="6321" w:type="dxa"/>
            <w:vAlign w:val="center"/>
            <w:textDirection w:val="lrTb"/>
            <w:noWrap w:val="false"/>
          </w:tcPr>
          <w:p>
            <w:pPr>
              <w:ind w:firstLine="0"/>
              <w:jc w:val="center"/>
              <w:pageBreakBefore w:val="0"/>
              <w:spacing w:before="60" w:after="6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主要考核要点</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组织管理</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人员到岗、统一着装、制度建设、培训执行</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p>
        </w:tc>
        <w:tc>
          <w:tcPr>
            <w:shd w:val="clear" w:color="auto" w:fill="auto"/>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河道监测</w:t>
            </w:r>
            <w:r/>
          </w:p>
        </w:tc>
        <w:tc>
          <w:tcPr>
            <w:shd w:val="clear" w:color="auto" w:fill="auto"/>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15</w:t>
            </w:r>
            <w:r>
              <w:rPr>
                <w:rFonts w:hint="eastAsia" w:asciiTheme="minorEastAsia" w:hAnsiTheme="minorEastAsia" w:eastAsiaTheme="minorEastAsia" w:cstheme="minorEastAsia"/>
                <w:color w:val="auto"/>
                <w:sz w:val="21"/>
                <w:szCs w:val="21"/>
              </w:rPr>
              <w:t xml:space="preserve">分</w:t>
            </w:r>
            <w:r/>
          </w:p>
        </w:tc>
        <w:tc>
          <w:tcPr>
            <w:shd w:val="clear" w:color="auto" w:fill="auto"/>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水下地形扫测、挡墙沉降监测、数据真实性</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c>
          <w:tcPr>
            <w:shd w:val="clear" w:color="auto" w:fill="auto"/>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河道巡查</w:t>
            </w:r>
            <w:r/>
          </w:p>
        </w:tc>
        <w:tc>
          <w:tcPr>
            <w:shd w:val="clear" w:color="auto" w:fill="auto"/>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20</w:t>
            </w:r>
            <w:r>
              <w:rPr>
                <w:rFonts w:hint="eastAsia" w:asciiTheme="minorEastAsia" w:hAnsiTheme="minorEastAsia" w:eastAsiaTheme="minorEastAsia" w:cstheme="minorEastAsia"/>
                <w:color w:val="auto"/>
                <w:sz w:val="21"/>
                <w:szCs w:val="21"/>
              </w:rPr>
              <w:t xml:space="preserve">分</w:t>
            </w:r>
            <w:r/>
          </w:p>
        </w:tc>
        <w:tc>
          <w:tcPr>
            <w:shd w:val="clear" w:color="auto" w:fill="auto"/>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巡查频次、记录完整性、问题上报、月报季报、重点任务巡查</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水质检测</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检测及时性、设备配备、数据准确性</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图斑处理与交办问题</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图斑复核及时性、整改跟踪、移动端操作规范</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信息化平台维护</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0分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故障响应、数据更新、数据安全</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安全生产</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安全制度、安全作业、事故处理</w:t>
            </w:r>
            <w:r/>
          </w:p>
        </w:tc>
      </w:tr>
      <w:tr>
        <w:trPr/>
        <w:tc>
          <w:tcPr>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w:t>
            </w:r>
            <w:r/>
          </w:p>
        </w:tc>
        <w:tc>
          <w:tcPr>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台账与档案管理</w:t>
            </w:r>
            <w:r/>
          </w:p>
        </w:tc>
        <w:tc>
          <w:tcPr>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7分</w:t>
            </w:r>
            <w:r/>
          </w:p>
        </w:tc>
        <w:tc>
          <w:tcPr>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资料齐全性、档案规范性、信息保密</w:t>
            </w:r>
            <w:r/>
          </w:p>
        </w:tc>
      </w:tr>
      <w:tr>
        <w:trPr/>
        <w:tc>
          <w:tcPr>
            <w:shd w:val="clear" w:color="auto" w:fill="ebf5fb"/>
            <w:tcW w:w="50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shd w:val="clear" w:color="auto" w:fill="ebf5fb"/>
            <w:tcW w:w="2165"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合  计</w:t>
            </w:r>
            <w:r/>
          </w:p>
        </w:tc>
        <w:tc>
          <w:tcPr>
            <w:shd w:val="clear" w:color="auto" w:fill="ebf5fb"/>
            <w:tcW w:w="779"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 xml:space="preserve">100分</w:t>
            </w:r>
            <w:r/>
          </w:p>
        </w:tc>
        <w:tc>
          <w:tcPr>
            <w:shd w:val="clear" w:color="auto" w:fill="ebf5fb"/>
            <w:tcW w:w="6321" w:type="dxa"/>
            <w:vAlign w:val="center"/>
            <w:textDirection w:val="lrTb"/>
            <w:noWrap w:val="false"/>
          </w:tcPr>
          <w:p>
            <w:pPr>
              <w:ind w:firstLine="0"/>
              <w:jc w:val="center"/>
              <w:pageBreakBefore w:val="0"/>
              <w:spacing w:before="40" w:after="40" w:line="360" w:lineRule="auto"/>
              <w:widowControl/>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第十一条  组织管理（10分）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项目管理人员配备：项目负责人未经批准擅自更换，每次扣</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人员到岗情况：服务人员缺岗</w:t>
      </w:r>
      <w:r>
        <w:rPr>
          <w:rFonts w:hint="eastAsia" w:asciiTheme="minorEastAsia" w:hAnsiTheme="minorEastAsia" w:eastAsiaTheme="minorEastAsia" w:cstheme="minorEastAsia"/>
          <w:color w:val="auto"/>
          <w:sz w:val="24"/>
          <w:szCs w:val="24"/>
          <w:lang w:val="en-US" w:eastAsia="zh-CN"/>
        </w:rPr>
        <w:t xml:space="preserve">每人每天</w:t>
      </w:r>
      <w:r>
        <w:rPr>
          <w:rFonts w:hint="eastAsia" w:asciiTheme="minorEastAsia" w:hAnsiTheme="minorEastAsia" w:eastAsiaTheme="minorEastAsia" w:cstheme="minorEastAsia"/>
          <w:color w:val="auto"/>
          <w:sz w:val="24"/>
          <w:szCs w:val="24"/>
        </w:rPr>
        <w:t xml:space="preserve">扣1分，巡查人员未统一着装每次扣0.5分；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内部管理制度：考勤、考核、奖惩制度不健全，缺一项扣1分；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培训计划执行：未按投标承诺开展培训的，每次扣2分。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第十二条  河道监测（</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5分）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水下扫测：未按合同完成多波束扫测，每条河道扣2分，报告质量不符扣2分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沉降监测：未按期完成挡墙监测每次扣2分，异常未上报扣1分；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数据真实：监测数据弄虚作假，本项得0分</w:t>
      </w:r>
      <w:r/>
    </w:p>
    <w:p>
      <w:pPr>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 xml:space="preserve">第十三条 河道巡查（</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0分）</w:t>
      </w:r>
      <w:r/>
    </w:p>
    <w:p>
      <w:pPr>
        <w:numPr>
          <w:ilvl w:val="0"/>
          <w:numId w:val="0"/>
        </w:num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巡查频次达标率：一类河道每周全线巡查不少于1次，二类河道每月不少于1次，三类河道每季度不少于1次，每少1次扣2分；</w:t>
      </w:r>
      <w:r/>
    </w:p>
    <w:p>
      <w:pPr>
        <w:numPr>
          <w:ilvl w:val="0"/>
          <w:numId w:val="0"/>
        </w:numPr>
        <w:ind w:left="42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巡查记录完整性：巡查记录表填写不规范或与实际情况不符，每次扣1分；</w:t>
      </w:r>
      <w:r/>
    </w:p>
    <w:p>
      <w:pPr>
        <w:numPr>
          <w:ilvl w:val="0"/>
          <w:numId w:val="0"/>
        </w:num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问题发现与上报：未及时上报重大问题（大面积漂浮物、水质异常、涉河违章等）的，每次扣3分；</w:t>
      </w:r>
      <w:r/>
    </w:p>
    <w:p>
      <w:pPr>
        <w:numPr>
          <w:ilvl w:val="0"/>
          <w:numId w:val="0"/>
        </w:num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巡查月报/季报：未按时提交巡查月报或季报的，每次扣2分；报告质量不符合要求的扣1分；</w:t>
      </w:r>
      <w:r/>
    </w:p>
    <w:p>
      <w:pPr>
        <w:numPr>
          <w:ilvl w:val="0"/>
          <w:numId w:val="0"/>
        </w:num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重点任务巡查：已销号黑臭河道及劣V类水体回头看巡查未按期完成的，每少1次扣2分。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第十四条  水质检测（10分）</w:t>
      </w:r>
      <w:r/>
    </w:p>
    <w:p>
      <w:pPr>
        <w:numPr>
          <w:ilvl w:val="0"/>
          <w:numId w:val="0"/>
        </w:num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水质检测及时性：未按要求完成水质采样、送样或现场检测的，每次扣2分；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检测设备配备：未按要求配备便携式水质检测设备或设备无法正常使用的，扣3分；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检测数据准确性：检测结果与实际偏差较大的，每次扣2分。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第十五条  图斑处理与交办问题（10分）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图斑复核及时性：遥感图斑复核未在规定时间内完成的，每次扣2分；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交办问题跟踪：交办问题整改跟踪不到位、未及时上报整改进展的，每次扣2分；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移动端操作规范：未按要求使用移动端进行图斑复核填报的，每次扣1分。</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第十六条  信息化平台维护（</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0分）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问题闭环管理：供应商须实现巡查问题展示、统计、分析，按采购人要求形成电子台账；展示/统计/分析功能缺失，台账未按要求生成或字段不完整，每次扣1分；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船舶动态管理：供应商须实现船舶基础信息、动态信息管理，按考核办法生成绩效综合评估；基础/动态信息管理缺失，未按考核办法生成绩效评估，每次扣1分；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人员动态管理：供应商须实现人员基础信息、动态信息管理，按考核办法生成绩效综合评估；基础/动态信息管理缺失，未按考核办法生成绩效评估，每次扣1分；</w:t>
      </w:r>
      <w:r/>
    </w:p>
    <w:p>
      <w:pPr>
        <w:numPr>
          <w:ilvl w:val="0"/>
          <w:numId w:val="0"/>
        </w:numPr>
        <w:ind w:left="0" w:firstLine="48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河湖巡查APP：供应商须按要求进行APP问题上报与整改闭环，人员实时定位追踪；上报/整改功能缺失，实时定位功能缺失，每次扣1分</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第十七条  安全生产（8分）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安全制度：未建立安全管理制度、未为巡查人员购买意外伤害保险的，扣3分；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安全作业：巡查人员未按安全规程作业的，每次扣1分；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事故处理：发生一般安全事故每次扣4分，发生重大安全事故本项得0分并追究违约责任。</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第十八条  台账与档案管理（7分）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台账资料齐全性：巡查记录、监测报告、会议纪要等资料缺失的，每项扣1分；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档案管理规范性：资料整理混乱、归档不及时的，扣2分；</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信息保密：擅自发布巡查信息或泄露涉密数据的，本项得0分并追究违约责任。</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第五章  考核结果应用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第十九条  </w:t>
      </w:r>
      <w:r>
        <w:rPr>
          <w:rFonts w:hint="eastAsia" w:ascii="宋体" w:hAnsi="宋体" w:cs="宋体"/>
          <w:b/>
          <w:bCs/>
          <w:sz w:val="24"/>
          <w:szCs w:val="24"/>
          <w:lang w:val="en-US" w:eastAsia="zh-CN"/>
        </w:rPr>
        <w:t xml:space="preserve">年度</w:t>
      </w:r>
      <w:r>
        <w:rPr>
          <w:rFonts w:hint="eastAsia" w:ascii="宋体" w:hAnsi="宋体" w:eastAsia="宋体" w:cs="宋体"/>
          <w:b/>
          <w:bCs/>
          <w:sz w:val="24"/>
          <w:szCs w:val="24"/>
        </w:rPr>
        <w:t xml:space="preserve">评价结果应用</w:t>
      </w:r>
      <w:r/>
    </w:p>
    <w:p>
      <w:pPr>
        <w:ind w:left="0" w:firstLine="48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lang w:val="en-US" w:eastAsia="zh-CN"/>
        </w:rPr>
        <w:t xml:space="preserve">年度</w:t>
      </w:r>
      <w:r>
        <w:rPr>
          <w:rFonts w:hint="eastAsia" w:asciiTheme="minorEastAsia" w:hAnsiTheme="minorEastAsia" w:eastAsiaTheme="minorEastAsia" w:cstheme="minorEastAsia"/>
          <w:color w:val="auto"/>
          <w:sz w:val="24"/>
          <w:szCs w:val="24"/>
        </w:rPr>
        <w:t xml:space="preserve">评价结果作为阶段性履约评价的重要依据</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1.年度</w:t>
      </w:r>
      <w:r>
        <w:rPr>
          <w:rFonts w:hint="eastAsia" w:asciiTheme="minorEastAsia" w:hAnsiTheme="minorEastAsia" w:eastAsiaTheme="minorEastAsia" w:cstheme="minorEastAsia"/>
          <w:color w:val="auto"/>
          <w:sz w:val="24"/>
          <w:szCs w:val="24"/>
          <w:highlight w:val="none"/>
        </w:rPr>
        <w:t xml:space="preserve">得分大于等于90分：认定</w:t>
      </w:r>
      <w:r>
        <w:rPr>
          <w:rFonts w:hint="eastAsia" w:asciiTheme="minorEastAsia" w:hAnsiTheme="minorEastAsia" w:eastAsiaTheme="minorEastAsia" w:cstheme="minorEastAsia"/>
          <w:color w:val="auto"/>
          <w:sz w:val="24"/>
          <w:szCs w:val="24"/>
        </w:rPr>
        <w:t xml:space="preserve">为优秀，全额拨付当</w:t>
      </w:r>
      <w:r>
        <w:rPr>
          <w:rFonts w:hint="eastAsia" w:asciiTheme="minorEastAsia" w:hAnsiTheme="minorEastAsia" w:eastAsiaTheme="minorEastAsia" w:cstheme="minorEastAsia"/>
          <w:color w:val="auto"/>
          <w:sz w:val="24"/>
          <w:szCs w:val="24"/>
          <w:lang w:val="en-US" w:eastAsia="zh-CN"/>
        </w:rPr>
        <w:t xml:space="preserve">年</w:t>
      </w:r>
      <w:r>
        <w:rPr>
          <w:rFonts w:hint="eastAsia" w:asciiTheme="minorEastAsia" w:hAnsiTheme="minorEastAsia" w:eastAsiaTheme="minorEastAsia" w:cstheme="minorEastAsia"/>
          <w:color w:val="auto"/>
          <w:sz w:val="24"/>
          <w:szCs w:val="24"/>
        </w:rPr>
        <w:t xml:space="preserve">服务费用；</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2.大于等于6</w:t>
      </w:r>
      <w:r>
        <w:rPr>
          <w:rFonts w:hint="eastAsia" w:asciiTheme="minorEastAsia" w:hAnsiTheme="minorEastAsia" w:eastAsiaTheme="minorEastAsia" w:cstheme="minorEastAsia"/>
          <w:color w:val="auto"/>
          <w:sz w:val="24"/>
          <w:szCs w:val="24"/>
        </w:rPr>
        <w:t xml:space="preserve">0分小于90分：认定为良好，</w:t>
      </w:r>
      <w:r>
        <w:rPr>
          <w:rFonts w:hint="eastAsia" w:asciiTheme="minorEastAsia" w:hAnsiTheme="minorEastAsia" w:eastAsiaTheme="minorEastAsia" w:cstheme="minorEastAsia"/>
          <w:color w:val="auto"/>
          <w:sz w:val="24"/>
          <w:szCs w:val="24"/>
          <w:lang w:val="en-US" w:eastAsia="zh-CN"/>
        </w:rPr>
        <w:t xml:space="preserve">每低一分扣合同款的0.1%</w:t>
      </w:r>
      <w:r>
        <w:rPr>
          <w:rFonts w:hint="eastAsia" w:asciiTheme="minorEastAsia" w:hAnsiTheme="minorEastAsia" w:eastAsiaTheme="minorEastAsia" w:cstheme="minorEastAsia"/>
          <w:color w:val="auto"/>
          <w:sz w:val="24"/>
          <w:szCs w:val="24"/>
        </w:rPr>
        <w:t xml:space="preserve">；</w:t>
      </w:r>
      <w:r/>
    </w:p>
    <w:p>
      <w:pPr>
        <w:numPr>
          <w:ilvl w:val="0"/>
          <w:numId w:val="0"/>
        </w:numPr>
        <w:ind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得分小于</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0分：认定为不合格，当季服务费用按</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0%拨付，并要求提交整改报告，采购人有权委托第三方代为整改，费用由供应商承担；连续两次低于</w:t>
      </w:r>
      <w:r>
        <w:rPr>
          <w:rFonts w:hint="eastAsia" w:asciiTheme="minorEastAsia" w:hAnsiTheme="minorEastAsia" w:eastAsiaTheme="minorEastAsia" w:cstheme="minorEastAsia"/>
          <w:color w:val="auto"/>
          <w:sz w:val="24"/>
          <w:szCs w:val="24"/>
          <w:lang w:val="en-US" w:eastAsia="zh-CN"/>
        </w:rPr>
        <w:t xml:space="preserve">60</w:t>
      </w:r>
      <w:r>
        <w:rPr>
          <w:rFonts w:hint="eastAsia" w:asciiTheme="minorEastAsia" w:hAnsiTheme="minorEastAsia" w:eastAsiaTheme="minorEastAsia" w:cstheme="minorEastAsia"/>
          <w:color w:val="auto"/>
          <w:sz w:val="24"/>
          <w:szCs w:val="24"/>
        </w:rPr>
        <w:t xml:space="preserve">分的，采购人有权解除合同。</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第二十二条  一票否决事项</w:t>
      </w:r>
      <w:r/>
    </w:p>
    <w:p>
      <w:pPr>
        <w:ind w:firstLine="708"/>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供应商在服务期间出现下列情形之</w:t>
      </w:r>
      <w:r>
        <w:rPr>
          <w:rFonts w:hint="eastAsia" w:asciiTheme="minorEastAsia" w:hAnsiTheme="minorEastAsia" w:eastAsiaTheme="minorEastAsia" w:cstheme="minorEastAsia"/>
          <w:color w:val="auto"/>
          <w:sz w:val="24"/>
          <w:szCs w:val="24"/>
          <w:highlight w:val="none"/>
        </w:rPr>
        <w:t xml:space="preserve">一，</w:t>
      </w:r>
      <w:r>
        <w:rPr>
          <w:rFonts w:hint="eastAsia" w:asciiTheme="minorEastAsia" w:hAnsiTheme="minorEastAsia" w:eastAsiaTheme="minorEastAsia" w:cstheme="minorEastAsia"/>
          <w:color w:val="auto"/>
          <w:sz w:val="24"/>
          <w:szCs w:val="24"/>
          <w:highlight w:val="none"/>
          <w:lang w:val="en-US" w:eastAsia="zh-CN"/>
        </w:rPr>
        <w:t xml:space="preserve">年度</w:t>
      </w:r>
      <w:r>
        <w:rPr>
          <w:rFonts w:hint="eastAsia" w:asciiTheme="minorEastAsia" w:hAnsiTheme="minorEastAsia" w:eastAsiaTheme="minorEastAsia" w:cstheme="minorEastAsia"/>
          <w:color w:val="auto"/>
          <w:sz w:val="24"/>
          <w:szCs w:val="24"/>
          <w:highlight w:val="none"/>
        </w:rPr>
        <w:t xml:space="preserve">考核直接认定为不合格</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按0分处理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ind w:left="720"/>
        <w:pageBreakBefore w:val="0"/>
        <w:spacing w:line="360" w:lineRule="auto"/>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1）</w:t>
      </w:r>
      <w:r>
        <w:rPr>
          <w:rFonts w:hint="eastAsia" w:asciiTheme="minorEastAsia" w:hAnsiTheme="minorEastAsia" w:eastAsiaTheme="minorEastAsia" w:cstheme="minorEastAsia"/>
          <w:color w:val="auto"/>
          <w:sz w:val="24"/>
          <w:szCs w:val="24"/>
          <w:highlight w:val="none"/>
          <w:u w:val="single"/>
        </w:rPr>
        <w:t xml:space="preserve">因供应商原因导致重大安全事故或环境污染事件的；</w:t>
      </w:r>
      <w:r/>
    </w:p>
    <w:p>
      <w:pPr>
        <w:numPr>
          <w:ilvl w:val="0"/>
          <w:numId w:val="0"/>
        </w:numPr>
        <w:ind w:left="720"/>
        <w:pageBreakBefore w:val="0"/>
        <w:spacing w:line="360" w:lineRule="auto"/>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2）</w:t>
      </w:r>
      <w:r>
        <w:rPr>
          <w:rFonts w:hint="eastAsia" w:asciiTheme="minorEastAsia" w:hAnsiTheme="minorEastAsia" w:eastAsiaTheme="minorEastAsia" w:cstheme="minorEastAsia"/>
          <w:color w:val="auto"/>
          <w:sz w:val="24"/>
          <w:szCs w:val="24"/>
          <w:highlight w:val="none"/>
          <w:u w:val="single"/>
        </w:rPr>
        <w:t xml:space="preserve">监测数据、巡查记录弄虚作假，存在伪造、篡改行为的；</w:t>
      </w:r>
      <w:r/>
    </w:p>
    <w:p>
      <w:pPr>
        <w:numPr>
          <w:ilvl w:val="0"/>
          <w:numId w:val="0"/>
        </w:numPr>
        <w:ind w:left="720"/>
        <w:pageBreakBefore w:val="0"/>
        <w:spacing w:line="360" w:lineRule="auto"/>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3）</w:t>
      </w:r>
      <w:r>
        <w:rPr>
          <w:rFonts w:hint="eastAsia" w:asciiTheme="minorEastAsia" w:hAnsiTheme="minorEastAsia" w:eastAsiaTheme="minorEastAsia" w:cstheme="minorEastAsia"/>
          <w:color w:val="auto"/>
          <w:sz w:val="24"/>
          <w:szCs w:val="24"/>
          <w:highlight w:val="none"/>
          <w:u w:val="single"/>
        </w:rPr>
        <w:t xml:space="preserve">擅自将项目转包或分包给他人的；</w:t>
      </w:r>
      <w:r/>
    </w:p>
    <w:p>
      <w:pPr>
        <w:numPr>
          <w:ilvl w:val="0"/>
          <w:numId w:val="0"/>
        </w:numPr>
        <w:ind w:left="720"/>
        <w:pageBreakBefore w:val="0"/>
        <w:spacing w:line="360" w:lineRule="auto"/>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4）</w:t>
      </w:r>
      <w:r>
        <w:rPr>
          <w:rFonts w:hint="eastAsia" w:asciiTheme="minorEastAsia" w:hAnsiTheme="minorEastAsia" w:eastAsiaTheme="minorEastAsia" w:cstheme="minorEastAsia"/>
          <w:color w:val="auto"/>
          <w:sz w:val="24"/>
          <w:szCs w:val="24"/>
          <w:highlight w:val="none"/>
          <w:u w:val="single"/>
        </w:rPr>
        <w:t xml:space="preserve">泄露项目涉密信息或擅自对外发布巡查考核结果的；</w:t>
      </w:r>
      <w:r/>
    </w:p>
    <w:p>
      <w:pPr>
        <w:numPr>
          <w:ilvl w:val="0"/>
          <w:numId w:val="0"/>
        </w:numPr>
        <w:ind w:left="720"/>
        <w:pageBreakBefore w:val="0"/>
        <w:spacing w:line="360" w:lineRule="auto"/>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5）</w:t>
      </w:r>
      <w:r>
        <w:rPr>
          <w:rFonts w:hint="eastAsia" w:asciiTheme="minorEastAsia" w:hAnsiTheme="minorEastAsia" w:eastAsiaTheme="minorEastAsia" w:cstheme="minorEastAsia"/>
          <w:color w:val="auto"/>
          <w:sz w:val="24"/>
          <w:szCs w:val="24"/>
          <w:highlight w:val="none"/>
          <w:u w:val="single"/>
        </w:rPr>
        <w:t xml:space="preserve">无正当理由拒绝执行采购人或考核人交办工作任务的。</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sz w:val="24"/>
          <w:szCs w:val="24"/>
        </w:rPr>
        <w:t xml:space="preserve">第六章  考核程序</w:t>
      </w:r>
      <w:r/>
    </w:p>
    <w:p>
      <w:pPr>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 xml:space="preserve">第二十三条  考核通知</w:t>
      </w:r>
      <w:r/>
    </w:p>
    <w:p>
      <w:p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考核小组应提前2个工作日向供应商发出考核通知，明确考核时间、方式及需准备的相关资料。</w:t>
      </w:r>
      <w:r/>
    </w:p>
    <w:p>
      <w:pPr>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 xml:space="preserve">第二十四条  现场考核</w:t>
      </w:r>
      <w:r/>
    </w:p>
    <w:p>
      <w:p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考核小组按照考核表逐项进行现场检查、台账审查，对发现的问题进行拍照或录像取证，并做好考核记录。供应商应指派项目负责人或授权代表到场配合。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第二十五条  考核评分</w:t>
      </w:r>
      <w:r/>
    </w:p>
    <w:p>
      <w:p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考核小组根据现场检查情况，对照评分标准</w:t>
      </w:r>
      <w:r>
        <w:rPr>
          <w:rFonts w:hint="eastAsia" w:asciiTheme="minorEastAsia" w:hAnsiTheme="minorEastAsia" w:eastAsiaTheme="minorEastAsia" w:cstheme="minorEastAsia"/>
          <w:color w:val="auto"/>
          <w:sz w:val="24"/>
          <w:szCs w:val="24"/>
          <w:lang w:val="en-US" w:eastAsia="zh-CN"/>
        </w:rPr>
        <w:t xml:space="preserve">进行</w:t>
      </w:r>
      <w:r>
        <w:rPr>
          <w:rFonts w:hint="eastAsia" w:asciiTheme="minorEastAsia" w:hAnsiTheme="minorEastAsia" w:eastAsiaTheme="minorEastAsia" w:cstheme="minorEastAsia"/>
          <w:color w:val="auto"/>
          <w:sz w:val="24"/>
          <w:szCs w:val="24"/>
        </w:rPr>
        <w:t xml:space="preserve">打分。考核小组成员意见不一致的，按少数服从多数原则，并将不同意见记录在案。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第二十六条  结果告知</w:t>
      </w:r>
      <w:r/>
    </w:p>
    <w:p>
      <w:pPr>
        <w:ind w:left="0" w:firstLine="48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考核结束后3个工作日内，考核小组向供应商出具书面考核结果，列明扣分事项、扣分原因及整改要求。供应商对考核结果有异议的，可在收到结果后3个工作日内向采购人提出书面申诉。</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第七章  附则</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第二十八条  解释权</w:t>
      </w:r>
      <w:r/>
    </w:p>
    <w:p>
      <w:pPr>
        <w:ind w:firstLine="708"/>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本办法由张家港市水务局负责解释。</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第二十九条  生效时间</w:t>
      </w:r>
      <w:r/>
    </w:p>
    <w:p>
      <w:pPr>
        <w:ind w:firstLine="708"/>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本办法自合同签订之日起施行。</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第三十条  附件</w:t>
      </w:r>
      <w:r/>
    </w:p>
    <w:p>
      <w:pPr>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本办法附件包括：</w:t>
      </w:r>
      <w:r/>
    </w:p>
    <w:p>
      <w:pPr>
        <w:numPr>
          <w:ilvl w:val="0"/>
          <w:numId w:val="0"/>
        </w:numPr>
        <w:ind w:left="720"/>
        <w:pageBreakBefore w:val="0"/>
        <w:spacing w:line="360" w:lineRule="auto"/>
        <w:widowControl/>
        <w:rPr>
          <w:rFonts w:hint="eastAsia" w:asciiTheme="minorEastAsia" w:hAnsiTheme="minorEastAsia" w:eastAsiaTheme="minorEastAsia" w:cstheme="minorEastAsia"/>
          <w:b w:val="0"/>
          <w:bCs w:val="0"/>
          <w:i/>
          <w:iCs/>
          <w:color w:val="auto"/>
          <w:sz w:val="24"/>
          <w:szCs w:val="24"/>
          <w:u w:val="single"/>
        </w:rPr>
      </w:pPr>
      <w:r>
        <w:rPr>
          <w:rFonts w:hint="eastAsia" w:asciiTheme="minorEastAsia" w:hAnsiTheme="minorEastAsia" w:eastAsiaTheme="minorEastAsia" w:cstheme="minorEastAsia"/>
          <w:b w:val="0"/>
          <w:bCs w:val="0"/>
          <w:i/>
          <w:iCs/>
          <w:color w:val="auto"/>
          <w:sz w:val="24"/>
          <w:szCs w:val="24"/>
          <w:u w:val="single"/>
          <w:lang w:val="en-US" w:eastAsia="zh-CN"/>
        </w:rPr>
        <w:t xml:space="preserve">表1</w:t>
      </w:r>
      <w:r>
        <w:rPr>
          <w:rFonts w:hint="eastAsia" w:asciiTheme="minorEastAsia" w:hAnsiTheme="minorEastAsia" w:eastAsiaTheme="minorEastAsia" w:cstheme="minorEastAsia"/>
          <w:b w:val="0"/>
          <w:bCs w:val="0"/>
          <w:i/>
          <w:iCs/>
          <w:color w:val="auto"/>
          <w:sz w:val="24"/>
          <w:szCs w:val="24"/>
          <w:u w:val="single"/>
        </w:rPr>
        <w:t xml:space="preserve">《</w:t>
      </w:r>
      <w:r>
        <w:rPr>
          <w:rFonts w:hint="eastAsia" w:asciiTheme="minorEastAsia" w:hAnsiTheme="minorEastAsia" w:eastAsiaTheme="minorEastAsia" w:cstheme="minorEastAsia"/>
          <w:b w:val="0"/>
          <w:bCs w:val="0"/>
          <w:i/>
          <w:iCs/>
          <w:color w:val="auto"/>
          <w:sz w:val="24"/>
          <w:szCs w:val="24"/>
          <w:u w:val="single"/>
          <w:lang w:eastAsia="zh-CN"/>
        </w:rPr>
        <w:t xml:space="preserve">张家港市河道安全监测与巡查项目</w:t>
      </w:r>
      <w:r>
        <w:rPr>
          <w:rFonts w:hint="eastAsia" w:asciiTheme="minorEastAsia" w:hAnsiTheme="minorEastAsia" w:eastAsiaTheme="minorEastAsia" w:cstheme="minorEastAsia"/>
          <w:b w:val="0"/>
          <w:bCs w:val="0"/>
          <w:i/>
          <w:iCs/>
          <w:color w:val="auto"/>
          <w:sz w:val="24"/>
          <w:szCs w:val="24"/>
          <w:u w:val="single"/>
          <w:lang w:val="en-US" w:eastAsia="zh-CN"/>
        </w:rPr>
        <w:t xml:space="preserve">年度</w:t>
      </w:r>
      <w:r>
        <w:rPr>
          <w:rFonts w:hint="eastAsia" w:asciiTheme="minorEastAsia" w:hAnsiTheme="minorEastAsia" w:eastAsiaTheme="minorEastAsia" w:cstheme="minorEastAsia"/>
          <w:b w:val="0"/>
          <w:bCs w:val="0"/>
          <w:i/>
          <w:iCs/>
          <w:color w:val="auto"/>
          <w:sz w:val="24"/>
          <w:szCs w:val="24"/>
          <w:u w:val="single"/>
        </w:rPr>
        <w:t xml:space="preserve">考核表》；</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i/>
          <w:iCs/>
          <w:sz w:val="24"/>
          <w:szCs w:val="24"/>
          <w:u w:val="single"/>
          <w:lang w:val="en-US" w:eastAsia="zh-CN"/>
        </w:rPr>
        <w:t xml:space="preserve">附件：相关考核表</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表1：</w:t>
      </w:r>
      <w:r>
        <w:rPr>
          <w:rFonts w:hint="eastAsia" w:asciiTheme="minorEastAsia" w:hAnsiTheme="minorEastAsia" w:eastAsiaTheme="minorEastAsia" w:cstheme="minorEastAsia"/>
          <w:color w:val="auto"/>
          <w:sz w:val="24"/>
          <w:szCs w:val="24"/>
          <w:lang w:val="en-US" w:eastAsia="zh-CN"/>
        </w:rPr>
        <w:t xml:space="preserve">年度</w:t>
      </w:r>
      <w:r>
        <w:rPr>
          <w:rFonts w:hint="eastAsia" w:asciiTheme="minorEastAsia" w:hAnsiTheme="minorEastAsia" w:eastAsiaTheme="minorEastAsia" w:cstheme="minorEastAsia"/>
          <w:color w:val="auto"/>
          <w:sz w:val="24"/>
          <w:szCs w:val="24"/>
        </w:rPr>
        <w:t xml:space="preserve">考核表</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张家港市河道安全监测与巡查项目</w:t>
      </w:r>
      <w:r>
        <w:rPr>
          <w:rFonts w:hint="eastAsia" w:asciiTheme="minorEastAsia" w:hAnsiTheme="minorEastAsia" w:eastAsiaTheme="minorEastAsia" w:cstheme="minorEastAsia"/>
          <w:color w:val="auto"/>
          <w:sz w:val="24"/>
          <w:szCs w:val="24"/>
        </w:rPr>
        <w:t xml:space="preserve">   考核周期：    年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月</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供应商名称：                                   考核日期：    年    月  日</w:t>
      </w:r>
      <w:r/>
    </w:p>
    <w:tbl>
      <w:tblPr>
        <w:tblStyle w:val="936"/>
        <w:tblW w:w="0" w:type="auto"/>
        <w:tblInd w:w="0" w:type="dxa"/>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Layout w:type="autofit"/>
        <w:tblCellMar>
          <w:left w:w="10" w:type="dxa"/>
          <w:top w:w="0" w:type="dxa"/>
          <w:right w:w="10" w:type="dxa"/>
          <w:bottom w:w="0" w:type="dxa"/>
        </w:tblCellMar>
        <w:tblLook w:val="04A0" w:firstRow="1" w:lastRow="0" w:firstColumn="1" w:lastColumn="0" w:noHBand="0" w:noVBand="1"/>
      </w:tblPr>
      <w:tblGrid>
        <w:gridCol w:w="461"/>
        <w:gridCol w:w="1211"/>
        <w:gridCol w:w="6796"/>
        <w:gridCol w:w="289"/>
        <w:gridCol w:w="26"/>
        <w:gridCol w:w="289"/>
        <w:gridCol w:w="289"/>
        <w:gridCol w:w="405"/>
      </w:tblGrid>
      <w:tr>
        <w:trPr>
          <w:tblHeader/>
        </w:trPr>
        <w:tc>
          <w:tcPr>
            <w:shd w:val="clear" w:color="auto" w:fill="d6e4f0"/>
            <w:tcW w:w="461"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shd w:val="clear" w:color="auto" w:fill="d6e4f0"/>
            <w:tcW w:w="1211"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考核模块</w:t>
            </w:r>
            <w:r/>
          </w:p>
        </w:tc>
        <w:tc>
          <w:tcPr>
            <w:shd w:val="clear" w:color="auto" w:fill="d6e4f0"/>
            <w:tcW w:w="6796"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考核内容与评分标准</w:t>
            </w:r>
            <w:r/>
          </w:p>
        </w:tc>
        <w:tc>
          <w:tcPr>
            <w:shd w:val="clear" w:color="auto" w:fill="d6e4f0"/>
            <w:tcW w:w="289"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c>
          <w:tcPr>
            <w:shd w:val="clear" w:color="auto" w:fill="d6e4f0"/>
            <w:tcW w:w="26"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d6e4f0"/>
            <w:tcW w:w="289"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自评</w:t>
            </w:r>
            <w:r/>
          </w:p>
        </w:tc>
        <w:tc>
          <w:tcPr>
            <w:shd w:val="clear" w:color="auto" w:fill="d6e4f0"/>
            <w:tcW w:w="289"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考核</w:t>
            </w:r>
            <w:r/>
          </w:p>
        </w:tc>
        <w:tc>
          <w:tcPr>
            <w:shd w:val="clear" w:color="auto" w:fill="d6e4f0"/>
            <w:tcW w:w="405" w:type="dxa"/>
            <w:vAlign w:val="center"/>
            <w:textDirection w:val="lrTb"/>
            <w:noWrap w:val="false"/>
          </w:tcPr>
          <w:p>
            <w:pPr>
              <w:ind w:firstLine="0"/>
              <w:jc w:val="center"/>
              <w:spacing w:before="60" w:after="6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扣分原因</w:t>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组织管理（10分）</w:t>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人员到岗：项目负责人脱岗每次扣2分，其他人员缺岗1人扣1分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 统一着装：巡查人员未统一着装，每次扣0.5分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 管理制度：考勤、考核、奖惩制度不健全，缺一项扣1分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培训执行：未按计划开展培训，每次扣2分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河道监测（</w:t>
            </w:r>
            <w:r>
              <w:rPr>
                <w:rFonts w:hint="eastAsia" w:asciiTheme="minorEastAsia" w:hAnsiTheme="minorEastAsia" w:eastAsiaTheme="minorEastAsia" w:cstheme="minorEastAsia"/>
                <w:b/>
                <w:color w:val="auto"/>
                <w:sz w:val="21"/>
                <w:szCs w:val="21"/>
                <w:highlight w:val="none"/>
                <w:lang w:val="en-US" w:eastAsia="zh-CN"/>
              </w:rPr>
              <w:t xml:space="preserve">1</w:t>
            </w:r>
            <w:r>
              <w:rPr>
                <w:rFonts w:hint="eastAsia" w:asciiTheme="minorEastAsia" w:hAnsiTheme="minorEastAsia" w:eastAsiaTheme="minorEastAsia" w:cstheme="minorEastAsia"/>
                <w:b/>
                <w:color w:val="auto"/>
                <w:sz w:val="21"/>
                <w:szCs w:val="21"/>
                <w:highlight w:val="none"/>
              </w:rPr>
              <w:t xml:space="preserve">5分）</w:t>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.1 水下扫测：未按合同完成多波束扫测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每条河道</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分，报告质量不符扣2分</w:t>
            </w:r>
            <w:r/>
          </w:p>
        </w:tc>
        <w:tc>
          <w:tcPr>
            <w:tcW w:w="289" w:type="dxa"/>
            <w:vAlign w:val="center"/>
            <w:textDirection w:val="lrTb"/>
            <w:noWrap w:val="false"/>
          </w:tcPr>
          <w:p>
            <w:pPr>
              <w:ind w:firstLine="0"/>
              <w:jc w:val="center"/>
              <w:spacing w:before="40" w:after="40"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.2 沉降监测：未按期完成挡墙监测每次扣2分，异常未上报扣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tc>
        <w:tc>
          <w:tcPr>
            <w:tcW w:w="289" w:type="dxa"/>
            <w:vAlign w:val="center"/>
            <w:textDirection w:val="lrTb"/>
            <w:noWrap w:val="false"/>
          </w:tcPr>
          <w:p>
            <w:pPr>
              <w:ind w:firstLine="0"/>
              <w:jc w:val="center"/>
              <w:spacing w:before="40" w:after="40"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.3 数据真实：监测数据弄虚作假，本项得0分</w:t>
            </w:r>
            <w:r/>
          </w:p>
        </w:tc>
        <w:tc>
          <w:tcPr>
            <w:tcW w:w="289" w:type="dxa"/>
            <w:vAlign w:val="center"/>
            <w:textDirection w:val="lrTb"/>
            <w:noWrap w:val="false"/>
          </w:tcPr>
          <w:p>
            <w:pPr>
              <w:ind w:firstLine="0"/>
              <w:jc w:val="center"/>
              <w:spacing w:before="40" w:after="40"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河道巡查（</w:t>
            </w:r>
            <w:r>
              <w:rPr>
                <w:rFonts w:hint="eastAsia" w:asciiTheme="minorEastAsia" w:hAnsiTheme="minorEastAsia" w:eastAsiaTheme="minorEastAsia" w:cstheme="minorEastAsia"/>
                <w:b/>
                <w:color w:val="auto"/>
                <w:sz w:val="21"/>
                <w:szCs w:val="21"/>
                <w:highlight w:val="none"/>
                <w:lang w:val="en-US" w:eastAsia="zh-CN"/>
              </w:rPr>
              <w:t xml:space="preserve">2</w:t>
            </w:r>
            <w:r>
              <w:rPr>
                <w:rFonts w:hint="eastAsia" w:asciiTheme="minorEastAsia" w:hAnsiTheme="minorEastAsia" w:eastAsiaTheme="minorEastAsia" w:cstheme="minorEastAsia"/>
                <w:b/>
                <w:color w:val="auto"/>
                <w:sz w:val="21"/>
                <w:szCs w:val="21"/>
                <w:highlight w:val="none"/>
              </w:rPr>
              <w:t xml:space="preserve">0分）</w:t>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.1 巡查频次：一类河道每周大于等于1次，二类每月大于等于1次，三类每季大于等于1次，少1次扣2分</w:t>
            </w:r>
            <w:r/>
          </w:p>
        </w:tc>
        <w:tc>
          <w:tcPr>
            <w:shd w:val="clear" w:color="auto" w:fill="auto"/>
            <w:tcW w:w="289" w:type="dxa"/>
            <w:vAlign w:val="center"/>
            <w:textDirection w:val="lrTb"/>
            <w:noWrap w:val="false"/>
          </w:tcPr>
          <w:p>
            <w:pPr>
              <w:ind w:firstLine="0"/>
              <w:jc w:val="center"/>
              <w:spacing w:before="40" w:after="40" w:line="24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.2 巡查记录：记录不规范、照片缺失或与实际不符，每次扣1分</w:t>
            </w:r>
            <w:r/>
          </w:p>
        </w:tc>
        <w:tc>
          <w:tcPr>
            <w:shd w:val="clear" w:color="auto" w:fill="auto"/>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.3 月报提交：未按时提交巡查月报，每次扣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shd w:val="clear" w:color="auto" w:fill="auto"/>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.4 重点任务：重大问题未及时上报</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交办任务</w:t>
            </w:r>
            <w:r>
              <w:rPr>
                <w:rFonts w:hint="eastAsia" w:asciiTheme="minorEastAsia" w:hAnsiTheme="minorEastAsia" w:eastAsiaTheme="minorEastAsia" w:cstheme="minorEastAsia"/>
                <w:color w:val="auto"/>
                <w:sz w:val="21"/>
                <w:szCs w:val="21"/>
                <w:highlight w:val="none"/>
              </w:rPr>
              <w:t xml:space="preserve">未按期完成，每少1次扣2分</w:t>
            </w:r>
            <w:r/>
          </w:p>
        </w:tc>
        <w:tc>
          <w:tcPr>
            <w:shd w:val="clear" w:color="auto" w:fill="auto"/>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水质检测（10分）</w:t>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 检测及时：未按要求完成采样/检测，每次扣2分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 设备配备：检测设备无法正常使用</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每次扣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 数据准确：检测结果偏差较大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大于10%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，每次扣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图斑处理（10分）</w:t>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图斑复核：未在规定时间内完成复核，每</w:t>
            </w:r>
            <w:r>
              <w:rPr>
                <w:rFonts w:hint="eastAsia" w:asciiTheme="minorEastAsia" w:hAnsiTheme="minorEastAsia" w:eastAsiaTheme="minorEastAsia" w:cstheme="minorEastAsia"/>
                <w:color w:val="auto"/>
                <w:sz w:val="21"/>
                <w:szCs w:val="21"/>
                <w:highlight w:val="none"/>
                <w:lang w:val="en-US" w:eastAsia="zh-CN"/>
              </w:rPr>
              <w:t xml:space="preserve">个</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 整改跟踪：交办问题整改跟踪不到位，每</w:t>
            </w:r>
            <w:r>
              <w:rPr>
                <w:rFonts w:hint="eastAsia" w:asciiTheme="minorEastAsia" w:hAnsiTheme="minorEastAsia" w:eastAsiaTheme="minorEastAsia" w:cstheme="minorEastAsia"/>
                <w:color w:val="auto"/>
                <w:sz w:val="21"/>
                <w:szCs w:val="21"/>
                <w:highlight w:val="none"/>
                <w:lang w:val="en-US" w:eastAsia="zh-CN"/>
              </w:rPr>
              <w:t xml:space="preserve">个</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 移动端操作：未按要求使用移动端填报，每次扣1分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平台维护（</w:t>
            </w:r>
            <w:r>
              <w:rPr>
                <w:rFonts w:hint="eastAsia" w:asciiTheme="minorEastAsia" w:hAnsiTheme="minorEastAsia" w:eastAsiaTheme="minorEastAsia" w:cstheme="minorEastAsia"/>
                <w:b/>
                <w:color w:val="auto"/>
                <w:sz w:val="21"/>
                <w:szCs w:val="21"/>
                <w:highlight w:val="none"/>
                <w:lang w:val="en-US" w:eastAsia="zh-CN"/>
              </w:rPr>
              <w:t xml:space="preserve">2</w:t>
            </w:r>
            <w:r>
              <w:rPr>
                <w:rFonts w:hint="eastAsia" w:asciiTheme="minorEastAsia" w:hAnsiTheme="minorEastAsia" w:eastAsiaTheme="minorEastAsia" w:cstheme="minorEastAsia"/>
                <w:b/>
                <w:color w:val="auto"/>
                <w:sz w:val="21"/>
                <w:szCs w:val="21"/>
                <w:highlight w:val="none"/>
              </w:rPr>
              <w:t xml:space="preserve">0分）</w:t>
            </w:r>
            <w:r/>
          </w:p>
        </w:tc>
        <w:tc>
          <w:tcPr>
            <w:tcW w:w="6796" w:type="dxa"/>
            <w:vAlign w:val="center"/>
            <w:textDirection w:val="lrTb"/>
            <w:noWrap w:val="false"/>
          </w:tcPr>
          <w:p>
            <w:pPr>
              <w:ind w:left="0" w:right="0" w:firstLine="0"/>
              <w:jc w:val="left"/>
              <w:spacing w:line="240" w:lineRule="auto"/>
              <w:rPr>
                <w:rFonts w:hint="eastAsia" w:eastAsia="宋体" w:asciiTheme="minorEastAsia" w:hAnsiTheme="minorEastAsia" w:cstheme="minorEastAsia"/>
                <w:color w:val="auto"/>
                <w:sz w:val="21"/>
                <w:szCs w:val="21"/>
                <w:highlight w:val="none"/>
                <w:lang w:eastAsia="zh-CN"/>
              </w:rPr>
            </w:pPr>
            <w:r>
              <w:rPr>
                <w:rFonts w:hint="eastAsia"/>
                <w:highlight w:val="none"/>
                <w:lang w:val="en-US" w:eastAsia="zh-CN"/>
              </w:rPr>
              <w:t xml:space="preserve">6.1</w:t>
            </w:r>
            <w:r>
              <w:rPr>
                <w:highlight w:val="none"/>
              </w:rPr>
              <w:t xml:space="preserve">问题闭环管理</w:t>
            </w:r>
            <w:r>
              <w:rPr>
                <w:rFonts w:hint="eastAsia"/>
                <w:highlight w:val="none"/>
                <w:lang w:eastAsia="zh-CN"/>
              </w:rPr>
              <w:t xml:space="preserve">：</w:t>
            </w:r>
            <w:r>
              <w:rPr>
                <w:rFonts w:hint="eastAsia"/>
                <w:highlight w:val="none"/>
                <w:lang w:val="en-US" w:eastAsia="zh-CN"/>
              </w:rPr>
              <w:t xml:space="preserve">供应商须</w:t>
            </w:r>
            <w:r>
              <w:rPr>
                <w:highlight w:val="none"/>
              </w:rPr>
              <w:t xml:space="preserve">实现巡查问题展示、统计、分析，按采购人要求形成电子台账</w:t>
            </w:r>
            <w:r>
              <w:rPr>
                <w:rFonts w:hint="eastAsia"/>
                <w:highlight w:val="none"/>
                <w:lang w:eastAsia="zh-CN"/>
              </w:rPr>
              <w:t xml:space="preserve">；</w:t>
            </w:r>
            <w:r>
              <w:rPr>
                <w:highlight w:val="none"/>
              </w:rPr>
              <w:t xml:space="preserve">展示/统计/分析功能缺失，台账未按要求生成或字段不完整，</w:t>
            </w:r>
            <w:r>
              <w:rPr>
                <w:rFonts w:hint="eastAsia" w:asciiTheme="minorEastAsia" w:hAnsiTheme="minorEastAsia" w:eastAsiaTheme="minorEastAsia" w:cstheme="minorEastAsia"/>
                <w:color w:val="auto"/>
                <w:sz w:val="21"/>
                <w:szCs w:val="21"/>
                <w:highlight w:val="none"/>
              </w:rPr>
              <w:t xml:space="preserve">每次扣1分</w:t>
            </w:r>
            <w:r>
              <w:rPr>
                <w:rFonts w:hint="eastAsia" w:asciiTheme="minorEastAsia" w:hAnsiTheme="minorEastAsia" w:eastAsiaTheme="minorEastAsia" w:cstheme="minorEastAsia"/>
                <w:color w:val="auto"/>
                <w:sz w:val="21"/>
                <w:szCs w:val="21"/>
                <w:highlight w:val="none"/>
                <w:lang w:eastAsia="zh-CN"/>
              </w:rPr>
              <w:t xml:space="preserve">；</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highlight w:val="none"/>
                <w:lang w:val="en-US" w:eastAsia="zh-CN"/>
              </w:rPr>
              <w:t xml:space="preserve">6.2</w:t>
            </w:r>
            <w:r>
              <w:rPr>
                <w:highlight w:val="none"/>
              </w:rPr>
              <w:t xml:space="preserve">船舶动态管理</w:t>
            </w:r>
            <w:r>
              <w:rPr>
                <w:rFonts w:hint="eastAsia"/>
                <w:highlight w:val="none"/>
                <w:lang w:eastAsia="zh-CN"/>
              </w:rPr>
              <w:t xml:space="preserve">：</w:t>
            </w:r>
            <w:r>
              <w:rPr>
                <w:rFonts w:hint="eastAsia"/>
                <w:highlight w:val="none"/>
                <w:lang w:val="en-US" w:eastAsia="zh-CN"/>
              </w:rPr>
              <w:t xml:space="preserve">供应商须</w:t>
            </w:r>
            <w:r>
              <w:rPr>
                <w:highlight w:val="none"/>
              </w:rPr>
              <w:t xml:space="preserve">实现船舶基础信息、动态信息管理，按考核办法生成绩效综合评估</w:t>
            </w:r>
            <w:r>
              <w:rPr>
                <w:rFonts w:hint="eastAsia"/>
                <w:highlight w:val="none"/>
                <w:lang w:eastAsia="zh-CN"/>
              </w:rPr>
              <w:t xml:space="preserve">；</w:t>
            </w:r>
            <w:r>
              <w:rPr>
                <w:highlight w:val="none"/>
              </w:rPr>
              <w:t xml:space="preserve">基础/动态信息管理缺失，未按考核办法生成绩效评估，</w:t>
            </w:r>
            <w:r>
              <w:rPr>
                <w:rFonts w:hint="eastAsia" w:asciiTheme="minorEastAsia" w:hAnsiTheme="minorEastAsia" w:eastAsiaTheme="minorEastAsia" w:cstheme="minorEastAsia"/>
                <w:color w:val="auto"/>
                <w:sz w:val="21"/>
                <w:szCs w:val="21"/>
                <w:highlight w:val="none"/>
              </w:rPr>
              <w:t xml:space="preserve">每次扣1分</w:t>
            </w:r>
            <w:r>
              <w:rPr>
                <w:rFonts w:hint="eastAsia" w:asciiTheme="minorEastAsia" w:hAnsiTheme="minorEastAsia" w:eastAsiaTheme="minorEastAsia" w:cstheme="minorEastAsia"/>
                <w:color w:val="auto"/>
                <w:sz w:val="21"/>
                <w:szCs w:val="21"/>
                <w:highlight w:val="none"/>
                <w:lang w:eastAsia="zh-CN"/>
              </w:rPr>
              <w:t xml:space="preserve">；</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highlight w:val="none"/>
                <w:lang w:val="en-US" w:eastAsia="zh-CN"/>
              </w:rPr>
              <w:t xml:space="preserve">6.3</w:t>
            </w:r>
            <w:r>
              <w:rPr>
                <w:highlight w:val="none"/>
              </w:rPr>
              <w:t xml:space="preserve">人员动态管理</w:t>
            </w:r>
            <w:r>
              <w:rPr>
                <w:rFonts w:hint="eastAsia"/>
                <w:highlight w:val="none"/>
                <w:lang w:eastAsia="zh-CN"/>
              </w:rPr>
              <w:t xml:space="preserve">：</w:t>
            </w:r>
            <w:r>
              <w:rPr>
                <w:rFonts w:hint="eastAsia"/>
                <w:highlight w:val="none"/>
                <w:lang w:val="en-US" w:eastAsia="zh-CN"/>
              </w:rPr>
              <w:t xml:space="preserve">供应商须</w:t>
            </w:r>
            <w:r>
              <w:rPr>
                <w:highlight w:val="none"/>
              </w:rPr>
              <w:t xml:space="preserve">实现人员基础信息、动态信息管理，按考核办法生成绩效综合评估</w:t>
            </w:r>
            <w:r>
              <w:rPr>
                <w:rFonts w:hint="eastAsia"/>
                <w:highlight w:val="none"/>
                <w:lang w:eastAsia="zh-CN"/>
              </w:rPr>
              <w:t xml:space="preserve">；</w:t>
            </w:r>
            <w:r>
              <w:rPr>
                <w:highlight w:val="none"/>
              </w:rPr>
              <w:t xml:space="preserve">基础/动态信息管理缺失，未按考核办法生成绩效评估，</w:t>
            </w:r>
            <w:r>
              <w:rPr>
                <w:rFonts w:hint="eastAsia" w:asciiTheme="minorEastAsia" w:hAnsiTheme="minorEastAsia" w:eastAsiaTheme="minorEastAsia" w:cstheme="minorEastAsia"/>
                <w:color w:val="auto"/>
                <w:sz w:val="21"/>
                <w:szCs w:val="21"/>
                <w:highlight w:val="none"/>
              </w:rPr>
              <w:t xml:space="preserve">每次扣1分</w:t>
            </w:r>
            <w:r>
              <w:rPr>
                <w:rFonts w:hint="eastAsia" w:asciiTheme="minorEastAsia" w:hAnsiTheme="minorEastAsia" w:eastAsiaTheme="minorEastAsia" w:cstheme="minorEastAsia"/>
                <w:color w:val="auto"/>
                <w:sz w:val="21"/>
                <w:szCs w:val="21"/>
                <w:highlight w:val="none"/>
                <w:lang w:eastAsia="zh-CN"/>
              </w:rPr>
              <w:t xml:space="preserve">；</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highlight w:val="none"/>
                <w:lang w:val="en-US" w:eastAsia="zh-CN"/>
              </w:rPr>
              <w:t xml:space="preserve">6.4</w:t>
            </w:r>
            <w:r>
              <w:rPr>
                <w:highlight w:val="none"/>
              </w:rPr>
              <w:t xml:space="preserve">河湖巡查APP</w:t>
            </w:r>
            <w:r>
              <w:rPr>
                <w:rFonts w:hint="eastAsia"/>
                <w:highlight w:val="none"/>
                <w:lang w:eastAsia="zh-CN"/>
              </w:rPr>
              <w:t xml:space="preserve">：</w:t>
            </w:r>
            <w:r>
              <w:rPr>
                <w:rFonts w:hint="eastAsia"/>
                <w:highlight w:val="none"/>
                <w:lang w:val="en-US" w:eastAsia="zh-CN"/>
              </w:rPr>
              <w:t xml:space="preserve">供应商须按要求进行</w:t>
            </w:r>
            <w:r>
              <w:rPr>
                <w:highlight w:val="none"/>
              </w:rPr>
              <w:t xml:space="preserve">APP问题上报与整改闭环，人员实时定位追踪</w:t>
            </w:r>
            <w:r>
              <w:rPr>
                <w:rFonts w:hint="eastAsia"/>
                <w:highlight w:val="none"/>
                <w:lang w:eastAsia="zh-CN"/>
              </w:rPr>
              <w:t xml:space="preserve">；</w:t>
            </w:r>
            <w:r>
              <w:rPr>
                <w:highlight w:val="none"/>
              </w:rPr>
              <w:t xml:space="preserve">上报/整改功能缺失，实时定位功能缺失，</w:t>
            </w:r>
            <w:r>
              <w:rPr>
                <w:rFonts w:hint="eastAsia" w:asciiTheme="minorEastAsia" w:hAnsiTheme="minorEastAsia" w:eastAsiaTheme="minorEastAsia" w:cstheme="minorEastAsia"/>
                <w:color w:val="auto"/>
                <w:sz w:val="21"/>
                <w:szCs w:val="21"/>
                <w:highlight w:val="none"/>
              </w:rPr>
              <w:t xml:space="preserve">每次扣1分</w:t>
            </w:r>
            <w:r>
              <w:rPr>
                <w:rFonts w:hint="eastAsia" w:asciiTheme="minorEastAsia" w:hAnsiTheme="minorEastAsia" w:eastAsiaTheme="minorEastAsia" w:cstheme="minorEastAsia"/>
                <w:color w:val="auto"/>
                <w:sz w:val="21"/>
                <w:szCs w:val="21"/>
                <w:highlight w:val="none"/>
                <w:lang w:eastAsia="zh-CN"/>
              </w:rPr>
              <w:t xml:space="preserve">；</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安全生产（8分）</w:t>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安全制度：未建立安全制度或未购买保险扣3分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 安全作业：未按规程作业，每次扣1分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 安全事故：一般事故每次扣4分，重大事故本项0分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211" w:type="dxa"/>
            <w:vAlign w:val="center"/>
            <w:vMerge w:val="restart"/>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台账管理（7分）</w:t>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 资料齐全：巡查记录、监测报告等缺失，每项扣1分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 档案规范：资料整理混乱、归档不及时扣2分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46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1" w:type="dxa"/>
            <w:vMerge w:val="continue"/>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6796"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8.3 信息保密：擅自发布信息或泄露涉密数据，本项0分</w:t>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26"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89" w:type="dxa"/>
            <w:vAlign w:val="center"/>
            <w:textDirection w:val="lrTb"/>
            <w:noWrap w:val="false"/>
          </w:tcPr>
          <w:p>
            <w:pPr>
              <w:ind w:firstLine="0"/>
              <w:jc w:val="center"/>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05" w:type="dxa"/>
            <w:vAlign w:val="center"/>
            <w:textDirection w:val="lrTb"/>
            <w:noWrap w:val="false"/>
          </w:tcPr>
          <w:p>
            <w:pPr>
              <w:ind w:firstLine="0"/>
              <w:jc w:val="left"/>
              <w:spacing w:before="40" w:after="40"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gridSpan w:val="2"/>
            <w:shd w:val="clear" w:color="auto" w:fill="ebf5fb"/>
            <w:tcW w:w="1672" w:type="dxa"/>
            <w:vAlign w:val="center"/>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合  计</w:t>
            </w:r>
            <w:r/>
          </w:p>
        </w:tc>
        <w:tc>
          <w:tcPr>
            <w:shd w:val="clear" w:color="auto" w:fill="ebf5fb"/>
            <w:tcW w:w="6796" w:type="dxa"/>
            <w:textDirection w:val="lrTb"/>
            <w:noWrap w:val="false"/>
          </w:tcPr>
          <w:p>
            <w:pPr>
              <w:ind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100分</w:t>
            </w:r>
            <w:r/>
          </w:p>
        </w:tc>
        <w:tc>
          <w:tcPr>
            <w:shd w:val="clear" w:color="auto" w:fill="ebf5fb"/>
            <w:tcW w:w="289" w:type="dxa"/>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ebf5fb"/>
            <w:tcW w:w="26" w:type="dxa"/>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ebf5fb"/>
            <w:tcW w:w="289" w:type="dxa"/>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ebf5fb"/>
            <w:tcW w:w="289" w:type="dxa"/>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ebf5fb"/>
            <w:tcW w:w="405" w:type="dxa"/>
            <w:textDirection w:val="lrTb"/>
            <w:noWrap w:val="false"/>
          </w:tcPr>
          <w:p>
            <w:pPr>
              <w:ind w:firstLine="0"/>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供应商代表签字：                    考核小组成员签字：</w:t>
      </w:r>
      <w:r/>
    </w:p>
    <w:p>
      <w:pPr>
        <w:ind w:firstLine="48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4"/>
          <w:szCs w:val="24"/>
        </w:rPr>
        <w:t xml:space="preserve">日期：    年    月    日            日期：    年    月    日</w:t>
      </w:r>
      <w:r/>
    </w:p>
    <w:p>
      <w:pPr>
        <w:spacing w:line="360" w:lineRule="auto"/>
        <w:rPr>
          <w:rFonts w:hint="eastAsia" w:asciiTheme="minorEastAsia" w:hAnsiTheme="minorEastAsia" w:eastAsiaTheme="minorEastAsia" w:cstheme="minorEastAsia"/>
          <w:color w:val="auto"/>
          <w:sz w:val="21"/>
          <w:szCs w:val="21"/>
        </w:rPr>
        <w:sectPr>
          <w:headerReference w:type="default" r:id="rId10"/>
          <w:footerReference w:type="default" r:id="rId16"/>
          <w:footnotePr/>
          <w:endnotePr/>
          <w:type w:val="nextPage"/>
          <w:pgSz w:w="11906" w:h="16838" w:orient="portrait"/>
          <w:pgMar w:top="1800" w:right="1080" w:bottom="1440" w:left="1080" w:header="720" w:footer="720" w:gutter="0"/>
          <w:cols w:num="1" w:sep="0" w:space="720" w:equalWidth="1"/>
          <w:docGrid w:linePitch="360"/>
        </w:sectPr>
      </w:pPr>
      <w:r>
        <w:rPr>
          <w:rFonts w:hint="eastAsia" w:asciiTheme="minorEastAsia" w:hAnsiTheme="minorEastAsia" w:eastAsiaTheme="minorEastAsia" w:cstheme="minorEastAsia"/>
          <w:color w:val="auto"/>
          <w:sz w:val="21"/>
          <w:szCs w:val="21"/>
        </w:rPr>
      </w:r>
      <w:r/>
    </w:p>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bookmarkStart w:id="178" w:name="_Toc5716"/>
      <w:r/>
      <w:bookmarkStart w:id="179" w:name="_Toc10684"/>
      <w:r/>
      <w:bookmarkStart w:id="180" w:name="_Toc21635"/>
      <w:r/>
      <w:bookmarkStart w:id="181" w:name="_Toc28789"/>
      <w:r/>
      <w:bookmarkStart w:id="182" w:name="_Toc19739"/>
      <w:r/>
      <w:bookmarkStart w:id="183" w:name="_Toc20749"/>
      <w:r/>
      <w:bookmarkStart w:id="184" w:name="_Toc256000013"/>
      <w:r>
        <w:rPr>
          <w:rFonts w:hint="eastAsia" w:ascii="宋体" w:hAnsi="宋体" w:eastAsia="宋体" w:cs="宋体"/>
          <w:b/>
          <w:bCs/>
          <w:color w:val="auto"/>
          <w:sz w:val="32"/>
          <w:szCs w:val="32"/>
          <w:highlight w:val="none"/>
          <w:lang w:val="en-US" w:eastAsia="zh-CN" w:bidi="ar-SA"/>
        </w:rPr>
        <w:t xml:space="preserve">评标方法与评标标准</w:t>
      </w:r>
      <w:bookmarkEnd w:id="178"/>
      <w:r/>
      <w:bookmarkEnd w:id="179"/>
      <w:r/>
      <w:bookmarkEnd w:id="180"/>
      <w:r/>
      <w:bookmarkEnd w:id="181"/>
      <w:r/>
      <w:bookmarkEnd w:id="182"/>
      <w:r/>
      <w:bookmarkEnd w:id="183"/>
      <w:r/>
      <w:r/>
    </w:p>
    <w:p>
      <w:pPr>
        <w:numPr>
          <w:ilvl w:val="0"/>
          <w:numId w:val="0"/>
        </w:numPr>
        <w:ind w:left="0" w:firstLine="482"/>
        <w:jc w:val="left"/>
        <w:keepLines w:val="0"/>
        <w:keepNext w:val="0"/>
        <w:pageBreakBefore w:val="0"/>
        <w:spacing w:line="360" w:lineRule="auto"/>
        <w:widowControl/>
        <w:rPr>
          <w:rFonts w:hint="eastAsia" w:ascii="宋体" w:hAnsi="宋体" w:eastAsia="宋体" w:cs="宋体"/>
          <w:b/>
          <w:bCs/>
          <w:sz w:val="24"/>
          <w:szCs w:val="24"/>
          <w:lang w:bidi="ar"/>
        </w:rPr>
        <w:outlineLvl w:val="1"/>
      </w:pPr>
      <w:r/>
      <w:bookmarkStart w:id="185" w:name="_Toc27727"/>
      <w:r/>
      <w:bookmarkStart w:id="186" w:name="_Toc13020"/>
      <w:r/>
      <w:bookmarkStart w:id="187" w:name="_Toc2578"/>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一</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评标方法与定标原则</w:t>
      </w:r>
      <w:bookmarkEnd w:id="185"/>
      <w:r/>
      <w:bookmarkEnd w:id="186"/>
      <w:r/>
      <w:bookmarkEnd w:id="187"/>
      <w:r>
        <w:rPr>
          <w:rFonts w:hint="eastAsia" w:ascii="宋体" w:hAnsi="宋体" w:eastAsia="宋体" w:cs="宋体"/>
          <w:b/>
          <w:bCs/>
          <w:sz w:val="24"/>
          <w:szCs w:val="24"/>
          <w:lang w:bidi="ar"/>
        </w:rPr>
        <w:t xml:space="preserve"> </w:t>
      </w:r>
      <w:r/>
    </w:p>
    <w:p>
      <w:pPr>
        <w:numPr>
          <w:ilvl w:val="0"/>
          <w:numId w:val="0"/>
        </w:numPr>
        <w:ind w:firstLine="480"/>
        <w:jc w:val="left"/>
        <w:keepLines w:val="0"/>
        <w:keepNext w:val="0"/>
        <w:pageBreakBefore w:val="0"/>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560"/>
        <w:jc w:val="left"/>
        <w:keepLines w:val="0"/>
        <w:keepNext w:val="0"/>
        <w:pageBreakBefore w:val="0"/>
        <w:spacing w:line="360" w:lineRule="auto"/>
        <w:widowControl/>
        <w:rPr>
          <w:rFonts w:hint="eastAsia" w:ascii="宋体" w:hAnsi="宋体" w:eastAsia="宋体" w:cs="宋体"/>
          <w:b/>
          <w:bCs/>
          <w:sz w:val="24"/>
          <w:szCs w:val="24"/>
          <w:lang w:bidi="ar"/>
        </w:rPr>
        <w:outlineLvl w:val="1"/>
      </w:pPr>
      <w:r/>
      <w:bookmarkStart w:id="188" w:name="_Toc31274"/>
      <w:r/>
      <w:bookmarkStart w:id="189" w:name="_Toc28093"/>
      <w:r/>
      <w:bookmarkStart w:id="190" w:name="_Toc7152"/>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二</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评标标准</w:t>
      </w:r>
      <w:bookmarkEnd w:id="188"/>
      <w:r/>
      <w:bookmarkEnd w:id="189"/>
      <w:r/>
      <w:bookmarkEnd w:id="190"/>
      <w:r>
        <w:rPr>
          <w:rFonts w:hint="eastAsia" w:ascii="宋体" w:hAnsi="宋体" w:eastAsia="宋体" w:cs="宋体"/>
          <w:b/>
          <w:bCs/>
          <w:sz w:val="24"/>
          <w:szCs w:val="24"/>
          <w:lang w:bidi="ar"/>
        </w:rPr>
        <w:t xml:space="preserve"> </w:t>
      </w:r>
      <w:r/>
    </w:p>
    <w:p>
      <w:pPr>
        <w:pStyle w:val="988"/>
        <w:ind w:firstLine="500"/>
        <w:jc w:val="both"/>
        <w:spacing w:line="360" w:lineRule="auto"/>
        <w:rPr>
          <w:rFonts w:ascii="宋体" w:hAnsi="宋体" w:eastAsia="宋体" w:cs="宋体"/>
          <w:b/>
          <w:spacing w:val="7"/>
          <w:sz w:val="24"/>
        </w:rPr>
        <w:outlineLvl w:val="9"/>
      </w:pPr>
      <w:r>
        <w:rPr>
          <w:rStyle w:val="935"/>
          <w:rFonts w:ascii="宋体" w:hAnsi="宋体" w:eastAsia="宋体" w:cs="宋体"/>
          <w:b/>
          <w:color w:val="000000"/>
          <w:spacing w:val="7"/>
          <w:sz w:val="24"/>
        </w:rPr>
        <w:t xml:space="preserve">1 价格分</w:t>
      </w:r>
      <w:r>
        <w:rPr>
          <w:rStyle w:val="935"/>
          <w:rFonts w:hint="eastAsia" w:ascii="宋体" w:hAnsi="宋体" w:eastAsia="宋体" w:cs="宋体"/>
          <w:b/>
          <w:color w:val="000000"/>
          <w:spacing w:val="7"/>
          <w:sz w:val="24"/>
          <w:lang w:val="en-US" w:eastAsia="zh-CN"/>
        </w:rPr>
        <w:t xml:space="preserve">20</w:t>
      </w:r>
      <w:r>
        <w:rPr>
          <w:rStyle w:val="935"/>
          <w:rFonts w:ascii="宋体" w:hAnsi="宋体" w:eastAsia="宋体" w:cs="宋体"/>
          <w:b/>
          <w:color w:val="000000"/>
          <w:spacing w:val="7"/>
          <w:sz w:val="24"/>
        </w:rPr>
        <w:t xml:space="preserve">.0 分</w:t>
      </w:r>
      <w:r/>
    </w:p>
    <w:p>
      <w:pPr>
        <w:pStyle w:val="988"/>
        <w:ind w:firstLine="500"/>
        <w:jc w:val="both"/>
        <w:spacing w:line="360" w:lineRule="auto"/>
        <w:rPr>
          <w:rFonts w:ascii="宋体" w:hAnsi="宋体" w:eastAsia="宋体" w:cs="宋体"/>
          <w:b w:val="0"/>
          <w:spacing w:val="7"/>
          <w:sz w:val="24"/>
        </w:rPr>
        <w:outlineLvl w:val="9"/>
      </w:pPr>
      <w:r>
        <w:rPr>
          <w:rStyle w:val="935"/>
          <w:rFonts w:ascii="宋体" w:hAnsi="宋体" w:eastAsia="宋体" w:cs="宋体"/>
          <w:b w:val="0"/>
          <w:color w:val="000000"/>
          <w:spacing w:val="7"/>
          <w:sz w:val="24"/>
        </w:rPr>
        <w:t xml:space="preserve">采用低价优先法计算，即满足招标文件要求且投标价格最低的投标价为评标基准价，其价格分为满分</w:t>
      </w:r>
      <w:r>
        <w:rPr>
          <w:rStyle w:val="935"/>
          <w:rFonts w:hint="eastAsia" w:ascii="宋体" w:hAnsi="宋体" w:eastAsia="宋体" w:cs="宋体"/>
          <w:b w:val="0"/>
          <w:color w:val="000000"/>
          <w:spacing w:val="7"/>
          <w:sz w:val="24"/>
          <w:lang w:val="en-US" w:eastAsia="zh-CN"/>
        </w:rPr>
        <w:t xml:space="preserve">20</w:t>
      </w:r>
      <w:r>
        <w:rPr>
          <w:rStyle w:val="935"/>
          <w:rFonts w:ascii="宋体" w:hAnsi="宋体" w:eastAsia="宋体" w:cs="宋体"/>
          <w:b w:val="0"/>
          <w:color w:val="000000"/>
          <w:spacing w:val="7"/>
          <w:sz w:val="24"/>
        </w:rPr>
        <w:t xml:space="preserve">.0分。其他投标人的价格分统一按照下列公式计算：</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ascii="宋体" w:hAnsi="宋体" w:eastAsia="宋体" w:cs="宋体"/>
          <w:b w:val="0"/>
          <w:color w:val="000000"/>
          <w:spacing w:val="7"/>
          <w:sz w:val="24"/>
          <w:highlight w:val="none"/>
        </w:rPr>
        <w:t xml:space="preserve">投标报价得分=（评标基准价/投标报价）* </w:t>
      </w:r>
      <w:r>
        <w:rPr>
          <w:rStyle w:val="935"/>
          <w:rFonts w:hint="eastAsia" w:ascii="宋体" w:hAnsi="宋体" w:eastAsia="宋体" w:cs="宋体"/>
          <w:b w:val="0"/>
          <w:color w:val="000000"/>
          <w:spacing w:val="7"/>
          <w:sz w:val="24"/>
          <w:highlight w:val="none"/>
          <w:lang w:val="en-US" w:eastAsia="zh-CN"/>
        </w:rPr>
        <w:t xml:space="preserve">20</w:t>
      </w:r>
      <w:r>
        <w:rPr>
          <w:rStyle w:val="935"/>
          <w:rFonts w:ascii="宋体" w:hAnsi="宋体" w:eastAsia="宋体" w:cs="宋体"/>
          <w:b w:val="0"/>
          <w:color w:val="000000"/>
          <w:spacing w:val="7"/>
          <w:sz w:val="24"/>
          <w:highlight w:val="none"/>
        </w:rPr>
        <w:t xml:space="preserve">.0% * 100（保留</w:t>
      </w:r>
      <w:r>
        <w:rPr>
          <w:rStyle w:val="935"/>
          <w:rFonts w:hint="eastAsia" w:ascii="宋体" w:hAnsi="宋体" w:eastAsia="宋体" w:cs="宋体"/>
          <w:b w:val="0"/>
          <w:color w:val="000000"/>
          <w:spacing w:val="7"/>
          <w:sz w:val="24"/>
          <w:highlight w:val="none"/>
          <w:lang w:val="en-US" w:eastAsia="zh-CN"/>
        </w:rPr>
        <w:t xml:space="preserve">两</w:t>
      </w:r>
      <w:r>
        <w:rPr>
          <w:rStyle w:val="935"/>
          <w:rFonts w:ascii="宋体" w:hAnsi="宋体" w:eastAsia="宋体" w:cs="宋体"/>
          <w:b w:val="0"/>
          <w:color w:val="000000"/>
          <w:spacing w:val="7"/>
          <w:sz w:val="24"/>
          <w:highlight w:val="none"/>
        </w:rPr>
        <w:t xml:space="preserve">位小数）；</w:t>
      </w:r>
      <w:r/>
    </w:p>
    <w:p>
      <w:pPr>
        <w:pStyle w:val="988"/>
        <w:ind w:firstLine="500"/>
        <w:jc w:val="both"/>
        <w:spacing w:line="360" w:lineRule="auto"/>
        <w:rPr>
          <w:rFonts w:ascii="宋体" w:hAnsi="宋体" w:eastAsia="宋体" w:cs="宋体"/>
          <w:b/>
          <w:spacing w:val="7"/>
          <w:sz w:val="24"/>
          <w:highlight w:val="none"/>
        </w:rPr>
        <w:outlineLvl w:val="9"/>
      </w:pPr>
      <w:r>
        <w:rPr>
          <w:rStyle w:val="935"/>
          <w:rFonts w:ascii="宋体" w:hAnsi="宋体" w:eastAsia="宋体" w:cs="宋体"/>
          <w:b/>
          <w:color w:val="000000"/>
          <w:spacing w:val="7"/>
          <w:sz w:val="24"/>
          <w:highlight w:val="none"/>
        </w:rPr>
        <w:t xml:space="preserve">2 技术方案</w:t>
      </w:r>
      <w:r>
        <w:rPr>
          <w:rStyle w:val="935"/>
          <w:rFonts w:hint="eastAsia" w:ascii="宋体" w:hAnsi="宋体" w:eastAsia="宋体" w:cs="宋体"/>
          <w:b/>
          <w:color w:val="000000"/>
          <w:spacing w:val="7"/>
          <w:sz w:val="24"/>
          <w:highlight w:val="none"/>
          <w:lang w:val="en-US" w:eastAsia="zh-CN"/>
        </w:rPr>
        <w:t xml:space="preserve">48</w:t>
      </w:r>
      <w:r>
        <w:rPr>
          <w:rStyle w:val="935"/>
          <w:rFonts w:ascii="宋体" w:hAnsi="宋体" w:eastAsia="宋体" w:cs="宋体"/>
          <w:b/>
          <w:color w:val="000000"/>
          <w:spacing w:val="7"/>
          <w:sz w:val="24"/>
          <w:highlight w:val="none"/>
        </w:rPr>
        <w:t xml:space="preserve">.0 分</w:t>
      </w:r>
      <w:r/>
    </w:p>
    <w:p>
      <w:pPr>
        <w:pStyle w:val="988"/>
        <w:ind w:firstLine="500"/>
        <w:jc w:val="both"/>
        <w:spacing w:line="360" w:lineRule="auto"/>
        <w:rPr>
          <w:rFonts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lang w:val="en-US" w:eastAsia="zh-CN"/>
        </w:rPr>
        <w:t xml:space="preserve">概况：</w:t>
      </w:r>
      <w:r>
        <w:rPr>
          <w:rStyle w:val="935"/>
          <w:rFonts w:hint="eastAsia" w:ascii="宋体" w:hAnsi="宋体" w:eastAsia="宋体" w:cs="宋体"/>
          <w:b w:val="0"/>
          <w:color w:val="000000"/>
          <w:spacing w:val="7"/>
          <w:sz w:val="24"/>
          <w:highlight w:val="none"/>
          <w:lang w:val="en-US" w:eastAsia="zh-CN"/>
        </w:rPr>
        <w:t xml:space="preserve">城区河段不少于16公里，涵盖东横河、谷渎港、新市河、新沙河等城区段；河势不稳定河段不少于10公里，涵盖走马塘、十字港等部分河段；具体根据项目实际情况确定；投标供应商须进行水下地形多波束对比扫测，形成3D扫测图及水底扫床报告；投标供应商须在合同期内每年对二干河10.6公里新建挡墙沉降位移进行对比监测；投标供应商需配合做好水域面积补偿相关现场测量与资料整理工作。具体技术方案评分如下——</w:t>
      </w:r>
      <w:r/>
    </w:p>
    <w:p>
      <w:pPr>
        <w:pStyle w:val="988"/>
        <w:ind w:firstLine="500"/>
        <w:jc w:val="both"/>
        <w:spacing w:line="360" w:lineRule="auto"/>
        <w:rPr>
          <w:rFonts w:ascii="宋体" w:hAnsi="宋体" w:eastAsia="宋体" w:cs="宋体"/>
          <w:b/>
          <w:bCs/>
          <w:spacing w:val="7"/>
          <w:sz w:val="24"/>
          <w:highlight w:val="none"/>
        </w:rPr>
        <w:outlineLvl w:val="9"/>
      </w:pPr>
      <w:r>
        <w:rPr>
          <w:rStyle w:val="935"/>
          <w:rFonts w:ascii="宋体" w:hAnsi="宋体" w:eastAsia="宋体" w:cs="宋体"/>
          <w:b/>
          <w:bCs/>
          <w:color w:val="000000"/>
          <w:spacing w:val="7"/>
          <w:sz w:val="24"/>
          <w:highlight w:val="none"/>
        </w:rPr>
        <w:t xml:space="preserve">2.1.服务方案</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lang w:val="en-US" w:eastAsia="zh-CN"/>
        </w:rPr>
        <w:t xml:space="preserve">1）</w:t>
      </w:r>
      <w:r>
        <w:rPr>
          <w:rStyle w:val="935"/>
          <w:rFonts w:hint="eastAsia" w:ascii="宋体" w:hAnsi="宋体" w:eastAsia="宋体" w:cs="宋体"/>
          <w:b/>
          <w:bCs/>
          <w:color w:val="000000"/>
          <w:spacing w:val="7"/>
          <w:sz w:val="24"/>
          <w:highlight w:val="none"/>
        </w:rPr>
        <w:t xml:space="preserve">项目现状分析（3分）</w:t>
      </w:r>
      <w:r>
        <w:rPr>
          <w:rStyle w:val="935"/>
          <w:rFonts w:hint="eastAsia" w:ascii="宋体" w:hAnsi="宋体" w:eastAsia="宋体" w:cs="宋体"/>
          <w:b w:val="0"/>
          <w:color w:val="000000"/>
          <w:spacing w:val="7"/>
          <w:sz w:val="24"/>
          <w:highlight w:val="none"/>
        </w:rPr>
        <w:t xml:space="preserve">：结合项目水系特征、生态现状、问题及治理需求系统分析，内容需数据支撑且契合项目目标。分析全面、数据详实、结论针对性强得3分；基本完整但数据不足得2分；有明显缺失或结论关联度低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rPr>
        <w:t xml:space="preserve">2）河道分布状况分析（3分）</w:t>
      </w:r>
      <w:r>
        <w:rPr>
          <w:rStyle w:val="935"/>
          <w:rFonts w:hint="eastAsia" w:ascii="宋体" w:hAnsi="宋体" w:eastAsia="宋体" w:cs="宋体"/>
          <w:b w:val="0"/>
          <w:color w:val="000000"/>
          <w:spacing w:val="7"/>
          <w:sz w:val="24"/>
          <w:highlight w:val="none"/>
        </w:rPr>
        <w:t xml:space="preserve">：根据项目分布、等级、长度/面积等信息，结合重点河道说明。分布信息准确、重点覆盖全面、划分清晰得3分；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rPr>
        <w:t xml:space="preserve">3）河道监测方案（3分）</w:t>
      </w:r>
      <w:r>
        <w:rPr>
          <w:rStyle w:val="935"/>
          <w:rFonts w:hint="eastAsia" w:ascii="宋体" w:hAnsi="宋体" w:eastAsia="宋体" w:cs="宋体"/>
          <w:b w:val="0"/>
          <w:color w:val="000000"/>
          <w:spacing w:val="7"/>
          <w:sz w:val="24"/>
          <w:highlight w:val="none"/>
        </w:rPr>
        <w:t xml:space="preserve">：包含水下地形扫测、挡墙监测等技术流程，明确监测频率、设备、数据处理及成果交付标准。</w:t>
      </w:r>
      <w:r>
        <w:rPr>
          <w:rStyle w:val="935"/>
          <w:rFonts w:hint="eastAsia" w:ascii="宋体" w:hAnsi="宋体" w:eastAsia="宋体" w:cs="宋体"/>
          <w:b w:val="0"/>
          <w:color w:val="000000"/>
          <w:spacing w:val="7"/>
          <w:sz w:val="24"/>
          <w:highlight w:val="none"/>
          <w:lang w:val="en-US" w:eastAsia="zh-CN"/>
        </w:rPr>
        <w:t xml:space="preserve">描述清晰、详细、完整</w:t>
      </w:r>
      <w:r>
        <w:rPr>
          <w:rStyle w:val="935"/>
          <w:rFonts w:hint="eastAsia" w:ascii="宋体" w:hAnsi="宋体" w:eastAsia="宋体" w:cs="宋体"/>
          <w:b w:val="0"/>
          <w:color w:val="000000"/>
          <w:spacing w:val="7"/>
          <w:sz w:val="24"/>
          <w:highlight w:val="none"/>
        </w:rPr>
        <w:t xml:space="preserve">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rPr>
        <w:t xml:space="preserve">4）河道巡查方案（3分）</w:t>
      </w:r>
      <w:r>
        <w:rPr>
          <w:rStyle w:val="935"/>
          <w:rFonts w:hint="eastAsia" w:ascii="宋体" w:hAnsi="宋体" w:eastAsia="宋体" w:cs="宋体"/>
          <w:b w:val="0"/>
          <w:color w:val="000000"/>
          <w:spacing w:val="7"/>
          <w:sz w:val="24"/>
          <w:highlight w:val="none"/>
        </w:rPr>
        <w:t xml:space="preserve">：明确日常及重点巡查的频次、范围、内容及记录要求，符合苏州河道巡查规范。</w:t>
      </w:r>
      <w:r>
        <w:rPr>
          <w:rStyle w:val="935"/>
          <w:rFonts w:hint="eastAsia" w:ascii="宋体" w:hAnsi="宋体" w:eastAsia="宋体" w:cs="宋体"/>
          <w:b w:val="0"/>
          <w:color w:val="000000"/>
          <w:spacing w:val="7"/>
          <w:sz w:val="24"/>
          <w:highlight w:val="none"/>
          <w:lang w:val="en-US" w:eastAsia="zh-CN"/>
        </w:rPr>
        <w:t xml:space="preserve">描述清晰、详细、完整</w:t>
      </w:r>
      <w:r>
        <w:rPr>
          <w:rStyle w:val="935"/>
          <w:rFonts w:hint="eastAsia" w:ascii="宋体" w:hAnsi="宋体" w:eastAsia="宋体" w:cs="宋体"/>
          <w:b w:val="0"/>
          <w:color w:val="000000"/>
          <w:spacing w:val="7"/>
          <w:sz w:val="24"/>
          <w:highlight w:val="none"/>
        </w:rPr>
        <w:t xml:space="preserve">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rPr>
        <w:t xml:space="preserve">5）水体水质检测方案（3分）</w:t>
      </w:r>
      <w:r>
        <w:rPr>
          <w:rStyle w:val="935"/>
          <w:rFonts w:hint="eastAsia" w:ascii="宋体" w:hAnsi="宋体" w:eastAsia="宋体" w:cs="宋体"/>
          <w:b w:val="0"/>
          <w:color w:val="000000"/>
          <w:spacing w:val="7"/>
          <w:sz w:val="24"/>
          <w:highlight w:val="none"/>
        </w:rPr>
        <w:t xml:space="preserve">：明确水质快检设备、流程、上报机制，说明采样点设置及与第三方协作方式。</w:t>
      </w:r>
      <w:r>
        <w:rPr>
          <w:rStyle w:val="935"/>
          <w:rFonts w:hint="eastAsia" w:ascii="宋体" w:hAnsi="宋体" w:eastAsia="宋体" w:cs="宋体"/>
          <w:b w:val="0"/>
          <w:color w:val="000000"/>
          <w:spacing w:val="7"/>
          <w:sz w:val="24"/>
          <w:highlight w:val="none"/>
          <w:lang w:val="en-US" w:eastAsia="zh-CN"/>
        </w:rPr>
        <w:t xml:space="preserve">描述清晰、详细、完整</w:t>
      </w:r>
      <w:r>
        <w:rPr>
          <w:rStyle w:val="935"/>
          <w:rFonts w:hint="eastAsia" w:ascii="宋体" w:hAnsi="宋体" w:eastAsia="宋体" w:cs="宋体"/>
          <w:b w:val="0"/>
          <w:color w:val="000000"/>
          <w:spacing w:val="7"/>
          <w:sz w:val="24"/>
          <w:highlight w:val="none"/>
        </w:rPr>
        <w:t xml:space="preserve">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bCs/>
          <w:color w:val="000000"/>
          <w:spacing w:val="7"/>
          <w:sz w:val="24"/>
          <w:highlight w:val="none"/>
        </w:rPr>
        <w:t xml:space="preserve">6）遥感图斑及交办问题处理方案（3分）</w:t>
      </w:r>
      <w:r>
        <w:rPr>
          <w:rStyle w:val="935"/>
          <w:rFonts w:hint="eastAsia" w:ascii="宋体" w:hAnsi="宋体" w:eastAsia="宋体" w:cs="宋体"/>
          <w:b w:val="0"/>
          <w:color w:val="000000"/>
          <w:spacing w:val="7"/>
          <w:sz w:val="24"/>
          <w:highlight w:val="none"/>
        </w:rPr>
        <w:t xml:space="preserve">：包含图斑复核流程、交办问题跟踪及移动端操作规范，明确整改闭环管理要求。</w:t>
      </w:r>
      <w:r>
        <w:rPr>
          <w:rStyle w:val="935"/>
          <w:rFonts w:hint="eastAsia" w:ascii="宋体" w:hAnsi="宋体" w:eastAsia="宋体" w:cs="宋体"/>
          <w:b w:val="0"/>
          <w:color w:val="000000"/>
          <w:spacing w:val="7"/>
          <w:sz w:val="24"/>
          <w:highlight w:val="none"/>
          <w:lang w:val="en-US" w:eastAsia="zh-CN"/>
        </w:rPr>
        <w:t xml:space="preserve">描述清晰、详细、完整</w:t>
      </w:r>
      <w:r>
        <w:rPr>
          <w:rStyle w:val="935"/>
          <w:rFonts w:hint="eastAsia" w:ascii="宋体" w:hAnsi="宋体" w:eastAsia="宋体" w:cs="宋体"/>
          <w:b w:val="0"/>
          <w:color w:val="000000"/>
          <w:spacing w:val="7"/>
          <w:sz w:val="24"/>
          <w:highlight w:val="none"/>
        </w:rPr>
        <w:t xml:space="preserve">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lang w:val="en-US" w:eastAsia="zh-CN"/>
        </w:rPr>
        <w:outlineLvl w:val="9"/>
      </w:pPr>
      <w:r>
        <w:rPr>
          <w:rStyle w:val="935"/>
          <w:rFonts w:hint="eastAsia" w:ascii="宋体" w:hAnsi="宋体" w:eastAsia="宋体" w:cs="宋体"/>
          <w:b/>
          <w:bCs/>
          <w:color w:val="000000"/>
          <w:spacing w:val="7"/>
          <w:sz w:val="24"/>
          <w:highlight w:val="none"/>
        </w:rPr>
        <w:t xml:space="preserve">7）河湖管理软件平台维护方案（3分）</w:t>
      </w:r>
      <w:r>
        <w:rPr>
          <w:rStyle w:val="935"/>
          <w:rFonts w:hint="eastAsia" w:ascii="宋体" w:hAnsi="宋体" w:eastAsia="宋体" w:cs="宋体"/>
          <w:b w:val="0"/>
          <w:color w:val="000000"/>
          <w:spacing w:val="7"/>
          <w:sz w:val="24"/>
          <w:highlight w:val="none"/>
        </w:rPr>
        <w:t xml:space="preserve">：明确平台日常维护、故障响应及数据安全措施，符合河湖信息化建设要求。</w:t>
      </w:r>
      <w:r>
        <w:rPr>
          <w:rStyle w:val="935"/>
          <w:rFonts w:hint="eastAsia" w:ascii="宋体" w:hAnsi="宋体" w:eastAsia="宋体" w:cs="宋体"/>
          <w:b w:val="0"/>
          <w:color w:val="000000"/>
          <w:spacing w:val="7"/>
          <w:sz w:val="24"/>
          <w:highlight w:val="none"/>
          <w:lang w:val="en-US" w:eastAsia="zh-CN"/>
        </w:rPr>
        <w:t xml:space="preserve">具体如下——</w:t>
      </w:r>
      <w:r/>
    </w:p>
    <w:p>
      <w:pPr>
        <w:pStyle w:val="988"/>
        <w:ind w:firstLine="500"/>
        <w:jc w:val="both"/>
        <w:spacing w:line="360" w:lineRule="auto"/>
        <w:rPr>
          <w:rFonts w:hint="default" w:ascii="宋体" w:hAnsi="宋体" w:eastAsia="宋体" w:cs="宋体"/>
          <w:b w:val="0"/>
          <w:color w:val="000000"/>
          <w:spacing w:val="7"/>
          <w:sz w:val="24"/>
          <w:highlight w:val="none"/>
          <w:lang w:val="en-US" w:eastAsia="zh-CN"/>
        </w:rPr>
        <w:outlineLvl w:val="9"/>
      </w:pPr>
      <w:r>
        <w:rPr>
          <w:rStyle w:val="935"/>
          <w:rFonts w:hint="default" w:ascii="宋体" w:hAnsi="宋体" w:eastAsia="宋体" w:cs="宋体"/>
          <w:b w:val="0"/>
          <w:color w:val="000000"/>
          <w:spacing w:val="7"/>
          <w:sz w:val="24"/>
          <w:highlight w:val="none"/>
          <w:lang w:val="en-US" w:eastAsia="zh-CN"/>
        </w:rPr>
        <w:t xml:space="preserve">（1）负责河湖管理软件平台的日常运行维护，确保"党政通"及"今日张家港"两个平台每日稳定、正常运行；</w:t>
      </w:r>
      <w:r/>
    </w:p>
    <w:p>
      <w:pPr>
        <w:pStyle w:val="988"/>
        <w:ind w:firstLine="500"/>
        <w:jc w:val="both"/>
        <w:spacing w:line="360" w:lineRule="auto"/>
        <w:rPr>
          <w:rFonts w:hint="default" w:ascii="宋体" w:hAnsi="宋体" w:eastAsia="宋体" w:cs="宋体"/>
          <w:b w:val="0"/>
          <w:color w:val="000000"/>
          <w:spacing w:val="7"/>
          <w:sz w:val="24"/>
          <w:highlight w:val="none"/>
          <w:lang w:val="en-US" w:eastAsia="zh-CN"/>
        </w:rPr>
        <w:outlineLvl w:val="9"/>
      </w:pPr>
      <w:r>
        <w:rPr>
          <w:rStyle w:val="935"/>
          <w:rFonts w:hint="default" w:ascii="宋体" w:hAnsi="宋体" w:eastAsia="宋体" w:cs="宋体"/>
          <w:b w:val="0"/>
          <w:color w:val="000000"/>
          <w:spacing w:val="7"/>
          <w:sz w:val="24"/>
          <w:highlight w:val="none"/>
          <w:lang w:val="en-US" w:eastAsia="zh-CN"/>
        </w:rPr>
        <w:t xml:space="preserve">（2）承担上述两个平台的数据录入、统计、汇总及动态更新工作，保障数据完整性、准确性与时效性；</w:t>
      </w:r>
      <w:r/>
    </w:p>
    <w:p>
      <w:pPr>
        <w:pStyle w:val="988"/>
        <w:ind w:firstLine="500"/>
        <w:jc w:val="both"/>
        <w:spacing w:line="360" w:lineRule="auto"/>
        <w:rPr>
          <w:rFonts w:hint="default" w:ascii="宋体" w:hAnsi="宋体" w:eastAsia="宋体" w:cs="宋体"/>
          <w:b w:val="0"/>
          <w:color w:val="000000"/>
          <w:spacing w:val="7"/>
          <w:sz w:val="24"/>
          <w:highlight w:val="none"/>
          <w:lang w:val="en-US" w:eastAsia="zh-CN"/>
        </w:rPr>
        <w:outlineLvl w:val="9"/>
      </w:pPr>
      <w:r>
        <w:rPr>
          <w:rStyle w:val="935"/>
          <w:rFonts w:hint="default" w:ascii="宋体" w:hAnsi="宋体" w:eastAsia="宋体" w:cs="宋体"/>
          <w:b w:val="0"/>
          <w:color w:val="000000"/>
          <w:spacing w:val="7"/>
          <w:sz w:val="24"/>
          <w:highlight w:val="none"/>
          <w:lang w:val="en-US" w:eastAsia="zh-CN"/>
        </w:rPr>
        <w:t xml:space="preserve">（3）建立平台运行台账，定期排查系统隐患，及时上报并处置异常情况，确保平台服务连续可靠；</w:t>
      </w:r>
      <w:r/>
    </w:p>
    <w:p>
      <w:pPr>
        <w:pStyle w:val="988"/>
        <w:ind w:firstLine="500"/>
        <w:jc w:val="both"/>
        <w:spacing w:line="360" w:lineRule="auto"/>
        <w:rPr>
          <w:rFonts w:hint="default" w:ascii="宋体" w:hAnsi="宋体" w:eastAsia="宋体" w:cs="宋体"/>
          <w:b w:val="0"/>
          <w:color w:val="000000"/>
          <w:spacing w:val="7"/>
          <w:sz w:val="24"/>
          <w:highlight w:val="none"/>
          <w:lang w:val="en-US" w:eastAsia="zh-CN"/>
        </w:rPr>
        <w:outlineLvl w:val="9"/>
      </w:pPr>
      <w:r>
        <w:rPr>
          <w:rStyle w:val="935"/>
          <w:rFonts w:hint="default" w:ascii="宋体" w:hAnsi="宋体" w:eastAsia="宋体" w:cs="宋体"/>
          <w:b w:val="0"/>
          <w:color w:val="000000"/>
          <w:spacing w:val="7"/>
          <w:sz w:val="24"/>
          <w:highlight w:val="none"/>
          <w:lang w:val="en-US" w:eastAsia="zh-CN"/>
        </w:rPr>
        <w:t xml:space="preserve">（4）"党政通"及"今日张家港"两个平台的正常使用维护费用已含在本项目投标报价中，投标人须自行承担，招标人不再另行支付；</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lang w:val="en-US" w:eastAsia="zh-CN"/>
        </w:rPr>
        <w:t xml:space="preserve">描述清晰、详细、完整</w:t>
      </w:r>
      <w:r>
        <w:rPr>
          <w:rStyle w:val="935"/>
          <w:rFonts w:hint="eastAsia" w:ascii="宋体" w:hAnsi="宋体" w:eastAsia="宋体" w:cs="宋体"/>
          <w:b w:val="0"/>
          <w:color w:val="000000"/>
          <w:spacing w:val="7"/>
          <w:sz w:val="24"/>
          <w:highlight w:val="none"/>
        </w:rPr>
        <w:t xml:space="preserve">得3分；</w:t>
      </w:r>
      <w:r>
        <w:rPr>
          <w:rStyle w:val="935"/>
          <w:rFonts w:hint="eastAsia" w:ascii="宋体" w:hAnsi="宋体" w:eastAsia="宋体" w:cs="宋体"/>
          <w:b w:val="0"/>
          <w:color w:val="000000"/>
          <w:spacing w:val="7"/>
          <w:sz w:val="24"/>
          <w:highlight w:val="none"/>
          <w:lang w:val="en-US" w:eastAsia="zh-CN"/>
        </w:rPr>
        <w:t xml:space="preserve">描述一般</w:t>
      </w:r>
      <w:r>
        <w:rPr>
          <w:rStyle w:val="935"/>
          <w:rFonts w:hint="eastAsia" w:ascii="宋体" w:hAnsi="宋体" w:eastAsia="宋体" w:cs="宋体"/>
          <w:b w:val="0"/>
          <w:color w:val="000000"/>
          <w:spacing w:val="7"/>
          <w:sz w:val="24"/>
          <w:highlight w:val="none"/>
        </w:rPr>
        <w:t xml:space="preserve">得2分；</w:t>
      </w:r>
      <w:r>
        <w:rPr>
          <w:rStyle w:val="935"/>
          <w:rFonts w:hint="eastAsia" w:ascii="宋体" w:hAnsi="宋体" w:eastAsia="宋体" w:cs="宋体"/>
          <w:b w:val="0"/>
          <w:color w:val="000000"/>
          <w:spacing w:val="7"/>
          <w:sz w:val="24"/>
          <w:highlight w:val="none"/>
          <w:lang w:val="en-US" w:eastAsia="zh-CN"/>
        </w:rPr>
        <w:t xml:space="preserve">描述有误或简略</w:t>
      </w:r>
      <w:r>
        <w:rPr>
          <w:rStyle w:val="935"/>
          <w:rFonts w:hint="eastAsia" w:ascii="宋体" w:hAnsi="宋体" w:eastAsia="宋体" w:cs="宋体"/>
          <w:b w:val="0"/>
          <w:color w:val="000000"/>
          <w:spacing w:val="7"/>
          <w:sz w:val="24"/>
          <w:highlight w:val="none"/>
        </w:rPr>
        <w:t xml:space="preserve">得1分；未提供得0分。</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【0/1/2/3/4/5/6/7/8/9/10/11/12/13/14/15/16/17/18/19/20/21】</w:t>
      </w:r>
      <w:r/>
    </w:p>
    <w:p>
      <w:pPr>
        <w:pStyle w:val="988"/>
        <w:ind w:firstLine="500"/>
        <w:jc w:val="both"/>
        <w:spacing w:line="360" w:lineRule="auto"/>
        <w:rPr>
          <w:rFonts w:ascii="宋体" w:hAnsi="宋体" w:eastAsia="宋体" w:cs="宋体"/>
          <w:b/>
          <w:bCs/>
          <w:spacing w:val="7"/>
          <w:sz w:val="24"/>
          <w:highlight w:val="none"/>
        </w:rPr>
        <w:outlineLvl w:val="9"/>
      </w:pPr>
      <w:r>
        <w:rPr>
          <w:rStyle w:val="935"/>
          <w:rFonts w:ascii="宋体" w:hAnsi="宋体" w:eastAsia="宋体" w:cs="宋体"/>
          <w:b/>
          <w:bCs/>
          <w:color w:val="000000"/>
          <w:spacing w:val="7"/>
          <w:sz w:val="24"/>
          <w:highlight w:val="none"/>
        </w:rPr>
        <w:t xml:space="preserve">2.</w:t>
      </w:r>
      <w:r>
        <w:rPr>
          <w:rStyle w:val="935"/>
          <w:rFonts w:hint="eastAsia" w:ascii="宋体" w:hAnsi="宋体" w:eastAsia="宋体" w:cs="宋体"/>
          <w:b/>
          <w:bCs/>
          <w:color w:val="000000"/>
          <w:spacing w:val="7"/>
          <w:sz w:val="24"/>
          <w:highlight w:val="none"/>
          <w:lang w:val="en-US" w:eastAsia="zh-CN"/>
        </w:rPr>
        <w:t xml:space="preserve">2</w:t>
      </w:r>
      <w:r>
        <w:rPr>
          <w:rStyle w:val="935"/>
          <w:rFonts w:ascii="宋体" w:hAnsi="宋体" w:eastAsia="宋体" w:cs="宋体"/>
          <w:b/>
          <w:bCs/>
          <w:color w:val="000000"/>
          <w:spacing w:val="7"/>
          <w:sz w:val="24"/>
          <w:highlight w:val="none"/>
        </w:rPr>
        <w:t xml:space="preserve">.管理机制</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根据招标文件的要求提供管理机制方案，内容需包括项目管理架构、人员及设备保障机制、成果管理、项目风险管理与控制等。方案完全包含上述内容且有实质性意义的，得6分；方案包含三项目上述内容且有实质性意义的，得4分；方案包含上述内容少于三项但有实质性意义的，得2分；方案无实质性意义或不提供的不得分。【0/2/4/6】</w:t>
      </w:r>
      <w:r/>
    </w:p>
    <w:p>
      <w:pPr>
        <w:pStyle w:val="988"/>
        <w:ind w:firstLine="500"/>
        <w:jc w:val="both"/>
        <w:spacing w:line="360" w:lineRule="auto"/>
        <w:rPr>
          <w:rFonts w:ascii="宋体" w:hAnsi="宋体" w:eastAsia="宋体" w:cs="宋体"/>
          <w:b/>
          <w:bCs/>
          <w:spacing w:val="7"/>
          <w:sz w:val="24"/>
          <w:highlight w:val="none"/>
        </w:rPr>
        <w:outlineLvl w:val="9"/>
      </w:pPr>
      <w:r>
        <w:rPr>
          <w:rStyle w:val="935"/>
          <w:rFonts w:ascii="宋体" w:hAnsi="宋体" w:eastAsia="宋体" w:cs="宋体"/>
          <w:b/>
          <w:bCs/>
          <w:color w:val="000000"/>
          <w:spacing w:val="7"/>
          <w:sz w:val="24"/>
          <w:highlight w:val="none"/>
        </w:rPr>
        <w:t xml:space="preserve">2.</w:t>
      </w:r>
      <w:r>
        <w:rPr>
          <w:rStyle w:val="935"/>
          <w:rFonts w:hint="eastAsia" w:ascii="宋体" w:hAnsi="宋体" w:eastAsia="宋体" w:cs="宋体"/>
          <w:b/>
          <w:bCs/>
          <w:color w:val="000000"/>
          <w:spacing w:val="7"/>
          <w:sz w:val="24"/>
          <w:highlight w:val="none"/>
          <w:lang w:val="en-US" w:eastAsia="zh-CN"/>
        </w:rPr>
        <w:t xml:space="preserve">3</w:t>
      </w:r>
      <w:r>
        <w:rPr>
          <w:rStyle w:val="935"/>
          <w:rFonts w:ascii="宋体" w:hAnsi="宋体" w:eastAsia="宋体" w:cs="宋体"/>
          <w:b/>
          <w:bCs/>
          <w:color w:val="000000"/>
          <w:spacing w:val="7"/>
          <w:sz w:val="24"/>
          <w:highlight w:val="none"/>
        </w:rPr>
        <w:t xml:space="preserve">.工作计划</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根据招标文件的要求提供工作计划，内容需包含项目实施计划、实施周期、进度安排、工作流程等。计划完全包含上述内容且有实质性意义的，得4分；计划包含三项目上述内容且有实质性意义的，得3分；计划包含上述内容二项且有实质性意义的，得2分；计划包含上述内容少于二项，但有实质性意义的，得1分；方案无实质性意义或不提供的不得分。【0/1/2/3/4</w:t>
      </w:r>
      <w:r>
        <w:rPr>
          <w:rStyle w:val="935"/>
          <w:rFonts w:ascii="宋体" w:hAnsi="宋体" w:eastAsia="宋体" w:cs="宋体"/>
          <w:b w:val="0"/>
          <w:color w:val="000000"/>
          <w:spacing w:val="7"/>
          <w:sz w:val="24"/>
          <w:highlight w:val="none"/>
        </w:rPr>
        <w:t xml:space="preserve">】</w:t>
      </w:r>
      <w:r/>
    </w:p>
    <w:p>
      <w:pPr>
        <w:pStyle w:val="988"/>
        <w:ind w:firstLine="500"/>
        <w:jc w:val="both"/>
        <w:spacing w:line="360" w:lineRule="auto"/>
        <w:rPr>
          <w:rFonts w:ascii="宋体" w:hAnsi="宋体" w:eastAsia="宋体" w:cs="宋体"/>
          <w:b/>
          <w:bCs/>
          <w:spacing w:val="7"/>
          <w:sz w:val="24"/>
          <w:highlight w:val="none"/>
        </w:rPr>
        <w:outlineLvl w:val="9"/>
      </w:pPr>
      <w:r>
        <w:rPr>
          <w:rStyle w:val="935"/>
          <w:rFonts w:ascii="宋体" w:hAnsi="宋体" w:eastAsia="宋体" w:cs="宋体"/>
          <w:b/>
          <w:bCs/>
          <w:color w:val="000000"/>
          <w:spacing w:val="7"/>
          <w:sz w:val="24"/>
          <w:highlight w:val="none"/>
        </w:rPr>
        <w:t xml:space="preserve">2.</w:t>
      </w:r>
      <w:r>
        <w:rPr>
          <w:rStyle w:val="935"/>
          <w:rFonts w:hint="eastAsia" w:ascii="宋体" w:hAnsi="宋体" w:eastAsia="宋体" w:cs="宋体"/>
          <w:b/>
          <w:bCs/>
          <w:color w:val="000000"/>
          <w:spacing w:val="7"/>
          <w:sz w:val="24"/>
          <w:highlight w:val="none"/>
          <w:lang w:val="en-US" w:eastAsia="zh-CN"/>
        </w:rPr>
        <w:t xml:space="preserve">4</w:t>
      </w:r>
      <w:r>
        <w:rPr>
          <w:rStyle w:val="935"/>
          <w:rFonts w:ascii="宋体" w:hAnsi="宋体" w:eastAsia="宋体" w:cs="宋体"/>
          <w:b/>
          <w:bCs/>
          <w:color w:val="000000"/>
          <w:spacing w:val="7"/>
          <w:sz w:val="24"/>
          <w:highlight w:val="none"/>
        </w:rPr>
        <w:t xml:space="preserve">.培训计划</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根据招标文件的要求提供针对本项目的培训方案（方案内容包含但不仅限于监测与检测培训计划、平台培训计划与方法、巡查培训方式与方法等方面），方案内容合理、完整、操作性强，满足项目需求的，得6分；方案内容部分响应项目需求，有一项内容缺少或内容无实质性意义，但方案可行的，得4分；方案中有两项内容缺少或内容阐述简单的，得2分；方案中有三项及以上内容缺失或方案不可行或不提供的不得分。【0/2/4/6】</w:t>
      </w:r>
      <w:r/>
    </w:p>
    <w:p>
      <w:pPr>
        <w:pStyle w:val="988"/>
        <w:ind w:firstLine="500"/>
        <w:jc w:val="both"/>
        <w:spacing w:line="360" w:lineRule="auto"/>
        <w:rPr>
          <w:rFonts w:ascii="宋体" w:hAnsi="宋体" w:eastAsia="宋体" w:cs="宋体"/>
          <w:b/>
          <w:bCs/>
          <w:color w:val="000000"/>
          <w:spacing w:val="7"/>
          <w:sz w:val="24"/>
          <w:highlight w:val="none"/>
        </w:rPr>
        <w:outlineLvl w:val="9"/>
      </w:pPr>
      <w:r>
        <w:rPr>
          <w:rStyle w:val="935"/>
          <w:rFonts w:ascii="宋体" w:hAnsi="宋体" w:eastAsia="宋体" w:cs="宋体"/>
          <w:b/>
          <w:bCs/>
          <w:color w:val="000000"/>
          <w:spacing w:val="7"/>
          <w:sz w:val="24"/>
          <w:highlight w:val="none"/>
        </w:rPr>
        <w:t xml:space="preserve">2.</w:t>
      </w:r>
      <w:r>
        <w:rPr>
          <w:rStyle w:val="935"/>
          <w:rFonts w:hint="eastAsia" w:ascii="宋体" w:hAnsi="宋体" w:eastAsia="宋体" w:cs="宋体"/>
          <w:b/>
          <w:bCs/>
          <w:color w:val="000000"/>
          <w:spacing w:val="7"/>
          <w:sz w:val="24"/>
          <w:highlight w:val="none"/>
          <w:lang w:val="en-US" w:eastAsia="zh-CN"/>
        </w:rPr>
        <w:t xml:space="preserve">5</w:t>
      </w:r>
      <w:r>
        <w:rPr>
          <w:rStyle w:val="935"/>
          <w:rFonts w:ascii="宋体" w:hAnsi="宋体" w:eastAsia="宋体" w:cs="宋体"/>
          <w:b/>
          <w:bCs/>
          <w:color w:val="000000"/>
          <w:spacing w:val="7"/>
          <w:sz w:val="24"/>
          <w:highlight w:val="none"/>
        </w:rPr>
        <w:t xml:space="preserve">.售后服务与应急措施</w:t>
      </w:r>
      <w:r/>
    </w:p>
    <w:p>
      <w:pPr>
        <w:pStyle w:val="988"/>
        <w:ind w:firstLine="500"/>
        <w:jc w:val="both"/>
        <w:spacing w:line="360" w:lineRule="auto"/>
        <w:rPr>
          <w:rFonts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根据招标文件要求提供的售后服务与保障方案，内容包含售后服务承诺、服务保障体系、处理突发事件方案等，方案完全包含上述内容且有实质性意义的，得6分；方案包含二项上述内容且有实质性意义的，得4分；方案包含上述内容少于二项的，得2分，方案无实质性意义或不提供的不得分。【0/2/4/6】</w:t>
      </w:r>
      <w:r/>
    </w:p>
    <w:p>
      <w:pPr>
        <w:pStyle w:val="988"/>
        <w:ind w:firstLine="500"/>
        <w:jc w:val="both"/>
        <w:spacing w:line="360" w:lineRule="auto"/>
        <w:rPr>
          <w:rFonts w:ascii="宋体" w:hAnsi="宋体" w:eastAsia="宋体" w:cs="宋体"/>
          <w:b/>
          <w:bCs/>
          <w:color w:val="000000"/>
          <w:spacing w:val="7"/>
          <w:sz w:val="24"/>
          <w:highlight w:val="none"/>
          <w:lang w:val="en-US" w:eastAsia="zh-CN"/>
        </w:rPr>
        <w:outlineLvl w:val="9"/>
      </w:pPr>
      <w:r>
        <w:rPr>
          <w:rStyle w:val="935"/>
          <w:rFonts w:hint="eastAsia" w:ascii="宋体" w:hAnsi="宋体" w:eastAsia="宋体" w:cs="宋体"/>
          <w:b/>
          <w:bCs/>
          <w:color w:val="000000"/>
          <w:spacing w:val="7"/>
          <w:sz w:val="24"/>
          <w:highlight w:val="none"/>
          <w:lang w:val="en-US" w:eastAsia="zh-CN"/>
        </w:rPr>
        <w:t xml:space="preserve">2.6.安全保障方案</w:t>
      </w:r>
      <w:r/>
    </w:p>
    <w:p>
      <w:pPr>
        <w:pStyle w:val="988"/>
        <w:ind w:firstLine="500"/>
        <w:jc w:val="both"/>
        <w:spacing w:line="360" w:lineRule="auto"/>
        <w:rPr>
          <w:rFonts w:hint="eastAsia" w:ascii="宋体" w:hAnsi="宋体" w:eastAsia="宋体" w:cs="宋体"/>
          <w:color w:val="000000"/>
          <w:sz w:val="24"/>
          <w:szCs w:val="24"/>
          <w:highlight w:val="none"/>
        </w:rPr>
        <w:outlineLvl w:val="9"/>
      </w:pPr>
      <w:r>
        <w:rPr>
          <w:rStyle w:val="935"/>
          <w:rFonts w:hint="eastAsia" w:ascii="宋体" w:hAnsi="宋体" w:eastAsia="宋体" w:cs="宋体"/>
          <w:b w:val="0"/>
          <w:color w:val="000000"/>
          <w:spacing w:val="7"/>
          <w:sz w:val="24"/>
          <w:highlight w:val="none"/>
        </w:rPr>
        <w:t xml:space="preserve">根据投标人提供的安全保障方案进行综合评定，内容包括健全的安全制度体系、野外作业注意事项、劳动保护等各环节安全措施。方案完全包含上述三项内容且内容详实有实质性意义满足项目需求的得5分;方案包含上述内容但少于三项的、部分满足项目需求的得3分;无实质性意义或不提供的不得分。【0/3/5】</w:t>
      </w:r>
      <w:r/>
    </w:p>
    <w:p>
      <w:pPr>
        <w:pStyle w:val="988"/>
        <w:ind w:firstLine="500"/>
        <w:jc w:val="both"/>
        <w:keepLines w:val="0"/>
        <w:keepNext w:val="0"/>
        <w:pageBreakBefore w:val="0"/>
        <w:spacing w:line="360" w:lineRule="auto"/>
        <w:rPr>
          <w:rFonts w:ascii="宋体" w:hAnsi="宋体" w:eastAsia="宋体" w:cs="宋体"/>
          <w:b/>
          <w:spacing w:val="7"/>
          <w:sz w:val="24"/>
          <w:highlight w:val="none"/>
        </w:rPr>
        <w:outlineLvl w:val="9"/>
      </w:pPr>
      <w:r>
        <w:rPr>
          <w:rStyle w:val="935"/>
          <w:rFonts w:ascii="宋体" w:hAnsi="宋体" w:eastAsia="宋体" w:cs="宋体"/>
          <w:b/>
          <w:color w:val="000000"/>
          <w:spacing w:val="7"/>
          <w:sz w:val="24"/>
          <w:highlight w:val="none"/>
        </w:rPr>
        <w:t xml:space="preserve">3 人员配置 </w:t>
      </w:r>
      <w:r>
        <w:rPr>
          <w:rStyle w:val="935"/>
          <w:rFonts w:hint="eastAsia" w:ascii="宋体" w:hAnsi="宋体" w:eastAsia="宋体" w:cs="宋体"/>
          <w:b/>
          <w:color w:val="000000"/>
          <w:spacing w:val="7"/>
          <w:sz w:val="24"/>
          <w:highlight w:val="none"/>
          <w:lang w:val="en-US" w:eastAsia="zh-CN"/>
        </w:rPr>
        <w:t xml:space="preserve">16</w:t>
      </w:r>
      <w:r>
        <w:rPr>
          <w:rStyle w:val="935"/>
          <w:rFonts w:ascii="宋体" w:hAnsi="宋体" w:eastAsia="宋体" w:cs="宋体"/>
          <w:b/>
          <w:color w:val="000000"/>
          <w:spacing w:val="7"/>
          <w:sz w:val="24"/>
          <w:highlight w:val="none"/>
        </w:rPr>
        <w:t xml:space="preserve"> 分</w:t>
      </w:r>
      <w:r/>
    </w:p>
    <w:p>
      <w:pPr>
        <w:pStyle w:val="968"/>
        <w:ind w:right="0" w:firstLine="508"/>
        <w:jc w:val="both"/>
        <w:keepLines w:val="0"/>
        <w:keepNext w:val="0"/>
        <w:pageBreakBefore w:val="0"/>
        <w:spacing w:line="360" w:lineRule="auto"/>
        <w:widowControl w:val="off"/>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3.1.项目负责人</w:t>
      </w:r>
      <w:r>
        <w:rPr>
          <w:rStyle w:val="935"/>
          <w:rFonts w:ascii="宋体" w:hAnsi="宋体" w:eastAsia="宋体" w:cs="宋体"/>
          <w:b w:val="0"/>
          <w:color w:val="000000"/>
          <w:spacing w:val="7"/>
          <w:sz w:val="24"/>
          <w:highlight w:val="none"/>
        </w:rPr>
        <w:t xml:space="preserve">资质</w:t>
      </w:r>
      <w:r/>
    </w:p>
    <w:p>
      <w:pPr>
        <w:pStyle w:val="968"/>
        <w:ind w:right="0" w:firstLine="508"/>
        <w:jc w:val="both"/>
        <w:keepLines w:val="0"/>
        <w:keepNext w:val="0"/>
        <w:pageBreakBefore w:val="0"/>
        <w:spacing w:line="360" w:lineRule="auto"/>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投标人为本项目配备的项目负责人具备高级工程师及以上职称证书的得4分，具备中级及以上工程师职称得2分，没有不得分；请在投标文件中提供投标人为其缴纳近一个月的有效社保证明及职称证书等相关证明材料，不提供不得分。【0/2/4】</w:t>
      </w:r>
      <w:r/>
    </w:p>
    <w:p>
      <w:pPr>
        <w:pStyle w:val="988"/>
        <w:ind w:firstLine="500"/>
        <w:jc w:val="left"/>
        <w:spacing w:line="360" w:lineRule="auto"/>
        <w:rPr>
          <w:rFonts w:ascii="宋体" w:hAnsi="宋体" w:eastAsia="宋体" w:cs="宋体"/>
          <w:b w:val="0"/>
          <w:spacing w:val="7"/>
          <w:sz w:val="24"/>
          <w:highlight w:val="none"/>
        </w:rPr>
        <w:outlineLvl w:val="9"/>
      </w:pPr>
      <w:r>
        <w:rPr>
          <w:rStyle w:val="935"/>
          <w:rFonts w:ascii="宋体" w:hAnsi="宋体" w:eastAsia="宋体" w:cs="宋体"/>
          <w:b w:val="0"/>
          <w:color w:val="000000"/>
          <w:spacing w:val="7"/>
          <w:sz w:val="24"/>
          <w:highlight w:val="none"/>
        </w:rPr>
        <w:t xml:space="preserve">3.</w:t>
      </w:r>
      <w:r>
        <w:rPr>
          <w:rStyle w:val="935"/>
          <w:rFonts w:hint="eastAsia" w:ascii="宋体" w:hAnsi="宋体" w:eastAsia="宋体" w:cs="宋体"/>
          <w:b w:val="0"/>
          <w:color w:val="000000"/>
          <w:spacing w:val="7"/>
          <w:sz w:val="24"/>
          <w:highlight w:val="none"/>
          <w:lang w:val="en-US" w:eastAsia="zh-CN"/>
        </w:rPr>
        <w:t xml:space="preserve">2</w:t>
      </w:r>
      <w:r>
        <w:rPr>
          <w:rStyle w:val="935"/>
          <w:rFonts w:ascii="宋体" w:hAnsi="宋体" w:eastAsia="宋体" w:cs="宋体"/>
          <w:b w:val="0"/>
          <w:color w:val="000000"/>
          <w:spacing w:val="7"/>
          <w:sz w:val="24"/>
          <w:highlight w:val="none"/>
        </w:rPr>
        <w:t xml:space="preserve">.</w:t>
      </w:r>
      <w:r>
        <w:rPr>
          <w:rStyle w:val="935"/>
          <w:rFonts w:hint="eastAsia" w:ascii="宋体" w:hAnsi="宋体" w:eastAsia="宋体" w:cs="宋体"/>
          <w:b w:val="0"/>
          <w:color w:val="000000"/>
          <w:spacing w:val="7"/>
          <w:sz w:val="24"/>
          <w:highlight w:val="none"/>
        </w:rPr>
        <w:t xml:space="preserve">项目组成员</w:t>
      </w:r>
      <w:r>
        <w:rPr>
          <w:rStyle w:val="935"/>
          <w:rFonts w:ascii="宋体" w:hAnsi="宋体" w:eastAsia="宋体" w:cs="宋体"/>
          <w:b w:val="0"/>
          <w:color w:val="000000"/>
          <w:spacing w:val="7"/>
          <w:sz w:val="24"/>
          <w:highlight w:val="none"/>
        </w:rPr>
        <w:t xml:space="preserve">资质</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为本项目投入的项目组成员（不含项目负责人）具备中级工程师及以上职称证书的，有一人得1分，最多得3分。项目组成员具备测绘中级工程师资质的证书，有1人得3分，最多得6分。请在投标文件中提供投标人为其缴纳近一个月的有效社保证明、职称证书等相关证明，不提供或提供不全的不得分。【0-9】</w:t>
      </w:r>
      <w:r/>
    </w:p>
    <w:p>
      <w:pPr>
        <w:pStyle w:val="968"/>
        <w:ind w:right="0" w:firstLine="508"/>
        <w:jc w:val="both"/>
        <w:keepLines w:val="0"/>
        <w:keepNext w:val="0"/>
        <w:pageBreakBefore w:val="0"/>
        <w:spacing w:line="360" w:lineRule="auto"/>
        <w:widowControl w:val="off"/>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3.3.驻场要求</w:t>
      </w:r>
      <w:r/>
    </w:p>
    <w:p>
      <w:pPr>
        <w:pStyle w:val="988"/>
        <w:ind w:firstLine="500"/>
        <w:jc w:val="left"/>
        <w:spacing w:line="360" w:lineRule="auto"/>
        <w:rPr>
          <w:rStyle w:val="935"/>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本项目须至少安排2名资料员在甲方指定地点办公、办公用品由投标人自行配备，资料员伙食费用自行承担。承诺按要求安排资料员驻场办公、办公用品由投标人自行配备、资料员伙食费用自行承担的得</w:t>
      </w:r>
      <w:r>
        <w:rPr>
          <w:rStyle w:val="935"/>
          <w:rFonts w:hint="eastAsia" w:ascii="宋体" w:hAnsi="宋体" w:eastAsia="宋体" w:cs="宋体"/>
          <w:b w:val="0"/>
          <w:color w:val="000000"/>
          <w:spacing w:val="7"/>
          <w:sz w:val="24"/>
          <w:highlight w:val="none"/>
          <w:lang w:val="en-US" w:eastAsia="zh-CN"/>
        </w:rPr>
        <w:t xml:space="preserve">3</w:t>
      </w:r>
      <w:r>
        <w:rPr>
          <w:rStyle w:val="935"/>
          <w:rFonts w:hint="eastAsia" w:ascii="宋体" w:hAnsi="宋体" w:eastAsia="宋体" w:cs="宋体"/>
          <w:b w:val="0"/>
          <w:color w:val="000000"/>
          <w:spacing w:val="7"/>
          <w:sz w:val="24"/>
          <w:highlight w:val="none"/>
        </w:rPr>
        <w:t xml:space="preserve">分，不满足不得分。【0/</w:t>
      </w:r>
      <w:r>
        <w:rPr>
          <w:rStyle w:val="935"/>
          <w:rFonts w:hint="eastAsia" w:ascii="宋体" w:hAnsi="宋体" w:eastAsia="宋体" w:cs="宋体"/>
          <w:b w:val="0"/>
          <w:color w:val="000000"/>
          <w:spacing w:val="7"/>
          <w:sz w:val="24"/>
          <w:highlight w:val="none"/>
          <w:lang w:val="en-US" w:eastAsia="zh-CN"/>
        </w:rPr>
        <w:t xml:space="preserve">3</w:t>
      </w:r>
      <w:r>
        <w:rPr>
          <w:rStyle w:val="935"/>
          <w:rFonts w:hint="eastAsia" w:ascii="宋体" w:hAnsi="宋体" w:eastAsia="宋体" w:cs="宋体"/>
          <w:b w:val="0"/>
          <w:color w:val="000000"/>
          <w:spacing w:val="7"/>
          <w:sz w:val="24"/>
          <w:highlight w:val="none"/>
        </w:rPr>
        <w:t xml:space="preserve">】</w:t>
      </w:r>
      <w:r/>
    </w:p>
    <w:p>
      <w:pPr>
        <w:pStyle w:val="988"/>
        <w:ind w:firstLine="500"/>
        <w:jc w:val="both"/>
        <w:spacing w:line="360" w:lineRule="auto"/>
        <w:rPr>
          <w:rFonts w:ascii="宋体" w:hAnsi="宋体" w:eastAsia="宋体" w:cs="宋体"/>
          <w:b/>
          <w:spacing w:val="7"/>
          <w:sz w:val="24"/>
          <w:highlight w:val="none"/>
        </w:rPr>
        <w:outlineLvl w:val="9"/>
      </w:pPr>
      <w:r>
        <w:rPr>
          <w:rStyle w:val="935"/>
          <w:rFonts w:ascii="宋体" w:hAnsi="宋体" w:eastAsia="宋体" w:cs="宋体"/>
          <w:b/>
          <w:color w:val="000000"/>
          <w:spacing w:val="7"/>
          <w:sz w:val="24"/>
          <w:highlight w:val="none"/>
        </w:rPr>
        <w:t xml:space="preserve">4 设备配置 1</w:t>
      </w:r>
      <w:r>
        <w:rPr>
          <w:rStyle w:val="935"/>
          <w:rFonts w:hint="eastAsia" w:ascii="宋体" w:hAnsi="宋体" w:eastAsia="宋体" w:cs="宋体"/>
          <w:b/>
          <w:color w:val="000000"/>
          <w:spacing w:val="7"/>
          <w:sz w:val="24"/>
          <w:highlight w:val="none"/>
          <w:lang w:val="en-US" w:eastAsia="zh-CN"/>
        </w:rPr>
        <w:t xml:space="preserve">0</w:t>
      </w:r>
      <w:r>
        <w:rPr>
          <w:rStyle w:val="935"/>
          <w:rFonts w:ascii="宋体" w:hAnsi="宋体" w:eastAsia="宋体" w:cs="宋体"/>
          <w:b/>
          <w:color w:val="000000"/>
          <w:spacing w:val="7"/>
          <w:sz w:val="24"/>
          <w:highlight w:val="none"/>
        </w:rPr>
        <w:t xml:space="preserve">分</w:t>
      </w:r>
      <w:r/>
    </w:p>
    <w:p>
      <w:pPr>
        <w:pStyle w:val="988"/>
        <w:ind w:firstLine="500"/>
        <w:jc w:val="both"/>
        <w:spacing w:line="360" w:lineRule="auto"/>
        <w:rPr>
          <w:rFonts w:hint="default" w:ascii="宋体" w:hAnsi="宋体" w:eastAsia="宋体" w:cs="宋体"/>
          <w:b w:val="0"/>
          <w:spacing w:val="7"/>
          <w:sz w:val="24"/>
          <w:highlight w:val="none"/>
          <w:lang w:val="en-US" w:eastAsia="zh-CN"/>
        </w:rPr>
        <w:outlineLvl w:val="9"/>
      </w:pPr>
      <w:r>
        <w:rPr>
          <w:rStyle w:val="935"/>
          <w:rFonts w:ascii="宋体" w:hAnsi="宋体" w:eastAsia="宋体" w:cs="宋体"/>
          <w:b w:val="0"/>
          <w:color w:val="000000"/>
          <w:spacing w:val="7"/>
          <w:sz w:val="24"/>
          <w:highlight w:val="none"/>
        </w:rPr>
        <w:t xml:space="preserve">4.1.</w:t>
      </w:r>
      <w:r>
        <w:rPr>
          <w:rStyle w:val="935"/>
          <w:rFonts w:hint="eastAsia" w:ascii="宋体" w:hAnsi="宋体" w:eastAsia="宋体" w:cs="宋体"/>
          <w:b w:val="0"/>
          <w:color w:val="000000"/>
          <w:spacing w:val="7"/>
          <w:sz w:val="24"/>
          <w:highlight w:val="none"/>
          <w:lang w:val="en-US" w:eastAsia="zh-CN"/>
        </w:rPr>
        <w:t xml:space="preserve">水质检测设备</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投标人针对本项目配置的便携式水质检测设备（能</w:t>
      </w:r>
      <w:r>
        <w:rPr>
          <w:rStyle w:val="935"/>
          <w:rFonts w:hint="eastAsia" w:ascii="宋体" w:hAnsi="宋体" w:eastAsia="宋体" w:cs="宋体"/>
          <w:b w:val="0"/>
          <w:color w:val="000000"/>
          <w:spacing w:val="7"/>
          <w:sz w:val="24"/>
          <w:highlight w:val="none"/>
          <w:lang w:val="en-US" w:eastAsia="zh-CN"/>
        </w:rPr>
        <w:t xml:space="preserve">准确</w:t>
      </w:r>
      <w:r>
        <w:rPr>
          <w:rStyle w:val="935"/>
          <w:rFonts w:hint="eastAsia" w:ascii="宋体" w:hAnsi="宋体" w:eastAsia="宋体" w:cs="宋体"/>
          <w:b w:val="0"/>
          <w:color w:val="000000"/>
          <w:spacing w:val="7"/>
          <w:sz w:val="24"/>
          <w:highlight w:val="none"/>
        </w:rPr>
        <w:t xml:space="preserve">测出氨氮、总磷等准确数值），最高得1.5分。请在投标文件中提供相关证明（若为自有的须提供相关设备的购置发票，若为租赁的须提供租赁合同及租赁发票。如上述证明材料不能反映检测项目，须提供其他材料予以佐证），不提供或提供不全不得分。以上设备须于本项目公示结束后3日历天内完成进场工作。【0</w:t>
      </w:r>
      <w:r>
        <w:rPr>
          <w:rStyle w:val="935"/>
          <w:rFonts w:hint="eastAsia" w:ascii="宋体" w:hAnsi="宋体" w:eastAsia="宋体" w:cs="宋体"/>
          <w:b w:val="0"/>
          <w:color w:val="000000"/>
          <w:spacing w:val="7"/>
          <w:sz w:val="24"/>
          <w:highlight w:val="none"/>
          <w:lang w:val="en-US" w:eastAsia="zh-CN"/>
        </w:rPr>
        <w:t xml:space="preserve">-</w:t>
      </w:r>
      <w:r>
        <w:rPr>
          <w:rStyle w:val="935"/>
          <w:rFonts w:hint="eastAsia" w:ascii="宋体" w:hAnsi="宋体" w:eastAsia="宋体" w:cs="宋体"/>
          <w:b w:val="0"/>
          <w:color w:val="000000"/>
          <w:spacing w:val="7"/>
          <w:sz w:val="24"/>
          <w:highlight w:val="none"/>
        </w:rPr>
        <w:t xml:space="preserve">1.5】</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ascii="宋体" w:hAnsi="宋体" w:eastAsia="宋体" w:cs="宋体"/>
          <w:b w:val="0"/>
          <w:color w:val="000000"/>
          <w:spacing w:val="7"/>
          <w:sz w:val="24"/>
          <w:highlight w:val="none"/>
        </w:rPr>
        <w:t xml:space="preserve">4.2.</w:t>
      </w:r>
      <w:r>
        <w:rPr>
          <w:rStyle w:val="935"/>
          <w:rFonts w:hint="eastAsia" w:ascii="宋体" w:hAnsi="宋体" w:eastAsia="宋体" w:cs="宋体"/>
          <w:b w:val="0"/>
          <w:color w:val="000000"/>
          <w:spacing w:val="7"/>
          <w:sz w:val="24"/>
          <w:highlight w:val="none"/>
          <w:lang w:val="en-US" w:eastAsia="zh-CN"/>
        </w:rPr>
        <w:t xml:space="preserve">车辆</w:t>
      </w:r>
      <w:r>
        <w:rPr>
          <w:rStyle w:val="935"/>
          <w:rFonts w:ascii="宋体" w:hAnsi="宋体" w:eastAsia="宋体" w:cs="宋体"/>
          <w:b w:val="0"/>
          <w:color w:val="000000"/>
          <w:spacing w:val="7"/>
          <w:sz w:val="24"/>
          <w:highlight w:val="none"/>
        </w:rPr>
        <w:t xml:space="preserve">设备</w:t>
      </w:r>
      <w:r/>
    </w:p>
    <w:p>
      <w:pPr>
        <w:pStyle w:val="988"/>
        <w:ind w:firstLine="500"/>
        <w:jc w:val="both"/>
        <w:spacing w:line="360" w:lineRule="auto"/>
        <w:rPr>
          <w:rFonts w:ascii="宋体" w:hAnsi="宋体" w:eastAsia="宋体" w:cs="宋体"/>
          <w:b w:val="0"/>
          <w:color w:val="000000"/>
          <w:spacing w:val="7"/>
          <w:sz w:val="24"/>
          <w:highlight w:val="none"/>
        </w:rPr>
        <w:outlineLvl w:val="9"/>
      </w:pPr>
      <w:r>
        <w:rPr>
          <w:rStyle w:val="935"/>
          <w:rFonts w:ascii="宋体" w:hAnsi="宋体" w:eastAsia="宋体" w:cs="宋体"/>
          <w:b w:val="0"/>
          <w:color w:val="000000"/>
          <w:spacing w:val="7"/>
          <w:sz w:val="24"/>
          <w:highlight w:val="none"/>
        </w:rPr>
        <w:t xml:space="preserve">投标人为本项目配备巡查车辆，</w:t>
      </w:r>
      <w:r>
        <w:rPr>
          <w:rStyle w:val="935"/>
          <w:rFonts w:hint="eastAsia" w:ascii="宋体" w:hAnsi="宋体" w:eastAsia="宋体" w:cs="宋体"/>
          <w:b w:val="0"/>
          <w:color w:val="000000"/>
          <w:spacing w:val="7"/>
          <w:sz w:val="24"/>
          <w:highlight w:val="none"/>
          <w:lang w:val="en-US" w:eastAsia="zh-CN"/>
        </w:rPr>
        <w:t xml:space="preserve">每台车辆得2分，最高</w:t>
      </w:r>
      <w:r>
        <w:rPr>
          <w:rStyle w:val="935"/>
          <w:rFonts w:ascii="宋体" w:hAnsi="宋体" w:eastAsia="宋体" w:cs="宋体"/>
          <w:b w:val="0"/>
          <w:color w:val="000000"/>
          <w:spacing w:val="7"/>
          <w:sz w:val="24"/>
          <w:highlight w:val="none"/>
        </w:rPr>
        <w:t xml:space="preserve">得</w:t>
      </w:r>
      <w:r>
        <w:rPr>
          <w:rStyle w:val="935"/>
          <w:rFonts w:hint="eastAsia" w:ascii="宋体" w:hAnsi="宋体" w:eastAsia="宋体" w:cs="宋体"/>
          <w:b w:val="0"/>
          <w:color w:val="000000"/>
          <w:spacing w:val="7"/>
          <w:sz w:val="24"/>
          <w:highlight w:val="none"/>
          <w:lang w:val="en-US" w:eastAsia="zh-CN"/>
        </w:rPr>
        <w:t xml:space="preserve">4</w:t>
      </w:r>
      <w:r>
        <w:rPr>
          <w:rStyle w:val="935"/>
          <w:rFonts w:ascii="宋体" w:hAnsi="宋体" w:eastAsia="宋体" w:cs="宋体"/>
          <w:b w:val="0"/>
          <w:color w:val="000000"/>
          <w:spacing w:val="7"/>
          <w:sz w:val="24"/>
          <w:highlight w:val="none"/>
        </w:rPr>
        <w:t xml:space="preserve">分。</w:t>
      </w:r>
      <w:r>
        <w:rPr>
          <w:rStyle w:val="935"/>
          <w:rFonts w:hint="eastAsia" w:ascii="宋体" w:hAnsi="宋体" w:eastAsia="宋体" w:cs="宋体"/>
          <w:b w:val="0"/>
          <w:color w:val="000000"/>
          <w:spacing w:val="7"/>
          <w:sz w:val="24"/>
          <w:highlight w:val="none"/>
          <w:lang w:val="en-US" w:eastAsia="zh-CN"/>
        </w:rPr>
        <w:t xml:space="preserve">请在投标文件中提供相关证明（</w:t>
      </w:r>
      <w:r>
        <w:rPr>
          <w:rStyle w:val="935"/>
          <w:rFonts w:ascii="宋体" w:hAnsi="宋体" w:eastAsia="宋体" w:cs="宋体"/>
          <w:b w:val="0"/>
          <w:color w:val="000000"/>
          <w:spacing w:val="7"/>
          <w:sz w:val="24"/>
          <w:highlight w:val="none"/>
        </w:rPr>
        <w:t xml:space="preserve">若为自有的</w:t>
      </w:r>
      <w:r>
        <w:rPr>
          <w:rStyle w:val="935"/>
          <w:rFonts w:hint="eastAsia" w:ascii="宋体" w:hAnsi="宋体" w:eastAsia="宋体" w:cs="宋体"/>
          <w:b w:val="0"/>
          <w:color w:val="000000"/>
          <w:spacing w:val="7"/>
          <w:sz w:val="24"/>
          <w:highlight w:val="none"/>
          <w:lang w:val="en-US" w:eastAsia="zh-CN"/>
        </w:rPr>
        <w:t xml:space="preserve">须</w:t>
      </w:r>
      <w:r>
        <w:rPr>
          <w:rStyle w:val="935"/>
          <w:rFonts w:ascii="宋体" w:hAnsi="宋体" w:eastAsia="宋体" w:cs="宋体"/>
          <w:b w:val="0"/>
          <w:color w:val="000000"/>
          <w:spacing w:val="7"/>
          <w:sz w:val="24"/>
          <w:highlight w:val="none"/>
        </w:rPr>
        <w:t xml:space="preserve">提供购置发票等相关证明材料；若为租赁的</w:t>
      </w:r>
      <w:r>
        <w:rPr>
          <w:rStyle w:val="935"/>
          <w:rFonts w:hint="eastAsia" w:ascii="宋体" w:hAnsi="宋体" w:eastAsia="宋体" w:cs="宋体"/>
          <w:b w:val="0"/>
          <w:color w:val="000000"/>
          <w:spacing w:val="7"/>
          <w:sz w:val="24"/>
          <w:highlight w:val="none"/>
          <w:lang w:val="en-US" w:eastAsia="zh-CN"/>
        </w:rPr>
        <w:t xml:space="preserve">须</w:t>
      </w:r>
      <w:r>
        <w:rPr>
          <w:rStyle w:val="935"/>
          <w:rFonts w:ascii="宋体" w:hAnsi="宋体" w:eastAsia="宋体" w:cs="宋体"/>
          <w:b w:val="0"/>
          <w:color w:val="000000"/>
          <w:spacing w:val="7"/>
          <w:sz w:val="24"/>
          <w:highlight w:val="none"/>
        </w:rPr>
        <w:t xml:space="preserve">提供设备</w:t>
      </w:r>
      <w:r>
        <w:rPr>
          <w:rStyle w:val="935"/>
          <w:rFonts w:hint="eastAsia" w:ascii="宋体" w:hAnsi="宋体" w:eastAsia="宋体" w:cs="宋体"/>
          <w:b w:val="0"/>
          <w:color w:val="000000"/>
          <w:spacing w:val="7"/>
          <w:sz w:val="24"/>
          <w:highlight w:val="none"/>
          <w:lang w:val="en-US" w:eastAsia="zh-CN"/>
        </w:rPr>
        <w:t xml:space="preserve">发票</w:t>
      </w:r>
      <w:r>
        <w:rPr>
          <w:rStyle w:val="935"/>
          <w:rFonts w:ascii="宋体" w:hAnsi="宋体" w:eastAsia="宋体" w:cs="宋体"/>
          <w:b w:val="0"/>
          <w:color w:val="000000"/>
          <w:spacing w:val="7"/>
          <w:sz w:val="24"/>
          <w:highlight w:val="none"/>
        </w:rPr>
        <w:t xml:space="preserve">以及租赁协议等相关证明材料）</w:t>
      </w:r>
      <w:r>
        <w:rPr>
          <w:rStyle w:val="935"/>
          <w:rFonts w:hint="eastAsia" w:ascii="宋体" w:hAnsi="宋体" w:eastAsia="宋体" w:cs="宋体"/>
          <w:b w:val="0"/>
          <w:color w:val="000000"/>
          <w:spacing w:val="7"/>
          <w:sz w:val="24"/>
          <w:highlight w:val="none"/>
          <w:lang w:eastAsia="zh-CN"/>
        </w:rPr>
        <w:t xml:space="preserve">，</w:t>
      </w:r>
      <w:r>
        <w:rPr>
          <w:rStyle w:val="935"/>
          <w:rFonts w:ascii="宋体" w:hAnsi="宋体" w:eastAsia="宋体" w:cs="宋体"/>
          <w:b w:val="0"/>
          <w:color w:val="000000"/>
          <w:spacing w:val="7"/>
          <w:sz w:val="24"/>
          <w:highlight w:val="none"/>
        </w:rPr>
        <w:t xml:space="preserve">不提供或提供不全不得分。</w:t>
      </w:r>
      <w:r>
        <w:rPr>
          <w:rStyle w:val="935"/>
          <w:rFonts w:hint="eastAsia" w:ascii="宋体" w:hAnsi="宋体" w:eastAsia="宋体" w:cs="宋体"/>
          <w:b w:val="0"/>
          <w:color w:val="000000"/>
          <w:spacing w:val="7"/>
          <w:sz w:val="24"/>
          <w:highlight w:val="none"/>
        </w:rPr>
        <w:t xml:space="preserve">以上设备须于本项目公示结束后3日历天内完成进场工作。</w:t>
      </w:r>
      <w:r>
        <w:rPr>
          <w:rStyle w:val="935"/>
          <w:rFonts w:ascii="宋体" w:hAnsi="宋体" w:eastAsia="宋体" w:cs="宋体"/>
          <w:b w:val="0"/>
          <w:color w:val="000000"/>
          <w:spacing w:val="7"/>
          <w:sz w:val="24"/>
          <w:highlight w:val="none"/>
        </w:rPr>
        <w:t xml:space="preserve">【0</w:t>
      </w:r>
      <w:r>
        <w:rPr>
          <w:rStyle w:val="935"/>
          <w:rFonts w:hint="eastAsia" w:ascii="宋体" w:hAnsi="宋体" w:eastAsia="宋体" w:cs="宋体"/>
          <w:b w:val="0"/>
          <w:color w:val="000000"/>
          <w:spacing w:val="7"/>
          <w:sz w:val="24"/>
          <w:highlight w:val="none"/>
          <w:lang w:val="en-US" w:eastAsia="zh-CN"/>
        </w:rPr>
        <w:t xml:space="preserve">-4</w:t>
      </w:r>
      <w:r>
        <w:rPr>
          <w:rStyle w:val="935"/>
          <w:rFonts w:ascii="宋体" w:hAnsi="宋体" w:eastAsia="宋体" w:cs="宋体"/>
          <w:b w:val="0"/>
          <w:color w:val="000000"/>
          <w:spacing w:val="7"/>
          <w:sz w:val="24"/>
          <w:highlight w:val="none"/>
        </w:rPr>
        <w:t xml:space="preserve">】</w:t>
      </w:r>
      <w:r/>
    </w:p>
    <w:p>
      <w:pPr>
        <w:pStyle w:val="988"/>
        <w:ind w:firstLine="500"/>
        <w:jc w:val="both"/>
        <w:spacing w:line="360" w:lineRule="auto"/>
        <w:rPr>
          <w:rFonts w:hint="eastAsia" w:ascii="宋体" w:hAnsi="宋体" w:eastAsia="宋体" w:cs="宋体"/>
          <w:b w:val="0"/>
          <w:color w:val="000000"/>
          <w:spacing w:val="7"/>
          <w:sz w:val="24"/>
          <w:highlight w:val="none"/>
          <w:lang w:val="en-US" w:eastAsia="zh-CN"/>
        </w:rPr>
        <w:outlineLvl w:val="9"/>
      </w:pPr>
      <w:r>
        <w:rPr>
          <w:rStyle w:val="935"/>
          <w:rFonts w:hint="eastAsia" w:ascii="宋体" w:hAnsi="宋体" w:eastAsia="宋体" w:cs="宋体"/>
          <w:b w:val="0"/>
          <w:color w:val="000000"/>
          <w:spacing w:val="7"/>
          <w:sz w:val="24"/>
          <w:highlight w:val="none"/>
          <w:lang w:val="en-US" w:eastAsia="zh-CN"/>
        </w:rPr>
        <w:t xml:space="preserve">4.3.河道监测设备</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为本项目配备全站仪设备、电子水准仪设备和水下高精度三维侧扫多波束设备，每台设备得1.5分，最高得4.5分；请在投标文件中提供相关证明（若为自有的须提供购置发票等相关证明材料；若为租赁的须提供设备发票以及租赁协议等相关证明材料），不提供或提供不全不得分。以上设备须于本项目公示结束后3日历天内完成进场工作。【</w:t>
      </w:r>
      <w:r>
        <w:rPr>
          <w:rStyle w:val="935"/>
          <w:rFonts w:hint="eastAsia" w:ascii="宋体" w:hAnsi="宋体" w:eastAsia="宋体" w:cs="宋体"/>
          <w:b w:val="0"/>
          <w:color w:val="000000"/>
          <w:spacing w:val="7"/>
          <w:sz w:val="24"/>
          <w:highlight w:val="none"/>
          <w:lang w:val="en-US" w:eastAsia="zh-CN"/>
        </w:rPr>
        <w:t xml:space="preserve">0-4.5</w:t>
      </w:r>
      <w:r>
        <w:rPr>
          <w:rStyle w:val="935"/>
          <w:rFonts w:hint="eastAsia" w:ascii="宋体" w:hAnsi="宋体" w:eastAsia="宋体" w:cs="宋体"/>
          <w:b w:val="0"/>
          <w:color w:val="000000"/>
          <w:spacing w:val="7"/>
          <w:sz w:val="24"/>
          <w:highlight w:val="none"/>
        </w:rPr>
        <w:t xml:space="preserve">】</w:t>
      </w:r>
      <w:r/>
    </w:p>
    <w:p>
      <w:pPr>
        <w:pStyle w:val="988"/>
        <w:ind w:firstLine="500"/>
        <w:jc w:val="both"/>
        <w:spacing w:line="360" w:lineRule="auto"/>
        <w:rPr>
          <w:rFonts w:ascii="宋体" w:hAnsi="宋体" w:eastAsia="宋体" w:cs="宋体"/>
          <w:b/>
          <w:spacing w:val="7"/>
          <w:sz w:val="24"/>
          <w:highlight w:val="none"/>
        </w:rPr>
        <w:outlineLvl w:val="9"/>
      </w:pPr>
      <w:r>
        <w:rPr>
          <w:rStyle w:val="935"/>
          <w:rFonts w:ascii="宋体" w:hAnsi="宋体" w:eastAsia="宋体" w:cs="宋体"/>
          <w:b/>
          <w:color w:val="000000"/>
          <w:spacing w:val="7"/>
          <w:sz w:val="24"/>
          <w:highlight w:val="none"/>
        </w:rPr>
        <w:t xml:space="preserve">5 履约能力 </w:t>
      </w:r>
      <w:r>
        <w:rPr>
          <w:rStyle w:val="935"/>
          <w:rFonts w:hint="eastAsia" w:ascii="宋体" w:hAnsi="宋体" w:eastAsia="宋体" w:cs="宋体"/>
          <w:b/>
          <w:color w:val="000000"/>
          <w:spacing w:val="7"/>
          <w:sz w:val="24"/>
          <w:highlight w:val="none"/>
          <w:lang w:val="en-US" w:eastAsia="zh-CN"/>
        </w:rPr>
        <w:t xml:space="preserve">6</w:t>
      </w:r>
      <w:r>
        <w:rPr>
          <w:rStyle w:val="935"/>
          <w:rFonts w:ascii="宋体" w:hAnsi="宋体" w:eastAsia="宋体" w:cs="宋体"/>
          <w:b/>
          <w:color w:val="000000"/>
          <w:spacing w:val="7"/>
          <w:sz w:val="24"/>
          <w:highlight w:val="none"/>
        </w:rPr>
        <w:t xml:space="preserve">.0 分</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ascii="宋体" w:hAnsi="宋体" w:eastAsia="宋体" w:cs="宋体"/>
          <w:b w:val="0"/>
          <w:color w:val="000000"/>
          <w:spacing w:val="7"/>
          <w:sz w:val="24"/>
          <w:highlight w:val="none"/>
        </w:rPr>
        <w:t xml:space="preserve">5.1.</w:t>
      </w:r>
      <w:r>
        <w:rPr>
          <w:rStyle w:val="935"/>
          <w:rFonts w:hint="eastAsia" w:ascii="宋体" w:hAnsi="宋体" w:eastAsia="宋体" w:cs="宋体"/>
          <w:b w:val="0"/>
          <w:color w:val="000000"/>
          <w:spacing w:val="7"/>
          <w:sz w:val="24"/>
          <w:highlight w:val="none"/>
          <w:lang w:val="en-US" w:eastAsia="zh-CN"/>
        </w:rPr>
        <w:t xml:space="preserve">类似</w:t>
      </w:r>
      <w:r>
        <w:rPr>
          <w:rStyle w:val="935"/>
          <w:rFonts w:ascii="宋体" w:hAnsi="宋体" w:eastAsia="宋体" w:cs="宋体"/>
          <w:b w:val="0"/>
          <w:color w:val="000000"/>
          <w:spacing w:val="7"/>
          <w:sz w:val="24"/>
          <w:highlight w:val="none"/>
        </w:rPr>
        <w:t xml:space="preserve">业绩</w:t>
      </w:r>
      <w:r/>
    </w:p>
    <w:p>
      <w:pPr>
        <w:pStyle w:val="988"/>
        <w:ind w:firstLine="500"/>
        <w:jc w:val="both"/>
        <w:spacing w:line="360" w:lineRule="auto"/>
        <w:rPr>
          <w:rFonts w:hint="eastAsia" w:ascii="宋体" w:hAnsi="宋体" w:eastAsia="宋体" w:cs="宋体"/>
          <w:b w:val="0"/>
          <w:color w:val="000000"/>
          <w:spacing w:val="7"/>
          <w:sz w:val="24"/>
          <w:highlight w:val="none"/>
        </w:rPr>
        <w:outlineLvl w:val="9"/>
      </w:pPr>
      <w:r>
        <w:rPr>
          <w:rStyle w:val="935"/>
          <w:rFonts w:hint="eastAsia" w:ascii="宋体" w:hAnsi="宋体" w:eastAsia="宋体" w:cs="宋体"/>
          <w:b w:val="0"/>
          <w:color w:val="000000"/>
          <w:spacing w:val="7"/>
          <w:sz w:val="24"/>
          <w:highlight w:val="none"/>
        </w:rPr>
        <w:t xml:space="preserve">投标人提供2022年1月1日以来承接的类似业绩（包括但不限于河道巡查类、河道沉降观测类等）的，有一项得2分，最多得6分。</w:t>
      </w:r>
      <w:r/>
    </w:p>
    <w:p>
      <w:pPr>
        <w:pStyle w:val="988"/>
        <w:ind w:firstLine="500"/>
        <w:jc w:val="both"/>
        <w:spacing w:line="360" w:lineRule="auto"/>
        <w:rPr>
          <w:rFonts w:ascii="宋体" w:hAnsi="宋体" w:eastAsia="宋体" w:cs="宋体"/>
          <w:b w:val="0"/>
          <w:spacing w:val="7"/>
          <w:sz w:val="24"/>
          <w:highlight w:val="none"/>
        </w:rPr>
        <w:outlineLvl w:val="9"/>
      </w:pPr>
      <w:r>
        <w:rPr>
          <w:rStyle w:val="935"/>
          <w:rFonts w:hint="eastAsia" w:ascii="宋体" w:hAnsi="宋体" w:eastAsia="宋体" w:cs="宋体"/>
          <w:b w:val="0"/>
          <w:color w:val="000000"/>
          <w:spacing w:val="7"/>
          <w:sz w:val="24"/>
          <w:highlight w:val="none"/>
        </w:rPr>
        <w:t xml:space="preserve">请在投标文件中提供相关合同扫描件，合同中须清晰反映项目名称、服务内容、合同签订时间等关键信息；若合同无法充分体现上述内容，须提供中标通知书/项目验收报告或其他有效佐证材料，不提供不得分。【0/2/4/6】</w:t>
      </w:r>
      <w:r/>
    </w:p>
    <w:p>
      <w:pPr>
        <w:ind w:firstLine="482"/>
        <w:jc w:val="both"/>
        <w:spacing w:line="360" w:lineRule="auto"/>
        <w:rPr>
          <w:rFonts w:ascii="宋体" w:hAnsi="宋体"/>
          <w:b/>
          <w:sz w:val="24"/>
          <w:highlight w:val="none"/>
        </w:rPr>
      </w:pPr>
      <w:r/>
      <w:bookmarkStart w:id="191" w:name="EB5eda7c9be7464788810dca94d24e634f"/>
      <w:r/>
      <w:bookmarkEnd w:id="191"/>
      <w:r/>
      <w:r/>
    </w:p>
    <w:p>
      <w:pPr>
        <w:ind w:right="-124" w:firstLine="480"/>
        <w:jc w:val="both"/>
        <w:spacing w:line="360" w:lineRule="auto"/>
        <w:rPr>
          <w:rFonts w:hint="eastAsia" w:ascii="宋体" w:hAnsi="宋体"/>
          <w:sz w:val="24"/>
          <w:highlight w:val="none"/>
        </w:rPr>
      </w:pPr>
      <w:r>
        <w:rPr>
          <w:rFonts w:hint="eastAsia" w:ascii="宋体" w:hAnsi="宋体"/>
          <w:color w:val="000000"/>
          <w:sz w:val="24"/>
          <w:highlight w:val="none"/>
        </w:rPr>
        <w:t xml:space="preserve">注:</w:t>
      </w:r>
      <w:r/>
    </w:p>
    <w:p>
      <w:pPr>
        <w:ind w:firstLine="47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olor w:val="000000"/>
          <w:sz w:val="24"/>
          <w:highlight w:val="none"/>
        </w:rPr>
        <w:t xml:space="preserve">以上证明材料，不提供不得分。</w:t>
      </w:r>
      <w:bookmarkEnd w:id="154"/>
      <w:bookmarkEnd w:id="155"/>
      <w:bookmarkEnd w:id="163"/>
      <w:bookmarkEnd w:id="164"/>
      <w:bookmarkEnd w:id="165"/>
      <w:bookmarkEnd w:id="184"/>
      <w:r/>
    </w:p>
    <w:p>
      <w:pPr>
        <w:numPr>
          <w:ilvl w:val="0"/>
          <w:numId w:val="2"/>
        </w:numPr>
        <w:ind w:left="0" w:firstLine="402"/>
        <w:jc w:val="center"/>
        <w:keepLines w:val="0"/>
        <w:keepNext w:val="0"/>
        <w:pageBreakBefore/>
        <w:spacing w:before="0" w:after="20"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956"/>
        <w:numPr>
          <w:ilvl w:val="0"/>
          <w:numId w:val="0"/>
        </w:numPr>
        <w:ind w:left="420" w:right="0"/>
        <w:spacing w:line="360" w:lineRule="auto"/>
        <w:tabs>
          <w:tab w:val="right" w:pos="9746" w:leader="middleDot"/>
        </w:tabs>
        <w:rPr>
          <w:sz w:val="24"/>
          <w:szCs w:val="24"/>
        </w:rPr>
      </w:pPr>
      <w:r>
        <w:rPr>
          <w:rFonts w:hint="eastAsia" w:ascii="宋体" w:hAnsi="宋体" w:eastAsia="宋体" w:cs="宋体"/>
          <w:b w:val="0"/>
          <w:bCs w:val="0"/>
          <w:sz w:val="24"/>
          <w:szCs w:val="24"/>
          <w:highlight w:val="none"/>
          <w:lang w:val="en-US" w:eastAsia="zh-CN"/>
        </w:rPr>
        <w:fldChar w:fldCharType="begin"/>
      </w:r>
      <w:r>
        <w:rPr>
          <w:rFonts w:hint="eastAsia" w:ascii="宋体" w:hAnsi="宋体" w:eastAsia="宋体" w:cs="宋体"/>
          <w:b w:val="0"/>
          <w:bCs w:val="0"/>
          <w:sz w:val="24"/>
          <w:szCs w:val="24"/>
          <w:highlight w:val="none"/>
          <w:lang w:val="en-US" w:eastAsia="zh-CN"/>
        </w:rPr>
        <w:instrText xml:space="preserve">TOC \o "1-2" \n  \u </w:instrText>
      </w:r>
      <w:r>
        <w:rPr>
          <w:rFonts w:hint="eastAsia" w:ascii="宋体" w:hAnsi="宋体" w:eastAsia="宋体" w:cs="宋体"/>
          <w:b w:val="0"/>
          <w:bCs w:val="0"/>
          <w:sz w:val="24"/>
          <w:szCs w:val="24"/>
          <w:highlight w:val="none"/>
          <w:lang w:val="en-US" w:eastAsia="zh-CN"/>
        </w:rPr>
        <w:fldChar w:fldCharType="separate"/>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sz w:val="24"/>
          <w:szCs w:val="24"/>
        </w:rPr>
        <w:t xml:space="preserve">封面</w:t>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sz w:val="24"/>
          <w:szCs w:val="24"/>
        </w:rPr>
        <w:t xml:space="preserve">投标函格式</w:t>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eastAsia="宋体" w:cs="Times New Roman"/>
          <w:sz w:val="24"/>
          <w:szCs w:val="24"/>
        </w:rPr>
        <w:t xml:space="preserve">开标</w:t>
      </w:r>
      <w:r>
        <w:rPr>
          <w:rFonts w:hint="eastAsia" w:ascii="宋体" w:hAnsi="宋体"/>
          <w:bCs/>
          <w:sz w:val="24"/>
          <w:szCs w:val="24"/>
        </w:rPr>
        <w:t xml:space="preserve">一览表</w:t>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bCs/>
          <w:sz w:val="24"/>
          <w:szCs w:val="24"/>
          <w:highlight w:val="none"/>
        </w:rPr>
        <w:t xml:space="preserve">资格</w:t>
      </w:r>
      <w:r>
        <w:rPr>
          <w:rFonts w:hint="eastAsia" w:ascii="宋体" w:hAnsi="宋体" w:eastAsia="宋体" w:cs="Times New Roman"/>
          <w:sz w:val="24"/>
          <w:szCs w:val="24"/>
          <w:highlight w:val="none"/>
        </w:rPr>
        <w:t xml:space="preserve">证明</w:t>
      </w:r>
      <w:r>
        <w:rPr>
          <w:rFonts w:hint="eastAsia" w:ascii="宋体" w:hAnsi="宋体"/>
          <w:bCs/>
          <w:sz w:val="24"/>
          <w:szCs w:val="24"/>
          <w:highlight w:val="none"/>
        </w:rPr>
        <w:t xml:space="preserve">文件</w:t>
      </w:r>
      <w:r/>
    </w:p>
    <w:p>
      <w:pPr>
        <w:pStyle w:val="956"/>
        <w:numPr>
          <w:ilvl w:val="0"/>
          <w:numId w:val="5"/>
        </w:numPr>
        <w:ind w:left="0" w:firstLine="420"/>
        <w:spacing w:line="360" w:lineRule="auto"/>
        <w:tabs>
          <w:tab w:val="right" w:pos="9746" w:leader="middleDot"/>
        </w:tabs>
        <w:rPr>
          <w:sz w:val="24"/>
          <w:szCs w:val="24"/>
        </w:rPr>
      </w:pPr>
      <w:r>
        <w:rPr>
          <w:rFonts w:ascii="宋体" w:hAnsi="宋体" w:eastAsia="宋体" w:cs="宋体"/>
          <w:color w:val="000000"/>
          <w:sz w:val="24"/>
          <w:szCs w:val="24"/>
          <w:highlight w:val="none"/>
        </w:rPr>
        <w:t xml:space="preserve">第四章</w:t>
      </w:r>
      <w:r>
        <w:rPr>
          <w:bCs/>
          <w:sz w:val="24"/>
          <w:szCs w:val="24"/>
        </w:rPr>
        <w:t xml:space="preserve">项目需求中实质性要求响应对照表</w:t>
      </w:r>
      <w:r/>
    </w:p>
    <w:p>
      <w:pPr>
        <w:pStyle w:val="956"/>
        <w:numPr>
          <w:ilvl w:val="0"/>
          <w:numId w:val="5"/>
        </w:numPr>
        <w:ind w:left="0" w:firstLine="420"/>
        <w:spacing w:line="360" w:lineRule="auto"/>
        <w:tabs>
          <w:tab w:val="right" w:pos="9746" w:leader="middleDot"/>
        </w:tabs>
        <w:rPr>
          <w:sz w:val="24"/>
          <w:szCs w:val="24"/>
        </w:rPr>
      </w:pPr>
      <w:r>
        <w:rPr>
          <w:rFonts w:hint="eastAsia"/>
          <w:bCs/>
          <w:sz w:val="24"/>
          <w:szCs w:val="24"/>
          <w:lang w:val="en-US" w:eastAsia="zh-CN"/>
        </w:rPr>
        <w:t xml:space="preserve">分</w:t>
      </w:r>
      <w:r>
        <w:rPr>
          <w:rFonts w:hint="eastAsia"/>
          <w:bCs/>
          <w:sz w:val="24"/>
          <w:szCs w:val="24"/>
        </w:rPr>
        <w:t xml:space="preserve">项报价表</w:t>
      </w:r>
      <w:r/>
    </w:p>
    <w:p>
      <w:pPr>
        <w:pStyle w:val="956"/>
        <w:numPr>
          <w:ilvl w:val="0"/>
          <w:numId w:val="5"/>
        </w:numPr>
        <w:ind w:left="0" w:firstLine="420"/>
        <w:spacing w:line="360" w:lineRule="auto"/>
        <w:tabs>
          <w:tab w:val="right" w:pos="9746" w:leader="middleDot"/>
        </w:tabs>
        <w:rPr>
          <w:sz w:val="24"/>
          <w:szCs w:val="24"/>
        </w:rPr>
      </w:pPr>
      <w:r>
        <w:rPr>
          <w:rFonts w:hint="eastAsia" w:ascii="Times New Roman" w:hAnsi="Times New Roman" w:eastAsia="宋体" w:cs="Times New Roman"/>
          <w:bCs/>
          <w:sz w:val="24"/>
          <w:szCs w:val="24"/>
          <w:highlight w:val="none"/>
          <w:lang w:eastAsia="zh-CN"/>
        </w:rPr>
        <w:t xml:space="preserve">技术参数响应及偏离表</w:t>
      </w:r>
      <w:r/>
    </w:p>
    <w:p>
      <w:pPr>
        <w:pStyle w:val="956"/>
        <w:numPr>
          <w:ilvl w:val="0"/>
          <w:numId w:val="5"/>
        </w:numPr>
        <w:ind w:left="0" w:firstLine="420"/>
        <w:spacing w:line="360" w:lineRule="auto"/>
        <w:tabs>
          <w:tab w:val="right" w:pos="9746" w:leader="middleDot"/>
        </w:tabs>
        <w:rPr>
          <w:sz w:val="24"/>
          <w:szCs w:val="24"/>
        </w:rPr>
      </w:pPr>
      <w:r>
        <w:rPr>
          <w:rFonts w:hint="eastAsia" w:ascii="Times New Roman" w:hAnsi="Times New Roman" w:eastAsia="宋体" w:cs="Times New Roman"/>
          <w:bCs/>
          <w:sz w:val="24"/>
          <w:szCs w:val="24"/>
          <w:highlight w:val="none"/>
          <w:lang w:eastAsia="zh-CN"/>
        </w:rPr>
        <w:t xml:space="preserve">商务条款响应及偏离表</w:t>
      </w:r>
      <w:r/>
    </w:p>
    <w:p>
      <w:pPr>
        <w:pStyle w:val="956"/>
        <w:numPr>
          <w:ilvl w:val="0"/>
          <w:numId w:val="5"/>
        </w:numPr>
        <w:ind w:left="0" w:firstLine="420"/>
        <w:spacing w:line="360" w:lineRule="auto"/>
        <w:tabs>
          <w:tab w:val="right" w:pos="9746" w:leader="middleDot"/>
        </w:tabs>
        <w:rPr>
          <w:sz w:val="24"/>
          <w:szCs w:val="24"/>
        </w:rPr>
      </w:pPr>
      <w:r>
        <w:rPr>
          <w:rFonts w:ascii="宋体" w:hAnsi="宋体"/>
          <w:sz w:val="24"/>
          <w:szCs w:val="24"/>
          <w:highlight w:val="none"/>
          <w:lang w:eastAsia="zh-CN"/>
        </w:rPr>
        <w:t xml:space="preserve">服</w:t>
      </w:r>
      <w:r>
        <w:rPr>
          <w:rFonts w:ascii="宋体" w:hAnsi="宋体"/>
          <w:sz w:val="24"/>
          <w:szCs w:val="24"/>
          <w:lang w:eastAsia="zh-CN"/>
        </w:rPr>
        <w:t xml:space="preserve">务方案</w:t>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eastAsia="宋体" w:cs="Times New Roman"/>
          <w:sz w:val="24"/>
          <w:szCs w:val="24"/>
          <w:highlight w:val="none"/>
          <w:lang w:val="en-US" w:eastAsia="zh-CN"/>
        </w:rPr>
        <w:t xml:space="preserve">类似</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lang w:val="en-US" w:eastAsia="zh-CN"/>
        </w:rPr>
        <w:t xml:space="preserve">业绩一览表</w:t>
      </w:r>
      <w:r/>
    </w:p>
    <w:p>
      <w:pPr>
        <w:pStyle w:val="956"/>
        <w:numPr>
          <w:ilvl w:val="0"/>
          <w:numId w:val="5"/>
        </w:numPr>
        <w:ind w:left="0" w:firstLine="420"/>
        <w:spacing w:line="360" w:lineRule="auto"/>
        <w:tabs>
          <w:tab w:val="right" w:pos="9746" w:leader="middleDot"/>
        </w:tabs>
        <w:rPr>
          <w:sz w:val="24"/>
          <w:szCs w:val="24"/>
        </w:rPr>
      </w:pPr>
      <w:r>
        <w:rPr>
          <w:rFonts w:hint="default" w:ascii="宋体" w:hAnsi="宋体" w:eastAsia="宋体" w:cs="Times New Roman"/>
          <w:sz w:val="24"/>
          <w:szCs w:val="24"/>
          <w:highlight w:val="none"/>
          <w:lang w:val="en-US" w:eastAsia="zh-CN"/>
        </w:rPr>
        <w:t xml:space="preserve">项目负责人及其他人员介绍</w:t>
      </w:r>
      <w:r/>
    </w:p>
    <w:p>
      <w:pPr>
        <w:pStyle w:val="956"/>
        <w:numPr>
          <w:ilvl w:val="0"/>
          <w:numId w:val="5"/>
        </w:numPr>
        <w:ind w:left="0" w:firstLine="420"/>
        <w:spacing w:line="360" w:lineRule="auto"/>
        <w:tabs>
          <w:tab w:val="right" w:pos="9746" w:leader="middleDot"/>
        </w:tabs>
        <w:rPr>
          <w:sz w:val="24"/>
          <w:szCs w:val="24"/>
        </w:rPr>
      </w:pPr>
      <w:r>
        <w:rPr>
          <w:rFonts w:hint="eastAsia" w:ascii="宋体" w:hAnsi="宋体"/>
          <w:sz w:val="24"/>
          <w:szCs w:val="24"/>
        </w:rPr>
        <w:t xml:space="preserve">投标人情况介绍</w:t>
      </w:r>
      <w:r/>
    </w:p>
    <w:p>
      <w:pPr>
        <w:pStyle w:val="1098"/>
        <w:ind w:left="0" w:firstLine="0"/>
        <w:keepLines w:val="0"/>
        <w:keepNext w:val="0"/>
        <w:pageBreakBefore w:val="0"/>
        <w:spacing w:line="360" w:lineRule="auto"/>
        <w:widowControl w:val="off"/>
        <w:tabs>
          <w:tab w:val="right" w:pos="9746" w:leader="none"/>
        </w:tabs>
        <w:rPr>
          <w:rFonts w:hint="eastAsia" w:ascii="宋体" w:hAnsi="宋体" w:eastAsia="宋体" w:cs="宋体"/>
          <w:sz w:val="24"/>
          <w:szCs w:val="24"/>
          <w:lang w:val="en-US" w:eastAsia="zh-CN"/>
        </w:rPr>
      </w:pPr>
      <w:r>
        <w:rPr>
          <w:rFonts w:hint="eastAsia" w:ascii="宋体" w:hAnsi="宋体" w:eastAsia="宋体" w:cs="宋体"/>
          <w:bCs w:val="0"/>
          <w:sz w:val="24"/>
          <w:szCs w:val="24"/>
          <w:highlight w:val="none"/>
          <w:lang w:val="en-US" w:eastAsia="zh-CN"/>
        </w:rPr>
        <w:fldChar w:fldCharType="end"/>
      </w:r>
      <w:r/>
    </w:p>
    <w:p>
      <w:pPr>
        <w:pStyle w:val="978"/>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2" w:name="_Toc209797858"/>
      <w:r>
        <w:rPr>
          <w:rFonts w:hint="eastAsia" w:ascii="宋体" w:hAnsi="宋体"/>
          <w:b/>
          <w:sz w:val="32"/>
          <w:szCs w:val="32"/>
        </w:rPr>
        <w:t xml:space="preserve">封面</w:t>
      </w:r>
      <w:bookmarkEnd w:id="192"/>
      <w:r/>
      <w:r/>
    </w:p>
    <w:p>
      <w:pPr>
        <w:pStyle w:val="978"/>
        <w:rPr>
          <w:rFonts w:hint="eastAsia"/>
          <w:lang w:val="en-US" w:eastAsia="zh-CN"/>
        </w:rPr>
      </w:pPr>
      <w:r>
        <w:rPr>
          <w:rFonts w:hint="eastAsia"/>
          <w:lang w:val="en-US" w:eastAsia="zh-CN"/>
        </w:rPr>
      </w:r>
      <w:r/>
    </w:p>
    <w:p>
      <w:pPr>
        <w:pStyle w:val="1067"/>
        <w:jc w:val="center"/>
        <w:spacing w:before="540" w:after="540"/>
        <w:rPr>
          <w:rFonts w:ascii="宋体" w:hAnsi="宋体" w:eastAsia="宋体" w:cs="宋体"/>
          <w:color w:val="auto"/>
          <w:sz w:val="54"/>
          <w:szCs w:val="54"/>
        </w:rPr>
      </w:pPr>
      <w:r>
        <w:rPr>
          <w:rStyle w:val="1036"/>
          <w:rFonts w:ascii="宋体" w:hAnsi="宋体" w:eastAsia="宋体" w:cs="宋体"/>
          <w:color w:val="auto"/>
          <w:sz w:val="54"/>
          <w:szCs w:val="54"/>
        </w:rPr>
        <w:t xml:space="preserve">投 标 文 件</w:t>
      </w:r>
      <w:r/>
    </w:p>
    <w:p>
      <w:pPr>
        <w:pStyle w:val="1067"/>
        <w:spacing w:before="240" w:after="240"/>
        <w:rPr>
          <w:rFonts w:ascii="宋体" w:hAnsi="宋体" w:eastAsia="宋体" w:cs="宋体"/>
          <w:color w:val="auto"/>
          <w:sz w:val="24"/>
          <w:szCs w:val="24"/>
        </w:rPr>
      </w:pPr>
      <w:r>
        <w:rPr>
          <w:rStyle w:val="1036"/>
          <w:rFonts w:ascii="宋体" w:hAnsi="宋体" w:eastAsia="宋体" w:cs="宋体"/>
          <w:color w:val="auto"/>
        </w:rPr>
        <w:t xml:space="preserve"> </w:t>
      </w:r>
      <w:r/>
    </w:p>
    <w:p>
      <w:pPr>
        <w:pStyle w:val="1067"/>
        <w:jc w:val="center"/>
        <w:spacing w:before="400" w:after="400"/>
        <w:rPr>
          <w:rFonts w:ascii="宋体" w:hAnsi="宋体" w:eastAsia="宋体" w:cs="宋体"/>
          <w:color w:val="auto"/>
          <w:sz w:val="40"/>
          <w:szCs w:val="40"/>
        </w:rPr>
      </w:pPr>
      <w:r>
        <w:rPr>
          <w:rStyle w:val="1036"/>
          <w:rFonts w:ascii="宋体" w:hAnsi="宋体" w:eastAsia="宋体" w:cs="宋体"/>
          <w:color w:val="auto"/>
          <w:sz w:val="40"/>
          <w:szCs w:val="40"/>
        </w:rPr>
        <w:t xml:space="preserve"> </w:t>
      </w:r>
      <w:r/>
    </w:p>
    <w:p>
      <w:pPr>
        <w:pStyle w:val="1067"/>
        <w:spacing w:before="240" w:after="240"/>
        <w:rPr>
          <w:rFonts w:ascii="宋体" w:hAnsi="宋体" w:eastAsia="宋体" w:cs="宋体"/>
          <w:color w:val="auto"/>
          <w:sz w:val="24"/>
          <w:szCs w:val="24"/>
        </w:rPr>
      </w:pPr>
      <w:r>
        <w:rPr>
          <w:rStyle w:val="1036"/>
          <w:rFonts w:ascii="宋体" w:hAnsi="宋体" w:eastAsia="宋体" w:cs="宋体"/>
          <w:color w:val="auto"/>
        </w:rPr>
        <w:t xml:space="preserve">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项目名称：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招标编号：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投标人名称：   </w:t>
      </w:r>
      <w:r/>
    </w:p>
    <w:p>
      <w:pPr>
        <w:pStyle w:val="1067"/>
        <w:jc w:val="center"/>
        <w:spacing w:before="360" w:after="360"/>
        <w:rPr>
          <w:rFonts w:ascii="宋体" w:hAnsi="宋体" w:eastAsia="宋体" w:cs="宋体"/>
          <w:color w:val="auto"/>
          <w:sz w:val="36"/>
          <w:szCs w:val="36"/>
        </w:rPr>
      </w:pPr>
      <w:r>
        <w:rPr>
          <w:rStyle w:val="1036"/>
          <w:rFonts w:ascii="宋体" w:hAnsi="宋体" w:eastAsia="宋体" w:cs="宋体"/>
          <w:color w:val="auto"/>
          <w:sz w:val="36"/>
          <w:szCs w:val="36"/>
        </w:rPr>
        <w:t xml:space="preserve">日期：   </w:t>
      </w:r>
      <w:r/>
    </w:p>
    <w:p>
      <w:pPr>
        <w:numPr>
          <w:ilvl w:val="0"/>
          <w:numId w:val="0"/>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978"/>
        <w:jc w:val="center"/>
        <w:rPr>
          <w:rFonts w:hint="eastAsia"/>
        </w:rPr>
      </w:pPr>
      <w:r>
        <w:rPr>
          <w:rStyle w:val="1036"/>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spacing w:line="360" w:lineRule="auto"/>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地址：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邮编：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电话：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传真：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公章： </w:t>
      </w:r>
      <w:r/>
    </w:p>
    <w:p>
      <w:pPr>
        <w:ind w:firstLine="480"/>
        <w:jc w:val="left"/>
        <w:keepLines w:val="0"/>
        <w:keepNext w:val="0"/>
        <w:pageBreakBefore w:val="0"/>
        <w:spacing w:line="360" w:lineRule="auto"/>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978"/>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0"/>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958"/>
        <w:jc w:val="center"/>
        <w:keepLines w:val="0"/>
        <w:keepNext w:val="0"/>
        <w:widowControl/>
        <w:suppressLineNumbers w:val="0"/>
      </w:pPr>
      <w:r>
        <w:t xml:space="preserve">开标一览表（总报价）</w:t>
      </w:r>
      <w:r/>
    </w:p>
    <w:p>
      <w:pPr>
        <w:pStyle w:val="958"/>
        <w:keepLines w:val="0"/>
        <w:keepNext w:val="0"/>
        <w:widowControl/>
        <w:suppressLineNumbers w:val="0"/>
      </w:pPr>
      <w:r>
        <w:t xml:space="preserve">投标人全称（加盖公章）： </w:t>
      </w:r>
      <w:r/>
    </w:p>
    <w:p>
      <w:pPr>
        <w:pStyle w:val="958"/>
        <w:keepLines w:val="0"/>
        <w:keepNext w:val="0"/>
        <w:widowControl/>
        <w:suppressLineNumbers w:val="0"/>
      </w:pPr>
      <w:r>
        <w:t xml:space="preserve">项目编号： </w:t>
      </w:r>
      <w:r/>
    </w:p>
    <w:p>
      <w:pPr>
        <w:pStyle w:val="958"/>
        <w:keepLines w:val="0"/>
        <w:keepNext w:val="0"/>
        <w:widowControl/>
        <w:suppressLineNumbers w:val="0"/>
      </w:pPr>
      <w:r>
        <w:t xml:space="preserve">分包号： </w:t>
      </w:r>
      <w:r/>
    </w:p>
    <w:tbl>
      <w:tblPr>
        <w:tblStyle w:val="936"/>
        <w:tblW w:w="0" w:type="auto"/>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tcBorders>
              <w:top w:val="single" w:color="000000" w:sz="6" w:space="0"/>
              <w:left w:val="single" w:color="000000" w:sz="6" w:space="0"/>
              <w:bottom w:val="single" w:color="000000" w:sz="6" w:space="0"/>
              <w:right w:val="single" w:color="000000" w:sz="6" w:space="0"/>
            </w:tcBorders>
            <w:tcW w:w="439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tcBorders>
              <w:top w:val="single" w:color="000000" w:sz="6" w:space="0"/>
              <w:left w:val="single" w:color="000000" w:sz="6" w:space="0"/>
              <w:bottom w:val="single" w:color="000000" w:sz="6" w:space="0"/>
              <w:right w:val="single" w:color="000000" w:sz="6" w:space="0"/>
            </w:tcBorders>
            <w:tcW w:w="5364"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958"/>
        <w:jc w:val="right"/>
        <w:keepLines w:val="0"/>
        <w:keepNext w:val="0"/>
        <w:widowControl/>
        <w:suppressLineNumbers w:val="0"/>
      </w:pPr>
      <w:r>
        <w:t xml:space="preserve">日期： 年 月   日</w:t>
      </w:r>
      <w:r/>
    </w:p>
    <w:p>
      <w:pPr>
        <w:pStyle w:val="958"/>
        <w:keepLines w:val="0"/>
        <w:keepNext w:val="0"/>
        <w:widowControl/>
        <w:suppressLineNumbers w:val="0"/>
      </w:pPr>
      <w:r>
        <w:t xml:space="preserve">填写说明：</w:t>
      </w:r>
      <w:r/>
    </w:p>
    <w:p>
      <w:pPr>
        <w:pStyle w:val="958"/>
        <w:keepLines w:val="0"/>
        <w:keepNext w:val="0"/>
        <w:widowControl/>
        <w:suppressLineNumbers w:val="0"/>
      </w:pPr>
      <w:r>
        <w:rPr>
          <w:rStyle w:val="963"/>
          <w:u w:val="single"/>
        </w:rPr>
        <w:t xml:space="preserve">1、开标一览表必须加盖投标人公章（复印件无效）。</w:t>
      </w:r>
      <w:r/>
    </w:p>
    <w:p>
      <w:pPr>
        <w:pStyle w:val="958"/>
        <w:keepLines w:val="0"/>
        <w:keepNext w:val="0"/>
        <w:widowControl/>
        <w:rPr>
          <w:rFonts w:hint="eastAsia"/>
          <w:u w:val="single"/>
        </w:rPr>
        <w:suppressLineNumbers w:val="0"/>
      </w:pPr>
      <w:r>
        <w:rPr>
          <w:rStyle w:val="963"/>
          <w:u w:val="single"/>
        </w:rPr>
        <w:t xml:space="preserve">2、如有分包，投标人投任何一个包的标的，都需单独填写开标一览表。</w:t>
      </w:r>
      <w:r/>
    </w:p>
    <w:p>
      <w:pPr>
        <w:ind w:right="139" w:firstLine="0"/>
        <w:rPr>
          <w:u w:val="single"/>
        </w:rPr>
      </w:pPr>
      <w:r>
        <w:rPr>
          <w:u w:val="single"/>
        </w:rPr>
      </w:r>
      <w:r/>
    </w:p>
    <w:p>
      <w:pPr>
        <w:numPr>
          <w:ilvl w:val="0"/>
          <w:numId w:val="0"/>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20"/>
        <w:numPr>
          <w:ilvl w:val="0"/>
          <w:numId w:val="0"/>
        </w:numPr>
        <w:rPr>
          <w:b/>
          <w:bCs/>
          <w:i w:val="0"/>
          <w:iCs w:val="0"/>
          <w:sz w:val="24"/>
          <w:szCs w:val="24"/>
          <w:u w:val="none"/>
        </w:rPr>
      </w:pPr>
      <w:r>
        <w:rPr>
          <w:b/>
          <w:bCs/>
          <w:i w:val="0"/>
          <w:iCs w:val="0"/>
          <w:sz w:val="24"/>
          <w:szCs w:val="24"/>
          <w:u w:val="none"/>
        </w:rPr>
      </w:r>
      <w:r/>
    </w:p>
    <w:p>
      <w:pPr>
        <w:pStyle w:val="1020"/>
        <w:numPr>
          <w:ilvl w:val="0"/>
          <w:numId w:val="0"/>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6"/>
        <w:spacing w:line="440" w:lineRule="exact"/>
        <w:rPr>
          <w:rFonts w:ascii="Times New Roman" w:hAnsi="Times New Roman" w:eastAsia="Times New Roman" w:cs="Times New Roman"/>
          <w:spacing w:val="7"/>
          <w:highlight w:val="none"/>
        </w:rPr>
        <w:outlineLvl w:val="9"/>
      </w:pPr>
      <w:r>
        <w:rPr>
          <w:rStyle w:val="935"/>
          <w:rFonts w:ascii="Times New Roman" w:hAnsi="Times New Roman" w:eastAsia="Times New Roman" w:cs="Times New Roman"/>
          <w:color w:val="000000"/>
          <w:highlight w:val="none"/>
        </w:rPr>
        <w:t xml:space="preserve">﻿ </w:t>
      </w:r>
      <w:r/>
    </w:p>
    <w:p>
      <w:pPr>
        <w:pStyle w:val="1126"/>
        <w:spacing w:before="240" w:after="240"/>
        <w:rPr>
          <w:rFonts w:ascii="Times New Roman" w:hAnsi="Times New Roman" w:eastAsia="Times New Roman" w:cs="Times New Roman"/>
          <w:sz w:val="24"/>
          <w:szCs w:val="24"/>
          <w:highlight w:val="none"/>
        </w:rPr>
      </w:pPr>
      <w:r>
        <w:rPr>
          <w:rStyle w:val="935"/>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2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2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19"/>
        <w:jc w:val="center"/>
        <w:spacing w:before="360" w:after="360" w:line="300" w:lineRule="auto"/>
        <w:rPr>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2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09"/>
        <w:jc w:val="center"/>
        <w:rPr>
          <w:sz w:val="24"/>
          <w:szCs w:val="28"/>
        </w:rPr>
      </w:pPr>
      <w:r>
        <w:rPr>
          <w:rFonts w:hint="eastAsia"/>
          <w:color w:val="000000"/>
          <w:sz w:val="24"/>
          <w:szCs w:val="28"/>
        </w:rPr>
        <w:t xml:space="preserve">依法缴纳税收和社会保障资金的相关材料</w:t>
      </w:r>
      <w:r/>
    </w:p>
    <w:p>
      <w:pPr>
        <w:pStyle w:val="1020"/>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55"/>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55"/>
        <w:rPr>
          <w:rFonts w:hint="eastAsia" w:ascii="宋体" w:hAnsi="宋体"/>
          <w:sz w:val="24"/>
        </w:rPr>
      </w:pPr>
      <w:r>
        <w:rPr>
          <w:rFonts w:hint="eastAsia" w:ascii="宋体" w:hAnsi="宋体"/>
          <w:sz w:val="24"/>
        </w:rPr>
      </w:r>
      <w:r/>
    </w:p>
    <w:p>
      <w:pPr>
        <w:pStyle w:val="1055"/>
        <w:rPr>
          <w:rFonts w:hint="eastAsia" w:ascii="宋体" w:hAnsi="宋体"/>
          <w:sz w:val="24"/>
        </w:rPr>
      </w:pPr>
      <w:r>
        <w:rPr>
          <w:rFonts w:hint="eastAsia" w:ascii="宋体" w:hAnsi="宋体"/>
          <w:sz w:val="24"/>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09"/>
        <w:ind w:firstLine="480"/>
        <w:keepLines w:val="0"/>
        <w:keepNext w:val="0"/>
        <w:spacing w:line="360" w:lineRule="auto"/>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w:t>
      </w:r>
      <w:r>
        <w:rPr>
          <w:rFonts w:hint="eastAsia" w:ascii="宋体" w:hAnsi="宋体"/>
          <w:sz w:val="24"/>
          <w:szCs w:val="24"/>
          <w:lang w:val="en-US" w:eastAsia="zh-CN"/>
        </w:rPr>
        <w:t xml:space="preserve">中华人民共和国</w:t>
      </w:r>
      <w:r>
        <w:rPr>
          <w:rFonts w:hint="eastAsia" w:ascii="宋体" w:hAnsi="宋体"/>
          <w:sz w:val="24"/>
          <w:szCs w:val="24"/>
        </w:rPr>
        <w:t xml:space="preserve">政府采购法》第二十二条第一款规定的条件，且所有关于投标资格的文件、证明和陈述均是真实的、准确的。若与真实情况不符，本公司愿意承担由此而产生的一切后果。</w:t>
      </w:r>
      <w:r/>
    </w:p>
    <w:p>
      <w:pPr>
        <w:ind w:firstLine="480"/>
        <w:keepLines w:val="0"/>
        <w:keepNext w:val="0"/>
        <w:spacing w:line="360" w:lineRule="auto"/>
        <w:rPr>
          <w:rFonts w:hint="eastAsia" w:ascii="宋体" w:hAnsi="宋体"/>
          <w:sz w:val="24"/>
        </w:rPr>
        <w:outlineLvl w:val="9"/>
      </w:pPr>
      <w:r>
        <w:rPr>
          <w:rFonts w:hint="eastAsia" w:ascii="宋体" w:hAnsi="宋体"/>
          <w:sz w:val="24"/>
        </w:rPr>
      </w:r>
      <w:r/>
    </w:p>
    <w:p>
      <w:pPr>
        <w:ind w:firstLine="643"/>
        <w:jc w:val="center"/>
        <w:keepLines w:val="0"/>
        <w:keepNext w:val="0"/>
        <w:spacing w:line="360" w:lineRule="auto"/>
        <w:rPr>
          <w:rFonts w:hint="eastAsia"/>
          <w:b/>
          <w:sz w:val="32"/>
          <w:szCs w:val="32"/>
        </w:rPr>
        <w:outlineLvl w:val="9"/>
      </w:pPr>
      <w:r>
        <w:rPr>
          <w:rFonts w:hint="eastAsia"/>
          <w:b/>
          <w:sz w:val="32"/>
          <w:szCs w:val="32"/>
        </w:rPr>
      </w:r>
      <w:r/>
    </w:p>
    <w:p>
      <w:pPr>
        <w:ind w:firstLine="480"/>
        <w:jc w:val="both"/>
        <w:keepLines w:val="0"/>
        <w:keepNext w:val="0"/>
        <w:spacing w:line="360" w:lineRule="auto"/>
        <w:rPr>
          <w:rFonts w:hint="eastAsia" w:ascii="宋体" w:hAnsi="宋体"/>
          <w:sz w:val="24"/>
        </w:rPr>
        <w:outlineLvl w:val="9"/>
      </w:pPr>
      <w:r>
        <w:rPr>
          <w:rFonts w:hint="eastAsia" w:ascii="宋体" w:hAnsi="宋体"/>
          <w:sz w:val="24"/>
        </w:rPr>
        <w:t xml:space="preserve">投标单位（加盖公章）：</w:t>
      </w:r>
      <w:r/>
    </w:p>
    <w:p>
      <w:pPr>
        <w:ind w:firstLine="480"/>
        <w:spacing w:line="360" w:lineRule="auto"/>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010"/>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010"/>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010"/>
        <w:ind w:firstLine="499"/>
        <w:spacing w:line="360" w:lineRule="auto"/>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193" w:name="sys_STR"/>
      <w:r/>
      <w:bookmarkEnd w:id="193"/>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010"/>
        <w:ind w:firstLine="499"/>
        <w:spacing w:line="360" w:lineRule="auto"/>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010"/>
        <w:spacing w:before="240" w:after="240" w:line="360" w:lineRule="auto"/>
        <w:rPr>
          <w:rFonts w:eastAsia="宋体"/>
          <w:highlight w:val="white"/>
        </w:rPr>
      </w:pPr>
      <w:r>
        <w:rPr>
          <w:rFonts w:eastAsia="宋体"/>
          <w:highlight w:val="white"/>
        </w:rPr>
        <w:t xml:space="preserve"> </w:t>
      </w:r>
      <w:r/>
    </w:p>
    <w:p>
      <w:pPr>
        <w:pStyle w:val="1010"/>
        <w:ind w:firstLine="3570"/>
        <w:spacing w:before="240" w:after="240" w:line="360" w:lineRule="auto"/>
        <w:rPr>
          <w:rFonts w:eastAsia="宋体"/>
          <w:highlight w:val="white"/>
        </w:rPr>
      </w:pPr>
      <w:r>
        <w:rPr>
          <w:rFonts w:eastAsia="宋体"/>
          <w:highlight w:val="white"/>
        </w:rPr>
        <w:t xml:space="preserve">被授权人身份证号码：   </w:t>
      </w:r>
      <w:r/>
    </w:p>
    <w:p>
      <w:pPr>
        <w:pStyle w:val="1010"/>
        <w:ind w:firstLine="3570"/>
        <w:spacing w:before="240" w:after="240" w:line="360" w:lineRule="auto"/>
        <w:rPr>
          <w:rFonts w:eastAsia="宋体"/>
          <w:highlight w:val="white"/>
        </w:rPr>
      </w:pPr>
      <w:r>
        <w:rPr>
          <w:rFonts w:eastAsia="宋体"/>
          <w:highlight w:val="white"/>
        </w:rPr>
        <w:t xml:space="preserve">被授权人联系电话：（手机）   </w:t>
      </w:r>
      <w:r/>
    </w:p>
    <w:p>
      <w:pPr>
        <w:pStyle w:val="1010"/>
        <w:ind w:firstLine="3570"/>
        <w:spacing w:before="240" w:after="240" w:line="360" w:lineRule="auto"/>
        <w:rPr>
          <w:rFonts w:eastAsia="宋体"/>
          <w:highlight w:val="white"/>
        </w:rPr>
      </w:pPr>
      <w:r>
        <w:rPr>
          <w:rFonts w:eastAsia="宋体"/>
          <w:highlight w:val="white"/>
        </w:rPr>
        <w:t xml:space="preserve">授权单位名称：   （加盖公章）</w:t>
      </w:r>
      <w:r/>
    </w:p>
    <w:p>
      <w:pPr>
        <w:pStyle w:val="1010"/>
        <w:ind w:firstLine="3570"/>
        <w:spacing w:before="240" w:after="240" w:line="360" w:lineRule="auto"/>
        <w:rPr>
          <w:rFonts w:eastAsia="宋体"/>
          <w:highlight w:val="white"/>
        </w:rPr>
      </w:pPr>
      <w:r>
        <w:rPr>
          <w:rFonts w:eastAsia="宋体"/>
          <w:highlight w:val="white"/>
        </w:rPr>
        <w:t xml:space="preserve">单位地址：   </w:t>
      </w:r>
      <w:r/>
    </w:p>
    <w:p>
      <w:pPr>
        <w:pStyle w:val="1010"/>
        <w:ind w:firstLine="3600"/>
        <w:spacing w:before="240" w:after="240" w:line="360" w:lineRule="auto"/>
        <w:rPr>
          <w:rFonts w:eastAsia="宋体"/>
          <w:highlight w:val="white"/>
        </w:rPr>
      </w:pPr>
      <w:r>
        <w:rPr>
          <w:rFonts w:eastAsia="宋体"/>
          <w:highlight w:val="white"/>
        </w:rPr>
        <w:t xml:space="preserve">日期：   </w:t>
      </w:r>
      <w:r/>
    </w:p>
    <w:p>
      <w:pPr>
        <w:pStyle w:val="1010"/>
        <w:contextualSpacing/>
        <w:ind w:firstLine="482"/>
        <w:spacing w:line="360" w:lineRule="auto"/>
        <w:rPr>
          <w:rFonts w:eastAsia="宋体"/>
          <w:b/>
          <w:bCs/>
          <w:highlight w:val="white"/>
        </w:rPr>
      </w:pPr>
      <w:r/>
      <w:bookmarkStart w:id="194"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010"/>
        <w:contextualSpacing/>
        <w:ind w:firstLine="482"/>
        <w:spacing w:line="360" w:lineRule="auto"/>
        <w:rPr>
          <w:rFonts w:eastAsia="宋体"/>
          <w:b/>
          <w:bCs/>
          <w:highlight w:val="white"/>
        </w:rPr>
      </w:pPr>
      <w:r>
        <w:rPr>
          <w:rFonts w:eastAsia="宋体"/>
          <w:b/>
          <w:bCs/>
          <w:highlight w:val="white"/>
        </w:rPr>
      </w:r>
      <w:r/>
    </w:p>
    <w:p>
      <w:pPr>
        <w:jc w:val="center"/>
        <w:spacing w:before="240" w:after="240" w:line="360" w:lineRule="auto"/>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360" w:lineRule="auto"/>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360" w:lineRule="auto"/>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360" w:lineRule="auto"/>
        <w:rPr>
          <w:rFonts w:ascii="Times New Roman" w:hAnsi="Times New Roman"/>
          <w:sz w:val="24"/>
          <w:szCs w:val="24"/>
          <w:highlight w:val="white"/>
        </w:rPr>
      </w:pPr>
      <w:r>
        <w:rPr>
          <w:rFonts w:ascii="Times New Roman" w:hAnsi="Times New Roman"/>
          <w:sz w:val="24"/>
          <w:szCs w:val="24"/>
          <w:highlight w:val="white"/>
        </w:rPr>
      </w:r>
      <w:r/>
    </w:p>
    <w:p>
      <w:pPr>
        <w:ind w:firstLine="3570"/>
        <w:spacing w:line="360" w:lineRule="auto"/>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360" w:lineRule="auto"/>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360" w:lineRule="auto"/>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360" w:lineRule="auto"/>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194"/>
      <w:r/>
      <w:r/>
    </w:p>
    <w:p>
      <w:pPr>
        <w:ind w:left="0" w:firstLine="0"/>
        <w:spacing w:line="440" w:lineRule="exact"/>
        <w:rPr>
          <w:rFonts w:ascii="Times New Roman" w:hAnsi="Times New Roman"/>
          <w:sz w:val="24"/>
          <w:szCs w:val="24"/>
        </w:rPr>
      </w:pPr>
      <w:r>
        <w:rPr>
          <w:rFonts w:ascii="Times New Roman" w:hAnsi="Times New Roman"/>
          <w:sz w:val="24"/>
          <w:szCs w:val="24"/>
        </w:rPr>
      </w:r>
      <w:r/>
    </w:p>
    <w:p>
      <w:pPr>
        <w:pStyle w:val="1020"/>
        <w:numPr>
          <w:ilvl w:val="0"/>
          <w:numId w:val="0"/>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036"/>
          <w:rFonts w:ascii="宋体" w:hAnsi="宋体" w:eastAsia="宋体" w:cs="宋体"/>
          <w:color w:val="auto"/>
          <w:sz w:val="32"/>
          <w:szCs w:val="32"/>
        </w:rPr>
        <w:t xml:space="preserve">中小企业声明函（服务）</w:t>
      </w:r>
      <w:r/>
    </w:p>
    <w:p>
      <w:pPr>
        <w:pStyle w:val="1074"/>
        <w:ind w:firstLine="480"/>
        <w:keepLines w:val="0"/>
        <w:keepNext w:val="0"/>
        <w:pageBreakBefore w:val="0"/>
        <w:spacing w:line="440" w:lineRule="exact"/>
        <w:widowControl/>
        <w:rPr>
          <w:rFonts w:ascii="宋体" w:hAnsi="宋体" w:eastAsia="宋体" w:cs="宋体"/>
          <w:color w:val="000000"/>
        </w:rPr>
        <w:outlineLvl w:val="9"/>
      </w:pPr>
      <w:r>
        <w:rPr>
          <w:rStyle w:val="1036"/>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036"/>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036"/>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036"/>
          <w:rFonts w:ascii="宋体" w:hAnsi="宋体" w:eastAsia="宋体" w:cs="宋体"/>
          <w:color w:val="000000"/>
          <w:highlight w:val="none"/>
        </w:rPr>
        <w:t xml:space="preserve">。相关</w:t>
      </w:r>
      <w:r>
        <w:rPr>
          <w:rStyle w:val="1036"/>
          <w:rFonts w:ascii="宋体" w:hAnsi="宋体" w:eastAsia="宋体" w:cs="宋体"/>
          <w:color w:val="000000"/>
        </w:rPr>
        <w:t xml:space="preserve">企业的具体情况如下：</w:t>
      </w:r>
      <w:r/>
    </w:p>
    <w:p>
      <w:pPr>
        <w:pStyle w:val="1053"/>
        <w:numPr>
          <w:ilvl w:val="0"/>
          <w:numId w:val="0"/>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53"/>
        <w:numPr>
          <w:ilvl w:val="0"/>
          <w:numId w:val="0"/>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w:t>
      </w:r>
      <w:r/>
    </w:p>
    <w:p>
      <w:pPr>
        <w:pStyle w:val="1074"/>
        <w:ind w:firstLine="480"/>
        <w:keepLines w:val="0"/>
        <w:keepNext w:val="0"/>
        <w:pageBreakBefore w:val="0"/>
        <w:spacing w:line="440" w:lineRule="exact"/>
        <w:widowControl/>
        <w:rPr>
          <w:rFonts w:ascii="宋体" w:hAnsi="宋体" w:eastAsia="宋体" w:cs="宋体"/>
          <w:color w:val="000000"/>
        </w:rPr>
        <w:outlineLvl w:val="9"/>
      </w:pPr>
      <w:r>
        <w:rPr>
          <w:rStyle w:val="1036"/>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74"/>
        <w:keepLines w:val="0"/>
        <w:keepNext w:val="0"/>
        <w:pageBreakBefore w:val="0"/>
        <w:spacing w:line="440" w:lineRule="exact"/>
        <w:widowControl/>
        <w:rPr>
          <w:rFonts w:ascii="宋体" w:hAnsi="宋体" w:eastAsia="宋体" w:cs="宋体"/>
          <w:color w:val="000000"/>
        </w:rPr>
        <w:outlineLvl w:val="9"/>
      </w:pPr>
      <w:r>
        <w:rPr>
          <w:rStyle w:val="1036"/>
          <w:rFonts w:ascii="宋体" w:hAnsi="宋体" w:eastAsia="宋体" w:cs="宋体"/>
          <w:color w:val="000000"/>
        </w:rPr>
        <w:t xml:space="preserve">本企业对上述声明内容的真实性负责。如有虚假，将依法承担相应责任。 </w:t>
      </w:r>
      <w:r/>
    </w:p>
    <w:p>
      <w:pPr>
        <w:pStyle w:val="1074"/>
        <w:keepLines w:val="0"/>
        <w:keepNext w:val="0"/>
        <w:pageBreakBefore w:val="0"/>
        <w:spacing w:line="440" w:lineRule="exact"/>
        <w:widowControl/>
        <w:rPr>
          <w:rFonts w:ascii="宋体" w:hAnsi="宋体" w:eastAsia="宋体" w:cs="宋体"/>
          <w:color w:val="000000"/>
        </w:rPr>
        <w:outlineLvl w:val="9"/>
      </w:pPr>
      <w:r>
        <w:rPr>
          <w:rStyle w:val="1036"/>
          <w:rFonts w:ascii="宋体" w:hAnsi="宋体" w:eastAsia="宋体" w:cs="宋体"/>
          <w:color w:val="000000"/>
        </w:rPr>
        <w:t xml:space="preserve">企业名称（盖章）：   </w:t>
      </w:r>
      <w:r/>
    </w:p>
    <w:p>
      <w:pPr>
        <w:pStyle w:val="1074"/>
        <w:keepLines w:val="0"/>
        <w:keepNext w:val="0"/>
        <w:pageBreakBefore w:val="0"/>
        <w:spacing w:line="440" w:lineRule="exact"/>
        <w:widowControl/>
        <w:rPr>
          <w:rFonts w:ascii="宋体" w:hAnsi="宋体" w:eastAsia="宋体" w:cs="宋体"/>
          <w:sz w:val="24"/>
          <w:szCs w:val="24"/>
        </w:rPr>
        <w:outlineLvl w:val="9"/>
      </w:pPr>
      <w:r>
        <w:rPr>
          <w:rStyle w:val="1036"/>
          <w:rFonts w:ascii="宋体" w:hAnsi="宋体" w:eastAsia="宋体" w:cs="宋体"/>
          <w:color w:val="000000"/>
        </w:rPr>
        <w:t xml:space="preserve">日期：   </w:t>
      </w:r>
      <w:r/>
    </w:p>
    <w:p>
      <w:pPr>
        <w:pStyle w:val="1074"/>
        <w:ind w:firstLine="480"/>
        <w:keepLines w:val="0"/>
        <w:keepNext w:val="0"/>
        <w:pageBreakBefore w:val="0"/>
        <w:spacing w:line="440" w:lineRule="exact"/>
        <w:rPr>
          <w:rFonts w:hint="eastAsia" w:ascii="宋体" w:hAnsi="宋体" w:eastAsia="宋体" w:cs="宋体"/>
          <w:sz w:val="24"/>
          <w:szCs w:val="24"/>
        </w:rPr>
        <w:outlineLvl w:val="9"/>
      </w:pPr>
      <w:r>
        <w:rPr>
          <w:rStyle w:val="1036"/>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lang w:val="en-US" w:eastAsia="zh-CN" w:bidi="ar-SA"/>
        </w:rPr>
        <w:t xml:space="preserve">服务类项目中供应商若使用退休人员，将不享受相应扶持政策</w:t>
      </w:r>
      <w:r>
        <w:rPr>
          <w:rFonts w:hint="eastAsia" w:ascii="宋体" w:hAnsi="宋体" w:eastAsia="宋体" w:cs="宋体"/>
          <w:b w:val="0"/>
          <w:bCs w:val="0"/>
          <w:color w:val="auto"/>
          <w:sz w:val="24"/>
          <w:szCs w:val="24"/>
          <w:lang w:val="en-US" w:eastAsia="zh-CN" w:bidi="ar-SA"/>
        </w:rPr>
        <w:t xml:space="preserve">。</w:t>
      </w:r>
      <w:r/>
    </w:p>
    <w:p>
      <w:pPr>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074"/>
        <w:keepLines w:val="0"/>
        <w:keepNext w:val="0"/>
        <w:pageBreakBefore w:val="0"/>
        <w:widowControl/>
        <w:rPr>
          <w:rFonts w:ascii="宋体" w:hAnsi="宋体" w:eastAsia="宋体" w:cs="宋体"/>
          <w:color w:val="000000"/>
        </w:rPr>
        <w:outlineLvl w:val="9"/>
      </w:pPr>
      <w:r>
        <w:rPr>
          <w:rFonts w:ascii="宋体" w:hAnsi="宋体" w:eastAsia="宋体" w:cs="宋体"/>
          <w:color w:val="000000"/>
        </w:rPr>
      </w:r>
      <w:r/>
    </w:p>
    <w:p>
      <w:pPr>
        <w:pStyle w:val="1074"/>
        <w:keepLines w:val="0"/>
        <w:keepNext w:val="0"/>
        <w:pageBreakBefore w:val="0"/>
        <w:widowControl/>
        <w:rPr>
          <w:rFonts w:ascii="宋体" w:hAnsi="宋体" w:eastAsia="宋体" w:cs="宋体"/>
          <w:color w:val="000000"/>
        </w:rPr>
      </w:pPr>
      <w:r>
        <w:rPr>
          <w:rStyle w:val="1036"/>
          <w:rFonts w:ascii="宋体" w:hAnsi="宋体" w:eastAsia="宋体" w:cs="宋体"/>
          <w:color w:val="000000"/>
        </w:rPr>
        <w:t xml:space="preserve">附：中小企业划型标准规定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74"/>
        <w:spacing w:before="240" w:after="240"/>
        <w:rPr>
          <w:rFonts w:ascii="宋体" w:hAnsi="宋体" w:eastAsia="宋体" w:cs="宋体"/>
          <w:sz w:val="24"/>
          <w:szCs w:val="24"/>
        </w:rPr>
      </w:pPr>
      <w:r>
        <w:rPr>
          <w:rStyle w:val="935"/>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Fonts w:hint="eastAsia" w:ascii="宋体" w:hAnsi="宋体" w:eastAsia="宋体" w:cs="宋体"/>
          <w:color w:val="000000"/>
          <w:sz w:val="24"/>
          <w:szCs w:val="24"/>
        </w:rPr>
      </w:pPr>
      <w:r>
        <w:rPr>
          <w:rStyle w:val="935"/>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074"/>
        <w:keepLines w:val="0"/>
        <w:keepNext w:val="0"/>
        <w:pageBreakBefore w:val="0"/>
        <w:widowControl/>
        <w:rPr>
          <w:rFonts w:ascii="宋体" w:hAnsi="宋体" w:eastAsia="宋体" w:cs="宋体"/>
          <w:color w:val="000000"/>
        </w:rPr>
      </w:pPr>
      <w:r>
        <w:rPr>
          <w:rFonts w:ascii="宋体" w:hAnsi="宋体" w:eastAsia="宋体" w:cs="宋体"/>
          <w:color w:val="000000"/>
        </w:rPr>
      </w:r>
      <w:r/>
    </w:p>
    <w:p>
      <w:pPr>
        <w:pStyle w:val="1020"/>
        <w:numPr>
          <w:ilvl w:val="0"/>
          <w:numId w:val="0"/>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036"/>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036"/>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036"/>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本单位对上述声明的真实性负责。如有虚假，将依法承担相应责任。</w:t>
      </w:r>
      <w:r/>
    </w:p>
    <w:p>
      <w:pPr>
        <w:pStyle w:val="1089"/>
        <w:jc w:val="center"/>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 </w:t>
      </w:r>
      <w:r/>
    </w:p>
    <w:p>
      <w:pPr>
        <w:pStyle w:val="1089"/>
        <w:jc w:val="center"/>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 </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单位名称（盖章）：   </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日期：   </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供应商提供的《残疾人福利性单位声明函》与事实不符的，依照《</w:t>
      </w:r>
      <w:r>
        <w:rPr>
          <w:rStyle w:val="1036"/>
          <w:rFonts w:hint="eastAsia" w:ascii="宋体" w:hAnsi="宋体" w:eastAsia="宋体" w:cs="宋体"/>
          <w:color w:val="000000"/>
        </w:rPr>
        <w:t xml:space="preserve">中华人民共和国政府采购法</w:t>
      </w:r>
      <w:r>
        <w:rPr>
          <w:rStyle w:val="1036"/>
          <w:rFonts w:ascii="宋体" w:hAnsi="宋体" w:eastAsia="宋体" w:cs="宋体"/>
          <w:color w:val="000000"/>
        </w:rPr>
        <w:t xml:space="preserve">》第七十七条第一款的规定追究法律责任。</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89"/>
        <w:keepLines w:val="0"/>
        <w:keepNext w:val="0"/>
        <w:spacing w:before="240" w:after="240" w:line="360" w:lineRule="auto"/>
        <w:rPr>
          <w:rFonts w:ascii="宋体" w:hAnsi="宋体" w:eastAsia="宋体" w:cs="宋体"/>
          <w:sz w:val="24"/>
          <w:szCs w:val="24"/>
        </w:rPr>
        <w:outlineLvl w:val="9"/>
      </w:pPr>
      <w:r>
        <w:rPr>
          <w:rStyle w:val="1036"/>
          <w:rFonts w:ascii="宋体" w:hAnsi="宋体" w:eastAsia="宋体" w:cs="宋体"/>
          <w:color w:val="000000"/>
        </w:rPr>
        <w:t xml:space="preserve">2、若供应商对照《关于促进残疾人就业政府采购政策的通知》（财库〔2017〕141号）中的规定，</w:t>
      </w:r>
      <w:r>
        <w:rPr>
          <w:rStyle w:val="1036"/>
          <w:rFonts w:ascii="宋体" w:hAnsi="宋体" w:eastAsia="宋体" w:cs="宋体"/>
          <w:b/>
          <w:bCs/>
          <w:color w:val="000000"/>
        </w:rPr>
        <w:t xml:space="preserve">明确不符合残疾人福利性单位条件的，则无需提供此声明函</w:t>
      </w:r>
      <w:r>
        <w:rPr>
          <w:rStyle w:val="1036"/>
          <w:rFonts w:ascii="宋体" w:hAnsi="宋体" w:eastAsia="宋体" w:cs="宋体"/>
          <w:color w:val="000000"/>
        </w:rPr>
        <w:t xml:space="preserve">。 </w:t>
      </w:r>
      <w:r/>
    </w:p>
    <w:p>
      <w:pPr>
        <w:ind w:firstLine="648"/>
        <w:jc w:val="left"/>
        <w:spacing w:line="360" w:lineRule="auto"/>
        <w:rPr>
          <w:rFonts w:hint="eastAsia"/>
          <w:lang w:val="en-US" w:eastAsia="zh-CN"/>
        </w:rPr>
      </w:pPr>
      <w:r>
        <w:rPr>
          <w:rFonts w:hint="eastAsia"/>
          <w:lang w:val="en-US" w:eastAsia="zh-CN"/>
        </w:rPr>
      </w:r>
      <w:r/>
    </w:p>
    <w:p>
      <w:pPr>
        <w:pStyle w:val="1020"/>
        <w:numPr>
          <w:ilvl w:val="0"/>
          <w:numId w:val="0"/>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Fonts w:ascii="Calibri" w:hAnsi="Calibri" w:eastAsia="宋体" w:cs="Times New Roman"/>
          <w:color w:val="auto"/>
          <w:sz w:val="32"/>
          <w:szCs w:val="32"/>
          <w:lang w:val="en-US" w:eastAsia="zh-CN" w:bidi="ar-SA"/>
        </w:rPr>
      </w:pPr>
      <w:r>
        <w:rPr>
          <w:rStyle w:val="1036"/>
          <w:rFonts w:hint="eastAsia" w:ascii="Calibri" w:hAnsi="Calibri" w:eastAsia="宋体" w:cs="Times New Roman"/>
          <w:color w:val="auto"/>
          <w:sz w:val="32"/>
          <w:szCs w:val="32"/>
          <w:lang w:val="en-US" w:eastAsia="zh-CN" w:bidi="ar-SA"/>
        </w:rPr>
        <w:t xml:space="preserve">监狱企业的证明文件</w:t>
      </w:r>
      <w:r/>
    </w:p>
    <w:p>
      <w:pPr>
        <w:pStyle w:val="1010"/>
        <w:ind w:firstLine="4560"/>
        <w:keepLines w:val="0"/>
        <w:keepNext w:val="0"/>
        <w:spacing w:before="240" w:after="240"/>
        <w:rPr>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61"/>
        <w:ind w:firstLine="480"/>
        <w:keepLines w:val="0"/>
        <w:keepNext w:val="0"/>
        <w:spacing w:line="360" w:lineRule="auto"/>
        <w:rPr>
          <w:rFonts w:ascii="宋体" w:hAnsi="宋体" w:eastAsia="宋体" w:cs="宋体"/>
          <w:color w:val="000000"/>
          <w:sz w:val="24"/>
          <w:szCs w:val="24"/>
        </w:rPr>
        <w:outlineLvl w:val="9"/>
      </w:pPr>
      <w:r>
        <w:rPr>
          <w:rStyle w:val="1036"/>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61"/>
        <w:keepLines w:val="0"/>
        <w:keepNext w:val="0"/>
        <w:spacing w:line="360" w:lineRule="auto"/>
        <w:rPr>
          <w:rFonts w:ascii="等线" w:hAnsi="等线" w:eastAsia="等线" w:cs="Times New Roman"/>
        </w:rPr>
        <w:outlineLvl w:val="9"/>
      </w:pPr>
      <w:r>
        <w:rPr>
          <w:rStyle w:val="1036"/>
          <w:rFonts w:hint="eastAsia" w:ascii="等线" w:hAnsi="等线" w:eastAsia="等线" w:cs="Times New Roman"/>
          <w:color w:val="000000"/>
        </w:rPr>
        <w:t xml:space="preserve">      </w:t>
      </w:r>
      <w:r/>
    </w:p>
    <w:p>
      <w:pPr>
        <w:pStyle w:val="1020"/>
        <w:numPr>
          <w:ilvl w:val="0"/>
          <w:numId w:val="0"/>
        </w:numPr>
        <w:ind w:firstLine="480"/>
        <w:keepLines w:val="0"/>
        <w:keepNext w:val="0"/>
        <w:pageBreakBefore w:val="0"/>
        <w:spacing w:line="360" w:lineRule="auto"/>
        <w:widowControl w:val="off"/>
        <w:rPr>
          <w:rFonts w:hint="eastAsia" w:ascii="宋体" w:hAnsi="宋体" w:eastAsia="宋体" w:cs="宋体"/>
          <w:b/>
          <w:bCs w:val="0"/>
          <w:color w:val="auto"/>
          <w:sz w:val="24"/>
          <w:szCs w:val="22"/>
          <w:highlight w:val="none"/>
          <w:lang w:eastAsia="zh-CN"/>
        </w:rPr>
        <w:outlineLvl w:val="9"/>
      </w:pPr>
      <w:r>
        <w:rPr>
          <w:rStyle w:val="1036"/>
          <w:rFonts w:hint="eastAsia" w:ascii="宋体" w:hAnsi="宋体" w:eastAsia="宋体" w:cs="宋体"/>
          <w:color w:val="000000"/>
          <w:sz w:val="24"/>
          <w:szCs w:val="24"/>
        </w:rPr>
        <w:t xml:space="preserve">2、若供应商对照《关于政府采购支持监狱企业发展有关问题的通知》（财库〔2014〕68号）中的规定，</w:t>
      </w:r>
      <w:r>
        <w:rPr>
          <w:rStyle w:val="1036"/>
          <w:rFonts w:hint="eastAsia" w:ascii="宋体" w:hAnsi="宋体" w:eastAsia="宋体" w:cs="宋体"/>
          <w:b/>
          <w:bCs/>
          <w:color w:val="000000"/>
          <w:sz w:val="24"/>
          <w:szCs w:val="24"/>
        </w:rPr>
        <w:t xml:space="preserve">明确不符合监狱企业条件的，则无需提供相关证明文件</w:t>
      </w:r>
      <w:r>
        <w:rPr>
          <w:rStyle w:val="1036"/>
          <w:rFonts w:hint="eastAsia" w:ascii="宋体" w:hAnsi="宋体" w:eastAsia="宋体" w:cs="宋体"/>
          <w:color w:val="000000"/>
          <w:sz w:val="24"/>
          <w:szCs w:val="24"/>
        </w:rPr>
        <w:t xml:space="preserve">。</w:t>
      </w:r>
      <w:r/>
    </w:p>
    <w:p>
      <w:pPr>
        <w:pStyle w:val="1010"/>
        <w:keepLines w:val="0"/>
        <w:keepNext w:val="0"/>
        <w:spacing w:before="240" w:after="240"/>
        <w:rPr>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0"/>
        </w:numPr>
        <w:ind w:left="0" w:firstLine="420"/>
        <w:jc w:val="left"/>
        <w:keepLines w:val="0"/>
        <w:keepNext w:val="0"/>
        <w:pageBreakBefore/>
        <w:spacing w:before="120" w:after="120" w:line="440" w:lineRule="exact"/>
        <w:widowControl w:val="off"/>
        <w:rPr>
          <w:b/>
          <w:bCs/>
          <w:sz w:val="32"/>
          <w:szCs w:val="32"/>
        </w:rPr>
        <w:outlineLvl w:val="1"/>
      </w:pPr>
      <w:r>
        <w:rPr>
          <w:rStyle w:val="1036"/>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66"/>
        <w:spacing w:line="440" w:lineRule="exact"/>
        <w:rPr>
          <w:rFonts w:ascii="宋体" w:hAnsi="宋体" w:eastAsia="宋体" w:cs="宋体"/>
          <w:b/>
          <w:bCs/>
          <w:color w:val="auto"/>
          <w:highlight w:val="none"/>
        </w:rPr>
        <w:outlineLvl w:val="9"/>
      </w:pPr>
      <w:r>
        <w:rPr>
          <w:rStyle w:val="935"/>
          <w:rFonts w:ascii="宋体" w:hAnsi="宋体" w:eastAsia="宋体" w:cs="宋体"/>
          <w:b/>
          <w:bCs/>
          <w:color w:val="auto"/>
          <w:highlight w:val="none"/>
        </w:rPr>
        <w:t xml:space="preserve"> </w:t>
      </w:r>
      <w:r>
        <w:rPr>
          <w:rStyle w:val="935"/>
          <w:rFonts w:hint="eastAsia" w:ascii="宋体" w:hAnsi="宋体" w:eastAsia="宋体" w:cs="宋体"/>
          <w:b/>
          <w:bCs/>
          <w:color w:val="auto"/>
          <w:highlight w:val="none"/>
          <w:lang w:val="en-US" w:eastAsia="zh-CN"/>
        </w:rPr>
        <w:t xml:space="preserve">1、</w:t>
      </w:r>
      <w:r>
        <w:rPr>
          <w:rStyle w:val="935"/>
          <w:rFonts w:hint="eastAsia" w:ascii="宋体" w:hAnsi="宋体" w:eastAsia="宋体" w:cs="宋体"/>
          <w:b/>
          <w:bCs/>
          <w:color w:val="auto"/>
          <w:highlight w:val="none"/>
          <w:lang w:eastAsia="zh-CN"/>
        </w:rPr>
        <w:t xml:space="preserve">商务条款的实质性格式</w:t>
      </w:r>
      <w:r>
        <w:rPr>
          <w:rStyle w:val="935"/>
          <w:rFonts w:ascii="宋体" w:hAnsi="宋体" w:eastAsia="宋体" w:cs="宋体"/>
          <w:b/>
          <w:bCs/>
          <w:color w:val="auto"/>
          <w:highlight w:val="none"/>
        </w:rPr>
        <w:t xml:space="preserve"> </w:t>
      </w:r>
      <w:r/>
    </w:p>
    <w:tbl>
      <w:tblPr>
        <w:tblStyle w:val="936"/>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hint="eastAsia" w:ascii="宋体" w:hAnsi="宋体" w:eastAsia="宋体" w:cs="宋体"/>
                <w:b w:val="0"/>
                <w:bCs w:val="0"/>
                <w:i w:val="0"/>
                <w:iCs w:val="0"/>
                <w:smallCaps w:val="0"/>
                <w:color w:val="auto"/>
                <w:sz w:val="24"/>
                <w:szCs w:val="24"/>
                <w:highlight w:val="none"/>
                <w:lang w:eastAsia="zh-CN"/>
              </w:rPr>
              <w:t xml:space="preserve">商务条款</w:t>
            </w:r>
            <w:r>
              <w:rPr>
                <w:rStyle w:val="935"/>
                <w:rFonts w:ascii="宋体" w:hAnsi="宋体" w:eastAsia="宋体" w:cs="宋体"/>
                <w:b w:val="0"/>
                <w:bCs w:val="0"/>
                <w:i w:val="0"/>
                <w:iCs w:val="0"/>
                <w:smallCaps w:val="0"/>
                <w:color w:val="auto"/>
                <w:sz w:val="24"/>
                <w:szCs w:val="24"/>
                <w:highlight w:val="none"/>
              </w:rPr>
              <w:t xml:space="preserve">的实质性要求</w:t>
            </w:r>
            <w:r/>
          </w:p>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eastAsia="zh-CN"/>
              </w:rPr>
            </w:pPr>
            <w:r>
              <w:rPr>
                <w:rStyle w:val="93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eastAsia="zh-CN"/>
              </w:rPr>
            </w:pPr>
            <w:r>
              <w:rPr>
                <w:rStyle w:val="93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val="en-US" w:eastAsia="zh-CN"/>
              </w:rPr>
            </w:pPr>
            <w:r>
              <w:rPr>
                <w:rStyle w:val="935"/>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ind w:firstLine="500"/>
              <w:spacing w:line="360" w:lineRule="auto"/>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val="en-US" w:eastAsia="zh-CN"/>
              </w:rPr>
            </w:pPr>
            <w:r>
              <w:rPr>
                <w:rStyle w:val="935"/>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ind w:firstLine="500"/>
              <w:spacing w:line="360" w:lineRule="auto"/>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6"/>
              <w:jc w:val="center"/>
              <w:spacing w:line="360" w:lineRule="auto"/>
              <w:rPr>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spacing w:line="360" w:lineRule="auto"/>
              <w:rPr>
                <w:rFonts w:ascii="宋体" w:hAnsi="宋体" w:eastAsia="宋体" w:cs="宋体"/>
                <w:b w:val="0"/>
                <w:bCs w:val="0"/>
                <w:i w:val="0"/>
                <w:iCs w:val="0"/>
                <w:smallCaps w:val="0"/>
                <w:color w:val="auto"/>
                <w:sz w:val="24"/>
                <w:szCs w:val="24"/>
                <w:highlight w:val="none"/>
              </w:rPr>
              <w:outlineLvl w:val="9"/>
            </w:pPr>
            <w:r>
              <w:rPr>
                <w:rStyle w:val="935"/>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166"/>
        <w:ind w:firstLine="48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66"/>
        <w:ind w:firstLine="482"/>
        <w:spacing w:line="360" w:lineRule="auto"/>
        <w:rPr>
          <w:rFonts w:hint="eastAsia" w:ascii="宋体" w:hAnsi="宋体" w:eastAsia="宋体" w:cs="宋体"/>
          <w:b/>
          <w:bCs/>
          <w:color w:val="auto"/>
          <w:highlight w:val="none"/>
          <w:lang w:val="en-US" w:eastAsia="zh-CN"/>
        </w:rPr>
      </w:pPr>
      <w:r>
        <w:rPr>
          <w:rStyle w:val="935"/>
          <w:rFonts w:hint="eastAsia" w:ascii="宋体" w:hAnsi="宋体" w:eastAsia="宋体" w:cs="宋体"/>
          <w:b/>
          <w:bCs/>
          <w:color w:val="auto"/>
          <w:highlight w:val="none"/>
          <w:lang w:val="en-US" w:eastAsia="zh-CN"/>
        </w:rPr>
        <w:t xml:space="preserve">2、技术要求的实质性格式</w:t>
      </w:r>
      <w:r/>
    </w:p>
    <w:tbl>
      <w:tblPr>
        <w:tblStyle w:val="936"/>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hint="eastAsia" w:ascii="宋体" w:hAnsi="宋体" w:eastAsia="宋体" w:cs="宋体"/>
                <w:b w:val="0"/>
                <w:bCs w:val="0"/>
                <w:i w:val="0"/>
                <w:iCs w:val="0"/>
                <w:smallCaps w:val="0"/>
                <w:color w:val="auto"/>
                <w:sz w:val="24"/>
                <w:szCs w:val="24"/>
                <w:highlight w:val="none"/>
                <w:lang w:eastAsia="zh-CN"/>
              </w:rPr>
              <w:t xml:space="preserve">技术要求</w:t>
            </w:r>
            <w:r>
              <w:rPr>
                <w:rStyle w:val="935"/>
                <w:rFonts w:ascii="宋体" w:hAnsi="宋体" w:eastAsia="宋体" w:cs="宋体"/>
                <w:b w:val="0"/>
                <w:bCs w:val="0"/>
                <w:i w:val="0"/>
                <w:iCs w:val="0"/>
                <w:smallCaps w:val="0"/>
                <w:color w:val="auto"/>
                <w:sz w:val="24"/>
                <w:szCs w:val="24"/>
                <w:highlight w:val="none"/>
              </w:rPr>
              <w:t xml:space="preserve">的实质性要求</w:t>
            </w:r>
            <w:r/>
          </w:p>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Style w:val="93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val="en-US" w:eastAsia="zh-CN"/>
              </w:rPr>
            </w:pPr>
            <w:r>
              <w:rPr>
                <w:rStyle w:val="935"/>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6"/>
              <w:jc w:val="left"/>
              <w:spacing w:line="360" w:lineRule="auto"/>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val="en-US" w:eastAsia="zh-CN"/>
              </w:rPr>
            </w:pPr>
            <w:r>
              <w:rPr>
                <w:rStyle w:val="935"/>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6"/>
              <w:jc w:val="left"/>
              <w:spacing w:line="360" w:lineRule="auto"/>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6"/>
              <w:jc w:val="center"/>
              <w:spacing w:line="360" w:lineRule="auto"/>
              <w:rPr>
                <w:rFonts w:hint="default" w:ascii="宋体" w:hAnsi="宋体" w:eastAsia="宋体" w:cs="宋体"/>
                <w:b w:val="0"/>
                <w:bCs w:val="0"/>
                <w:i w:val="0"/>
                <w:iCs w:val="0"/>
                <w:smallCaps w:val="0"/>
                <w:color w:val="auto"/>
                <w:sz w:val="24"/>
                <w:szCs w:val="24"/>
                <w:highlight w:val="none"/>
                <w:lang w:val="en-US" w:eastAsia="zh-CN"/>
              </w:rPr>
            </w:pPr>
            <w:r>
              <w:rPr>
                <w:rStyle w:val="935"/>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6"/>
              <w:jc w:val="left"/>
              <w:spacing w:line="360" w:lineRule="auto"/>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6"/>
              <w:jc w:val="center"/>
              <w:spacing w:line="360" w:lineRule="auto"/>
              <w:rPr>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6"/>
              <w:jc w:val="left"/>
              <w:spacing w:line="360" w:lineRule="auto"/>
              <w:rPr>
                <w:rFonts w:hint="eastAsia" w:ascii="宋体" w:hAnsi="宋体" w:eastAsia="宋体" w:cs="宋体"/>
                <w:b w:val="0"/>
                <w:bCs w:val="0"/>
                <w:i w:val="0"/>
                <w:iCs w:val="0"/>
                <w:smallCaps w:val="0"/>
                <w:color w:val="auto"/>
                <w:sz w:val="24"/>
                <w:szCs w:val="24"/>
                <w:highlight w:val="none"/>
                <w:lang w:eastAsia="zh-CN"/>
              </w:rPr>
            </w:pPr>
            <w:r>
              <w:rPr>
                <w:rStyle w:val="935"/>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6"/>
              <w:jc w:val="center"/>
              <w:spacing w:line="360" w:lineRule="auto"/>
              <w:rPr>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ind w:right="775" w:firstLine="643"/>
        <w:jc w:val="center"/>
        <w:rPr>
          <w:rFonts w:ascii="宋体"/>
          <w:b/>
          <w:sz w:val="32"/>
          <w:szCs w:val="32"/>
        </w:rPr>
      </w:pPr>
      <w:r>
        <w:rPr>
          <w:rFonts w:ascii="宋体"/>
          <w:b/>
          <w:sz w:val="32"/>
          <w:szCs w:val="32"/>
        </w:rPr>
      </w:r>
      <w:r/>
    </w:p>
    <w:p>
      <w:pPr>
        <w:ind w:right="775" w:firstLine="643"/>
        <w:jc w:val="center"/>
        <w:rPr>
          <w:rFonts w:ascii="宋体"/>
          <w:b/>
          <w:sz w:val="32"/>
          <w:szCs w:val="32"/>
        </w:rPr>
      </w:pPr>
      <w:r>
        <w:rPr>
          <w:rFonts w:ascii="宋体"/>
          <w:b/>
          <w:sz w:val="32"/>
          <w:szCs w:val="32"/>
        </w:rPr>
      </w:r>
      <w:r/>
    </w:p>
    <w:p>
      <w:pPr>
        <w:pStyle w:val="978"/>
        <w:rPr>
          <w:rFonts w:hint="eastAsia"/>
        </w:rPr>
      </w:pPr>
      <w:r>
        <w:rPr>
          <w:rFonts w:hint="eastAsia"/>
        </w:rPr>
      </w:r>
      <w:r/>
    </w:p>
    <w:p>
      <w:pPr>
        <w:numPr>
          <w:ilvl w:val="0"/>
          <w:numId w:val="0"/>
        </w:numPr>
        <w:ind w:left="0" w:firstLine="420"/>
        <w:jc w:val="left"/>
        <w:keepLines w:val="0"/>
        <w:keepNext w:val="0"/>
        <w:pageBreakBefore/>
        <w:spacing w:before="120" w:after="120" w:line="440" w:lineRule="exact"/>
        <w:widowControl w:val="off"/>
        <w:rPr>
          <w:b/>
          <w:bCs/>
          <w:sz w:val="32"/>
          <w:szCs w:val="32"/>
        </w:rPr>
        <w:outlineLvl w:val="1"/>
      </w:pPr>
      <w:r>
        <w:rPr>
          <w:rFonts w:hint="eastAsia"/>
          <w:b/>
          <w:bCs/>
          <w:sz w:val="32"/>
          <w:szCs w:val="32"/>
          <w:lang w:val="en-US" w:eastAsia="zh-CN"/>
        </w:rPr>
        <w:t xml:space="preserve">分</w:t>
      </w:r>
      <w:r>
        <w:rPr>
          <w:rFonts w:hint="eastAsia"/>
          <w:b/>
          <w:bCs/>
          <w:sz w:val="32"/>
          <w:szCs w:val="32"/>
        </w:rPr>
        <w:t xml:space="preserve">项报价表</w:t>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527"/>
        <w:gridCol w:w="900"/>
        <w:gridCol w:w="2591"/>
        <w:gridCol w:w="1169"/>
      </w:tblGrid>
      <w:tr>
        <w:trPr/>
        <w:tc>
          <w:tcPr>
            <w:tcW w:w="775" w:type="dxa"/>
            <w:vAlign w:val="top"/>
            <w:textDirection w:val="lrTb"/>
            <w:noWrap w:val="false"/>
          </w:tcPr>
          <w:p>
            <w:pPr>
              <w:numPr>
                <w:ilvl w:val="0"/>
                <w:numId w:val="0"/>
              </w:numPr>
              <w:jc w:val="center"/>
              <w:spacing w:after="0"/>
              <w:rPr>
                <w:rFonts w:hint="eastAsia" w:eastAsia="宋体"/>
                <w:sz w:val="24"/>
                <w:szCs w:val="24"/>
                <w:vertAlign w:val="baseline"/>
                <w:lang w:val="en-US" w:eastAsia="zh-CN"/>
              </w:rPr>
            </w:pPr>
            <w:r>
              <w:rPr>
                <w:rFonts w:hint="eastAsia"/>
                <w:sz w:val="24"/>
                <w:szCs w:val="24"/>
                <w:vertAlign w:val="baseline"/>
                <w:lang w:val="en-US" w:eastAsia="zh-CN"/>
              </w:rPr>
              <w:t xml:space="preserve">序号</w:t>
            </w:r>
            <w:r/>
          </w:p>
        </w:tc>
        <w:tc>
          <w:tcPr>
            <w:tcW w:w="4527" w:type="dxa"/>
            <w:vAlign w:val="top"/>
            <w:textDirection w:val="lrTb"/>
            <w:noWrap w:val="false"/>
          </w:tcPr>
          <w:p>
            <w:pPr>
              <w:numPr>
                <w:ilvl w:val="0"/>
                <w:numId w:val="0"/>
              </w:numPr>
              <w:jc w:val="center"/>
              <w:spacing w:after="0"/>
              <w:rPr>
                <w:rFonts w:hint="default" w:eastAsia="宋体"/>
                <w:sz w:val="24"/>
                <w:szCs w:val="24"/>
                <w:vertAlign w:val="baseline"/>
                <w:lang w:val="en-US" w:eastAsia="zh-CN"/>
              </w:rPr>
            </w:pPr>
            <w:r>
              <w:rPr>
                <w:rFonts w:hint="eastAsia"/>
                <w:sz w:val="24"/>
                <w:szCs w:val="24"/>
                <w:vertAlign w:val="baseline"/>
                <w:lang w:val="en-US" w:eastAsia="zh-CN"/>
              </w:rPr>
              <w:t xml:space="preserve">支出明细</w:t>
            </w:r>
            <w:r/>
          </w:p>
        </w:tc>
        <w:tc>
          <w:tcPr>
            <w:tcW w:w="900" w:type="dxa"/>
            <w:vAlign w:val="top"/>
            <w:textDirection w:val="lrTb"/>
            <w:noWrap w:val="false"/>
          </w:tcPr>
          <w:p>
            <w:pPr>
              <w:numPr>
                <w:ilvl w:val="0"/>
                <w:numId w:val="0"/>
              </w:numPr>
              <w:jc w:val="center"/>
              <w:spacing w:after="0"/>
              <w:rPr>
                <w:rFonts w:hint="eastAsia" w:eastAsia="宋体"/>
                <w:sz w:val="24"/>
                <w:szCs w:val="24"/>
                <w:vertAlign w:val="baseline"/>
                <w:lang w:val="en-US" w:eastAsia="zh-CN"/>
              </w:rPr>
            </w:pPr>
            <w:r>
              <w:rPr>
                <w:rFonts w:hint="eastAsia"/>
                <w:sz w:val="24"/>
                <w:szCs w:val="24"/>
                <w:vertAlign w:val="baseline"/>
                <w:lang w:val="en-US" w:eastAsia="zh-CN"/>
              </w:rPr>
              <w:t xml:space="preserve">单位</w:t>
            </w:r>
            <w:r/>
          </w:p>
        </w:tc>
        <w:tc>
          <w:tcPr>
            <w:tcW w:w="2591" w:type="dxa"/>
            <w:vAlign w:val="top"/>
            <w:textDirection w:val="lrTb"/>
            <w:noWrap w:val="false"/>
          </w:tcPr>
          <w:p>
            <w:pPr>
              <w:numPr>
                <w:ilvl w:val="0"/>
                <w:numId w:val="0"/>
              </w:numPr>
              <w:jc w:val="center"/>
              <w:spacing w:after="0"/>
              <w:rPr>
                <w:rFonts w:hint="default" w:eastAsia="宋体"/>
                <w:sz w:val="24"/>
                <w:szCs w:val="24"/>
                <w:vertAlign w:val="baseline"/>
                <w:lang w:val="en-US" w:eastAsia="zh-CN"/>
              </w:rPr>
            </w:pPr>
            <w:r>
              <w:rPr>
                <w:rFonts w:hint="eastAsia"/>
                <w:sz w:val="24"/>
                <w:szCs w:val="24"/>
                <w:vertAlign w:val="baseline"/>
                <w:lang w:val="en-US" w:eastAsia="zh-CN"/>
              </w:rPr>
              <w:t xml:space="preserve">金额</w:t>
            </w:r>
            <w:r/>
          </w:p>
        </w:tc>
        <w:tc>
          <w:tcPr>
            <w:tcW w:w="1169" w:type="dxa"/>
            <w:vAlign w:val="top"/>
            <w:textDirection w:val="lrTb"/>
            <w:noWrap w:val="false"/>
          </w:tcPr>
          <w:p>
            <w:pPr>
              <w:numPr>
                <w:ilvl w:val="0"/>
                <w:numId w:val="0"/>
              </w:numPr>
              <w:jc w:val="center"/>
              <w:spacing w:after="0"/>
              <w:rPr>
                <w:rFonts w:hint="eastAsia" w:eastAsia="宋体"/>
                <w:sz w:val="24"/>
                <w:szCs w:val="24"/>
                <w:vertAlign w:val="baseline"/>
                <w:lang w:val="en-US" w:eastAsia="zh-CN"/>
              </w:rPr>
            </w:pPr>
            <w:r>
              <w:rPr>
                <w:rFonts w:hint="eastAsia"/>
                <w:sz w:val="24"/>
                <w:szCs w:val="24"/>
                <w:vertAlign w:val="baseline"/>
                <w:lang w:val="en-US" w:eastAsia="zh-CN"/>
              </w:rPr>
              <w:t xml:space="preserve">备注</w:t>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r>
        <w:trPr/>
        <w:tc>
          <w:tcPr>
            <w:tcW w:w="775" w:type="dxa"/>
            <w:textDirection w:val="lrTb"/>
            <w:noWrap w:val="false"/>
          </w:tcPr>
          <w:p>
            <w:pPr>
              <w:numPr>
                <w:ilvl w:val="0"/>
                <w:numId w:val="0"/>
              </w:numPr>
              <w:spacing w:after="0"/>
              <w:rPr>
                <w:vertAlign w:val="baseline"/>
              </w:rPr>
            </w:pPr>
            <w:r>
              <w:rPr>
                <w:vertAlign w:val="baseline"/>
              </w:rPr>
            </w:r>
            <w:r/>
          </w:p>
        </w:tc>
        <w:tc>
          <w:tcPr>
            <w:tcW w:w="4527" w:type="dxa"/>
            <w:textDirection w:val="lrTb"/>
            <w:noWrap w:val="false"/>
          </w:tcPr>
          <w:p>
            <w:pPr>
              <w:numPr>
                <w:ilvl w:val="0"/>
                <w:numId w:val="0"/>
              </w:numPr>
              <w:spacing w:after="0"/>
              <w:rPr>
                <w:vertAlign w:val="baseline"/>
              </w:rPr>
            </w:pPr>
            <w:r>
              <w:rPr>
                <w:vertAlign w:val="baseline"/>
              </w:rPr>
            </w:r>
            <w:r/>
          </w:p>
        </w:tc>
        <w:tc>
          <w:tcPr>
            <w:tcW w:w="900" w:type="dxa"/>
            <w:textDirection w:val="lrTb"/>
            <w:noWrap w:val="false"/>
          </w:tcPr>
          <w:p>
            <w:pPr>
              <w:numPr>
                <w:ilvl w:val="0"/>
                <w:numId w:val="0"/>
              </w:numPr>
              <w:spacing w:after="0"/>
              <w:rPr>
                <w:vertAlign w:val="baseline"/>
              </w:rPr>
            </w:pPr>
            <w:r>
              <w:rPr>
                <w:vertAlign w:val="baseline"/>
              </w:rPr>
            </w:r>
            <w:r/>
          </w:p>
        </w:tc>
        <w:tc>
          <w:tcPr>
            <w:tcW w:w="2591" w:type="dxa"/>
            <w:textDirection w:val="lrTb"/>
            <w:noWrap w:val="false"/>
          </w:tcPr>
          <w:p>
            <w:pPr>
              <w:numPr>
                <w:ilvl w:val="0"/>
                <w:numId w:val="0"/>
              </w:numPr>
              <w:spacing w:after="0"/>
              <w:rPr>
                <w:vertAlign w:val="baseline"/>
              </w:rPr>
            </w:pPr>
            <w:r>
              <w:rPr>
                <w:vertAlign w:val="baseline"/>
              </w:rPr>
            </w:r>
            <w:r/>
          </w:p>
        </w:tc>
        <w:tc>
          <w:tcPr>
            <w:tcW w:w="1169" w:type="dxa"/>
            <w:textDirection w:val="lrTb"/>
            <w:noWrap w:val="false"/>
          </w:tcPr>
          <w:p>
            <w:pPr>
              <w:numPr>
                <w:ilvl w:val="0"/>
                <w:numId w:val="0"/>
              </w:numPr>
              <w:spacing w:after="0"/>
              <w:rPr>
                <w:vertAlign w:val="baseline"/>
              </w:rPr>
            </w:pPr>
            <w:r>
              <w:rPr>
                <w:vertAlign w:val="baseline"/>
              </w:rPr>
            </w:r>
            <w:r/>
          </w:p>
        </w:tc>
      </w:tr>
    </w:tbl>
    <w:p>
      <w:pPr>
        <w:numPr>
          <w:ilvl w:val="0"/>
          <w:numId w:val="0"/>
        </w:numPr>
        <w:ind w:left="420"/>
        <w:rPr>
          <w:rFonts w:hint="default" w:eastAsia="宋体"/>
          <w:sz w:val="24"/>
          <w:szCs w:val="24"/>
          <w:lang w:val="en-US" w:eastAsia="zh-CN"/>
        </w:rPr>
      </w:pPr>
      <w:r>
        <w:rPr>
          <w:rFonts w:hint="eastAsia"/>
          <w:sz w:val="24"/>
          <w:szCs w:val="24"/>
          <w:lang w:val="en-US" w:eastAsia="zh-CN"/>
        </w:rPr>
        <w:t xml:space="preserve">表格不够自行添加</w:t>
      </w:r>
      <w:r/>
    </w:p>
    <w:p>
      <w:pPr>
        <w:numPr>
          <w:ilvl w:val="0"/>
          <w:numId w:val="0"/>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42"/>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42"/>
        <w:spacing w:before="240" w:after="240"/>
        <w:rPr>
          <w:rFonts w:eastAsia="宋体"/>
        </w:rPr>
      </w:pPr>
      <w:r>
        <w:rPr>
          <w:rFonts w:eastAsia="宋体"/>
        </w:rPr>
        <w:t xml:space="preserve">  </w:t>
      </w:r>
      <w:r/>
    </w:p>
    <w:tbl>
      <w:tblPr>
        <w:tblStyle w:val="936"/>
        <w:tblW w:w="0" w:type="auto"/>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42"/>
              <w:jc w:val="center"/>
              <w:spacing w:line="360" w:lineRule="auto"/>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42"/>
              <w:jc w:val="center"/>
              <w:spacing w:line="360" w:lineRule="auto"/>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42"/>
              <w:jc w:val="center"/>
              <w:spacing w:line="360" w:lineRule="auto"/>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42"/>
              <w:jc w:val="center"/>
              <w:spacing w:line="360" w:lineRule="auto"/>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42"/>
              <w:jc w:val="center"/>
              <w:spacing w:line="360" w:lineRule="auto"/>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42"/>
              <w:spacing w:line="360" w:lineRule="auto"/>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42"/>
              <w:jc w:val="center"/>
              <w:spacing w:line="360" w:lineRule="auto"/>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42"/>
              <w:jc w:val="center"/>
              <w:spacing w:line="360" w:lineRule="auto"/>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42"/>
              <w:jc w:val="center"/>
              <w:spacing w:line="360" w:lineRule="auto"/>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42"/>
              <w:jc w:val="center"/>
              <w:spacing w:line="360" w:lineRule="auto"/>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42"/>
              <w:jc w:val="center"/>
              <w:spacing w:line="360" w:lineRule="auto"/>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42"/>
              <w:spacing w:line="360" w:lineRule="auto"/>
              <w:rPr>
                <w:rFonts w:eastAsia="宋体"/>
              </w:rPr>
            </w:pPr>
            <w:r>
              <w:rPr>
                <w:rFonts w:eastAsia="宋体"/>
              </w:rPr>
            </w:r>
            <w:r/>
          </w:p>
        </w:tc>
      </w:tr>
    </w:tbl>
    <w:p>
      <w:pPr>
        <w:pStyle w:val="1142"/>
        <w:spacing w:before="240" w:after="240" w:line="360" w:lineRule="auto"/>
        <w:rPr>
          <w:rFonts w:eastAsia="宋体"/>
        </w:rPr>
      </w:pPr>
      <w:r>
        <w:rPr>
          <w:rFonts w:eastAsia="宋体"/>
        </w:rPr>
        <w:t xml:space="preserve">  </w:t>
      </w:r>
      <w:r/>
    </w:p>
    <w:p>
      <w:pPr>
        <w:pStyle w:val="1142"/>
        <w:spacing w:before="240" w:after="240" w:line="360" w:lineRule="auto"/>
        <w:rPr>
          <w:rFonts w:eastAsia="宋体"/>
        </w:rPr>
      </w:pPr>
      <w:r>
        <w:rPr>
          <w:rFonts w:eastAsia="宋体"/>
        </w:rPr>
        <w:t xml:space="preserve">注： </w:t>
      </w:r>
      <w:r/>
    </w:p>
    <w:p>
      <w:pPr>
        <w:pStyle w:val="1142"/>
        <w:spacing w:before="240" w:after="240" w:line="360" w:lineRule="auto"/>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42"/>
        <w:spacing w:before="240" w:after="240" w:line="360" w:lineRule="auto"/>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42"/>
        <w:spacing w:before="240" w:after="240" w:line="360" w:lineRule="auto"/>
        <w:rPr>
          <w:rFonts w:eastAsia="宋体"/>
        </w:rPr>
      </w:pPr>
      <w:r>
        <w:rPr>
          <w:rFonts w:eastAsia="宋体"/>
        </w:rPr>
        <w:t xml:space="preserve">3、表格不够可另接。 </w:t>
      </w:r>
      <w:r/>
    </w:p>
    <w:p>
      <w:pPr>
        <w:pStyle w:val="1088"/>
        <w:jc w:val="center"/>
        <w:spacing w:before="320" w:after="320" w:line="300" w:lineRule="auto"/>
        <w:rPr>
          <w:rFonts w:eastAsia="宋体"/>
          <w:b/>
          <w:bCs/>
          <w:sz w:val="32"/>
          <w:szCs w:val="32"/>
        </w:rPr>
      </w:pPr>
      <w:r>
        <w:rPr>
          <w:rFonts w:eastAsia="宋体"/>
          <w:b/>
          <w:bCs/>
          <w:sz w:val="32"/>
          <w:szCs w:val="32"/>
        </w:rPr>
      </w:r>
      <w:r/>
    </w:p>
    <w:p>
      <w:pPr>
        <w:pStyle w:val="1088"/>
        <w:jc w:val="center"/>
        <w:spacing w:before="320" w:after="320" w:line="300" w:lineRule="auto"/>
        <w:rPr>
          <w:rFonts w:eastAsia="宋体"/>
          <w:b/>
          <w:bCs/>
          <w:sz w:val="32"/>
          <w:szCs w:val="32"/>
        </w:rPr>
      </w:pPr>
      <w:r>
        <w:rPr>
          <w:rFonts w:eastAsia="宋体"/>
          <w:b/>
          <w:bCs/>
          <w:sz w:val="32"/>
          <w:szCs w:val="32"/>
        </w:rPr>
      </w:r>
      <w:r/>
    </w:p>
    <w:p>
      <w:pPr>
        <w:numPr>
          <w:ilvl w:val="0"/>
          <w:numId w:val="0"/>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088"/>
        <w:jc w:val="center"/>
        <w:spacing w:before="240" w:after="240"/>
        <w:rPr>
          <w:rFonts w:eastAsia="宋体"/>
        </w:rPr>
      </w:pPr>
      <w:r>
        <w:rPr>
          <w:rFonts w:eastAsia="宋体"/>
          <w:b/>
          <w:bCs/>
          <w:sz w:val="32"/>
          <w:szCs w:val="32"/>
        </w:rPr>
        <w:t xml:space="preserve">商务条款响应及偏离表</w:t>
      </w:r>
      <w:r/>
    </w:p>
    <w:tbl>
      <w:tblPr>
        <w:tblStyle w:val="93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780"/>
        <w:gridCol w:w="2779"/>
        <w:gridCol w:w="881"/>
        <w:gridCol w:w="3322"/>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088"/>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088"/>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088"/>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088"/>
              <w:jc w:val="center"/>
              <w:rPr>
                <w:rFonts w:eastAsia="宋体"/>
              </w:rPr>
            </w:pPr>
            <w:r>
              <w:rPr>
                <w:rFonts w:eastAsia="宋体"/>
              </w:rPr>
              <w:t xml:space="preserve">投标人的承诺或说明</w:t>
            </w:r>
            <w:r/>
          </w:p>
        </w:tc>
      </w:tr>
    </w:tbl>
    <w:p>
      <w:pPr>
        <w:pStyle w:val="978"/>
        <w:rPr>
          <w:rFonts w:hint="eastAsia"/>
        </w:rPr>
      </w:pPr>
      <w:r>
        <w:rPr>
          <w:rFonts w:hint="eastAsia"/>
        </w:rPr>
      </w:r>
      <w:r/>
    </w:p>
    <w:p>
      <w:pPr>
        <w:numPr>
          <w:ilvl w:val="0"/>
          <w:numId w:val="0"/>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ascii="宋体" w:hAnsi="宋体"/>
          <w:b/>
          <w:sz w:val="32"/>
          <w:szCs w:val="40"/>
          <w:highlight w:val="none"/>
          <w:lang w:eastAsia="zh-CN"/>
        </w:rPr>
        <w:t xml:space="preserve">服</w:t>
      </w:r>
      <w:r>
        <w:rPr>
          <w:rFonts w:ascii="宋体" w:hAnsi="宋体"/>
          <w:b/>
          <w:sz w:val="32"/>
          <w:szCs w:val="40"/>
          <w:lang w:eastAsia="zh-CN"/>
        </w:rPr>
        <w:t xml:space="preserve">务方案</w:t>
      </w:r>
      <w:r/>
    </w:p>
    <w:p>
      <w:pPr>
        <w:pStyle w:val="978"/>
        <w:ind w:left="0" w:firstLine="0"/>
        <w:jc w:val="center"/>
        <w:keepLines w:val="0"/>
        <w:keepNext w:val="0"/>
        <w:pageBreakBefore w:val="0"/>
        <w:widowControl/>
        <w:rPr>
          <w:rFonts w:ascii="Times New Roman" w:hAnsi="Times New Roman" w:cs="Times New Roman"/>
          <w:b/>
          <w:bCs/>
          <w:i w:val="0"/>
          <w:iCs w:val="0"/>
          <w:u w:val="none"/>
        </w:rPr>
        <w:outlineLvl w:val="9"/>
      </w:pPr>
      <w:r/>
      <w:bookmarkStart w:id="195" w:name="_Toc43285583"/>
      <w:r/>
      <w:bookmarkStart w:id="196" w:name="_Toc35266041"/>
      <w:r>
        <w:rPr>
          <w:rStyle w:val="1036"/>
          <w:rFonts w:hint="eastAsia" w:ascii="宋体" w:hAnsi="宋体" w:eastAsia="宋体" w:cs="Times New Roman"/>
          <w:b/>
          <w:bCs/>
          <w:color w:val="auto"/>
          <w:sz w:val="28"/>
          <w:szCs w:val="28"/>
        </w:rPr>
        <w:t xml:space="preserve">服务方案</w:t>
      </w:r>
      <w:bookmarkEnd w:id="195"/>
      <w:r/>
      <w:bookmarkEnd w:id="196"/>
      <w:r/>
      <w:r/>
    </w:p>
    <w:p>
      <w:pPr>
        <w:pStyle w:val="978"/>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978"/>
        <w:ind w:left="0" w:firstLine="0"/>
        <w:jc w:val="center"/>
        <w:keepLines w:val="0"/>
        <w:keepNext w:val="0"/>
        <w:pageBreakBefore w:val="0"/>
        <w:widowControl/>
        <w:rPr>
          <w:sz w:val="24"/>
          <w:szCs w:val="21"/>
        </w:rPr>
        <w:outlineLvl w:val="9"/>
      </w:pPr>
      <w:r>
        <w:rPr>
          <w:sz w:val="24"/>
          <w:szCs w:val="21"/>
        </w:rPr>
        <w:t xml:space="preserve">（</w:t>
      </w:r>
      <w:r>
        <w:rPr>
          <w:rFonts w:hint="eastAsia" w:ascii="宋体" w:hAnsi="宋体" w:cs="Arial"/>
          <w:color w:val="000000"/>
          <w:sz w:val="24"/>
          <w:szCs w:val="21"/>
          <w:highlight w:val="none"/>
        </w:rPr>
        <w:t xml:space="preserve">服务方案的内容编排等由投标人自定</w:t>
      </w:r>
      <w:r>
        <w:rPr>
          <w:sz w:val="24"/>
          <w:szCs w:val="21"/>
        </w:rPr>
        <w:t xml:space="preserve">）</w:t>
      </w:r>
      <w:r/>
    </w:p>
    <w:p>
      <w:pPr>
        <w:rPr>
          <w:sz w:val="24"/>
          <w:szCs w:val="21"/>
        </w:rPr>
      </w:pPr>
      <w:r>
        <w:rPr>
          <w:sz w:val="24"/>
          <w:szCs w:val="21"/>
        </w:rPr>
      </w:r>
      <w:r/>
    </w:p>
    <w:p>
      <w:pPr>
        <w:numPr>
          <w:ilvl w:val="0"/>
          <w:numId w:val="0"/>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9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1"/>
          <w:headerReference w:type="first" r:id="rId12"/>
          <w:footerReference w:type="default" r:id="rId17"/>
          <w:footerReference w:type="first" r:id="rId18"/>
          <w:footnotePr>
            <w:numFmt w:val="decimalEnclosedCircleChinese"/>
          </w:footnotePr>
          <w:endnotePr/>
          <w:type w:val="nextPage"/>
          <w:pgSz w:w="11906" w:h="16838" w:orient="portrait"/>
          <w:pgMar w:top="1440" w:right="1080" w:bottom="1440" w:left="1080" w:header="851" w:footer="992" w:gutter="0"/>
          <w:cols w:num="1" w:sep="0" w:space="720"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0"/>
        </w:numPr>
        <w:ind w:left="0" w:firstLine="420"/>
        <w:jc w:val="left"/>
        <w:keepLines w:val="0"/>
        <w:keepNext w:val="0"/>
        <w:pageBreakBefore/>
        <w:spacing w:before="120" w:after="120" w:line="440" w:lineRule="exact"/>
        <w:widowControl w:val="off"/>
        <w:rPr>
          <w:rFonts w:hint="default" w:ascii="宋体" w:hAnsi="宋体" w:eastAsia="宋体" w:cs="Times New Roman"/>
          <w:b/>
          <w:sz w:val="32"/>
          <w:szCs w:val="40"/>
          <w:highlight w:val="none"/>
          <w:lang w:val="en-US" w:eastAsia="zh-CN"/>
        </w:rPr>
        <w:outlineLvl w:val="1"/>
      </w:pPr>
      <w:r>
        <w:rPr>
          <w:rFonts w:hint="default" w:ascii="宋体" w:hAnsi="宋体" w:eastAsia="宋体" w:cs="Times New Roman"/>
          <w:b/>
          <w:sz w:val="32"/>
          <w:szCs w:val="40"/>
          <w:highlight w:val="none"/>
          <w:lang w:val="en-US" w:eastAsia="zh-CN"/>
        </w:rPr>
        <w:t xml:space="preserve">项目负责人及其他人员介绍</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786"/>
        <w:gridCol w:w="673"/>
        <w:gridCol w:w="602"/>
        <w:gridCol w:w="1275"/>
        <w:gridCol w:w="1061"/>
        <w:gridCol w:w="1322"/>
        <w:gridCol w:w="708"/>
        <w:gridCol w:w="708"/>
        <w:gridCol w:w="1854"/>
        <w:gridCol w:w="2167"/>
        <w:gridCol w:w="1169"/>
        <w:gridCol w:w="1161"/>
      </w:tblGrid>
      <w:tr>
        <w:trPr>
          <w:jc w:val="center"/>
          <w:trHeight w:val="676"/>
        </w:trPr>
        <w:tc>
          <w:tcPr>
            <w:tcW w:w="89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序号</w:t>
            </w:r>
            <w:r/>
          </w:p>
        </w:tc>
        <w:tc>
          <w:tcPr>
            <w:tcW w:w="1786"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姓名</w:t>
            </w:r>
            <w:r/>
          </w:p>
        </w:tc>
        <w:tc>
          <w:tcPr>
            <w:tcW w:w="67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性别</w:t>
            </w:r>
            <w:r/>
          </w:p>
        </w:tc>
        <w:tc>
          <w:tcPr>
            <w:tcW w:w="60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年龄</w:t>
            </w:r>
            <w:r/>
          </w:p>
        </w:tc>
        <w:tc>
          <w:tcPr>
            <w:tcW w:w="1275"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文化程度</w:t>
            </w:r>
            <w:r/>
          </w:p>
        </w:tc>
        <w:tc>
          <w:tcPr>
            <w:tcW w:w="10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专业</w:t>
            </w:r>
            <w:r/>
          </w:p>
        </w:tc>
        <w:tc>
          <w:tcPr>
            <w:tcW w:w="132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技术职称</w:t>
            </w:r>
            <w:r/>
          </w:p>
        </w:tc>
        <w:tc>
          <w:tcPr>
            <w:gridSpan w:val="2"/>
            <w:tcW w:w="141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资格证书</w:t>
            </w:r>
            <w:r/>
          </w:p>
        </w:tc>
        <w:tc>
          <w:tcPr>
            <w:tcW w:w="1854"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人事隶属关系</w:t>
            </w:r>
            <w:r/>
          </w:p>
        </w:tc>
        <w:tc>
          <w:tcPr>
            <w:tcW w:w="2167"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主要资历、经验及承担过的管理项目</w:t>
            </w:r>
            <w:r/>
          </w:p>
        </w:tc>
        <w:tc>
          <w:tcPr>
            <w:tcW w:w="1169"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本项目拟担任的职务</w:t>
            </w:r>
            <w:r/>
          </w:p>
        </w:tc>
        <w:tc>
          <w:tcPr>
            <w:tcW w:w="11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备注</w:t>
            </w:r>
            <w:r/>
          </w:p>
        </w:tc>
      </w:tr>
      <w:tr>
        <w:trPr>
          <w:jc w:val="center"/>
          <w:trHeight w:val="697"/>
        </w:trPr>
        <w:tc>
          <w:tcPr>
            <w:tcW w:w="89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类别</w:t>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编号</w:t>
            </w:r>
            <w:r/>
          </w:p>
        </w:tc>
        <w:tc>
          <w:tcPr>
            <w:tcW w:w="1854"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bl>
    <w:p>
      <w:pPr>
        <w:ind w:firstLine="480"/>
        <w:spacing w:line="360" w:lineRule="auto"/>
        <w:shd w:val="clear" w:color="auto" w:fill="auto"/>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p>
      <w:pPr>
        <w:ind w:left="0" w:right="34" w:firstLine="0"/>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w:t>
      </w:r>
      <w:r/>
    </w:p>
    <w:p>
      <w:pPr>
        <w:ind w:right="34"/>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1．资格证书类别一栏按资格证书、岗位证书、培训证书填写。</w:t>
      </w:r>
      <w:r/>
    </w:p>
    <w:p>
      <w:pPr>
        <w:spacing w:line="240" w:lineRule="auto"/>
        <w:rPr>
          <w:rFonts w:hint="eastAsia"/>
          <w:sz w:val="24"/>
          <w:szCs w:val="21"/>
        </w:rPr>
      </w:pPr>
      <w:r>
        <w:rPr>
          <w:rFonts w:hint="default" w:ascii="Times New Roman Regular" w:hAnsi="Times New Roman Regular" w:cs="Times New Roman Regular"/>
          <w:b/>
          <w:sz w:val="24"/>
          <w:highlight w:val="none"/>
        </w:rPr>
        <w:t xml:space="preserve">2．提供人员相关证书、社保，条目不限于此，可自行添加。</w:t>
      </w:r>
      <w:r/>
    </w:p>
    <w:p>
      <w:pPr>
        <w:numPr>
          <w:ilvl w:val="0"/>
          <w:numId w:val="0"/>
        </w:numPr>
        <w:ind w:left="0" w:firstLine="420"/>
        <w:jc w:val="center"/>
        <w:keepLines w:val="0"/>
        <w:keepNext w:val="0"/>
        <w:pageBreakBefore/>
        <w:spacing w:before="120" w:after="120" w:line="240" w:lineRule="auto"/>
        <w:widowControl w:val="off"/>
        <w:rPr>
          <w:rFonts w:hint="eastAsia"/>
          <w:b/>
          <w:bCs/>
          <w:sz w:val="32"/>
          <w:szCs w:val="32"/>
        </w:rPr>
        <w:sectPr>
          <w:footnotePr>
            <w:numFmt w:val="decimalEnclosedCircleChinese"/>
          </w:footnotePr>
          <w:endnotePr/>
          <w:type w:val="nextPage"/>
          <w:pgSz w:w="16838" w:h="11906" w:orient="landscape"/>
          <w:pgMar w:top="1083" w:right="1440" w:bottom="1083" w:left="1440" w:header="851" w:footer="992" w:gutter="0"/>
          <w:cols w:num="1" w:sep="0" w:space="720" w:equalWidth="1"/>
          <w:docGrid w:linePitch="360"/>
        </w:sectPr>
        <w:outlineLvl w:val="1"/>
      </w:pPr>
      <w:r>
        <w:rPr>
          <w:rFonts w:hint="eastAsia"/>
          <w:b/>
          <w:bCs/>
          <w:sz w:val="32"/>
          <w:szCs w:val="32"/>
        </w:rPr>
      </w:r>
      <w:r/>
    </w:p>
    <w:p>
      <w:pPr>
        <w:numPr>
          <w:ilvl w:val="0"/>
          <w:numId w:val="0"/>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55"/>
        <w:ind w:left="0" w:firstLine="0"/>
        <w:spacing w:after="0" w:line="360" w:lineRule="auto"/>
        <w:widowControl/>
        <w:tabs>
          <w:tab w:val="left" w:pos="1484" w:leader="none"/>
        </w:tabs>
        <w:rPr>
          <w:rFonts w:hint="eastAsia" w:ascii="宋体" w:hAnsi="宋体" w:cs="宋体"/>
          <w:sz w:val="24"/>
          <w:szCs w:val="32"/>
        </w:rPr>
      </w:pPr>
      <w:r>
        <w:rPr>
          <w:rStyle w:val="1036"/>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5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5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55"/>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978"/>
      </w:pPr>
      <w:r/>
      <w:r/>
    </w:p>
    <w:p>
      <w:r/>
      <w:r/>
    </w:p>
    <w:p>
      <w:r/>
      <w:r/>
    </w:p>
    <w:p>
      <w:pPr>
        <w:numPr>
          <w:ilvl w:val="0"/>
          <w:numId w:val="0"/>
        </w:numPr>
        <w:ind w:left="0" w:firstLine="420"/>
        <w:jc w:val="center"/>
        <w:keepLines w:val="0"/>
        <w:keepNext w:val="0"/>
        <w:pageBreakBefore/>
        <w:spacing w:before="120" w:after="120" w:line="440" w:lineRule="exact"/>
        <w:widowControl w:val="off"/>
        <w:rPr>
          <w:rFonts w:ascii="宋体" w:hAnsi="宋体" w:eastAsia="宋体" w:cs="宋体"/>
          <w:b/>
          <w:sz w:val="32"/>
          <w:highlight w:val="none"/>
        </w:rPr>
        <w:outlineLvl w:val="1"/>
      </w:pPr>
      <w:r>
        <w:rPr>
          <w:rFonts w:hint="eastAsia" w:ascii="宋体" w:hAnsi="宋体"/>
          <w:b/>
          <w:sz w:val="32"/>
          <w:szCs w:val="32"/>
        </w:rPr>
        <w:t xml:space="preserve">关于符合本国产品标准的声明函</w:t>
      </w:r>
      <w:r/>
    </w:p>
    <w:p>
      <w:pPr>
        <w:pStyle w:val="1212"/>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212"/>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4445" t="4445" r="11430" b="5080"/>
                <wp:wrapNone/>
                <wp:docPr id="8" name="任意多边形 1"/>
                <wp:cNvGraphicFramePr/>
                <a:graphic xmlns:a="http://schemas.openxmlformats.org/drawingml/2006/main">
                  <a:graphicData uri="http://schemas.microsoft.com/office/word/2010/wordprocessingShape">
                    <wps:wsp>
                      <wps:cNvPr id="0" name=""/>
                      <wps:cNvSpPr/>
                      <wps:spPr bwMode="auto">
                        <a:xfrm flipV="1">
                          <a:off x="0" y="0"/>
                          <a:ext cx="727075" cy="1428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4947285</wp:posOffset>
                </wp:positionH>
                <wp:positionV relativeFrom="paragraph">
                  <wp:posOffset>13335</wp:posOffset>
                </wp:positionV>
                <wp:extent cx="514985" cy="180340"/>
                <wp:effectExtent l="4445" t="4445" r="13970" b="5715"/>
                <wp:wrapNone/>
                <wp:docPr id="9" name="任意多边形 3"/>
                <wp:cNvGraphicFramePr/>
                <a:graphic xmlns:a="http://schemas.openxmlformats.org/drawingml/2006/main">
                  <a:graphicData uri="http://schemas.microsoft.com/office/word/2010/wordprocessingShape">
                    <wps:wsp>
                      <wps:cNvPr id="0" name=""/>
                      <wps:cNvSpPr/>
                      <wps:spPr bwMode="auto">
                        <a:xfrm flipV="1">
                          <a:off x="0" y="0"/>
                          <a:ext cx="51498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621030</wp:posOffset>
                </wp:positionH>
                <wp:positionV relativeFrom="paragraph">
                  <wp:posOffset>476250</wp:posOffset>
                </wp:positionV>
                <wp:extent cx="692785" cy="125730"/>
                <wp:effectExtent l="4445" t="4445" r="7620" b="22225"/>
                <wp:wrapNone/>
                <wp:docPr id="10" name="任意多边形 5"/>
                <wp:cNvGraphicFramePr/>
                <a:graphic xmlns:a="http://schemas.openxmlformats.org/drawingml/2006/main">
                  <a:graphicData uri="http://schemas.microsoft.com/office/word/2010/wordprocessingShape">
                    <wps:wsp>
                      <wps:cNvPr id="0" name=""/>
                      <wps:cNvSpPr/>
                      <wps:spPr bwMode="auto">
                        <a:xfrm flipV="1">
                          <a:off x="0" y="0"/>
                          <a:ext cx="69278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3297555</wp:posOffset>
                </wp:positionH>
                <wp:positionV relativeFrom="paragraph">
                  <wp:posOffset>225425</wp:posOffset>
                </wp:positionV>
                <wp:extent cx="607060" cy="164465"/>
                <wp:effectExtent l="4445" t="4445" r="17145" b="21590"/>
                <wp:wrapNone/>
                <wp:docPr id="11" name="任意多边形 7"/>
                <wp:cNvGraphicFramePr/>
                <a:graphic xmlns:a="http://schemas.openxmlformats.org/drawingml/2006/main">
                  <a:graphicData uri="http://schemas.microsoft.com/office/word/2010/wordprocessingShape">
                    <wps:wsp>
                      <wps:cNvPr id="0" name=""/>
                      <wps:cNvSpPr/>
                      <wps:spPr bwMode="auto">
                        <a:xfrm flipV="1">
                          <a:off x="0" y="0"/>
                          <a:ext cx="607060"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1739265</wp:posOffset>
                </wp:positionH>
                <wp:positionV relativeFrom="paragraph">
                  <wp:posOffset>460375</wp:posOffset>
                </wp:positionV>
                <wp:extent cx="779780" cy="136525"/>
                <wp:effectExtent l="4445" t="4445" r="15875" b="11430"/>
                <wp:wrapNone/>
                <wp:docPr id="12" name="任意多边形 9"/>
                <wp:cNvGraphicFramePr/>
                <a:graphic xmlns:a="http://schemas.openxmlformats.org/drawingml/2006/main">
                  <a:graphicData uri="http://schemas.microsoft.com/office/word/2010/wordprocessingShape">
                    <wps:wsp>
                      <wps:cNvPr id="0" name=""/>
                      <wps:cNvSpPr/>
                      <wps:spPr bwMode="auto">
                        <a:xfrm flipV="1">
                          <a:off x="0" y="0"/>
                          <a:ext cx="7797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4519295</wp:posOffset>
                </wp:positionH>
                <wp:positionV relativeFrom="paragraph">
                  <wp:posOffset>234950</wp:posOffset>
                </wp:positionV>
                <wp:extent cx="457200" cy="182245"/>
                <wp:effectExtent l="4445" t="4445" r="14604" b="22860"/>
                <wp:wrapNone/>
                <wp:docPr id="13" name="任意多边形 11"/>
                <wp:cNvGraphicFramePr/>
                <a:graphic xmlns:a="http://schemas.openxmlformats.org/drawingml/2006/main">
                  <a:graphicData uri="http://schemas.microsoft.com/office/word/2010/wordprocessingShape">
                    <wps:wsp>
                      <wps:cNvPr id="0" name=""/>
                      <wps:cNvSpPr/>
                      <wps:spPr bwMode="auto">
                        <a:xfrm flipV="1">
                          <a:off x="0" y="0"/>
                          <a:ext cx="457200" cy="1822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1202"/>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1202"/>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1202"/>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1202"/>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1202"/>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4445" t="4445" r="19685" b="9525"/>
                <wp:wrapNone/>
                <wp:docPr id="14" name="任意多边形 12"/>
                <wp:cNvGraphicFramePr/>
                <a:graphic xmlns:a="http://schemas.openxmlformats.org/drawingml/2006/main">
                  <a:graphicData uri="http://schemas.microsoft.com/office/word/2010/wordprocessingShape">
                    <wps:wsp>
                      <wps:cNvPr id="0" name=""/>
                      <wps:cNvSpPr/>
                      <wps:spPr bwMode="auto">
                        <a:xfrm flipV="1">
                          <a:off x="0" y="0"/>
                          <a:ext cx="756920" cy="1574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4630420</wp:posOffset>
                </wp:positionH>
                <wp:positionV relativeFrom="paragraph">
                  <wp:posOffset>-2540</wp:posOffset>
                </wp:positionV>
                <wp:extent cx="607695" cy="163830"/>
                <wp:effectExtent l="4445" t="4445" r="16510" b="22225"/>
                <wp:wrapNone/>
                <wp:docPr id="15" name="任意多边形 13"/>
                <wp:cNvGraphicFramePr/>
                <a:graphic xmlns:a="http://schemas.openxmlformats.org/drawingml/2006/main">
                  <a:graphicData uri="http://schemas.microsoft.com/office/word/2010/wordprocessingShape">
                    <wps:wsp>
                      <wps:cNvPr id="0" name=""/>
                      <wps:cNvSpPr/>
                      <wps:spPr bwMode="auto">
                        <a:xfrm flipV="1">
                          <a:off x="0" y="0"/>
                          <a:ext cx="607695" cy="1638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4121150</wp:posOffset>
                </wp:positionH>
                <wp:positionV relativeFrom="paragraph">
                  <wp:posOffset>247015</wp:posOffset>
                </wp:positionV>
                <wp:extent cx="462280" cy="147320"/>
                <wp:effectExtent l="4445" t="4445" r="9525" b="19685"/>
                <wp:wrapNone/>
                <wp:docPr id="16" name="任意多边形 14"/>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1318260</wp:posOffset>
                </wp:positionH>
                <wp:positionV relativeFrom="paragraph">
                  <wp:posOffset>421005</wp:posOffset>
                </wp:positionV>
                <wp:extent cx="663575" cy="116205"/>
                <wp:effectExtent l="5080" t="5080" r="17145" b="12065"/>
                <wp:wrapNone/>
                <wp:docPr id="17" name="任意多边形 15"/>
                <wp:cNvGraphicFramePr/>
                <a:graphic xmlns:a="http://schemas.openxmlformats.org/drawingml/2006/main">
                  <a:graphicData uri="http://schemas.microsoft.com/office/word/2010/wordprocessingShape">
                    <wps:wsp>
                      <wps:cNvPr id="0" name=""/>
                      <wps:cNvSpPr/>
                      <wps:spPr bwMode="auto">
                        <a:xfrm flipV="1">
                          <a:off x="0" y="0"/>
                          <a:ext cx="663575" cy="1162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189865</wp:posOffset>
                </wp:positionH>
                <wp:positionV relativeFrom="paragraph">
                  <wp:posOffset>429260</wp:posOffset>
                </wp:positionV>
                <wp:extent cx="633730" cy="121285"/>
                <wp:effectExtent l="4445" t="4445" r="9525" b="7620"/>
                <wp:wrapNone/>
                <wp:docPr id="18" name="任意多边形 16"/>
                <wp:cNvGraphicFramePr/>
                <a:graphic xmlns:a="http://schemas.openxmlformats.org/drawingml/2006/main">
                  <a:graphicData uri="http://schemas.microsoft.com/office/word/2010/wordprocessingShape">
                    <wps:wsp>
                      <wps:cNvPr id="0" name=""/>
                      <wps:cNvSpPr/>
                      <wps:spPr bwMode="auto">
                        <a:xfrm flipV="1">
                          <a:off x="0" y="0"/>
                          <a:ext cx="633730" cy="1212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1852930</wp:posOffset>
                </wp:positionH>
                <wp:positionV relativeFrom="paragraph">
                  <wp:posOffset>252095</wp:posOffset>
                </wp:positionV>
                <wp:extent cx="364490" cy="97790"/>
                <wp:effectExtent l="4445" t="4445" r="12065" b="12065"/>
                <wp:wrapNone/>
                <wp:docPr id="19" name="任意多边形 1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202"/>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bookmarkStart w:id="197" w:name="_GoBack"/>
      <w:r/>
      <w:bookmarkEnd w:id="197"/>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p>
    <w:p>
      <w:pPr>
        <w:rPr>
          <w:rFonts w:hint="eastAsia" w:ascii="宋体" w:hAnsi="宋体" w:eastAsia="宋体" w:cs="宋体"/>
          <w:sz w:val="24"/>
          <w:szCs w:val="24"/>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p>
    <w:p>
      <w:pPr>
        <w:pStyle w:val="978"/>
      </w:pPr>
      <w:r/>
      <w:r/>
    </w:p>
    <w:p>
      <w:pPr>
        <w:pStyle w:val="978"/>
      </w:pPr>
      <w:r/>
      <w:r/>
    </w:p>
    <w:p>
      <w:pPr>
        <w:pStyle w:val="1055"/>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8"/>
                            <w:ind w:firstLine="0"/>
                            <w:tabs>
                              <w:tab w:val="clear" w:pos="4153" w:leader="none"/>
                              <w:tab w:val="clear" w:pos="8306" w:leader="none"/>
                            </w:tabs>
                          </w:pPr>
                          <w:r/>
                          <w:r/>
                        </w:p>
                        <w:p>
                          <w:r/>
                          <w:r/>
                        </w:p>
                      </w:txbxContent>
                    </wps:txbx>
                    <wps:bodyPr vert="horz" wrap="none" lIns="0" tIns="0" rIns="0" bIns="0" anchor="t" anchorCtr="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8"/>
                      <w:ind w:firstLine="0"/>
                      <w:tabs>
                        <w:tab w:val="clear" w:pos="4153" w:leader="none"/>
                        <w:tab w:val="clear" w:pos="8306"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decimal"/>
      <w:pStyle w:val="926"/>
      <w:isLgl w:val="false"/>
      <w:suff w:val="tab"/>
      <w:lvlText w:val="%1."/>
      <w:lvlJc w:val="left"/>
      <w:pPr>
        <w:ind w:left="432" w:hanging="432"/>
      </w:pPr>
      <w:rPr>
        <w:rFonts w:hint="default"/>
      </w:rPr>
    </w:lvl>
    <w:lvl w:ilvl="1">
      <w:start w:val="1"/>
      <w:numFmt w:val="decimal"/>
      <w:pStyle w:val="927"/>
      <w:isLgl w:val="false"/>
      <w:suff w:val="tab"/>
      <w:lvlText w:val="%1.%2."/>
      <w:lvlJc w:val="left"/>
      <w:pPr>
        <w:ind w:left="575" w:hanging="575"/>
      </w:pPr>
      <w:rPr>
        <w:rFonts w:hint="default"/>
      </w:rPr>
    </w:lvl>
    <w:lvl w:ilvl="2">
      <w:start w:val="1"/>
      <w:numFmt w:val="decimal"/>
      <w:pStyle w:val="928"/>
      <w:isLgl w:val="false"/>
      <w:suff w:val="tab"/>
      <w:lvlText w:val="%1.%2.%3."/>
      <w:lvlJc w:val="left"/>
      <w:pPr>
        <w:ind w:left="720" w:hanging="720"/>
      </w:pPr>
      <w:rPr>
        <w:rFonts w:hint="default"/>
      </w:rPr>
    </w:lvl>
    <w:lvl w:ilvl="3">
      <w:start w:val="1"/>
      <w:numFmt w:val="decimal"/>
      <w:pStyle w:val="929"/>
      <w:isLgl w:val="false"/>
      <w:suff w:val="tab"/>
      <w:lvlText w:val="%1.%2.%3.%4."/>
      <w:lvlJc w:val="left"/>
      <w:pPr>
        <w:ind w:left="864" w:hanging="864"/>
      </w:pPr>
      <w:rPr>
        <w:rFonts w:hint="default"/>
      </w:rPr>
    </w:lvl>
    <w:lvl w:ilvl="4">
      <w:start w:val="1"/>
      <w:numFmt w:val="decimal"/>
      <w:pStyle w:val="930"/>
      <w:isLgl w:val="false"/>
      <w:suff w:val="tab"/>
      <w:lvlText w:val="%1.%2.%3.%4.%5."/>
      <w:lvlJc w:val="left"/>
      <w:pPr>
        <w:ind w:left="1008" w:hanging="1008"/>
      </w:pPr>
      <w:rPr>
        <w:rFonts w:hint="default"/>
      </w:rPr>
    </w:lvl>
    <w:lvl w:ilvl="5">
      <w:start w:val="1"/>
      <w:numFmt w:val="decimal"/>
      <w:pStyle w:val="931"/>
      <w:isLgl w:val="false"/>
      <w:suff w:val="tab"/>
      <w:lvlText w:val="%1.%2.%3.%4.%5.%6."/>
      <w:lvlJc w:val="left"/>
      <w:pPr>
        <w:ind w:left="1151" w:hanging="1151"/>
      </w:pPr>
      <w:rPr>
        <w:rFonts w:hint="default"/>
      </w:rPr>
    </w:lvl>
    <w:lvl w:ilvl="6">
      <w:start w:val="1"/>
      <w:numFmt w:val="decimal"/>
      <w:pStyle w:val="932"/>
      <w:isLgl w:val="false"/>
      <w:suff w:val="tab"/>
      <w:lvlText w:val="%1.%2.%3.%4.%5.%6.%7."/>
      <w:lvlJc w:val="left"/>
      <w:pPr>
        <w:ind w:left="1296" w:hanging="1296"/>
      </w:pPr>
      <w:rPr>
        <w:rFonts w:hint="default"/>
      </w:rPr>
    </w:lvl>
    <w:lvl w:ilvl="7">
      <w:start w:val="1"/>
      <w:numFmt w:val="decimal"/>
      <w:pStyle w:val="933"/>
      <w:isLgl w:val="false"/>
      <w:suff w:val="tab"/>
      <w:lvlText w:val="%1.%2.%3.%4.%5.%6.%7.%8."/>
      <w:lvlJc w:val="left"/>
      <w:pPr>
        <w:ind w:left="1440" w:hanging="1440"/>
      </w:pPr>
      <w:rPr>
        <w:rFonts w:hint="default"/>
      </w:rPr>
    </w:lvl>
    <w:lvl w:ilvl="8">
      <w:start w:val="1"/>
      <w:numFmt w:val="decimal"/>
      <w:pStyle w:val="934"/>
      <w:isLgl w:val="false"/>
      <w:suff w:val="tab"/>
      <w:lvlText w:val="%1.%2.%3.%4.%5.%6.%7.%8.%9."/>
      <w:lvlJc w:val="left"/>
      <w:pPr>
        <w:ind w:left="1583" w:hanging="1583"/>
      </w:pPr>
      <w:rPr>
        <w:rFonts w:hint="default"/>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20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926">
    <w:name w:val="Heading 1"/>
    <w:basedOn w:val="925"/>
    <w:link w:val="1097"/>
    <w:uiPriority w:val="9"/>
    <w:qFormat/>
    <w:pPr>
      <w:numPr>
        <w:ilvl w:val="0"/>
        <w:numId w:val="1"/>
      </w:numPr>
      <w:ind w:left="432" w:hanging="432"/>
      <w:keepLines/>
      <w:keepNext/>
      <w:spacing w:before="480" w:after="200"/>
      <w:outlineLvl w:val="0"/>
    </w:pPr>
    <w:rPr>
      <w:rFonts w:ascii="Arial" w:hAnsi="Arial" w:eastAsia="Arial" w:cs="Arial"/>
      <w:sz w:val="40"/>
      <w:szCs w:val="40"/>
    </w:rPr>
  </w:style>
  <w:style w:type="paragraph" w:styleId="927">
    <w:name w:val="Heading 2"/>
    <w:basedOn w:val="925"/>
    <w:link w:val="1111"/>
    <w:uiPriority w:val="9"/>
    <w:unhideWhenUsed/>
    <w:qFormat/>
    <w:pPr>
      <w:numPr>
        <w:ilvl w:val="1"/>
        <w:numId w:val="1"/>
      </w:numPr>
      <w:ind w:left="575" w:hanging="575"/>
      <w:keepLines/>
      <w:keepNext/>
      <w:spacing w:before="360" w:after="200"/>
      <w:outlineLvl w:val="1"/>
    </w:pPr>
    <w:rPr>
      <w:rFonts w:ascii="Arial" w:hAnsi="Arial" w:eastAsia="Arial" w:cs="Arial"/>
      <w:sz w:val="34"/>
    </w:rPr>
  </w:style>
  <w:style w:type="paragraph" w:styleId="928">
    <w:name w:val="Heading 3"/>
    <w:basedOn w:val="925"/>
    <w:next w:val="925"/>
    <w:link w:val="1077"/>
    <w:uiPriority w:val="9"/>
    <w:unhideWhenUsed/>
    <w:qFormat/>
    <w:pPr>
      <w:numPr>
        <w:ilvl w:val="2"/>
        <w:numId w:val="1"/>
      </w:numPr>
      <w:ind w:left="720" w:hanging="720"/>
      <w:keepLines/>
      <w:keepNext/>
      <w:spacing w:before="320" w:after="200"/>
      <w:outlineLvl w:val="2"/>
    </w:pPr>
    <w:rPr>
      <w:rFonts w:ascii="Arial" w:hAnsi="Arial" w:eastAsia="Arial" w:cs="Arial"/>
      <w:sz w:val="30"/>
      <w:szCs w:val="30"/>
    </w:rPr>
  </w:style>
  <w:style w:type="paragraph" w:styleId="929">
    <w:name w:val="Heading 4"/>
    <w:basedOn w:val="925"/>
    <w:next w:val="925"/>
    <w:link w:val="1104"/>
    <w:uiPriority w:val="9"/>
    <w:unhideWhenUsed/>
    <w:qFormat/>
    <w:pPr>
      <w:numPr>
        <w:ilvl w:val="3"/>
        <w:numId w:val="1"/>
      </w:numPr>
      <w:ind w:left="864" w:hanging="864"/>
      <w:keepLines/>
      <w:keepNext/>
      <w:spacing w:before="320" w:after="200"/>
      <w:outlineLvl w:val="3"/>
    </w:pPr>
    <w:rPr>
      <w:rFonts w:ascii="Arial" w:hAnsi="Arial" w:eastAsia="Arial" w:cs="Arial"/>
      <w:b/>
      <w:bCs/>
      <w:sz w:val="26"/>
      <w:szCs w:val="26"/>
    </w:rPr>
  </w:style>
  <w:style w:type="paragraph" w:styleId="930">
    <w:name w:val="Heading 5"/>
    <w:basedOn w:val="925"/>
    <w:next w:val="925"/>
    <w:link w:val="1177"/>
    <w:uiPriority w:val="9"/>
    <w:unhideWhenUsed/>
    <w:qFormat/>
    <w:pPr>
      <w:numPr>
        <w:ilvl w:val="4"/>
        <w:numId w:val="1"/>
      </w:numPr>
      <w:ind w:left="1008" w:hanging="1008"/>
      <w:keepLines/>
      <w:keepNext/>
      <w:spacing w:before="320" w:after="200"/>
      <w:outlineLvl w:val="4"/>
    </w:pPr>
    <w:rPr>
      <w:rFonts w:ascii="Arial" w:hAnsi="Arial" w:eastAsia="Arial" w:cs="Arial"/>
      <w:b/>
      <w:bCs/>
      <w:sz w:val="24"/>
      <w:szCs w:val="24"/>
    </w:rPr>
  </w:style>
  <w:style w:type="paragraph" w:styleId="931">
    <w:name w:val="Heading 6"/>
    <w:basedOn w:val="925"/>
    <w:next w:val="925"/>
    <w:link w:val="970"/>
    <w:uiPriority w:val="9"/>
    <w:unhideWhenUsed/>
    <w:qFormat/>
    <w:pPr>
      <w:numPr>
        <w:ilvl w:val="5"/>
        <w:numId w:val="1"/>
      </w:numPr>
      <w:ind w:left="1151" w:hanging="1151"/>
      <w:keepLines/>
      <w:keepNext/>
      <w:spacing w:before="320" w:after="200"/>
      <w:outlineLvl w:val="5"/>
    </w:pPr>
    <w:rPr>
      <w:rFonts w:ascii="Arial" w:hAnsi="Arial" w:eastAsia="Arial" w:cs="Arial"/>
      <w:b/>
      <w:bCs/>
      <w:sz w:val="22"/>
      <w:szCs w:val="22"/>
    </w:rPr>
  </w:style>
  <w:style w:type="paragraph" w:styleId="932">
    <w:name w:val="Heading 7"/>
    <w:basedOn w:val="925"/>
    <w:next w:val="925"/>
    <w:link w:val="1176"/>
    <w:uiPriority w:val="9"/>
    <w:unhideWhenUsed/>
    <w:qFormat/>
    <w:pPr>
      <w:numPr>
        <w:ilvl w:val="6"/>
        <w:numId w:val="1"/>
      </w:numPr>
      <w:ind w:left="1296" w:hanging="1296"/>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1211"/>
    <w:uiPriority w:val="9"/>
    <w:unhideWhenUsed/>
    <w:qFormat/>
    <w:pPr>
      <w:numPr>
        <w:ilvl w:val="7"/>
        <w:numId w:val="1"/>
      </w:numPr>
      <w:ind w:left="1440" w:hanging="1440"/>
      <w:keepLines/>
      <w:keepNext/>
      <w:spacing w:before="320" w:after="200"/>
      <w:outlineLvl w:val="7"/>
    </w:pPr>
    <w:rPr>
      <w:rFonts w:ascii="Arial" w:hAnsi="Arial" w:eastAsia="Arial" w:cs="Arial"/>
      <w:i/>
      <w:iCs/>
      <w:sz w:val="22"/>
      <w:szCs w:val="22"/>
    </w:rPr>
  </w:style>
  <w:style w:type="paragraph" w:styleId="934">
    <w:name w:val="Heading 9"/>
    <w:basedOn w:val="925"/>
    <w:next w:val="925"/>
    <w:link w:val="1078"/>
    <w:uiPriority w:val="9"/>
    <w:unhideWhenUsed/>
    <w:qFormat/>
    <w:pPr>
      <w:numPr>
        <w:ilvl w:val="8"/>
        <w:numId w:val="1"/>
      </w:numPr>
      <w:ind w:left="1583" w:hanging="1583"/>
      <w:keepLines/>
      <w:keepNext/>
      <w:spacing w:before="320" w:after="200"/>
      <w:outlineLvl w:val="8"/>
    </w:pPr>
    <w:rPr>
      <w:rFonts w:ascii="Arial" w:hAnsi="Arial" w:eastAsia="Arial" w:cs="Arial"/>
      <w:i/>
      <w:iCs/>
      <w:sz w:val="21"/>
      <w:szCs w:val="21"/>
    </w:rPr>
  </w:style>
  <w:style w:type="character" w:styleId="935" w:default="1">
    <w:name w:val="Default Paragraph Font"/>
    <w:uiPriority w:val="1"/>
    <w:unhideWhenUsed/>
    <w:qFormat/>
  </w:style>
  <w:style w:type="table" w:styleId="936" w:default="1">
    <w:name w:val="Normal Table"/>
    <w:uiPriority w:val="99"/>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Caption"/>
    <w:basedOn w:val="925"/>
    <w:next w:val="925"/>
    <w:uiPriority w:val="35"/>
    <w:unhideWhenUsed/>
    <w:qFormat/>
    <w:pPr>
      <w:spacing w:line="276" w:lineRule="auto"/>
    </w:pPr>
    <w:rPr>
      <w:b/>
      <w:bCs/>
      <w:color w:val="4f81bd"/>
      <w:sz w:val="18"/>
      <w:szCs w:val="18"/>
    </w:rPr>
  </w:style>
  <w:style w:type="paragraph" w:styleId="939">
    <w:name w:val="annotation text"/>
    <w:basedOn w:val="925"/>
    <w:uiPriority w:val="99"/>
    <w:unhideWhenUsed/>
    <w:qFormat/>
    <w:pPr>
      <w:jc w:val="left"/>
    </w:pPr>
  </w:style>
  <w:style w:type="paragraph" w:styleId="940">
    <w:name w:val="Body Text"/>
    <w:basedOn w:val="925"/>
    <w:next w:val="941"/>
    <w:uiPriority w:val="0"/>
    <w:semiHidden/>
    <w:qFormat/>
    <w:rPr>
      <w:rFonts w:ascii="Arial" w:hAnsi="Arial" w:eastAsia="Arial" w:cs="Arial"/>
      <w:sz w:val="21"/>
      <w:szCs w:val="21"/>
      <w:lang w:val="en-US" w:eastAsia="en-US" w:bidi="ar-SA"/>
    </w:rPr>
  </w:style>
  <w:style w:type="paragraph" w:styleId="941" w:customStyle="1">
    <w:name w:val="TOC 标题11"/>
    <w:next w:val="925"/>
    <w:uiPriority w:val="0"/>
    <w:qFormat/>
    <w:rPr>
      <w:rFonts w:hint="default" w:ascii="宋体" w:hAnsi="宋体" w:eastAsia="宋体" w:cs="宋体"/>
      <w:sz w:val="32"/>
      <w:lang w:val="en-US" w:eastAsia="zh-CN" w:bidi="ar-SA"/>
    </w:rPr>
  </w:style>
  <w:style w:type="paragraph" w:styleId="942">
    <w:name w:val="Body Text Indent"/>
    <w:basedOn w:val="925"/>
    <w:next w:val="925"/>
    <w:uiPriority w:val="0"/>
    <w:qFormat/>
    <w:pPr>
      <w:ind w:firstLine="645"/>
    </w:pPr>
    <w:rPr>
      <w:rFonts w:ascii="楷体_GB2312" w:hAnsi="宋体" w:eastAsia="楷体_GB2312"/>
      <w:sz w:val="32"/>
      <w:szCs w:val="32"/>
    </w:rPr>
  </w:style>
  <w:style w:type="paragraph" w:styleId="943">
    <w:name w:val="toc 5"/>
    <w:basedOn w:val="925"/>
    <w:next w:val="925"/>
    <w:uiPriority w:val="39"/>
    <w:unhideWhenUsed/>
    <w:qFormat/>
    <w:pPr>
      <w:ind w:left="1134" w:right="0" w:firstLine="0"/>
      <w:spacing w:after="57"/>
    </w:pPr>
  </w:style>
  <w:style w:type="paragraph" w:styleId="944">
    <w:name w:val="toc 3"/>
    <w:basedOn w:val="925"/>
    <w:next w:val="925"/>
    <w:uiPriority w:val="39"/>
    <w:unhideWhenUsed/>
    <w:qFormat/>
    <w:pPr>
      <w:ind w:left="567" w:right="0" w:firstLine="0"/>
      <w:spacing w:after="57"/>
    </w:pPr>
  </w:style>
  <w:style w:type="paragraph" w:styleId="945">
    <w:name w:val="toc 8"/>
    <w:basedOn w:val="925"/>
    <w:next w:val="925"/>
    <w:uiPriority w:val="39"/>
    <w:unhideWhenUsed/>
    <w:qFormat/>
    <w:pPr>
      <w:ind w:left="1984" w:right="0" w:firstLine="0"/>
      <w:spacing w:after="57"/>
    </w:pPr>
  </w:style>
  <w:style w:type="paragraph" w:styleId="946">
    <w:name w:val="endnote text"/>
    <w:basedOn w:val="925"/>
    <w:link w:val="1190"/>
    <w:uiPriority w:val="99"/>
    <w:unhideWhenUsed/>
    <w:qFormat/>
    <w:pPr>
      <w:spacing w:after="0" w:line="240" w:lineRule="auto"/>
    </w:pPr>
    <w:rPr>
      <w:sz w:val="20"/>
    </w:rPr>
  </w:style>
  <w:style w:type="paragraph" w:styleId="947">
    <w:name w:val="Footer"/>
    <w:basedOn w:val="925"/>
    <w:link w:val="1051"/>
    <w:uiPriority w:val="99"/>
    <w:unhideWhenUsed/>
    <w:qFormat/>
    <w:pPr>
      <w:spacing w:after="0" w:line="240" w:lineRule="auto"/>
      <w:tabs>
        <w:tab w:val="center" w:pos="7143" w:leader="none"/>
        <w:tab w:val="right" w:pos="14287" w:leader="none"/>
      </w:tabs>
    </w:pPr>
  </w:style>
  <w:style w:type="paragraph" w:styleId="948">
    <w:name w:val="envelope return"/>
    <w:basedOn w:val="925"/>
    <w:uiPriority w:val="99"/>
    <w:qFormat/>
    <w:rPr>
      <w:rFonts w:ascii="Arial" w:hAnsi="Arial"/>
    </w:rPr>
  </w:style>
  <w:style w:type="paragraph" w:styleId="949">
    <w:name w:val="Header"/>
    <w:basedOn w:val="925"/>
    <w:link w:val="1180"/>
    <w:uiPriority w:val="99"/>
    <w:unhideWhenUsed/>
    <w:qFormat/>
    <w:pPr>
      <w:spacing w:after="0" w:line="240" w:lineRule="auto"/>
      <w:tabs>
        <w:tab w:val="center" w:pos="7143" w:leader="none"/>
        <w:tab w:val="right" w:pos="14287" w:leader="none"/>
      </w:tabs>
    </w:pPr>
  </w:style>
  <w:style w:type="paragraph" w:styleId="950">
    <w:name w:val="toc 1"/>
    <w:basedOn w:val="925"/>
    <w:next w:val="925"/>
    <w:uiPriority w:val="39"/>
    <w:unhideWhenUsed/>
    <w:qFormat/>
    <w:pPr>
      <w:ind w:left="0" w:right="0" w:firstLine="0"/>
      <w:spacing w:after="57"/>
    </w:pPr>
  </w:style>
  <w:style w:type="paragraph" w:styleId="951">
    <w:name w:val="toc 4"/>
    <w:basedOn w:val="925"/>
    <w:next w:val="925"/>
    <w:uiPriority w:val="39"/>
    <w:unhideWhenUsed/>
    <w:qFormat/>
    <w:pPr>
      <w:ind w:left="850" w:right="0" w:firstLine="0"/>
      <w:spacing w:after="57"/>
    </w:pPr>
  </w:style>
  <w:style w:type="paragraph" w:styleId="952">
    <w:name w:val="Subtitle"/>
    <w:basedOn w:val="925"/>
    <w:next w:val="925"/>
    <w:link w:val="994"/>
    <w:uiPriority w:val="11"/>
    <w:qFormat/>
    <w:pPr>
      <w:spacing w:before="200" w:after="200"/>
    </w:pPr>
    <w:rPr>
      <w:sz w:val="24"/>
      <w:szCs w:val="24"/>
    </w:rPr>
  </w:style>
  <w:style w:type="paragraph" w:styleId="953">
    <w:name w:val="footnote text"/>
    <w:basedOn w:val="925"/>
    <w:link w:val="1057"/>
    <w:uiPriority w:val="99"/>
    <w:unhideWhenUsed/>
    <w:qFormat/>
    <w:pPr>
      <w:spacing w:after="40" w:line="240" w:lineRule="auto"/>
    </w:pPr>
    <w:rPr>
      <w:sz w:val="18"/>
    </w:rPr>
  </w:style>
  <w:style w:type="paragraph" w:styleId="954">
    <w:name w:val="toc 6"/>
    <w:basedOn w:val="925"/>
    <w:next w:val="925"/>
    <w:uiPriority w:val="39"/>
    <w:unhideWhenUsed/>
    <w:qFormat/>
    <w:pPr>
      <w:ind w:left="1417" w:right="0" w:firstLine="0"/>
      <w:spacing w:after="57"/>
    </w:pPr>
  </w:style>
  <w:style w:type="paragraph" w:styleId="955">
    <w:name w:val="table of figures"/>
    <w:basedOn w:val="925"/>
    <w:next w:val="925"/>
    <w:uiPriority w:val="99"/>
    <w:unhideWhenUsed/>
    <w:qFormat/>
    <w:pPr>
      <w:spacing w:after="0" w:afterAutospacing="0"/>
    </w:pPr>
  </w:style>
  <w:style w:type="paragraph" w:styleId="956">
    <w:name w:val="toc 2"/>
    <w:basedOn w:val="925"/>
    <w:next w:val="925"/>
    <w:uiPriority w:val="39"/>
    <w:unhideWhenUsed/>
    <w:qFormat/>
    <w:pPr>
      <w:ind w:left="283" w:right="0" w:firstLine="0"/>
      <w:spacing w:after="57"/>
    </w:pPr>
  </w:style>
  <w:style w:type="paragraph" w:styleId="957">
    <w:name w:val="toc 9"/>
    <w:basedOn w:val="925"/>
    <w:next w:val="925"/>
    <w:uiPriority w:val="39"/>
    <w:unhideWhenUsed/>
    <w:qFormat/>
    <w:pPr>
      <w:ind w:left="2268" w:right="0" w:firstLine="0"/>
      <w:spacing w:after="57"/>
    </w:pPr>
  </w:style>
  <w:style w:type="paragraph" w:styleId="958">
    <w:name w:val="Normal (Web)"/>
    <w:basedOn w:val="925"/>
    <w:uiPriority w:val="99"/>
    <w:unhideWhenUsed/>
    <w:qFormat/>
    <w:pPr>
      <w:ind w:left="0" w:right="0"/>
      <w:jc w:val="left"/>
      <w:spacing w:before="100" w:beforeAutospacing="1" w:after="100" w:afterAutospacing="1"/>
    </w:pPr>
    <w:rPr>
      <w:sz w:val="24"/>
      <w:lang w:val="en-US" w:eastAsia="zh-CN" w:bidi="ar"/>
    </w:rPr>
  </w:style>
  <w:style w:type="paragraph" w:styleId="959">
    <w:name w:val="Title"/>
    <w:basedOn w:val="925"/>
    <w:next w:val="925"/>
    <w:link w:val="1095"/>
    <w:uiPriority w:val="10"/>
    <w:qFormat/>
    <w:pPr>
      <w:contextualSpacing/>
      <w:spacing w:before="300" w:after="200"/>
    </w:pPr>
    <w:rPr>
      <w:sz w:val="48"/>
      <w:szCs w:val="48"/>
    </w:rPr>
  </w:style>
  <w:style w:type="paragraph" w:styleId="960">
    <w:name w:val="Body Text First Indent 2"/>
    <w:basedOn w:val="942"/>
    <w:uiPriority w:val="0"/>
    <w:qFormat/>
    <w:pPr>
      <w:ind w:firstLine="200"/>
      <w:spacing w:line="360" w:lineRule="auto"/>
    </w:pPr>
    <w:rPr>
      <w:rFonts w:ascii="宋体" w:eastAsia="宋体"/>
      <w:sz w:val="21"/>
      <w:szCs w:val="20"/>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unhideWhenUsed/>
    <w:qFormat/>
    <w:rPr>
      <w:vertAlign w:val="superscript"/>
    </w:rPr>
  </w:style>
  <w:style w:type="character" w:styleId="963">
    <w:name w:val="Emphasis"/>
    <w:basedOn w:val="935"/>
    <w:uiPriority w:val="20"/>
    <w:qFormat/>
    <w:rPr>
      <w:i/>
    </w:rPr>
  </w:style>
  <w:style w:type="character" w:styleId="964">
    <w:name w:val="Hyperlink"/>
    <w:uiPriority w:val="99"/>
    <w:unhideWhenUsed/>
    <w:qFormat/>
    <w:rPr>
      <w:color w:val="0000ff"/>
      <w:u w:val="single"/>
    </w:rPr>
  </w:style>
  <w:style w:type="character" w:styleId="965">
    <w:name w:val="footnote reference"/>
    <w:uiPriority w:val="99"/>
    <w:unhideWhenUsed/>
    <w:qFormat/>
    <w:rPr>
      <w:vertAlign w:val="superscript"/>
    </w:rPr>
  </w:style>
  <w:style w:type="table" w:styleId="966"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67"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8" w:customStyle="1">
    <w:name w:val="Normal_19"/>
    <w:uiPriority w:val="0"/>
    <w:qFormat/>
    <w:rPr>
      <w:rFonts w:hint="default" w:ascii="Times New Roman" w:hAnsi="Times New Roman" w:eastAsia="Times New Roman" w:cs="Times New Roman"/>
      <w:sz w:val="24"/>
      <w:szCs w:val="24"/>
      <w:lang w:bidi="ar-SA"/>
    </w:rPr>
  </w:style>
  <w:style w:type="paragraph" w:styleId="969" w:customStyle="1">
    <w:name w:val="Normal_7"/>
    <w:uiPriority w:val="0"/>
    <w:qFormat/>
    <w:rPr>
      <w:rFonts w:hint="default" w:ascii="Times New Roman" w:hAnsi="Times New Roman" w:eastAsia="Times New Roman" w:cs="Times New Roman"/>
      <w:sz w:val="24"/>
      <w:szCs w:val="24"/>
      <w:lang w:val="en-US" w:eastAsia="zh-CN" w:bidi="ar-SA"/>
    </w:rPr>
  </w:style>
  <w:style w:type="character" w:styleId="970" w:customStyle="1">
    <w:name w:val="Heading 6 Char"/>
    <w:link w:val="931"/>
    <w:uiPriority w:val="9"/>
    <w:qFormat/>
    <w:rPr>
      <w:rFonts w:ascii="Arial" w:hAnsi="Arial" w:eastAsia="Arial" w:cs="Arial"/>
      <w:b/>
      <w:bCs/>
      <w:sz w:val="22"/>
      <w:szCs w:val="22"/>
    </w:rPr>
  </w:style>
  <w:style w:type="table" w:styleId="971"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972" w:customStyle="1">
    <w:name w:val="要点1"/>
    <w:basedOn w:val="973"/>
    <w:uiPriority w:val="0"/>
    <w:qFormat/>
    <w:rPr>
      <w:b/>
      <w:bCs/>
    </w:rPr>
  </w:style>
  <w:style w:type="character" w:styleId="973" w:customStyle="1">
    <w:name w:val="默认段落字体1"/>
    <w:uiPriority w:val="0"/>
    <w:semiHidden/>
    <w:qFormat/>
  </w:style>
  <w:style w:type="table" w:styleId="97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5" w:customStyle="1">
    <w:name w:val="Normal_27"/>
    <w:uiPriority w:val="0"/>
    <w:qFormat/>
    <w:rPr>
      <w:rFonts w:hint="default" w:ascii="Times New Roman" w:hAnsi="Times New Roman" w:eastAsia="Times New Roman" w:cs="Times New Roman"/>
      <w:sz w:val="24"/>
      <w:szCs w:val="24"/>
    </w:rPr>
  </w:style>
  <w:style w:type="table" w:styleId="9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8" w:customStyle="1">
    <w:name w:val="首行缩进"/>
    <w:basedOn w:val="925"/>
    <w:next w:val="925"/>
    <w:uiPriority w:val="0"/>
    <w:qFormat/>
    <w:pPr>
      <w:ind w:firstLine="480"/>
      <w:jc w:val="left"/>
      <w:spacing w:line="360" w:lineRule="auto"/>
    </w:pPr>
    <w:rPr>
      <w:rFonts w:ascii="宋体" w:hAnsi="宋体"/>
      <w:sz w:val="24"/>
    </w:rPr>
  </w:style>
  <w:style w:type="paragraph" w:styleId="979" w:customStyle="1">
    <w:name w:val="Normal_1_2"/>
    <w:uiPriority w:val="0"/>
    <w:qFormat/>
    <w:rPr>
      <w:rFonts w:hint="default" w:ascii="Times New Roman" w:hAnsi="Times New Roman" w:eastAsia="Times New Roman" w:cs="Times New Roman"/>
      <w:sz w:val="24"/>
      <w:szCs w:val="24"/>
    </w:rPr>
  </w:style>
  <w:style w:type="paragraph" w:styleId="980" w:customStyle="1">
    <w:name w:val="Normal_3"/>
    <w:uiPriority w:val="0"/>
    <w:qFormat/>
    <w:rPr>
      <w:rFonts w:hint="default" w:ascii="Times New Roman" w:hAnsi="Times New Roman" w:eastAsia="Times New Roman" w:cs="Times New Roman"/>
      <w:sz w:val="24"/>
      <w:szCs w:val="24"/>
      <w:lang w:val="en-US" w:eastAsia="zh-CN" w:bidi="ar-SA"/>
    </w:rPr>
  </w:style>
  <w:style w:type="table" w:styleId="981"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82"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5"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6"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88" w:customStyle="1">
    <w:name w:val="Normal_18"/>
    <w:uiPriority w:val="0"/>
    <w:qFormat/>
    <w:rPr>
      <w:rFonts w:hint="default" w:ascii="Times New Roman" w:hAnsi="Times New Roman" w:eastAsia="Times New Roman" w:cs="Times New Roman"/>
      <w:sz w:val="24"/>
      <w:szCs w:val="24"/>
    </w:rPr>
  </w:style>
  <w:style w:type="table" w:styleId="989"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2" w:customStyle="1">
    <w:name w:val="HTML 变量1"/>
    <w:basedOn w:val="973"/>
    <w:uiPriority w:val="0"/>
    <w:qFormat/>
  </w:style>
  <w:style w:type="table" w:styleId="993"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4" w:customStyle="1">
    <w:name w:val="Subtitle Char"/>
    <w:link w:val="952"/>
    <w:uiPriority w:val="11"/>
    <w:qFormat/>
    <w:rPr>
      <w:sz w:val="24"/>
      <w:szCs w:val="24"/>
    </w:rPr>
  </w:style>
  <w:style w:type="table" w:styleId="99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97" w:customStyle="1">
    <w:name w:val="段"/>
    <w:next w:val="998"/>
    <w:uiPriority w:val="0"/>
    <w:qFormat/>
    <w:pPr>
      <w:ind w:firstLine="200"/>
      <w:jc w:val="both"/>
    </w:pPr>
    <w:rPr>
      <w:rFonts w:hint="default" w:ascii="宋体" w:hAnsi="Times New Roman" w:eastAsia="宋体" w:cs="Times New Roman"/>
      <w:sz w:val="21"/>
      <w:szCs w:val="22"/>
      <w:lang w:val="en-US" w:eastAsia="zh-CN" w:bidi="ar-SA"/>
    </w:rPr>
  </w:style>
  <w:style w:type="paragraph" w:styleId="998" w:customStyle="1">
    <w:name w:val="正文 A"/>
    <w:next w:val="99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99" w:customStyle="1">
    <w:name w:val="Normal_0"/>
    <w:next w:val="1000"/>
    <w:uiPriority w:val="0"/>
    <w:qFormat/>
    <w:rPr>
      <w:rFonts w:hint="default" w:ascii="Times New Roman" w:hAnsi="Times New Roman" w:eastAsia="Times New Roman" w:cs="Times New Roman"/>
      <w:sz w:val="24"/>
      <w:szCs w:val="24"/>
      <w:lang w:val="en-US" w:eastAsia="zh-CN" w:bidi="ar-SA"/>
    </w:rPr>
  </w:style>
  <w:style w:type="paragraph" w:styleId="1000" w:customStyle="1">
    <w:name w:val="首行缩进_0"/>
    <w:basedOn w:val="1001"/>
    <w:uiPriority w:val="0"/>
    <w:qFormat/>
    <w:pPr>
      <w:ind w:firstLine="480"/>
      <w:jc w:val="left"/>
      <w:spacing w:line="360" w:lineRule="auto"/>
    </w:pPr>
    <w:rPr>
      <w:rFonts w:ascii="宋体" w:hAnsi="宋体"/>
      <w:sz w:val="24"/>
    </w:rPr>
  </w:style>
  <w:style w:type="paragraph" w:styleId="1001" w:customStyle="1">
    <w:name w:val="Normal_9"/>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02"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1004" w:customStyle="1">
    <w:name w:val="Normal_30"/>
    <w:uiPriority w:val="0"/>
    <w:qFormat/>
    <w:rPr>
      <w:rFonts w:hint="default" w:ascii="Times New Roman" w:hAnsi="Times New Roman" w:eastAsia="Times New Roman" w:cs="Times New Roman"/>
      <w:sz w:val="24"/>
      <w:szCs w:val="24"/>
    </w:rPr>
  </w:style>
  <w:style w:type="paragraph" w:styleId="1005" w:customStyle="1">
    <w:name w:val="Normal_24"/>
    <w:uiPriority w:val="0"/>
    <w:qFormat/>
    <w:rPr>
      <w:rFonts w:hint="default" w:ascii="Times New Roman" w:hAnsi="Times New Roman" w:eastAsia="Times New Roman" w:cs="Times New Roman"/>
      <w:sz w:val="24"/>
      <w:szCs w:val="24"/>
    </w:rPr>
  </w:style>
  <w:style w:type="table" w:styleId="1006"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07"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08" w:customStyle="1">
    <w:name w:val="Normal_1"/>
    <w:uiPriority w:val="0"/>
    <w:qFormat/>
    <w:rPr>
      <w:rFonts w:hint="default" w:ascii="Times New Roman" w:hAnsi="Times New Roman" w:eastAsia="Times New Roman" w:cs="Times New Roman"/>
      <w:sz w:val="24"/>
      <w:szCs w:val="24"/>
    </w:rPr>
  </w:style>
  <w:style w:type="paragraph" w:styleId="1009" w:customStyle="1">
    <w:name w:val="正文缩进1"/>
    <w:basedOn w:val="925"/>
    <w:uiPriority w:val="0"/>
    <w:qFormat/>
    <w:pPr>
      <w:ind w:firstLine="420"/>
    </w:pPr>
    <w:rPr>
      <w:szCs w:val="21"/>
    </w:rPr>
  </w:style>
  <w:style w:type="paragraph" w:styleId="1010" w:customStyle="1">
    <w:name w:val="Normal_18_0"/>
    <w:uiPriority w:val="0"/>
    <w:qFormat/>
    <w:rPr>
      <w:rFonts w:hint="default" w:ascii="Times New Roman" w:hAnsi="Times New Roman" w:eastAsia="Times New Roman" w:cs="Times New Roman"/>
      <w:sz w:val="24"/>
      <w:szCs w:val="24"/>
    </w:rPr>
  </w:style>
  <w:style w:type="paragraph" w:styleId="1011" w:customStyle="1">
    <w:name w:val="Normal_1_1"/>
    <w:uiPriority w:val="0"/>
    <w:qFormat/>
    <w:rPr>
      <w:rFonts w:hint="default" w:ascii="Times New Roman" w:hAnsi="Times New Roman" w:eastAsia="Times New Roman" w:cs="Times New Roman"/>
      <w:sz w:val="24"/>
      <w:szCs w:val="24"/>
    </w:rPr>
  </w:style>
  <w:style w:type="table" w:styleId="1012"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13" w:customStyle="1">
    <w:name w:val="HTML 代码1"/>
    <w:basedOn w:val="973"/>
    <w:uiPriority w:val="0"/>
    <w:qFormat/>
    <w:rPr>
      <w:rFonts w:ascii="monospace" w:hAnsi="monospace" w:eastAsia="monospace" w:cs="monospace"/>
      <w:sz w:val="20"/>
    </w:rPr>
  </w:style>
  <w:style w:type="table" w:styleId="1014"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paragraph" w:styleId="1016" w:customStyle="1">
    <w:name w:val="Normal_2_0"/>
    <w:uiPriority w:val="0"/>
    <w:qFormat/>
    <w:rPr>
      <w:rFonts w:hint="default" w:ascii="Times New Roman" w:hAnsi="Times New Roman" w:eastAsia="Times New Roman" w:cs="Times New Roman"/>
      <w:sz w:val="24"/>
      <w:szCs w:val="24"/>
    </w:rPr>
  </w:style>
  <w:style w:type="table" w:styleId="1017"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18" w:customStyle="1">
    <w:name w:val="Normal_13"/>
    <w:uiPriority w:val="0"/>
    <w:qFormat/>
    <w:rPr>
      <w:rFonts w:hint="default" w:ascii="Times New Roman" w:hAnsi="Times New Roman" w:eastAsia="Times New Roman" w:cs="Times New Roman"/>
      <w:sz w:val="24"/>
      <w:szCs w:val="24"/>
    </w:rPr>
  </w:style>
  <w:style w:type="paragraph" w:styleId="1019" w:customStyle="1">
    <w:name w:val="Normal_14"/>
    <w:uiPriority w:val="0"/>
    <w:qFormat/>
    <w:rPr>
      <w:rFonts w:hint="default" w:ascii="Times New Roman" w:hAnsi="Times New Roman" w:eastAsia="Times New Roman" w:cs="Times New Roman"/>
      <w:sz w:val="24"/>
      <w:szCs w:val="24"/>
    </w:rPr>
  </w:style>
  <w:style w:type="paragraph" w:styleId="1020" w:customStyle="1">
    <w:name w:val="样式1"/>
    <w:basedOn w:val="925"/>
    <w:uiPriority w:val="0"/>
    <w:qFormat/>
    <w:pPr>
      <w:ind w:firstLine="0"/>
    </w:pPr>
    <w:rPr>
      <w:rFonts w:ascii="宋体" w:hAnsi="宋体" w:cs="宋体"/>
      <w:szCs w:val="21"/>
    </w:rPr>
  </w:style>
  <w:style w:type="paragraph" w:styleId="1021" w:customStyle="1">
    <w:name w:val="Normal_0_2"/>
    <w:uiPriority w:val="0"/>
    <w:qFormat/>
    <w:rPr>
      <w:rFonts w:hint="default" w:ascii="Times New Roman" w:hAnsi="Times New Roman" w:eastAsia="Times New Roman" w:cs="Times New Roman"/>
      <w:sz w:val="24"/>
      <w:szCs w:val="24"/>
    </w:rPr>
  </w:style>
  <w:style w:type="table" w:styleId="1022"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paragraph" w:styleId="1023" w:customStyle="1">
    <w:name w:val="标题 41"/>
    <w:basedOn w:val="925"/>
    <w:next w:val="925"/>
    <w:uiPriority w:val="0"/>
    <w:qFormat/>
    <w:pPr>
      <w:keepLines/>
      <w:keepNext/>
      <w:spacing w:before="280" w:after="290" w:line="376" w:lineRule="auto"/>
      <w:outlineLvl w:val="3"/>
    </w:pPr>
    <w:rPr>
      <w:rFonts w:ascii="Arial" w:hAnsi="Arial" w:eastAsia="黑体" w:cs="Times New Roman"/>
      <w:b/>
      <w:bCs/>
      <w:sz w:val="28"/>
      <w:szCs w:val="28"/>
    </w:rPr>
  </w:style>
  <w:style w:type="paragraph" w:styleId="1024" w:customStyle="1">
    <w:name w:val="Default"/>
    <w:uiPriority w:val="0"/>
    <w:qFormat/>
    <w:pPr>
      <w:widowControl w:val="off"/>
    </w:pPr>
    <w:rPr>
      <w:rFonts w:hint="default" w:ascii="Arial" w:hAnsi="Arial" w:eastAsia="宋体" w:cs="Arial"/>
      <w:color w:val="000000"/>
      <w:sz w:val="24"/>
      <w:szCs w:val="24"/>
      <w:lang w:val="en-US" w:eastAsia="zh-CN" w:bidi="ar-SA"/>
    </w:rPr>
  </w:style>
  <w:style w:type="character" w:styleId="1025" w:customStyle="1">
    <w:name w:val="hover1"/>
    <w:basedOn w:val="973"/>
    <w:uiPriority w:val="0"/>
    <w:qFormat/>
    <w:rPr>
      <w:color w:val="2590eb"/>
    </w:rPr>
  </w:style>
  <w:style w:type="table" w:styleId="1026"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27"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8" w:customStyle="1">
    <w:name w:val="16"/>
    <w:basedOn w:val="935"/>
    <w:uiPriority w:val="0"/>
    <w:qFormat/>
    <w:rPr>
      <w:rFonts w:hint="default" w:ascii="Times New Roman" w:hAnsi="Times New Roman" w:cs="Times New Roman"/>
      <w:b/>
    </w:rPr>
  </w:style>
  <w:style w:type="paragraph" w:styleId="1029" w:customStyle="1">
    <w:name w:val="正文首行缩进 21"/>
    <w:basedOn w:val="1030"/>
    <w:uiPriority w:val="0"/>
    <w:qFormat/>
    <w:pPr>
      <w:ind w:firstLine="200"/>
      <w:spacing w:line="360" w:lineRule="auto"/>
    </w:pPr>
    <w:rPr>
      <w:rFonts w:ascii="宋体" w:eastAsia="宋体"/>
      <w:sz w:val="21"/>
      <w:szCs w:val="20"/>
    </w:rPr>
  </w:style>
  <w:style w:type="paragraph" w:styleId="1030" w:customStyle="1">
    <w:name w:val="正文文本缩进1"/>
    <w:basedOn w:val="925"/>
    <w:next w:val="1031"/>
    <w:uiPriority w:val="0"/>
    <w:qFormat/>
    <w:pPr>
      <w:ind w:firstLine="645"/>
    </w:pPr>
    <w:rPr>
      <w:rFonts w:ascii="楷体_GB2312" w:hAnsi="宋体" w:eastAsia="楷体_GB2312"/>
      <w:sz w:val="32"/>
      <w:szCs w:val="32"/>
    </w:rPr>
  </w:style>
  <w:style w:type="paragraph" w:styleId="1031" w:customStyle="1">
    <w:name w:val="寄信人地址1"/>
    <w:basedOn w:val="925"/>
    <w:uiPriority w:val="99"/>
    <w:qFormat/>
    <w:rPr>
      <w:rFonts w:ascii="Arial" w:hAnsi="Arial"/>
    </w:rPr>
  </w:style>
  <w:style w:type="table" w:styleId="1032"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character" w:styleId="1034" w:customStyle="1">
    <w:name w:val="Caption Char"/>
    <w:uiPriority w:val="99"/>
    <w:qFormat/>
  </w:style>
  <w:style w:type="table" w:styleId="1035"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6" w:customStyle="1">
    <w:name w:val="默认段落字体11"/>
    <w:uiPriority w:val="0"/>
    <w:semiHidden/>
    <w:qFormat/>
  </w:style>
  <w:style w:type="table" w:styleId="1037"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8"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39"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character" w:styleId="1040" w:customStyle="1">
    <w:name w:val="已访问的超链接1"/>
    <w:basedOn w:val="973"/>
    <w:uiPriority w:val="0"/>
    <w:qFormat/>
    <w:rPr>
      <w:color w:val="800080"/>
      <w:u w:val="none"/>
    </w:rPr>
  </w:style>
  <w:style w:type="character" w:styleId="1041" w:customStyle="1">
    <w:name w:val="标题 4 Char"/>
    <w:uiPriority w:val="9"/>
    <w:qFormat/>
    <w:rPr>
      <w:rFonts w:ascii="Cambria" w:hAnsi="Cambria" w:eastAsia="宋体" w:cs="Times New Roman"/>
      <w:b/>
      <w:bCs/>
      <w:sz w:val="28"/>
      <w:szCs w:val="28"/>
    </w:rPr>
  </w:style>
  <w:style w:type="table" w:styleId="1042"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4"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45" w:customStyle="1">
    <w:name w:val="Normal_5_0"/>
    <w:uiPriority w:val="0"/>
    <w:qFormat/>
    <w:rPr>
      <w:rFonts w:hint="default" w:ascii="Times New Roman" w:hAnsi="Times New Roman" w:eastAsia="Times New Roman" w:cs="Times New Roman"/>
      <w:sz w:val="24"/>
      <w:szCs w:val="24"/>
    </w:rPr>
  </w:style>
  <w:style w:type="character" w:styleId="1046" w:customStyle="1">
    <w:name w:val="HTML 引文1"/>
    <w:basedOn w:val="973"/>
    <w:uiPriority w:val="0"/>
    <w:qFormat/>
  </w:style>
  <w:style w:type="paragraph" w:styleId="1047">
    <w:name w:val="List Paragraph"/>
    <w:basedOn w:val="925"/>
    <w:uiPriority w:val="34"/>
    <w:qFormat/>
    <w:pPr>
      <w:ind w:firstLine="420"/>
    </w:pPr>
  </w:style>
  <w:style w:type="character" w:styleId="1048" w:customStyle="1">
    <w:name w:val="HTML 打字机1"/>
    <w:basedOn w:val="973"/>
    <w:uiPriority w:val="0"/>
    <w:qFormat/>
    <w:rPr>
      <w:rFonts w:ascii="monospace" w:hAnsi="monospace" w:eastAsia="monospace" w:cs="monospace"/>
      <w:sz w:val="20"/>
    </w:rPr>
  </w:style>
  <w:style w:type="table" w:styleId="1049"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0"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1" w:customStyle="1">
    <w:name w:val="Footer Char"/>
    <w:link w:val="947"/>
    <w:uiPriority w:val="99"/>
    <w:qFormat/>
  </w:style>
  <w:style w:type="character" w:styleId="1052" w:customStyle="1">
    <w:name w:val="HTML 键盘1"/>
    <w:basedOn w:val="973"/>
    <w:uiPriority w:val="0"/>
    <w:qFormat/>
    <w:rPr>
      <w:rFonts w:ascii="monospace" w:hAnsi="monospace" w:eastAsia="monospace" w:cs="monospace"/>
      <w:sz w:val="20"/>
    </w:rPr>
  </w:style>
  <w:style w:type="paragraph" w:styleId="1053" w:customStyle="1">
    <w:name w:val="Normal_43"/>
    <w:uiPriority w:val="0"/>
    <w:qFormat/>
    <w:rPr>
      <w:rFonts w:hint="default" w:ascii="Times New Roman" w:hAnsi="Times New Roman" w:eastAsia="Times New Roman" w:cs="Times New Roman"/>
      <w:sz w:val="24"/>
      <w:szCs w:val="24"/>
    </w:rPr>
  </w:style>
  <w:style w:type="paragraph" w:styleId="1054" w:customStyle="1">
    <w:name w:val="正文首行缩进1"/>
    <w:basedOn w:val="1055"/>
    <w:next w:val="925"/>
    <w:uiPriority w:val="99"/>
    <w:unhideWhenUsed/>
    <w:qFormat/>
    <w:pPr>
      <w:ind w:firstLine="420"/>
    </w:pPr>
  </w:style>
  <w:style w:type="paragraph" w:styleId="1055" w:customStyle="1">
    <w:name w:val="正文文本1"/>
    <w:basedOn w:val="925"/>
    <w:uiPriority w:val="0"/>
    <w:qFormat/>
    <w:pPr>
      <w:spacing w:after="120"/>
    </w:pPr>
  </w:style>
  <w:style w:type="table" w:styleId="1056"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character" w:styleId="1057" w:customStyle="1">
    <w:name w:val="Footnote Text Char"/>
    <w:link w:val="953"/>
    <w:uiPriority w:val="99"/>
    <w:qFormat/>
    <w:rPr>
      <w:sz w:val="18"/>
    </w:rPr>
  </w:style>
  <w:style w:type="table" w:styleId="105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9" w:customStyle="1">
    <w:name w:val="HTML 定义1"/>
    <w:basedOn w:val="973"/>
    <w:uiPriority w:val="0"/>
    <w:qFormat/>
  </w:style>
  <w:style w:type="table" w:styleId="106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61"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2" w:customStyle="1">
    <w:name w:val="日期1"/>
    <w:basedOn w:val="925"/>
    <w:next w:val="925"/>
    <w:uiPriority w:val="0"/>
    <w:qFormat/>
    <w:rPr>
      <w:sz w:val="24"/>
    </w:rPr>
  </w:style>
  <w:style w:type="character" w:styleId="1063" w:customStyle="1">
    <w:name w:val="HTML 样本1"/>
    <w:basedOn w:val="973"/>
    <w:uiPriority w:val="0"/>
    <w:qFormat/>
    <w:rPr>
      <w:rFonts w:ascii="monospace" w:hAnsi="monospace" w:eastAsia="monospace" w:cs="monospace"/>
    </w:rPr>
  </w:style>
  <w:style w:type="paragraph" w:styleId="1064" w:customStyle="1">
    <w:name w:val="Normal_4_0"/>
    <w:uiPriority w:val="0"/>
    <w:qFormat/>
    <w:rPr>
      <w:rFonts w:hint="default" w:ascii="Times New Roman" w:hAnsi="Times New Roman" w:eastAsia="Times New Roman" w:cs="Times New Roman"/>
      <w:sz w:val="24"/>
      <w:szCs w:val="24"/>
    </w:rPr>
  </w:style>
  <w:style w:type="table" w:styleId="1065"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66" w:customStyle="1">
    <w:name w:val="超链接1"/>
    <w:basedOn w:val="973"/>
    <w:uiPriority w:val="0"/>
    <w:qFormat/>
    <w:rPr>
      <w:color w:val="0000ff"/>
      <w:u w:val="none"/>
    </w:rPr>
  </w:style>
  <w:style w:type="paragraph" w:styleId="1067" w:customStyle="1">
    <w:name w:val="Normal_2_1"/>
    <w:uiPriority w:val="0"/>
    <w:qFormat/>
    <w:rPr>
      <w:rFonts w:hint="default" w:ascii="Times New Roman" w:hAnsi="Times New Roman" w:eastAsia="Times New Roman" w:cs="Times New Roman"/>
      <w:sz w:val="24"/>
      <w:szCs w:val="24"/>
    </w:rPr>
  </w:style>
  <w:style w:type="table" w:styleId="1068"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69"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70" w:customStyle="1">
    <w:name w:val="TOC Heading"/>
    <w:uiPriority w:val="39"/>
    <w:unhideWhenUsed/>
    <w:qFormat/>
    <w:rPr>
      <w:rFonts w:hint="default" w:ascii="Times New Roman" w:hAnsi="Times New Roman" w:eastAsia="宋体" w:cs="Times New Roman"/>
    </w:rPr>
  </w:style>
  <w:style w:type="table" w:styleId="1071"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Table Normal"/>
    <w:uiPriority w:val="0"/>
    <w:unhideWhenUsed/>
    <w:qFormat/>
    <w:tblPr>
      <w:tblCellMar>
        <w:left w:w="0" w:type="dxa"/>
        <w:top w:w="0" w:type="dxa"/>
        <w:right w:w="0" w:type="dxa"/>
        <w:bottom w:w="0" w:type="dxa"/>
      </w:tblCellMar>
    </w:tblPr>
  </w:style>
  <w:style w:type="paragraph" w:styleId="1073" w:customStyle="1">
    <w:name w:val="普通正文"/>
    <w:basedOn w:val="925"/>
    <w:uiPriority w:val="0"/>
    <w:qFormat/>
    <w:pPr>
      <w:ind w:firstLine="480"/>
      <w:jc w:val="left"/>
      <w:spacing w:before="120" w:after="120" w:line="360" w:lineRule="auto"/>
    </w:pPr>
    <w:rPr>
      <w:rFonts w:ascii="Arial" w:hAnsi="Arial"/>
      <w:sz w:val="24"/>
    </w:rPr>
  </w:style>
  <w:style w:type="paragraph" w:styleId="1074" w:customStyle="1">
    <w:name w:val="Normal_23"/>
    <w:uiPriority w:val="0"/>
    <w:qFormat/>
    <w:rPr>
      <w:rFonts w:hint="default" w:ascii="Times New Roman" w:hAnsi="Times New Roman" w:eastAsia="Times New Roman" w:cs="Times New Roman"/>
      <w:sz w:val="24"/>
      <w:szCs w:val="24"/>
    </w:rPr>
  </w:style>
  <w:style w:type="table" w:styleId="1075"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076"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7" w:customStyle="1">
    <w:name w:val="Heading 3 Char"/>
    <w:link w:val="928"/>
    <w:uiPriority w:val="9"/>
    <w:qFormat/>
    <w:rPr>
      <w:rFonts w:ascii="Arial" w:hAnsi="Arial" w:eastAsia="Arial" w:cs="Arial"/>
      <w:sz w:val="30"/>
      <w:szCs w:val="30"/>
    </w:rPr>
  </w:style>
  <w:style w:type="character" w:styleId="1078" w:customStyle="1">
    <w:name w:val="Heading 9 Char"/>
    <w:link w:val="934"/>
    <w:uiPriority w:val="9"/>
    <w:qFormat/>
    <w:rPr>
      <w:rFonts w:ascii="Arial" w:hAnsi="Arial" w:eastAsia="Arial" w:cs="Arial"/>
      <w:i/>
      <w:iCs/>
      <w:sz w:val="21"/>
      <w:szCs w:val="21"/>
    </w:rPr>
  </w:style>
  <w:style w:type="paragraph" w:styleId="1079" w:customStyle="1">
    <w:name w:val="Normal_0_1"/>
    <w:uiPriority w:val="0"/>
    <w:qFormat/>
    <w:rPr>
      <w:rFonts w:hint="default" w:ascii="Times New Roman" w:hAnsi="Times New Roman" w:eastAsia="Times New Roman" w:cs="Times New Roman"/>
      <w:sz w:val="24"/>
      <w:szCs w:val="24"/>
    </w:rPr>
  </w:style>
  <w:style w:type="table" w:styleId="1080"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82" w:customStyle="1">
    <w:name w:val="Normal_20"/>
    <w:uiPriority w:val="0"/>
    <w:qFormat/>
    <w:rPr>
      <w:rFonts w:hint="default" w:ascii="Times New Roman" w:hAnsi="Times New Roman" w:eastAsia="Times New Roman" w:cs="Times New Roman"/>
      <w:sz w:val="24"/>
      <w:szCs w:val="24"/>
      <w:lang w:bidi="ar-SA"/>
    </w:rPr>
  </w:style>
  <w:style w:type="table" w:styleId="1083"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85"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6" w:customStyle="1">
    <w:name w:val="mini-outputtext1"/>
    <w:basedOn w:val="973"/>
    <w:uiPriority w:val="0"/>
    <w:qFormat/>
  </w:style>
  <w:style w:type="table" w:styleId="1087"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88" w:customStyle="1">
    <w:name w:val="Normal_41"/>
    <w:uiPriority w:val="0"/>
    <w:qFormat/>
    <w:rPr>
      <w:rFonts w:hint="default" w:ascii="Times New Roman" w:hAnsi="Times New Roman" w:eastAsia="Times New Roman" w:cs="Times New Roman"/>
      <w:sz w:val="24"/>
      <w:szCs w:val="24"/>
    </w:rPr>
  </w:style>
  <w:style w:type="paragraph" w:styleId="1089" w:customStyle="1">
    <w:name w:val="Normal_25"/>
    <w:uiPriority w:val="0"/>
    <w:qFormat/>
    <w:rPr>
      <w:rFonts w:hint="default" w:ascii="Times New Roman" w:hAnsi="Times New Roman" w:eastAsia="Times New Roman" w:cs="Times New Roman"/>
      <w:sz w:val="24"/>
      <w:szCs w:val="24"/>
    </w:rPr>
  </w:style>
  <w:style w:type="character" w:styleId="1090" w:customStyle="1">
    <w:name w:val="HTML 缩写1"/>
    <w:basedOn w:val="973"/>
    <w:uiPriority w:val="0"/>
    <w:qFormat/>
  </w:style>
  <w:style w:type="table" w:styleId="1091"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93"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9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5" w:customStyle="1">
    <w:name w:val="Title Char"/>
    <w:link w:val="959"/>
    <w:uiPriority w:val="10"/>
    <w:qFormat/>
    <w:rPr>
      <w:sz w:val="48"/>
      <w:szCs w:val="48"/>
    </w:rPr>
  </w:style>
  <w:style w:type="table" w:styleId="1096"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character" w:styleId="1097" w:customStyle="1">
    <w:name w:val="Heading 1 Char"/>
    <w:link w:val="926"/>
    <w:uiPriority w:val="9"/>
    <w:qFormat/>
    <w:rPr>
      <w:rFonts w:ascii="Arial" w:hAnsi="Arial" w:eastAsia="Arial" w:cs="Arial"/>
      <w:sz w:val="40"/>
      <w:szCs w:val="40"/>
    </w:rPr>
  </w:style>
  <w:style w:type="paragraph" w:styleId="1098" w:customStyle="1">
    <w:name w:val="目录 21"/>
    <w:basedOn w:val="925"/>
    <w:next w:val="925"/>
    <w:uiPriority w:val="0"/>
    <w:qFormat/>
    <w:pPr>
      <w:ind w:left="420"/>
    </w:pPr>
  </w:style>
  <w:style w:type="table" w:styleId="1099"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00" w:customStyle="1">
    <w:name w:val="p0"/>
    <w:basedOn w:val="925"/>
    <w:uiPriority w:val="99"/>
    <w:qFormat/>
    <w:pPr>
      <w:widowControl/>
    </w:pPr>
    <w:rPr>
      <w:rFonts w:ascii="Calibri" w:hAnsi="Calibri" w:cs="宋体"/>
      <w:szCs w:val="21"/>
    </w:rPr>
  </w:style>
  <w:style w:type="table" w:styleId="1101"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102"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104" w:customStyle="1">
    <w:name w:val="Heading 4 Char"/>
    <w:link w:val="929"/>
    <w:uiPriority w:val="9"/>
    <w:qFormat/>
    <w:rPr>
      <w:rFonts w:ascii="Arial" w:hAnsi="Arial" w:eastAsia="Arial" w:cs="Arial"/>
      <w:b/>
      <w:bCs/>
      <w:sz w:val="26"/>
      <w:szCs w:val="26"/>
    </w:rPr>
  </w:style>
  <w:style w:type="table" w:styleId="1105"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6"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07"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108"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09" w:customStyle="1">
    <w:name w:val="正文_0"/>
    <w:uiPriority w:val="0"/>
    <w:qFormat/>
    <w:pPr>
      <w:jc w:val="both"/>
      <w:widowControl w:val="off"/>
    </w:pPr>
    <w:rPr>
      <w:rFonts w:hint="default" w:ascii="Calibri" w:hAnsi="Calibri" w:eastAsia="宋体" w:cs="Times New Roman"/>
      <w:sz w:val="21"/>
      <w:szCs w:val="22"/>
    </w:rPr>
  </w:style>
  <w:style w:type="character" w:styleId="1110" w:customStyle="1">
    <w:name w:val="font11"/>
    <w:basedOn w:val="935"/>
    <w:uiPriority w:val="0"/>
    <w:qFormat/>
    <w:rPr>
      <w:rFonts w:hint="eastAsia" w:ascii="微软雅黑" w:hAnsi="微软雅黑" w:eastAsia="微软雅黑" w:cs="微软雅黑"/>
      <w:color w:val="000000"/>
      <w:sz w:val="16"/>
      <w:szCs w:val="16"/>
      <w:u w:val="none"/>
    </w:rPr>
  </w:style>
  <w:style w:type="character" w:styleId="1111" w:customStyle="1">
    <w:name w:val="Heading 2 Char"/>
    <w:link w:val="927"/>
    <w:uiPriority w:val="9"/>
    <w:qFormat/>
    <w:rPr>
      <w:rFonts w:ascii="Arial" w:hAnsi="Arial" w:eastAsia="Arial" w:cs="Arial"/>
      <w:sz w:val="34"/>
    </w:rPr>
  </w:style>
  <w:style w:type="table" w:styleId="111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3"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1114"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5"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paragraph" w:styleId="1117" w:customStyle="1">
    <w:name w:val="Normal_5"/>
    <w:uiPriority w:val="0"/>
    <w:qFormat/>
    <w:rPr>
      <w:rFonts w:hint="default" w:ascii="Times New Roman" w:hAnsi="Times New Roman" w:eastAsia="Times New Roman" w:cs="Times New Roman"/>
      <w:sz w:val="24"/>
      <w:szCs w:val="24"/>
      <w:lang w:val="en-US" w:eastAsia="zh-CN" w:bidi="ar-SA"/>
    </w:rPr>
  </w:style>
  <w:style w:type="table" w:styleId="1118"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19" w:customStyle="1">
    <w:name w:val="Normal_11_0"/>
    <w:uiPriority w:val="0"/>
    <w:qFormat/>
    <w:rPr>
      <w:rFonts w:hint="default" w:ascii="Times New Roman" w:hAnsi="Times New Roman" w:eastAsia="Times New Roman" w:cs="Times New Roman"/>
      <w:sz w:val="24"/>
      <w:szCs w:val="24"/>
    </w:rPr>
  </w:style>
  <w:style w:type="paragraph" w:styleId="1120">
    <w:name w:val="Quote"/>
    <w:basedOn w:val="925"/>
    <w:next w:val="925"/>
    <w:link w:val="1185"/>
    <w:uiPriority w:val="29"/>
    <w:qFormat/>
    <w:pPr>
      <w:ind w:left="720" w:right="720"/>
    </w:pPr>
    <w:rPr>
      <w:i/>
    </w:rPr>
  </w:style>
  <w:style w:type="table" w:styleId="1121"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3" w:customStyle="1">
    <w:name w:val="Normal_6_0"/>
    <w:uiPriority w:val="0"/>
    <w:qFormat/>
    <w:rPr>
      <w:rFonts w:hint="default" w:ascii="Times New Roman" w:hAnsi="Times New Roman" w:eastAsia="Times New Roman" w:cs="Times New Roman"/>
      <w:sz w:val="24"/>
      <w:szCs w:val="24"/>
    </w:rPr>
  </w:style>
  <w:style w:type="table" w:styleId="112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25"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6" w:customStyle="1">
    <w:name w:val="Normal_9_0"/>
    <w:uiPriority w:val="0"/>
    <w:qFormat/>
    <w:rPr>
      <w:rFonts w:hint="default" w:ascii="Times New Roman" w:hAnsi="Times New Roman" w:eastAsia="Times New Roman" w:cs="Times New Roman"/>
      <w:sz w:val="24"/>
      <w:szCs w:val="24"/>
    </w:rPr>
  </w:style>
  <w:style w:type="paragraph" w:styleId="1127" w:customStyle="1">
    <w:name w:val="页眉1"/>
    <w:basedOn w:val="925"/>
    <w:uiPriority w:val="99"/>
    <w:qFormat/>
    <w:pPr>
      <w:jc w:val="center"/>
      <w:tabs>
        <w:tab w:val="center" w:pos="4153" w:leader="none"/>
        <w:tab w:val="right" w:pos="8306" w:leader="none"/>
      </w:tabs>
      <w:pBdr>
        <w:bottom w:val="single" w:color="000000" w:sz="6" w:space="1"/>
      </w:pBdr>
    </w:pPr>
    <w:rPr>
      <w:sz w:val="18"/>
      <w:szCs w:val="18"/>
    </w:rPr>
  </w:style>
  <w:style w:type="paragraph" w:styleId="1128" w:customStyle="1">
    <w:name w:val="页脚1"/>
    <w:basedOn w:val="925"/>
    <w:uiPriority w:val="99"/>
    <w:qFormat/>
    <w:pPr>
      <w:jc w:val="left"/>
      <w:tabs>
        <w:tab w:val="center" w:pos="4153" w:leader="none"/>
        <w:tab w:val="right" w:pos="8306" w:leader="none"/>
      </w:tabs>
    </w:pPr>
    <w:rPr>
      <w:sz w:val="18"/>
      <w:szCs w:val="18"/>
    </w:rPr>
  </w:style>
  <w:style w:type="table" w:styleId="1129"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130"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32"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33" w:customStyle="1">
    <w:name w:val="Normal_0_3"/>
    <w:uiPriority w:val="0"/>
    <w:qFormat/>
    <w:rPr>
      <w:rFonts w:hint="default" w:ascii="Times New Roman" w:hAnsi="Times New Roman" w:eastAsia="Times New Roman" w:cs="Times New Roman"/>
      <w:sz w:val="24"/>
      <w:szCs w:val="24"/>
      <w:lang w:val="en-US" w:eastAsia="zh-CN" w:bidi="ar-SA"/>
    </w:rPr>
  </w:style>
  <w:style w:type="table" w:styleId="1134"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5"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36">
    <w:name w:val="No Spacing"/>
    <w:uiPriority w:val="1"/>
    <w:qFormat/>
    <w:pPr>
      <w:jc w:val="both"/>
      <w:widowControl w:val="off"/>
    </w:pPr>
    <w:rPr>
      <w:rFonts w:hint="default" w:ascii="Calibri" w:hAnsi="Calibri" w:eastAsia="宋体" w:cs="Times New Roman"/>
      <w:sz w:val="21"/>
      <w:szCs w:val="22"/>
      <w:lang w:val="en-US" w:eastAsia="zh-CN" w:bidi="ar-SA"/>
    </w:rPr>
  </w:style>
  <w:style w:type="character" w:styleId="1137" w:customStyle="1">
    <w:name w:val="Intense Quote Char"/>
    <w:link w:val="1138"/>
    <w:uiPriority w:val="30"/>
    <w:qFormat/>
    <w:rPr>
      <w:i/>
    </w:rPr>
  </w:style>
  <w:style w:type="paragraph" w:styleId="1138">
    <w:name w:val="Intense Quote"/>
    <w:basedOn w:val="925"/>
    <w:next w:val="925"/>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139"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0"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1"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42" w:customStyle="1">
    <w:name w:val="Normal_39"/>
    <w:uiPriority w:val="0"/>
    <w:qFormat/>
    <w:rPr>
      <w:rFonts w:hint="default" w:ascii="Times New Roman" w:hAnsi="Times New Roman" w:eastAsia="Times New Roman" w:cs="Times New Roman"/>
      <w:sz w:val="24"/>
      <w:szCs w:val="24"/>
    </w:rPr>
  </w:style>
  <w:style w:type="paragraph" w:styleId="1143" w:customStyle="1">
    <w:name w:val="WPSOffice手动目录 1"/>
    <w:uiPriority w:val="0"/>
    <w:qFormat/>
    <w:rPr>
      <w:rFonts w:hint="default" w:ascii="Times New Roman" w:hAnsi="Times New Roman" w:eastAsia="宋体" w:cs="Times New Roman"/>
      <w:sz w:val="20"/>
      <w:szCs w:val="20"/>
    </w:rPr>
  </w:style>
  <w:style w:type="paragraph" w:styleId="114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45" w:customStyle="1">
    <w:name w:val="WPSOffice手动目录 2"/>
    <w:uiPriority w:val="0"/>
    <w:qFormat/>
    <w:rPr>
      <w:rFonts w:hint="default" w:ascii="Times New Roman" w:hAnsi="Times New Roman" w:eastAsia="宋体" w:cs="Times New Roman"/>
      <w:sz w:val="20"/>
      <w:szCs w:val="20"/>
    </w:rPr>
  </w:style>
  <w:style w:type="table" w:styleId="1146"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147"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paragraph" w:styleId="1148" w:customStyle="1">
    <w:name w:val="正文1"/>
    <w:basedOn w:val="925"/>
    <w:next w:val="925"/>
    <w:uiPriority w:val="0"/>
    <w:qFormat/>
    <w:pPr>
      <w:ind w:left="420"/>
      <w:spacing w:line="300" w:lineRule="auto"/>
      <w:widowControl/>
    </w:pPr>
    <w:rPr>
      <w:szCs w:val="20"/>
    </w:rPr>
  </w:style>
  <w:style w:type="paragraph" w:styleId="1149" w:customStyle="1">
    <w:name w:val="Normal_0_4"/>
    <w:uiPriority w:val="0"/>
    <w:qFormat/>
    <w:rPr>
      <w:rFonts w:hint="default" w:ascii="Times New Roman" w:hAnsi="Times New Roman" w:eastAsia="Times New Roman" w:cs="Times New Roman"/>
      <w:sz w:val="24"/>
      <w:szCs w:val="24"/>
    </w:rPr>
  </w:style>
  <w:style w:type="table" w:styleId="1150"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paragraph" w:styleId="1151" w:customStyle="1">
    <w:name w:val="标题 21"/>
    <w:basedOn w:val="925"/>
    <w:next w:val="925"/>
    <w:uiPriority w:val="0"/>
    <w:qFormat/>
    <w:pPr>
      <w:jc w:val="center"/>
      <w:keepLines/>
      <w:keepNext/>
      <w:spacing w:before="260" w:after="260" w:line="415" w:lineRule="auto"/>
      <w:outlineLvl w:val="1"/>
    </w:pPr>
    <w:rPr>
      <w:rFonts w:ascii="Arial" w:hAnsi="Arial" w:eastAsia="幼圆"/>
      <w:b/>
      <w:bCs/>
      <w:sz w:val="44"/>
      <w:szCs w:val="44"/>
    </w:rPr>
  </w:style>
  <w:style w:type="paragraph" w:styleId="1152" w:customStyle="1">
    <w:name w:val="目录 11"/>
    <w:basedOn w:val="925"/>
    <w:next w:val="925"/>
    <w:uiPriority w:val="0"/>
    <w:qFormat/>
  </w:style>
  <w:style w:type="paragraph" w:styleId="1153" w:customStyle="1">
    <w:name w:val="文档结构图1"/>
    <w:basedOn w:val="925"/>
    <w:uiPriority w:val="0"/>
    <w:qFormat/>
    <w:pPr>
      <w:shd w:val="clear" w:color="auto" w:fill="000080"/>
    </w:pPr>
    <w:rPr>
      <w:szCs w:val="21"/>
    </w:rPr>
  </w:style>
  <w:style w:type="paragraph" w:styleId="115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2"/>
    <w:uiPriority w:val="0"/>
    <w:qFormat/>
    <w:rPr>
      <w:rFonts w:hint="default" w:ascii="Times New Roman" w:hAnsi="Times New Roman" w:eastAsia="Times New Roman" w:cs="Times New Roman"/>
      <w:sz w:val="24"/>
      <w:szCs w:val="24"/>
      <w:lang w:val="en-US" w:eastAsia="zh-CN" w:bidi="ar-SA"/>
    </w:rPr>
  </w:style>
  <w:style w:type="table" w:styleId="115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paragraph" w:styleId="1158" w:customStyle="1">
    <w:name w:val="Normal_26"/>
    <w:uiPriority w:val="0"/>
    <w:qFormat/>
    <w:rPr>
      <w:rFonts w:hint="default" w:ascii="Times New Roman" w:hAnsi="Times New Roman" w:eastAsia="Times New Roman" w:cs="Times New Roman"/>
      <w:sz w:val="24"/>
      <w:szCs w:val="24"/>
    </w:rPr>
  </w:style>
  <w:style w:type="table" w:styleId="115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paragraph" w:styleId="116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table" w:styleId="1162"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paragraph" w:styleId="1163" w:customStyle="1">
    <w:name w:val="Table Text"/>
    <w:uiPriority w:val="99"/>
    <w:qFormat/>
    <w:pPr>
      <w:spacing w:before="80" w:after="80"/>
    </w:pPr>
    <w:rPr>
      <w:rFonts w:hint="default" w:ascii="Arial" w:hAnsi="Arial" w:eastAsia="宋体" w:cs="Times New Roman"/>
      <w:sz w:val="18"/>
      <w:szCs w:val="18"/>
      <w:lang w:val="en-US" w:eastAsia="zh-CN" w:bidi="ar-SA"/>
    </w:rPr>
  </w:style>
  <w:style w:type="table" w:styleId="1164"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165"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66" w:customStyle="1">
    <w:name w:val="Normal_28"/>
    <w:uiPriority w:val="0"/>
    <w:qFormat/>
    <w:rPr>
      <w:rFonts w:hint="default" w:ascii="Times New Roman" w:hAnsi="Times New Roman" w:eastAsia="Times New Roman" w:cs="Times New Roman"/>
      <w:sz w:val="24"/>
      <w:szCs w:val="24"/>
    </w:rPr>
  </w:style>
  <w:style w:type="table" w:styleId="116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168"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9"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71"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2" w:customStyle="1">
    <w:name w:val="普通表格1"/>
    <w:uiPriority w:val="0"/>
    <w:semiHidden/>
    <w:qFormat/>
    <w:tblPr/>
  </w:style>
  <w:style w:type="table" w:styleId="117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74" w:customStyle="1">
    <w:name w:val="p0_0"/>
    <w:basedOn w:val="999"/>
    <w:uiPriority w:val="0"/>
    <w:qFormat/>
    <w:pPr>
      <w:widowControl/>
    </w:pPr>
    <w:rPr>
      <w:szCs w:val="21"/>
    </w:rPr>
  </w:style>
  <w:style w:type="table" w:styleId="1175"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character" w:styleId="1176" w:customStyle="1">
    <w:name w:val="Heading 7 Char"/>
    <w:link w:val="932"/>
    <w:uiPriority w:val="9"/>
    <w:qFormat/>
    <w:rPr>
      <w:rFonts w:ascii="Arial" w:hAnsi="Arial" w:eastAsia="Arial" w:cs="Arial"/>
      <w:b/>
      <w:bCs/>
      <w:i/>
      <w:iCs/>
      <w:sz w:val="22"/>
      <w:szCs w:val="22"/>
    </w:rPr>
  </w:style>
  <w:style w:type="character" w:styleId="1177" w:customStyle="1">
    <w:name w:val="Heading 5 Char"/>
    <w:link w:val="930"/>
    <w:uiPriority w:val="9"/>
    <w:qFormat/>
    <w:rPr>
      <w:rFonts w:ascii="Arial" w:hAnsi="Arial" w:eastAsia="Arial" w:cs="Arial"/>
      <w:b/>
      <w:bCs/>
      <w:sz w:val="24"/>
      <w:szCs w:val="24"/>
    </w:rPr>
  </w:style>
  <w:style w:type="table" w:styleId="1178"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9"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character" w:styleId="1180" w:customStyle="1">
    <w:name w:val="Header Char"/>
    <w:link w:val="949"/>
    <w:uiPriority w:val="99"/>
    <w:qFormat/>
  </w:style>
  <w:style w:type="table" w:styleId="1181"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18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3"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84" w:customStyle="1">
    <w:name w:val="WPSOffice手动目录 3"/>
    <w:uiPriority w:val="0"/>
    <w:qFormat/>
    <w:rPr>
      <w:rFonts w:hint="default" w:ascii="Times New Roman" w:hAnsi="Times New Roman" w:eastAsia="宋体" w:cs="Times New Roman"/>
      <w:sz w:val="20"/>
      <w:szCs w:val="20"/>
    </w:rPr>
  </w:style>
  <w:style w:type="character" w:styleId="1185" w:customStyle="1">
    <w:name w:val="Quote Char"/>
    <w:link w:val="1120"/>
    <w:uiPriority w:val="29"/>
    <w:qFormat/>
    <w:rPr>
      <w:i/>
    </w:rPr>
  </w:style>
  <w:style w:type="character" w:styleId="1186" w:customStyle="1">
    <w:name w:val="页码1"/>
    <w:uiPriority w:val="0"/>
    <w:qFormat/>
  </w:style>
  <w:style w:type="table" w:styleId="1187" w:customStyle="1">
    <w:name w:val="TableGrid1"/>
    <w:uiPriority w:val="0"/>
    <w:qFormat/>
    <w:tblPr/>
  </w:style>
  <w:style w:type="paragraph" w:styleId="1188" w:customStyle="1">
    <w:name w:val="普通(网站)1"/>
    <w:basedOn w:val="925"/>
    <w:uiPriority w:val="0"/>
    <w:qFormat/>
    <w:pPr>
      <w:ind w:left="0" w:right="0"/>
      <w:jc w:val="left"/>
      <w:spacing w:before="100" w:beforeAutospacing="1" w:after="100" w:afterAutospacing="1"/>
    </w:pPr>
    <w:rPr>
      <w:sz w:val="24"/>
      <w:lang w:val="en-US" w:eastAsia="zh-CN" w:bidi="ar"/>
    </w:rPr>
  </w:style>
  <w:style w:type="table" w:styleId="1189"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90" w:customStyle="1">
    <w:name w:val="Endnote Text Char"/>
    <w:link w:val="946"/>
    <w:uiPriority w:val="99"/>
    <w:qFormat/>
    <w:rPr>
      <w:sz w:val="20"/>
    </w:rPr>
  </w:style>
  <w:style w:type="table" w:styleId="1191"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paragraph" w:styleId="1192" w:customStyle="1">
    <w:name w:val="Normal_6"/>
    <w:uiPriority w:val="0"/>
    <w:qFormat/>
    <w:rPr>
      <w:rFonts w:hint="default" w:ascii="Times New Roman" w:hAnsi="Times New Roman" w:eastAsia="Times New Roman" w:cs="Times New Roman"/>
      <w:sz w:val="24"/>
      <w:szCs w:val="24"/>
      <w:lang w:val="en-US" w:eastAsia="zh-CN" w:bidi="ar-SA"/>
    </w:rPr>
  </w:style>
  <w:style w:type="table" w:styleId="119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character" w:styleId="1194" w:customStyle="1">
    <w:name w:val="hover2"/>
    <w:basedOn w:val="973"/>
    <w:uiPriority w:val="0"/>
    <w:qFormat/>
    <w:rPr>
      <w:color w:val="2590eb"/>
    </w:rPr>
  </w:style>
  <w:style w:type="table" w:styleId="1195"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paragraph" w:styleId="1196" w:customStyle="1">
    <w:name w:val="Normal_0_1_0"/>
    <w:uiPriority w:val="0"/>
    <w:qFormat/>
    <w:rPr>
      <w:rFonts w:hint="default" w:ascii="Times New Roman" w:hAnsi="Times New Roman" w:eastAsia="Times New Roman" w:cs="Times New Roman"/>
      <w:sz w:val="24"/>
      <w:szCs w:val="24"/>
    </w:rPr>
  </w:style>
  <w:style w:type="paragraph" w:styleId="1197" w:customStyle="1">
    <w:name w:val="Normal_6_1"/>
    <w:uiPriority w:val="0"/>
    <w:qFormat/>
    <w:rPr>
      <w:rFonts w:hint="default" w:ascii="Times New Roman" w:hAnsi="Times New Roman" w:eastAsia="Times New Roman" w:cs="Times New Roman"/>
      <w:sz w:val="24"/>
      <w:szCs w:val="24"/>
    </w:rPr>
  </w:style>
  <w:style w:type="table" w:styleId="11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99"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00"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01"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1202" w:customStyle="1">
    <w:name w:val="强调1"/>
    <w:link w:val="925"/>
    <w:uiPriority w:val="0"/>
    <w:qFormat/>
    <w:rPr>
      <w:rFonts w:hint="default" w:ascii="Times New Roman" w:hAnsi="Times New Roman" w:eastAsia="宋体" w:cs="Times New Roman"/>
      <w:sz w:val="21"/>
      <w:szCs w:val="24"/>
      <w:lang w:val="en-US" w:eastAsia="zh-CN" w:bidi="ar-SA"/>
    </w:rPr>
  </w:style>
  <w:style w:type="table" w:styleId="1203"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2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06" w:customStyle="1">
    <w:name w:val="Normal_0_0"/>
    <w:uiPriority w:val="0"/>
    <w:qFormat/>
    <w:rPr>
      <w:rFonts w:hint="default" w:ascii="Times New Roman" w:hAnsi="Times New Roman" w:eastAsia="Times New Roman" w:cs="Times New Roman"/>
      <w:sz w:val="24"/>
      <w:szCs w:val="24"/>
      <w:lang w:val="en-US" w:eastAsia="zh-CN" w:bidi="ar-SA"/>
    </w:rPr>
  </w:style>
  <w:style w:type="character" w:styleId="1207" w:customStyle="1">
    <w:name w:val="hover"/>
    <w:basedOn w:val="973"/>
    <w:uiPriority w:val="0"/>
    <w:qFormat/>
  </w:style>
  <w:style w:type="table" w:styleId="1208"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09"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character" w:styleId="1211" w:customStyle="1">
    <w:name w:val="Heading 8 Char"/>
    <w:link w:val="933"/>
    <w:uiPriority w:val="9"/>
    <w:qFormat/>
    <w:rPr>
      <w:rFonts w:ascii="Arial" w:hAnsi="Arial" w:eastAsia="Arial" w:cs="Arial"/>
      <w:i/>
      <w:iCs/>
      <w:sz w:val="22"/>
      <w:szCs w:val="22"/>
    </w:rPr>
  </w:style>
  <w:style w:type="paragraph" w:styleId="1212" w:customStyle="1">
    <w:name w:val="Normal_22"/>
    <w:uiPriority w:val="0"/>
    <w:qFormat/>
    <w:rPr>
      <w:rFonts w:hint="default" w:ascii="Times New Roman" w:hAnsi="Times New Roman" w:eastAsia="Times New Roman" w:cs="Times New Roman"/>
      <w:sz w:val="24"/>
      <w:szCs w:val="24"/>
    </w:rPr>
  </w:style>
  <w:style w:type="numbering" w:styleId="12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唐杰</cp:lastModifiedBy>
  <cp:revision>1</cp:revision>
  <dcterms:created xsi:type="dcterms:W3CDTF">2026-06-01T16:51:00Z</dcterms:created>
  <dcterms:modified xsi:type="dcterms:W3CDTF">2026-06-03T05:48:29Z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eyJoZGlkIjoiOTI3NDBlNzEyNzg4ZDE5Y2IwYTlkZjAzMjc5MzRkYzEiLCJ1c2VySWQiOiI0NDIzNDYwMTAifQ==</vt:lpwstr>
  </property>
  <property fmtid="{D5CDD505-2E9C-101B-9397-08002B2CF9AE}" pid="3" name="KSOProductBuildVer">
    <vt:lpwstr>2052-12.1.0.26375</vt:lpwstr>
  </property>
  <property fmtid="{D5CDD505-2E9C-101B-9397-08002B2CF9AE}" pid="4" name="ICV">
    <vt:lpwstr>C07F3050BBB3414BBA641F01894EE7F5_12</vt:lpwstr>
  </property>
</Properties>
</file>