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常州市武进人民医院SPECT-CT采购项目</w:t>
      </w:r>
      <w:r/>
    </w:p>
    <w:p>
      <w:pPr>
        <w:jc w:val="center"/>
        <w:rPr>
          <w:rFonts w:hint="eastAsia"/>
          <w:b/>
          <w:bCs/>
          <w:color w:val="000000"/>
          <w:sz w:val="60"/>
          <w:szCs w:val="60"/>
          <w:highlight w:val="none"/>
          <w:lang w:eastAsia="zh-CN"/>
        </w:rPr>
        <w:outlineLvl w:val="9"/>
      </w:pPr>
      <w:r>
        <w:rPr>
          <w:rFonts w:hint="eastAsia"/>
          <w:b/>
          <w:bCs/>
          <w:color w:val="000000"/>
          <w:sz w:val="60"/>
          <w:szCs w:val="60"/>
          <w:highlight w:val="none"/>
          <w:lang w:eastAsia="zh-CN"/>
        </w:rPr>
        <w:t xml:space="preserve">公开招标文件</w:t>
      </w:r>
      <w:r/>
    </w:p>
    <w:p>
      <w:pPr>
        <w:jc w:val="center"/>
        <w:rPr>
          <w:b/>
          <w:bCs/>
          <w:color w:val="000000"/>
          <w:sz w:val="60"/>
          <w:szCs w:val="60"/>
          <w:highlight w:val="none"/>
        </w:rPr>
        <w:outlineLvl w:val="9"/>
      </w:pPr>
      <w:r>
        <w:rPr>
          <w:b/>
          <w:bCs/>
          <w:color w:val="000000"/>
          <w:sz w:val="60"/>
          <w:szCs w:val="60"/>
          <w:highlight w:val="none"/>
        </w:rPr>
      </w:r>
      <w:r/>
    </w:p>
    <w:p>
      <w:pPr>
        <w:jc w:val="center"/>
        <w:rPr>
          <w:b/>
          <w:bCs/>
          <w:color w:val="000000"/>
          <w:sz w:val="60"/>
          <w:szCs w:val="60"/>
          <w:highlight w:val="none"/>
        </w:rPr>
        <w:outlineLvl w:val="9"/>
      </w:pPr>
      <w:r>
        <w:rPr>
          <w:b/>
          <w:bCs/>
          <w:color w:val="000000"/>
          <w:sz w:val="60"/>
          <w:szCs w:val="60"/>
          <w:highlight w:val="none"/>
        </w:rPr>
      </w:r>
      <w:r/>
    </w:p>
    <w:p>
      <w:pPr>
        <w:jc w:val="center"/>
        <w:spacing w:line="360" w:lineRule="auto"/>
        <w:rPr>
          <w:color w:val="000000"/>
          <w:sz w:val="60"/>
          <w:szCs w:val="60"/>
          <w:highlight w:val="none"/>
        </w:rPr>
        <w:outlineLvl w:val="9"/>
      </w:pPr>
      <w:r>
        <w:rPr>
          <w:color w:val="000000"/>
          <w:sz w:val="60"/>
          <w:szCs w:val="60"/>
          <w:highlight w:val="none"/>
        </w:rPr>
      </w:r>
      <w:r/>
    </w:p>
    <w:p>
      <w:pPr>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常州市武进人民医院SPECT-CT采购项目</w:t>
      </w:r>
      <w:r/>
    </w:p>
    <w:p>
      <w:pPr>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JSZC-320412-SYZB-G2026-0032</w:t>
      </w:r>
      <w:r/>
    </w:p>
    <w:p>
      <w:pPr>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采 购 人：</w:t>
      </w:r>
      <w:r>
        <w:rPr>
          <w:rFonts w:hint="eastAsia"/>
          <w:bCs/>
          <w:color w:val="000000"/>
          <w:sz w:val="36"/>
          <w:szCs w:val="36"/>
          <w:highlight w:val="none"/>
          <w:lang w:eastAsia="zh-CN"/>
        </w:rPr>
        <w:t xml:space="preserve">常州市武进人民医院</w:t>
      </w:r>
      <w:r/>
    </w:p>
    <w:p>
      <w:pPr>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p>
    <w:p>
      <w:pPr>
        <w:jc w:val="center"/>
        <w:spacing w:line="360" w:lineRule="auto"/>
        <w:rPr>
          <w:b/>
          <w:bCs/>
          <w:color w:val="000000"/>
          <w:sz w:val="44"/>
          <w:highlight w:val="none"/>
        </w:rPr>
        <w:outlineLvl w:val="9"/>
      </w:pPr>
      <w:r>
        <w:rPr>
          <w:b/>
          <w:bCs/>
          <w:color w:val="000000"/>
          <w:sz w:val="44"/>
          <w:highlight w:val="none"/>
        </w:rPr>
        <w:br w:type="page" w:clear="all"/>
      </w:r>
      <w:bookmarkStart w:id="0" w:name="_Toc99301418"/>
      <w:r/>
      <w:r/>
    </w:p>
    <w:p>
      <w:pPr>
        <w:jc w:val="center"/>
        <w:spacing w:line="360" w:lineRule="auto"/>
        <w:rPr>
          <w:b/>
          <w:bCs/>
          <w:color w:val="000000"/>
          <w:sz w:val="44"/>
          <w:highlight w:val="none"/>
        </w:rPr>
        <w:outlineLvl w:val="9"/>
      </w:pPr>
      <w:r>
        <w:rPr>
          <w:b/>
          <w:bCs/>
          <w:color w:val="000000"/>
          <w:sz w:val="44"/>
          <w:highlight w:val="none"/>
        </w:rPr>
        <w:t xml:space="preserve">目      录</w:t>
      </w:r>
      <w:bookmarkEnd w:id="0"/>
      <w:r/>
      <w:r/>
    </w:p>
    <w:p>
      <w:pPr>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1138"/>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"1-1"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_Toc4451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_Toc4451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p>
    <w:p>
      <w:pPr>
        <w:pStyle w:val="1138"/>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_Toc14966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_Toc14966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p>
    <w:p>
      <w:pPr>
        <w:pStyle w:val="1138"/>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_Toc4348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_Toc4348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22</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p>
    <w:p>
      <w:pPr>
        <w:pStyle w:val="1138"/>
        <w:keepLines w:val="0"/>
        <w:keepNext w:val="0"/>
        <w:pageBreakBefore w:val="0"/>
        <w:spacing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_Toc3485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_Toc3485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p>
    <w:p>
      <w:pPr>
        <w:pStyle w:val="1138"/>
        <w:keepLines w:val="0"/>
        <w:keepNext w:val="0"/>
        <w:pageBreakBefore w:val="0"/>
        <w:spacing w:line="360" w:lineRule="auto"/>
        <w:widowControl w:val="off"/>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_Toc30413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lang w:val="en-US" w:eastAsia="zh-CN"/>
        </w:rPr>
        <w:t xml:space="preserve">2</w:t>
      </w:r>
      <w:r/>
    </w:p>
    <w:p>
      <w:pPr>
        <w:pStyle w:val="1138"/>
        <w:keepLines w:val="0"/>
        <w:keepNext w:val="0"/>
        <w:pageBreakBefore w:val="0"/>
        <w:spacing w:line="360" w:lineRule="auto"/>
        <w:widowControl w:val="off"/>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_Toc16116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lang w:val="en-US" w:eastAsia="zh-CN"/>
        </w:rPr>
        <w:t xml:space="preserve">0</w:t>
      </w:r>
      <w:r/>
    </w:p>
    <w:p>
      <w:pPr>
        <w:pStyle w:val="1138"/>
        <w:keepLines w:val="0"/>
        <w:keepNext w:val="0"/>
        <w:pageBreakBefore w:val="0"/>
        <w:spacing w:line="360" w:lineRule="auto"/>
        <w:widowControl w:val="off"/>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_Toc14478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第七章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lang w:val="en-US" w:eastAsia="zh-CN"/>
        </w:rPr>
        <w:t xml:space="preserve">6</w:t>
      </w:r>
      <w:r/>
    </w:p>
    <w:p>
      <w:pPr>
        <w:pStyle w:val="1138"/>
        <w:keepLines w:val="0"/>
        <w:keepNext w:val="0"/>
        <w:pageBreakBefore w:val="0"/>
        <w:spacing w:line="360" w:lineRule="auto"/>
        <w:widowControl w:val="off"/>
        <w:rPr>
          <w:rFonts w:hint="eastAsia" w:ascii="宋体" w:hAnsi="宋体" w:eastAsia="宋体" w:cs="宋体"/>
          <w:b w:val="0"/>
          <w:color w:val="000000"/>
          <w:sz w:val="32"/>
          <w:szCs w:val="32"/>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br w:type="page" w:clear="all"/>
      </w:r>
      <w:r/>
    </w:p>
    <w:p>
      <w:pPr>
        <w:jc w:val="center"/>
        <w:keepLines w:val="0"/>
        <w:keepNext w:val="0"/>
        <w:pageBreakBefore w:val="0"/>
        <w:spacing w:line="360" w:lineRule="auto"/>
        <w:widowControl w:val="off"/>
        <w:rPr>
          <w:b/>
          <w:color w:val="000000"/>
          <w:sz w:val="36"/>
          <w:szCs w:val="36"/>
          <w:highlight w:val="none"/>
        </w:rPr>
        <w:outlineLvl w:val="0"/>
      </w:pPr>
      <w:r/>
      <w:bookmarkStart w:id="1" w:name="_Toc4451"/>
      <w:r>
        <w:rPr>
          <w:b/>
          <w:color w:val="000000"/>
          <w:sz w:val="36"/>
          <w:szCs w:val="36"/>
          <w:highlight w:val="none"/>
        </w:rPr>
        <w:t xml:space="preserve">第一章   投标邀请</w:t>
      </w:r>
      <w:bookmarkEnd w:id="1"/>
      <w:r/>
      <w:r/>
    </w:p>
    <w:p>
      <w:pPr>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 w:name="_Toc28359002"/>
      <w:r/>
      <w:bookmarkStart w:id="3" w:name="_Toc35393790"/>
      <w:r/>
      <w:bookmarkStart w:id="4" w:name="_Toc35393621"/>
      <w:r/>
      <w:bookmarkStart w:id="5" w:name="_Toc28359079"/>
      <w:r/>
      <w:bookmarkStart w:id="6" w:name="_Hlk24379207"/>
      <w:r>
        <w:rPr>
          <w:rFonts w:hint="eastAsia" w:ascii="宋体" w:hAnsi="宋体" w:eastAsia="宋体" w:cs="Times New Roman"/>
          <w:b/>
          <w:bCs/>
          <w:color w:val="000000"/>
          <w:sz w:val="24"/>
          <w:szCs w:val="24"/>
          <w:highlight w:val="none"/>
        </w:rPr>
        <w:t xml:space="preserve">一、项目基本情况</w:t>
      </w:r>
      <w:bookmarkEnd w:id="2"/>
      <w:r/>
      <w:bookmarkEnd w:id="3"/>
      <w:r/>
      <w:bookmarkEnd w:id="4"/>
      <w:r/>
      <w:bookmarkEnd w:id="5"/>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JSZC-320412-SYZB-G2026-0032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常州市武进人民医院SPECT-CT采购项目</w:t>
      </w:r>
      <w:r>
        <w:rPr>
          <w:rFonts w:hint="eastAsia" w:ascii="宋体" w:hAnsi="宋体" w:eastAsia="宋体" w:cs="宋体"/>
          <w:color w:val="00000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900 </w:t>
      </w:r>
      <w:r>
        <w:rPr>
          <w:rFonts w:hint="eastAsia" w:ascii="宋体" w:hAnsi="宋体" w:eastAsia="宋体" w:cs="宋体"/>
          <w:color w:val="000000"/>
          <w:sz w:val="24"/>
          <w:szCs w:val="24"/>
          <w:highlight w:val="none"/>
        </w:rPr>
        <w:t xml:space="preserve">万元、项目最高限价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900 </w:t>
      </w:r>
      <w:r>
        <w:rPr>
          <w:rFonts w:hint="eastAsia" w:ascii="宋体" w:hAnsi="宋体" w:eastAsia="宋体" w:cs="宋体"/>
          <w:color w:val="000000"/>
          <w:sz w:val="24"/>
          <w:highlight w:val="none"/>
        </w:rPr>
        <w:t xml:space="preserve">万元。</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4.采购需求：</w:t>
      </w:r>
      <w:bookmarkEnd w:id="6"/>
      <w:r/>
    </w:p>
    <w:tbl>
      <w:tblPr>
        <w:tblStyle w:val="9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567"/>
        <w:gridCol w:w="681"/>
        <w:gridCol w:w="4308"/>
      </w:tblGrid>
      <w:tr>
        <w:trPr>
          <w:trHeight w:val="454"/>
        </w:trPr>
        <w:tc>
          <w:tcPr>
            <w:tcW w:w="2041"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标的名称</w:t>
            </w:r>
            <w:r/>
          </w:p>
        </w:tc>
        <w:tc>
          <w:tcPr>
            <w:tcW w:w="1567"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预算金额（万元）</w:t>
            </w:r>
            <w:r/>
          </w:p>
        </w:tc>
        <w:tc>
          <w:tcPr>
            <w:tcW w:w="681"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p>
        </w:tc>
        <w:tc>
          <w:tcPr>
            <w:tcW w:w="430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简要技术需求或服务要求</w:t>
            </w:r>
            <w:r/>
          </w:p>
        </w:tc>
      </w:tr>
      <w:tr>
        <w:trPr>
          <w:trHeight w:val="454"/>
        </w:trPr>
        <w:tc>
          <w:tcPr>
            <w:tcW w:w="2041" w:type="dxa"/>
            <w:vAlign w:val="center"/>
            <w:textDirection w:val="lrTb"/>
            <w:noWrap w:val="false"/>
          </w:tcPr>
          <w:p>
            <w:pPr>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eastAsia="zh-CN"/>
              </w:rPr>
              <w:t xml:space="preserve">SPECT-CT</w:t>
            </w:r>
            <w:r/>
          </w:p>
        </w:tc>
        <w:tc>
          <w:tcPr>
            <w:tcW w:w="1567" w:type="dxa"/>
            <w:vAlign w:val="center"/>
            <w:textDirection w:val="lrTb"/>
            <w:noWrap w:val="false"/>
          </w:tcPr>
          <w:p>
            <w:pPr>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900</w:t>
            </w:r>
            <w:r/>
          </w:p>
        </w:tc>
        <w:tc>
          <w:tcPr>
            <w:tcW w:w="681"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p>
        </w:tc>
        <w:tc>
          <w:tcPr>
            <w:tcW w:w="4308" w:type="dxa"/>
            <w:vAlign w:val="center"/>
            <w:textDirection w:val="lrTb"/>
            <w:noWrap w:val="false"/>
          </w:tcPr>
          <w:p>
            <w:pPr>
              <w:jc w:val="both"/>
              <w:keepLines w:val="0"/>
              <w:keepNext w:val="0"/>
              <w:pageBreakBefore w:val="0"/>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本项目是</w:t>
            </w:r>
            <w:r>
              <w:rPr>
                <w:rFonts w:hint="eastAsia" w:ascii="宋体" w:hAnsi="宋体" w:eastAsia="宋体" w:cs="宋体"/>
                <w:bCs/>
                <w:color w:val="000000"/>
                <w:sz w:val="24"/>
                <w:szCs w:val="24"/>
                <w:highlight w:val="none"/>
                <w:lang w:eastAsia="zh-CN"/>
              </w:rPr>
              <w:t xml:space="preserve">常州市武进人民医院SPECT-CT采购项目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采购1套</w:t>
            </w:r>
            <w:r>
              <w:rPr>
                <w:rFonts w:hint="eastAsia" w:ascii="宋体" w:hAnsi="宋体" w:eastAsia="宋体" w:cs="宋体"/>
                <w:bCs/>
                <w:color w:val="000000"/>
                <w:sz w:val="24"/>
                <w:szCs w:val="24"/>
                <w:highlight w:val="none"/>
                <w:lang w:eastAsia="zh-CN"/>
              </w:rPr>
              <w:t xml:space="preserve">SPECT-CT</w:t>
            </w:r>
            <w:r>
              <w:rPr>
                <w:rFonts w:hint="eastAsia"/>
                <w:color w:val="000000"/>
                <w:sz w:val="24"/>
                <w:szCs w:val="24"/>
                <w:highlight w:val="none"/>
                <w:vertAlign w:val="baseline"/>
                <w:lang w:val="en-US" w:eastAsia="zh-CN"/>
              </w:rPr>
              <w:t xml:space="preserve">，</w:t>
            </w:r>
            <w:r>
              <w:rPr>
                <w:rFonts w:hint="eastAsia" w:ascii="宋体" w:hAnsi="宋体" w:eastAsia="宋体" w:cs="宋体"/>
                <w:bCs/>
                <w:color w:val="000000"/>
                <w:sz w:val="24"/>
                <w:szCs w:val="24"/>
                <w:highlight w:val="none"/>
                <w:lang w:val="en-US" w:eastAsia="zh-CN"/>
              </w:rPr>
              <w:t xml:space="preserve">内容包括但不限于</w:t>
            </w:r>
            <w:r>
              <w:rPr>
                <w:rFonts w:hint="eastAsia" w:ascii="宋体" w:hAnsi="宋体" w:eastAsia="宋体" w:cs="宋体"/>
                <w:bCs/>
                <w:color w:val="000000"/>
                <w:sz w:val="24"/>
                <w:szCs w:val="24"/>
                <w:highlight w:val="none"/>
              </w:rPr>
              <w:t xml:space="preserve">设备的采购、运输、装卸、安装、调试、测试、技术培训及配套设备等</w:t>
            </w:r>
            <w:r>
              <w:rPr>
                <w:rFonts w:hint="eastAsia" w:ascii="宋体" w:hAnsi="宋体" w:eastAsia="宋体" w:cs="宋体"/>
                <w:bCs/>
                <w:color w:val="000000"/>
                <w:sz w:val="24"/>
                <w:szCs w:val="24"/>
                <w:highlight w:val="none"/>
                <w:lang w:eastAsia="zh-CN"/>
              </w:rPr>
              <w:t xml:space="preserve">。</w:t>
            </w:r>
            <w:r/>
          </w:p>
        </w:tc>
      </w:tr>
    </w:tbl>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自合同签订之日起60日内交货并安装调试完毕。</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7.本项目是否接受进口产品投标：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p>
    <w:p>
      <w:pPr>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7" w:name="_Toc28359080"/>
      <w:r/>
      <w:bookmarkStart w:id="8" w:name="_Toc35393622"/>
      <w:r/>
      <w:bookmarkStart w:id="9" w:name="_Toc28359003"/>
      <w:r/>
      <w:bookmarkStart w:id="10" w:name="_Toc35393791"/>
      <w:r>
        <w:rPr>
          <w:rFonts w:hint="eastAsia" w:ascii="宋体" w:hAnsi="宋体" w:eastAsia="宋体" w:cs="Times New Roman"/>
          <w:b/>
          <w:bCs/>
          <w:color w:val="000000"/>
          <w:sz w:val="24"/>
          <w:szCs w:val="24"/>
          <w:highlight w:val="none"/>
        </w:rPr>
        <w:t xml:space="preserve">二、申请人的资格要求（须同时满足）</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1.满足《中华人民共和国政府采购法》第二十二条规定以及下列情形：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81"/>
      <w:r/>
      <w:bookmarkStart w:id="12" w:name="_Toc28359004"/>
      <w:r>
        <w:rPr>
          <w:rFonts w:hint="eastAsia" w:ascii="宋体" w:hAnsi="宋体" w:eastAsia="宋体" w:cs="宋体"/>
          <w:color w:val="000000"/>
          <w:sz w:val="24"/>
          <w:szCs w:val="24"/>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■本项目不专门面向中小企业预留采购份额。</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□本项目专门面向   □中小 □小微企业  采购。即：提供的货物全部由符合政策要求的中小企业制造。</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3.1本项目是否接受分支机构参与投标：□是   ■否；</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3.3其他特定资格要求：</w:t>
      </w:r>
      <w:bookmarkEnd w:id="11"/>
      <w:r/>
      <w:bookmarkEnd w:id="12"/>
      <w:r/>
      <w:bookmarkStart w:id="13" w:name="_Toc35393623"/>
      <w:r/>
      <w:bookmarkStart w:id="14" w:name="_Toc35393792"/>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lang w:val="en-US" w:eastAsia="zh-CN"/>
        </w:rPr>
        <w:t xml:space="preserve">3.3.1</w:t>
      </w:r>
      <w:r>
        <w:rPr>
          <w:rFonts w:hint="eastAsia" w:ascii="宋体" w:hAnsi="宋体" w:eastAsia="宋体" w:cs="宋体"/>
          <w:color w:val="000000"/>
          <w:sz w:val="24"/>
          <w:szCs w:val="24"/>
          <w:highlight w:val="none"/>
          <w:u w:val="single"/>
        </w:rPr>
        <w:t xml:space="preserve">满足以下两项中任意一项要求：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①投标人为所投产品制造商：具有有效期内的医疗器械生产许可证；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②投标人为所投产品经销商: 具有有效期内的第三类经营许可证；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u w:val="single"/>
          <w:lang w:val="en-US" w:eastAsia="zh-CN"/>
        </w:rPr>
        <w:t xml:space="preserve">3.3.2</w:t>
      </w:r>
      <w:r>
        <w:rPr>
          <w:rFonts w:hint="eastAsia" w:ascii="宋体" w:hAnsi="宋体" w:eastAsia="宋体" w:cs="宋体"/>
          <w:color w:val="000000"/>
          <w:sz w:val="24"/>
          <w:szCs w:val="24"/>
          <w:highlight w:val="none"/>
          <w:u w:val="single"/>
        </w:rPr>
        <w:t xml:space="preserve">提供所投产品的有效医疗器械注册证</w:t>
      </w:r>
      <w:r>
        <w:rPr>
          <w:rFonts w:hint="eastAsia" w:ascii="宋体" w:hAnsi="宋体" w:eastAsia="宋体" w:cs="宋体"/>
          <w:color w:val="000000"/>
          <w:sz w:val="24"/>
          <w:szCs w:val="24"/>
          <w:highlight w:val="none"/>
          <w:u w:val="single"/>
          <w:lang w:eastAsia="zh-CN"/>
        </w:rPr>
        <w:t xml:space="preserve">。</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u w:val="single"/>
          <w:lang w:val="en-US" w:eastAsia="zh-CN"/>
        </w:rPr>
        <w:t xml:space="preserve">3.3.3</w:t>
      </w:r>
      <w:r>
        <w:rPr>
          <w:rFonts w:hint="eastAsia" w:ascii="宋体" w:hAnsi="宋体" w:eastAsia="宋体" w:cs="宋体"/>
          <w:color w:val="000000"/>
          <w:sz w:val="24"/>
          <w:szCs w:val="24"/>
          <w:highlight w:val="none"/>
          <w:u w:val="single"/>
        </w:rPr>
        <w:t xml:space="preserve">投标人须具备有效的《辐射安全许可证》，且许可种类和范围须涵盖本次采购的SPECT-CT设备（属于III类射线装置）</w:t>
      </w:r>
      <w:r>
        <w:rPr>
          <w:rFonts w:hint="eastAsia" w:ascii="宋体" w:hAnsi="宋体" w:eastAsia="宋体" w:cs="宋体"/>
          <w:color w:val="000000"/>
          <w:sz w:val="24"/>
          <w:szCs w:val="24"/>
          <w:highlight w:val="none"/>
          <w:u w:val="single"/>
          <w:lang w:eastAsia="zh-CN"/>
        </w:rPr>
        <w:t xml:space="preserve">。</w:t>
      </w:r>
      <w:r/>
    </w:p>
    <w:p>
      <w:pPr>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三、获取招标文件</w:t>
      </w:r>
      <w:bookmarkEnd w:id="13"/>
      <w:r/>
      <w:bookmarkEnd w:id="14"/>
      <w:r/>
      <w:r/>
    </w:p>
    <w:p>
      <w:pPr>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1.时间：自</w:t>
      </w:r>
      <w:r>
        <w:rPr>
          <w:rFonts w:hint="eastAsia" w:ascii="宋体" w:hAnsi="宋体" w:eastAsia="宋体" w:cs="宋体"/>
          <w:color w:val="000000"/>
          <w:sz w:val="24"/>
          <w:highlight w:val="none"/>
          <w:lang w:val="en-US" w:eastAsia="zh-CN" w:bidi="ar"/>
        </w:rPr>
        <w:t xml:space="preserve">招标</w:t>
      </w:r>
      <w:r>
        <w:rPr>
          <w:rFonts w:hint="eastAsia" w:ascii="宋体" w:hAnsi="宋体" w:eastAsia="宋体" w:cs="宋体"/>
          <w:color w:val="000000"/>
          <w:sz w:val="24"/>
          <w:highlight w:val="none"/>
          <w:lang w:bidi="ar"/>
        </w:rPr>
        <w:t xml:space="preserve">公告发布之日起5个工作日。</w:t>
      </w:r>
      <w:r/>
    </w:p>
    <w:p>
      <w:pPr>
        <w:ind w:firstLine="480"/>
        <w:keepLines w:val="0"/>
        <w:keepNext w:val="0"/>
        <w:pageBreakBefore w:val="0"/>
        <w:spacing w:line="360" w:lineRule="auto"/>
        <w:rPr>
          <w:rFonts w:hint="eastAsia" w:ascii="宋体" w:hAnsi="宋体" w:eastAsia="宋体" w:cs="宋体"/>
          <w:color w:val="000000"/>
          <w:sz w:val="24"/>
          <w:highlight w:val="none"/>
          <w:lang w:eastAsia="zh-CN" w:bidi="ar"/>
        </w:rPr>
        <w:outlineLvl w:val="9"/>
      </w:pPr>
      <w:r>
        <w:rPr>
          <w:rFonts w:hint="eastAsia" w:ascii="宋体" w:hAnsi="宋体" w:eastAsia="宋体" w:cs="宋体"/>
          <w:color w:val="000000"/>
          <w:sz w:val="24"/>
          <w:highlight w:val="none"/>
          <w:lang w:bidi="ar"/>
        </w:rPr>
        <w:t xml:space="preserve">2.地点：</w:t>
      </w:r>
      <w:r>
        <w:rPr>
          <w:rFonts w:hint="eastAsia" w:ascii="宋体" w:hAnsi="宋体" w:eastAsia="宋体" w:cs="宋体"/>
          <w:color w:val="000000"/>
          <w:sz w:val="24"/>
          <w:szCs w:val="24"/>
          <w:highlight w:val="none"/>
        </w:rPr>
        <w:t xml:space="preserve">“苏采云”政府采购一体化平台。</w:t>
      </w:r>
      <w:r/>
    </w:p>
    <w:p>
      <w:pPr>
        <w:ind w:firstLine="480"/>
        <w:spacing w:line="360" w:lineRule="auto"/>
        <w:rPr>
          <w:rFonts w:hint="eastAsia" w:ascii="宋体" w:hAnsi="宋体" w:cs="宋体"/>
          <w:color w:val="000000"/>
          <w:sz w:val="24"/>
          <w:highlight w:val="none"/>
          <w:lang w:bidi="ar"/>
        </w:rPr>
        <w:outlineLvl w:val="9"/>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w:t>
      </w:r>
      <w:r>
        <w:rPr>
          <w:rFonts w:hint="eastAsia" w:ascii="宋体" w:hAnsi="宋体" w:cs="宋体"/>
          <w:color w:val="000000"/>
          <w:sz w:val="24"/>
          <w:highlight w:val="none"/>
          <w:lang w:val="en-US" w:eastAsia="zh-CN" w:bidi="ar"/>
        </w:rPr>
        <w:t xml:space="preserve">用户</w:t>
      </w:r>
      <w:r>
        <w:rPr>
          <w:rFonts w:hint="eastAsia" w:ascii="宋体" w:hAnsi="宋体" w:cs="宋体"/>
          <w:color w:val="000000"/>
          <w:sz w:val="24"/>
          <w:highlight w:val="none"/>
          <w:lang w:bidi="ar"/>
        </w:rPr>
        <w:t xml:space="preserve">需进行“平台</w:t>
      </w:r>
      <w:r>
        <w:rPr>
          <w:rFonts w:hint="eastAsia" w:ascii="宋体" w:hAnsi="宋体" w:cs="宋体"/>
          <w:color w:val="000000"/>
          <w:sz w:val="24"/>
          <w:highlight w:val="none"/>
          <w:lang w:val="en-US" w:eastAsia="zh-CN" w:bidi="ar"/>
        </w:rPr>
        <w:t xml:space="preserve">用户</w:t>
      </w:r>
      <w:r>
        <w:rPr>
          <w:rFonts w:hint="eastAsia" w:ascii="宋体" w:hAnsi="宋体" w:cs="宋体"/>
          <w:color w:val="000000"/>
          <w:sz w:val="24"/>
          <w:highlight w:val="none"/>
          <w:lang w:bidi="ar"/>
        </w:rPr>
        <w:t xml:space="preserve">注册”）→“项目参与”进行登记，在“可参与项目”中选择“我要参与”，参与成功后到“已参与项目”界面中找到该项目下载文件并进行操作。</w:t>
      </w:r>
      <w:r/>
    </w:p>
    <w:p>
      <w:pPr>
        <w:ind w:firstLine="480"/>
        <w:spacing w:line="360" w:lineRule="auto"/>
        <w:rPr>
          <w:rFonts w:hint="eastAsia" w:ascii="宋体" w:hAnsi="宋体" w:cs="宋体"/>
          <w:color w:val="000000"/>
          <w:sz w:val="24"/>
          <w:highlight w:val="none"/>
          <w:lang w:bidi="ar"/>
        </w:rPr>
        <w:outlineLvl w:val="9"/>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p>
    <w:p>
      <w:pPr>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15" w:name="_Toc28359082"/>
      <w:r/>
      <w:bookmarkStart w:id="16" w:name="_Toc28359005"/>
      <w:r/>
      <w:bookmarkStart w:id="17" w:name="_Toc35393624"/>
      <w:r/>
      <w:bookmarkStart w:id="18" w:name="_Toc35393793"/>
      <w:r>
        <w:rPr>
          <w:rFonts w:hint="eastAsia" w:ascii="宋体" w:hAnsi="宋体" w:eastAsia="宋体" w:cs="Times New Roman"/>
          <w:b/>
          <w:bCs/>
          <w:color w:val="000000"/>
          <w:sz w:val="24"/>
          <w:szCs w:val="24"/>
          <w:highlight w:val="none"/>
        </w:rPr>
        <w:t xml:space="preserve">四、提交投标文件</w:t>
      </w:r>
      <w:bookmarkEnd w:id="15"/>
      <w:r/>
      <w:bookmarkEnd w:id="16"/>
      <w:r>
        <w:rPr>
          <w:rFonts w:hint="eastAsia" w:ascii="宋体" w:hAnsi="宋体" w:eastAsia="宋体" w:cs="Times New Roman"/>
          <w:b/>
          <w:bCs/>
          <w:color w:val="000000"/>
          <w:sz w:val="24"/>
          <w:szCs w:val="24"/>
          <w:highlight w:val="none"/>
        </w:rPr>
        <w:t xml:space="preserve">截止时间、开标时间和地点</w:t>
      </w:r>
      <w:bookmarkEnd w:id="17"/>
      <w:r/>
      <w:bookmarkEnd w:id="18"/>
      <w:r/>
      <w:r/>
    </w:p>
    <w:p>
      <w:pPr>
        <w:ind w:firstLine="480"/>
        <w:spacing w:line="360" w:lineRule="auto"/>
        <w:rPr>
          <w:rFonts w:hint="eastAsia" w:ascii="宋体" w:hAnsi="宋体" w:eastAsia="宋体" w:cs="宋体"/>
          <w:iCs/>
          <w:color w:val="000000"/>
          <w:sz w:val="24"/>
          <w:highlight w:val="none"/>
          <w:lang w:bidi="ar"/>
        </w:rPr>
        <w:outlineLvl w:val="9"/>
      </w:pPr>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6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17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14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00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p>
    <w:p>
      <w:pPr>
        <w:ind w:firstLine="480"/>
        <w:spacing w:line="360" w:lineRule="auto"/>
        <w:rPr>
          <w:rFonts w:hint="eastAsia" w:ascii="宋体" w:hAnsi="宋体" w:cs="宋体"/>
          <w:color w:val="000000"/>
          <w:sz w:val="24"/>
          <w:highlight w:val="none"/>
          <w:lang w:bidi="ar"/>
        </w:rPr>
        <w:outlineLvl w:val="9"/>
      </w:pPr>
      <w:r/>
      <w:bookmarkStart w:id="19" w:name="_Toc28359084"/>
      <w:r/>
      <w:bookmarkStart w:id="20" w:name="_Toc35393625"/>
      <w:r/>
      <w:bookmarkStart w:id="21" w:name="_Toc28359007"/>
      <w:r/>
      <w:bookmarkStart w:id="22" w:name="_Toc35393794"/>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p>
    <w:p>
      <w:pPr>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五、公告期限</w:t>
      </w:r>
      <w:bookmarkEnd w:id="19"/>
      <w:r/>
      <w:bookmarkEnd w:id="20"/>
      <w:r/>
      <w:bookmarkEnd w:id="21"/>
      <w:r/>
      <w:bookmarkEnd w:id="22"/>
      <w:r/>
      <w:r/>
    </w:p>
    <w:p>
      <w:pPr>
        <w:ind w:firstLine="480"/>
        <w:spacing w:line="360" w:lineRule="auto"/>
        <w:rPr>
          <w:color w:val="000000"/>
          <w:sz w:val="24"/>
          <w:highlight w:val="none"/>
        </w:rPr>
        <w:outlineLvl w:val="9"/>
      </w:pPr>
      <w:r>
        <w:rPr>
          <w:color w:val="000000"/>
          <w:sz w:val="24"/>
          <w:highlight w:val="none"/>
        </w:rPr>
        <w:t xml:space="preserve">自本公告发布之日起5个工作日。</w:t>
      </w:r>
      <w:r/>
    </w:p>
    <w:p>
      <w:pPr>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3" w:name="_Toc35393626"/>
      <w:r/>
      <w:bookmarkStart w:id="24" w:name="_Toc35393795"/>
      <w:r>
        <w:rPr>
          <w:rFonts w:hint="eastAsia" w:ascii="宋体" w:hAnsi="宋体" w:eastAsia="宋体" w:cs="Times New Roman"/>
          <w:b/>
          <w:bCs/>
          <w:color w:val="000000"/>
          <w:sz w:val="24"/>
          <w:szCs w:val="24"/>
          <w:highlight w:val="none"/>
        </w:rPr>
        <w:t xml:space="preserve">六、其他补充事宜</w:t>
      </w:r>
      <w:bookmarkEnd w:id="23"/>
      <w:r/>
      <w:bookmarkEnd w:id="24"/>
      <w:r/>
      <w:r/>
    </w:p>
    <w:p>
      <w:pPr>
        <w:ind w:firstLine="480"/>
        <w:keepLines w:val="0"/>
        <w:keepNext w:val="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对小型和微型企业的价格给予20%的扣除，用扣除后的价格参与评审。监狱企业、残疾人福利性单位视同小微企业，给予价格扣除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.有关本次</w:t>
      </w:r>
      <w:r>
        <w:rPr>
          <w:rFonts w:hint="eastAsia" w:ascii="宋体" w:hAnsi="宋体" w:cs="宋体"/>
          <w:color w:val="000000"/>
          <w:sz w:val="24"/>
          <w:highlight w:val="none"/>
          <w:lang w:eastAsia="zh-CN"/>
        </w:rPr>
        <w:t xml:space="preserve">招标</w:t>
      </w:r>
      <w:r>
        <w:rPr>
          <w:rFonts w:hint="eastAsia" w:ascii="宋体" w:hAnsi="宋体" w:cs="宋体"/>
          <w:color w:val="000000"/>
          <w:sz w:val="24"/>
          <w:highlight w:val="none"/>
        </w:rPr>
        <w:t xml:space="preserve">的事项若存在变动或修改，敬请及时关注“江苏政府采购网”、“常州市政府采购网”发布的更正公告。</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.本次招标不收取投标保证金。</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.注意事项</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自行承担。</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，视为未参与该项政府采购活动，不具备对该政府采购项目提出质疑的法定权利，但因投标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资格条件或报名时间设定不符合有关法律法规规定等原因使投标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权益受损的除外。</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.如潜在投标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未按上述要求操作，将自行承担所产生的风险。</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.关于常州市中小企业政府采购信用融资：</w:t>
      </w:r>
      <w:r/>
    </w:p>
    <w:p>
      <w:pPr>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eastAsia="宋体" w:cs="宋体"/>
          <w:color w:val="000000"/>
          <w:sz w:val="24"/>
          <w:highlight w:val="none"/>
        </w:rPr>
        <w:outlineLvl w:val="9"/>
      </w:pPr>
      <w:r/>
      <w:bookmarkStart w:id="25" w:name="_Toc35393796"/>
      <w:r/>
      <w:bookmarkStart w:id="26" w:name="_Toc35393627"/>
      <w:r/>
      <w:bookmarkStart w:id="27" w:name="_Toc28359085"/>
      <w:r/>
      <w:bookmarkStart w:id="28" w:name="_Toc28359008"/>
      <w:r>
        <w:rPr>
          <w:rFonts w:hint="eastAsia" w:ascii="宋体" w:hAnsi="宋体" w:eastAsia="宋体" w:cs="宋体"/>
          <w:color w:val="000000"/>
          <w:sz w:val="24"/>
          <w:highlight w:val="none"/>
          <w:lang w:val="en-US" w:eastAsia="zh-CN"/>
        </w:rPr>
        <w:t xml:space="preserve">12.关于深入开展常州市政府采购线上合同信用融资：</w:t>
      </w:r>
      <w:r/>
    </w:p>
    <w:p>
      <w:pPr>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七、对本次招标提出询问，请按以下方式联系。</w:t>
      </w:r>
      <w:bookmarkEnd w:id="25"/>
      <w:r/>
      <w:bookmarkEnd w:id="26"/>
      <w:r/>
      <w:bookmarkEnd w:id="27"/>
      <w:r/>
      <w:bookmarkEnd w:id="28"/>
      <w:r/>
      <w:r/>
    </w:p>
    <w:p>
      <w:pPr>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bookmarkStart w:id="29" w:name="_Toc265228423"/>
      <w:r/>
      <w:bookmarkStart w:id="30" w:name="_Toc127161488"/>
      <w:r/>
      <w:bookmarkStart w:id="31" w:name="_Toc127151777"/>
      <w:r/>
      <w:bookmarkStart w:id="32" w:name="_Toc305158928"/>
      <w:r/>
      <w:bookmarkStart w:id="33" w:name="_Toc226965856"/>
      <w:r/>
      <w:bookmarkStart w:id="34" w:name="_Toc512937850"/>
      <w:r/>
      <w:bookmarkStart w:id="35" w:name="_Toc353873938"/>
      <w:r/>
      <w:bookmarkStart w:id="36" w:name="_Toc353825548"/>
      <w:r/>
      <w:bookmarkStart w:id="37" w:name="_Toc150774783"/>
      <w:r/>
      <w:bookmarkStart w:id="38" w:name="_Toc195842950"/>
      <w:r/>
      <w:bookmarkStart w:id="39" w:name="_Toc305158854"/>
      <w:r/>
      <w:bookmarkStart w:id="40" w:name="_Toc264969275"/>
      <w:r>
        <w:rPr>
          <w:rFonts w:hint="eastAsia" w:ascii="宋体" w:hAnsi="宋体" w:eastAsia="宋体" w:cs="宋体"/>
          <w:b/>
          <w:bCs/>
          <w:color w:val="000000"/>
          <w:sz w:val="24"/>
          <w:highlight w:val="none"/>
          <w:lang w:val="zh-TW" w:bidi="ar"/>
        </w:rPr>
        <w:t xml:space="preserve">1.</w:t>
      </w:r>
      <w:r>
        <w:rPr>
          <w:rFonts w:hint="eastAsia" w:ascii="宋体" w:hAnsi="宋体" w:eastAsia="宋体" w:cs="宋体"/>
          <w:b/>
          <w:bCs/>
          <w:color w:val="000000"/>
          <w:sz w:val="24"/>
          <w:highlight w:val="none"/>
          <w:lang w:val="zh-TW" w:eastAsia="zh-CN" w:bidi="ar"/>
        </w:rPr>
        <w:t xml:space="preserve">采购人</w:t>
      </w:r>
      <w:r>
        <w:rPr>
          <w:rFonts w:hint="eastAsia" w:ascii="宋体" w:hAnsi="宋体" w:eastAsia="宋体" w:cs="宋体"/>
          <w:b/>
          <w:bCs/>
          <w:color w:val="000000"/>
          <w:sz w:val="24"/>
          <w:highlight w:val="none"/>
          <w:lang w:val="zh-TW" w:bidi="ar"/>
        </w:rPr>
        <w:t xml:space="preserve">信息</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常州市武进人民医院 </w:t>
      </w:r>
      <w:r/>
    </w:p>
    <w:p>
      <w:pPr>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常州市天宁区永宁北路2号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杨女士、0519-88587049 </w:t>
      </w:r>
      <w:r/>
    </w:p>
    <w:p>
      <w:pPr>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常州市新北区嵩山路1-301号（太湖明珠苑综合市场3楼）</w:t>
      </w:r>
      <w:r>
        <w:rPr>
          <w:rFonts w:hint="eastAsia" w:ascii="宋体" w:hAnsi="宋体" w:eastAsia="宋体" w:cs="宋体"/>
          <w:color w:val="000000"/>
          <w:sz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王涛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0519-88818292（8000）</w:t>
      </w:r>
      <w:r>
        <w:rPr>
          <w:rFonts w:hint="eastAsia" w:ascii="宋体" w:hAnsi="宋体" w:eastAsia="宋体" w:cs="宋体"/>
          <w:color w:val="000000"/>
          <w:sz w:val="24"/>
          <w:highlight w:val="none"/>
          <w:u w:val="single"/>
          <w:lang w:val="en-US" w:eastAsia="zh-CN" w:bidi="ar"/>
        </w:rPr>
        <w:t xml:space="preserve"> </w:t>
      </w:r>
      <w:r/>
    </w:p>
    <w:p>
      <w:pPr>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3"/>
          <w:cols w:num="1" w:sep="0" w:space="1701" w:equalWidth="1"/>
          <w:docGrid w:linePitch="360"/>
          <w:titlePg/>
        </w:sectPr>
        <w:outlineLvl w:val="9"/>
      </w:pPr>
      <w:r>
        <w:rPr>
          <w:rFonts w:hint="eastAsia" w:ascii="宋体" w:hAnsi="宋体" w:eastAsia="宋体" w:cs="宋体"/>
          <w:color w:val="000000"/>
          <w:sz w:val="24"/>
          <w:highlight w:val="none"/>
        </w:rPr>
      </w:r>
      <w:r/>
    </w:p>
    <w:p>
      <w:pPr>
        <w:jc w:val="center"/>
        <w:keepLines w:val="0"/>
        <w:keepNext w:val="0"/>
        <w:pageBreakBefore w:val="0"/>
        <w:spacing w:line="360" w:lineRule="auto"/>
        <w:widowControl/>
        <w:rPr>
          <w:b/>
          <w:color w:val="000000"/>
          <w:sz w:val="36"/>
          <w:szCs w:val="36"/>
          <w:highlight w:val="none"/>
        </w:rPr>
        <w:outlineLvl w:val="0"/>
      </w:pPr>
      <w:r/>
      <w:bookmarkStart w:id="41" w:name="_Toc14966"/>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2" w:name="_Toc127161433"/>
      <w:r/>
      <w:bookmarkStart w:id="43" w:name="_Toc151193761"/>
      <w:r/>
      <w:bookmarkStart w:id="44" w:name="_Toc151190146"/>
      <w:r/>
      <w:bookmarkStart w:id="45" w:name="_Toc164608633"/>
      <w:r/>
      <w:bookmarkStart w:id="46" w:name="_Toc151193617"/>
      <w:r/>
      <w:bookmarkStart w:id="47" w:name="_Toc149720812"/>
      <w:r/>
      <w:bookmarkStart w:id="48" w:name="_Toc226965792"/>
      <w:r/>
      <w:bookmarkStart w:id="49" w:name="_Toc226309763"/>
      <w:r/>
      <w:bookmarkStart w:id="50" w:name="_Toc520356144"/>
      <w:r/>
      <w:bookmarkStart w:id="51" w:name="_Toc151193689"/>
      <w:r/>
      <w:bookmarkStart w:id="52" w:name="_Toc127151720"/>
      <w:r/>
      <w:bookmarkStart w:id="53" w:name="_Toc127151519"/>
      <w:r/>
      <w:bookmarkStart w:id="54" w:name="_Toc164229214"/>
      <w:r/>
      <w:bookmarkStart w:id="55" w:name="_Toc164229360"/>
      <w:r/>
      <w:bookmarkStart w:id="56" w:name="_Toc226337215"/>
      <w:r/>
      <w:bookmarkStart w:id="57" w:name="_Toc151193833"/>
      <w:r/>
      <w:bookmarkStart w:id="58" w:name="_Toc150774619"/>
      <w:r/>
      <w:bookmarkStart w:id="59" w:name="_Toc150774724"/>
      <w:r/>
      <w:bookmarkStart w:id="60" w:name="_Toc195842884"/>
      <w:r/>
      <w:bookmarkStart w:id="61" w:name="_Toc164351613"/>
      <w:r/>
      <w:bookmarkStart w:id="62" w:name="_Toc150480757"/>
      <w:r/>
      <w:bookmarkStart w:id="63" w:name="_Toc226965709"/>
      <w:r/>
      <w:bookmarkStart w:id="64" w:name="_Toc164608788"/>
      <w:r/>
      <w:bookmarkStart w:id="65" w:name="_Toc151193907"/>
      <w:r/>
      <w:bookmarkStart w:id="66" w:name="_Toc150509270"/>
      <w:r/>
      <w:bookmarkStart w:id="67" w:name="_Toc142311021"/>
      <w:r>
        <w:rPr>
          <w:rFonts w:hint="eastAsia" w:ascii="宋体" w:hAnsi="宋体" w:eastAsia="宋体" w:cs="Times New Roman"/>
          <w:b/>
          <w:bCs/>
          <w:color w:val="000000"/>
          <w:sz w:val="28"/>
          <w:szCs w:val="28"/>
          <w:highlight w:val="none"/>
          <w:lang w:val="en-US" w:eastAsia="zh-CN"/>
        </w:rPr>
        <w:t xml:space="preserve">投标人须知资料表</w:t>
      </w:r>
      <w:r/>
    </w:p>
    <w:p>
      <w:pPr>
        <w:jc w:val="center"/>
        <w:rPr>
          <w:b/>
          <w:color w:val="000000"/>
          <w:sz w:val="28"/>
          <w:szCs w:val="28"/>
          <w:highlight w:val="none"/>
        </w:rPr>
        <w:outlineLvl w:val="9"/>
      </w:pPr>
      <w:r>
        <w:rPr>
          <w:b/>
          <w:color w:val="000000"/>
          <w:sz w:val="28"/>
          <w:szCs w:val="28"/>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本表是对投标人须知的具体补充和修改，如有矛盾，均以本资料表为准。</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标记“■”的选项意为适用于本项目，标记“□”的选项意为不适用于本项目。</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000000"/>
                <w:sz w:val="24"/>
                <w:highlight w:val="none"/>
              </w:rPr>
              <w:outlineLvl w:val="9"/>
            </w:pPr>
            <w:r>
              <w:rPr>
                <w:b/>
                <w:color w:val="000000"/>
                <w:sz w:val="24"/>
                <w:highlight w:val="none"/>
              </w:rPr>
              <w:t xml:space="preserve">条款号</w:t>
            </w:r>
            <w:r/>
          </w:p>
        </w:tc>
        <w:tc>
          <w:tcPr>
            <w:tcW w:w="1701" w:type="dxa"/>
            <w:vAlign w:val="center"/>
            <w:textDirection w:val="lrTb"/>
            <w:noWrap w:val="false"/>
          </w:tcPr>
          <w:p>
            <w:pPr>
              <w:jc w:val="center"/>
              <w:rPr>
                <w:b/>
                <w:bCs/>
                <w:color w:val="000000"/>
                <w:sz w:val="24"/>
                <w:highlight w:val="none"/>
              </w:rPr>
              <w:outlineLvl w:val="9"/>
            </w:pPr>
            <w:r>
              <w:rPr>
                <w:b/>
                <w:bCs/>
                <w:color w:val="000000"/>
                <w:sz w:val="24"/>
                <w:highlight w:val="none"/>
              </w:rPr>
              <w:t xml:space="preserve">条目</w:t>
            </w:r>
            <w:r/>
          </w:p>
        </w:tc>
        <w:tc>
          <w:tcPr>
            <w:tcW w:w="7540" w:type="dxa"/>
            <w:vAlign w:val="center"/>
            <w:textDirection w:val="lrTb"/>
            <w:noWrap w:val="false"/>
          </w:tcPr>
          <w:p>
            <w:pPr>
              <w:jc w:val="center"/>
              <w:rPr>
                <w:b/>
                <w:bCs/>
                <w:color w:val="000000"/>
                <w:sz w:val="24"/>
                <w:highlight w:val="none"/>
              </w:rPr>
              <w:outlineLvl w:val="9"/>
            </w:pPr>
            <w:r>
              <w:rPr>
                <w:b/>
                <w:bCs/>
                <w:color w:val="000000"/>
                <w:sz w:val="24"/>
                <w:highlight w:val="none"/>
              </w:rPr>
              <w:t xml:space="preserve">内容</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2.2</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项目属性：</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□服务</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■货物</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2.3</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是否属于科研仪器设备采购项目：</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□是</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■否</w:t>
            </w:r>
            <w:r/>
          </w:p>
        </w:tc>
      </w:tr>
      <w:tr>
        <w:trPr>
          <w:jc w:val="center"/>
          <w:trHeight w:val="878"/>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2.4</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核心产品</w:t>
            </w:r>
            <w:r/>
          </w:p>
        </w:tc>
        <w:tc>
          <w:tcPr>
            <w:tcW w:w="7540" w:type="dxa"/>
            <w:vAlign w:val="center"/>
            <w:textDirection w:val="lrTb"/>
            <w:noWrap w:val="false"/>
          </w:tcPr>
          <w:p>
            <w:pPr>
              <w:pStyle w:val="1125"/>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□关于核心产品本项目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包不适用。</w:t>
            </w:r>
            <w:r/>
          </w:p>
          <w:p>
            <w:pPr>
              <w:pStyle w:val="1125"/>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■本项目为单一产品采购项目。</w:t>
            </w:r>
            <w:r/>
          </w:p>
          <w:p>
            <w:pPr>
              <w:pStyle w:val="1125"/>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□本项目为非单一产品采购项目，核心产品为：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bidi="ar-SA"/>
              </w:rPr>
              <w:t xml:space="preserve">。</w:t>
            </w:r>
            <w:r/>
          </w:p>
        </w:tc>
      </w:tr>
      <w:tr>
        <w:trPr>
          <w:jc w:val="center"/>
          <w:trHeight w:val="20"/>
        </w:trPr>
        <w:tc>
          <w:tcPr>
            <w:tcW w:w="988" w:type="dxa"/>
            <w:vAlign w:val="center"/>
            <w:vMerge w:val="restart"/>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3.1</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p>
          <w:p>
            <w:pPr>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p>
          <w:p>
            <w:pPr>
              <w:pStyle w:val="1125"/>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tc>
      </w:tr>
      <w:tr>
        <w:trPr>
          <w:jc w:val="center"/>
          <w:trHeight w:val="20"/>
        </w:trPr>
        <w:tc>
          <w:tcPr>
            <w:tcW w:w="988" w:type="dxa"/>
            <w:vAlign w:val="center"/>
            <w:vMerge w:val="continue"/>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4.1</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不需要</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□需要，具体要求如下：</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（1）样品制作的标准和要求：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（2）是否需要随样品提交相关检测报告：</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（3）样品递交要求：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（4）未中标人样品退还：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（5）中标人样品保管、封存及退还：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（6）其他要求（如有）：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bidi="ar-SA"/>
              </w:rPr>
              <w:t xml:space="preserve">。</w:t>
            </w:r>
            <w:r/>
          </w:p>
        </w:tc>
      </w:tr>
      <w:tr>
        <w:trPr>
          <w:jc w:val="center"/>
          <w:trHeight w:val="10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5.2.5</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工业  </w:t>
            </w:r>
            <w:r/>
          </w:p>
        </w:tc>
      </w:tr>
      <w:tr>
        <w:trPr>
          <w:jc w:val="center"/>
          <w:trHeight w:val="841"/>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11.2</w:t>
            </w:r>
            <w:r/>
          </w:p>
        </w:tc>
        <w:tc>
          <w:tcPr>
            <w:tcW w:w="1701" w:type="dxa"/>
            <w:vAlign w:val="center"/>
            <w:textDirection w:val="lrTb"/>
            <w:noWrap w:val="false"/>
          </w:tcPr>
          <w:p>
            <w:pPr>
              <w:jc w:val="center"/>
              <w:rPr>
                <w:color w:val="000000"/>
                <w:sz w:val="24"/>
                <w:highlight w:val="none"/>
              </w:rPr>
              <w:outlineLvl w:val="9"/>
            </w:pPr>
            <w:r>
              <w:rPr>
                <w:rFonts w:hint="eastAsia"/>
                <w:color w:val="000000"/>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投标报价的特殊规定：</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12</w:t>
            </w:r>
            <w:r/>
          </w:p>
        </w:tc>
        <w:tc>
          <w:tcPr>
            <w:tcW w:w="1701" w:type="dxa"/>
            <w:vAlign w:val="center"/>
            <w:textDirection w:val="lrTb"/>
            <w:noWrap w:val="false"/>
          </w:tcPr>
          <w:p>
            <w:pPr>
              <w:jc w:val="center"/>
              <w:rPr>
                <w:color w:val="000000"/>
                <w:sz w:val="24"/>
                <w:highlight w:val="none"/>
              </w:rPr>
              <w:outlineLvl w:val="9"/>
            </w:pPr>
            <w:r>
              <w:rPr>
                <w:rFonts w:hint="eastAsia"/>
                <w:color w:val="000000"/>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免收</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13.1</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自提交投标文件的截止之日起算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25.5</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分包</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本项目的非主体、非关键性工作是否允许分包： </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26.1.1</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询问</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询问送达形式：</w:t>
            </w:r>
            <w:r>
              <w:rPr>
                <w:rFonts w:hint="eastAsia" w:ascii="宋体" w:hAnsi="宋体" w:eastAsia="宋体" w:cs="宋体"/>
                <w:color w:val="000000"/>
                <w:sz w:val="24"/>
                <w:szCs w:val="24"/>
                <w:highlight w:val="none"/>
                <w:u w:val="single"/>
                <w:lang w:val="en-US" w:eastAsia="zh-CN"/>
              </w:rPr>
              <w:t xml:space="preserve"> 于2026年6月4日11:00（北京时间）前以书面形式递交至江苏尚阳工程管理有限公司 </w:t>
            </w:r>
            <w:r>
              <w:rPr>
                <w:rFonts w:hint="eastAsia" w:ascii="宋体" w:hAnsi="宋体" w:eastAsia="宋体" w:cs="宋体"/>
                <w:color w:val="000000"/>
                <w:sz w:val="24"/>
                <w:szCs w:val="24"/>
                <w:highlight w:val="none"/>
              </w:rPr>
              <w:t xml:space="preserve">。</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26.3</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联系方式</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接收询问和质疑的联系方式</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王涛</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0519-88818292（8000）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常州市新北区嵩山路1-301号（太湖明珠苑综合市场3楼）</w:t>
            </w:r>
            <w:r>
              <w:rPr>
                <w:rFonts w:hint="eastAsia" w:ascii="宋体" w:hAnsi="宋体" w:eastAsia="宋体" w:cs="宋体"/>
                <w:color w:val="000000"/>
                <w:sz w:val="24"/>
                <w:szCs w:val="24"/>
                <w:highlight w:val="none"/>
              </w:rPr>
              <w:t xml:space="preserve">。</w:t>
            </w:r>
            <w:r/>
          </w:p>
        </w:tc>
      </w:tr>
      <w:tr>
        <w:trPr>
          <w:jc w:val="center"/>
          <w:trHeight w:val="20"/>
        </w:trPr>
        <w:tc>
          <w:tcPr>
            <w:tcW w:w="988" w:type="dxa"/>
            <w:vAlign w:val="center"/>
            <w:textDirection w:val="lrTb"/>
            <w:noWrap w:val="false"/>
          </w:tcPr>
          <w:p>
            <w:pPr>
              <w:pStyle w:val="1125"/>
              <w:jc w:val="center"/>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27</w:t>
            </w:r>
            <w:r/>
          </w:p>
        </w:tc>
        <w:tc>
          <w:tcPr>
            <w:tcW w:w="1701" w:type="dxa"/>
            <w:vAlign w:val="center"/>
            <w:textDirection w:val="lrTb"/>
            <w:noWrap w:val="false"/>
          </w:tcPr>
          <w:p>
            <w:pPr>
              <w:jc w:val="center"/>
              <w:rPr>
                <w:color w:val="000000"/>
                <w:sz w:val="24"/>
                <w:highlight w:val="none"/>
              </w:rPr>
              <w:outlineLvl w:val="9"/>
            </w:pPr>
            <w:r>
              <w:rPr>
                <w:color w:val="000000"/>
                <w:sz w:val="24"/>
                <w:highlight w:val="none"/>
              </w:rPr>
              <w:t xml:space="preserve">代理费</w:t>
            </w:r>
            <w:r/>
          </w:p>
        </w:tc>
        <w:tc>
          <w:tcPr>
            <w:tcW w:w="7540" w:type="dxa"/>
            <w:vAlign w:val="center"/>
            <w:textDirection w:val="lrTb"/>
            <w:noWrap w:val="false"/>
          </w:tcPr>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收费对象：</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w:t>
            </w:r>
            <w:r/>
          </w:p>
          <w:p>
            <w:pPr>
              <w:jc w:val="lef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中标人</w:t>
            </w:r>
            <w:r/>
          </w:p>
          <w:p>
            <w:pPr>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中标人须按其中标金额的0.</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%计算并支付中标服务费，不足人民币3000元的，按人民币3000元收取 </w:t>
            </w:r>
            <w:r>
              <w:rPr>
                <w:rFonts w:hint="eastAsia" w:ascii="宋体" w:hAnsi="宋体" w:eastAsia="宋体" w:cs="宋体"/>
                <w:color w:val="000000"/>
                <w:sz w:val="24"/>
                <w:szCs w:val="24"/>
                <w:highlight w:val="none"/>
                <w:u w:val="none"/>
                <w:lang w:eastAsia="zh-CN"/>
              </w:rPr>
              <w:t xml:space="preserve">；</w:t>
            </w:r>
            <w:r/>
          </w:p>
          <w:p>
            <w:pPr>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中标人</w:t>
            </w:r>
            <w:r>
              <w:rPr>
                <w:rFonts w:hint="eastAsia" w:ascii="宋体" w:hAnsi="宋体" w:eastAsia="宋体" w:cs="宋体"/>
                <w:color w:val="000000"/>
                <w:sz w:val="24"/>
                <w:szCs w:val="24"/>
                <w:highlight w:val="none"/>
                <w:u w:val="single"/>
              </w:rPr>
              <w:t xml:space="preserve">应在领取</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通知书时将</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p>
          <w:p>
            <w:pPr>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p>
          <w:p>
            <w:pPr>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p>
          <w:p>
            <w:pPr>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开户银行：兴业银行股份有限公司常州分行</w:t>
            </w:r>
            <w:r/>
          </w:p>
          <w:p>
            <w:pPr>
              <w:jc w:val="left"/>
              <w:rPr>
                <w:rFonts w:hint="eastAsia" w:ascii="宋体" w:hAnsi="宋体" w:eastAsia="宋体" w:cs="宋体"/>
                <w:b/>
                <w:bCs/>
                <w:color w:val="auto"/>
                <w:sz w:val="24"/>
                <w:szCs w:val="24"/>
                <w:highlight w:val="none"/>
                <w:u w:val="none"/>
              </w:rPr>
              <w:outlineLvl w:val="9"/>
            </w:pPr>
            <w:r>
              <w:rPr>
                <w:rFonts w:hint="eastAsia" w:ascii="宋体" w:hAnsi="宋体" w:eastAsia="宋体" w:cs="宋体"/>
                <w:b/>
                <w:bCs/>
                <w:color w:val="auto"/>
                <w:sz w:val="24"/>
                <w:szCs w:val="24"/>
                <w:highlight w:val="none"/>
                <w:u w:val="none"/>
              </w:rPr>
              <w:t xml:space="preserve">代理服务费支付说明及原因：</w:t>
            </w:r>
            <w:r/>
          </w:p>
          <w:p>
            <w:pPr>
              <w:jc w:val="lef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1.支付依据：根据《政府采购代理机构管理暂行办法》第十五条规定，代理费用可以由中标、成交供应商支付。本项目经采购人与采购代理机构在《委托代理协议》中约定，代理服务费由中标/成交供应商支付。</w:t>
            </w:r>
            <w:r/>
          </w:p>
          <w:p>
            <w:pPr>
              <w:jc w:val="lef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2.定价原则：本项目代理服务费遵循市场调节原则，由采购人与代理机构根据项目特点、服务成本及市场行情协商确定收费标准。</w:t>
            </w:r>
            <w:r/>
          </w:p>
          <w:p>
            <w:pPr>
              <w:jc w:val="left"/>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auto"/>
                <w:sz w:val="24"/>
                <w:szCs w:val="24"/>
                <w:highlight w:val="none"/>
                <w:u w:val="none"/>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bookmarkStart w:id="873" w:name="_GoBack"/>
            <w:r/>
            <w:bookmarkEnd w:id="873"/>
            <w:r/>
            <w:r/>
          </w:p>
        </w:tc>
      </w:tr>
      <w:tr>
        <w:trPr>
          <w:jc w:val="center"/>
          <w:trHeight w:val="20"/>
        </w:trPr>
        <w:tc>
          <w:tcPr>
            <w:tcW w:w="988" w:type="dxa"/>
            <w:vAlign w:val="center"/>
            <w:textDirection w:val="lrTb"/>
            <w:noWrap w:val="false"/>
          </w:tcPr>
          <w:p>
            <w:pPr>
              <w:pStyle w:val="1291"/>
              <w:jc w:val="center"/>
              <w:rPr>
                <w:rFonts w:hint="eastAsia" w:ascii="Times New Roman" w:hAnsi="Times New Roman" w:eastAsia="宋体"/>
                <w:color w:val="000000"/>
                <w:sz w:val="24"/>
                <w:szCs w:val="24"/>
                <w:highlight w:val="none"/>
                <w:lang w:eastAsia="zh-CN"/>
              </w:rPr>
            </w:pPr>
            <w:r>
              <w:rPr>
                <w:color w:val="000000"/>
                <w:sz w:val="24"/>
                <w:szCs w:val="24"/>
                <w:highlight w:val="none"/>
                <w:rtl w:val="0"/>
                <w:lang w:val="en-US"/>
              </w:rPr>
              <w:t xml:space="preserve">2</w:t>
            </w:r>
            <w:r>
              <w:rPr>
                <w:rFonts w:hint="eastAsia"/>
                <w:color w:val="000000"/>
                <w:sz w:val="24"/>
                <w:szCs w:val="24"/>
                <w:highlight w:val="none"/>
                <w:rtl w:val="0"/>
                <w:lang w:val="en-US" w:eastAsia="zh-CN"/>
              </w:rPr>
              <w:t xml:space="preserve">8</w:t>
            </w:r>
            <w:r/>
          </w:p>
        </w:tc>
        <w:tc>
          <w:tcPr>
            <w:tcW w:w="1701" w:type="dxa"/>
            <w:vAlign w:val="center"/>
            <w:textDirection w:val="lrTb"/>
            <w:noWrap w:val="false"/>
          </w:tcPr>
          <w:p>
            <w:pPr>
              <w:pStyle w:val="1239"/>
              <w:jc w:val="center"/>
              <w:rPr>
                <w:color w:val="000000"/>
                <w:sz w:val="24"/>
                <w:highlight w:val="none"/>
              </w:rPr>
            </w:pPr>
            <w:r>
              <w:rPr>
                <w:rFonts w:ascii="宋体" w:hAnsi="宋体" w:eastAsia="宋体" w:cs="宋体"/>
                <w:color w:val="000000"/>
                <w:sz w:val="24"/>
                <w:szCs w:val="24"/>
                <w:highlight w:val="none"/>
                <w:rtl w:val="0"/>
                <w:lang w:val="zh-TW" w:eastAsia="zh-TW"/>
              </w:rPr>
              <w:t xml:space="preserve">电子系统意外情况处理条款</w:t>
            </w:r>
            <w:r/>
          </w:p>
        </w:tc>
        <w:tc>
          <w:tcPr>
            <w:tcW w:w="7540" w:type="dxa"/>
            <w:vAlign w:val="center"/>
            <w:textDirection w:val="lrTb"/>
            <w:noWrap w:val="false"/>
          </w:tcPr>
          <w:p>
            <w:pPr>
              <w:pStyle w:val="1239"/>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tl w:val="0"/>
                <w:lang w:val="zh-TW" w:eastAsia="zh-TW"/>
              </w:rPr>
              <w:t xml:space="preserve">为确保本项目电子化采购活动顺利进行，防范化解采购风险，特制定相关情形处置举措。所有潜在投标人及参与各方均应知悉并遵守以下规定：</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en-US"/>
              </w:rPr>
              <w:t xml:space="preserve">1.</w:t>
            </w:r>
            <w:r>
              <w:rPr>
                <w:rFonts w:ascii="宋体" w:hAnsi="宋体" w:eastAsia="宋体" w:cs="宋体"/>
                <w:color w:val="000000"/>
                <w:sz w:val="24"/>
                <w:szCs w:val="24"/>
                <w:highlight w:val="none"/>
                <w:rtl w:val="0"/>
                <w:lang w:val="zh-TW" w:eastAsia="zh-TW"/>
              </w:rPr>
              <w:t xml:space="preserve">意外情况定义：本条款所称</w:t>
            </w:r>
            <w:r>
              <w:rPr>
                <w:rFonts w:ascii="宋体" w:hAnsi="宋体" w:eastAsia="宋体" w:cs="宋体"/>
                <w:color w:val="000000"/>
                <w:sz w:val="24"/>
                <w:szCs w:val="24"/>
                <w:highlight w:val="none"/>
                <w:rtl w:val="0"/>
                <w:lang w:val="en-US"/>
              </w:rPr>
              <w:t xml:space="preserve">“</w:t>
            </w:r>
            <w:r>
              <w:rPr>
                <w:rFonts w:ascii="宋体" w:hAnsi="宋体" w:eastAsia="宋体" w:cs="宋体"/>
                <w:color w:val="000000"/>
                <w:sz w:val="24"/>
                <w:szCs w:val="24"/>
                <w:highlight w:val="none"/>
                <w:rtl w:val="0"/>
                <w:lang w:val="zh-TW" w:eastAsia="zh-TW"/>
              </w:rPr>
              <w:t xml:space="preserve">电子交易系统无法访问等意外情况</w:t>
            </w:r>
            <w:r>
              <w:rPr>
                <w:rFonts w:ascii="宋体" w:hAnsi="宋体" w:eastAsia="宋体" w:cs="宋体"/>
                <w:color w:val="000000"/>
                <w:sz w:val="24"/>
                <w:szCs w:val="24"/>
                <w:highlight w:val="none"/>
                <w:rtl w:val="0"/>
                <w:lang w:val="en-US"/>
              </w:rPr>
              <w:t xml:space="preserve">”</w:t>
            </w:r>
            <w:r>
              <w:rPr>
                <w:rFonts w:ascii="宋体" w:hAnsi="宋体" w:eastAsia="宋体" w:cs="宋体"/>
                <w:color w:val="000000"/>
                <w:sz w:val="24"/>
                <w:szCs w:val="24"/>
                <w:highlight w:val="none"/>
                <w:rtl w:val="0"/>
                <w:lang w:val="zh-TW" w:eastAsia="zh-TW"/>
              </w:rPr>
              <w:t xml:space="preserve">，是指在政府采购电子交易平台使用过程中，出现包括但不限于网络中断、服务器故障、应用软件或数据库错误等情形，导致采购活动无法正常进行。</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en-US"/>
              </w:rPr>
              <w:t xml:space="preserve">2.</w:t>
            </w:r>
            <w:r>
              <w:rPr>
                <w:rFonts w:ascii="宋体" w:hAnsi="宋体" w:eastAsia="宋体" w:cs="宋体"/>
                <w:color w:val="000000"/>
                <w:sz w:val="24"/>
                <w:szCs w:val="24"/>
                <w:highlight w:val="none"/>
                <w:rtl w:val="0"/>
                <w:lang w:val="zh-TW" w:eastAsia="zh-TW"/>
              </w:rPr>
              <w:t xml:space="preserve">开标前环节故障处置：在供应商报名、投标（响应）文件上传、投标（响应）文件解密及唱标环节等开标活动开始前的任何环节出现系统无法访问的情形，采购代理机构将按照以下原则处置：</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zh-TW" w:eastAsia="zh-TW"/>
              </w:rPr>
              <w:t xml:space="preserve">（一）若故障可在短时间内排除，采购代理机构将等待系统修复后，继续开展采购活动。</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zh-TW" w:eastAsia="zh-TW"/>
              </w:rPr>
              <w:t xml:space="preserve">（二）若故障无法在预定开标时间前排除，或故障情况严重影响公平竞争，采购代理机构将通过发布更正公告推迟开标。</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zh-TW" w:eastAsia="zh-TW"/>
              </w:rPr>
              <w:t xml:space="preserve">（三）若因故障导致有效投标人不足法定家数或出现其他法定废标情形，采购代理机构将发布废标（终止）公告，重新开展采购活动。</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zh-TW" w:eastAsia="zh-TW"/>
              </w:rPr>
              <w:t xml:space="preserve">特别说明：本项目投标（响应）文件递交方式以招标文件载明为准。在电子系统发生故障时，采购代理机构仅依据上述程序处理，不接受任何现场提交的纸质、</w:t>
            </w:r>
            <w:r>
              <w:rPr>
                <w:rFonts w:ascii="宋体" w:hAnsi="宋体" w:eastAsia="宋体" w:cs="宋体"/>
                <w:color w:val="000000"/>
                <w:sz w:val="24"/>
                <w:szCs w:val="24"/>
                <w:highlight w:val="none"/>
                <w:rtl w:val="0"/>
                <w:lang w:val="en-US"/>
              </w:rPr>
              <w:t xml:space="preserve">U</w:t>
            </w:r>
            <w:r>
              <w:rPr>
                <w:rFonts w:ascii="宋体" w:hAnsi="宋体" w:eastAsia="宋体" w:cs="宋体"/>
                <w:color w:val="000000"/>
                <w:sz w:val="24"/>
                <w:szCs w:val="24"/>
                <w:highlight w:val="none"/>
                <w:rtl w:val="0"/>
                <w:lang w:val="zh-TW" w:eastAsia="zh-TW"/>
              </w:rPr>
              <w:t xml:space="preserve">盘等非招标文件规定的投标（响应）文件。</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en-US"/>
              </w:rPr>
              <w:t xml:space="preserve">3.</w:t>
            </w:r>
            <w:r>
              <w:rPr>
                <w:rFonts w:ascii="宋体" w:hAnsi="宋体" w:eastAsia="宋体" w:cs="宋体"/>
                <w:color w:val="000000"/>
                <w:sz w:val="24"/>
                <w:szCs w:val="24"/>
                <w:highlight w:val="none"/>
                <w:rtl w:val="0"/>
                <w:lang w:val="zh-TW" w:eastAsia="zh-TW"/>
              </w:rPr>
              <w:t xml:space="preserve">评审过程中故障处置：在评审委员会组建后至评审报告出具前的评审过程中出现系统无法访问的情形，采购代理机构将按照以下原则处置：</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zh-TW" w:eastAsia="zh-TW"/>
              </w:rPr>
              <w:t xml:space="preserve">（一）立即暂停评审：采购代理机构将立即宣布暂停评审活动，并采取必要措施封存所有投标（响应）文件及评审记录。</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zh-TW" w:eastAsia="zh-TW"/>
              </w:rPr>
              <w:t xml:space="preserve">（二）处置方案：视故障排除情况，采购代理机构将选择：</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en-US"/>
              </w:rPr>
              <w:t xml:space="preserve">1.</w:t>
            </w:r>
            <w:r>
              <w:rPr>
                <w:rFonts w:ascii="宋体" w:hAnsi="宋体" w:eastAsia="宋体" w:cs="宋体"/>
                <w:color w:val="000000"/>
                <w:sz w:val="24"/>
                <w:szCs w:val="24"/>
                <w:highlight w:val="none"/>
                <w:rtl w:val="0"/>
                <w:lang w:val="zh-TW" w:eastAsia="zh-TW"/>
              </w:rPr>
              <w:t xml:space="preserve">若故障可在短时间内排除，采购代理机构将等待系统修复后，由原评审委员会继续完成评审；</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en-US"/>
              </w:rPr>
              <w:t xml:space="preserve">2. </w:t>
            </w:r>
            <w:r>
              <w:rPr>
                <w:rFonts w:ascii="宋体" w:hAnsi="宋体" w:eastAsia="宋体" w:cs="宋体"/>
                <w:color w:val="000000"/>
                <w:sz w:val="24"/>
                <w:szCs w:val="24"/>
                <w:highlight w:val="none"/>
                <w:rtl w:val="0"/>
                <w:lang w:val="zh-TW" w:eastAsia="zh-TW"/>
              </w:rPr>
              <w:t xml:space="preserve">若故障无法在当日排除，或故障导致评审无法公正进行，将发布废标（终止）公告，重新开展采购活动；</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en-US"/>
              </w:rPr>
              <w:t xml:space="preserve">3.</w:t>
            </w:r>
            <w:r>
              <w:rPr>
                <w:rFonts w:ascii="宋体" w:hAnsi="宋体" w:eastAsia="宋体" w:cs="宋体"/>
                <w:color w:val="000000"/>
                <w:sz w:val="24"/>
                <w:szCs w:val="24"/>
                <w:highlight w:val="none"/>
                <w:rtl w:val="0"/>
                <w:lang w:val="zh-TW" w:eastAsia="zh-TW"/>
              </w:rPr>
              <w:t xml:space="preserve">若需在第二日继续评审，采购代理机构将重新从政府采购评审专家库中抽取专家，组建新的评审委员会，在系统修复后继续评审活动。</w:t>
            </w:r>
            <w:r/>
          </w:p>
          <w:p>
            <w:pPr>
              <w:pStyle w:val="1239"/>
              <w:ind w:left="0" w:right="0" w:firstLine="0"/>
              <w:jc w:val="left"/>
              <w:rPr>
                <w:rFonts w:ascii="宋体" w:hAnsi="宋体" w:eastAsia="宋体" w:cs="宋体"/>
                <w:color w:val="000000"/>
                <w:sz w:val="24"/>
                <w:szCs w:val="24"/>
                <w:highlight w:val="none"/>
                <w:rtl w:val="0"/>
              </w:rPr>
            </w:pPr>
            <w:r>
              <w:rPr>
                <w:rFonts w:ascii="宋体" w:hAnsi="宋体" w:eastAsia="宋体" w:cs="宋体"/>
                <w:color w:val="000000"/>
                <w:sz w:val="24"/>
                <w:szCs w:val="24"/>
                <w:highlight w:val="none"/>
                <w:rtl w:val="0"/>
                <w:lang w:val="zh-TW" w:eastAsia="zh-TW"/>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pStyle w:val="1239"/>
              <w:ind w:left="0" w:right="0" w:firstLine="0"/>
              <w:jc w:val="left"/>
              <w:rPr>
                <w:rFonts w:hint="eastAsia" w:ascii="宋体" w:hAnsi="宋体" w:eastAsia="宋体" w:cs="宋体"/>
                <w:color w:val="000000"/>
                <w:sz w:val="24"/>
                <w:szCs w:val="24"/>
                <w:highlight w:val="none"/>
                <w:u w:val="single"/>
              </w:rPr>
            </w:pPr>
            <w:r>
              <w:rPr>
                <w:rFonts w:ascii="宋体" w:hAnsi="宋体" w:eastAsia="宋体" w:cs="宋体"/>
                <w:color w:val="000000"/>
                <w:sz w:val="24"/>
                <w:szCs w:val="24"/>
                <w:highlight w:val="none"/>
                <w:u w:val="none"/>
                <w:rtl w:val="0"/>
                <w:lang w:val="zh-TW" w:eastAsia="zh-TW"/>
              </w:rPr>
              <w:t xml:space="preserve">（四）供应商责任：供应商有责任确保自身网络环境、设备及数字证书（</w:t>
            </w:r>
            <w:r>
              <w:rPr>
                <w:rFonts w:ascii="宋体" w:hAnsi="宋体" w:eastAsia="宋体" w:cs="宋体"/>
                <w:color w:val="000000"/>
                <w:sz w:val="24"/>
                <w:szCs w:val="24"/>
                <w:highlight w:val="none"/>
                <w:u w:val="none"/>
                <w:rtl w:val="0"/>
                <w:lang w:val="en-US"/>
              </w:rPr>
              <w:t xml:space="preserve">CA</w:t>
            </w:r>
            <w:r>
              <w:rPr>
                <w:rFonts w:ascii="宋体" w:hAnsi="宋体" w:eastAsia="宋体" w:cs="宋体"/>
                <w:color w:val="000000"/>
                <w:sz w:val="24"/>
                <w:szCs w:val="24"/>
                <w:highlight w:val="none"/>
                <w:u w:val="none"/>
                <w:rtl w:val="0"/>
                <w:lang w:val="zh-TW" w:eastAsia="zh-TW"/>
              </w:rPr>
              <w:t xml:space="preserve">）的正常，并在招标文件规定的期限内完成文件上传、解密等操作。因供应商自身原因导致的操作失败，不适用本意外情况处理条款。</w:t>
            </w:r>
            <w:r/>
          </w:p>
        </w:tc>
      </w:tr>
    </w:tbl>
    <w:p>
      <w:pPr>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jc w:val="center"/>
        <w:spacing w:before="240" w:after="240"/>
        <w:rPr>
          <w:b/>
          <w:color w:val="000000"/>
          <w:sz w:val="28"/>
          <w:szCs w:val="28"/>
          <w:highlight w:val="none"/>
        </w:rPr>
        <w:outlineLvl w:val="9"/>
      </w:pPr>
      <w:r/>
      <w:bookmarkStart w:id="68" w:name="_Toc305158859"/>
      <w:r/>
      <w:bookmarkStart w:id="69" w:name="_Toc127151517"/>
      <w:r/>
      <w:bookmarkStart w:id="70" w:name="_Toc353825542"/>
      <w:r/>
      <w:bookmarkStart w:id="71" w:name="_Toc353873662"/>
      <w:r/>
      <w:bookmarkStart w:id="72" w:name="_Toc264969207"/>
      <w:r/>
      <w:bookmarkStart w:id="73" w:name="_Toc226965790"/>
      <w:r/>
      <w:bookmarkStart w:id="74" w:name="_Toc353873932"/>
      <w:r/>
      <w:bookmarkStart w:id="75" w:name="_Toc150774722"/>
      <w:r/>
      <w:bookmarkStart w:id="76" w:name="_Toc226337213"/>
      <w:r/>
      <w:bookmarkStart w:id="77" w:name="_Toc305158785"/>
      <w:r/>
      <w:bookmarkStart w:id="78" w:name="_Toc265228355"/>
      <w:r/>
      <w:bookmarkStart w:id="79" w:name="_Toc142311019"/>
      <w:r/>
      <w:bookmarkStart w:id="80" w:name="_Toc150480755"/>
      <w:r/>
      <w:bookmarkStart w:id="81" w:name="_Toc195842882"/>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82" w:name="_Toc264969208"/>
      <w:r/>
      <w:bookmarkStart w:id="83" w:name="_Toc150509269"/>
      <w:r/>
      <w:bookmarkStart w:id="84" w:name="_Toc520356143"/>
      <w:r/>
      <w:bookmarkStart w:id="85" w:name="_Toc226965791"/>
      <w:r/>
      <w:bookmarkStart w:id="86" w:name="_Toc150774618"/>
      <w:r/>
      <w:bookmarkStart w:id="87" w:name="_Toc305158786"/>
      <w:r/>
      <w:bookmarkStart w:id="88" w:name="_Toc226337214"/>
      <w:r/>
      <w:bookmarkStart w:id="89" w:name="_Toc265228356"/>
      <w:r/>
      <w:bookmarkStart w:id="90" w:name="_Toc305158860"/>
      <w:r/>
      <w:bookmarkStart w:id="91" w:name="_Toc151193760"/>
      <w:r/>
      <w:bookmarkStart w:id="92" w:name="_Toc151193832"/>
      <w:r/>
      <w:bookmarkStart w:id="93" w:name="_Toc226965708"/>
      <w:r/>
      <w:bookmarkStart w:id="94" w:name="_Toc150774723"/>
      <w:r/>
      <w:bookmarkStart w:id="95" w:name="_Toc142311020"/>
      <w:r/>
      <w:bookmarkStart w:id="96" w:name="_Toc226309762"/>
      <w:r/>
      <w:bookmarkStart w:id="97" w:name="_Toc150480756"/>
      <w:r/>
      <w:bookmarkStart w:id="98" w:name="_Toc151190145"/>
      <w:r/>
      <w:bookmarkStart w:id="99" w:name="_Toc127151518"/>
      <w:r/>
      <w:bookmarkStart w:id="100" w:name="_Toc151193688"/>
      <w:r/>
      <w:bookmarkStart w:id="101" w:name="_Toc151193906"/>
      <w:r/>
      <w:bookmarkStart w:id="102" w:name="_Toc195842883"/>
      <w:r/>
      <w:bookmarkStart w:id="103" w:name="_Toc151193616"/>
      <w:r>
        <w:rPr>
          <w:rFonts w:hint="eastAsia" w:ascii="宋体" w:hAnsi="宋体" w:eastAsia="宋体" w:cs="Times New Roman"/>
          <w:b/>
          <w:bCs/>
          <w:color w:val="000000"/>
          <w:sz w:val="28"/>
          <w:szCs w:val="28"/>
          <w:highlight w:val="none"/>
          <w:lang w:val="en-US" w:eastAsia="zh-CN"/>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4" w:name="_Toc264969209"/>
      <w:r/>
      <w:bookmarkStart w:id="105" w:name="_Toc305158861"/>
      <w:r/>
      <w:bookmarkStart w:id="106" w:name="_Toc305158787"/>
      <w:r/>
      <w:bookmarkStart w:id="107" w:name="_Toc265228357"/>
      <w:r>
        <w:rPr>
          <w:rFonts w:hint="eastAsia" w:ascii="宋体" w:hAnsi="宋体" w:eastAsia="宋体" w:cs="宋体"/>
          <w:color w:val="000000"/>
          <w:sz w:val="24"/>
          <w:szCs w:val="24"/>
          <w:highlight w:val="none"/>
        </w:rPr>
        <w:t xml:space="preserve">采购人、采购代理机构、投标人</w:t>
      </w:r>
      <w:bookmarkEnd w:id="104"/>
      <w:r/>
      <w:bookmarkEnd w:id="105"/>
      <w:r/>
      <w:bookmarkEnd w:id="106"/>
      <w:r/>
      <w:bookmarkEnd w:id="107"/>
      <w:r>
        <w:rPr>
          <w:rFonts w:hint="eastAsia" w:ascii="宋体" w:hAnsi="宋体" w:eastAsia="宋体" w:cs="宋体"/>
          <w:color w:val="000000"/>
          <w:sz w:val="24"/>
          <w:szCs w:val="24"/>
          <w:highlight w:val="none"/>
        </w:rPr>
        <w:t xml:space="preserve">、联合体</w:t>
      </w:r>
      <w:r/>
    </w:p>
    <w:p>
      <w:pPr>
        <w:numPr>
          <w:ilvl w:val="1"/>
          <w:numId w:val="8"/>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投标人（也称“</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”、“申请人”）：指向采购人提供货物、工程或者服务的法人、其他组织或者自然人。</w:t>
      </w:r>
      <w:r/>
    </w:p>
    <w:p>
      <w:pPr>
        <w:numPr>
          <w:ilvl w:val="1"/>
          <w:numId w:val="8"/>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的身份共同参加政府采购。</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108" w:name="_Toc150774620"/>
      <w:r/>
      <w:bookmarkStart w:id="109" w:name="_Toc164229361"/>
      <w:r/>
      <w:bookmarkStart w:id="110" w:name="_Toc150509271"/>
      <w:r/>
      <w:bookmarkStart w:id="111" w:name="_Toc151193762"/>
      <w:r/>
      <w:bookmarkStart w:id="112" w:name="_Toc150774725"/>
      <w:r/>
      <w:bookmarkStart w:id="113" w:name="_Toc127151721"/>
      <w:r/>
      <w:bookmarkStart w:id="114" w:name="_Toc226309764"/>
      <w:r/>
      <w:bookmarkStart w:id="115" w:name="_Toc226965793"/>
      <w:r/>
      <w:bookmarkStart w:id="116" w:name="_Toc265228358"/>
      <w:r/>
      <w:bookmarkStart w:id="117" w:name="_Toc127161434"/>
      <w:r/>
      <w:bookmarkStart w:id="118" w:name="_Toc226965710"/>
      <w:r/>
      <w:bookmarkStart w:id="119" w:name="_Toc164608789"/>
      <w:r/>
      <w:bookmarkStart w:id="120" w:name="_Toc127151520"/>
      <w:r/>
      <w:bookmarkStart w:id="121" w:name="_Toc305158862"/>
      <w:r/>
      <w:bookmarkStart w:id="122" w:name="_Toc305158788"/>
      <w:r/>
      <w:bookmarkStart w:id="123" w:name="_Toc142311022"/>
      <w:r/>
      <w:bookmarkStart w:id="124" w:name="_Toc149720813"/>
      <w:r/>
      <w:bookmarkStart w:id="125" w:name="_Toc164351614"/>
      <w:r/>
      <w:bookmarkStart w:id="126" w:name="_Toc151193908"/>
      <w:r/>
      <w:bookmarkStart w:id="127" w:name="_Toc164608634"/>
      <w:r/>
      <w:bookmarkStart w:id="128" w:name="_Toc164229215"/>
      <w:r/>
      <w:bookmarkStart w:id="129" w:name="_Toc195842885"/>
      <w:r/>
      <w:bookmarkStart w:id="130" w:name="_Toc151190147"/>
      <w:r/>
      <w:bookmarkStart w:id="131" w:name="_Toc151193690"/>
      <w:r/>
      <w:bookmarkStart w:id="132" w:name="_Toc264969210"/>
      <w:r/>
      <w:bookmarkStart w:id="133" w:name="_Toc150480758"/>
      <w:r/>
      <w:bookmarkStart w:id="134" w:name="_Toc151193834"/>
      <w:r/>
      <w:bookmarkStart w:id="135" w:name="_Toc226337216"/>
      <w:r/>
      <w:bookmarkStart w:id="136" w:name="_Toc151193618"/>
      <w:r>
        <w:rPr>
          <w:rFonts w:hint="eastAsia" w:ascii="宋体" w:hAnsi="宋体" w:eastAsia="宋体" w:cs="宋体"/>
          <w:color w:val="000000"/>
          <w:sz w:val="24"/>
          <w:szCs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color w:val="000000"/>
          <w:sz w:val="24"/>
          <w:szCs w:val="24"/>
          <w:highlight w:val="none"/>
        </w:rPr>
        <w:t xml:space="preserve">、项目属性、科研仪器设备采购、核心产品</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项目属性见《投标人须知资料表》。</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是否属于科研仪器设备采购见《投标人须知资料表》。</w:t>
      </w:r>
      <w:r/>
    </w:p>
    <w:p>
      <w:pPr>
        <w:numPr>
          <w:ilvl w:val="1"/>
          <w:numId w:val="8"/>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核心产品见《投标人须知资料表》。</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现场考察、开标前答疑会</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37" w:name="_Toc151193620"/>
      <w:r/>
      <w:bookmarkStart w:id="138" w:name="_Toc142311024"/>
      <w:r/>
      <w:bookmarkStart w:id="139" w:name="_Toc150480760"/>
      <w:r/>
      <w:bookmarkStart w:id="140" w:name="_Toc127151522"/>
      <w:r/>
      <w:bookmarkStart w:id="141" w:name="_Toc265228360"/>
      <w:r/>
      <w:bookmarkStart w:id="142" w:name="_Toc150774727"/>
      <w:r/>
      <w:bookmarkStart w:id="143" w:name="_Toc305158864"/>
      <w:r/>
      <w:bookmarkStart w:id="144" w:name="_Toc226965712"/>
      <w:r/>
      <w:bookmarkStart w:id="145" w:name="_Toc226337218"/>
      <w:r/>
      <w:bookmarkStart w:id="146" w:name="_Toc151193692"/>
      <w:r/>
      <w:bookmarkStart w:id="147" w:name="_Toc151193764"/>
      <w:r/>
      <w:bookmarkStart w:id="148" w:name="_Toc226965795"/>
      <w:r/>
      <w:bookmarkStart w:id="149" w:name="_Toc151193836"/>
      <w:r/>
      <w:bookmarkStart w:id="150" w:name="_Toc195842887"/>
      <w:r/>
      <w:bookmarkStart w:id="151" w:name="_Toc520356146"/>
      <w:r/>
      <w:bookmarkStart w:id="152" w:name="_Toc150774622"/>
      <w:r/>
      <w:bookmarkStart w:id="153" w:name="_Toc305158790"/>
      <w:r/>
      <w:bookmarkStart w:id="154" w:name="_Toc264969212"/>
      <w:r/>
      <w:bookmarkStart w:id="155" w:name="_Toc226309766"/>
      <w:r/>
      <w:bookmarkStart w:id="156" w:name="_Toc151190149"/>
      <w:r/>
      <w:bookmarkStart w:id="157" w:name="_Toc151193910"/>
      <w:r/>
      <w:bookmarkStart w:id="158" w:name="_Toc150509273"/>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样品的评审方法以及评审标准等内容见第四章《评标方法和评标标准》。</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p>
    <w:p>
      <w:pPr>
        <w:numPr>
          <w:ilvl w:val="0"/>
          <w:numId w:val="0"/>
        </w:numPr>
        <w:ind w:left="568"/>
        <w:spacing w:line="360" w:lineRule="auto"/>
        <w:tabs>
          <w:tab w:val="left" w:pos="2014"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5.1</w:t>
      </w:r>
      <w:r>
        <w:rPr>
          <w:rFonts w:hint="eastAsia" w:ascii="宋体" w:hAnsi="宋体" w:eastAsia="宋体" w:cs="宋体"/>
          <w:b w:val="0"/>
          <w:bCs w:val="0"/>
          <w:color w:val="000000"/>
          <w:sz w:val="24"/>
          <w:highlight w:val="none"/>
        </w:rPr>
        <w:t xml:space="preserve">政府采购中实施本国产品标准及相关政策</w:t>
      </w:r>
      <w:r/>
    </w:p>
    <w:p>
      <w:pPr>
        <w:numPr>
          <w:ilvl w:val="0"/>
          <w:numId w:val="0"/>
        </w:numPr>
        <w:ind w:left="108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5.1.1</w:t>
      </w:r>
      <w:r>
        <w:rPr>
          <w:rFonts w:hint="eastAsia" w:ascii="宋体" w:hAnsi="宋体" w:eastAsia="宋体" w:cs="宋体"/>
          <w:color w:val="000000"/>
          <w:sz w:val="24"/>
          <w:highlight w:val="none"/>
        </w:rPr>
        <w:t xml:space="preserve">本项目对采购本国产品给予政策支持，具体内容见</w:t>
      </w:r>
      <w:r>
        <w:rPr>
          <w:rFonts w:hint="eastAsia" w:ascii="宋体" w:hAnsi="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文件“评标标准”。</w:t>
      </w:r>
      <w:r/>
    </w:p>
    <w:p>
      <w:pPr>
        <w:numPr>
          <w:ilvl w:val="0"/>
          <w:numId w:val="0"/>
        </w:numPr>
        <w:ind w:left="1080"/>
        <w:spacing w:line="360" w:lineRule="auto"/>
        <w:tabs>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5.1.2</w:t>
      </w:r>
      <w:r>
        <w:rPr>
          <w:rFonts w:hint="eastAsia" w:ascii="宋体" w:hAnsi="宋体" w:eastAsia="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left="36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lang w:val="en-US" w:eastAsia="zh-CN"/>
        </w:rPr>
        <w:t xml:space="preserve">5.1.3</w:t>
      </w: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36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p>
    <w:p>
      <w:pPr>
        <w:numPr>
          <w:ilvl w:val="0"/>
          <w:numId w:val="0"/>
        </w:numPr>
        <w:ind w:left="10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5.2.1</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0"/>
          <w:numId w:val="0"/>
        </w:numPr>
        <w:ind w:left="36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中小企业、监狱企业及残疾人福利性单位</w:t>
      </w:r>
      <w:r/>
    </w:p>
    <w:p>
      <w:pPr>
        <w:numPr>
          <w:ilvl w:val="0"/>
          <w:numId w:val="0"/>
        </w:numPr>
        <w:ind w:left="10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5.3.1</w:t>
      </w:r>
      <w:r>
        <w:rPr>
          <w:rFonts w:hint="eastAsia" w:ascii="宋体" w:hAnsi="宋体" w:eastAsia="宋体" w:cs="宋体"/>
          <w:color w:val="000000"/>
          <w:sz w:val="24"/>
          <w:szCs w:val="24"/>
          <w:highlight w:val="none"/>
        </w:rPr>
        <w:t xml:space="preserve">中小企业定义：</w:t>
      </w:r>
      <w:r/>
    </w:p>
    <w:p>
      <w:pPr>
        <w:pStyle w:val="1189"/>
        <w:numPr>
          <w:ilvl w:val="0"/>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0"/>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0"/>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0"/>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0"/>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1"/>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1"/>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2"/>
          <w:numId w:val="9"/>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5.3.1.1</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5.3.1.2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提供的货物、工程或者服务符合下列情形的，享受中小企业扶持政策：</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5.3.1.3</w:t>
      </w:r>
      <w:r>
        <w:rPr>
          <w:rFonts w:hint="eastAsia" w:ascii="宋体" w:hAnsi="宋体" w:eastAsia="宋体" w:cs="宋体"/>
          <w:color w:val="000000"/>
          <w:sz w:val="24"/>
          <w:szCs w:val="24"/>
          <w:highlight w:val="none"/>
        </w:rPr>
        <w:t xml:space="preserve">在货物采购项目中，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5.3.1.4</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p>
    <w:p>
      <w:pPr>
        <w:numPr>
          <w:ilvl w:val="0"/>
          <w:numId w:val="0"/>
        </w:numPr>
        <w:ind w:left="10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0"/>
          <w:numId w:val="0"/>
        </w:numPr>
        <w:ind w:left="10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w:t>
      </w: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p>
    <w:p>
      <w:pPr>
        <w:pStyle w:val="1189"/>
        <w:numPr>
          <w:ilvl w:val="2"/>
          <w:numId w:val="9"/>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89"/>
        <w:numPr>
          <w:ilvl w:val="2"/>
          <w:numId w:val="9"/>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5.4.1.1</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5.4.1.2</w:t>
      </w:r>
      <w:r>
        <w:rPr>
          <w:rFonts w:hint="eastAsia" w:ascii="宋体" w:hAnsi="宋体" w:eastAsia="宋体" w:cs="宋体"/>
          <w:color w:val="000000"/>
          <w:sz w:val="24"/>
          <w:szCs w:val="24"/>
          <w:highlight w:val="none"/>
        </w:rPr>
        <w:t xml:space="preserve">依法与安置的每位残疾人签订了一年以上（含一年）的劳动合同或服务协议；</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5.4.1.3</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5.4.1.4</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5.4.1.5</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5.4.1.6</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0"/>
          <w:numId w:val="0"/>
        </w:numPr>
        <w:ind w:left="10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5.4.1.7</w:t>
      </w:r>
      <w:r>
        <w:rPr>
          <w:rFonts w:hint="eastAsia" w:ascii="宋体" w:hAnsi="宋体" w:eastAsia="宋体" w:cs="宋体"/>
          <w:color w:val="000000"/>
          <w:sz w:val="24"/>
          <w:szCs w:val="24"/>
          <w:highlight w:val="none"/>
        </w:rPr>
        <w:t xml:space="preserve">本项目是否专门面向中小企业预留采购份额见第一章《投标邀请》。</w:t>
      </w:r>
      <w:r/>
    </w:p>
    <w:p>
      <w:pPr>
        <w:numPr>
          <w:ilvl w:val="0"/>
          <w:numId w:val="0"/>
        </w:numPr>
        <w:ind w:left="10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5.4.1.8</w:t>
      </w:r>
      <w:r>
        <w:rPr>
          <w:rFonts w:hint="eastAsia" w:ascii="宋体" w:hAnsi="宋体" w:eastAsia="宋体" w:cs="宋体"/>
          <w:color w:val="000000"/>
          <w:sz w:val="24"/>
          <w:szCs w:val="24"/>
          <w:highlight w:val="none"/>
        </w:rPr>
        <w:t xml:space="preserve">采购标的对应的中小企业划分标准所属行业见《投标人须知资料表》。</w:t>
      </w:r>
      <w:r/>
    </w:p>
    <w:p>
      <w:pPr>
        <w:numPr>
          <w:ilvl w:val="0"/>
          <w:numId w:val="0"/>
        </w:numPr>
        <w:ind w:left="10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5.4.1.9</w:t>
      </w:r>
      <w:r>
        <w:rPr>
          <w:rFonts w:hint="eastAsia" w:ascii="宋体" w:hAnsi="宋体" w:eastAsia="宋体" w:cs="宋体"/>
          <w:color w:val="000000"/>
          <w:sz w:val="24"/>
          <w:szCs w:val="24"/>
          <w:highlight w:val="none"/>
        </w:rPr>
        <w:t xml:space="preserve">小微企业价格评审优惠的政策调整：见第四章《评标方法和评标标准》。</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eastAsia="宋体" w:cs="宋体"/>
          <w:color w:val="000000"/>
          <w:sz w:val="24"/>
          <w:szCs w:val="24"/>
          <w:highlight w:val="none"/>
          <w:lang w:eastAsia="zh-CN"/>
        </w:rPr>
        <w:t xml:space="preserve">、财政部 生态环境部 工业和信息化部关于印发《绿色数据中心政府采购需求标准（试行）》的通知 （财库〔2023〕7号）</w:t>
      </w:r>
      <w:r>
        <w:rPr>
          <w:rFonts w:hint="eastAsia" w:ascii="宋体" w:hAnsi="宋体" w:eastAsia="宋体" w:cs="宋体"/>
          <w:color w:val="000000"/>
          <w:sz w:val="24"/>
          <w:szCs w:val="24"/>
          <w:highlight w:val="none"/>
        </w:rPr>
        <w:t xml:space="preserve">文件精神，采购人在采购文件中明确政府采购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提供产品及相关快递服务的具体包装要求的，在政府采购合同中载明对政府采购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val="en-US" w:eastAsia="zh-CN"/>
        </w:rPr>
        <w:t xml:space="preserve">本项目不</w:t>
      </w:r>
      <w:r>
        <w:rPr>
          <w:rFonts w:hint="eastAsia" w:ascii="宋体" w:hAnsi="宋体" w:eastAsia="宋体" w:cs="宋体"/>
          <w:color w:val="000000"/>
          <w:sz w:val="24"/>
          <w:szCs w:val="24"/>
          <w:highlight w:val="none"/>
        </w:rPr>
        <w:t xml:space="preserve">涉及）</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p>
    <w:p>
      <w:pPr>
        <w:numPr>
          <w:ilvl w:val="0"/>
          <w:numId w:val="0"/>
        </w:numPr>
        <w:ind w:left="10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相应销售业绩，参加政府采购活动时业绩分值为满分。</w:t>
      </w:r>
      <w:r/>
    </w:p>
    <w:p>
      <w:pPr>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绿色采购政策</w:t>
      </w:r>
      <w:r/>
    </w:p>
    <w:p>
      <w:pPr>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绿色数据中心政策 </w:t>
      </w:r>
      <w:r/>
    </w:p>
    <w:p>
      <w:pPr>
        <w:numPr>
          <w:ilvl w:val="0"/>
          <w:numId w:val="0"/>
        </w:numPr>
        <w:ind w:firstLine="96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推广应用绿色建材</w:t>
      </w:r>
      <w:r/>
    </w:p>
    <w:p>
      <w:pPr>
        <w:numPr>
          <w:ilvl w:val="0"/>
          <w:numId w:val="0"/>
        </w:numPr>
        <w:ind w:firstLine="96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优先使用低挥发性有机化合物产品</w:t>
      </w:r>
      <w:r/>
    </w:p>
    <w:p>
      <w:pPr>
        <w:numPr>
          <w:ilvl w:val="0"/>
          <w:numId w:val="0"/>
        </w:numPr>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5.7.4 </w:t>
      </w: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投标费用</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59" w:name="_1.8_计量单位"/>
      <w:r/>
      <w:bookmarkEnd w:id="159"/>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160" w:name="_Toc520356147"/>
      <w:r/>
      <w:bookmarkStart w:id="161" w:name="_Toc226965713"/>
      <w:r/>
      <w:bookmarkStart w:id="162" w:name="_Toc150774728"/>
      <w:r/>
      <w:bookmarkStart w:id="163" w:name="_Toc127151523"/>
      <w:r/>
      <w:bookmarkStart w:id="164" w:name="_Toc164229364"/>
      <w:r/>
      <w:bookmarkStart w:id="165" w:name="_Toc150509274"/>
      <w:r/>
      <w:bookmarkStart w:id="166" w:name="_Toc226337219"/>
      <w:r/>
      <w:bookmarkStart w:id="167" w:name="_Toc142311025"/>
      <w:r/>
      <w:bookmarkStart w:id="168" w:name="_Toc195842888"/>
      <w:r/>
      <w:bookmarkStart w:id="169" w:name="_Toc150774623"/>
      <w:r/>
      <w:bookmarkStart w:id="170" w:name="_Toc164608637"/>
      <w:r/>
      <w:bookmarkStart w:id="171" w:name="_Toc151193621"/>
      <w:r/>
      <w:bookmarkStart w:id="172" w:name="_Toc305158791"/>
      <w:r/>
      <w:bookmarkStart w:id="173" w:name="_Toc164608792"/>
      <w:r/>
      <w:bookmarkStart w:id="174" w:name="_Toc150480761"/>
      <w:r/>
      <w:bookmarkStart w:id="175" w:name="_Toc164351617"/>
      <w:r/>
      <w:bookmarkStart w:id="176" w:name="_Toc151193693"/>
      <w:r/>
      <w:bookmarkStart w:id="177" w:name="_Toc127151724"/>
      <w:r/>
      <w:bookmarkStart w:id="178" w:name="_Toc164229218"/>
      <w:r/>
      <w:bookmarkStart w:id="179" w:name="_Toc151190150"/>
      <w:r/>
      <w:bookmarkStart w:id="180" w:name="_Toc265228361"/>
      <w:r/>
      <w:bookmarkStart w:id="181" w:name="_Toc305158865"/>
      <w:r/>
      <w:bookmarkStart w:id="182" w:name="_Toc226309767"/>
      <w:r/>
      <w:bookmarkStart w:id="183" w:name="_Toc149720816"/>
      <w:r/>
      <w:bookmarkStart w:id="184" w:name="_Toc127161437"/>
      <w:r/>
      <w:bookmarkStart w:id="185" w:name="_Toc264969213"/>
      <w:r/>
      <w:bookmarkStart w:id="186" w:name="_Toc151193765"/>
      <w:r/>
      <w:bookmarkStart w:id="187" w:name="_Toc151193837"/>
      <w:r/>
      <w:bookmarkStart w:id="188" w:name="_Toc226965796"/>
      <w:r/>
      <w:bookmarkStart w:id="189" w:name="_Toc151193911"/>
      <w:r>
        <w:rPr>
          <w:rFonts w:hint="eastAsia" w:ascii="宋体" w:hAnsi="宋体" w:eastAsia="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4"/>
          <w:highlight w:val="none"/>
        </w:rPr>
        <w:t xml:space="preserve">成</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招标文件包括以下部分：</w:t>
      </w:r>
      <w:r/>
    </w:p>
    <w:p>
      <w:pPr>
        <w:numPr>
          <w:ilvl w:val="0"/>
          <w:numId w:val="10"/>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投标邀请</w:t>
      </w:r>
      <w:r/>
    </w:p>
    <w:p>
      <w:pPr>
        <w:numPr>
          <w:ilvl w:val="0"/>
          <w:numId w:val="10"/>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投标人须知</w:t>
      </w:r>
      <w:r/>
    </w:p>
    <w:p>
      <w:pPr>
        <w:numPr>
          <w:ilvl w:val="0"/>
          <w:numId w:val="10"/>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p>
    <w:p>
      <w:pPr>
        <w:numPr>
          <w:ilvl w:val="0"/>
          <w:numId w:val="10"/>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p>
    <w:p>
      <w:pPr>
        <w:numPr>
          <w:ilvl w:val="0"/>
          <w:numId w:val="10"/>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采购需求</w:t>
      </w:r>
      <w:r/>
    </w:p>
    <w:p>
      <w:pPr>
        <w:numPr>
          <w:ilvl w:val="0"/>
          <w:numId w:val="10"/>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拟签订的合同文本</w:t>
      </w:r>
      <w:r/>
    </w:p>
    <w:p>
      <w:pPr>
        <w:numPr>
          <w:ilvl w:val="0"/>
          <w:numId w:val="10"/>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投标文件格式</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8"/>
        </w:numPr>
        <w:ind w:left="357" w:hanging="357"/>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对招标文件的澄清或修改</w:t>
      </w:r>
      <w:r/>
    </w:p>
    <w:p>
      <w:pPr>
        <w:numPr>
          <w:ilvl w:val="1"/>
          <w:numId w:val="8"/>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90" w:name="_Toc516367020"/>
      <w:r/>
      <w:bookmarkStart w:id="191" w:name="_Toc151190153"/>
      <w:r/>
      <w:bookmarkStart w:id="192" w:name="_Toc142311028"/>
      <w:r/>
      <w:bookmarkStart w:id="193" w:name="_Toc150509277"/>
      <w:r/>
      <w:bookmarkStart w:id="194" w:name="_Toc150480764"/>
      <w:r/>
      <w:bookmarkStart w:id="195" w:name="_Toc226965799"/>
      <w:r/>
      <w:bookmarkStart w:id="196" w:name="_Toc520356150"/>
      <w:r/>
      <w:bookmarkStart w:id="197" w:name="_Toc150774731"/>
      <w:r/>
      <w:bookmarkStart w:id="198" w:name="_Toc305158868"/>
      <w:r/>
      <w:bookmarkStart w:id="199" w:name="_Toc151193768"/>
      <w:r/>
      <w:bookmarkStart w:id="200" w:name="_Toc265228364"/>
      <w:r/>
      <w:bookmarkStart w:id="201" w:name="_Toc151193696"/>
      <w:r/>
      <w:bookmarkStart w:id="202" w:name="_Toc150774626"/>
      <w:r/>
      <w:bookmarkStart w:id="203" w:name="_Toc305158794"/>
      <w:r/>
      <w:bookmarkStart w:id="204" w:name="_Toc151193914"/>
      <w:r/>
      <w:bookmarkStart w:id="205" w:name="_Toc264969216"/>
      <w:r/>
      <w:bookmarkStart w:id="206" w:name="_Toc151193840"/>
      <w:r/>
      <w:bookmarkStart w:id="207" w:name="_Toc127151526"/>
      <w:r/>
      <w:bookmarkStart w:id="208" w:name="_Toc226965716"/>
      <w:r/>
      <w:bookmarkStart w:id="209" w:name="_Toc195842891"/>
      <w:r/>
      <w:bookmarkStart w:id="210" w:name="_Toc226309770"/>
      <w:r/>
      <w:bookmarkStart w:id="211" w:name="_Toc226337222"/>
      <w:r/>
      <w:bookmarkStart w:id="212" w:name="_Toc151193624"/>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投标文件</w:t>
      </w:r>
      <w:bookmarkEnd w:id="190"/>
      <w:r>
        <w:rPr>
          <w:rFonts w:hint="eastAsia" w:ascii="宋体" w:hAnsi="宋体" w:eastAsia="宋体" w:cs="Times New Roman"/>
          <w:b/>
          <w:bCs/>
          <w:color w:val="000000"/>
          <w:sz w:val="28"/>
          <w:szCs w:val="28"/>
          <w:highlight w:val="none"/>
          <w:lang w:val="en-US" w:eastAsia="zh-CN"/>
        </w:rPr>
        <w:t xml:space="preserve">的编制</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213" w:name="_Toc226309771"/>
      <w:r/>
      <w:bookmarkStart w:id="214" w:name="_Toc164229368"/>
      <w:r/>
      <w:bookmarkStart w:id="215" w:name="_Toc164608796"/>
      <w:r/>
      <w:bookmarkStart w:id="216" w:name="_Toc226965717"/>
      <w:r/>
      <w:bookmarkStart w:id="217" w:name="_Toc150774627"/>
      <w:r/>
      <w:bookmarkStart w:id="218" w:name="_Toc195842892"/>
      <w:r/>
      <w:bookmarkStart w:id="219" w:name="_Toc151193625"/>
      <w:r/>
      <w:bookmarkStart w:id="220" w:name="_Toc127151728"/>
      <w:r/>
      <w:bookmarkStart w:id="221" w:name="_Toc150774732"/>
      <w:r/>
      <w:bookmarkStart w:id="222" w:name="_Toc226337223"/>
      <w:r/>
      <w:bookmarkStart w:id="223" w:name="_Toc164608641"/>
      <w:r/>
      <w:bookmarkStart w:id="224" w:name="_Toc164229222"/>
      <w:r/>
      <w:bookmarkStart w:id="225" w:name="_Toc516367021"/>
      <w:r/>
      <w:bookmarkStart w:id="226" w:name="_Toc151193915"/>
      <w:r/>
      <w:bookmarkStart w:id="227" w:name="_Toc150509278"/>
      <w:r/>
      <w:bookmarkStart w:id="228" w:name="_Toc305158869"/>
      <w:r/>
      <w:bookmarkStart w:id="229" w:name="_Toc127161441"/>
      <w:r/>
      <w:bookmarkStart w:id="230" w:name="_Toc305158795"/>
      <w:r/>
      <w:bookmarkStart w:id="231" w:name="_Toc226965800"/>
      <w:r/>
      <w:bookmarkStart w:id="232" w:name="_Toc151190154"/>
      <w:r/>
      <w:bookmarkStart w:id="233" w:name="_Toc127151527"/>
      <w:r/>
      <w:bookmarkStart w:id="234" w:name="_Toc151193769"/>
      <w:r/>
      <w:bookmarkStart w:id="235" w:name="_Toc520356151"/>
      <w:r/>
      <w:bookmarkStart w:id="236" w:name="_Toc265228365"/>
      <w:r/>
      <w:bookmarkStart w:id="237" w:name="_Toc164351621"/>
      <w:r/>
      <w:bookmarkStart w:id="238" w:name="_Toc151193841"/>
      <w:r/>
      <w:bookmarkStart w:id="239" w:name="_Toc149720820"/>
      <w:r/>
      <w:bookmarkStart w:id="240" w:name="_Toc151193697"/>
      <w:r/>
      <w:bookmarkStart w:id="241" w:name="_Toc264969217"/>
      <w:r/>
      <w:bookmarkStart w:id="242" w:name="_Toc142311029"/>
      <w:r/>
      <w:bookmarkStart w:id="243" w:name="_Toc150480765"/>
      <w:r>
        <w:rPr>
          <w:rFonts w:hint="eastAsia" w:ascii="宋体" w:hAnsi="宋体" w:eastAsia="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color w:val="000000"/>
          <w:sz w:val="24"/>
          <w:highlight w:val="none"/>
        </w:rPr>
        <w:t xml:space="preserve">及投标语言</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highlight w:val="none"/>
        </w:rPr>
        <w:t xml:space="preserve">无效投标</w:t>
      </w:r>
      <w:r>
        <w:rPr>
          <w:rFonts w:hint="eastAsia" w:ascii="宋体" w:hAnsi="宋体" w:eastAsia="宋体" w:cs="宋体"/>
          <w:color w:val="000000"/>
          <w:sz w:val="24"/>
          <w:highlight w:val="none"/>
        </w:rPr>
        <w:t xml:space="preserve">。</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除招标文件有特殊要求外，本项目投标所使用的计量单位，应采用中华人民共和国法定计量单位。</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244" w:name="_Ref467306195"/>
      <w:r/>
      <w:bookmarkStart w:id="245" w:name="_Ref467306676"/>
      <w:r/>
      <w:bookmarkStart w:id="246" w:name="_Toc516367022"/>
      <w:r/>
      <w:bookmarkStart w:id="247" w:name="_Toc149720821"/>
      <w:r/>
      <w:bookmarkStart w:id="248" w:name="_Toc127161442"/>
      <w:r/>
      <w:bookmarkStart w:id="249" w:name="_Toc151193770"/>
      <w:r/>
      <w:bookmarkStart w:id="250" w:name="_Toc164608642"/>
      <w:r/>
      <w:bookmarkStart w:id="251" w:name="_Toc264969218"/>
      <w:r/>
      <w:bookmarkStart w:id="252" w:name="_Toc127151528"/>
      <w:r/>
      <w:bookmarkStart w:id="253" w:name="_Toc150480766"/>
      <w:r/>
      <w:bookmarkStart w:id="254" w:name="_Toc150509279"/>
      <w:r/>
      <w:bookmarkStart w:id="255" w:name="_Toc150774628"/>
      <w:r/>
      <w:bookmarkStart w:id="256" w:name="_Toc127151729"/>
      <w:r/>
      <w:bookmarkStart w:id="257" w:name="_Toc265228366"/>
      <w:r/>
      <w:bookmarkStart w:id="258" w:name="_Toc151193698"/>
      <w:r/>
      <w:bookmarkStart w:id="259" w:name="_Toc226337224"/>
      <w:r/>
      <w:bookmarkStart w:id="260" w:name="_Toc305158796"/>
      <w:r/>
      <w:bookmarkStart w:id="261" w:name="_Toc305158870"/>
      <w:r/>
      <w:bookmarkStart w:id="262" w:name="_Toc164608797"/>
      <w:r/>
      <w:bookmarkStart w:id="263" w:name="_Toc151190155"/>
      <w:r/>
      <w:bookmarkStart w:id="264" w:name="_Toc226965718"/>
      <w:r/>
      <w:bookmarkStart w:id="265" w:name="_Toc150774733"/>
      <w:r/>
      <w:bookmarkStart w:id="266" w:name="_Toc151193842"/>
      <w:r/>
      <w:bookmarkStart w:id="267" w:name="_Toc226965801"/>
      <w:r/>
      <w:bookmarkStart w:id="268" w:name="_Toc195842893"/>
      <w:r/>
      <w:bookmarkStart w:id="269" w:name="_Toc164229223"/>
      <w:r/>
      <w:bookmarkStart w:id="270" w:name="_Toc142311030"/>
      <w:r/>
      <w:bookmarkStart w:id="271" w:name="_Toc151193916"/>
      <w:r/>
      <w:bookmarkStart w:id="272" w:name="_Toc164229369"/>
      <w:r/>
      <w:bookmarkStart w:id="273" w:name="_Toc151193626"/>
      <w:r/>
      <w:bookmarkStart w:id="274" w:name="_Toc164351622"/>
      <w:r/>
      <w:bookmarkStart w:id="275" w:name="_Toc226309772"/>
      <w:r/>
      <w:bookmarkStart w:id="276" w:name="_Toc520356152"/>
      <w:r>
        <w:rPr>
          <w:rFonts w:hint="eastAsia" w:ascii="宋体" w:hAnsi="宋体" w:eastAsia="宋体" w:cs="宋体"/>
          <w:color w:val="000000"/>
          <w:sz w:val="24"/>
          <w:highlight w:val="none"/>
        </w:rPr>
        <w:t xml:space="preserve">投标文件</w:t>
      </w:r>
      <w:bookmarkEnd w:id="244"/>
      <w:r/>
      <w:bookmarkEnd w:id="245"/>
      <w:r/>
      <w:bookmarkEnd w:id="246"/>
      <w:r>
        <w:rPr>
          <w:rFonts w:hint="eastAsia" w:ascii="宋体" w:hAnsi="宋体" w:eastAsia="宋体" w:cs="宋体"/>
          <w:color w:val="000000"/>
          <w:sz w:val="24"/>
          <w:highlight w:val="none"/>
        </w:rPr>
        <w:t xml:space="preserve">构成</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bookmarkStart w:id="277" w:name="_Ref467052588"/>
      <w:r>
        <w:rPr>
          <w:rFonts w:hint="eastAsia" w:ascii="宋体" w:hAnsi="宋体" w:eastAsia="宋体" w:cs="宋体"/>
          <w:color w:val="000000"/>
          <w:sz w:val="24"/>
          <w:highlight w:val="none"/>
        </w:rPr>
        <w:t xml:space="preserve">投标人应当按照招标文件的要求编制投标文件。投标文件应由《资格证明文件》、《</w:t>
      </w:r>
      <w:r>
        <w:rPr>
          <w:rFonts w:hint="eastAsia" w:ascii="宋体" w:hAnsi="宋体" w:eastAsia="宋体" w:cs="宋体"/>
          <w:color w:val="000000"/>
          <w:sz w:val="24"/>
          <w:highlight w:val="none"/>
          <w:lang w:eastAsia="zh-CN"/>
        </w:rPr>
        <w:t xml:space="preserve">商务技术文件</w:t>
      </w:r>
      <w:r>
        <w:rPr>
          <w:rFonts w:hint="eastAsia" w:ascii="宋体" w:hAnsi="宋体" w:eastAsia="宋体" w:cs="宋体"/>
          <w:color w:val="000000"/>
          <w:sz w:val="24"/>
          <w:highlight w:val="none"/>
        </w:rPr>
        <w:t xml:space="preserve">》两部分构成。投标文件的部分格式要求，见第七章《投标文件格式》。</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第四章《评标程序、评标方法和评标标准》中涉及的证明文件。</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投标人认为应附的其他材料。</w:t>
      </w:r>
      <w:bookmarkEnd w:id="277"/>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278" w:name="_Toc195842895"/>
      <w:r/>
      <w:bookmarkStart w:id="279" w:name="_Toc151193844"/>
      <w:r/>
      <w:bookmarkStart w:id="280" w:name="_Toc164608799"/>
      <w:r/>
      <w:bookmarkStart w:id="281" w:name="_Toc151193628"/>
      <w:r/>
      <w:bookmarkStart w:id="282" w:name="_Toc127151530"/>
      <w:r/>
      <w:bookmarkStart w:id="283" w:name="_Toc164229225"/>
      <w:r/>
      <w:bookmarkStart w:id="284" w:name="_Toc164229371"/>
      <w:r/>
      <w:bookmarkStart w:id="285" w:name="_Toc149720823"/>
      <w:r/>
      <w:bookmarkStart w:id="286" w:name="_Toc151190157"/>
      <w:r/>
      <w:bookmarkStart w:id="287" w:name="_Toc150509281"/>
      <w:r/>
      <w:bookmarkStart w:id="288" w:name="_Toc151193772"/>
      <w:r/>
      <w:bookmarkStart w:id="289" w:name="_Toc127151731"/>
      <w:r/>
      <w:bookmarkStart w:id="290" w:name="_Toc150774630"/>
      <w:r/>
      <w:bookmarkStart w:id="291" w:name="_Toc150480768"/>
      <w:r/>
      <w:bookmarkStart w:id="292" w:name="_Toc520356155"/>
      <w:r/>
      <w:bookmarkStart w:id="293" w:name="_Toc142311032"/>
      <w:r/>
      <w:bookmarkStart w:id="294" w:name="_Toc151193918"/>
      <w:r/>
      <w:bookmarkStart w:id="295" w:name="_Toc127161444"/>
      <w:r/>
      <w:bookmarkStart w:id="296" w:name="_Toc164351624"/>
      <w:r/>
      <w:bookmarkStart w:id="297" w:name="_Toc150774735"/>
      <w:r/>
      <w:bookmarkStart w:id="298" w:name="_Toc151193700"/>
      <w:r/>
      <w:bookmarkStart w:id="299" w:name="_Toc164608644"/>
      <w:r>
        <w:rPr>
          <w:rFonts w:hint="eastAsia" w:ascii="宋体" w:hAnsi="宋体" w:eastAsia="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所有投标均以人民币报价。</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投标人的报价应包括为完成本项目所发生的一切费用和税费，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将不再支付报价以外的任何费用。投标人的报价应包括但不限于下列内容，《投标人须知资料表》中有特殊规定的，从其规定。</w:t>
      </w:r>
      <w:r/>
    </w:p>
    <w:p>
      <w:pPr>
        <w:numPr>
          <w:ilvl w:val="2"/>
          <w:numId w:val="8"/>
        </w:numPr>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投标货物及标准附件、备品备件、专用工具等的出厂价和运至最终目的地的运输费和保险费，检验、</w:t>
      </w:r>
      <w:r>
        <w:rPr>
          <w:rFonts w:hint="eastAsia" w:ascii="宋体" w:hAnsi="宋体" w:eastAsia="宋体" w:cs="宋体"/>
          <w:color w:val="000000"/>
          <w:sz w:val="24"/>
          <w:highlight w:val="none"/>
          <w:lang w:val="en-US" w:eastAsia="zh-CN"/>
        </w:rPr>
        <w:t xml:space="preserve">安装、调试、测试、</w:t>
      </w:r>
      <w:r>
        <w:rPr>
          <w:rFonts w:hint="eastAsia" w:ascii="宋体" w:hAnsi="宋体" w:eastAsia="宋体" w:cs="宋体"/>
          <w:color w:val="000000"/>
          <w:sz w:val="24"/>
          <w:highlight w:val="none"/>
        </w:rPr>
        <w:t xml:space="preserve">技术服务、培训、质量保证、售后服务、税费等按照招标文件要求完成本项目的全部相关费用；</w:t>
      </w:r>
      <w:r/>
    </w:p>
    <w:p>
      <w:pPr>
        <w:numPr>
          <w:ilvl w:val="2"/>
          <w:numId w:val="8"/>
        </w:numPr>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按照招标文件要求完成本项目的全部相关费用。 </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索要或者接受其给予的赠品、回扣或者与采购无关的其他商品、服务。</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投标人不能提供任何有选择性或可调整的报价，否则其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300" w:name="_Toc127161445"/>
      <w:r/>
      <w:bookmarkStart w:id="301" w:name="_Toc142311033"/>
      <w:r/>
      <w:bookmarkStart w:id="302" w:name="_Toc127151732"/>
      <w:r/>
      <w:bookmarkStart w:id="303" w:name="_Toc164608800"/>
      <w:r/>
      <w:bookmarkStart w:id="304" w:name="_Toc164229372"/>
      <w:r/>
      <w:bookmarkStart w:id="305" w:name="_Toc150774736"/>
      <w:r/>
      <w:bookmarkStart w:id="306" w:name="_Toc150509282"/>
      <w:r/>
      <w:bookmarkStart w:id="307" w:name="_Ref467306513"/>
      <w:r/>
      <w:bookmarkStart w:id="308" w:name="_Toc195842896"/>
      <w:r/>
      <w:bookmarkStart w:id="309" w:name="_Toc151193773"/>
      <w:r/>
      <w:bookmarkStart w:id="310" w:name="_Toc151193629"/>
      <w:r/>
      <w:bookmarkStart w:id="311" w:name="_Toc151193845"/>
      <w:r/>
      <w:bookmarkStart w:id="312" w:name="_Toc127151531"/>
      <w:r/>
      <w:bookmarkStart w:id="313" w:name="_Toc226309775"/>
      <w:r/>
      <w:bookmarkStart w:id="314" w:name="_Toc305158873"/>
      <w:r/>
      <w:bookmarkStart w:id="315" w:name="_Toc264969221"/>
      <w:r/>
      <w:bookmarkStart w:id="316" w:name="_Toc149720824"/>
      <w:r/>
      <w:bookmarkStart w:id="317" w:name="_Toc151193919"/>
      <w:r/>
      <w:bookmarkStart w:id="318" w:name="_Toc150480769"/>
      <w:r/>
      <w:bookmarkStart w:id="319" w:name="_Toc150774631"/>
      <w:r/>
      <w:bookmarkStart w:id="320" w:name="_Toc164351625"/>
      <w:r/>
      <w:bookmarkStart w:id="321" w:name="_Toc226337227"/>
      <w:r/>
      <w:bookmarkStart w:id="322" w:name="_Toc226965721"/>
      <w:r/>
      <w:bookmarkStart w:id="323" w:name="_Toc226965804"/>
      <w:r/>
      <w:bookmarkStart w:id="324" w:name="_Toc520356156"/>
      <w:r/>
      <w:bookmarkStart w:id="325" w:name="_Toc151190158"/>
      <w:r/>
      <w:bookmarkStart w:id="326" w:name="_Toc265228369"/>
      <w:r/>
      <w:bookmarkStart w:id="327" w:name="_Toc164229226"/>
      <w:r/>
      <w:bookmarkStart w:id="328" w:name="_Toc164608645"/>
      <w:r/>
      <w:bookmarkStart w:id="329" w:name="_Toc151193701"/>
      <w:r/>
      <w:bookmarkStart w:id="330" w:name="_Toc305158799"/>
      <w:r>
        <w:rPr>
          <w:rFonts w:hint="eastAsia" w:ascii="宋体" w:hAnsi="宋体" w:eastAsia="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left="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根据江苏省和常州市的相关文件规定，免收投标保证金。</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331" w:name="_Toc151193846"/>
      <w:r/>
      <w:bookmarkStart w:id="332" w:name="_Toc226337228"/>
      <w:r/>
      <w:bookmarkStart w:id="333" w:name="_Toc151193920"/>
      <w:r/>
      <w:bookmarkStart w:id="334" w:name="_Toc150774632"/>
      <w:r/>
      <w:bookmarkStart w:id="335" w:name="_Toc226965722"/>
      <w:r/>
      <w:bookmarkStart w:id="336" w:name="_Toc164351626"/>
      <w:r/>
      <w:bookmarkStart w:id="337" w:name="_Toc127161446"/>
      <w:r/>
      <w:bookmarkStart w:id="338" w:name="_Toc151193774"/>
      <w:r/>
      <w:bookmarkStart w:id="339" w:name="_Toc151190159"/>
      <w:r/>
      <w:bookmarkStart w:id="340" w:name="_Toc195842897"/>
      <w:r/>
      <w:bookmarkStart w:id="341" w:name="_Toc127151733"/>
      <w:r/>
      <w:bookmarkStart w:id="342" w:name="_Toc305158800"/>
      <w:r/>
      <w:bookmarkStart w:id="343" w:name="_Toc164229373"/>
      <w:r/>
      <w:bookmarkStart w:id="344" w:name="_Toc149720825"/>
      <w:r/>
      <w:bookmarkStart w:id="345" w:name="_Toc150480770"/>
      <w:r/>
      <w:bookmarkStart w:id="346" w:name="_Toc127151532"/>
      <w:r/>
      <w:bookmarkStart w:id="347" w:name="_Toc142311034"/>
      <w:r/>
      <w:bookmarkStart w:id="348" w:name="_Toc305158874"/>
      <w:r/>
      <w:bookmarkStart w:id="349" w:name="_Toc150509283"/>
      <w:r/>
      <w:bookmarkStart w:id="350" w:name="_Toc226965805"/>
      <w:r/>
      <w:bookmarkStart w:id="351" w:name="_Toc164229227"/>
      <w:r/>
      <w:bookmarkStart w:id="352" w:name="_Toc226309776"/>
      <w:r/>
      <w:bookmarkStart w:id="353" w:name="_Toc520356157"/>
      <w:r/>
      <w:bookmarkStart w:id="354" w:name="_Toc151193702"/>
      <w:r/>
      <w:bookmarkStart w:id="355" w:name="_Toc150774737"/>
      <w:r/>
      <w:bookmarkStart w:id="356" w:name="_Toc265228370"/>
      <w:r/>
      <w:bookmarkStart w:id="357" w:name="_Toc151193630"/>
      <w:r/>
      <w:bookmarkStart w:id="358" w:name="_Toc164608646"/>
      <w:r/>
      <w:bookmarkStart w:id="359" w:name="_Toc164608801"/>
      <w:r/>
      <w:bookmarkStart w:id="360" w:name="_Toc264969222"/>
      <w:r>
        <w:rPr>
          <w:rFonts w:hint="eastAsia" w:ascii="宋体" w:hAnsi="宋体" w:eastAsia="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投标文件的签署、加盖公章</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bookmarkStart w:id="361" w:name="_Toc151193632"/>
      <w:r/>
      <w:bookmarkStart w:id="362" w:name="_Toc226965724"/>
      <w:r/>
      <w:bookmarkStart w:id="363" w:name="_Toc226337230"/>
      <w:r/>
      <w:bookmarkStart w:id="364" w:name="_Toc305158802"/>
      <w:r/>
      <w:bookmarkStart w:id="365" w:name="_Toc265228372"/>
      <w:r/>
      <w:bookmarkStart w:id="366" w:name="_Toc150774739"/>
      <w:r/>
      <w:bookmarkStart w:id="367" w:name="_Toc150774634"/>
      <w:r/>
      <w:bookmarkStart w:id="368" w:name="_Toc226965807"/>
      <w:r/>
      <w:bookmarkStart w:id="369" w:name="_Toc264969224"/>
      <w:r/>
      <w:bookmarkStart w:id="370" w:name="_Toc151190161"/>
      <w:r/>
      <w:bookmarkStart w:id="371" w:name="_Toc150509285"/>
      <w:r/>
      <w:bookmarkStart w:id="372" w:name="_Toc195842899"/>
      <w:r/>
      <w:bookmarkStart w:id="373" w:name="_Toc127151534"/>
      <w:r/>
      <w:bookmarkStart w:id="374" w:name="_Toc305158876"/>
      <w:r/>
      <w:bookmarkStart w:id="375" w:name="_Toc151193704"/>
      <w:r/>
      <w:bookmarkStart w:id="376" w:name="_Toc150480772"/>
      <w:r/>
      <w:bookmarkStart w:id="377" w:name="_Toc151193848"/>
      <w:r/>
      <w:bookmarkStart w:id="378" w:name="_Toc151193776"/>
      <w:r/>
      <w:bookmarkStart w:id="379" w:name="_Toc520356159"/>
      <w:r/>
      <w:bookmarkStart w:id="380" w:name="_Toc142311036"/>
      <w:r/>
      <w:bookmarkStart w:id="381" w:name="_Toc151193922"/>
      <w:r/>
      <w:bookmarkStart w:id="382" w:name="_Toc226309778"/>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383" w:name="_Toc164229230"/>
      <w:r/>
      <w:bookmarkStart w:id="384" w:name="_Toc149720828"/>
      <w:r/>
      <w:bookmarkStart w:id="385" w:name="_Toc151193849"/>
      <w:r/>
      <w:bookmarkStart w:id="386" w:name="_Toc127161449"/>
      <w:r/>
      <w:bookmarkStart w:id="387" w:name="_Toc226309779"/>
      <w:r/>
      <w:bookmarkStart w:id="388" w:name="_Toc151193705"/>
      <w:r/>
      <w:bookmarkStart w:id="389" w:name="_Toc151193923"/>
      <w:r/>
      <w:bookmarkStart w:id="390" w:name="_Toc264969225"/>
      <w:r/>
      <w:bookmarkStart w:id="391" w:name="_Toc305158877"/>
      <w:r/>
      <w:bookmarkStart w:id="392" w:name="_Toc226965808"/>
      <w:r/>
      <w:bookmarkStart w:id="393" w:name="_Toc164229376"/>
      <w:r/>
      <w:bookmarkStart w:id="394" w:name="_Toc195842900"/>
      <w:r/>
      <w:bookmarkStart w:id="395" w:name="_Toc151193633"/>
      <w:r/>
      <w:bookmarkStart w:id="396" w:name="_Toc127151736"/>
      <w:r/>
      <w:bookmarkStart w:id="397" w:name="_Toc151190162"/>
      <w:r/>
      <w:bookmarkStart w:id="398" w:name="_Toc226337231"/>
      <w:r/>
      <w:bookmarkStart w:id="399" w:name="_Toc150480773"/>
      <w:r/>
      <w:bookmarkStart w:id="400" w:name="_Toc150509286"/>
      <w:r/>
      <w:bookmarkStart w:id="401" w:name="_Toc151193777"/>
      <w:r/>
      <w:bookmarkStart w:id="402" w:name="_Toc150774740"/>
      <w:r/>
      <w:bookmarkStart w:id="403" w:name="_Toc142311037"/>
      <w:r/>
      <w:bookmarkStart w:id="404" w:name="_Toc226965725"/>
      <w:r/>
      <w:bookmarkStart w:id="405" w:name="_Toc164608804"/>
      <w:r/>
      <w:bookmarkStart w:id="406" w:name="_Toc127151535"/>
      <w:r/>
      <w:bookmarkStart w:id="407" w:name="_Toc164351629"/>
      <w:r/>
      <w:bookmarkStart w:id="408" w:name="_Toc150774635"/>
      <w:r/>
      <w:bookmarkStart w:id="409" w:name="_Toc265228373"/>
      <w:r/>
      <w:bookmarkStart w:id="410" w:name="_Toc520356160"/>
      <w:r/>
      <w:bookmarkStart w:id="411" w:name="_Toc164608649"/>
      <w:r/>
      <w:bookmarkStart w:id="412" w:name="_Toc305158803"/>
      <w:r>
        <w:rPr>
          <w:rFonts w:hint="eastAsia" w:ascii="宋体" w:hAnsi="宋体" w:eastAsia="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bookmarkStart w:id="413" w:name="_Toc226965809"/>
      <w:r/>
      <w:bookmarkStart w:id="414" w:name="_Toc151193850"/>
      <w:r/>
      <w:bookmarkStart w:id="415" w:name="_Toc150509287"/>
      <w:r/>
      <w:bookmarkStart w:id="416" w:name="_Toc142311038"/>
      <w:r/>
      <w:bookmarkStart w:id="417" w:name="_Toc164608805"/>
      <w:r/>
      <w:bookmarkStart w:id="418" w:name="_Toc226337232"/>
      <w:r/>
      <w:bookmarkStart w:id="419" w:name="_Toc150480774"/>
      <w:r/>
      <w:bookmarkStart w:id="420" w:name="_Toc265228374"/>
      <w:r/>
      <w:bookmarkStart w:id="421" w:name="_Toc151193706"/>
      <w:r/>
      <w:bookmarkStart w:id="422" w:name="_Toc151193924"/>
      <w:r/>
      <w:bookmarkStart w:id="423" w:name="_Toc127161450"/>
      <w:r/>
      <w:bookmarkStart w:id="424" w:name="_Toc151190163"/>
      <w:r/>
      <w:bookmarkStart w:id="425" w:name="_Toc151193778"/>
      <w:r/>
      <w:bookmarkStart w:id="426" w:name="_Toc164608650"/>
      <w:r/>
      <w:bookmarkStart w:id="427" w:name="_Toc226965726"/>
      <w:r/>
      <w:bookmarkStart w:id="428" w:name="_Toc164229231"/>
      <w:r/>
      <w:bookmarkStart w:id="429" w:name="_Toc151193634"/>
      <w:r/>
      <w:bookmarkStart w:id="430" w:name="_Toc264969226"/>
      <w:r/>
      <w:bookmarkStart w:id="431" w:name="_Toc305158804"/>
      <w:r/>
      <w:bookmarkStart w:id="432" w:name="_Toc164351630"/>
      <w:r/>
      <w:bookmarkStart w:id="433" w:name="_Toc195842901"/>
      <w:r/>
      <w:bookmarkStart w:id="434" w:name="_Toc305158878"/>
      <w:r/>
      <w:bookmarkStart w:id="435" w:name="_Toc520356161"/>
      <w:r/>
      <w:bookmarkStart w:id="436" w:name="_Toc150774741"/>
      <w:r/>
      <w:bookmarkStart w:id="437" w:name="_Toc164229377"/>
      <w:r/>
      <w:bookmarkStart w:id="438" w:name="_Toc226309780"/>
      <w:r/>
      <w:bookmarkStart w:id="439" w:name="_Toc127151536"/>
      <w:r/>
      <w:bookmarkStart w:id="440" w:name="_Toc150774636"/>
      <w:r/>
      <w:bookmarkStart w:id="441" w:name="_Toc127151737"/>
      <w:r/>
      <w:bookmarkStart w:id="442" w:name="_Toc149720829"/>
      <w:r>
        <w:rPr>
          <w:color w:val="000000"/>
          <w:sz w:val="24"/>
          <w:highlight w:val="none"/>
        </w:rPr>
        <w:t xml:space="preserve">本项目使用</w:t>
      </w:r>
      <w:r>
        <w:rPr>
          <w:rFonts w:hint="eastAsia"/>
          <w:color w:val="000000"/>
          <w:sz w:val="24"/>
          <w:highlight w:val="none"/>
          <w:lang w:eastAsia="zh-CN" w:bidi="ar"/>
        </w:rPr>
        <w:t xml:space="preserve">“苏采云”政府采购一体化平台</w:t>
      </w:r>
      <w:r>
        <w:rPr>
          <w:color w:val="000000"/>
          <w:sz w:val="24"/>
          <w:highlight w:val="none"/>
        </w:rPr>
        <w:t xml:space="preserve">。投标人根据招标文件及</w:t>
      </w:r>
      <w:r>
        <w:rPr>
          <w:rFonts w:hint="eastAsia"/>
          <w:color w:val="000000"/>
          <w:sz w:val="24"/>
          <w:highlight w:val="none"/>
          <w:lang w:eastAsia="zh-CN" w:bidi="ar"/>
        </w:rPr>
        <w:t xml:space="preserve">“苏采云”政府采购一体化平台</w:t>
      </w:r>
      <w:r>
        <w:rPr>
          <w:rFonts w:hint="eastAsia"/>
          <w:color w:val="000000"/>
          <w:sz w:val="24"/>
          <w:highlight w:val="none"/>
          <w:lang w:val="en-US" w:eastAsia="zh-CN"/>
        </w:rPr>
        <w:t xml:space="preserve">供应商</w:t>
      </w:r>
      <w:r>
        <w:rPr>
          <w:color w:val="000000"/>
          <w:sz w:val="24"/>
          <w:highlight w:val="none"/>
        </w:rPr>
        <w:t xml:space="preserve">操作手册要求编制、生成并提交电子投标文件。</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采购人及采购代理机构拒绝接受通过</w:t>
      </w:r>
      <w:r>
        <w:rPr>
          <w:rFonts w:hint="eastAsia"/>
          <w:color w:val="000000"/>
          <w:sz w:val="24"/>
          <w:highlight w:val="none"/>
          <w:lang w:eastAsia="zh-CN"/>
        </w:rPr>
        <w:t xml:space="preserve">“苏采云”政府采购一体化平台</w:t>
      </w:r>
      <w:r>
        <w:rPr>
          <w:color w:val="000000"/>
          <w:sz w:val="24"/>
          <w:highlight w:val="none"/>
        </w:rPr>
        <w:t xml:space="preserve">以外任何形式提交的投标文件。</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bookmarkStart w:id="443" w:name="_Toc164229378"/>
      <w:r/>
      <w:bookmarkStart w:id="444" w:name="_Toc151193779"/>
      <w:r/>
      <w:bookmarkStart w:id="445" w:name="_Toc264969227"/>
      <w:r/>
      <w:bookmarkStart w:id="446" w:name="_Toc151193635"/>
      <w:r/>
      <w:bookmarkStart w:id="447" w:name="_Toc226965810"/>
      <w:r/>
      <w:bookmarkStart w:id="448" w:name="_Toc226337233"/>
      <w:r/>
      <w:bookmarkStart w:id="449" w:name="_Toc127151537"/>
      <w:r/>
      <w:bookmarkStart w:id="450" w:name="_Toc164608651"/>
      <w:r/>
      <w:bookmarkStart w:id="451" w:name="_Toc195842902"/>
      <w:r/>
      <w:bookmarkStart w:id="452" w:name="_Toc226309781"/>
      <w:r/>
      <w:bookmarkStart w:id="453" w:name="_Toc150509288"/>
      <w:r/>
      <w:bookmarkStart w:id="454" w:name="_Toc151193851"/>
      <w:r/>
      <w:bookmarkStart w:id="455" w:name="_Toc164608806"/>
      <w:r/>
      <w:bookmarkStart w:id="456" w:name="_Toc226965727"/>
      <w:r/>
      <w:bookmarkStart w:id="457" w:name="_Toc520356162"/>
      <w:r/>
      <w:bookmarkStart w:id="458" w:name="_Toc127161451"/>
      <w:r/>
      <w:bookmarkStart w:id="459" w:name="_Toc151193707"/>
      <w:r/>
      <w:bookmarkStart w:id="460" w:name="_Toc151193925"/>
      <w:r/>
      <w:bookmarkStart w:id="461" w:name="_Toc150774637"/>
      <w:r/>
      <w:bookmarkStart w:id="462" w:name="_Toc305158879"/>
      <w:r/>
      <w:bookmarkStart w:id="463" w:name="_Toc150774742"/>
      <w:r/>
      <w:bookmarkStart w:id="464" w:name="_Toc151190164"/>
      <w:r/>
      <w:bookmarkStart w:id="465" w:name="_Toc164229232"/>
      <w:r/>
      <w:bookmarkStart w:id="466" w:name="_Toc150480775"/>
      <w:r/>
      <w:bookmarkStart w:id="467" w:name="_Toc149720830"/>
      <w:r/>
      <w:bookmarkStart w:id="468" w:name="_Toc142311039"/>
      <w:r/>
      <w:bookmarkStart w:id="469" w:name="_Toc305158805"/>
      <w:r/>
      <w:bookmarkStart w:id="470" w:name="_Toc265228375"/>
      <w:r/>
      <w:bookmarkStart w:id="471" w:name="_Toc164351631"/>
      <w:r/>
      <w:bookmarkStart w:id="472" w:name="_Toc127151738"/>
      <w:r>
        <w:rPr>
          <w:color w:val="000000"/>
          <w:sz w:val="24"/>
          <w:highlight w:val="none"/>
        </w:rPr>
        <w:t xml:space="preserve">投标人应在招标文件要求提交投标文件截止时间前，将电子投标文件提交至</w:t>
      </w:r>
      <w:r>
        <w:rPr>
          <w:rFonts w:hint="eastAsia"/>
          <w:color w:val="000000"/>
          <w:sz w:val="24"/>
          <w:highlight w:val="none"/>
          <w:lang w:eastAsia="zh-CN"/>
        </w:rPr>
        <w:t xml:space="preserve">“苏采云”政府采购一体化平台</w:t>
      </w:r>
      <w:r>
        <w:rPr>
          <w:color w:val="000000"/>
          <w:sz w:val="24"/>
          <w:highlight w:val="none"/>
        </w:rPr>
        <w:t xml:space="preserve">。</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投标截止时间前，投标人可以通过</w:t>
      </w:r>
      <w:r>
        <w:rPr>
          <w:rFonts w:hint="eastAsia"/>
          <w:color w:val="000000"/>
          <w:sz w:val="24"/>
          <w:highlight w:val="none"/>
          <w:lang w:eastAsia="zh-CN"/>
        </w:rPr>
        <w:t xml:space="preserve">“苏采云”政府采购一体化平台</w:t>
      </w:r>
      <w:r>
        <w:rPr>
          <w:color w:val="000000"/>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投标人对投标文件的补充、修改的内容应当按照招标文件要求签署、加盖公章，作为投标文件的组成部分。</w:t>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73" w:name="_Toc150509289"/>
      <w:r/>
      <w:bookmarkStart w:id="474" w:name="_Toc150774638"/>
      <w:r/>
      <w:bookmarkStart w:id="475" w:name="_Toc305158880"/>
      <w:r/>
      <w:bookmarkStart w:id="476" w:name="_Toc151193636"/>
      <w:r/>
      <w:bookmarkStart w:id="477" w:name="_Toc226337234"/>
      <w:r/>
      <w:bookmarkStart w:id="478" w:name="_Toc520356163"/>
      <w:r/>
      <w:bookmarkStart w:id="479" w:name="_Toc195842903"/>
      <w:r/>
      <w:bookmarkStart w:id="480" w:name="_Toc151193780"/>
      <w:r/>
      <w:bookmarkStart w:id="481" w:name="_Toc226965811"/>
      <w:r/>
      <w:bookmarkStart w:id="482" w:name="_Toc151190165"/>
      <w:r/>
      <w:bookmarkStart w:id="483" w:name="_Toc151193926"/>
      <w:r/>
      <w:bookmarkStart w:id="484" w:name="_Toc150774743"/>
      <w:r/>
      <w:bookmarkStart w:id="485" w:name="_Toc142311040"/>
      <w:r/>
      <w:bookmarkStart w:id="486" w:name="_Toc151193708"/>
      <w:r/>
      <w:bookmarkStart w:id="487" w:name="_Toc151193852"/>
      <w:r/>
      <w:bookmarkStart w:id="488" w:name="_Toc265228376"/>
      <w:r/>
      <w:bookmarkStart w:id="489" w:name="_Toc264969228"/>
      <w:r/>
      <w:bookmarkStart w:id="490" w:name="_Toc226309782"/>
      <w:r/>
      <w:bookmarkStart w:id="491" w:name="_Toc305158806"/>
      <w:r/>
      <w:bookmarkStart w:id="492" w:name="_Toc127151538"/>
      <w:r/>
      <w:bookmarkStart w:id="493" w:name="_Toc150480776"/>
      <w:r/>
      <w:bookmarkStart w:id="494" w:name="_Toc226965728"/>
      <w:r>
        <w:rPr>
          <w:rFonts w:hint="eastAsia" w:ascii="宋体" w:hAnsi="宋体" w:eastAsia="宋体" w:cs="Times New Roman"/>
          <w:b/>
          <w:bCs/>
          <w:color w:val="000000"/>
          <w:sz w:val="28"/>
          <w:szCs w:val="28"/>
          <w:highlight w:val="none"/>
          <w:lang w:val="en-US" w:eastAsia="zh-CN"/>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495" w:name="_Toc127151740"/>
      <w:r/>
      <w:bookmarkStart w:id="496" w:name="_Toc142311041"/>
      <w:r/>
      <w:bookmarkStart w:id="497" w:name="_Toc520356164"/>
      <w:r/>
      <w:bookmarkStart w:id="498" w:name="_Toc164608653"/>
      <w:r/>
      <w:bookmarkStart w:id="499" w:name="_Toc127151539"/>
      <w:r/>
      <w:bookmarkStart w:id="500" w:name="_Toc151193781"/>
      <w:r/>
      <w:bookmarkStart w:id="501" w:name="_Toc164229234"/>
      <w:r/>
      <w:bookmarkStart w:id="502" w:name="_Toc265228377"/>
      <w:r/>
      <w:bookmarkStart w:id="503" w:name="_Toc226337235"/>
      <w:r/>
      <w:bookmarkStart w:id="504" w:name="_Toc150774639"/>
      <w:r/>
      <w:bookmarkStart w:id="505" w:name="_Toc164351633"/>
      <w:r/>
      <w:bookmarkStart w:id="506" w:name="_Toc226965729"/>
      <w:r/>
      <w:bookmarkStart w:id="507" w:name="_Toc305158807"/>
      <w:r/>
      <w:bookmarkStart w:id="508" w:name="_Toc151193853"/>
      <w:r/>
      <w:bookmarkStart w:id="509" w:name="_Toc149720832"/>
      <w:r/>
      <w:bookmarkStart w:id="510" w:name="_Toc305158881"/>
      <w:r/>
      <w:bookmarkStart w:id="511" w:name="_Toc150774744"/>
      <w:r/>
      <w:bookmarkStart w:id="512" w:name="_Toc150509290"/>
      <w:r/>
      <w:bookmarkStart w:id="513" w:name="_Toc127161453"/>
      <w:r/>
      <w:bookmarkStart w:id="514" w:name="_Toc164229380"/>
      <w:r/>
      <w:bookmarkStart w:id="515" w:name="_Toc150480777"/>
      <w:r/>
      <w:bookmarkStart w:id="516" w:name="_Toc151190166"/>
      <w:r/>
      <w:bookmarkStart w:id="517" w:name="_Toc164608808"/>
      <w:r/>
      <w:bookmarkStart w:id="518" w:name="_Toc226965812"/>
      <w:r/>
      <w:bookmarkStart w:id="519" w:name="_Toc195842904"/>
      <w:r/>
      <w:bookmarkStart w:id="520" w:name="_Toc151193709"/>
      <w:r/>
      <w:bookmarkStart w:id="521" w:name="_Toc151193637"/>
      <w:r/>
      <w:bookmarkStart w:id="522" w:name="_Toc226309783"/>
      <w:r/>
      <w:bookmarkStart w:id="523" w:name="_Toc264969229"/>
      <w:r/>
      <w:bookmarkStart w:id="524" w:name="_Toc151193927"/>
      <w:r>
        <w:rPr>
          <w:rFonts w:hint="eastAsia" w:ascii="宋体" w:hAnsi="宋体" w:eastAsia="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开标过程将使用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outlineLvl w:val="9"/>
      </w:pPr>
      <w:r>
        <w:rPr>
          <w:color w:val="000000"/>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sz w:val="24"/>
          <w:highlight w:val="none"/>
        </w:rPr>
        <w:outlineLvl w:val="9"/>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lang w:eastAsia="zh-CN"/>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sz w:val="24"/>
          <w:highlight w:val="none"/>
        </w:rPr>
        <w:outlineLvl w:val="9"/>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sz w:val="24"/>
          <w:highlight w:val="none"/>
        </w:rPr>
        <w:outlineLvl w:val="9"/>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sz w:val="24"/>
          <w:highlight w:val="none"/>
        </w:rPr>
        <w:outlineLvl w:val="9"/>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000000"/>
          <w:sz w:val="24"/>
          <w:highlight w:val="none"/>
        </w:rPr>
        <w:outlineLvl w:val="9"/>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见第三章《资格审查》。</w:t>
      </w:r>
      <w:bookmarkEnd w:id="525"/>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bookmarkStart w:id="526" w:name="_Toc305158808"/>
      <w:r/>
      <w:bookmarkStart w:id="527" w:name="_Toc164608654"/>
      <w:r/>
      <w:bookmarkStart w:id="528" w:name="_Toc127151741"/>
      <w:r/>
      <w:bookmarkStart w:id="529" w:name="_Toc164351634"/>
      <w:r/>
      <w:bookmarkStart w:id="530" w:name="_Toc151193710"/>
      <w:r/>
      <w:bookmarkStart w:id="531" w:name="_Toc226965730"/>
      <w:r/>
      <w:bookmarkStart w:id="532" w:name="_Toc164608809"/>
      <w:r/>
      <w:bookmarkStart w:id="533" w:name="_Toc195842905"/>
      <w:r/>
      <w:bookmarkStart w:id="534" w:name="_Toc265228378"/>
      <w:r/>
      <w:bookmarkStart w:id="535" w:name="_Toc264969230"/>
      <w:r/>
      <w:bookmarkStart w:id="536" w:name="_Toc151190167"/>
      <w:r/>
      <w:bookmarkStart w:id="537" w:name="_Toc164229235"/>
      <w:r/>
      <w:bookmarkStart w:id="538" w:name="_Toc226337236"/>
      <w:r/>
      <w:bookmarkStart w:id="539" w:name="_Toc150774745"/>
      <w:r/>
      <w:bookmarkStart w:id="540" w:name="_Toc164229381"/>
      <w:r/>
      <w:bookmarkStart w:id="541" w:name="_Toc127151540"/>
      <w:r/>
      <w:bookmarkStart w:id="542" w:name="_Toc149720833"/>
      <w:r/>
      <w:bookmarkStart w:id="543" w:name="_Toc151193928"/>
      <w:r/>
      <w:bookmarkStart w:id="544" w:name="_Toc226965813"/>
      <w:r/>
      <w:bookmarkStart w:id="545" w:name="_Toc127161454"/>
      <w:r/>
      <w:bookmarkStart w:id="546" w:name="_Toc151193638"/>
      <w:r/>
      <w:bookmarkStart w:id="547" w:name="_Toc305158882"/>
      <w:r/>
      <w:bookmarkStart w:id="548" w:name="_Toc150480778"/>
      <w:r/>
      <w:bookmarkStart w:id="549" w:name="_Toc151193782"/>
      <w:r/>
      <w:bookmarkStart w:id="550" w:name="_Toc142311042"/>
      <w:r/>
      <w:bookmarkStart w:id="551" w:name="_Toc151193854"/>
      <w:r/>
      <w:bookmarkStart w:id="552" w:name="_Toc150509291"/>
      <w:r/>
      <w:bookmarkStart w:id="553" w:name="_Toc150774640"/>
      <w:r/>
      <w:bookmarkStart w:id="554" w:name="_Toc226309784"/>
      <w:r>
        <w:rPr>
          <w:rFonts w:hint="eastAsia" w:ascii="宋体" w:hAnsi="宋体" w:eastAsia="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评标程序、评标方法和评标标准</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见第四章《评标程序、评标方法和评标标准》。</w:t>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557" w:name="_Toc226337241"/>
      <w:r/>
      <w:bookmarkStart w:id="558" w:name="_Toc151193715"/>
      <w:r/>
      <w:bookmarkStart w:id="559" w:name="_Toc150509296"/>
      <w:r/>
      <w:bookmarkStart w:id="560" w:name="_Toc226965818"/>
      <w:r/>
      <w:bookmarkStart w:id="561" w:name="_Toc151193933"/>
      <w:r/>
      <w:bookmarkStart w:id="562" w:name="_Toc264969235"/>
      <w:r/>
      <w:bookmarkStart w:id="563" w:name="_Toc226309789"/>
      <w:r/>
      <w:bookmarkStart w:id="564" w:name="_Toc127151545"/>
      <w:r/>
      <w:bookmarkStart w:id="565" w:name="_Toc151193643"/>
      <w:r/>
      <w:bookmarkStart w:id="566" w:name="_Toc150774750"/>
      <w:r/>
      <w:bookmarkStart w:id="567" w:name="_Toc305158887"/>
      <w:r/>
      <w:bookmarkStart w:id="568" w:name="_Toc151193787"/>
      <w:r/>
      <w:bookmarkStart w:id="569" w:name="_Toc265228383"/>
      <w:r/>
      <w:bookmarkStart w:id="570" w:name="_Toc151190172"/>
      <w:r/>
      <w:bookmarkStart w:id="571" w:name="_Toc151193859"/>
      <w:r/>
      <w:bookmarkStart w:id="572" w:name="_Toc150480783"/>
      <w:r/>
      <w:bookmarkStart w:id="573" w:name="_Toc195842910"/>
      <w:r/>
      <w:bookmarkStart w:id="574" w:name="_Toc226965735"/>
      <w:r/>
      <w:bookmarkStart w:id="575" w:name="_Toc305158813"/>
      <w:r/>
      <w:bookmarkStart w:id="576" w:name="_Toc150774645"/>
      <w:r/>
      <w:bookmarkStart w:id="577" w:name="_Toc142311047"/>
      <w:r>
        <w:rPr>
          <w:rFonts w:hint="eastAsia" w:ascii="宋体" w:hAnsi="宋体" w:eastAsia="宋体" w:cs="Times New Roman"/>
          <w:b/>
          <w:bCs/>
          <w:color w:val="000000"/>
          <w:sz w:val="28"/>
          <w:szCs w:val="28"/>
          <w:highlight w:val="none"/>
          <w:lang w:val="en-US" w:eastAsia="zh-CN"/>
        </w:rPr>
        <w:t xml:space="preserve">六   </w:t>
      </w:r>
      <w:bookmarkEnd w:id="556"/>
      <w:r>
        <w:rPr>
          <w:rFonts w:hint="eastAsia" w:ascii="宋体" w:hAnsi="宋体" w:eastAsia="宋体" w:cs="Times New Roman"/>
          <w:b/>
          <w:bCs/>
          <w:color w:val="000000"/>
          <w:sz w:val="28"/>
          <w:szCs w:val="28"/>
          <w:highlight w:val="none"/>
          <w:lang w:val="en-US" w:eastAsia="zh-CN"/>
        </w:rPr>
        <w:t xml:space="preserve">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Start w:id="578" w:name="_Toc150509298"/>
      <w:r/>
      <w:bookmarkStart w:id="579" w:name="_Toc226965820"/>
      <w:r/>
      <w:bookmarkStart w:id="580" w:name="_Toc151193861"/>
      <w:r/>
      <w:bookmarkStart w:id="581" w:name="_Toc149720840"/>
      <w:r/>
      <w:bookmarkStart w:id="582" w:name="_Toc265228385"/>
      <w:r/>
      <w:bookmarkStart w:id="583" w:name="_Toc164608661"/>
      <w:r/>
      <w:bookmarkStart w:id="584" w:name="_Toc151190174"/>
      <w:r/>
      <w:bookmarkStart w:id="585" w:name="_Toc195842912"/>
      <w:r/>
      <w:bookmarkStart w:id="586" w:name="_Toc164608816"/>
      <w:r/>
      <w:bookmarkStart w:id="587" w:name="_Toc127161461"/>
      <w:r/>
      <w:bookmarkStart w:id="588" w:name="_Toc305158815"/>
      <w:r/>
      <w:bookmarkStart w:id="589" w:name="_Toc151193645"/>
      <w:r/>
      <w:bookmarkStart w:id="590" w:name="_Toc150480785"/>
      <w:r/>
      <w:bookmarkStart w:id="591" w:name="_Toc150774752"/>
      <w:r/>
      <w:bookmarkStart w:id="592" w:name="_Toc151193935"/>
      <w:r/>
      <w:bookmarkStart w:id="593" w:name="_Toc127151547"/>
      <w:r/>
      <w:bookmarkStart w:id="594" w:name="_Toc226309791"/>
      <w:r/>
      <w:bookmarkStart w:id="595" w:name="_Toc151193717"/>
      <w:r/>
      <w:bookmarkStart w:id="596" w:name="_Toc264969237"/>
      <w:r/>
      <w:bookmarkStart w:id="597" w:name="_Toc164229388"/>
      <w:r/>
      <w:bookmarkStart w:id="598" w:name="_Toc305158889"/>
      <w:r/>
      <w:bookmarkStart w:id="599" w:name="_Toc226337243"/>
      <w:r/>
      <w:bookmarkStart w:id="600" w:name="_Toc151193789"/>
      <w:r/>
      <w:bookmarkStart w:id="601" w:name="_Toc142311049"/>
      <w:r/>
      <w:bookmarkStart w:id="602" w:name="_Toc150774647"/>
      <w:r/>
      <w:bookmarkStart w:id="603" w:name="_Toc127151748"/>
      <w:r/>
      <w:bookmarkStart w:id="604" w:name="_Toc164351641"/>
      <w:r/>
      <w:bookmarkStart w:id="605" w:name="_Toc226965737"/>
      <w:r/>
      <w:bookmarkStart w:id="606" w:name="_Toc164229242"/>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确定中标人</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607" w:name="_Toc305158817"/>
      <w:r/>
      <w:bookmarkStart w:id="608" w:name="_Toc305158891"/>
      <w:r/>
      <w:bookmarkStart w:id="609" w:name="_Toc151193791"/>
      <w:r/>
      <w:bookmarkStart w:id="610" w:name="_Toc265228387"/>
      <w:r/>
      <w:bookmarkStart w:id="611" w:name="_Toc164608818"/>
      <w:r/>
      <w:bookmarkStart w:id="612" w:name="_Toc150480787"/>
      <w:r/>
      <w:bookmarkStart w:id="613" w:name="_Toc164608663"/>
      <w:r/>
      <w:bookmarkStart w:id="614" w:name="_Toc151193937"/>
      <w:r/>
      <w:bookmarkStart w:id="615" w:name="_Toc226965739"/>
      <w:r/>
      <w:bookmarkStart w:id="616" w:name="_Toc150774754"/>
      <w:r/>
      <w:bookmarkStart w:id="617" w:name="_Toc164351643"/>
      <w:r/>
      <w:bookmarkStart w:id="618" w:name="_Toc151193863"/>
      <w:r/>
      <w:bookmarkStart w:id="619" w:name="_Toc151193719"/>
      <w:r/>
      <w:bookmarkStart w:id="620" w:name="_Toc151190176"/>
      <w:r/>
      <w:bookmarkStart w:id="621" w:name="_Toc264969239"/>
      <w:r/>
      <w:bookmarkStart w:id="622" w:name="_Toc150774649"/>
      <w:r/>
      <w:bookmarkStart w:id="623" w:name="_Toc127161463"/>
      <w:r/>
      <w:bookmarkStart w:id="624" w:name="_Toc226337245"/>
      <w:r/>
      <w:bookmarkStart w:id="625" w:name="_Toc149720842"/>
      <w:r/>
      <w:bookmarkStart w:id="626" w:name="_Toc142311051"/>
      <w:r/>
      <w:bookmarkStart w:id="627" w:name="_Toc164229390"/>
      <w:r/>
      <w:bookmarkStart w:id="628" w:name="_Toc127151549"/>
      <w:r/>
      <w:bookmarkStart w:id="629" w:name="_Toc226965822"/>
      <w:r/>
      <w:bookmarkStart w:id="630" w:name="_Toc164229244"/>
      <w:r/>
      <w:bookmarkStart w:id="631" w:name="_Toc151193647"/>
      <w:r/>
      <w:bookmarkStart w:id="632" w:name="_Toc150509300"/>
      <w:r/>
      <w:bookmarkStart w:id="633" w:name="_Toc226309793"/>
      <w:r/>
      <w:bookmarkStart w:id="634" w:name="_Toc195842914"/>
      <w:r/>
      <w:bookmarkStart w:id="635" w:name="_Toc127151750"/>
      <w:r/>
      <w:bookmarkStart w:id="636" w:name="_Toc520356176"/>
      <w:r/>
      <w:bookmarkStart w:id="637" w:name="_Ref467307090"/>
      <w:r/>
      <w:bookmarkStart w:id="638" w:name="_Ref467306425"/>
      <w:r>
        <w:rPr>
          <w:rFonts w:hint="eastAsia" w:ascii="宋体" w:hAnsi="宋体" w:eastAsia="宋体" w:cs="宋体"/>
          <w:color w:val="000000"/>
          <w:sz w:val="24"/>
          <w:szCs w:val="24"/>
          <w:highlight w:val="none"/>
        </w:rPr>
        <w:t xml:space="preserve">中标公告与中标通知书</w:t>
      </w:r>
      <w:bookmarkEnd w:id="607"/>
      <w:r/>
      <w:bookmarkEnd w:id="608"/>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采购人或采购代理机构自中标人确定之日起2个工作日内，在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常州市政府采购网和江苏尚阳工程管理有限公司网公告中标结果，同时向中标人发出中标通知书，中标公告期限为1个工作日。</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中标通知书对采购人和中标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均具有法律效力。中标通知书发出后，采购人改变中标结果的，或者中标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放弃中标项目的，应当依法承担法律责任。</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在招标采购中，出现下列情形之一的，应予废标：</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符合专业条件的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或者对招标文件作实质响应的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不足三家的；</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投标人的报价均超过了采购预算，采购人不能支付的；</w:t>
      </w:r>
      <w:r/>
    </w:p>
    <w:p>
      <w:pPr>
        <w:numPr>
          <w:ilvl w:val="2"/>
          <w:numId w:val="8"/>
        </w:numPr>
        <w:spacing w:line="360" w:lineRule="auto"/>
        <w:rPr>
          <w:color w:val="000000"/>
          <w:sz w:val="24"/>
          <w:highlight w:val="none"/>
        </w:rPr>
        <w:outlineLvl w:val="9"/>
      </w:pPr>
      <w:r>
        <w:rPr>
          <w:rFonts w:hint="eastAsia" w:ascii="宋体" w:hAnsi="宋体" w:eastAsia="宋体" w:cs="宋体"/>
          <w:color w:val="000000"/>
          <w:sz w:val="24"/>
          <w:szCs w:val="24"/>
          <w:highlight w:val="none"/>
        </w:rPr>
        <w:t xml:space="preserve">因重大变故，采购任务取消的。</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废标后，采购人将废标理由通知所有投标人。</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639" w:name="_Ref467306978"/>
      <w:r/>
      <w:bookmarkStart w:id="640" w:name="_Toc150774755"/>
      <w:r/>
      <w:bookmarkStart w:id="641" w:name="_Toc164351644"/>
      <w:r/>
      <w:bookmarkStart w:id="642" w:name="_Toc226965740"/>
      <w:r/>
      <w:bookmarkStart w:id="643" w:name="_Toc305158892"/>
      <w:r/>
      <w:bookmarkStart w:id="644" w:name="_Ref467307204"/>
      <w:r/>
      <w:bookmarkStart w:id="645" w:name="_Toc150480788"/>
      <w:r/>
      <w:bookmarkStart w:id="646" w:name="_Toc226309794"/>
      <w:r/>
      <w:bookmarkStart w:id="647" w:name="_Toc164608819"/>
      <w:r/>
      <w:bookmarkStart w:id="648" w:name="_Toc150509301"/>
      <w:r/>
      <w:bookmarkStart w:id="649" w:name="_Toc142311052"/>
      <w:r/>
      <w:bookmarkStart w:id="650" w:name="_Toc264969240"/>
      <w:r/>
      <w:bookmarkStart w:id="651" w:name="_Toc127161464"/>
      <w:r/>
      <w:bookmarkStart w:id="652" w:name="_Ref467306377"/>
      <w:r/>
      <w:bookmarkStart w:id="653" w:name="_Toc164229391"/>
      <w:r/>
      <w:bookmarkStart w:id="654" w:name="_Toc151193792"/>
      <w:r/>
      <w:bookmarkStart w:id="655" w:name="_Toc164608664"/>
      <w:r/>
      <w:bookmarkStart w:id="656" w:name="_Toc149720843"/>
      <w:r/>
      <w:bookmarkStart w:id="657" w:name="_Ref467307062"/>
      <w:r/>
      <w:bookmarkStart w:id="658" w:name="_Toc195842915"/>
      <w:r/>
      <w:bookmarkStart w:id="659" w:name="_Toc151193864"/>
      <w:r/>
      <w:bookmarkStart w:id="660" w:name="_Toc151193648"/>
      <w:r/>
      <w:bookmarkStart w:id="661" w:name="_Toc150774650"/>
      <w:r/>
      <w:bookmarkStart w:id="662" w:name="_Toc164229245"/>
      <w:r/>
      <w:bookmarkStart w:id="663" w:name="_Toc127151751"/>
      <w:r/>
      <w:bookmarkStart w:id="664" w:name="_Toc520356175"/>
      <w:r/>
      <w:bookmarkStart w:id="665" w:name="_Toc151193938"/>
      <w:r/>
      <w:bookmarkStart w:id="666" w:name="_Toc226337246"/>
      <w:r/>
      <w:bookmarkStart w:id="667" w:name="_Toc127151550"/>
      <w:r/>
      <w:bookmarkStart w:id="668" w:name="_Toc265228388"/>
      <w:r/>
      <w:bookmarkStart w:id="669" w:name="_Toc151190177"/>
      <w:r/>
      <w:bookmarkStart w:id="670" w:name="_Toc151193720"/>
      <w:r/>
      <w:bookmarkStart w:id="671" w:name="_Toc226965823"/>
      <w:r/>
      <w:bookmarkStart w:id="672" w:name="_Toc305158818"/>
      <w:r>
        <w:rPr>
          <w:rFonts w:hint="eastAsia" w:ascii="宋体" w:hAnsi="宋体" w:eastAsia="宋体" w:cs="宋体"/>
          <w:color w:val="000000"/>
          <w:sz w:val="24"/>
          <w:szCs w:val="24"/>
          <w:highlight w:val="none"/>
        </w:rPr>
        <w:t xml:space="preserve">签订合同</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投标文件作实质性修改。</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本项目的非主体、非关键性工作是否允许分包，见《投标人须知资料表》。</w:t>
      </w:r>
      <w:bookmarkEnd w:id="636"/>
      <w:bookmarkEnd w:id="637"/>
      <w:bookmarkEnd w:id="638"/>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询问与质疑</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依法提出的询问，在3个工作日内作出答复，但答复的内容不得涉及商业秘密。</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162"/>
          <w:rFonts w:hint="eastAsia" w:ascii="宋体" w:hAnsi="宋体" w:eastAsia="宋体" w:cs="宋体"/>
          <w:color w:val="000000"/>
          <w:sz w:val="24"/>
          <w:szCs w:val="24"/>
          <w:highlight w:val="none"/>
        </w:rPr>
        <w:t xml:space="preserve">http://gk</w:t>
      </w:r>
      <w:bookmarkStart w:id="673" w:name="_Hlt100654014"/>
      <w:r>
        <w:rPr>
          <w:rStyle w:val="1162"/>
          <w:rFonts w:hint="eastAsia" w:ascii="宋体" w:hAnsi="宋体" w:eastAsia="宋体" w:cs="宋体"/>
          <w:color w:val="000000"/>
          <w:sz w:val="24"/>
          <w:szCs w:val="24"/>
          <w:highlight w:val="none"/>
        </w:rPr>
        <w:t xml:space="preserve">s</w:t>
      </w:r>
      <w:bookmarkEnd w:id="673"/>
      <w:r>
        <w:rPr>
          <w:rStyle w:val="1162"/>
          <w:rFonts w:hint="eastAsia" w:ascii="宋体" w:hAnsi="宋体" w:eastAsia="宋体" w:cs="宋体"/>
          <w:color w:val="000000"/>
          <w:sz w:val="24"/>
          <w:szCs w:val="24"/>
          <w:highlight w:val="none"/>
        </w:rPr>
        <w:t xml:space="preserve">.m</w:t>
      </w:r>
      <w:bookmarkStart w:id="674" w:name="_Hlt100653994"/>
      <w:r/>
      <w:bookmarkStart w:id="675" w:name="_Hlt100653993"/>
      <w:r>
        <w:rPr>
          <w:rStyle w:val="1162"/>
          <w:rFonts w:hint="eastAsia" w:ascii="宋体" w:hAnsi="宋体" w:eastAsia="宋体" w:cs="宋体"/>
          <w:color w:val="000000"/>
          <w:sz w:val="24"/>
          <w:szCs w:val="24"/>
          <w:highlight w:val="none"/>
        </w:rPr>
        <w:t xml:space="preserve">o</w:t>
      </w:r>
      <w:bookmarkEnd w:id="674"/>
      <w:r/>
      <w:bookmarkEnd w:id="675"/>
      <w:r>
        <w:rPr>
          <w:rStyle w:val="1162"/>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接收询问和质疑的联系部门、联系电话和通讯地址见《投标人须知资料表》。</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b/>
          <w:color w:val="000000"/>
          <w:sz w:val="36"/>
          <w:szCs w:val="36"/>
          <w:highlight w:val="none"/>
        </w:rPr>
        <w:outlineLvl w:val="0"/>
      </w:pPr>
      <w:r/>
      <w:bookmarkStart w:id="676" w:name="_Toc353825544"/>
      <w:r/>
      <w:bookmarkStart w:id="677" w:name="_Toc127151554"/>
      <w:r/>
      <w:bookmarkStart w:id="678" w:name="_Toc353873664"/>
      <w:r/>
      <w:bookmarkStart w:id="679" w:name="_Toc264969244"/>
      <w:r/>
      <w:bookmarkStart w:id="680" w:name="_Toc305158822"/>
      <w:r/>
      <w:bookmarkStart w:id="681" w:name="_Toc150774759"/>
      <w:r/>
      <w:bookmarkStart w:id="682" w:name="_Toc265228392"/>
      <w:r/>
      <w:bookmarkStart w:id="683" w:name="_Toc226337250"/>
      <w:r/>
      <w:bookmarkStart w:id="684" w:name="_Toc353873934"/>
      <w:r/>
      <w:bookmarkStart w:id="685" w:name="_Toc142311056"/>
      <w:r/>
      <w:bookmarkStart w:id="686" w:name="_Toc226965827"/>
      <w:r/>
      <w:bookmarkStart w:id="687" w:name="_Toc305158896"/>
      <w:r/>
      <w:bookmarkStart w:id="688" w:name="_Toc150480792"/>
      <w:r/>
      <w:bookmarkStart w:id="689" w:name="_Toc4348"/>
      <w:r>
        <w:rPr>
          <w:b/>
          <w:color w:val="000000"/>
          <w:sz w:val="36"/>
          <w:szCs w:val="36"/>
          <w:highlight w:val="none"/>
        </w:rPr>
        <w:t xml:space="preserve">第三章   </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Pr>
          <w:b/>
          <w:color w:val="000000"/>
          <w:sz w:val="36"/>
          <w:szCs w:val="36"/>
          <w:highlight w:val="none"/>
        </w:rPr>
        <w:t xml:space="preserve">资格审查</w:t>
      </w:r>
      <w:bookmarkEnd w:id="689"/>
      <w:r/>
      <w:bookmarkStart w:id="690" w:name="_Toc487900382"/>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691" w:name="_Toc99301422"/>
      <w:r>
        <w:rPr>
          <w:rFonts w:hint="eastAsia" w:ascii="宋体" w:hAnsi="宋体" w:eastAsia="宋体" w:cs="Times New Roman"/>
          <w:b/>
          <w:bCs/>
          <w:color w:val="000000"/>
          <w:sz w:val="28"/>
          <w:szCs w:val="28"/>
          <w:highlight w:val="none"/>
          <w:lang w:val="en-US" w:eastAsia="zh-CN"/>
        </w:rPr>
        <w:t xml:space="preserve">一、资格审查程序</w:t>
      </w:r>
      <w:bookmarkEnd w:id="691"/>
      <w:r/>
      <w:r/>
    </w:p>
    <w:p>
      <w:pPr>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p>
    <w:p>
      <w:pPr>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《资格审查要求》中对格式有要求的，除招标文件另有规定外，均为“实质性格式”文件。</w:t>
      </w:r>
      <w:r/>
    </w:p>
    <w:p>
      <w:pPr>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0"/>
          <w:numId w:val="11"/>
        </w:numPr>
        <w:ind w:left="425" w:hanging="425"/>
        <w:keepLines w:val="0"/>
        <w:keepNext w:val="0"/>
        <w:pageBreakBefore w:val="0"/>
        <w:spacing w:line="360" w:lineRule="auto"/>
        <w:widowControl w:val="off"/>
        <w:tabs>
          <w:tab w:val="left" w:pos="426" w:leader="none"/>
          <w:tab w:val="left" w:pos="85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资格审查合格的投标人不足3家的，不进行评标。</w:t>
      </w:r>
      <w:r/>
    </w:p>
    <w:p>
      <w:pPr>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二、资格审查要求</w:t>
      </w:r>
      <w:r/>
    </w:p>
    <w:tbl>
      <w:tblPr>
        <w:tblStyle w:val="91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jc w:val="center"/>
              <w:tabs>
                <w:tab w:val="left" w:pos="1080" w:leader="none"/>
              </w:tabs>
              <w:rPr>
                <w:b/>
                <w:color w:val="000000"/>
                <w:sz w:val="24"/>
                <w:highlight w:val="none"/>
              </w:rPr>
              <w:outlineLvl w:val="9"/>
            </w:pPr>
            <w:r/>
            <w:bookmarkStart w:id="692" w:name="_Hlt487972895"/>
            <w:r/>
            <w:bookmarkEnd w:id="692"/>
            <w:r>
              <w:rPr>
                <w:b/>
                <w:color w:val="000000"/>
                <w:sz w:val="24"/>
                <w:highlight w:val="none"/>
              </w:rPr>
              <w:t xml:space="preserve">序号</w:t>
            </w:r>
            <w:r/>
          </w:p>
        </w:tc>
        <w:tc>
          <w:tcPr>
            <w:tcW w:w="1982" w:type="dxa"/>
            <w:vAlign w:val="center"/>
            <w:textDirection w:val="lrTb"/>
            <w:noWrap w:val="false"/>
          </w:tcPr>
          <w:p>
            <w:pPr>
              <w:jc w:val="center"/>
              <w:tabs>
                <w:tab w:val="left" w:pos="1080" w:leader="none"/>
              </w:tabs>
              <w:rPr>
                <w:b/>
                <w:color w:val="000000"/>
                <w:sz w:val="24"/>
                <w:highlight w:val="none"/>
              </w:rPr>
              <w:outlineLvl w:val="9"/>
            </w:pPr>
            <w:r>
              <w:rPr>
                <w:b/>
                <w:color w:val="000000"/>
                <w:sz w:val="24"/>
                <w:highlight w:val="none"/>
              </w:rPr>
              <w:t xml:space="preserve">审查因素</w:t>
            </w:r>
            <w:r/>
          </w:p>
        </w:tc>
        <w:tc>
          <w:tcPr>
            <w:tcW w:w="4822" w:type="dxa"/>
            <w:vAlign w:val="center"/>
            <w:textDirection w:val="lrTb"/>
            <w:noWrap w:val="false"/>
          </w:tcPr>
          <w:p>
            <w:pPr>
              <w:jc w:val="center"/>
              <w:tabs>
                <w:tab w:val="left" w:pos="1080" w:leader="none"/>
              </w:tabs>
              <w:rPr>
                <w:b/>
                <w:color w:val="000000"/>
                <w:sz w:val="24"/>
                <w:highlight w:val="none"/>
              </w:rPr>
              <w:outlineLvl w:val="9"/>
            </w:pPr>
            <w:r>
              <w:rPr>
                <w:b/>
                <w:color w:val="000000"/>
                <w:sz w:val="24"/>
                <w:highlight w:val="none"/>
              </w:rPr>
              <w:t xml:space="preserve">审查内容</w:t>
            </w:r>
            <w:r/>
          </w:p>
        </w:tc>
        <w:tc>
          <w:tcPr>
            <w:tcW w:w="1638" w:type="dxa"/>
            <w:vAlign w:val="center"/>
            <w:textDirection w:val="lrTb"/>
            <w:noWrap w:val="false"/>
          </w:tcPr>
          <w:p>
            <w:pPr>
              <w:jc w:val="center"/>
              <w:tabs>
                <w:tab w:val="left" w:pos="1080" w:leader="none"/>
              </w:tabs>
              <w:rPr>
                <w:b/>
                <w:color w:val="000000"/>
                <w:sz w:val="24"/>
                <w:highlight w:val="none"/>
              </w:rPr>
              <w:outlineLvl w:val="9"/>
            </w:pPr>
            <w:r>
              <w:rPr>
                <w:b/>
                <w:color w:val="000000"/>
                <w:sz w:val="24"/>
                <w:highlight w:val="none"/>
              </w:rPr>
              <w:t xml:space="preserve">格式要求</w:t>
            </w:r>
            <w:r/>
          </w:p>
        </w:tc>
      </w:tr>
      <w:tr>
        <w:trPr>
          <w:cantSplit/>
          <w:trHeight w:val="468"/>
        </w:trPr>
        <w:tc>
          <w:tcPr>
            <w:tcW w:w="846" w:type="dxa"/>
            <w:vAlign w:val="center"/>
            <w:textDirection w:val="lrTb"/>
            <w:noWrap w:val="false"/>
          </w:tcPr>
          <w:p>
            <w:pPr>
              <w:jc w:val="center"/>
              <w:tabs>
                <w:tab w:val="left" w:pos="1080" w:leader="none"/>
              </w:tabs>
              <w:rPr>
                <w:color w:val="000000"/>
                <w:sz w:val="24"/>
                <w:highlight w:val="none"/>
              </w:rPr>
              <w:outlineLvl w:val="9"/>
            </w:pPr>
            <w:r>
              <w:rPr>
                <w:color w:val="000000"/>
                <w:sz w:val="24"/>
                <w:highlight w:val="none"/>
              </w:rPr>
              <w:t xml:space="preserve">1</w:t>
            </w:r>
            <w:r/>
          </w:p>
        </w:tc>
        <w:tc>
          <w:tcPr>
            <w:tcW w:w="198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具体规定见第一章《投标邀请》</w:t>
            </w:r>
            <w:r/>
          </w:p>
        </w:tc>
        <w:tc>
          <w:tcPr>
            <w:tcW w:w="1638" w:type="dxa"/>
            <w:vAlign w:val="center"/>
            <w:textDirection w:val="lrTb"/>
            <w:noWrap w:val="false"/>
          </w:tcPr>
          <w:p>
            <w:pPr>
              <w:tabs>
                <w:tab w:val="left" w:pos="1080" w:leader="none"/>
              </w:tabs>
              <w:rPr>
                <w:color w:val="000000"/>
                <w:sz w:val="24"/>
                <w:highlight w:val="none"/>
              </w:rPr>
              <w:outlineLvl w:val="9"/>
            </w:pPr>
            <w:r>
              <w:rPr>
                <w:color w:val="000000"/>
                <w:sz w:val="24"/>
                <w:highlight w:val="none"/>
              </w:rPr>
            </w:r>
            <w:r/>
          </w:p>
        </w:tc>
      </w:tr>
      <w:tr>
        <w:trPr>
          <w:cantSplit/>
          <w:trHeight w:val="312"/>
        </w:trPr>
        <w:tc>
          <w:tcPr>
            <w:tcW w:w="846" w:type="dxa"/>
            <w:vAlign w:val="center"/>
            <w:textDirection w:val="lrTb"/>
            <w:noWrap w:val="false"/>
          </w:tcPr>
          <w:p>
            <w:pPr>
              <w:jc w:val="center"/>
              <w:tabs>
                <w:tab w:val="left" w:pos="1080" w:leader="none"/>
              </w:tabs>
              <w:rPr>
                <w:color w:val="000000"/>
                <w:sz w:val="24"/>
                <w:highlight w:val="none"/>
              </w:rPr>
              <w:outlineLvl w:val="9"/>
            </w:pPr>
            <w:r>
              <w:rPr>
                <w:color w:val="000000"/>
                <w:sz w:val="24"/>
                <w:highlight w:val="none"/>
              </w:rPr>
              <w:t xml:space="preserve">1</w:t>
            </w:r>
            <w:r>
              <w:rPr>
                <w:rFonts w:hint="eastAsia"/>
                <w:color w:val="000000"/>
                <w:sz w:val="24"/>
                <w:highlight w:val="none"/>
              </w:rPr>
              <w:t xml:space="preserve">-1</w:t>
            </w:r>
            <w:r/>
          </w:p>
        </w:tc>
        <w:tc>
          <w:tcPr>
            <w:tcW w:w="1982" w:type="dxa"/>
            <w:vAlign w:val="center"/>
            <w:textDirection w:val="lrTb"/>
            <w:noWrap w:val="false"/>
          </w:tcPr>
          <w:p>
            <w:pPr>
              <w:tabs>
                <w:tab w:val="left" w:pos="1080" w:leader="none"/>
              </w:tabs>
              <w:rPr>
                <w:color w:val="000000"/>
                <w:sz w:val="24"/>
                <w:highlight w:val="none"/>
              </w:rPr>
              <w:outlineLvl w:val="9"/>
            </w:pPr>
            <w:r>
              <w:rPr>
                <w:rFonts w:hint="eastAsia"/>
                <w:color w:val="000000"/>
                <w:sz w:val="24"/>
                <w:highlight w:val="none"/>
              </w:rPr>
              <w:t xml:space="preserve">投标人资格声明函</w:t>
            </w:r>
            <w:r/>
          </w:p>
        </w:tc>
        <w:tc>
          <w:tcPr>
            <w:tcW w:w="482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p>
        </w:tc>
        <w:tc>
          <w:tcPr>
            <w:tcW w:w="1638"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格式见《投标文件格式》</w:t>
            </w:r>
            <w:r/>
          </w:p>
        </w:tc>
      </w:tr>
      <w:tr>
        <w:trPr>
          <w:cantSplit/>
          <w:trHeight w:val="468"/>
        </w:trPr>
        <w:tc>
          <w:tcPr>
            <w:tcW w:w="846" w:type="dxa"/>
            <w:vAlign w:val="center"/>
            <w:textDirection w:val="lrTb"/>
            <w:noWrap w:val="false"/>
          </w:tcPr>
          <w:p>
            <w:pPr>
              <w:jc w:val="center"/>
              <w:tabs>
                <w:tab w:val="left" w:pos="1080" w:leader="none"/>
              </w:tabs>
              <w:rPr>
                <w:color w:val="000000"/>
                <w:sz w:val="24"/>
                <w:highlight w:val="none"/>
              </w:rPr>
              <w:outlineLvl w:val="9"/>
            </w:pPr>
            <w:r>
              <w:rPr>
                <w:rFonts w:hint="eastAsia"/>
                <w:color w:val="000000"/>
                <w:sz w:val="24"/>
                <w:highlight w:val="none"/>
              </w:rPr>
              <w:t xml:space="preserve">1-2</w:t>
            </w:r>
            <w:r/>
          </w:p>
        </w:tc>
        <w:tc>
          <w:tcPr>
            <w:tcW w:w="198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投标人信用记录</w:t>
            </w:r>
            <w:r/>
          </w:p>
        </w:tc>
        <w:tc>
          <w:tcPr>
            <w:tcW w:w="482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p>
          <w:p>
            <w:pPr>
              <w:tabs>
                <w:tab w:val="left" w:pos="900" w:leader="none"/>
                <w:tab w:val="left" w:pos="1980" w:leader="none"/>
              </w:tabs>
              <w:rPr>
                <w:color w:val="000000"/>
                <w:sz w:val="24"/>
                <w:highlight w:val="none"/>
              </w:rPr>
              <w:outlineLvl w:val="9"/>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p>
          <w:p>
            <w:pPr>
              <w:tabs>
                <w:tab w:val="left" w:pos="900" w:leader="none"/>
                <w:tab w:val="left" w:pos="1980" w:leader="none"/>
              </w:tabs>
              <w:rPr>
                <w:color w:val="000000"/>
                <w:sz w:val="24"/>
                <w:highlight w:val="none"/>
              </w:rPr>
              <w:outlineLvl w:val="9"/>
            </w:pPr>
            <w:r>
              <w:rPr>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color w:val="000000"/>
                <w:sz w:val="24"/>
                <w:highlight w:val="none"/>
              </w:rPr>
              <w:outlineLvl w:val="9"/>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p>
        </w:tc>
        <w:tc>
          <w:tcPr>
            <w:tcW w:w="1638"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无须投标人提供，由采购人</w:t>
            </w:r>
            <w:r>
              <w:rPr>
                <w:rFonts w:hint="eastAsia" w:ascii="宋体" w:hAnsi="宋体" w:eastAsia="宋体" w:cs="宋体"/>
                <w:color w:val="000000"/>
                <w:sz w:val="24"/>
                <w:highlight w:val="none"/>
              </w:rPr>
              <w:t xml:space="preserve">查询。</w:t>
            </w:r>
            <w:r/>
          </w:p>
        </w:tc>
      </w:tr>
      <w:tr>
        <w:trPr>
          <w:cantSplit/>
          <w:trHeight w:val="468"/>
        </w:trPr>
        <w:tc>
          <w:tcPr>
            <w:tcW w:w="846" w:type="dxa"/>
            <w:vAlign w:val="center"/>
            <w:textDirection w:val="lrTb"/>
            <w:noWrap w:val="false"/>
          </w:tcPr>
          <w:p>
            <w:pPr>
              <w:jc w:val="center"/>
              <w:tabs>
                <w:tab w:val="left" w:pos="1080" w:leader="none"/>
              </w:tabs>
              <w:rPr>
                <w:rFonts w:hint="eastAsia"/>
                <w:color w:val="000000"/>
                <w:sz w:val="24"/>
                <w:highlight w:val="none"/>
              </w:rPr>
              <w:outlineLvl w:val="9"/>
            </w:pPr>
            <w:r/>
            <w:bookmarkStart w:id="693" w:name="_Toc127161490"/>
            <w:r/>
            <w:bookmarkStart w:id="694" w:name="_Toc353873940"/>
            <w:r/>
            <w:bookmarkStart w:id="695" w:name="_Toc353825550"/>
            <w:r/>
            <w:bookmarkStart w:id="696" w:name="_Toc226965858"/>
            <w:r/>
            <w:bookmarkStart w:id="697" w:name="_Toc127151779"/>
            <w:r>
              <w:rPr>
                <w:rFonts w:hint="eastAsia"/>
                <w:color w:val="000000"/>
                <w:sz w:val="24"/>
                <w:highlight w:val="none"/>
                <w:lang w:val="en-US" w:eastAsia="zh-CN"/>
              </w:rPr>
              <w:t xml:space="preserve">2</w:t>
            </w:r>
            <w:r/>
          </w:p>
        </w:tc>
        <w:tc>
          <w:tcPr>
            <w:tcW w:w="198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本项目的特定资格要求</w:t>
            </w:r>
            <w:r/>
          </w:p>
        </w:tc>
        <w:tc>
          <w:tcPr>
            <w:tcW w:w="482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见第一章《投标邀请》</w:t>
            </w:r>
            <w:r/>
          </w:p>
        </w:tc>
        <w:tc>
          <w:tcPr>
            <w:tcW w:w="1638" w:type="dxa"/>
            <w:vAlign w:val="center"/>
            <w:textDirection w:val="lrTb"/>
            <w:noWrap w:val="false"/>
          </w:tcPr>
          <w:p>
            <w:pPr>
              <w:tabs>
                <w:tab w:val="left" w:pos="1080" w:leader="none"/>
              </w:tabs>
              <w:rPr>
                <w:color w:val="000000"/>
                <w:sz w:val="24"/>
                <w:highlight w:val="none"/>
              </w:rPr>
              <w:outlineLvl w:val="9"/>
            </w:pPr>
            <w:r>
              <w:rPr>
                <w:color w:val="000000"/>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hint="eastAsia"/>
                <w:color w:val="000000"/>
                <w:sz w:val="24"/>
                <w:highlight w:val="none"/>
              </w:rPr>
              <w:outlineLvl w:val="9"/>
            </w:pPr>
            <w:r>
              <w:rPr>
                <w:rFonts w:hint="eastAsia"/>
                <w:color w:val="000000"/>
                <w:sz w:val="24"/>
                <w:highlight w:val="none"/>
                <w:lang w:val="en-US" w:eastAsia="zh-CN"/>
              </w:rPr>
              <w:t xml:space="preserve">2-1</w:t>
            </w:r>
            <w:r/>
          </w:p>
        </w:tc>
        <w:tc>
          <w:tcPr>
            <w:tcW w:w="198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其他特定资格要求</w:t>
            </w:r>
            <w:r/>
          </w:p>
        </w:tc>
        <w:tc>
          <w:tcPr>
            <w:tcW w:w="4822"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见第一章《投标邀请》</w:t>
            </w:r>
            <w:r/>
          </w:p>
        </w:tc>
        <w:tc>
          <w:tcPr>
            <w:tcW w:w="1638" w:type="dxa"/>
            <w:vAlign w:val="center"/>
            <w:textDirection w:val="lrTb"/>
            <w:noWrap w:val="false"/>
          </w:tcPr>
          <w:p>
            <w:pPr>
              <w:tabs>
                <w:tab w:val="left" w:pos="1080" w:leader="none"/>
              </w:tabs>
              <w:rPr>
                <w:color w:val="000000"/>
                <w:sz w:val="24"/>
                <w:highlight w:val="none"/>
              </w:rPr>
              <w:outlineLvl w:val="9"/>
            </w:pPr>
            <w:r>
              <w:rPr>
                <w:color w:val="000000"/>
                <w:sz w:val="24"/>
                <w:highlight w:val="none"/>
              </w:rPr>
              <w:t xml:space="preserve">提供</w:t>
            </w:r>
            <w:r>
              <w:rPr>
                <w:rFonts w:hint="eastAsia"/>
                <w:color w:val="000000"/>
                <w:sz w:val="24"/>
                <w:highlight w:val="none"/>
                <w:lang w:val="en-US" w:eastAsia="zh-CN"/>
              </w:rPr>
              <w:t xml:space="preserve">证书</w:t>
            </w:r>
            <w:r>
              <w:rPr>
                <w:color w:val="000000"/>
                <w:sz w:val="24"/>
                <w:highlight w:val="none"/>
              </w:rPr>
              <w:t xml:space="preserve">的电子件或电子证照</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90"/>
            <w:r/>
          </w:p>
        </w:tc>
      </w:tr>
    </w:tbl>
    <w:p>
      <w:pPr>
        <w:pStyle w:val="1117"/>
        <w:rPr>
          <w:rFonts w:hint="eastAsia"/>
          <w:color w:val="000000"/>
          <w:highlight w:val="none"/>
        </w:rPr>
      </w:pPr>
      <w:r>
        <w:rPr>
          <w:rFonts w:hint="eastAsia"/>
          <w:color w:val="000000"/>
          <w:highlight w:val="none"/>
        </w:rPr>
      </w:r>
      <w:r/>
    </w:p>
    <w:p>
      <w:pPr>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jc w:val="center"/>
        <w:widowControl/>
        <w:rPr>
          <w:b/>
          <w:color w:val="000000"/>
          <w:sz w:val="36"/>
          <w:szCs w:val="36"/>
          <w:highlight w:val="none"/>
        </w:rPr>
        <w:outlineLvl w:val="0"/>
      </w:pPr>
      <w:r/>
      <w:bookmarkStart w:id="698" w:name="_Toc3485"/>
      <w:r>
        <w:rPr>
          <w:b/>
          <w:color w:val="000000"/>
          <w:sz w:val="36"/>
          <w:szCs w:val="36"/>
          <w:highlight w:val="none"/>
        </w:rPr>
        <w:t xml:space="preserve">第四章   </w:t>
      </w:r>
      <w:bookmarkEnd w:id="693"/>
      <w:r/>
      <w:bookmarkEnd w:id="694"/>
      <w:r/>
      <w:bookmarkEnd w:id="695"/>
      <w:r/>
      <w:bookmarkEnd w:id="696"/>
      <w:r/>
      <w:bookmarkEnd w:id="697"/>
      <w:r/>
      <w:bookmarkStart w:id="699" w:name="_Hlt164229061"/>
      <w:r/>
      <w:bookmarkEnd w:id="699"/>
      <w:r>
        <w:rPr>
          <w:b/>
          <w:color w:val="000000"/>
          <w:sz w:val="36"/>
          <w:szCs w:val="36"/>
          <w:highlight w:val="none"/>
        </w:rPr>
        <w:t xml:space="preserve">评标程序、评标方法和评标标准</w:t>
      </w:r>
      <w:bookmarkEnd w:id="698"/>
      <w:r/>
      <w:r/>
    </w:p>
    <w:p>
      <w:pPr>
        <w:jc w:val="center"/>
        <w:spacing w:line="360" w:lineRule="auto"/>
        <w:tabs>
          <w:tab w:val="left" w:pos="360" w:leader="none"/>
          <w:tab w:val="left" w:pos="900" w:leader="none"/>
        </w:tabs>
        <w:rPr>
          <w:b/>
          <w:color w:val="000000"/>
          <w:highlight w:val="none"/>
        </w:rPr>
        <w:outlineLvl w:val="9"/>
      </w:pPr>
      <w:r>
        <w:rPr>
          <w:b/>
          <w:color w:val="000000"/>
          <w:sz w:val="24"/>
          <w:highlight w:val="none"/>
        </w:rPr>
        <w:t xml:space="preserve">一、评标</w:t>
      </w:r>
      <w:r>
        <w:rPr>
          <w:rFonts w:hint="eastAsia"/>
          <w:b/>
          <w:color w:val="000000"/>
          <w:sz w:val="24"/>
          <w:highlight w:val="none"/>
        </w:rPr>
        <w:t xml:space="preserve">程序</w:t>
      </w:r>
      <w:r/>
    </w:p>
    <w:p>
      <w:pPr>
        <w:numPr>
          <w:ilvl w:val="0"/>
          <w:numId w:val="12"/>
        </w:numPr>
        <w:spacing w:line="360" w:lineRule="auto"/>
        <w:tabs>
          <w:tab w:val="left" w:pos="360" w:leader="none"/>
        </w:tabs>
        <w:rPr>
          <w:color w:val="000000"/>
          <w:sz w:val="24"/>
          <w:highlight w:val="none"/>
        </w:rPr>
        <w:outlineLvl w:val="9"/>
      </w:pPr>
      <w:r/>
      <w:bookmarkStart w:id="700" w:name="_Toc164608655"/>
      <w:r/>
      <w:bookmarkStart w:id="701" w:name="_Toc151193783"/>
      <w:r/>
      <w:bookmarkStart w:id="702" w:name="_Toc164351635"/>
      <w:r/>
      <w:bookmarkStart w:id="703" w:name="_Toc226965814"/>
      <w:r/>
      <w:bookmarkStart w:id="704" w:name="_Toc226309785"/>
      <w:r/>
      <w:bookmarkStart w:id="705" w:name="_Toc151193855"/>
      <w:r/>
      <w:bookmarkStart w:id="706" w:name="_Toc127161455"/>
      <w:r/>
      <w:bookmarkStart w:id="707" w:name="_Toc151190168"/>
      <w:r/>
      <w:bookmarkStart w:id="708" w:name="_Toc142311043"/>
      <w:r/>
      <w:bookmarkStart w:id="709" w:name="_Toc305158883"/>
      <w:r/>
      <w:bookmarkStart w:id="710" w:name="_Toc164229382"/>
      <w:r/>
      <w:bookmarkStart w:id="711" w:name="_Toc264969231"/>
      <w:r/>
      <w:bookmarkStart w:id="712" w:name="_Toc151193711"/>
      <w:r/>
      <w:bookmarkStart w:id="713" w:name="_Toc226965731"/>
      <w:r/>
      <w:bookmarkStart w:id="714" w:name="_Toc151193929"/>
      <w:r/>
      <w:bookmarkStart w:id="715" w:name="_Toc195842906"/>
      <w:r/>
      <w:bookmarkStart w:id="716" w:name="_Toc150774746"/>
      <w:r/>
      <w:bookmarkStart w:id="717" w:name="_Toc265228379"/>
      <w:r/>
      <w:bookmarkStart w:id="718" w:name="_Toc226337237"/>
      <w:r/>
      <w:bookmarkStart w:id="719" w:name="_Toc149720834"/>
      <w:r/>
      <w:bookmarkStart w:id="720" w:name="_Toc150774641"/>
      <w:r/>
      <w:bookmarkStart w:id="721" w:name="_Toc164608810"/>
      <w:r/>
      <w:bookmarkStart w:id="722" w:name="_Toc151193639"/>
      <w:r/>
      <w:bookmarkStart w:id="723" w:name="_Toc127151541"/>
      <w:r/>
      <w:bookmarkStart w:id="724" w:name="_Toc127151742"/>
      <w:r/>
      <w:bookmarkStart w:id="725" w:name="_Toc164229236"/>
      <w:r/>
      <w:bookmarkStart w:id="726" w:name="_Toc150480779"/>
      <w:r/>
      <w:bookmarkStart w:id="727" w:name="_Toc150509292"/>
      <w:r/>
      <w:bookmarkStart w:id="728" w:name="_Toc305158809"/>
      <w:r/>
      <w:bookmarkStart w:id="729" w:name="_Toc353873941"/>
      <w:r/>
      <w:bookmarkStart w:id="730" w:name="_Toc353825551"/>
      <w:r/>
      <w:bookmarkStart w:id="731" w:name="_Toc353873665"/>
      <w:r/>
      <w:bookmarkStart w:id="732" w:name="_Toc150480793"/>
      <w:r/>
      <w:bookmarkStart w:id="733" w:name="_Toc195842920"/>
      <w:r/>
      <w:bookmarkStart w:id="734" w:name="_Toc127151555"/>
      <w:r/>
      <w:bookmarkStart w:id="735" w:name="_Toc305158897"/>
      <w:r/>
      <w:bookmarkStart w:id="736" w:name="_Toc353873935"/>
      <w:r/>
      <w:bookmarkStart w:id="737" w:name="_Toc226965828"/>
      <w:r/>
      <w:bookmarkStart w:id="738" w:name="_Toc226337251"/>
      <w:r/>
      <w:bookmarkStart w:id="739" w:name="_Toc150774760"/>
      <w:r/>
      <w:bookmarkStart w:id="740" w:name="_Toc264969245"/>
      <w:r/>
      <w:bookmarkStart w:id="741" w:name="_Toc265228393"/>
      <w:r/>
      <w:bookmarkStart w:id="742" w:name="_Toc353825545"/>
      <w:r/>
      <w:bookmarkStart w:id="743" w:name="_Toc305158823"/>
      <w:r/>
      <w:bookmarkStart w:id="744" w:name="_Toc142311057"/>
      <w:r>
        <w:rPr>
          <w:color w:val="000000"/>
          <w:sz w:val="24"/>
          <w:highlight w:val="none"/>
        </w:rPr>
        <w:t xml:space="preserve">投标文件的符合性审查</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
    </w:p>
    <w:p>
      <w:pPr>
        <w:numPr>
          <w:ilvl w:val="1"/>
          <w:numId w:val="12"/>
        </w:numPr>
        <w:ind w:left="1077" w:hanging="720"/>
        <w:spacing w:line="360" w:lineRule="auto"/>
        <w:tabs>
          <w:tab w:val="left" w:pos="1080" w:leader="none"/>
        </w:tabs>
        <w:rPr>
          <w:color w:val="000000"/>
          <w:sz w:val="24"/>
          <w:highlight w:val="none"/>
        </w:rPr>
        <w:outlineLvl w:val="9"/>
      </w:pPr>
      <w:r>
        <w:rPr>
          <w:color w:val="000000"/>
          <w:sz w:val="24"/>
          <w:highlight w:val="none"/>
        </w:rPr>
        <w:t xml:space="preserve">评标委员会对资格审查合格的投标人的投标文件进行符合性审查，以确定其是否满足招标文件的实质性要求。</w:t>
      </w:r>
      <w:bookmarkStart w:id="745" w:name="_Toc520356167"/>
      <w:r/>
      <w:r/>
    </w:p>
    <w:p>
      <w:pPr>
        <w:numPr>
          <w:ilvl w:val="1"/>
          <w:numId w:val="12"/>
        </w:numPr>
        <w:ind w:left="1077" w:hanging="720"/>
        <w:spacing w:line="360" w:lineRule="auto"/>
        <w:tabs>
          <w:tab w:val="left" w:pos="1080" w:leader="none"/>
        </w:tabs>
        <w:rPr>
          <w:color w:val="000000"/>
          <w:sz w:val="24"/>
          <w:highlight w:val="none"/>
        </w:rPr>
        <w:outlineLvl w:val="9"/>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w:t>
      </w:r>
      <w:r>
        <w:rPr>
          <w:rFonts w:hint="eastAsia"/>
          <w:color w:val="000000"/>
          <w:sz w:val="24"/>
          <w:highlight w:val="none"/>
          <w:lang w:eastAsia="zh-CN"/>
        </w:rPr>
        <w:t xml:space="preserve">商务技术文件</w:t>
      </w:r>
      <w:r>
        <w:rPr>
          <w:rFonts w:hint="eastAsia"/>
          <w:color w:val="000000"/>
          <w:sz w:val="24"/>
          <w:highlight w:val="none"/>
        </w:rPr>
        <w:t xml:space="preserve">》有任何一项不符合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4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outlineLvl w:val="9"/>
      </w:pPr>
      <w:r>
        <w:rPr>
          <w:b/>
          <w:color w:val="000000"/>
          <w:sz w:val="24"/>
          <w:highlight w:val="none"/>
        </w:rPr>
        <w:t xml:space="preserve">符合性审查</w:t>
      </w:r>
      <w:r>
        <w:rPr>
          <w:rFonts w:hint="eastAsia"/>
          <w:b/>
          <w:color w:val="000000"/>
          <w:sz w:val="24"/>
          <w:highlight w:val="none"/>
        </w:rPr>
        <w:t xml:space="preserve">要求</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750" w:type="dxa"/>
            <w:vAlign w:val="center"/>
            <w:textDirection w:val="lrTb"/>
            <w:noWrap w:val="false"/>
          </w:tcPr>
          <w:p>
            <w:pPr>
              <w:jc w:val="center"/>
              <w:widowControl/>
              <w:rPr>
                <w:b/>
                <w:color w:val="000000"/>
                <w:sz w:val="24"/>
                <w:highlight w:val="none"/>
              </w:rPr>
              <w:outlineLvl w:val="9"/>
            </w:pPr>
            <w:r>
              <w:rPr>
                <w:b/>
                <w:color w:val="000000"/>
                <w:sz w:val="24"/>
                <w:highlight w:val="none"/>
              </w:rPr>
              <w:t xml:space="preserve">序号</w:t>
            </w:r>
            <w:r/>
          </w:p>
        </w:tc>
        <w:tc>
          <w:tcPr>
            <w:tcW w:w="1813" w:type="dxa"/>
            <w:vAlign w:val="center"/>
            <w:textDirection w:val="lrTb"/>
            <w:noWrap w:val="false"/>
          </w:tcPr>
          <w:p>
            <w:pPr>
              <w:jc w:val="center"/>
              <w:widowControl/>
              <w:rPr>
                <w:b/>
                <w:color w:val="000000"/>
                <w:sz w:val="24"/>
                <w:highlight w:val="none"/>
              </w:rPr>
              <w:outlineLvl w:val="9"/>
            </w:pPr>
            <w:r>
              <w:rPr>
                <w:b/>
                <w:color w:val="000000"/>
                <w:sz w:val="24"/>
                <w:highlight w:val="none"/>
              </w:rPr>
              <w:t xml:space="preserve">审查因素</w:t>
            </w:r>
            <w:r/>
          </w:p>
        </w:tc>
        <w:tc>
          <w:tcPr>
            <w:tcW w:w="6725" w:type="dxa"/>
            <w:vAlign w:val="center"/>
            <w:textDirection w:val="lrTb"/>
            <w:noWrap w:val="false"/>
          </w:tcPr>
          <w:p>
            <w:pPr>
              <w:jc w:val="center"/>
              <w:widowControl/>
              <w:rPr>
                <w:b/>
                <w:color w:val="000000"/>
                <w:sz w:val="24"/>
                <w:highlight w:val="none"/>
              </w:rPr>
              <w:outlineLvl w:val="9"/>
            </w:pPr>
            <w:r>
              <w:rPr>
                <w:b/>
                <w:color w:val="000000"/>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1</w:t>
            </w:r>
            <w:r/>
          </w:p>
        </w:tc>
        <w:tc>
          <w:tcPr>
            <w:tcW w:w="1813" w:type="dxa"/>
            <w:vAlign w:val="center"/>
            <w:textDirection w:val="lrTb"/>
            <w:noWrap w:val="false"/>
          </w:tcPr>
          <w:p>
            <w:pPr>
              <w:jc w:val="left"/>
              <w:widowControl/>
              <w:rPr>
                <w:color w:val="000000"/>
                <w:sz w:val="24"/>
                <w:highlight w:val="none"/>
              </w:rPr>
              <w:outlineLvl w:val="9"/>
            </w:pPr>
            <w:r>
              <w:rPr>
                <w:rFonts w:hint="eastAsia"/>
                <w:color w:val="000000"/>
                <w:sz w:val="24"/>
                <w:highlight w:val="none"/>
              </w:rPr>
              <w:t xml:space="preserve">投标函、法定代表人资格证明书和政府采购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按招标文件要求提供</w:t>
            </w:r>
            <w:r>
              <w:rPr>
                <w:rFonts w:hint="eastAsia"/>
                <w:color w:val="000000"/>
                <w:sz w:val="24"/>
                <w:highlight w:val="none"/>
              </w:rPr>
              <w:t xml:space="preserve">投标函、法定代表人资格证明书和政府采购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2</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投标完整性</w:t>
            </w:r>
            <w:r/>
          </w:p>
        </w:tc>
        <w:tc>
          <w:tcPr>
            <w:tcW w:w="6725" w:type="dxa"/>
            <w:vAlign w:val="center"/>
            <w:textDirection w:val="lrTb"/>
            <w:noWrap w:val="false"/>
          </w:tcPr>
          <w:p>
            <w:pPr>
              <w:jc w:val="left"/>
              <w:widowControl/>
              <w:rPr>
                <w:color w:val="000000"/>
                <w:sz w:val="24"/>
                <w:highlight w:val="none"/>
              </w:rPr>
              <w:outlineLvl w:val="9"/>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lang w:eastAsia="zh-CN"/>
              </w:rPr>
              <w:t xml:space="preserve">采购项目</w:t>
            </w:r>
            <w:r>
              <w:rPr>
                <w:color w:val="000000"/>
                <w:sz w:val="24"/>
                <w:highlight w:val="none"/>
              </w:rPr>
              <w:t xml:space="preserve">中的内容拆开投标；</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3</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投标报价</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超过招标文件中规定的项目预算金额或者项目最高限价；</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4</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报价唯一性</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5</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投标有效期</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6</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签署、加盖公章</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rFonts w:hint="eastAsia"/>
                <w:color w:val="000000"/>
                <w:sz w:val="24"/>
                <w:highlight w:val="none"/>
              </w:rPr>
              <w:t xml:space="preserve">7</w:t>
            </w:r>
            <w:r/>
          </w:p>
        </w:tc>
        <w:tc>
          <w:tcPr>
            <w:tcW w:w="1813" w:type="dxa"/>
            <w:vAlign w:val="center"/>
            <w:textDirection w:val="lrTb"/>
            <w:noWrap w:val="false"/>
          </w:tcPr>
          <w:p>
            <w:pPr>
              <w:jc w:val="left"/>
              <w:widowControl/>
              <w:rPr>
                <w:color w:val="000000"/>
                <w:sz w:val="24"/>
                <w:highlight w:val="none"/>
              </w:rPr>
              <w:outlineLvl w:val="9"/>
            </w:pPr>
            <w:r>
              <w:rPr>
                <w:rFonts w:hint="eastAsia"/>
                <w:color w:val="000000"/>
                <w:sz w:val="24"/>
                <w:highlight w:val="none"/>
              </w:rPr>
              <w:t xml:space="preserve">实质性格式</w:t>
            </w:r>
            <w:r/>
          </w:p>
        </w:tc>
        <w:tc>
          <w:tcPr>
            <w:tcW w:w="6725" w:type="dxa"/>
            <w:vAlign w:val="center"/>
            <w:textDirection w:val="lrTb"/>
            <w:noWrap w:val="false"/>
          </w:tcPr>
          <w:p>
            <w:pPr>
              <w:jc w:val="left"/>
              <w:widowControl/>
              <w:rPr>
                <w:color w:val="000000"/>
                <w:sz w:val="24"/>
                <w:highlight w:val="none"/>
              </w:rPr>
              <w:outlineLvl w:val="9"/>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p>
        </w:tc>
      </w:tr>
      <w:tr>
        <w:trPr>
          <w:jc w:val="center"/>
          <w:trHeight w:val="685"/>
        </w:trPr>
        <w:tc>
          <w:tcPr>
            <w:tcW w:w="750"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8</w:t>
            </w:r>
            <w:r/>
          </w:p>
        </w:tc>
        <w:tc>
          <w:tcPr>
            <w:tcW w:w="1813" w:type="dxa"/>
            <w:vAlign w:val="center"/>
            <w:textDirection w:val="lrTb"/>
            <w:noWrap w:val="false"/>
          </w:tcPr>
          <w:p>
            <w:pPr>
              <w:jc w:val="left"/>
              <w:widowControl/>
              <w:rPr>
                <w:rFonts w:hint="eastAsia"/>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6725" w:type="dxa"/>
            <w:vAlign w:val="center"/>
            <w:textDirection w:val="lrTb"/>
            <w:noWrap w:val="false"/>
          </w:tcPr>
          <w:p>
            <w:pPr>
              <w:jc w:val="left"/>
              <w:widowControl/>
              <w:rPr>
                <w:rFonts w:hint="eastAsia"/>
                <w:color w:val="000000"/>
                <w:sz w:val="24"/>
                <w:highlight w:val="none"/>
              </w:rPr>
            </w:pPr>
            <w:r>
              <w:rPr>
                <w:color w:val="000000"/>
                <w:sz w:val="24"/>
                <w:highlight w:val="none"/>
              </w:rPr>
              <w:t xml:space="preserve">投标文件满足招标文件第五章《采购需求》中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9</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报价的修正</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rFonts w:hint="eastAsia"/>
                <w:color w:val="000000"/>
                <w:sz w:val="24"/>
                <w:highlight w:val="none"/>
                <w:lang w:val="en-US" w:eastAsia="zh-CN"/>
              </w:rPr>
              <w:t xml:space="preserve">10</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报价合理性</w:t>
            </w:r>
            <w:r/>
          </w:p>
        </w:tc>
        <w:tc>
          <w:tcPr>
            <w:tcW w:w="6725" w:type="dxa"/>
            <w:vAlign w:val="center"/>
            <w:textDirection w:val="lrTb"/>
            <w:noWrap w:val="false"/>
          </w:tcPr>
          <w:p>
            <w:pPr>
              <w:jc w:val="lef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报价合理，或投标人的报价明显低于其他通过符合性审查投标</w:t>
            </w:r>
            <w:r/>
          </w:p>
          <w:p>
            <w:pPr>
              <w:jc w:val="lef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人的报价，有可能影响产品质量或者不能诚信履约的，能够应</w:t>
            </w:r>
            <w:r/>
          </w:p>
          <w:p>
            <w:pPr>
              <w:jc w:val="left"/>
              <w:widowControl/>
              <w:rPr>
                <w:color w:val="000000"/>
                <w:sz w:val="24"/>
                <w:highlight w:val="none"/>
              </w:rPr>
              <w:outlineLvl w:val="9"/>
            </w:pPr>
            <w:r>
              <w:rPr>
                <w:rFonts w:hint="eastAsia" w:ascii="宋体" w:hAnsi="宋体" w:eastAsia="宋体" w:cs="宋体"/>
                <w:color w:val="000000"/>
                <w:sz w:val="24"/>
                <w:highlight w:val="none"/>
              </w:rPr>
              <w:t xml:space="preserve">评标委员会要求在规定时间内证明其报价合理性的：</w:t>
            </w:r>
            <w:r/>
          </w:p>
        </w:tc>
      </w:tr>
      <w:tr>
        <w:trPr>
          <w:jc w:val="center"/>
          <w:trHeight w:val="685"/>
        </w:trPr>
        <w:tc>
          <w:tcPr>
            <w:tcW w:w="750" w:type="dxa"/>
            <w:vAlign w:val="center"/>
            <w:textDirection w:val="lrTb"/>
            <w:noWrap w:val="false"/>
          </w:tcPr>
          <w:p>
            <w:pPr>
              <w:jc w:val="center"/>
              <w:widowControl/>
              <w:rPr>
                <w:rFonts w:eastAsia="宋体"/>
                <w:color w:val="000000"/>
                <w:sz w:val="24"/>
                <w:highlight w:val="none"/>
                <w:lang w:val="en-US" w:eastAsia="zh-CN"/>
              </w:rPr>
              <w:outlineLvl w:val="9"/>
            </w:pPr>
            <w:r>
              <w:rPr>
                <w:color w:val="000000"/>
                <w:sz w:val="24"/>
                <w:highlight w:val="none"/>
              </w:rPr>
              <w:t xml:space="preserve">11</w:t>
            </w:r>
            <w:r/>
          </w:p>
        </w:tc>
        <w:tc>
          <w:tcPr>
            <w:tcW w:w="1813" w:type="dxa"/>
            <w:vAlign w:val="center"/>
            <w:textDirection w:val="lrTb"/>
            <w:noWrap w:val="false"/>
          </w:tcPr>
          <w:p>
            <w:pPr>
              <w:jc w:val="left"/>
              <w:widowControl/>
              <w:rPr>
                <w:rFonts w:hint="eastAsia" w:eastAsia="宋体"/>
                <w:color w:val="000000"/>
                <w:sz w:val="24"/>
                <w:highlight w:val="none"/>
                <w:lang w:eastAsia="zh-CN"/>
              </w:rPr>
              <w:outlineLvl w:val="9"/>
            </w:pPr>
            <w:r>
              <w:rPr>
                <w:color w:val="000000"/>
                <w:sz w:val="24"/>
                <w:highlight w:val="none"/>
              </w:rPr>
              <w:t xml:space="preserve">国家有关部门对投标人的投标产品有强制性规定或要求的</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本项目不涉及</w:t>
            </w:r>
            <w:r>
              <w:rPr>
                <w:rFonts w:hint="eastAsia"/>
                <w:b/>
                <w:bCs/>
                <w:color w:val="000000"/>
                <w:sz w:val="24"/>
                <w:highlight w:val="none"/>
                <w:lang w:eastAsia="zh-CN"/>
              </w:rPr>
              <w:t xml:space="preserve">）</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w:t>
            </w:r>
            <w:r>
              <w:rPr>
                <w:rFonts w:hint="eastAsia"/>
                <w:color w:val="000000"/>
                <w:sz w:val="24"/>
                <w:highlight w:val="none"/>
                <w:lang w:eastAsia="zh-CN"/>
              </w:rPr>
              <w:t xml:space="preserve">提供证明文件</w:t>
            </w:r>
            <w:r>
              <w:rPr>
                <w:rFonts w:hint="eastAsia"/>
                <w:color w:val="000000"/>
                <w:sz w:val="24"/>
                <w:highlight w:val="none"/>
                <w:lang w:val="en-US" w:eastAsia="zh-CN"/>
              </w:rPr>
              <w:t xml:space="preserve">电子</w:t>
            </w:r>
            <w:r>
              <w:rPr>
                <w:rFonts w:hint="eastAsia"/>
                <w:color w:val="000000"/>
                <w:sz w:val="24"/>
                <w:highlight w:val="none"/>
                <w:lang w:eastAsia="zh-CN"/>
              </w:rPr>
              <w:t xml:space="preserve">件加盖投标人公章</w:t>
            </w:r>
            <w:r>
              <w:rPr>
                <w:rFonts w:hint="eastAsia"/>
                <w:color w:val="000000"/>
                <w:sz w:val="24"/>
                <w:highlight w:val="none"/>
              </w:rPr>
              <w:t xml:space="preserve">：</w:t>
            </w:r>
            <w:r/>
          </w:p>
          <w:p>
            <w:pPr>
              <w:jc w:val="left"/>
              <w:widowControl/>
              <w:rPr>
                <w:color w:val="000000"/>
                <w:sz w:val="24"/>
                <w:highlight w:val="none"/>
              </w:rPr>
              <w:outlineLvl w:val="9"/>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outlineLvl w:val="9"/>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12</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公平竞争</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13</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串通投标</w:t>
            </w:r>
            <w:r/>
          </w:p>
        </w:tc>
        <w:tc>
          <w:tcPr>
            <w:tcW w:w="6725" w:type="dxa"/>
            <w:vAlign w:val="center"/>
            <w:textDirection w:val="lrTb"/>
            <w:noWrap w:val="false"/>
          </w:tcPr>
          <w:p>
            <w:pPr>
              <w:jc w:val="left"/>
              <w:widowControl/>
              <w:rPr>
                <w:color w:val="000000"/>
                <w:sz w:val="24"/>
                <w:highlight w:val="none"/>
              </w:rPr>
              <w:outlineLvl w:val="9"/>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p>
        </w:tc>
      </w:tr>
      <w:tr>
        <w:trPr>
          <w:jc w:val="center"/>
          <w:trHeight w:val="685"/>
        </w:trPr>
        <w:tc>
          <w:tcPr>
            <w:tcW w:w="750" w:type="dxa"/>
            <w:vAlign w:val="center"/>
            <w:textDirection w:val="lrTb"/>
            <w:noWrap w:val="false"/>
          </w:tcPr>
          <w:p>
            <w:pPr>
              <w:jc w:val="center"/>
              <w:widowControl/>
              <w:rPr>
                <w:color w:val="000000"/>
                <w:sz w:val="24"/>
                <w:highlight w:val="none"/>
              </w:rPr>
              <w:outlineLvl w:val="9"/>
            </w:pPr>
            <w:r>
              <w:rPr>
                <w:color w:val="000000"/>
                <w:sz w:val="24"/>
                <w:highlight w:val="none"/>
              </w:rPr>
              <w:t xml:space="preserve">1</w:t>
            </w:r>
            <w:r>
              <w:rPr>
                <w:rFonts w:hint="eastAsia"/>
                <w:color w:val="000000"/>
                <w:sz w:val="24"/>
                <w:highlight w:val="none"/>
                <w:lang w:val="en-US" w:eastAsia="zh-CN"/>
              </w:rPr>
              <w:t xml:space="preserve">4</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附加条件</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750" w:type="dxa"/>
            <w:vAlign w:val="center"/>
            <w:textDirection w:val="lrTb"/>
            <w:noWrap w:val="false"/>
          </w:tcPr>
          <w:p>
            <w:pPr>
              <w:jc w:val="center"/>
              <w:widowControl/>
              <w:rPr>
                <w:rFonts w:eastAsia="宋体"/>
                <w:color w:val="000000"/>
                <w:sz w:val="24"/>
                <w:highlight w:val="none"/>
                <w:lang w:val="en-US" w:eastAsia="zh-CN"/>
              </w:rPr>
              <w:outlineLvl w:val="9"/>
            </w:pPr>
            <w:r>
              <w:rPr>
                <w:rFonts w:hint="eastAsia" w:eastAsia="宋体"/>
                <w:color w:val="000000"/>
                <w:sz w:val="24"/>
                <w:highlight w:val="none"/>
                <w:lang w:val="en-US" w:eastAsia="zh-CN"/>
              </w:rPr>
              <w:t xml:space="preserve">15</w:t>
            </w:r>
            <w:r/>
          </w:p>
        </w:tc>
        <w:tc>
          <w:tcPr>
            <w:tcW w:w="1813" w:type="dxa"/>
            <w:vAlign w:val="center"/>
            <w:textDirection w:val="lrTb"/>
            <w:noWrap w:val="false"/>
          </w:tcPr>
          <w:p>
            <w:pPr>
              <w:jc w:val="left"/>
              <w:widowControl/>
              <w:rPr>
                <w:color w:val="000000"/>
                <w:sz w:val="24"/>
                <w:highlight w:val="none"/>
              </w:rPr>
              <w:outlineLvl w:val="9"/>
            </w:pPr>
            <w:r>
              <w:rPr>
                <w:color w:val="000000"/>
                <w:sz w:val="24"/>
                <w:highlight w:val="none"/>
              </w:rPr>
              <w:t xml:space="preserve">其他无效情形</w:t>
            </w:r>
            <w:r/>
          </w:p>
        </w:tc>
        <w:tc>
          <w:tcPr>
            <w:tcW w:w="6725" w:type="dxa"/>
            <w:vAlign w:val="center"/>
            <w:textDirection w:val="lrTb"/>
            <w:noWrap w:val="false"/>
          </w:tcPr>
          <w:p>
            <w:pPr>
              <w:jc w:val="left"/>
              <w:widowControl/>
              <w:rPr>
                <w:color w:val="000000"/>
                <w:sz w:val="24"/>
                <w:highlight w:val="none"/>
              </w:rPr>
              <w:outlineLvl w:val="9"/>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color w:val="000000"/>
          <w:sz w:val="24"/>
          <w:highlight w:val="none"/>
        </w:rPr>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000000"/>
          <w:sz w:val="24"/>
          <w:highlight w:val="none"/>
        </w:rPr>
        <w:outlineLvl w:val="9"/>
      </w:pPr>
      <w:r>
        <w:rPr>
          <w:color w:val="000000"/>
          <w:sz w:val="24"/>
          <w:highlight w:val="none"/>
        </w:rPr>
        <w:t xml:space="preserve">评标过程中，评标委员会将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p>
    <w:p>
      <w:pPr>
        <w:numPr>
          <w:ilvl w:val="2"/>
          <w:numId w:val="12"/>
        </w:numPr>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highlight w:val="none"/>
        </w:rPr>
        <w:t xml:space="preserve">投标无效</w:t>
      </w:r>
      <w:r>
        <w:rPr>
          <w:rFonts w:hint="eastAsia" w:ascii="宋体" w:hAnsi="宋体" w:eastAsia="宋体" w:cs="宋体"/>
          <w:color w:val="000000"/>
          <w:sz w:val="24"/>
          <w:highlight w:val="none"/>
          <w:lang w:val="en-US" w:eastAsia="zh-CN"/>
        </w:rPr>
        <w:t xml:space="preserve">。</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投标文件报价出现前后不一致的，按照下列规定修正：</w:t>
      </w:r>
      <w:r/>
    </w:p>
    <w:p>
      <w:pPr>
        <w:numPr>
          <w:ilvl w:val="2"/>
          <w:numId w:val="12"/>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招标文件对于报价修正是否另有规定：</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无，按下述2.4.2-2.4.7项规定修正。</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单价金额小数点或者百分比有明显错位的，以开标一览表的总价为准，并修改单价；</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p>
    <w:p>
      <w:pPr>
        <w:numPr>
          <w:ilvl w:val="2"/>
          <w:numId w:val="12"/>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对于未预留份额专门面向中小企业采购的采购项目，对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%的扣除，用扣除后的价格参加评审。</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价格扣除比例对小型企业和微型企业同等对待，不作区分。</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p>
    <w:p>
      <w:pPr>
        <w:numPr>
          <w:ilvl w:val="0"/>
          <w:numId w:val="0"/>
        </w:numPr>
        <w:ind w:left="357" w:firstLine="720"/>
        <w:spacing w:line="360" w:lineRule="auto"/>
        <w:tabs>
          <w:tab w:val="left" w:pos="1080" w:leader="none"/>
          <w:tab w:val="left" w:pos="187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2.4.6</w:t>
      </w: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p>
    <w:p>
      <w:pPr>
        <w:numPr>
          <w:ilvl w:val="0"/>
          <w:numId w:val="0"/>
        </w:numPr>
        <w:ind w:left="357" w:firstLine="720"/>
        <w:spacing w:line="360" w:lineRule="auto"/>
        <w:tabs>
          <w:tab w:val="left" w:pos="1080" w:leader="none"/>
          <w:tab w:val="left" w:pos="187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采购本国产品的支持政策</w:t>
      </w:r>
      <w:r/>
    </w:p>
    <w:p>
      <w:pPr>
        <w:numPr>
          <w:ilvl w:val="0"/>
          <w:numId w:val="0"/>
        </w:numPr>
        <w:ind w:left="1080"/>
        <w:spacing w:line="360" w:lineRule="auto"/>
        <w:shd w:val="clear" w:color="auto" w:fill="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2.5.1</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numPr>
          <w:ilvl w:val="0"/>
          <w:numId w:val="0"/>
        </w:numPr>
        <w:ind w:left="1135"/>
        <w:spacing w:line="360" w:lineRule="auto"/>
        <w:shd w:val="clear" w:color="auto" w:fill="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2.5.2</w:t>
      </w: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章 </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文件格式”的“</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000000"/>
          <w:sz w:val="24"/>
          <w:highlight w:val="none"/>
        </w:rPr>
        <w:t xml:space="preserve">（本项目为单一产品，不涉及）</w:t>
      </w:r>
      <w:r/>
    </w:p>
    <w:p>
      <w:pPr>
        <w:numPr>
          <w:ilvl w:val="0"/>
          <w:numId w:val="0"/>
        </w:numPr>
        <w:ind w:left="1135"/>
        <w:spacing w:line="360" w:lineRule="auto"/>
        <w:shd w:val="clear" w:color="auto" w:fill="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p>
    <w:p>
      <w:pPr>
        <w:numPr>
          <w:ilvl w:val="0"/>
          <w:numId w:val="0"/>
        </w:numPr>
        <w:ind w:left="1135"/>
        <w:spacing w:line="360" w:lineRule="auto"/>
        <w:shd w:val="clear" w:color="auto" w:fill="auto"/>
        <w:tabs>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2.5.4</w:t>
      </w: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2.5.5</w:t>
      </w: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投标文件的比较和评价</w:t>
      </w:r>
      <w:bookmarkEnd w:id="729"/>
      <w:r/>
      <w:bookmarkEnd w:id="730"/>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评标方法和评标标准</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本项目采用的评标方法为：</w:t>
      </w:r>
      <w:r/>
    </w:p>
    <w:p>
      <w:pPr>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keepLines w:val="0"/>
        <w:keepNext w:val="0"/>
        <w:pageBreakBefore w:val="0"/>
        <w:spacing w:line="360" w:lineRule="auto"/>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p>
    <w:p>
      <w:p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p>
    <w:p>
      <w:p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p>
    <w:p>
      <w:pPr>
        <w:numPr>
          <w:ilvl w:val="2"/>
          <w:numId w:val="12"/>
        </w:numPr>
        <w:ind w:left="2035"/>
        <w:keepLines w:val="0"/>
        <w:keepNext w:val="0"/>
        <w:pageBreakBefore w:val="0"/>
        <w:spacing w:line="360" w:lineRule="auto"/>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746" w:name="_Toc264969236"/>
      <w:r/>
      <w:bookmarkStart w:id="747" w:name="_Toc226965819"/>
      <w:r/>
      <w:bookmarkStart w:id="748" w:name="_Toc151193860"/>
      <w:r/>
      <w:bookmarkStart w:id="749" w:name="_Toc127161460"/>
      <w:r/>
      <w:bookmarkStart w:id="750" w:name="_Toc142311048"/>
      <w:r/>
      <w:bookmarkStart w:id="751" w:name="_Toc164229387"/>
      <w:r/>
      <w:bookmarkStart w:id="752" w:name="_Toc127151546"/>
      <w:r/>
      <w:bookmarkStart w:id="753" w:name="_Ref467307010"/>
      <w:r/>
      <w:bookmarkStart w:id="754" w:name="_Toc305158814"/>
      <w:r/>
      <w:bookmarkStart w:id="755" w:name="_Toc149720839"/>
      <w:r/>
      <w:bookmarkStart w:id="756" w:name="_Toc151193716"/>
      <w:r/>
      <w:bookmarkStart w:id="757" w:name="_Toc150509297"/>
      <w:r/>
      <w:bookmarkStart w:id="758" w:name="_Toc150480784"/>
      <w:r/>
      <w:bookmarkStart w:id="759" w:name="_Toc226337242"/>
      <w:r/>
      <w:bookmarkStart w:id="760" w:name="_Toc164608815"/>
      <w:r/>
      <w:bookmarkStart w:id="761" w:name="_Toc226965736"/>
      <w:r/>
      <w:bookmarkStart w:id="762" w:name="_Toc127151747"/>
      <w:r/>
      <w:bookmarkStart w:id="763" w:name="_Toc265228384"/>
      <w:r/>
      <w:bookmarkStart w:id="764" w:name="_Toc151193644"/>
      <w:r/>
      <w:bookmarkStart w:id="765" w:name="_Toc151193788"/>
      <w:r/>
      <w:bookmarkStart w:id="766" w:name="_Toc151193934"/>
      <w:r/>
      <w:bookmarkStart w:id="767" w:name="_Toc150774646"/>
      <w:r/>
      <w:bookmarkStart w:id="768" w:name="_Toc164608660"/>
      <w:r/>
      <w:bookmarkStart w:id="769" w:name="_Toc195842911"/>
      <w:r/>
      <w:bookmarkStart w:id="770" w:name="_Toc164229241"/>
      <w:r/>
      <w:bookmarkStart w:id="771" w:name="_Toc226309790"/>
      <w:r/>
      <w:bookmarkStart w:id="772" w:name="_Toc305158888"/>
      <w:r/>
      <w:bookmarkStart w:id="773" w:name="_Toc150774751"/>
      <w:r/>
      <w:bookmarkStart w:id="774" w:name="_Toc151190173"/>
      <w:r/>
      <w:bookmarkStart w:id="775" w:name="_Toc520356170"/>
      <w:r/>
      <w:bookmarkStart w:id="776" w:name="_Toc164351640"/>
      <w:r>
        <w:rPr>
          <w:rFonts w:hint="eastAsia" w:ascii="宋体" w:hAnsi="宋体" w:eastAsia="宋体" w:cs="宋体"/>
          <w:color w:val="000000"/>
          <w:sz w:val="24"/>
          <w:highlight w:val="none"/>
        </w:rPr>
        <w:t xml:space="preserve">中标候选人名单</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采用综合评分法时，提供相同品牌产品（单一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25"/>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p>
    <w:p>
      <w:pPr>
        <w:pStyle w:val="1125"/>
        <w:ind w:left="993" w:firstLine="136"/>
        <w:keepLines w:val="0"/>
        <w:keepNext w:val="0"/>
        <w:pageBreakBefore w:val="0"/>
        <w:spacing w:line="360" w:lineRule="auto"/>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评标委员会要对评分汇总情况进行复核，特别是对排名第一的、报价最低的、投标文件被认定为无效的情形进行重点复核。</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评标委员会将根据各投标人的评标排序，依次推荐本项目的中标候选人，起草并签署评标报告。本项目评标委员会共推荐不少于3名中标候选人。</w:t>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eastAsia="宋体" w:cs="宋体"/>
          <w:color w:val="000000"/>
          <w:sz w:val="24"/>
          <w:highlight w:val="none"/>
        </w:rPr>
        <w:t xml:space="preserve">、采购代理机构或者有关部门报告的职责。</w:t>
      </w:r>
      <w:r/>
    </w:p>
    <w:p>
      <w:pPr>
        <w:jc w:val="center"/>
        <w:keepLines w:val="0"/>
        <w:keepNext w:val="0"/>
        <w:pageBreakBefore w:val="0"/>
        <w:spacing w:line="360" w:lineRule="auto"/>
        <w:widowControl/>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b/>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二、评标标准</w:t>
      </w:r>
      <w:r/>
    </w:p>
    <w:tbl>
      <w:tblPr>
        <w:tblStyle w:val="9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46"/>
        <w:gridCol w:w="6184"/>
        <w:gridCol w:w="515"/>
      </w:tblGrid>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序号</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评分因素</w:t>
            </w:r>
            <w:r/>
          </w:p>
        </w:tc>
        <w:tc>
          <w:tcPr>
            <w:tcMar>
              <w:left w:w="108" w:type="dxa"/>
              <w:top w:w="0" w:type="dxa"/>
              <w:right w:w="108" w:type="dxa"/>
              <w:bottom w:w="0" w:type="dxa"/>
            </w:tcMar>
            <w:tcW w:w="6184"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评分标准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分值</w:t>
            </w:r>
            <w:r/>
          </w:p>
        </w:tc>
      </w:tr>
      <w:tr>
        <w:trPr>
          <w:trHeight w:val="90"/>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一、报价（30分）</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价格</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注：此处投标报价指经过报价修正，及因落实政府采购政策进行价格调整后的报价。</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30</w:t>
            </w:r>
            <w:r/>
          </w:p>
        </w:tc>
      </w:tr>
      <w:tr>
        <w:trPr>
          <w:trHeight w:val="454"/>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二、履约能力（5分）</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业绩</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投标人或所投品牌制造商具有自2023年5月1日以来（以合同签订日期为准）与所投产品同品牌同型号产品的销售业绩，有一份得1分，最高得2分。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注：投标文件中提供合同并加盖投标人公章，否则不得分。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保修承诺</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投标人承诺在免费保修期3年的基础上，每增加1年加1.5分，最高得3分。</w:t>
            </w:r>
            <w:r/>
          </w:p>
          <w:p>
            <w:pPr>
              <w:jc w:val="both"/>
              <w:keepLines w:val="0"/>
              <w:keepNext w:val="0"/>
              <w:pageBreakBefore w:val="0"/>
              <w:spacing w:line="360" w:lineRule="auto"/>
              <w:widowControl w:val="off"/>
              <w:tabs>
                <w:tab w:val="left" w:pos="426"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注：投标文件中提供承诺函并加盖投标人公章，否则不得分。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p>
        </w:tc>
      </w:tr>
      <w:tr>
        <w:trPr>
          <w:trHeight w:val="454"/>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三、产品性能（30分）</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产品性能</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技术参数的符合性，即根据投标人所提供产品的综合性能、技术参数，产品的安全性、稳定性、操作性等方面进行综合评审。符合技术要求的得30分。标注“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”有一项不满足扣2分，不标注“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”有一项不满足扣0.05分，扣完为止。</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提供技术参数证明材料（国家认可的检测机构出具的产品检测报告或产品彩页或图册或说明书或功能截图等）。投标文件中提供证明材料的原件或复印件,扫描形成的电子文档，并加盖投标人公章，并作出相应的对比（列表）供评标委员会评审。</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30</w:t>
            </w:r>
            <w:r/>
          </w:p>
        </w:tc>
      </w:tr>
      <w:tr>
        <w:trPr>
          <w:trHeight w:val="454"/>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四、项目技术方案（35分）</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项目实施方案</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根据投标人编制的项目实施方案，由评标委员会进行综合评审：</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①进度安排：提供详细的项目进度计划表，明确各环节时间节点和责任人，得2分；仅有简单时间线、无具体分工的，得1分；未提供不得分。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②质量自检：提供完整的质量自检方案，包含自检标准、自检流程、不合格品处理措施的，得2分；仅有简单描述、无具体流程的，得1分；未提供不得分。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③供货方案：提供详细的供货方案，包含包装运输方式、物流跟踪措施、到货验收程序的，得2分；仅有简单描述、无具体措施的，得1分；未提供不得分。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④安装方案：提供详细的安装方案，包含安装环境要求、安装步骤、调试方法、验收标准的，得2分；仅有简单描述、无具体步骤的，得1分；未提供不得分。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质量保障措施</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根据投标人编制的质量保障措施，由评标委员会进行综合评审：</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①产品设计：方案明确产品设计符合医疗产品构造设计标准，并在保障功能基础上对视觉效果有具体设计说明的，得2分；仅承诺符合标准、无具体说明的，得1分；未提供不得分。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②制造工艺：方案明确制造工艺符合医疗产品制造标准，并具体说明采用的先进工艺或节能措施的，得2分；仅承诺符合标准、无具体工艺说明的，得1分；未提供不得分。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③产品材质：方案明确产品材质符合医疗产品合规性标准，并具体说明采用的环保材质或耐用性指标的，得2分；仅承诺符合标准、无具体材质说明的，得1分；未提供不得分。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3</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产品安全性、稳定性方案</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根据投标人编制的产品安全性、稳定性方案，由评标委员会进行综合评审：</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安全性设计（3分）：方案详细说明产品在设计和功能设置上如何避免因环境、操作等外因引起的使用安全问题，并具体阐述保障病人和操作人员安全的措施，得3分；有相关说明但措施不够具体的，得2分；仅有简单承诺、无具体措施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②稳定性保障（2分）：方案详细说明产品技术成熟度、抗干扰能力、适用场景及故障率控制措施，并提供相关数据或认证的，得2分；仅有简单描述、无具体数据的，得1分；未提供不得分。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培训方案</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根据投标人编制的项目培训方案，由评标委员会进行综合评审：</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①培训计划：方案明确培训设备使用方法、培训对象、培训时间、培训地点的，得2分；上述要素有缺漏的，得1分；未提供不得分。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②培训内容：方案提供详细全面的培训课程安排，内容科学可行、覆盖设备操作和维护的，得2分；内容较简略的，得1分；未提供不得分。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③增值服务：方案提供额外增值培训服务（如学术交流、进修机会等）且内容具体的，得2分；仅提及增值服务但无具体内容的，得1分；未提供不得分。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p>
        </w:tc>
      </w:tr>
      <w:tr>
        <w:trPr>
          <w:trHeight w:val="454"/>
        </w:trPr>
        <w:tc>
          <w:tcPr>
            <w:tcMar>
              <w:left w:w="108" w:type="dxa"/>
              <w:top w:w="0" w:type="dxa"/>
              <w:right w:w="108" w:type="dxa"/>
              <w:bottom w:w="0" w:type="dxa"/>
            </w:tcMar>
            <w:tcW w:w="577"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p>
        </w:tc>
        <w:tc>
          <w:tcPr>
            <w:tcMar>
              <w:left w:w="108" w:type="dxa"/>
              <w:top w:w="0" w:type="dxa"/>
              <w:right w:w="108" w:type="dxa"/>
              <w:bottom w:w="0" w:type="dxa"/>
            </w:tcMar>
            <w:tcW w:w="1246" w:type="dxa"/>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售后服务方案</w:t>
            </w:r>
            <w:r/>
          </w:p>
        </w:tc>
        <w:tc>
          <w:tcPr>
            <w:tcMar>
              <w:left w:w="108" w:type="dxa"/>
              <w:top w:w="0" w:type="dxa"/>
              <w:right w:w="108" w:type="dxa"/>
              <w:bottom w:w="0" w:type="dxa"/>
            </w:tcMar>
            <w:tcW w:w="6184" w:type="dxa"/>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根据投标人编制的售后服务方案，由评标委员会进行综合评审：</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①响应时间：承诺故障响应时间≤2小时、到达现场时间≤24小时的，得2分；承诺响应时间＞2小时或到达时间＞24小时的，得1分；未承诺不得分。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②回访巡检方案：提供详细的定期回访巡检计划，包含巡检频次、巡检内容、巡检报告模板的，得2分；仅有简单计划、无具体内容的，得1分；未提供不得分。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③故障解决措施：提供详细的故障分级处理流程、常见故障解决方案及应急处理措施的，得2分；仅有简单描述、无具体流程的，得1分；未提供不得分。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④技术人员保障：明确配备专职售后服务工程师，并提供人员资质证明或服务团队配置表的，得2分；仅承诺有人负责、无具体人员信息的，得1分；未提供不得分。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⑤备品配件保障：承诺提供常用备品配件清单及供应保障方案，并说明备件库设置情况的，得2分；仅承诺保障供应、无具体方案的，得1分；未提供不得分。</w:t>
            </w:r>
            <w:r/>
          </w:p>
        </w:tc>
        <w:tc>
          <w:tcPr>
            <w:tcMar>
              <w:left w:w="108" w:type="dxa"/>
              <w:top w:w="0" w:type="dxa"/>
              <w:right w:w="108" w:type="dxa"/>
              <w:bottom w:w="0" w:type="dxa"/>
            </w:tcMar>
            <w:tcW w:w="515" w:type="dxa"/>
            <w:vAlign w:val="center"/>
            <w:textDirection w:val="lrTb"/>
            <w:noWrap w:val="false"/>
          </w:tcPr>
          <w:p>
            <w:pPr>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10</w:t>
            </w:r>
            <w:r/>
          </w:p>
        </w:tc>
      </w:tr>
    </w:tbl>
    <w:p>
      <w:pPr>
        <w:jc w:val="center"/>
        <w:spacing w:line="360" w:lineRule="auto"/>
        <w:rPr>
          <w:b/>
          <w:color w:val="000000"/>
          <w:sz w:val="36"/>
          <w:szCs w:val="36"/>
          <w:highlight w:val="none"/>
        </w:rPr>
        <w:outlineLvl w:val="0"/>
      </w:pPr>
      <w:r/>
      <w:bookmarkStart w:id="777" w:name="_Toc30413"/>
      <w:r>
        <w:rPr>
          <w:b/>
          <w:color w:val="000000"/>
          <w:sz w:val="36"/>
          <w:szCs w:val="36"/>
          <w:highlight w:val="none"/>
        </w:rPr>
        <w:br w:type="page" w:clear="all"/>
      </w:r>
      <w:r>
        <w:rPr>
          <w:b/>
          <w:color w:val="000000"/>
          <w:sz w:val="36"/>
          <w:szCs w:val="36"/>
          <w:highlight w:val="none"/>
        </w:rPr>
        <w:t xml:space="preserve">第五章   采购需求</w:t>
      </w:r>
      <w:bookmarkEnd w:id="777"/>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一、采购标的</w:t>
      </w:r>
      <w:r/>
    </w:p>
    <w:p>
      <w:pPr>
        <w:contextualSpacing/>
        <w:ind w:firstLine="480"/>
        <w:keepLines w:val="0"/>
        <w:keepNext w:val="0"/>
        <w:pageBreakBefore w:val="0"/>
        <w:spacing w:line="360" w:lineRule="auto"/>
        <w:widowControl w:val="off"/>
        <w:rPr>
          <w:rFonts w:hint="eastAsia"/>
          <w:color w:val="000000"/>
          <w:highlight w:val="none"/>
        </w:rPr>
        <w:outlineLvl w:val="9"/>
      </w:pPr>
      <w:r>
        <w:rPr>
          <w:rFonts w:hint="eastAsia" w:ascii="宋体" w:hAnsi="宋体" w:eastAsia="宋体" w:cs="宋体"/>
          <w:bCs/>
          <w:color w:val="000000"/>
          <w:sz w:val="24"/>
          <w:szCs w:val="24"/>
          <w:highlight w:val="none"/>
        </w:rPr>
        <w:t xml:space="preserve">本项目是</w:t>
      </w:r>
      <w:r>
        <w:rPr>
          <w:rFonts w:hint="eastAsia" w:ascii="宋体" w:hAnsi="宋体" w:eastAsia="宋体" w:cs="宋体"/>
          <w:bCs/>
          <w:color w:val="000000"/>
          <w:sz w:val="24"/>
          <w:szCs w:val="24"/>
          <w:highlight w:val="none"/>
          <w:lang w:eastAsia="zh-CN"/>
        </w:rPr>
        <w:t xml:space="preserve">常州市武进人民医院SPECT-CT采购项目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采购1台</w:t>
      </w:r>
      <w:r>
        <w:rPr>
          <w:rFonts w:hint="eastAsia" w:ascii="宋体" w:hAnsi="宋体" w:eastAsia="宋体" w:cs="宋体"/>
          <w:bCs/>
          <w:color w:val="000000"/>
          <w:sz w:val="24"/>
          <w:szCs w:val="24"/>
          <w:highlight w:val="none"/>
          <w:lang w:eastAsia="zh-CN"/>
        </w:rPr>
        <w:t xml:space="preserve">SPECT-CT</w:t>
      </w:r>
      <w:r>
        <w:rPr>
          <w:rFonts w:hint="eastAsia"/>
          <w:color w:val="000000"/>
          <w:sz w:val="24"/>
          <w:szCs w:val="24"/>
          <w:highlight w:val="none"/>
          <w:vertAlign w:val="baseline"/>
          <w:lang w:val="en-US" w:eastAsia="zh-CN"/>
        </w:rPr>
        <w:t xml:space="preserve">，</w:t>
      </w:r>
      <w:r>
        <w:rPr>
          <w:rFonts w:hint="eastAsia" w:ascii="宋体" w:hAnsi="宋体" w:eastAsia="宋体" w:cs="宋体"/>
          <w:bCs/>
          <w:color w:val="000000"/>
          <w:sz w:val="24"/>
          <w:szCs w:val="24"/>
          <w:highlight w:val="none"/>
          <w:lang w:val="en-US" w:eastAsia="zh-CN"/>
        </w:rPr>
        <w:t xml:space="preserve">内容包括但不限于</w:t>
      </w:r>
      <w:r>
        <w:rPr>
          <w:rFonts w:hint="eastAsia" w:ascii="宋体" w:hAnsi="宋体" w:eastAsia="宋体" w:cs="宋体"/>
          <w:bCs/>
          <w:color w:val="000000"/>
          <w:sz w:val="24"/>
          <w:szCs w:val="24"/>
          <w:highlight w:val="none"/>
        </w:rPr>
        <w:t xml:space="preserve">设备的采购、运输、装卸、安装、调试、测试、技术培训及配套设备等</w:t>
      </w:r>
      <w:r>
        <w:rPr>
          <w:rFonts w:hint="eastAsia" w:ascii="宋体" w:hAnsi="宋体" w:eastAsia="宋体" w:cs="宋体"/>
          <w:bCs/>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二、商务要求</w:t>
      </w:r>
      <w:r/>
    </w:p>
    <w:p>
      <w:pPr>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1.交付的时间和地点</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交货期：</w:t>
      </w:r>
      <w:r>
        <w:rPr>
          <w:rFonts w:hint="eastAsia" w:ascii="宋体" w:hAnsi="宋体" w:eastAsia="宋体" w:cs="宋体"/>
          <w:bCs/>
          <w:color w:val="000000"/>
          <w:sz w:val="24"/>
          <w:szCs w:val="24"/>
          <w:highlight w:val="none"/>
          <w:lang w:eastAsia="zh-CN"/>
        </w:rPr>
        <w:t xml:space="preserve">自合同签订之日起60日内交货并安装调试完毕。</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交货地点：</w:t>
      </w:r>
      <w:r>
        <w:rPr>
          <w:rFonts w:hint="eastAsia" w:ascii="宋体" w:hAnsi="宋体" w:eastAsia="宋体" w:cs="宋体"/>
          <w:bCs/>
          <w:color w:val="000000"/>
          <w:sz w:val="24"/>
          <w:szCs w:val="24"/>
          <w:highlight w:val="none"/>
          <w:lang w:val="en-US" w:eastAsia="zh-CN"/>
        </w:rPr>
        <w:t xml:space="preserve">常州市武进人民医院</w:t>
      </w:r>
      <w:r>
        <w:rPr>
          <w:rFonts w:hint="eastAsia" w:ascii="宋体" w:hAnsi="宋体" w:eastAsia="宋体" w:cs="宋体"/>
          <w:bCs/>
          <w:color w:val="000000"/>
          <w:sz w:val="24"/>
          <w:szCs w:val="24"/>
          <w:highlight w:val="none"/>
        </w:rPr>
        <w:t xml:space="preserve">。货物现场交付，</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检验无误，签署收货通知单后，货物所有权转移给</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w:t>
      </w:r>
      <w:r/>
    </w:p>
    <w:p>
      <w:pPr>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rPr>
        <w:t xml:space="preserve">2.付款条件</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安装调试验收合格，临床科室开具领用单，货物入库后6个月内付至合同款的40%,9个月内付至合同款的90%，使用一年后（终验合格）付清10%余款。设备验收合格后，中标人开具发票并确保发票上所列品名、型号与合同所列完全一致。</w:t>
      </w:r>
      <w:r/>
    </w:p>
    <w:p>
      <w:pPr>
        <w:numPr>
          <w:ilvl w:val="0"/>
          <w:numId w:val="0"/>
        </w:numPr>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3.保修期及售后服务</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1）保修期：产品的免费保修期为3年。</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2）技术及维修服务：成交供应商应配置专业技术人员，随时提供免费的开箱验货、安装、调试或维修等服务。</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3）修复时间（保修期内）：2小时内响应，24小时内到达现场解决。</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4）成交供应商应提供原厂保修服务。</w:t>
      </w:r>
      <w:r/>
    </w:p>
    <w:p>
      <w:pPr>
        <w:numPr>
          <w:ilvl w:val="0"/>
          <w:numId w:val="0"/>
        </w:numPr>
        <w:ind w:firstLine="480"/>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5）技术培训要求：成交供应商应配置专业技术人员提供现场技术培训，保证使用人员正常操作设备的各种功能。</w:t>
      </w:r>
      <w:r/>
    </w:p>
    <w:p>
      <w:pPr>
        <w:numPr>
          <w:ilvl w:val="0"/>
          <w:numId w:val="0"/>
        </w:num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三、采购清单</w:t>
      </w:r>
      <w:r/>
    </w:p>
    <w:p>
      <w:pPr>
        <w:numPr>
          <w:ilvl w:val="0"/>
          <w:numId w:val="0"/>
        </w:numPr>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1.项目清单</w:t>
      </w:r>
      <w:r/>
    </w:p>
    <w:tbl>
      <w:tblPr>
        <w:tblStyle w:val="917"/>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886"/>
        <w:gridCol w:w="1544"/>
        <w:gridCol w:w="1545"/>
      </w:tblGrid>
      <w:tr>
        <w:trPr>
          <w:trHeight w:val="312"/>
        </w:trPr>
        <w:tc>
          <w:tcPr>
            <w:tcW w:w="9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22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p>
        </w:tc>
        <w:tc>
          <w:tcPr>
            <w:tcW w:w="906" w:type="dxa"/>
            <w:vAlign w:val="center"/>
            <w:textDirection w:val="lrTb"/>
            <w:noWrap w:val="false"/>
          </w:tcPr>
          <w:p>
            <w:pPr>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9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312"/>
        </w:trPr>
        <w:tc>
          <w:tcPr>
            <w:tcW w:w="9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2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bCs/>
                <w:color w:val="000000"/>
                <w:sz w:val="24"/>
                <w:szCs w:val="24"/>
                <w:highlight w:val="none"/>
                <w:lang w:eastAsia="zh-CN"/>
              </w:rPr>
              <w:t xml:space="preserve">SPECT-CT</w:t>
            </w:r>
            <w:r/>
          </w:p>
        </w:tc>
        <w:tc>
          <w:tcPr>
            <w:tcW w:w="906" w:type="dxa"/>
            <w:vAlign w:val="center"/>
            <w:textDirection w:val="lrTb"/>
            <w:noWrap w:val="false"/>
          </w:tcPr>
          <w:p>
            <w:pPr>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6" w:type="dxa"/>
            <w:vAlign w:val="center"/>
            <w:textDirection w:val="lrTb"/>
            <w:noWrap w:val="false"/>
          </w:tcPr>
          <w:p>
            <w:pPr>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bl>
    <w:p>
      <w:pPr>
        <w:contextualSpacing/>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2.配套清单</w:t>
      </w:r>
      <w:r/>
    </w:p>
    <w:tbl>
      <w:tblPr>
        <w:tblStyle w:val="917"/>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4286"/>
        <w:gridCol w:w="3038"/>
      </w:tblGrid>
      <w:tr>
        <w:trPr>
          <w:trHeight w:val="270"/>
        </w:trPr>
        <w:tc>
          <w:tcPr>
            <w:shd w:val="clear" w:color="auto" w:fill="ffffff"/>
            <w:tcW w:w="7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ffffff"/>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ffffff"/>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数量（单位）</w:t>
            </w:r>
            <w:r/>
          </w:p>
        </w:tc>
      </w:tr>
      <w:tr>
        <w:trPr>
          <w:trHeight w:val="27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密闭式防护通风柜</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p>
        </w:tc>
      </w:tr>
      <w:tr>
        <w:trPr>
          <w:trHeight w:val="27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一体化注射窗</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p>
        </w:tc>
      </w:tr>
      <w:tr>
        <w:trPr>
          <w:trHeight w:val="27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活度计</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1个</w:t>
            </w:r>
            <w:r/>
          </w:p>
        </w:tc>
      </w:tr>
      <w:tr>
        <w:trPr>
          <w:trHeight w:val="27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机房铅屏风</w:t>
            </w:r>
            <w:r/>
          </w:p>
        </w:tc>
        <w:tc>
          <w:tcPr>
            <w:shd w:val="clear" w:color="auto" w:fill="ffffff"/>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5个</w:t>
            </w:r>
            <w:r/>
          </w:p>
        </w:tc>
      </w:tr>
      <w:tr>
        <w:trPr>
          <w:trHeight w:val="27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放射性废物桶</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2个</w:t>
            </w:r>
            <w:r/>
          </w:p>
        </w:tc>
      </w:tr>
      <w:tr>
        <w:trPr>
          <w:trHeight w:val="48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铅衣架、铅衣、铅帽、铅围脖、铅手套、铅眼镜、铅面罩</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各5个</w:t>
            </w:r>
            <w:r/>
          </w:p>
        </w:tc>
      </w:tr>
      <w:tr>
        <w:trPr>
          <w:trHeight w:val="27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个人剂量报警仪</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3个</w:t>
            </w:r>
            <w:r/>
          </w:p>
        </w:tc>
      </w:tr>
      <w:tr>
        <w:trPr>
          <w:trHeight w:val="48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在线辐射监测（区域辐射剂量监测系统）一拖4</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p>
        </w:tc>
      </w:tr>
      <w:tr>
        <w:trPr>
          <w:trHeight w:val="473"/>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甲功仪</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p>
        </w:tc>
      </w:tr>
      <w:tr>
        <w:trPr>
          <w:trHeight w:val="27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25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运动踏板车(含除颤仪)</w:t>
            </w:r>
            <w:r/>
          </w:p>
        </w:tc>
        <w:tc>
          <w:tcPr>
            <w:tcW w:w="178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p>
        </w:tc>
      </w:tr>
      <w:tr>
        <w:trPr>
          <w:trHeight w:val="680"/>
        </w:trPr>
        <w:tc>
          <w:tcPr>
            <w:tcW w:w="70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251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部分机房建设</w:t>
            </w:r>
            <w:r/>
          </w:p>
        </w:tc>
        <w:tc>
          <w:tcPr>
            <w:tcW w:w="178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r>
    </w:tbl>
    <w:p>
      <w:pPr>
        <w:contextualSpacing/>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四、技术参数</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1.探头​</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 全数字化大视野高清探头（HD探头）；</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1.2 探头有效视野：≥530mm×380mm；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1.3晶体类型及厚度：≥3/8 英寸NaI晶体或CZT材质；</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1.5 固有能量范围：最小能量≤40kev，最大能量≥400KeV；</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▲1.6 全环采集或双探头断层采集角度：包含76°或79°夹角；</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1.7 单光子最大计数率：≥450KCPS；</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1.8 探头全自动归位功能；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1.9 SPECT三维重建空间分辨率(带散射，LEHR)；</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1.9.1 中心：≤6mm；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1.9.2 径向：≤5.5mm；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▲1.9.3 切向：≤4.5mm；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1.10 固有空间分辨率：</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1.10.1 CFOV  FWHM≤4.0mm；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1.10.2 UFOV  FWHM≤4.0mm；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1.10.3 CFOV  FWTM≤7.5mm；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1.10.4 UFOV  FWTM≤8.0mm；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1.11 固有均匀性： </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1.11.1 CFOV微分≤2.5%；</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1.11.2 CFOV积分≤3.0%；</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1.11.3 UFOV微分≤3.0%；</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1.11.4 UFOV积分≤4.0%；</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1.12 固有空间线性：</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1.12.1 CFOV微分≤0.2mm；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1.12.2 CFOV绝对≤0.4mm；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1.12.3 UFOV微分≤0.2mm；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1.12.4 UFOV绝对≤0.7mm；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2.准直器要求​</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2.1 NaI机型提供低能高分辨准直器，CZT机型提供通用型准直器：​​</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2.1.1 系统灵敏度NEMA标准(低能高分辨准直器：10cm处)：≥200cpm/µCi</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2.1.2 系统分辨率(@10cm, FWHM）≤7.5mm；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2.1.3 孔长度≤35mm；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2.1.4 准直器壁厚：≥0.16mm；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▲2.1.5 低能高分辨型准直器重量：≤40kg/个；</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2.2 NaI机型提供提供高能准直器，CZT机型提供通用性准直器：</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▲2.2.1 系统灵敏度NEMA标准(高能通用准直器：10cm处)：≥120cpm/µCi；</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2.2.2 系统分辨率(@10cm, FWHM) ≤14.0mm；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2.2.3 孔长度≤66mm；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2.2.4 高能准直器壁厚：≥1.5mm；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▲2.2.5 高能准直器重量：≤135kg/个；</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2.3 中能准直器1对带独立准直器推车或其它形式，实现177Lu等中能核素显像；</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2.3.1 系统分辨率(@10cm, FWHM)≤12.5mm；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2.3.2 孔长度≤60mm；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2.3.3 壁厚≥1mm；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2.3.4 单个准直器重量≤100kg/个；</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2.3.5 系统灵敏度NEMA标准(中能准直器：10cm处)：≥270cpm/µCi；</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3.机架：​</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3.1 提供开放式机架设计；</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3.2 环形探头或双探头可成多种角度，进行不同位置断层扫描；</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3.3 SPECT机架旋转角度范围：≥540º；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3.4 SPECT机架旋转精度：≤0.1°；</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3.5 机架孔径：≥70cm；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3.6身体轮廓自动跟踪模式下，探头与病人的距离：≤1.5cm；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▲3.7 全身扫描矩阵：256×512，256×1024，512×1024；</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3.8 SPECT全身扫描长度：≥200cm；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3.9 SPECT探头连续螺旋采集；​</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3.10 SPECT探头连续最大转速：≤20s/圈；</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3.11 SPECT/CT系统机架重量：≤3800kg；</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4.检查床​​</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4.1 检查床最大承重：≥220kg；</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4.2 检查床的最低高度：≤60cm；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4.3 检查床的最高高度：≥100cm；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4.4 床位定位精准误差：≤1mm；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4.5 身体轮廓自动跟踪模式下，探头与病人的距离≤1.5cm；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4.6 具备病人安全保护装置；</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4.7 具备摆位监视器；</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4.8 全身扫描范围≥200cm；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5.SPECT采集模式；​</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5.1 具备平面Static采集功能；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5.2 具备平面dynamic采集功能；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5.3 具备平面gated 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5.4 具备断层SPECT 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5.5 具备断层gated SPEC采集功能；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5.6 具备dynamic SPECT（动态断层）采集功能；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5.7 具备whole-body 平面采集功能；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5.8 具备whole-body  SPECT(全身断层)采集功能；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6.螺旋CT​</w:t>
      </w:r>
      <w:r/>
    </w:p>
    <w:p>
      <w:pPr>
        <w:contextualSpacing/>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6.1 物理探测器排数≥16排</w:t>
      </w:r>
      <w:r>
        <w:rPr>
          <w:rFonts w:hint="eastAsia" w:ascii="宋体" w:hAnsi="宋体" w:eastAsia="宋体" w:cs="宋体"/>
          <w:b/>
          <w:bCs w:val="0"/>
          <w:color w:val="000000"/>
          <w:sz w:val="24"/>
          <w:szCs w:val="24"/>
          <w:highlight w:val="none"/>
          <w:lang w:val="en-US" w:eastAsia="zh-CN"/>
        </w:rPr>
        <w:t xml:space="preserve">，投标文件中提供技术白皮书加盖投标人公章，否则视为无效响应。</w:t>
      </w:r>
      <w:r>
        <w:rPr>
          <w:rFonts w:hint="eastAsia" w:ascii="宋体" w:hAnsi="宋体" w:eastAsia="宋体" w:cs="宋体"/>
          <w:b w:val="0"/>
          <w:bCs/>
          <w:color w:val="000000"/>
          <w:sz w:val="24"/>
          <w:szCs w:val="24"/>
          <w:highlight w:val="none"/>
          <w:lang w:val="en-US"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6.2 原始采集层数≥16 层；​</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6.3 重建层数≥32层；​</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▲6.4 最大高压发生器功率：≥60kw；</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▲6.5 最大球管阳极热容量：≥6.3MHU；</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6.6 球管最大输出电流：≥240mA；</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6.7 球管最大电压：≥130kV；</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6.8 球管焦点：焦点大小可变，≥2 种；</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▲6.8.1 球管小焦点面积：≤0.45mm²；</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▲6.8.2 球管大焦点面积：≤0.9mm²；</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6.9 CT空间分辨率（X/Y方向）：​</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▲6.9.1 空间分辨率@2%或@0% MTF(±10%)：≥17.0 lp/cm；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▲6.9.2 空间分辨率@10% MTF (±10%)：≥14.5 lp/cm；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6.10 CT重建视野：≥70cm；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6.11 最薄重建层厚：≤0.625mm；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▲6.12 最大SPECT与CT断层连续扫描范围：≥180cm；</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6.13 螺旋连续扫描最大时间：≥120秒；</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7.采集重建工作站​</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7.1 配备一体化超高档多功能全身扫描SPECT/CT采集操作工作站；</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7.2 提供独立采集工作站，SPECT和 CT为同一系统采集，window或Linux；</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7.3 CPU主频：自报；</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7.4 主内存：≥32GB；</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7.5 硬盘：≥960GB；</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7.6 数据图像传输：提供所有 DICOM3.0和Work list标准协议；</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8.独立影像工作站</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8.1 CPU主频：自报；</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8.2 主内存：≥96GB；</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8.3 硬盘：≥1.8TB；</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9.SPECT处理及显示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 具备2D感兴趣区(ROI)的生成、处理及显示；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 具备3D感兴趣区(VOI)的生成、处理及显示；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9.3 具备各种曲线的生成、计算、处理及显示；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9.4 具备图像的电影显示；​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9.5 具备全身断层采集与处理功能；​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9.6 具备动态采集与处理功能；​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9.7 具备滤波反投影和迭代法图像重建；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9.8 具备运动伪影自动识别及校正；​</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9.9 具备全身骨骼（或局部）分析；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9.10 具备肺通气和灌注分析；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9.11 具备甲状腺摄取分数计算；</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9.12 具备甲状旁腺成像分析；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9.13 具备胃排空指数分析；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9.14 具备食道运动分析；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9.15 具备胆囊排泄分数计算；</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9.16 具备肾脏灌注和功能分析；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9.17 具备心肌显像定量分析；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9.18 具备心肌血流灌注分析；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9.19 具备心血池处理(心脏收缩、舒张及运动功能)；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9.20 具备门电路心肌灌注断层显像质量控制；</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9.21 具备心脏首次通过分析；</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9.22 具备心室壁运动动态显示功能；​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9.23 具备动态肝胆时间放射性定量分析，包括自动提供排泄率、达峰时间、半排时间等。</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9.24 具备动态胃时间-放射性定量分析，包括自动提供排泄率、达峰时间、半排时间等。</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9.25 具备病人移动纠正技术；​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9.26 具备多时间点疗效评估；​</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9.27 提供4DM心脏后处理软件；​</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9.28 具备回顾式重建，采集完成后可调整参数多次重建；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9.29 具备心脏门控成像衰减校正技术；​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9.30 具备心脏门控成像散射校正技术；​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10.CT处理及显示；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 具备虚拟内窥镜技术；​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10.2 具备3D彩色透视解剖图谱功能；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10.3 具备VRT容积再现技术；​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10.4 具备Time line精准曝光显示；​</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10.5 具备CT造影剂追踪触发功能；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10.6 具备自适应定位相调制功能；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10.7 具备自适应管电流调制功能；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10.8 具备敏感部位剂量关爱技术（乳腺、甲状腺或眼晶状体等）；</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10.9 具备基于生数据和图像域的迭代重建技术；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10.10 具备低剂量锡板过滤光筛技术；​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10.11 具备MPR功能；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10.12 具备最大密度投影MIP功能；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10.13 具备最小密度投影MinIP功能；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10.14 具备表面三维SSD功能；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10.15 具备CT电影功能；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10.16 具备螺旋扫描降噪功能；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10.17 具备运动伪影校正功能；​</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11.先进技术：​​</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11.1 具备SPECT心脏成像技术，实现心脏高清显像；</w:t>
      </w:r>
      <w:r/>
    </w:p>
    <w:p>
      <w:pPr>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11.2 具备SPECT骨成像技术，实现骨骼高清显像。</w:t>
      </w:r>
      <w:r/>
    </w:p>
    <w:p>
      <w:pPr>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★12.投标人所供设备如涉及耗材或试剂，应保证所供设备涉及的配套耗材及试剂均在“江苏省药品医用耗材阳光采购服务网(http://ybj. jiangsu.gov.cn/col/co185454/index. html)” 备案, 如因所供设备配套耗材及试剂未在平台备案导致采购人无法正常使用设备的，采购人有权无条件退回相关设备并不承担投标人任何损失。此项为实质性响应条款，投标文件中提供承诺书加盖投标人公章，未提供将作为无效投标。</w:t>
      </w:r>
      <w:r/>
    </w:p>
    <w:p>
      <w:pPr>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13.本项目系统如涉及与医院平台系统(如HIS系统、LIS系统、PACS系统等)的接口对接、与现有/后期设备对接等产生的费用，均包含在投标报价中，由中标单位承担，采购人不再支付其他任何费用。此项为实质性响应条款，投标文件中提供承诺书加盖投标人公章，未提供将作为无效投标。</w:t>
      </w:r>
      <w:r/>
    </w:p>
    <w:p>
      <w:pPr>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验收标准</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产品必须是全新、未使用过的原装合格正品，完全符合招标文件规定的质量、规格和性能的要求，达到国家或行业规定的标准。</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投标人提供的产品必须能够满足规范及招标文件的要求，同时还必须满足使用要求；产品必须能通过</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eastAsia="zh-CN"/>
        </w:rPr>
        <w:t xml:space="preserve">人的质量验收等各类验收。</w:t>
      </w:r>
      <w:r/>
    </w:p>
    <w:p>
      <w:pPr>
        <w:contextualSpacing/>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六、其他要求</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按照《政府采购促进中小企业发展管理办法》（财库〔2020〕46号）的相关要求，</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eastAsia="zh-CN"/>
        </w:rPr>
        <w:t xml:space="preserve">人</w:t>
      </w:r>
      <w:r>
        <w:rPr>
          <w:rFonts w:hint="eastAsia" w:ascii="宋体" w:hAnsi="宋体" w:eastAsia="宋体" w:cs="宋体"/>
          <w:bCs/>
          <w:color w:val="000000"/>
          <w:sz w:val="24"/>
          <w:szCs w:val="24"/>
          <w:highlight w:val="none"/>
        </w:rPr>
        <w:t xml:space="preserve">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情况说明：</w:t>
      </w:r>
      <w:r>
        <w:rPr>
          <w:rFonts w:hint="eastAsia" w:ascii="宋体" w:hAnsi="宋体" w:eastAsia="宋体" w:cs="宋体"/>
          <w:color w:val="000000"/>
          <w:sz w:val="24"/>
          <w:szCs w:val="24"/>
          <w:highlight w:val="none"/>
          <w:lang w:val="en-US" w:eastAsia="zh-CN"/>
        </w:rPr>
        <w:t xml:space="preserve">预留采购份额无法确保充分供应、充分竞争，存在可能影响政府采购目标实现的情形。</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七、报价方式</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本项目投标报价为</w:t>
      </w:r>
      <w:r>
        <w:rPr>
          <w:rFonts w:hint="eastAsia" w:ascii="宋体" w:hAnsi="宋体" w:eastAsia="宋体" w:cs="宋体"/>
          <w:b/>
          <w:bCs w:val="0"/>
          <w:color w:val="000000"/>
          <w:sz w:val="24"/>
          <w:szCs w:val="24"/>
          <w:highlight w:val="none"/>
        </w:rPr>
        <w:t xml:space="preserve">固定</w:t>
      </w:r>
      <w:r>
        <w:rPr>
          <w:rFonts w:hint="eastAsia" w:ascii="宋体" w:hAnsi="宋体" w:eastAsia="宋体" w:cs="宋体"/>
          <w:b/>
          <w:bCs w:val="0"/>
          <w:color w:val="000000"/>
          <w:sz w:val="24"/>
          <w:szCs w:val="24"/>
          <w:highlight w:val="none"/>
          <w:lang w:val="en-US" w:eastAsia="zh-CN"/>
        </w:rPr>
        <w:t xml:space="preserve">总</w:t>
      </w:r>
      <w:r>
        <w:rPr>
          <w:rFonts w:hint="eastAsia" w:ascii="宋体" w:hAnsi="宋体" w:eastAsia="宋体" w:cs="宋体"/>
          <w:b/>
          <w:bCs w:val="0"/>
          <w:color w:val="000000"/>
          <w:sz w:val="24"/>
          <w:szCs w:val="24"/>
          <w:highlight w:val="none"/>
        </w:rPr>
        <w:t xml:space="preserve">价</w:t>
      </w:r>
      <w:r>
        <w:rPr>
          <w:rFonts w:hint="eastAsia" w:ascii="宋体" w:hAnsi="宋体" w:eastAsia="宋体" w:cs="宋体"/>
          <w:bCs/>
          <w:color w:val="000000"/>
          <w:sz w:val="24"/>
          <w:szCs w:val="24"/>
          <w:highlight w:val="none"/>
        </w:rPr>
        <w:t xml:space="preserve">，投标总价应包括招标文件所确定的招标范围相应货物和服务的供货、包装、运输、</w:t>
      </w:r>
      <w:r>
        <w:rPr>
          <w:rFonts w:hint="eastAsia" w:ascii="宋体" w:hAnsi="宋体" w:eastAsia="宋体" w:cs="宋体"/>
          <w:bCs/>
          <w:color w:val="000000"/>
          <w:sz w:val="24"/>
          <w:szCs w:val="24"/>
          <w:highlight w:val="none"/>
          <w:lang w:val="en-US" w:eastAsia="zh-CN"/>
        </w:rPr>
        <w:t xml:space="preserve">安装调试、配套产品费用、接口对接费用、与现有/后期设备对接等产生的费用、</w:t>
      </w:r>
      <w:r>
        <w:rPr>
          <w:rFonts w:hint="eastAsia" w:ascii="宋体" w:hAnsi="宋体" w:eastAsia="宋体" w:cs="宋体"/>
          <w:bCs/>
          <w:color w:val="000000"/>
          <w:sz w:val="24"/>
          <w:szCs w:val="24"/>
          <w:highlight w:val="none"/>
        </w:rPr>
        <w:t xml:space="preserve">保险、管理、维护、劳务、培训、验收、办公设备、设备、工具、耗材、运送工具、</w:t>
      </w:r>
      <w:r>
        <w:rPr>
          <w:rFonts w:hint="eastAsia" w:ascii="宋体" w:hAnsi="宋体" w:eastAsia="宋体" w:cs="宋体"/>
          <w:bCs/>
          <w:color w:val="000000"/>
          <w:sz w:val="24"/>
          <w:szCs w:val="24"/>
          <w:highlight w:val="none"/>
          <w:lang w:val="en-US" w:eastAsia="zh-CN"/>
        </w:rPr>
        <w:t xml:space="preserve">备品备件</w:t>
      </w:r>
      <w:r>
        <w:rPr>
          <w:rFonts w:hint="eastAsia" w:ascii="宋体" w:hAnsi="宋体" w:eastAsia="宋体" w:cs="宋体"/>
          <w:bCs/>
          <w:color w:val="000000"/>
          <w:sz w:val="24"/>
          <w:szCs w:val="24"/>
          <w:highlight w:val="none"/>
        </w:rPr>
        <w:t xml:space="preserve">、利润、风险、税金及政策性文件规定等各项应有费用，以及为完成该项货物和服务项目所涉及到的一切相关费用，</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不再支付其他任何费用。</w:t>
      </w:r>
      <w:r/>
    </w:p>
    <w:p>
      <w:pPr>
        <w:contextualSpacing/>
        <w:ind w:firstLine="480"/>
        <w:keepLines w:val="0"/>
        <w:keepNext w:val="0"/>
        <w:pageBreakBefore w:val="0"/>
        <w:spacing w:line="360" w:lineRule="auto"/>
        <w:widowControl w:val="off"/>
        <w:rPr>
          <w:rFonts w:hint="eastAsia"/>
          <w:color w:val="000000"/>
          <w:highlight w:val="none"/>
        </w:rPr>
        <w:outlineLvl w:val="9"/>
      </w:pPr>
      <w:r>
        <w:rPr>
          <w:rFonts w:hint="eastAsia" w:ascii="宋体" w:hAnsi="宋体" w:eastAsia="宋体" w:cs="宋体"/>
          <w:bCs/>
          <w:color w:val="000000"/>
          <w:sz w:val="24"/>
          <w:szCs w:val="24"/>
          <w:highlight w:val="none"/>
        </w:rPr>
        <w:t xml:space="preserve">报价货币为人民币，评</w:t>
      </w:r>
      <w:r>
        <w:rPr>
          <w:rFonts w:hint="eastAsia" w:ascii="宋体" w:hAnsi="宋体" w:eastAsia="宋体" w:cs="宋体"/>
          <w:bCs/>
          <w:color w:val="000000"/>
          <w:sz w:val="24"/>
          <w:szCs w:val="24"/>
          <w:highlight w:val="none"/>
          <w:lang w:val="en-US" w:eastAsia="zh-CN"/>
        </w:rPr>
        <w:t xml:space="preserve">审</w:t>
      </w:r>
      <w:r>
        <w:rPr>
          <w:rFonts w:hint="eastAsia" w:ascii="宋体" w:hAnsi="宋体" w:eastAsia="宋体" w:cs="宋体"/>
          <w:bCs/>
          <w:color w:val="000000"/>
          <w:sz w:val="24"/>
          <w:szCs w:val="24"/>
          <w:highlight w:val="none"/>
        </w:rPr>
        <w:t xml:space="preserve">时以人民币为准。</w:t>
      </w:r>
      <w:r/>
    </w:p>
    <w:p>
      <w:pPr>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jc w:val="center"/>
        <w:spacing w:line="360" w:lineRule="auto"/>
        <w:rPr>
          <w:b/>
          <w:color w:val="000000"/>
          <w:sz w:val="36"/>
          <w:szCs w:val="36"/>
          <w:highlight w:val="none"/>
        </w:rPr>
        <w:outlineLvl w:val="0"/>
      </w:pPr>
      <w:r/>
      <w:bookmarkStart w:id="778" w:name="_Toc16116"/>
      <w:r>
        <w:rPr>
          <w:b/>
          <w:color w:val="000000"/>
          <w:sz w:val="36"/>
          <w:szCs w:val="36"/>
          <w:highlight w:val="none"/>
        </w:rPr>
        <w:t xml:space="preserve">第六章   拟签订的合同文本</w:t>
      </w:r>
      <w:bookmarkEnd w:id="778"/>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签订地点：常州市武进人民医院</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 SBK-- 202</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rPr>
        <w:t xml:space="preserve">常州市武进人民医院                       </w:t>
      </w:r>
      <w:r>
        <w:rPr>
          <w:rFonts w:hint="eastAsia" w:ascii="宋体" w:hAnsi="宋体" w:eastAsia="宋体" w:cs="宋体"/>
          <w:b/>
          <w:color w:val="000000"/>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江苏省常州市永宁北路2号                 </w:t>
      </w:r>
      <w:r>
        <w:rPr>
          <w:rFonts w:hint="eastAsia" w:ascii="宋体" w:hAnsi="宋体" w:eastAsia="宋体" w:cs="宋体"/>
          <w:b/>
          <w:color w:val="000000"/>
          <w:sz w:val="24"/>
          <w:szCs w:val="24"/>
          <w:highlight w:val="none"/>
        </w:rPr>
        <w:t xml:space="preserve">地址：</w:t>
      </w:r>
      <w:r/>
    </w:p>
    <w:p>
      <w:pP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0519-88587049(设备科)                    </w:t>
      </w:r>
      <w:r>
        <w:rPr>
          <w:rFonts w:hint="eastAsia" w:ascii="宋体" w:hAnsi="宋体" w:eastAsia="宋体" w:cs="宋体"/>
          <w:b/>
          <w:color w:val="000000"/>
          <w:sz w:val="24"/>
          <w:szCs w:val="24"/>
          <w:highlight w:val="none"/>
        </w:rPr>
        <w:t xml:space="preserve">电话：</w:t>
      </w:r>
      <w:r/>
    </w:p>
    <w:p>
      <w:pPr>
        <w:keepLines w:val="0"/>
        <w:keepNext w:val="0"/>
        <w:pageBreakBefore w:val="0"/>
        <w:spacing w:line="360" w:lineRule="auto"/>
        <w:widowControl w:val="off"/>
        <w:rPr>
          <w:rFonts w:hint="eastAsia" w:ascii="仿宋" w:hAnsi="仿宋" w:eastAsia="仿宋"/>
          <w:b/>
          <w:color w:val="000000"/>
          <w:szCs w:val="21"/>
          <w:highlight w:val="none"/>
        </w:rPr>
      </w:pPr>
      <w:r>
        <w:rPr>
          <w:rFonts w:hint="eastAsia" w:ascii="宋体" w:hAnsi="宋体" w:eastAsia="宋体" w:cs="宋体"/>
          <w:b/>
          <w:color w:val="000000"/>
          <w:sz w:val="24"/>
          <w:szCs w:val="24"/>
          <w:highlight w:val="none"/>
        </w:rPr>
        <w:t xml:space="preserve">邮编：</w:t>
      </w:r>
      <w:r>
        <w:rPr>
          <w:rFonts w:hint="eastAsia" w:ascii="宋体" w:hAnsi="宋体" w:eastAsia="宋体" w:cs="宋体"/>
          <w:color w:val="000000"/>
          <w:sz w:val="24"/>
          <w:szCs w:val="24"/>
          <w:highlight w:val="none"/>
        </w:rPr>
        <w:t xml:space="preserve">213002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邮编：</w:t>
      </w:r>
      <w:r>
        <w:rPr>
          <w:rFonts w:hint="eastAsia" w:ascii="仿宋" w:hAnsi="仿宋" w:eastAsia="仿宋"/>
          <w:color w:val="000000"/>
          <w:szCs w:val="21"/>
          <w:highlight w:val="none"/>
        </w:rPr>
        <w:t xml:space="preserve"> </w:t>
      </w:r>
      <w:r/>
    </w:p>
    <w:p>
      <w:pPr>
        <w:pStyle w:val="1089"/>
        <w:ind w:left="0" w:firstLine="0"/>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r>
      <w:r/>
    </w:p>
    <w:p>
      <w:pPr>
        <w:pStyle w:val="1089"/>
        <w:ind w:left="0" w:firstLine="0"/>
        <w:rPr>
          <w:rFonts w:hint="eastAsia"/>
          <w:color w:val="000000"/>
          <w:sz w:val="21"/>
          <w:szCs w:val="21"/>
          <w:highlight w:val="none"/>
          <w:lang w:val="en-US" w:eastAsia="zh-CN"/>
        </w:rPr>
      </w:pPr>
      <w:r>
        <w:rPr>
          <w:rFonts w:hint="eastAsia" w:hAnsi="宋体" w:cs="宋体"/>
          <w:b/>
          <w:bCs/>
          <w:color w:val="000000"/>
          <w:sz w:val="21"/>
          <w:szCs w:val="21"/>
          <w:highlight w:val="none"/>
          <w:lang w:val="en-US" w:eastAsia="zh-CN"/>
        </w:rPr>
        <w:t xml:space="preserve">见证方</w:t>
      </w:r>
      <w:r>
        <w:rPr>
          <w:rFonts w:hint="eastAsia" w:hAnsi="宋体" w:cs="宋体"/>
          <w:b/>
          <w:bCs/>
          <w:color w:val="000000"/>
          <w:sz w:val="21"/>
          <w:szCs w:val="21"/>
          <w:highlight w:val="none"/>
          <w:lang w:eastAsia="zh-CN"/>
        </w:rPr>
        <w:t xml:space="preserve">：</w:t>
      </w:r>
      <w:r/>
    </w:p>
    <w:p>
      <w:pPr>
        <w:pStyle w:val="1089"/>
        <w:ind w:firstLine="504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合同时间: </w:t>
      </w:r>
      <w:r>
        <w:rPr>
          <w:rFonts w:hint="eastAsia" w:hAnsi="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 日</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p>
    <w:p>
      <w:pPr>
        <w:pStyle w:val="112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p>
    <w:tbl>
      <w:tblPr>
        <w:tblStyle w:val="917"/>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1004"/>
        <w:gridCol w:w="1335"/>
        <w:gridCol w:w="1140"/>
        <w:gridCol w:w="1365"/>
        <w:gridCol w:w="1808"/>
      </w:tblGrid>
      <w:tr>
        <w:trPr>
          <w:trHeight w:val="283"/>
        </w:trPr>
        <w:tc>
          <w:tcPr>
            <w:tcW w:w="1865" w:type="dxa"/>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设备名称</w:t>
            </w:r>
            <w:r/>
          </w:p>
        </w:tc>
        <w:tc>
          <w:tcPr>
            <w:tcW w:w="1004" w:type="dxa"/>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品牌</w:t>
            </w:r>
            <w:r/>
          </w:p>
        </w:tc>
        <w:tc>
          <w:tcPr>
            <w:tcW w:w="1335" w:type="dxa"/>
            <w:vAlign w:val="center"/>
            <w:textDirection w:val="lrTb"/>
            <w:noWrap w:val="false"/>
          </w:tcPr>
          <w:p>
            <w:pPr>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规格型号</w:t>
            </w:r>
            <w:r/>
          </w:p>
        </w:tc>
        <w:tc>
          <w:tcPr>
            <w:tcW w:w="1140" w:type="dxa"/>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数量</w:t>
            </w:r>
            <w:r/>
          </w:p>
        </w:tc>
        <w:tc>
          <w:tcPr>
            <w:tcW w:w="1365" w:type="dxa"/>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单价（元）</w:t>
            </w:r>
            <w:r/>
          </w:p>
        </w:tc>
        <w:tc>
          <w:tcPr>
            <w:tcW w:w="1808" w:type="dxa"/>
            <w:vAlign w:val="center"/>
            <w:textDirection w:val="lrTb"/>
            <w:noWrap w:val="false"/>
          </w:tcPr>
          <w:p>
            <w:pPr>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bookmarkStart w:id="779" w:name="OLE_LINK1"/>
            <w:r>
              <w:rPr>
                <w:rFonts w:hint="eastAsia" w:ascii="宋体" w:hAnsi="宋体" w:eastAsia="宋体" w:cs="宋体"/>
                <w:b/>
                <w:bCs/>
                <w:color w:val="000000"/>
                <w:sz w:val="24"/>
                <w:szCs w:val="24"/>
                <w:highlight w:val="none"/>
                <w:lang w:val="en-US" w:eastAsia="zh-CN"/>
              </w:rPr>
              <w:t xml:space="preserve">中标总价（元）</w:t>
            </w:r>
            <w:bookmarkEnd w:id="779"/>
            <w:r/>
            <w:r/>
          </w:p>
        </w:tc>
      </w:tr>
      <w:tr>
        <w:trPr>
          <w:trHeight w:val="283"/>
        </w:trPr>
        <w:tc>
          <w:tcPr>
            <w:tcW w:w="1865" w:type="dxa"/>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004" w:type="dxa"/>
            <w:vAlign w:val="center"/>
            <w:textDirection w:val="lrTb"/>
            <w:noWrap w:val="false"/>
          </w:tcPr>
          <w:p>
            <w:pPr>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335" w:type="dxa"/>
            <w:vAlign w:val="center"/>
            <w:textDirection w:val="lrTb"/>
            <w:noWrap w:val="false"/>
          </w:tcPr>
          <w:p>
            <w:pPr>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140" w:type="dxa"/>
            <w:vAlign w:val="center"/>
            <w:textDirection w:val="lrTb"/>
            <w:noWrap w:val="false"/>
          </w:tcPr>
          <w:p>
            <w:pPr>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365" w:type="dxa"/>
            <w:vAlign w:val="center"/>
            <w:textDirection w:val="lrTb"/>
            <w:noWrap w:val="false"/>
          </w:tcPr>
          <w:p>
            <w:pPr>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808" w:type="dxa"/>
            <w:vAlign w:val="center"/>
            <w:textDirection w:val="lrTb"/>
            <w:noWrap w:val="false"/>
          </w:tcPr>
          <w:p>
            <w:pPr>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r>
    </w:tbl>
    <w:p>
      <w:pPr>
        <w:pStyle w:val="112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p>
    <w:p>
      <w:pPr>
        <w:pStyle w:val="1125"/>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应包括招标文件所确定的招标范围相应货物和服务的供货、包装、运输、安装调试、配套产品费用、接口对接费用、与现有/后期设备对接等产生的费用、保险、管理、维护、劳务、培训、验收、办公设备、设备、工具、耗材、运送工具、备品备件、利润、风险、税金及政策性文件规定等各项应有费用，以及为完成该项货物和服务项目所涉及到的一切相关费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不再支付其他任何费用。</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p>
    <w:p>
      <w:pPr>
        <w:pStyle w:val="112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第三条 组成本合同的有关文件</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（1）招标文件（编号：</w:t>
      </w:r>
      <w:r>
        <w:rPr>
          <w:rFonts w:hint="eastAsia" w:ascii="宋体" w:hAnsi="宋体" w:eastAsia="宋体" w:cs="宋体"/>
          <w:color w:val="000000"/>
          <w:sz w:val="24"/>
          <w:szCs w:val="24"/>
          <w:highlight w:val="none"/>
          <w:lang w:eastAsia="zh-CN"/>
        </w:rPr>
        <w:t xml:space="preserve">JSZC-320412-SYZB-G2026-0032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（2）乙方提供的投标文件；</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第四条 权利保证</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w:t>
      </w:r>
      <w:r>
        <w:rPr>
          <w:rFonts w:hint="eastAsia" w:ascii="宋体" w:hAnsi="宋体" w:eastAsia="宋体" w:cs="宋体"/>
          <w:color w:val="000000"/>
          <w:sz w:val="24"/>
          <w:szCs w:val="24"/>
          <w:highlight w:val="none"/>
          <w:shd w:val="clear" w:color="auto" w:fill="ffffff"/>
        </w:rPr>
        <w:t xml:space="preserve">、著作权、商标权等知识产权的起诉。</w:t>
      </w:r>
      <w:r>
        <w:rPr>
          <w:rFonts w:hint="eastAsia" w:ascii="宋体" w:hAnsi="宋体" w:eastAsia="宋体" w:cs="宋体"/>
          <w:color w:val="000000"/>
          <w:sz w:val="24"/>
          <w:szCs w:val="24"/>
          <w:highlight w:val="none"/>
        </w:rPr>
        <w:t xml:space="preserve">一旦出现侵权、索赔或诉讼，乙方应承担全部责任，同时甲方有权解除本合同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并要求乙方承担相应的违约责任</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第五条 质量保证</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1.乙方所提供的货物的技术规格应与招标文件规定的技术规格及所附的“技术规格响应表”相一致；若技术性能无特殊说明，则按国家有关部门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合同签订时）</w:t>
      </w:r>
      <w:r>
        <w:rPr>
          <w:rFonts w:hint="eastAsia" w:ascii="宋体" w:hAnsi="宋体" w:eastAsia="宋体" w:cs="宋体"/>
          <w:color w:val="000000"/>
          <w:sz w:val="24"/>
          <w:szCs w:val="24"/>
          <w:highlight w:val="none"/>
        </w:rPr>
        <w:t xml:space="preserve">最新颁布的标准及规范为准。</w:t>
      </w:r>
      <w:r/>
    </w:p>
    <w:p>
      <w:pPr>
        <w:pStyle w:val="112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第六条 包装要求</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2.每一包装单元内应附详细的装箱单和质量合格凭证。</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3.乙方保证货物不存在危及人身及财产安全的产品缺陷，否则应承担全部法律责任。</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第七条 交货和验收</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1.乙方应当在合同签订后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天内将货物交付甲方正常使用，地点由甲方指定。招标文件有约定的，从其约定。</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3.货物的到货验收包括：生产厂家名称、品牌、型号、规格、数量、外观质量、配置及货物包装是否完好。</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5.货物验收的标准：按行业通行标准、厂方出厂标准和乙方投标文件的承诺（并不低于国家相关标准）。</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第八条 合同款结算及支付</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3.结算原则：固定总价。</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安装调试验收合格，临床科室开具领用单，货物入库后6个月内付至合同款的40%,9个月内付至合同款的90%，使用一年后（终验合格）付清10%余款。设备验收合格后，乙方开具发票并确保发票上所列品名、型号与合同所列完全一致。</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第九条 伴随服务／售后服务</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2.若招标文件中不包含有关伴随服务或售后服务的承诺，双方作如下约定：</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2.2所购货物按乙方投标承诺提供免费维护和质量保证，保修费用计入总价。</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2.3保修期内，乙方负责对其提供的货物整机进行维修和系统维护，不再收取任何费用，但不可抗力（如火灾、雷击等）造成的故障除外。</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2.4货物故障报修的响应时间按乙方投标承诺执行。</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2.5若货物故障在检修</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工作小时后仍无法排除，乙方应在</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小时内免费提供不低于故障货物规格型号档次的备用货物供甲方使用，直至故障货物修复。</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2.6所有货物保修服务方式均为乙方上门保修，即由乙方派员到货物使用现场维修，由此产生的一切费用均由乙方承担。</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2.7保修期后的货物维护由双方协商再定。</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.本项目免费保修期为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年。自产品验收合格之日起计算。</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违约责任</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第十一条 合同的变更和终止</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第十二条 合同的转让</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第十三条 不可抗力</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第十四条 质量问题或缺陷的索赔</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第十五条 争议的解决</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）种方式解决争议：</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p>
    <w:p>
      <w:pPr>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如没有约定，默认采取第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3、在法院审理和仲裁期间，除有争议部分外，本合同其他部分应继续履行。</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第十六条 诚实信用 </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第十七条 合同生效及其他</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份，甲乙双方各执贰份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见证方壹份</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p>
    <w:p>
      <w:pPr>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ind w:firstLine="482"/>
        <w:jc w:val="left"/>
        <w:keepLines w:val="0"/>
        <w:keepNext w:val="0"/>
        <w:pageBreakBefore w:val="0"/>
        <w:spacing w:line="360" w:lineRule="auto"/>
        <w:tabs>
          <w:tab w:val="left" w:pos="4844"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乙 方：</w:t>
      </w:r>
      <w:r>
        <w:rPr>
          <w:rFonts w:hint="eastAsia" w:ascii="仿宋" w:hAnsi="仿宋" w:eastAsia="仿宋"/>
          <w:color w:val="000000"/>
          <w:sz w:val="24"/>
          <w:szCs w:val="24"/>
          <w:highlight w:val="none"/>
        </w:rPr>
        <w:t xml:space="preserve"> </w:t>
      </w:r>
      <w:r/>
    </w:p>
    <w:p>
      <w:pPr>
        <w:ind w:firstLine="480"/>
        <w:keepLines w:val="0"/>
        <w:keepNext w:val="0"/>
        <w:pageBreakBefore w:val="0"/>
        <w:spacing w:line="360" w:lineRule="auto"/>
        <w:rPr>
          <w:rFonts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lang w:val="en-US" w:eastAsia="zh-CN"/>
        </w:rPr>
        <w:t xml:space="preserve"> 常州市武进人民医院</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单位名称（章）：</w:t>
      </w:r>
      <w:r>
        <w:rPr>
          <w:rFonts w:hint="eastAsia" w:ascii="宋体" w:hAnsi="宋体" w:cs="宋体"/>
          <w:color w:val="000000"/>
          <w:sz w:val="24"/>
          <w:szCs w:val="24"/>
          <w:highlight w:val="none"/>
          <w:u w:val="none"/>
          <w:lang w:val="en-US" w:eastAsia="zh-CN"/>
        </w:rPr>
        <w:t xml:space="preserve">         </w:t>
      </w:r>
      <w:r/>
    </w:p>
    <w:p>
      <w:pPr>
        <w:ind w:firstLine="480"/>
        <w:keepLines w:val="0"/>
        <w:keepNext w:val="0"/>
        <w:pageBreakBefore w:val="0"/>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常州市天宁区永宁北路2号</w:t>
      </w:r>
      <w:r>
        <w:rPr>
          <w:rFonts w:hint="eastAsia" w:ascii="宋体" w:hAnsi="宋体" w:cs="宋体"/>
          <w:color w:val="000000"/>
          <w:sz w:val="24"/>
          <w:szCs w:val="24"/>
          <w:highlight w:val="none"/>
          <w:lang w:val="en-US" w:eastAsia="zh-CN"/>
        </w:rPr>
        <w:t xml:space="preserve">      </w:t>
      </w:r>
      <w:r>
        <w:rPr>
          <w:rFonts w:ascii="宋体" w:hAnsi="宋体" w:eastAsia="宋体"/>
          <w:color w:val="000000"/>
          <w:sz w:val="24"/>
          <w:szCs w:val="24"/>
          <w:highlight w:val="none"/>
        </w:rPr>
        <w:t xml:space="preserve">法定代表人</w:t>
      </w:r>
      <w:r>
        <w:rPr>
          <w:rFonts w:hint="eastAsia" w:ascii="宋体" w:hAnsi="宋体"/>
          <w:color w:val="000000"/>
          <w:sz w:val="24"/>
          <w:szCs w:val="24"/>
          <w:highlight w:val="none"/>
          <w:lang w:eastAsia="zh-CN"/>
        </w:rPr>
        <w:t xml:space="preserve">或</w:t>
      </w:r>
      <w:r>
        <w:rPr>
          <w:rFonts w:ascii="宋体" w:hAnsi="宋体" w:eastAsia="宋体"/>
          <w:color w:val="000000"/>
          <w:sz w:val="24"/>
          <w:szCs w:val="24"/>
          <w:highlight w:val="none"/>
        </w:rPr>
        <w:t xml:space="preserve">委托代理人：</w:t>
      </w:r>
      <w:r/>
    </w:p>
    <w:p>
      <w:pPr>
        <w:ind w:firstLine="480"/>
        <w:jc w:val="left"/>
        <w:spacing w:line="360" w:lineRule="auto"/>
        <w:rPr>
          <w:rFonts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                </w:t>
      </w:r>
      <w:r>
        <w:rPr>
          <w:rFonts w:ascii="宋体" w:hAnsi="宋体" w:eastAsia="宋体"/>
          <w:color w:val="000000"/>
          <w:sz w:val="24"/>
          <w:szCs w:val="24"/>
          <w:highlight w:val="none"/>
        </w:rPr>
        <w:t xml:space="preserve">电 话：</w:t>
      </w:r>
      <w:r/>
    </w:p>
    <w:p>
      <w:pPr>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传真：</w:t>
      </w:r>
      <w:r>
        <w:rPr>
          <w:rFonts w:hint="eastAsia" w:ascii="宋体" w:hAnsi="宋体" w:cs="宋体"/>
          <w:color w:val="000000"/>
          <w:sz w:val="24"/>
          <w:szCs w:val="24"/>
          <w:highlight w:val="none"/>
          <w:lang w:val="en-US" w:eastAsia="zh-CN"/>
        </w:rPr>
        <w:t xml:space="preserve">     </w:t>
      </w:r>
      <w:r/>
    </w:p>
    <w:p>
      <w:pPr>
        <w:ind w:firstLine="480"/>
        <w:jc w:val="left"/>
        <w:spacing w:line="360" w:lineRule="auto"/>
        <w:rPr>
          <w:rFonts w:ascii="宋体" w:hAnsi="宋体" w:eastAsia="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lang w:eastAsia="zh-CN"/>
        </w:rPr>
        <w:t xml:space="preserve">0519-</w:t>
      </w:r>
      <w:r>
        <w:rPr>
          <w:rFonts w:hint="eastAsia" w:ascii="宋体" w:hAnsi="宋体" w:cs="宋体"/>
          <w:color w:val="000000"/>
          <w:sz w:val="24"/>
          <w:szCs w:val="24"/>
          <w:highlight w:val="none"/>
          <w:lang w:val="en-US" w:eastAsia="zh-CN"/>
        </w:rPr>
        <w:t xml:space="preserve">88587049                     </w:t>
      </w:r>
      <w:r>
        <w:rPr>
          <w:rFonts w:ascii="宋体" w:hAnsi="宋体" w:eastAsia="宋体"/>
          <w:color w:val="000000"/>
          <w:sz w:val="24"/>
          <w:szCs w:val="24"/>
          <w:highlight w:val="none"/>
        </w:rPr>
        <w:t xml:space="preserve">开户银行：</w:t>
      </w:r>
      <w:r/>
    </w:p>
    <w:p>
      <w:pPr>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ascii="宋体" w:hAnsi="宋体" w:eastAsia="宋体"/>
          <w:color w:val="000000"/>
          <w:sz w:val="24"/>
          <w:szCs w:val="24"/>
          <w:highlight w:val="none"/>
        </w:rPr>
        <w:t xml:space="preserve">传    真：</w:t>
      </w:r>
      <w:r>
        <w:rPr>
          <w:rFonts w:hint="eastAsia" w:ascii="宋体" w:hAnsi="宋体"/>
          <w:color w:val="000000"/>
          <w:sz w:val="24"/>
          <w:szCs w:val="24"/>
          <w:highlight w:val="none"/>
          <w:lang w:val="en-US" w:eastAsia="zh-CN"/>
        </w:rPr>
        <w:t xml:space="preserve">                              </w:t>
      </w:r>
      <w:r>
        <w:rPr>
          <w:rFonts w:ascii="宋体" w:hAnsi="宋体" w:eastAsia="宋体"/>
          <w:color w:val="000000"/>
          <w:sz w:val="24"/>
          <w:szCs w:val="24"/>
          <w:highlight w:val="none"/>
        </w:rPr>
        <w:t xml:space="preserve">账   号：</w:t>
      </w:r>
      <w:r/>
    </w:p>
    <w:p>
      <w:pPr>
        <w:ind w:firstLine="480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[见证方]</w:t>
      </w:r>
      <w:r/>
    </w:p>
    <w:p>
      <w:pPr>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单位名称：</w:t>
      </w:r>
      <w:r/>
    </w:p>
    <w:p>
      <w:pPr>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单位地址：</w:t>
      </w:r>
      <w:r/>
    </w:p>
    <w:p>
      <w:pPr>
        <w:ind w:firstLine="240"/>
        <w:spacing w:line="440" w:lineRule="exact"/>
        <w:rPr>
          <w:rFonts w:hint="eastAsia" w:ascii="宋体" w:hAnsi="宋体" w:eastAsia="宋体" w:cs="宋体"/>
          <w:color w:val="000000"/>
          <w:sz w:val="24"/>
          <w:szCs w:val="24"/>
          <w:highlight w:val="none"/>
        </w:rPr>
      </w:pPr>
      <w:r>
        <w:rPr>
          <w:rFonts w:ascii="宋体" w:hAnsi="宋体" w:eastAsia="宋体"/>
          <w:color w:val="000000"/>
          <w:sz w:val="24"/>
          <w:szCs w:val="24"/>
          <w:highlight w:val="none"/>
        </w:rPr>
        <w:t xml:space="preserve">备案日期：    年    月    日</w:t>
      </w:r>
      <w:r/>
    </w:p>
    <w:p>
      <w:pP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contextualSpacing/>
        <w:jc w:val="center"/>
        <w:keepLines w:val="0"/>
        <w:keepNext w:val="0"/>
        <w:pageBreakBefore w:val="0"/>
        <w:spacing w:line="360" w:lineRule="auto"/>
        <w:widowControl w:val="off"/>
        <w:rPr>
          <w:b/>
          <w:color w:val="000000"/>
          <w:sz w:val="36"/>
          <w:szCs w:val="36"/>
          <w:highlight w:val="none"/>
        </w:rPr>
        <w:outlineLvl w:val="0"/>
      </w:pPr>
      <w:r/>
      <w:bookmarkStart w:id="780" w:name="_Toc14478"/>
      <w:r>
        <w:rPr>
          <w:b/>
          <w:color w:val="000000"/>
          <w:sz w:val="36"/>
          <w:szCs w:val="36"/>
          <w:highlight w:val="none"/>
        </w:rPr>
        <w:t xml:space="preserve">第七章   投标文件格式</w:t>
      </w:r>
      <w:bookmarkEnd w:id="780"/>
      <w:r/>
      <w:r/>
    </w:p>
    <w:p>
      <w:pPr>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ind w:left="142"/>
        <w:spacing w:line="360" w:lineRule="auto"/>
        <w:tabs>
          <w:tab w:val="left" w:pos="900" w:leader="none"/>
          <w:tab w:val="left" w:pos="1980" w:leader="none"/>
        </w:tabs>
        <w:rPr>
          <w:b/>
          <w:color w:val="000000"/>
          <w:sz w:val="24"/>
          <w:highlight w:val="none"/>
        </w:rPr>
        <w:outlineLvl w:val="9"/>
      </w:pPr>
      <w:r>
        <w:rPr>
          <w:b/>
          <w:color w:val="000000"/>
          <w:sz w:val="24"/>
          <w:highlight w:val="none"/>
        </w:rPr>
      </w:r>
      <w:r/>
    </w:p>
    <w:p>
      <w:pPr>
        <w:ind w:left="142"/>
        <w:spacing w:line="360" w:lineRule="auto"/>
        <w:tabs>
          <w:tab w:val="left" w:pos="900" w:leader="none"/>
          <w:tab w:val="left" w:pos="1980" w:leader="none"/>
        </w:tabs>
        <w:rPr>
          <w:color w:val="000000"/>
          <w:sz w:val="24"/>
          <w:highlight w:val="none"/>
        </w:rPr>
        <w:outlineLvl w:val="9"/>
      </w:pPr>
      <w:r>
        <w:rPr>
          <w:b/>
          <w:color w:val="000000"/>
          <w:sz w:val="24"/>
          <w:highlight w:val="none"/>
        </w:rPr>
        <w:t xml:space="preserve">投标人编制文件须知</w:t>
      </w:r>
      <w:r/>
    </w:p>
    <w:p>
      <w:pPr>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1、投标人按照本部分的顺序编制投标文件（资格证明文件）、投标文件（</w:t>
      </w:r>
      <w:r>
        <w:rPr>
          <w:rFonts w:hint="eastAsia"/>
          <w:color w:val="000000"/>
          <w:sz w:val="24"/>
          <w:highlight w:val="none"/>
          <w:lang w:eastAsia="zh-CN"/>
        </w:rPr>
        <w:t xml:space="preserve">商务技术文件</w:t>
      </w:r>
      <w:r>
        <w:rPr>
          <w:color w:val="000000"/>
          <w:sz w:val="24"/>
          <w:highlight w:val="none"/>
        </w:rPr>
        <w:t xml:space="preserve">），编制中涉及格式资料的，应按照本部分提供的内容和格式（所有表格的格式可扩展）填写提交。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color w:val="000000"/>
          <w:sz w:val="24"/>
          <w:highlight w:val="none"/>
          <w:lang w:val="en-US" w:eastAsia="zh-CN"/>
        </w:rPr>
        <w:outlineLvl w:val="9"/>
      </w:pPr>
      <w:r>
        <w:rPr>
          <w:rFonts w:hint="eastAsia"/>
          <w:color w:val="000000"/>
          <w:sz w:val="24"/>
          <w:highlight w:val="none"/>
          <w:lang w:val="en-US" w:eastAsia="zh-CN"/>
        </w:rPr>
        <w:t xml:space="preserve">4、实行电子化不见面交易方式的，加盖公章、签名等均通过投标文件编制工具加盖电子公章、签字、签章或印鉴。</w:t>
      </w:r>
      <w:r/>
    </w:p>
    <w:p>
      <w:pPr>
        <w:ind w:left="142"/>
        <w:spacing w:line="360" w:lineRule="auto"/>
        <w:tabs>
          <w:tab w:val="left" w:pos="900" w:leader="none"/>
          <w:tab w:val="left" w:pos="1980" w:leader="none"/>
        </w:tabs>
        <w:rPr>
          <w:b/>
          <w:color w:val="000000"/>
          <w:sz w:val="30"/>
          <w:szCs w:val="20"/>
          <w:highlight w:val="none"/>
        </w:rPr>
        <w:outlineLvl w:val="9"/>
      </w:pPr>
      <w:r>
        <w:rPr>
          <w:color w:val="000000"/>
          <w:sz w:val="24"/>
          <w:highlight w:val="none"/>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color w:val="000000"/>
          <w:spacing w:val="20"/>
          <w:sz w:val="24"/>
          <w:highlight w:val="none"/>
        </w:rPr>
        <w:t xml:space="preserve">一、资格证明文件格式</w:t>
      </w:r>
      <w:r/>
    </w:p>
    <w:p>
      <w:pPr>
        <w:rPr>
          <w:b/>
          <w:color w:val="000000"/>
          <w:spacing w:val="20"/>
          <w:szCs w:val="21"/>
          <w:highlight w:val="none"/>
        </w:rPr>
        <w:outlineLvl w:val="9"/>
      </w:pPr>
      <w:r>
        <w:rPr>
          <w:b/>
          <w:color w:val="000000"/>
          <w:spacing w:val="20"/>
          <w:szCs w:val="21"/>
          <w:highlight w:val="none"/>
        </w:rPr>
      </w:r>
      <w:r/>
    </w:p>
    <w:p>
      <w:pPr>
        <w:rPr>
          <w:b/>
          <w:color w:val="000000"/>
          <w:sz w:val="24"/>
          <w:highlight w:val="none"/>
        </w:rPr>
        <w:outlineLvl w:val="9"/>
      </w:pPr>
      <w:r>
        <w:rPr>
          <w:b/>
          <w:color w:val="000000"/>
          <w:spacing w:val="20"/>
          <w:sz w:val="24"/>
          <w:highlight w:val="none"/>
        </w:rPr>
        <w:t xml:space="preserve">投标文件</w:t>
      </w:r>
      <w:r>
        <w:rPr>
          <w:b/>
          <w:color w:val="000000"/>
          <w:sz w:val="24"/>
          <w:highlight w:val="none"/>
        </w:rPr>
        <w:t xml:space="preserve">封面（非实质性格式）</w:t>
      </w:r>
      <w:r/>
    </w:p>
    <w:p>
      <w:pPr>
        <w:jc w:val="center"/>
        <w:rPr>
          <w:color w:val="000000"/>
          <w:szCs w:val="21"/>
          <w:highlight w:val="none"/>
        </w:rPr>
        <w:outlineLvl w:val="9"/>
      </w:pPr>
      <w:r>
        <w:rPr>
          <w:color w:val="000000"/>
          <w:szCs w:val="21"/>
          <w:highlight w:val="none"/>
        </w:rPr>
      </w:r>
      <w:r/>
    </w:p>
    <w:p>
      <w:pPr>
        <w:jc w:val="center"/>
        <w:rPr>
          <w:b/>
          <w:color w:val="000000"/>
          <w:spacing w:val="60"/>
          <w:sz w:val="84"/>
          <w:szCs w:val="84"/>
          <w:highlight w:val="none"/>
        </w:rPr>
        <w:outlineLvl w:val="9"/>
      </w:pPr>
      <w:r>
        <w:rPr>
          <w:b/>
          <w:color w:val="000000"/>
          <w:spacing w:val="60"/>
          <w:sz w:val="84"/>
          <w:szCs w:val="84"/>
          <w:highlight w:val="none"/>
        </w:rPr>
        <w:t xml:space="preserve">投 标 文 件</w:t>
      </w:r>
      <w:r/>
    </w:p>
    <w:p>
      <w:pPr>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ind w:firstLine="963"/>
        <w:rPr>
          <w:rFonts w:hint="eastAsia"/>
          <w:b/>
          <w:color w:val="000000"/>
          <w:spacing w:val="60"/>
          <w:sz w:val="52"/>
          <w:szCs w:val="52"/>
          <w:highlight w:val="none"/>
        </w:rPr>
        <w:outlineLvl w:val="9"/>
      </w:pPr>
      <w:r>
        <w:rPr>
          <w:rFonts w:hint="eastAsia"/>
          <w:b/>
          <w:color w:val="000000"/>
          <w:spacing w:val="60"/>
          <w:sz w:val="52"/>
          <w:szCs w:val="52"/>
          <w:highlight w:val="none"/>
        </w:rPr>
      </w:r>
      <w:r/>
    </w:p>
    <w:p>
      <w:pPr>
        <w:ind w:firstLine="542"/>
        <w:rPr>
          <w:b/>
          <w:color w:val="000000"/>
          <w:spacing w:val="20"/>
          <w:sz w:val="32"/>
          <w:szCs w:val="32"/>
          <w:highlight w:val="none"/>
        </w:rPr>
        <w:outlineLvl w:val="9"/>
      </w:pPr>
      <w:r>
        <w:rPr>
          <w:b/>
          <w:color w:val="000000"/>
          <w:spacing w:val="20"/>
          <w:sz w:val="32"/>
          <w:szCs w:val="32"/>
          <w:highlight w:val="none"/>
        </w:rPr>
      </w:r>
      <w:r/>
    </w:p>
    <w:p>
      <w:pPr>
        <w:ind w:firstLine="542"/>
        <w:rPr>
          <w:b/>
          <w:color w:val="000000"/>
          <w:spacing w:val="20"/>
          <w:sz w:val="32"/>
          <w:szCs w:val="32"/>
          <w:highlight w:val="none"/>
        </w:rPr>
        <w:outlineLvl w:val="9"/>
      </w:pPr>
      <w:r>
        <w:rPr>
          <w:b/>
          <w:color w:val="000000"/>
          <w:spacing w:val="20"/>
          <w:sz w:val="32"/>
          <w:szCs w:val="32"/>
          <w:highlight w:val="none"/>
        </w:rPr>
      </w:r>
      <w:r/>
    </w:p>
    <w:p>
      <w:pPr>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outlineLvl w:val="9"/>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p>
    <w:p>
      <w:pPr>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outlineLvl w:val="9"/>
      </w:pPr>
      <w:r>
        <w:rPr>
          <w:b/>
          <w:color w:val="000000"/>
          <w:sz w:val="32"/>
          <w:szCs w:val="32"/>
          <w:highlight w:val="none"/>
        </w:rPr>
      </w:r>
      <w:r/>
    </w:p>
    <w:p>
      <w:pPr>
        <w:jc w:val="center"/>
        <w:rPr>
          <w:rFonts w:ascii="宋体" w:hAnsi="宋体"/>
          <w:b/>
          <w:color w:val="000000"/>
          <w:sz w:val="32"/>
          <w:szCs w:val="32"/>
          <w:highlight w:val="none"/>
        </w:rPr>
        <w:outlineLvl w:val="9"/>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p>
    <w:p>
      <w:pPr>
        <w:rPr>
          <w:b/>
          <w:color w:val="000000"/>
          <w:highlight w:val="none"/>
        </w:rPr>
        <w:outlineLvl w:val="9"/>
      </w:pPr>
      <w:r>
        <w:rPr>
          <w:b/>
          <w:color w:val="000000"/>
          <w:highlight w:val="none"/>
        </w:rPr>
      </w:r>
      <w:r/>
    </w:p>
    <w:p>
      <w:pPr>
        <w:spacing w:line="360" w:lineRule="auto"/>
        <w:rPr>
          <w:color w:val="000000"/>
          <w:sz w:val="24"/>
          <w:szCs w:val="20"/>
          <w:highlight w:val="none"/>
        </w:rPr>
        <w:outlineLvl w:val="9"/>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p>
    <w:p>
      <w:pPr>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投标人资格声明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p>
    <w:p>
      <w:pPr>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投标人资格声明函</w:t>
      </w:r>
      <w:r/>
    </w:p>
    <w:p>
      <w:pPr>
        <w:pStyle w:val="1089"/>
        <w:ind w:firstLine="480"/>
        <w:spacing w:line="460" w:lineRule="exact"/>
        <w:rPr>
          <w:color w:val="000000"/>
          <w:highlight w:val="none"/>
        </w:rPr>
        <w:outlineLvl w:val="9"/>
      </w:pPr>
      <w:r>
        <w:rPr>
          <w:color w:val="000000"/>
          <w:highlight w:val="none"/>
        </w:rPr>
      </w:r>
      <w:r/>
    </w:p>
    <w:p>
      <w:pPr>
        <w:pStyle w:val="1089"/>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p>
    <w:p>
      <w:pPr>
        <w:pStyle w:val="1089"/>
        <w:ind w:firstLine="960"/>
        <w:spacing w:line="460" w:lineRule="exact"/>
        <w:rPr>
          <w:color w:val="000000"/>
          <w:highlight w:val="none"/>
          <w:u w:val="single"/>
        </w:rPr>
        <w:outlineLvl w:val="9"/>
      </w:pPr>
      <w:r>
        <w:rPr>
          <w:rFonts w:hint="eastAsia"/>
          <w:color w:val="000000"/>
          <w:highlight w:val="none"/>
          <w:u w:val="single"/>
        </w:rPr>
        <w:t xml:space="preserve">（</w:t>
      </w:r>
      <w:r>
        <w:rPr>
          <w:rFonts w:hint="eastAsia"/>
          <w:color w:val="000000"/>
          <w:highlight w:val="none"/>
          <w:u w:val="single"/>
          <w:lang w:val="en-US" w:eastAsia="zh-CN"/>
        </w:rPr>
        <w:t xml:space="preserve">采购人</w:t>
      </w:r>
      <w:r>
        <w:rPr>
          <w:rFonts w:hint="eastAsia"/>
          <w:color w:val="000000"/>
          <w:highlight w:val="none"/>
          <w:u w:val="single"/>
        </w:rPr>
        <w:t xml:space="preserve">名称）</w:t>
      </w:r>
      <w:r/>
    </w:p>
    <w:p>
      <w:pPr>
        <w:pStyle w:val="1089"/>
        <w:ind w:firstLine="480"/>
        <w:spacing w:line="460" w:lineRule="exact"/>
        <w:rPr>
          <w:color w:val="000000"/>
          <w:highlight w:val="none"/>
        </w:rPr>
        <w:outlineLvl w:val="9"/>
      </w:pPr>
      <w:r>
        <w:rPr>
          <w:color w:val="000000"/>
          <w:highlight w:val="none"/>
        </w:rPr>
      </w:r>
      <w:r/>
    </w:p>
    <w:p>
      <w:pPr>
        <w:pStyle w:val="1089"/>
        <w:ind w:firstLine="480"/>
        <w:spacing w:line="460" w:lineRule="exact"/>
        <w:rPr>
          <w:color w:val="000000"/>
          <w:highlight w:val="none"/>
        </w:rPr>
        <w:outlineLvl w:val="9"/>
      </w:pPr>
      <w:r>
        <w:rPr>
          <w:rFonts w:hint="eastAsia"/>
          <w:color w:val="000000"/>
          <w:highlight w:val="none"/>
        </w:rPr>
        <w:t xml:space="preserve">按照《中华人民共和国政府采购法》第二十二条和招标文件的规定，我单位郑重声明如下：</w:t>
      </w:r>
      <w:r/>
    </w:p>
    <w:p>
      <w:pPr>
        <w:pStyle w:val="1089"/>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p>
    <w:p>
      <w:pPr>
        <w:pStyle w:val="1089"/>
        <w:ind w:firstLine="480"/>
        <w:spacing w:line="460" w:lineRule="exact"/>
        <w:rPr>
          <w:color w:val="000000"/>
          <w:highlight w:val="none"/>
        </w:rPr>
        <w:outlineLvl w:val="9"/>
      </w:pPr>
      <w:r>
        <w:rPr>
          <w:rFonts w:hint="eastAsia"/>
          <w:color w:val="000000"/>
          <w:highlight w:val="none"/>
        </w:rPr>
        <w:t xml:space="preserve">二、我单位具有良好的商业信誉（指投标人经营状况良好，无本资格声明第十条情形）和健全的财务会计制度。</w:t>
      </w:r>
      <w:r/>
    </w:p>
    <w:p>
      <w:pPr>
        <w:pStyle w:val="1089"/>
        <w:ind w:firstLine="480"/>
        <w:spacing w:line="460" w:lineRule="exact"/>
        <w:rPr>
          <w:color w:val="000000"/>
          <w:highlight w:val="none"/>
        </w:rPr>
        <w:outlineLvl w:val="9"/>
      </w:pPr>
      <w:r>
        <w:rPr>
          <w:rFonts w:hint="eastAsia"/>
          <w:color w:val="000000"/>
          <w:highlight w:val="none"/>
        </w:rPr>
        <w:t xml:space="preserve">三、我单位依法进行纳税和社会保险申报并实际履行了义务。</w:t>
      </w:r>
      <w:r/>
    </w:p>
    <w:p>
      <w:pPr>
        <w:pStyle w:val="1089"/>
        <w:ind w:firstLine="480"/>
        <w:spacing w:line="460" w:lineRule="exact"/>
        <w:rPr>
          <w:color w:val="000000"/>
          <w:highlight w:val="none"/>
        </w:rPr>
        <w:outlineLvl w:val="9"/>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如下主要设备和主要专业技术能力:</w:t>
      </w:r>
      <w:r/>
    </w:p>
    <w:p>
      <w:pPr>
        <w:pStyle w:val="1089"/>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p>
    <w:p>
      <w:pPr>
        <w:pStyle w:val="1089"/>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p>
    <w:p>
      <w:pPr>
        <w:pStyle w:val="1089"/>
        <w:ind w:firstLine="480"/>
        <w:spacing w:line="460" w:lineRule="exact"/>
        <w:rPr>
          <w:color w:val="000000"/>
          <w:highlight w:val="none"/>
        </w:rPr>
        <w:outlineLvl w:val="9"/>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color w:val="000000"/>
          <w:highlight w:val="none"/>
          <w:lang w:eastAsia="zh-CN"/>
        </w:rPr>
        <w:t xml:space="preserve">投标人</w:t>
      </w:r>
      <w:r>
        <w:rPr>
          <w:rFonts w:hint="eastAsia"/>
          <w:color w:val="000000"/>
          <w:highlight w:val="none"/>
        </w:rPr>
        <w:t xml:space="preserve">如在参加政府采购活动前3年内因违法经营被禁止在一定期限内参加政府采购活动，期限届满的，可以参加政府采购活动。）</w:t>
      </w:r>
      <w:r/>
    </w:p>
    <w:p>
      <w:pPr>
        <w:pStyle w:val="1089"/>
        <w:ind w:firstLine="480"/>
        <w:spacing w:line="460" w:lineRule="exact"/>
        <w:rPr>
          <w:color w:val="000000"/>
          <w:highlight w:val="none"/>
        </w:rPr>
        <w:outlineLvl w:val="9"/>
      </w:pPr>
      <w:r>
        <w:rPr>
          <w:rFonts w:hint="eastAsia"/>
          <w:color w:val="000000"/>
          <w:highlight w:val="none"/>
        </w:rPr>
        <w:t xml:space="preserve">六、我单位</w:t>
      </w:r>
      <w:r>
        <w:rPr>
          <w:rFonts w:hint="eastAsia"/>
          <w:color w:val="000000"/>
          <w:highlight w:val="none"/>
          <w:lang w:eastAsia="zh-CN"/>
        </w:rPr>
        <w:t xml:space="preserve">具</w:t>
      </w:r>
      <w:r>
        <w:rPr>
          <w:rFonts w:hint="eastAsia"/>
          <w:color w:val="000000"/>
          <w:highlight w:val="none"/>
          <w:lang w:val="en-US" w:eastAsia="zh-CN"/>
        </w:rPr>
        <w:t xml:space="preserve">备</w:t>
      </w:r>
      <w:r>
        <w:rPr>
          <w:rFonts w:hint="eastAsia"/>
          <w:color w:val="000000"/>
          <w:highlight w:val="none"/>
        </w:rPr>
        <w:t xml:space="preserve">法律、行政法规规定的其他条件。</w:t>
      </w:r>
      <w:r/>
    </w:p>
    <w:p>
      <w:pPr>
        <w:pStyle w:val="1089"/>
        <w:ind w:firstLine="480"/>
        <w:spacing w:line="460" w:lineRule="exact"/>
        <w:rPr>
          <w:color w:val="000000"/>
          <w:highlight w:val="none"/>
        </w:rPr>
        <w:outlineLvl w:val="9"/>
      </w:pPr>
      <w:r>
        <w:rPr>
          <w:rFonts w:hint="eastAsia"/>
          <w:color w:val="000000"/>
          <w:highlight w:val="none"/>
        </w:rPr>
        <w:t xml:space="preserve">七、与我单位存在“单位负责人为同一人或者存在直接控股、管理关系”的其他单位信息如下（如无此情形的，填写“无”）：</w:t>
      </w:r>
      <w:r/>
    </w:p>
    <w:p>
      <w:pPr>
        <w:pStyle w:val="1089"/>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p>
    <w:p>
      <w:pPr>
        <w:pStyle w:val="1089"/>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p>
    <w:p>
      <w:pPr>
        <w:pStyle w:val="1089"/>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p>
    <w:p>
      <w:pPr>
        <w:pStyle w:val="1089"/>
        <w:ind w:firstLine="480"/>
        <w:spacing w:line="460" w:lineRule="exact"/>
        <w:rPr>
          <w:color w:val="000000"/>
          <w:highlight w:val="none"/>
        </w:rPr>
        <w:outlineLvl w:val="9"/>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p>
    <w:p>
      <w:pPr>
        <w:pStyle w:val="1089"/>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我单位无以下不良信用记录情形：</w:t>
      </w:r>
      <w:r/>
    </w:p>
    <w:p>
      <w:pPr>
        <w:pStyle w:val="1089"/>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p>
    <w:p>
      <w:pPr>
        <w:pStyle w:val="1089"/>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p>
    <w:p>
      <w:pPr>
        <w:pStyle w:val="1089"/>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p>
    <w:p>
      <w:pPr>
        <w:pStyle w:val="1089"/>
        <w:ind w:firstLine="480"/>
        <w:spacing w:line="460" w:lineRule="exact"/>
        <w:rPr>
          <w:color w:val="000000"/>
          <w:highlight w:val="none"/>
        </w:rPr>
        <w:outlineLvl w:val="9"/>
      </w:pPr>
      <w:r>
        <w:rPr>
          <w:color w:val="000000"/>
          <w:highlight w:val="none"/>
        </w:rPr>
      </w:r>
      <w:r/>
    </w:p>
    <w:p>
      <w:pPr>
        <w:pStyle w:val="1089"/>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p>
    <w:p>
      <w:pPr>
        <w:pStyle w:val="1089"/>
        <w:ind w:firstLine="480"/>
        <w:spacing w:line="460" w:lineRule="exact"/>
        <w:rPr>
          <w:color w:val="000000"/>
          <w:highlight w:val="none"/>
        </w:rPr>
        <w:outlineLvl w:val="9"/>
      </w:pPr>
      <w:r>
        <w:rPr>
          <w:color w:val="000000"/>
          <w:highlight w:val="none"/>
        </w:rPr>
      </w:r>
      <w:r/>
    </w:p>
    <w:p>
      <w:pPr>
        <w:pStyle w:val="1089"/>
        <w:ind w:firstLine="480"/>
        <w:spacing w:line="460" w:lineRule="exact"/>
        <w:rPr>
          <w:color w:val="000000"/>
          <w:highlight w:val="none"/>
        </w:rPr>
        <w:outlineLvl w:val="9"/>
      </w:pPr>
      <w:r>
        <w:rPr>
          <w:color w:val="000000"/>
          <w:highlight w:val="none"/>
        </w:rPr>
      </w:r>
      <w:r/>
    </w:p>
    <w:p>
      <w:pPr>
        <w:pStyle w:val="1089"/>
        <w:ind w:firstLine="480"/>
        <w:spacing w:line="460" w:lineRule="exact"/>
        <w:rPr>
          <w:color w:val="000000"/>
          <w:highlight w:val="none"/>
        </w:rPr>
        <w:outlineLvl w:val="9"/>
      </w:pPr>
      <w:r>
        <w:rPr>
          <w:rFonts w:hint="eastAsia"/>
          <w:color w:val="000000"/>
          <w:highlight w:val="none"/>
        </w:rPr>
        <w:t xml:space="preserve">                                            投标人：（加盖公章）</w:t>
      </w:r>
      <w:r/>
    </w:p>
    <w:p>
      <w:pPr>
        <w:pStyle w:val="1089"/>
        <w:ind w:firstLine="480"/>
        <w:spacing w:line="460" w:lineRule="exact"/>
        <w:rPr>
          <w:color w:val="000000"/>
          <w:highlight w:val="none"/>
        </w:rPr>
        <w:outlineLvl w:val="9"/>
      </w:pPr>
      <w:r>
        <w:rPr>
          <w:rFonts w:hint="eastAsia"/>
          <w:color w:val="000000"/>
          <w:highlight w:val="none"/>
        </w:rPr>
        <w:t xml:space="preserve">                                           法定代表人（或单位负责人）签字或盖章：</w:t>
      </w:r>
      <w:r/>
    </w:p>
    <w:p>
      <w:pPr>
        <w:pStyle w:val="1089"/>
        <w:ind w:firstLine="4920"/>
        <w:spacing w:line="460" w:lineRule="exact"/>
        <w:rPr>
          <w:rFonts w:hint="eastAsia"/>
          <w:color w:val="000000"/>
          <w:highlight w:val="none"/>
        </w:rPr>
        <w:outlineLvl w:val="9"/>
      </w:pPr>
      <w:r>
        <w:rPr>
          <w:rFonts w:hint="eastAsia"/>
          <w:color w:val="000000"/>
          <w:highlight w:val="none"/>
        </w:rPr>
        <w:t xml:space="preserve">日期：    年    月    日</w:t>
      </w:r>
      <w:r/>
    </w:p>
    <w:p>
      <w:pPr>
        <w:spacing w:line="360" w:lineRule="auto"/>
        <w:rPr>
          <w:rFonts w:hint="eastAsia"/>
          <w:color w:val="000000"/>
          <w:sz w:val="24"/>
          <w:highlight w:val="none"/>
        </w:rPr>
        <w:outlineLvl w:val="9"/>
      </w:pPr>
      <w:r>
        <w:rPr>
          <w:rFonts w:hint="eastAsia"/>
          <w:color w:val="000000"/>
          <w:sz w:val="24"/>
          <w:highlight w:val="none"/>
        </w:rPr>
      </w:r>
      <w:r/>
    </w:p>
    <w:p>
      <w:pPr>
        <w:spacing w:line="360" w:lineRule="auto"/>
        <w:rPr>
          <w:rFonts w:hint="eastAsia"/>
          <w:color w:val="000000"/>
          <w:sz w:val="24"/>
          <w:highlight w:val="none"/>
        </w:rPr>
        <w:outlineLvl w:val="9"/>
      </w:pPr>
      <w:r>
        <w:rPr>
          <w:rFonts w:hint="eastAsia"/>
          <w:color w:val="000000"/>
          <w:sz w:val="24"/>
          <w:highlight w:val="none"/>
        </w:rPr>
      </w:r>
      <w:r/>
    </w:p>
    <w:p>
      <w:pPr>
        <w:spacing w:line="360" w:lineRule="auto"/>
        <w:rPr>
          <w:rFonts w:hint="eastAsia"/>
          <w:color w:val="000000"/>
          <w:sz w:val="24"/>
          <w:highlight w:val="none"/>
        </w:rPr>
        <w:outlineLvl w:val="9"/>
      </w:pPr>
      <w:r>
        <w:rPr>
          <w:rFonts w:hint="eastAsia"/>
          <w:color w:val="000000"/>
          <w:sz w:val="24"/>
          <w:highlight w:val="none"/>
        </w:rPr>
      </w:r>
      <w:r/>
    </w:p>
    <w:p>
      <w:pPr>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lang w:eastAsia="zh-CN"/>
        </w:rPr>
        <w:t xml:space="preserve">投标人</w:t>
      </w:r>
      <w:r>
        <w:rPr>
          <w:rFonts w:hint="eastAsia"/>
          <w:color w:val="000000"/>
          <w:sz w:val="24"/>
          <w:highlight w:val="none"/>
        </w:rPr>
        <w:t xml:space="preserve">承诺不实的，依据《政府采购法》第七十七条“提供虚假材料谋取中标、成交的”有关规定予以处理</w:t>
      </w:r>
      <w:r>
        <w:rPr>
          <w:color w:val="000000"/>
          <w:sz w:val="24"/>
          <w:highlight w:val="none"/>
        </w:rPr>
        <w:t xml:space="preserve">。</w:t>
      </w:r>
      <w:r/>
    </w:p>
    <w:p>
      <w:pPr>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color w:val="000000"/>
          <w:sz w:val="24"/>
          <w:highlight w:val="none"/>
        </w:rPr>
      </w:r>
      <w:r/>
    </w:p>
    <w:p>
      <w:pPr>
        <w:pStyle w:val="1089"/>
        <w:ind w:left="0" w:firstLine="0"/>
        <w:keepLines w:val="0"/>
        <w:keepNext w:val="0"/>
        <w:pageBreakBefore w:val="0"/>
        <w:spacing w:line="360" w:lineRule="auto"/>
        <w:widowControl w:val="off"/>
        <w:rPr>
          <w:rFonts w:hint="eastAsia" w:ascii="宋体" w:hAnsi="Times New Roman" w:eastAsia="宋体" w:cs="Times New Roman"/>
          <w:color w:val="000000"/>
          <w:highlight w:val="none"/>
        </w:rPr>
        <w:outlineLvl w:val="9"/>
      </w:pPr>
      <w:r>
        <w:rPr>
          <w:rFonts w:hint="eastAsia" w:ascii="宋体" w:hAnsi="Times New Roman" w:eastAsia="宋体" w:cs="Times New Roman"/>
          <w:color w:val="000000"/>
          <w:highlight w:val="none"/>
          <w:lang w:val="en-US" w:eastAsia="zh-CN"/>
        </w:rPr>
        <w:t xml:space="preserve">2</w:t>
      </w:r>
      <w:r>
        <w:rPr>
          <w:rFonts w:hint="eastAsia" w:ascii="宋体" w:hAnsi="Times New Roman" w:eastAsia="宋体" w:cs="Times New Roman"/>
          <w:color w:val="000000"/>
          <w:highlight w:val="none"/>
        </w:rPr>
        <w:t xml:space="preserve">其他特定资格要求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2.1满足以下两项中任意一项要求：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①投标人为所投产品制造商：具有有效期内的医疗器械生产许可证；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②投标人为所投产品经销商: 具有有效期内的第三类经营许可证；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2.2提供所投产品的有效医疗器械注册证。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u w:val="single"/>
          <w:lang w:val="en-US" w:eastAsia="zh-CN"/>
        </w:rPr>
        <w:t xml:space="preserve">2.3投标人须具备有效的《辐射安全许可证》，且许可种类和范围须涵盖本次采购的SPECT-CT设备（属于III类射线装置）。</w:t>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color w:val="000000"/>
          <w:sz w:val="24"/>
          <w:szCs w:val="20"/>
          <w:highlight w:val="none"/>
        </w:rPr>
      </w:r>
      <w:r/>
    </w:p>
    <w:p>
      <w:pPr>
        <w:jc w:val="center"/>
        <w:widowControl/>
        <w:rPr>
          <w:rFonts w:hint="eastAsia" w:ascii="宋体" w:hAnsi="宋体"/>
          <w:b/>
          <w:color w:val="000000"/>
          <w:sz w:val="32"/>
          <w:szCs w:val="32"/>
          <w:highlight w:val="none"/>
        </w:rPr>
        <w:outlineLvl w:val="9"/>
      </w:pPr>
      <w:r>
        <w:rPr>
          <w:rFonts w:ascii="宋体" w:hAnsi="宋体"/>
          <w:b/>
          <w:color w:val="000000"/>
          <w:sz w:val="32"/>
          <w:szCs w:val="32"/>
          <w:highlight w:val="none"/>
        </w:rPr>
        <w:t xml:space="preserve">二、</w:t>
      </w:r>
      <w:r>
        <w:rPr>
          <w:rFonts w:hint="eastAsia" w:ascii="宋体" w:hAnsi="宋体"/>
          <w:b/>
          <w:color w:val="000000"/>
          <w:sz w:val="32"/>
          <w:szCs w:val="32"/>
          <w:highlight w:val="none"/>
          <w:lang w:eastAsia="zh-CN"/>
        </w:rPr>
        <w:t xml:space="preserve">商务技术文件</w:t>
      </w:r>
      <w:r>
        <w:rPr>
          <w:rFonts w:ascii="宋体" w:hAnsi="宋体"/>
          <w:b/>
          <w:color w:val="000000"/>
          <w:sz w:val="32"/>
          <w:szCs w:val="32"/>
          <w:highlight w:val="none"/>
        </w:rPr>
        <w:t xml:space="preserve">格式</w:t>
      </w:r>
      <w:bookmarkStart w:id="781" w:name="_Toc520356217"/>
      <w:r/>
      <w:bookmarkStart w:id="782" w:name="_Ref467988698"/>
      <w:r/>
      <w:bookmarkStart w:id="783" w:name="_Toc142311058"/>
      <w:r/>
      <w:bookmarkStart w:id="784" w:name="_Toc150480794"/>
      <w:r/>
      <w:bookmarkStart w:id="785" w:name="_Toc226965829"/>
      <w:r/>
      <w:bookmarkStart w:id="786" w:name="_Toc226309800"/>
      <w:r/>
      <w:bookmarkStart w:id="787" w:name="_Toc226337252"/>
      <w:r/>
      <w:bookmarkStart w:id="788" w:name="_Toc195842921"/>
      <w:r/>
      <w:bookmarkStart w:id="789" w:name="_Toc150774761"/>
      <w:r/>
      <w:bookmarkStart w:id="790" w:name="_Toc226965746"/>
      <w:r/>
      <w:bookmarkStart w:id="791" w:name="_Toc480942349"/>
      <w:r/>
      <w:bookmarkStart w:id="792" w:name="_Toc127151556"/>
      <w:r/>
      <w:r/>
    </w:p>
    <w:p>
      <w:pPr>
        <w:jc w:val="center"/>
        <w:widowControl/>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spacing w:line="360" w:lineRule="auto"/>
        <w:rPr>
          <w:color w:val="000000"/>
          <w:sz w:val="24"/>
          <w:szCs w:val="20"/>
          <w:highlight w:val="none"/>
        </w:rPr>
        <w:outlineLvl w:val="9"/>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outlineLvl w:val="9"/>
      </w:pPr>
      <w:r>
        <w:rPr>
          <w:color w:val="000000"/>
          <w:sz w:val="24"/>
          <w:highlight w:val="none"/>
        </w:rPr>
      </w:r>
      <w:r/>
    </w:p>
    <w:p>
      <w:pPr>
        <w:jc w:val="center"/>
        <w:spacing w:line="360" w:lineRule="auto"/>
        <w:rPr>
          <w:b/>
          <w:color w:val="000000"/>
          <w:sz w:val="36"/>
          <w:szCs w:val="36"/>
          <w:highlight w:val="none"/>
        </w:rPr>
        <w:outlineLvl w:val="9"/>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lang w:val="en-US" w:eastAsia="zh-CN"/>
        </w:rPr>
        <w:t xml:space="preserve">采购人</w:t>
      </w:r>
      <w:r>
        <w:rPr>
          <w:color w:val="000000"/>
          <w:sz w:val="24"/>
          <w:highlight w:val="none"/>
          <w:u w:val="single"/>
        </w:rPr>
        <w:t xml:space="preserve">或采购代理机构）</w:t>
      </w:r>
      <w:r/>
    </w:p>
    <w:p>
      <w:pPr>
        <w:spacing w:line="360" w:lineRule="auto"/>
        <w:tabs>
          <w:tab w:val="left" w:pos="5580" w:leader="none"/>
        </w:tabs>
        <w:rPr>
          <w:color w:val="000000"/>
          <w:sz w:val="24"/>
          <w:szCs w:val="20"/>
          <w:highlight w:val="none"/>
        </w:rPr>
        <w:outlineLvl w:val="9"/>
      </w:pPr>
      <w:r>
        <w:rPr>
          <w:color w:val="000000"/>
          <w:sz w:val="24"/>
          <w:szCs w:val="20"/>
          <w:highlight w:val="none"/>
        </w:rPr>
      </w:r>
      <w:r/>
    </w:p>
    <w:p>
      <w:pPr>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outlineLvl w:val="9"/>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jc w:val="left"/>
        <w:widowControl/>
        <w:rPr>
          <w:rFonts w:hint="eastAsia"/>
          <w:color w:val="000000"/>
          <w:sz w:val="24"/>
          <w:highlight w:val="none"/>
        </w:rPr>
        <w:outlineLvl w:val="9"/>
      </w:pPr>
      <w:r/>
      <w:bookmarkStart w:id="793" w:name="_Hlt520356243"/>
      <w:r/>
      <w:bookmarkEnd w:id="793"/>
      <w:r/>
      <w:bookmarkStart w:id="794" w:name="_Hlt520355938"/>
      <w:r/>
      <w:bookmarkEnd w:id="794"/>
      <w:r>
        <w:rPr>
          <w:color w:val="000000"/>
          <w:sz w:val="24"/>
          <w:highlight w:val="none"/>
        </w:rPr>
        <w:br w:type="page" w:clear="all"/>
      </w:r>
      <w:r>
        <w:rPr>
          <w:rFonts w:hint="eastAsia"/>
          <w:color w:val="000000"/>
          <w:sz w:val="24"/>
          <w:highlight w:val="none"/>
          <w:lang w:val="en-US" w:eastAsia="zh-CN"/>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p>
    <w:p>
      <w:pPr>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单位名称:</w:t>
      </w:r>
      <w:r/>
    </w:p>
    <w:p>
      <w:pPr>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地址:</w:t>
      </w:r>
      <w:r/>
    </w:p>
    <w:p>
      <w:pPr>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姓名:     性别:       年龄:      职务:</w:t>
      </w:r>
      <w:r/>
    </w:p>
    <w:p>
      <w:pPr>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w:t>
      </w:r>
      <w:r>
        <w:rPr>
          <w:rFonts w:hint="eastAsia" w:ascii="宋体" w:hAnsi="宋体"/>
          <w:color w:val="000000"/>
          <w:sz w:val="24"/>
          <w:highlight w:val="none"/>
          <w:u w:val="single"/>
          <w:lang w:eastAsia="zh-CN"/>
        </w:rPr>
        <w:t xml:space="preserve">人</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投标</w:t>
      </w:r>
      <w:r>
        <w:rPr>
          <w:rFonts w:hint="eastAsia" w:ascii="宋体" w:hAnsi="宋体"/>
          <w:color w:val="000000"/>
          <w:sz w:val="24"/>
          <w:highlight w:val="none"/>
        </w:rPr>
        <w:t xml:space="preserve">文件、进行合同</w:t>
      </w:r>
      <w:r>
        <w:rPr>
          <w:rFonts w:hint="eastAsia" w:ascii="宋体" w:hAnsi="宋体"/>
          <w:color w:val="000000"/>
          <w:sz w:val="24"/>
          <w:highlight w:val="none"/>
          <w:lang w:eastAsia="zh-CN"/>
        </w:rPr>
        <w:t xml:space="preserve">谈判</w:t>
      </w:r>
      <w:r>
        <w:rPr>
          <w:rFonts w:hint="eastAsia" w:ascii="宋体" w:hAnsi="宋体"/>
          <w:color w:val="000000"/>
          <w:sz w:val="24"/>
          <w:highlight w:val="none"/>
        </w:rPr>
        <w:t xml:space="preserve">、签署合同和处理与之有关的一切事务。</w:t>
      </w:r>
      <w:r/>
    </w:p>
    <w:p>
      <w:pPr>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p>
    <w:p>
      <w:pPr>
        <w:spacing w:line="560" w:lineRule="exact"/>
        <w:rPr>
          <w:rFonts w:ascii="宋体" w:hAnsi="宋体"/>
          <w:color w:val="000000"/>
          <w:sz w:val="24"/>
          <w:highlight w:val="none"/>
        </w:rPr>
        <w:outlineLvl w:val="9"/>
      </w:pPr>
      <w:r>
        <w:rPr>
          <w:rFonts w:ascii="宋体" w:hAnsi="宋体"/>
          <w:color w:val="000000"/>
          <w:sz w:val="24"/>
          <w:highlight w:val="none"/>
        </w:rPr>
      </w:r>
      <w:r/>
    </w:p>
    <w:p>
      <w:pPr>
        <w:pStyle w:val="1117"/>
        <w:ind w:right="-46"/>
        <w:spacing w:line="583" w:lineRule="auto"/>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p>
    <w:tbl>
      <w:tblPr>
        <w:tblStyle w:val="9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：（加盖公章）</w:t>
      </w:r>
      <w:r/>
    </w:p>
    <w:p>
      <w:pPr>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val="en-US"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p>
    <w:p>
      <w:pPr>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p>
    <w:p>
      <w:pPr>
        <w:jc w:val="left"/>
        <w:widowControl/>
        <w:rPr>
          <w:rFonts w:hint="eastAsia"/>
          <w:color w:val="000000"/>
          <w:sz w:val="24"/>
          <w:highlight w:val="none"/>
        </w:rPr>
        <w:outlineLvl w:val="9"/>
      </w:pPr>
      <w:r>
        <w:rPr>
          <w:rFonts w:hint="eastAsia"/>
          <w:color w:val="000000"/>
          <w:sz w:val="24"/>
          <w:highlight w:val="none"/>
        </w:rPr>
      </w:r>
      <w:r/>
    </w:p>
    <w:p>
      <w:pPr>
        <w:rPr>
          <w:rFonts w:hint="eastAsia"/>
          <w:color w:val="000000"/>
          <w:highlight w:val="none"/>
        </w:rPr>
        <w:outlineLvl w:val="9"/>
      </w:pPr>
      <w:r>
        <w:rPr>
          <w:rFonts w:hint="eastAsia"/>
          <w:color w:val="000000"/>
          <w:highlight w:val="none"/>
        </w:rPr>
      </w:r>
      <w:r/>
    </w:p>
    <w:p>
      <w:pPr>
        <w:jc w:val="left"/>
        <w:widowControl/>
        <w:rPr>
          <w:rFonts w:hint="eastAsia"/>
          <w:color w:val="000000"/>
          <w:sz w:val="24"/>
          <w:highlight w:val="none"/>
        </w:rPr>
        <w:outlineLvl w:val="9"/>
      </w:pPr>
      <w:r>
        <w:rPr>
          <w:rFonts w:hint="eastAsia"/>
          <w:color w:val="000000"/>
          <w:sz w:val="24"/>
          <w:highlight w:val="none"/>
        </w:rPr>
      </w:r>
      <w:r/>
    </w:p>
    <w:p>
      <w:pPr>
        <w:jc w:val="left"/>
        <w:widowControl/>
        <w:rPr>
          <w:rFonts w:hint="eastAsia" w:ascii="宋体" w:hAnsi="宋体" w:eastAsia="宋体" w:cs="Times New Roman"/>
          <w:color w:val="000000"/>
          <w:sz w:val="24"/>
          <w:szCs w:val="20"/>
          <w:highlight w:val="none"/>
        </w:rPr>
        <w:outlineLvl w:val="9"/>
      </w:pPr>
      <w:r>
        <w:rPr>
          <w:rFonts w:hint="eastAsia" w:ascii="宋体" w:hAnsi="宋体" w:eastAsia="宋体" w:cs="Times New Roman"/>
          <w:color w:val="000000"/>
          <w:sz w:val="24"/>
          <w:szCs w:val="20"/>
          <w:highlight w:val="none"/>
        </w:rPr>
      </w:r>
      <w:r/>
    </w:p>
    <w:p>
      <w:pPr>
        <w:jc w:val="left"/>
        <w:widowControl/>
        <w:rPr>
          <w:rFonts w:hint="eastAsia"/>
          <w:color w:val="000000"/>
          <w:sz w:val="24"/>
          <w:highlight w:val="none"/>
        </w:rPr>
        <w:outlineLvl w:val="9"/>
      </w:pPr>
      <w:r>
        <w:rPr>
          <w:rFonts w:hint="eastAsia"/>
          <w:color w:val="000000"/>
          <w:sz w:val="24"/>
          <w:highlight w:val="none"/>
        </w:rPr>
      </w:r>
      <w:r/>
    </w:p>
    <w:p>
      <w:pPr>
        <w:jc w:val="left"/>
        <w:widowControl/>
        <w:rPr>
          <w:rFonts w:hint="eastAsia"/>
          <w:color w:val="000000"/>
          <w:sz w:val="24"/>
          <w:highlight w:val="none"/>
        </w:rPr>
        <w:outlineLvl w:val="9"/>
      </w:pPr>
      <w:r>
        <w:rPr>
          <w:rFonts w:hint="eastAsia"/>
          <w:color w:val="000000"/>
          <w:sz w:val="24"/>
          <w:highlight w:val="none"/>
        </w:rPr>
      </w:r>
      <w:r/>
    </w:p>
    <w:p>
      <w:pPr>
        <w:jc w:val="left"/>
        <w:widowControl/>
        <w:rPr>
          <w:rFonts w:hint="eastAsia"/>
          <w:color w:val="000000"/>
          <w:sz w:val="24"/>
          <w:highlight w:val="none"/>
        </w:rPr>
        <w:outlineLvl w:val="9"/>
      </w:pPr>
      <w:r>
        <w:rPr>
          <w:rFonts w:hint="eastAsia"/>
          <w:color w:val="000000"/>
          <w:sz w:val="24"/>
          <w:highlight w:val="none"/>
        </w:rPr>
      </w:r>
      <w:r/>
    </w:p>
    <w:p>
      <w:pPr>
        <w:jc w:val="left"/>
        <w:widowControl/>
        <w:rPr>
          <w:rFonts w:hint="eastAsia" w:ascii="Times New Roman" w:hAnsi="Times New Roman" w:eastAsia="宋体" w:cs="Times New Roman"/>
          <w:color w:val="000000"/>
          <w:sz w:val="24"/>
          <w:highlight w:val="none"/>
          <w:lang w:val="en-US" w:eastAsia="zh-CN"/>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Times New Roman" w:hAnsi="Times New Roman" w:eastAsia="宋体" w:cs="Times New Roman"/>
          <w:color w:val="000000"/>
          <w:sz w:val="24"/>
          <w:highlight w:val="none"/>
          <w:lang w:val="en-US" w:eastAsia="zh-CN"/>
        </w:rPr>
      </w:r>
      <w:r/>
    </w:p>
    <w:p>
      <w:pPr>
        <w:jc w:val="left"/>
        <w:widowControl/>
        <w:rPr>
          <w:rFonts w:hint="eastAsia"/>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  政府采购</w:t>
      </w:r>
      <w:r>
        <w:rPr>
          <w:rFonts w:hint="eastAsia"/>
          <w:color w:val="000000"/>
          <w:sz w:val="24"/>
          <w:highlight w:val="none"/>
          <w:lang w:val="en-US" w:eastAsia="zh-CN"/>
        </w:rPr>
        <w:t xml:space="preserve">供应商</w:t>
      </w:r>
      <w:r>
        <w:rPr>
          <w:rFonts w:hint="eastAsia"/>
          <w:color w:val="000000"/>
          <w:sz w:val="24"/>
          <w:highlight w:val="none"/>
        </w:rPr>
        <w:t xml:space="preserve">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w:t>
      </w:r>
      <w:r>
        <w:rPr>
          <w:rFonts w:hint="eastAsia" w:ascii="黑体" w:hAnsi="黑体" w:eastAsia="黑体"/>
          <w:b/>
          <w:color w:val="000000"/>
          <w:sz w:val="32"/>
          <w:szCs w:val="32"/>
          <w:highlight w:val="none"/>
          <w:lang w:val="en-US" w:eastAsia="zh-CN"/>
        </w:rPr>
        <w:t xml:space="preserve">供应商</w:t>
      </w:r>
      <w:r>
        <w:rPr>
          <w:rFonts w:hint="eastAsia" w:ascii="黑体" w:hAnsi="黑体" w:eastAsia="黑体"/>
          <w:b/>
          <w:color w:val="000000"/>
          <w:sz w:val="32"/>
          <w:szCs w:val="32"/>
          <w:highlight w:val="none"/>
        </w:rPr>
        <w:t xml:space="preserve">信用承诺书</w:t>
      </w:r>
      <w:r/>
    </w:p>
    <w:p>
      <w:pPr>
        <w:ind w:firstLine="640"/>
        <w:rPr>
          <w:color w:val="000000"/>
          <w:highlight w:val="none"/>
        </w:rPr>
        <w:outlineLvl w:val="9"/>
      </w:pPr>
      <w:r>
        <w:rPr>
          <w:color w:val="000000"/>
          <w:highlight w:val="none"/>
        </w:rPr>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形象，本单位在参与政府采购活动中,自愿作出以下承诺：</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w:t>
      </w:r>
      <w:r>
        <w:rPr>
          <w:rFonts w:hint="eastAsia" w:ascii="宋体" w:hAnsi="宋体"/>
          <w:color w:val="000000"/>
          <w:sz w:val="24"/>
          <w:highlight w:val="none"/>
          <w:lang w:eastAsia="zh-CN"/>
        </w:rPr>
        <w:t xml:space="preserve">具</w:t>
      </w:r>
      <w:r>
        <w:rPr>
          <w:rFonts w:hint="eastAsia" w:ascii="宋体" w:hAnsi="宋体"/>
          <w:color w:val="000000"/>
          <w:sz w:val="24"/>
          <w:highlight w:val="none"/>
          <w:lang w:val="en-US" w:eastAsia="zh-CN"/>
        </w:rPr>
        <w:t xml:space="preserve">备</w:t>
      </w:r>
      <w:r>
        <w:rPr>
          <w:rFonts w:hint="eastAsia" w:ascii="宋体" w:hAnsi="宋体"/>
          <w:color w:val="000000"/>
          <w:sz w:val="24"/>
          <w:highlight w:val="none"/>
        </w:rPr>
        <w:t xml:space="preserve">《政府采购法》第二十二条第一款规定的条件。</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信用管理暂行办法》，自愿按照《常州市政府采购</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信用管理暂行办法》规定，发生失信行为将记录并公开到“信用常州”、常州市政府采购网。</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olor w:val="000000"/>
          <w:sz w:val="24"/>
          <w:highlight w:val="none"/>
          <w:lang w:val="en-US" w:eastAsia="zh-CN"/>
        </w:rPr>
        <w:t xml:space="preserve">分</w:t>
      </w:r>
      <w:r>
        <w:rPr>
          <w:rFonts w:hint="eastAsia" w:ascii="宋体" w:hAnsi="宋体"/>
          <w:color w:val="000000"/>
          <w:sz w:val="24"/>
          <w:highlight w:val="none"/>
        </w:rPr>
        <w:t xml:space="preserve">，并对所提供资料的真实性负责。</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p>
    <w:p>
      <w:pPr>
        <w:pStyle w:val="1175"/>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p>
    <w:p>
      <w:pPr>
        <w:jc w:val="left"/>
        <w:widowControl/>
        <w:rPr>
          <w:color w:val="000000"/>
          <w:sz w:val="24"/>
          <w:szCs w:val="20"/>
          <w:highlight w:val="none"/>
        </w:rPr>
        <w:outlineLvl w:val="9"/>
      </w:pPr>
      <w:r/>
      <w:bookmarkStart w:id="795" w:name="_Hlt520355504"/>
      <w:r/>
      <w:bookmarkEnd w:id="795"/>
      <w:r/>
      <w:bookmarkStart w:id="796" w:name="_Hlt520271212"/>
      <w:r/>
      <w:bookmarkEnd w:id="796"/>
      <w:r/>
      <w:bookmarkStart w:id="797" w:name="_Hlt520274065"/>
      <w:r/>
      <w:bookmarkEnd w:id="797"/>
      <w:r/>
      <w:bookmarkStart w:id="798" w:name="_Hlt520274393"/>
      <w:r/>
      <w:bookmarkEnd w:id="798"/>
      <w:r/>
      <w:bookmarkStart w:id="799" w:name="_Hlt520274121"/>
      <w:r/>
      <w:bookmarkEnd w:id="799"/>
      <w:r/>
      <w:bookmarkStart w:id="800" w:name="_Hlt520274407"/>
      <w:r/>
      <w:bookmarkEnd w:id="800"/>
      <w:r/>
      <w:bookmarkStart w:id="801" w:name="_Hlt520343392"/>
      <w:r/>
      <w:bookmarkEnd w:id="801"/>
      <w:r/>
      <w:bookmarkStart w:id="802" w:name="_Hlt520343000"/>
      <w:r/>
      <w:bookmarkEnd w:id="802"/>
      <w:r/>
      <w:bookmarkStart w:id="803" w:name="_Hlt520273711"/>
      <w:r/>
      <w:bookmarkEnd w:id="803"/>
      <w:r/>
      <w:bookmarkStart w:id="804" w:name="_Hlt520350918"/>
      <w:r/>
      <w:bookmarkEnd w:id="804"/>
      <w:r/>
      <w:bookmarkStart w:id="805" w:name="_Toc265228395"/>
      <w:r/>
      <w:bookmarkStart w:id="806" w:name="_Toc150774762"/>
      <w:r/>
      <w:bookmarkStart w:id="807" w:name="_Toc305158899"/>
      <w:r/>
      <w:bookmarkStart w:id="808" w:name="_Toc226337253"/>
      <w:r/>
      <w:bookmarkStart w:id="809" w:name="_Ref467988705"/>
      <w:r/>
      <w:bookmarkStart w:id="810" w:name="_Toc226309801"/>
      <w:r/>
      <w:bookmarkStart w:id="811" w:name="_Toc226965747"/>
      <w:r/>
      <w:bookmarkStart w:id="812" w:name="_Toc150480795"/>
      <w:r/>
      <w:bookmarkStart w:id="813" w:name="_Toc127151557"/>
      <w:r/>
      <w:bookmarkStart w:id="814" w:name="_Toc305158825"/>
      <w:r/>
      <w:bookmarkStart w:id="815" w:name="_Toc142311059"/>
      <w:r/>
      <w:bookmarkStart w:id="816" w:name="_Toc520356218"/>
      <w:r/>
      <w:bookmarkStart w:id="817" w:name="_Toc264969247"/>
      <w:r/>
      <w:bookmarkStart w:id="818" w:name="_Toc226965830"/>
      <w:r/>
      <w:bookmarkStart w:id="819" w:name="_Toc480942350"/>
      <w:r/>
      <w:bookmarkStart w:id="820" w:name="_Toc195842922"/>
      <w:r>
        <w:rPr>
          <w:color w:val="000000"/>
          <w:sz w:val="24"/>
          <w:szCs w:val="20"/>
          <w:highlight w:val="none"/>
        </w:rPr>
        <w:br w:type="page" w:clear="all"/>
      </w:r>
      <w:r>
        <w:rPr>
          <w:rFonts w:hint="eastAsia"/>
          <w:color w:val="000000"/>
          <w:sz w:val="24"/>
          <w:szCs w:val="20"/>
          <w:highlight w:val="none"/>
          <w:lang w:val="en-US" w:eastAsia="zh-CN"/>
        </w:rPr>
        <w:t xml:space="preserve">4</w:t>
      </w:r>
      <w:r>
        <w:rPr>
          <w:color w:val="000000"/>
          <w:sz w:val="24"/>
          <w:szCs w:val="20"/>
          <w:highlight w:val="none"/>
        </w:rPr>
        <w:t xml:space="preserve">  开标一览表</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jc w:val="center"/>
        <w:spacing w:line="360" w:lineRule="auto"/>
        <w:tabs>
          <w:tab w:val="left" w:pos="2775" w:leader="none"/>
          <w:tab w:val="center" w:pos="4153" w:leader="none"/>
        </w:tabs>
        <w:rPr>
          <w:rFonts w:hint="eastAsia" w:eastAsia="宋体"/>
          <w:b/>
          <w:color w:val="000000"/>
          <w:sz w:val="36"/>
          <w:szCs w:val="36"/>
          <w:highlight w:val="none"/>
          <w:lang w:eastAsia="zh-CN"/>
        </w:rPr>
        <w:outlineLvl w:val="9"/>
      </w:pPr>
      <w:r/>
      <w:bookmarkStart w:id="821" w:name="_Toc164608827"/>
      <w:r/>
      <w:bookmarkStart w:id="822" w:name="_Toc226309802"/>
      <w:r/>
      <w:bookmarkStart w:id="823" w:name="_Toc264969248"/>
      <w:r/>
      <w:bookmarkStart w:id="824" w:name="_Toc164608672"/>
      <w:r/>
      <w:bookmarkStart w:id="825" w:name="_Toc226337254"/>
      <w:r/>
      <w:bookmarkStart w:id="826" w:name="_Toc305158826"/>
      <w:r/>
      <w:bookmarkStart w:id="827" w:name="_Toc226965831"/>
      <w:r/>
      <w:bookmarkStart w:id="828" w:name="_Toc226965748"/>
      <w:r/>
      <w:bookmarkStart w:id="829" w:name="_Toc265228396"/>
      <w:r/>
      <w:bookmarkStart w:id="830" w:name="_Toc305158900"/>
      <w:r/>
      <w:bookmarkStart w:id="831" w:name="_Toc195842923"/>
      <w:r>
        <w:rPr>
          <w:rFonts w:hint="eastAsia"/>
          <w:b/>
          <w:color w:val="000000"/>
          <w:sz w:val="36"/>
          <w:szCs w:val="36"/>
          <w:highlight w:val="none"/>
        </w:rPr>
        <w:t xml:space="preserve">开标一览表</w:t>
      </w:r>
      <w:bookmarkEnd w:id="821"/>
      <w:r/>
      <w:bookmarkEnd w:id="822"/>
      <w:r/>
      <w:bookmarkEnd w:id="823"/>
      <w:r/>
      <w:bookmarkEnd w:id="824"/>
      <w:r/>
      <w:bookmarkEnd w:id="825"/>
      <w:r/>
      <w:bookmarkEnd w:id="826"/>
      <w:r/>
      <w:bookmarkEnd w:id="827"/>
      <w:r/>
      <w:bookmarkEnd w:id="828"/>
      <w:r/>
      <w:bookmarkEnd w:id="829"/>
      <w:r/>
      <w:bookmarkEnd w:id="830"/>
      <w:r/>
      <w:bookmarkEnd w:id="831"/>
      <w:r/>
      <w:r/>
    </w:p>
    <w:p>
      <w:pPr>
        <w:jc w:val="left"/>
        <w:spacing w:line="360" w:lineRule="auto"/>
        <w:tabs>
          <w:tab w:val="left" w:pos="1800" w:leader="none"/>
          <w:tab w:val="left" w:pos="5580" w:leader="none"/>
        </w:tabs>
        <w:rPr>
          <w:i/>
          <w:color w:val="000000"/>
          <w:sz w:val="24"/>
          <w:highlight w:val="none"/>
        </w:rPr>
        <w:outlineLvl w:val="9"/>
      </w:pPr>
      <w:r>
        <w:rPr>
          <w:i/>
          <w:color w:val="000000"/>
          <w:sz w:val="24"/>
          <w:highlight w:val="none"/>
        </w:rPr>
      </w:r>
      <w:r/>
    </w:p>
    <w:p>
      <w:pPr>
        <w:ind w:firstLine="24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690" w:type="dxa"/>
            <w:vAlign w:val="center"/>
            <w:vMerge w:val="restart"/>
            <w:textDirection w:val="lrTb"/>
            <w:noWrap w:val="false"/>
          </w:tcPr>
          <w:p>
            <w:pPr>
              <w:jc w:val="center"/>
              <w:tabs>
                <w:tab w:val="left" w:pos="5580" w:leader="none"/>
              </w:tabs>
              <w:rPr>
                <w:b/>
                <w:color w:val="000000"/>
                <w:sz w:val="24"/>
                <w:highlight w:val="none"/>
              </w:rPr>
              <w:outlineLvl w:val="9"/>
            </w:pPr>
            <w:r>
              <w:rPr>
                <w:b/>
                <w:color w:val="000000"/>
                <w:sz w:val="24"/>
                <w:highlight w:val="none"/>
              </w:rPr>
              <w:t xml:space="preserve">序号</w:t>
            </w:r>
            <w:r/>
          </w:p>
        </w:tc>
        <w:tc>
          <w:tcPr>
            <w:tcW w:w="3709" w:type="dxa"/>
            <w:vAlign w:val="center"/>
            <w:vMerge w:val="restart"/>
            <w:textDirection w:val="lrTb"/>
            <w:noWrap w:val="false"/>
          </w:tcPr>
          <w:p>
            <w:pPr>
              <w:jc w:val="center"/>
              <w:tabs>
                <w:tab w:val="left" w:pos="5580" w:leader="none"/>
              </w:tabs>
              <w:rPr>
                <w:b/>
                <w:color w:val="000000"/>
                <w:sz w:val="24"/>
                <w:highlight w:val="none"/>
              </w:rPr>
              <w:outlineLvl w:val="9"/>
            </w:pPr>
            <w:r>
              <w:rPr>
                <w:b/>
                <w:color w:val="000000"/>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hint="eastAsia" w:eastAsia="宋体"/>
                <w:b/>
                <w:color w:val="000000"/>
                <w:sz w:val="24"/>
                <w:highlight w:val="none"/>
                <w:lang w:eastAsia="zh-CN"/>
              </w:rPr>
              <w:outlineLvl w:val="9"/>
            </w:pPr>
            <w:r>
              <w:rPr>
                <w:b/>
                <w:color w:val="000000"/>
                <w:sz w:val="24"/>
                <w:highlight w:val="none"/>
              </w:rPr>
              <w:t xml:space="preserve">投标报价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人民币：元</w:t>
            </w:r>
            <w:r>
              <w:rPr>
                <w:rFonts w:hint="eastAsia"/>
                <w:b/>
                <w:color w:val="000000"/>
                <w:sz w:val="24"/>
                <w:highlight w:val="none"/>
                <w:lang w:eastAsia="zh-CN"/>
              </w:rPr>
              <w:t xml:space="preserve">）</w:t>
            </w:r>
            <w:r/>
          </w:p>
        </w:tc>
      </w:tr>
      <w:tr>
        <w:trPr>
          <w:jc w:val="center"/>
          <w:trHeight w:val="674"/>
        </w:trPr>
        <w:tc>
          <w:tcPr>
            <w:tcW w:w="690" w:type="dxa"/>
            <w:vAlign w:val="center"/>
            <w:vMerge w:val="continue"/>
            <w:textDirection w:val="lrTb"/>
            <w:noWrap w:val="false"/>
          </w:tcPr>
          <w:p>
            <w:pPr>
              <w:jc w:val="center"/>
              <w:tabs>
                <w:tab w:val="left" w:pos="5580" w:leader="none"/>
              </w:tabs>
              <w:rPr>
                <w:color w:val="000000"/>
                <w:sz w:val="24"/>
                <w:highlight w:val="none"/>
              </w:rPr>
              <w:outlineLvl w:val="9"/>
            </w:pPr>
            <w:r>
              <w:rPr>
                <w:color w:val="000000"/>
                <w:sz w:val="24"/>
                <w:highlight w:val="none"/>
              </w:rPr>
            </w:r>
            <w:r/>
          </w:p>
        </w:tc>
        <w:tc>
          <w:tcPr>
            <w:tcW w:w="3709" w:type="dxa"/>
            <w:vAlign w:val="center"/>
            <w:vMerge w:val="continue"/>
            <w:textDirection w:val="lrTb"/>
            <w:noWrap w:val="false"/>
          </w:tcPr>
          <w:p>
            <w:pPr>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jc w:val="center"/>
              <w:tabs>
                <w:tab w:val="left" w:pos="5580" w:leader="none"/>
              </w:tabs>
              <w:rPr>
                <w:b/>
                <w:color w:val="000000"/>
                <w:sz w:val="24"/>
                <w:highlight w:val="none"/>
              </w:rPr>
              <w:outlineLvl w:val="9"/>
            </w:pPr>
            <w:r>
              <w:rPr>
                <w:b/>
                <w:color w:val="000000"/>
                <w:sz w:val="24"/>
                <w:highlight w:val="none"/>
              </w:rPr>
              <w:t xml:space="preserve">大写</w:t>
            </w:r>
            <w:r/>
          </w:p>
        </w:tc>
        <w:tc>
          <w:tcPr>
            <w:tcW w:w="1984" w:type="dxa"/>
            <w:vAlign w:val="center"/>
            <w:textDirection w:val="lrTb"/>
            <w:noWrap w:val="false"/>
          </w:tcPr>
          <w:p>
            <w:pPr>
              <w:jc w:val="center"/>
              <w:tabs>
                <w:tab w:val="left" w:pos="5580" w:leader="none"/>
              </w:tabs>
              <w:rPr>
                <w:b/>
                <w:color w:val="000000"/>
                <w:sz w:val="24"/>
                <w:highlight w:val="none"/>
              </w:rPr>
              <w:outlineLvl w:val="9"/>
            </w:pPr>
            <w:r>
              <w:rPr>
                <w:b/>
                <w:color w:val="000000"/>
                <w:sz w:val="24"/>
                <w:highlight w:val="none"/>
              </w:rPr>
              <w:t xml:space="preserve">小写</w:t>
            </w:r>
            <w:r/>
          </w:p>
        </w:tc>
      </w:tr>
      <w:tr>
        <w:trPr>
          <w:jc w:val="center"/>
          <w:trHeight w:val="976"/>
        </w:trPr>
        <w:tc>
          <w:tcPr>
            <w:tcW w:w="690" w:type="dxa"/>
            <w:vAlign w:val="center"/>
            <w:textDirection w:val="lrTb"/>
            <w:noWrap w:val="false"/>
          </w:tcPr>
          <w:p>
            <w:pPr>
              <w:jc w:val="center"/>
              <w:tabs>
                <w:tab w:val="left" w:pos="5580" w:leader="none"/>
              </w:tabs>
              <w:rPr>
                <w:color w:val="000000"/>
                <w:sz w:val="24"/>
                <w:highlight w:val="none"/>
              </w:rPr>
              <w:outlineLvl w:val="9"/>
            </w:pPr>
            <w:r>
              <w:rPr>
                <w:color w:val="000000"/>
                <w:sz w:val="24"/>
                <w:highlight w:val="none"/>
              </w:rPr>
            </w:r>
            <w:r/>
          </w:p>
        </w:tc>
        <w:tc>
          <w:tcPr>
            <w:tcW w:w="3709" w:type="dxa"/>
            <w:vAlign w:val="center"/>
            <w:textDirection w:val="lrTb"/>
            <w:noWrap w:val="false"/>
          </w:tcPr>
          <w:p>
            <w:pPr>
              <w:jc w:val="center"/>
              <w:tabs>
                <w:tab w:val="left" w:pos="5580" w:leader="none"/>
              </w:tabs>
              <w:rPr>
                <w:color w:val="000000"/>
                <w:sz w:val="24"/>
                <w:highlight w:val="none"/>
              </w:rPr>
              <w:outlineLvl w:val="9"/>
            </w:pPr>
            <w:r>
              <w:rPr>
                <w:color w:val="000000"/>
                <w:sz w:val="24"/>
                <w:highlight w:val="none"/>
              </w:rPr>
            </w:r>
            <w:r/>
          </w:p>
        </w:tc>
        <w:tc>
          <w:tcPr>
            <w:tcW w:w="1989" w:type="dxa"/>
            <w:vAlign w:val="center"/>
            <w:textDirection w:val="lrTb"/>
            <w:noWrap w:val="false"/>
          </w:tcPr>
          <w:p>
            <w:pPr>
              <w:jc w:val="center"/>
              <w:tabs>
                <w:tab w:val="left" w:pos="5580" w:leader="none"/>
              </w:tabs>
              <w:rPr>
                <w:color w:val="000000"/>
                <w:sz w:val="24"/>
                <w:highlight w:val="none"/>
              </w:rPr>
              <w:outlineLvl w:val="9"/>
            </w:pPr>
            <w:r>
              <w:rPr>
                <w:color w:val="000000"/>
                <w:sz w:val="24"/>
                <w:highlight w:val="none"/>
              </w:rPr>
            </w:r>
            <w:r/>
          </w:p>
        </w:tc>
        <w:tc>
          <w:tcPr>
            <w:tcW w:w="1984" w:type="dxa"/>
            <w:vAlign w:val="center"/>
            <w:textDirection w:val="lrTb"/>
            <w:noWrap w:val="false"/>
          </w:tcPr>
          <w:p>
            <w:pPr>
              <w:jc w:val="center"/>
              <w:tabs>
                <w:tab w:val="left" w:pos="5580" w:leader="none"/>
              </w:tabs>
              <w:rPr>
                <w:color w:val="000000"/>
                <w:sz w:val="24"/>
                <w:highlight w:val="none"/>
              </w:rPr>
              <w:outlineLvl w:val="9"/>
            </w:pPr>
            <w:r>
              <w:rPr>
                <w:color w:val="000000"/>
                <w:sz w:val="24"/>
                <w:highlight w:val="none"/>
              </w:rPr>
            </w:r>
            <w:r/>
          </w:p>
        </w:tc>
      </w:tr>
    </w:tbl>
    <w:p>
      <w:pPr>
        <w:jc w:val="left"/>
        <w:rPr>
          <w:color w:val="000000"/>
          <w:sz w:val="24"/>
          <w:highlight w:val="none"/>
        </w:rPr>
        <w:outlineLvl w:val="9"/>
      </w:pPr>
      <w:r>
        <w:rPr>
          <w:color w:val="000000"/>
          <w:sz w:val="24"/>
          <w:highlight w:val="none"/>
        </w:rPr>
      </w:r>
      <w:r/>
    </w:p>
    <w:p>
      <w:pPr>
        <w:jc w:val="left"/>
        <w:rPr>
          <w:color w:val="000000"/>
          <w:sz w:val="24"/>
          <w:szCs w:val="20"/>
          <w:highlight w:val="none"/>
        </w:rPr>
        <w:outlineLvl w:val="9"/>
      </w:pPr>
      <w:r>
        <w:rPr>
          <w:color w:val="000000"/>
          <w:sz w:val="24"/>
          <w:highlight w:val="none"/>
        </w:rPr>
        <w:t xml:space="preserve">注：</w:t>
      </w:r>
      <w:r>
        <w:rPr>
          <w:rFonts w:hint="eastAsia"/>
          <w:color w:val="000000"/>
          <w:sz w:val="24"/>
          <w:highlight w:val="none"/>
          <w:lang w:val="en-US" w:eastAsia="zh-CN"/>
        </w:rPr>
        <w:t xml:space="preserve">1.</w:t>
      </w:r>
      <w:r>
        <w:rPr>
          <w:color w:val="000000"/>
          <w:sz w:val="24"/>
          <w:szCs w:val="20"/>
          <w:highlight w:val="none"/>
        </w:rPr>
        <w:t xml:space="preserve">此表的投标报价应和《投标分项报价表》中的总价相一致。</w:t>
      </w:r>
      <w:r/>
    </w:p>
    <w:p>
      <w:pPr>
        <w:spacing w:before="25" w:after="25" w:line="360" w:lineRule="auto"/>
        <w:rPr>
          <w:color w:val="000000"/>
          <w:sz w:val="24"/>
          <w:highlight w:val="none"/>
          <w:lang w:val="zh-CN"/>
        </w:rPr>
        <w:outlineLvl w:val="9"/>
      </w:pPr>
      <w:r>
        <w:rPr>
          <w:color w:val="000000"/>
          <w:sz w:val="24"/>
          <w:highlight w:val="none"/>
          <w:lang w:val="zh-CN"/>
        </w:rPr>
      </w:r>
      <w:r/>
    </w:p>
    <w:p>
      <w:pPr>
        <w:spacing w:before="25" w:after="25" w:line="360" w:lineRule="auto"/>
        <w:rPr>
          <w:color w:val="000000"/>
          <w:sz w:val="24"/>
          <w:highlight w:val="none"/>
          <w:lang w:val="zh-CN"/>
        </w:rPr>
        <w:outlineLvl w:val="9"/>
      </w:pPr>
      <w:r>
        <w:rPr>
          <w:color w:val="000000"/>
          <w:sz w:val="24"/>
          <w:highlight w:val="none"/>
          <w:lang w:val="zh-CN"/>
        </w:rPr>
        <w:t xml:space="preserve">    </w:t>
      </w:r>
      <w:r>
        <w:rPr>
          <w:rFonts w:hint="eastAsia"/>
          <w:color w:val="000000"/>
          <w:sz w:val="24"/>
          <w:highlight w:val="none"/>
          <w:lang w:val="en-US" w:eastAsia="zh-CN"/>
        </w:rPr>
        <w:t xml:space="preserve">2.</w:t>
      </w:r>
      <w:r>
        <w:rPr>
          <w:rFonts w:hint="eastAsia"/>
          <w:color w:val="000000"/>
          <w:sz w:val="24"/>
          <w:highlight w:val="none"/>
          <w:lang w:val="zh-CN"/>
        </w:rPr>
        <w:t xml:space="preserve">报价</w:t>
      </w:r>
      <w:r>
        <w:rPr>
          <w:rFonts w:hint="eastAsia"/>
          <w:color w:val="000000"/>
          <w:sz w:val="24"/>
          <w:highlight w:val="none"/>
          <w:lang w:val="en-US" w:eastAsia="zh-CN"/>
        </w:rPr>
        <w:t xml:space="preserve">须包</w:t>
      </w:r>
      <w:r>
        <w:rPr>
          <w:rFonts w:hint="eastAsia"/>
          <w:color w:val="000000"/>
          <w:sz w:val="24"/>
          <w:highlight w:val="none"/>
          <w:lang w:val="zh-CN"/>
        </w:rPr>
        <w:t xml:space="preserve">含所有涉及到的网络接口费用。</w:t>
      </w:r>
      <w:r>
        <w:rPr>
          <w:color w:val="000000"/>
          <w:sz w:val="24"/>
          <w:highlight w:val="none"/>
          <w:lang w:val="zh-CN"/>
        </w:rPr>
        <w:t xml:space="preserve">                   </w:t>
      </w:r>
      <w:r/>
    </w:p>
    <w:p>
      <w:pPr>
        <w:ind w:firstLine="480"/>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p>
    <w:p>
      <w:pPr>
        <w:ind w:firstLine="480"/>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p>
    <w:p>
      <w:pPr>
        <w:jc w:val="left"/>
        <w:widowControl/>
        <w:rPr>
          <w:color w:val="000000"/>
          <w:sz w:val="24"/>
          <w:szCs w:val="20"/>
          <w:highlight w:val="none"/>
        </w:rPr>
        <w:outlineLvl w:val="9"/>
      </w:pPr>
      <w:r/>
      <w:bookmarkStart w:id="832" w:name="_Toc127151558"/>
      <w:r/>
      <w:bookmarkStart w:id="833" w:name="_Toc150480796"/>
      <w:r/>
      <w:bookmarkStart w:id="834" w:name="_Toc305158901"/>
      <w:r/>
      <w:bookmarkStart w:id="835" w:name="_Toc150774763"/>
      <w:r/>
      <w:bookmarkStart w:id="836" w:name="_Toc226965749"/>
      <w:r/>
      <w:bookmarkStart w:id="837" w:name="_Toc226965832"/>
      <w:r/>
      <w:bookmarkStart w:id="838" w:name="_Toc195842924"/>
      <w:r/>
      <w:bookmarkStart w:id="839" w:name="_Toc265228397"/>
      <w:r/>
      <w:bookmarkStart w:id="840" w:name="_Toc226309803"/>
      <w:r/>
      <w:bookmarkStart w:id="841" w:name="_Toc142311060"/>
      <w:r/>
      <w:bookmarkStart w:id="842" w:name="_Toc226337255"/>
      <w:r/>
      <w:bookmarkStart w:id="843" w:name="_Toc305158827"/>
      <w:r/>
      <w:bookmarkStart w:id="844" w:name="_Toc264969249"/>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投标分项报价表</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color w:val="000000"/>
          <w:sz w:val="24"/>
          <w:szCs w:val="20"/>
          <w:highlight w:val="none"/>
        </w:rPr>
        <w:t xml:space="preserve">（实质性格式）</w:t>
      </w:r>
      <w:r/>
    </w:p>
    <w:p>
      <w:pPr>
        <w:jc w:val="center"/>
        <w:spacing w:line="360" w:lineRule="exact"/>
        <w:rPr>
          <w:color w:val="000000"/>
          <w:sz w:val="36"/>
          <w:szCs w:val="36"/>
          <w:highlight w:val="none"/>
        </w:rPr>
        <w:outlineLvl w:val="9"/>
      </w:pPr>
      <w:r>
        <w:rPr>
          <w:color w:val="000000"/>
          <w:sz w:val="36"/>
          <w:szCs w:val="36"/>
          <w:highlight w:val="none"/>
        </w:rPr>
      </w:r>
      <w:r/>
    </w:p>
    <w:p>
      <w:pPr>
        <w:jc w:val="center"/>
        <w:spacing w:line="360" w:lineRule="auto"/>
        <w:tabs>
          <w:tab w:val="left" w:pos="2775" w:leader="none"/>
          <w:tab w:val="center" w:pos="4153" w:leader="none"/>
        </w:tabs>
        <w:rPr>
          <w:rFonts w:hint="eastAsia"/>
          <w:b/>
          <w:color w:val="000000"/>
          <w:sz w:val="36"/>
          <w:szCs w:val="36"/>
          <w:highlight w:val="none"/>
        </w:rPr>
        <w:outlineLvl w:val="9"/>
      </w:pPr>
      <w:r>
        <w:rPr>
          <w:rFonts w:hint="eastAsia"/>
          <w:b/>
          <w:color w:val="000000"/>
          <w:sz w:val="36"/>
          <w:szCs w:val="36"/>
          <w:highlight w:val="none"/>
        </w:rPr>
        <w:t xml:space="preserve">投标分项报价表</w:t>
      </w:r>
      <w:r/>
    </w:p>
    <w:p>
      <w:pPr>
        <w:jc w:val="center"/>
        <w:spacing w:line="260" w:lineRule="exact"/>
        <w:rPr>
          <w:color w:val="000000"/>
          <w:sz w:val="36"/>
          <w:szCs w:val="36"/>
          <w:highlight w:val="none"/>
        </w:rPr>
        <w:outlineLvl w:val="9"/>
      </w:pPr>
      <w:r>
        <w:rPr>
          <w:color w:val="000000"/>
          <w:sz w:val="36"/>
          <w:szCs w:val="36"/>
          <w:highlight w:val="none"/>
        </w:rPr>
      </w:r>
      <w:r/>
    </w:p>
    <w:p>
      <w:pPr>
        <w:tabs>
          <w:tab w:val="left" w:pos="1800" w:leader="none"/>
          <w:tab w:val="left" w:pos="5580" w:leader="none"/>
        </w:tabs>
        <w:rPr>
          <w:color w:val="000000"/>
          <w:sz w:val="24"/>
          <w:highlight w:val="none"/>
        </w:rPr>
        <w:outlineLvl w:val="9"/>
      </w:pPr>
      <w:r>
        <w:rPr>
          <w:color w:val="000000"/>
          <w:sz w:val="24"/>
          <w:highlight w:val="none"/>
        </w:rPr>
      </w:r>
      <w:r/>
    </w:p>
    <w:p>
      <w:pPr>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项目名称：__________报价单位：人民币元</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p>
        </w:tc>
        <w:tc>
          <w:tcPr>
            <w:tcW w:w="881" w:type="dxa"/>
            <w:vAlign w:val="center"/>
            <w:vMerge w:val="restart"/>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w:t>
            </w:r>
            <w:r/>
          </w:p>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名称</w:t>
            </w:r>
            <w:r/>
          </w:p>
        </w:tc>
        <w:tc>
          <w:tcPr>
            <w:tcW w:w="780" w:type="dxa"/>
            <w:vAlign w:val="center"/>
            <w:vMerge w:val="restart"/>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品牌商标</w:t>
            </w:r>
            <w:r/>
          </w:p>
        </w:tc>
        <w:tc>
          <w:tcPr>
            <w:tcW w:w="1337" w:type="dxa"/>
            <w:vAlign w:val="center"/>
            <w:vMerge w:val="restart"/>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规格型号</w:t>
            </w:r>
            <w:r/>
          </w:p>
        </w:tc>
        <w:tc>
          <w:tcPr>
            <w:tcW w:w="1799" w:type="dxa"/>
            <w:vAlign w:val="center"/>
            <w:vMerge w:val="restart"/>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881" w:type="dxa"/>
            <w:vAlign w:val="center"/>
            <w:vMerge w:val="continue"/>
            <w:textDirection w:val="lrTb"/>
            <w:noWrap w:val="false"/>
          </w:tcPr>
          <w:p>
            <w:pPr>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780" w:type="dxa"/>
            <w:vAlign w:val="center"/>
            <w:vMerge w:val="continue"/>
            <w:textDirection w:val="lrTb"/>
            <w:noWrap w:val="false"/>
          </w:tcPr>
          <w:p>
            <w:pPr>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vMerge w:val="continue"/>
            <w:textDirection w:val="lrTb"/>
            <w:noWrap w:val="false"/>
          </w:tcPr>
          <w:p>
            <w:pPr>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vMerge w:val="continue"/>
            <w:textDirection w:val="lrTb"/>
            <w:noWrap w:val="false"/>
          </w:tcPr>
          <w:p>
            <w:pPr>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vMerge w:val="continue"/>
            <w:textDirection w:val="lrTb"/>
            <w:noWrap w:val="false"/>
          </w:tcPr>
          <w:p>
            <w:pPr>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vMerge w:val="continue"/>
            <w:textDirection w:val="lrTb"/>
            <w:noWrap w:val="false"/>
          </w:tcPr>
          <w:p>
            <w:pPr>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p>
        </w:tc>
        <w:tc>
          <w:tcPr>
            <w:tcW w:w="881" w:type="dxa"/>
            <w:vAlign w:val="center"/>
            <w:textDirection w:val="lrTb"/>
            <w:noWrap w:val="false"/>
          </w:tcPr>
          <w:p>
            <w:pPr>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p>
        </w:tc>
        <w:tc>
          <w:tcPr>
            <w:tcW w:w="881" w:type="dxa"/>
            <w:vAlign w:val="center"/>
            <w:textDirection w:val="lrTb"/>
            <w:noWrap w:val="false"/>
          </w:tcPr>
          <w:p>
            <w:pPr>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p>
        </w:tc>
        <w:tc>
          <w:tcPr>
            <w:tcW w:w="881" w:type="dxa"/>
            <w:vAlign w:val="center"/>
            <w:textDirection w:val="lrTb"/>
            <w:noWrap w:val="false"/>
          </w:tcPr>
          <w:p>
            <w:pPr>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p>
        </w:tc>
        <w:tc>
          <w:tcPr>
            <w:tcW w:w="881" w:type="dxa"/>
            <w:vAlign w:val="center"/>
            <w:textDirection w:val="lrTb"/>
            <w:noWrap w:val="false"/>
          </w:tcPr>
          <w:p>
            <w:pPr>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p>
        </w:tc>
        <w:tc>
          <w:tcPr>
            <w:tcW w:w="881" w:type="dxa"/>
            <w:vAlign w:val="center"/>
            <w:textDirection w:val="lrTb"/>
            <w:noWrap w:val="false"/>
          </w:tcPr>
          <w:p>
            <w:pPr>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p>
        </w:tc>
        <w:tc>
          <w:tcPr>
            <w:tcW w:w="881" w:type="dxa"/>
            <w:vAlign w:val="center"/>
            <w:textDirection w:val="lrTb"/>
            <w:noWrap w:val="false"/>
          </w:tcPr>
          <w:p>
            <w:pPr>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bl>
    <w:p>
      <w:pPr>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p>
      <w:pPr>
        <w:jc w:val="left"/>
        <w:tabs>
          <w:tab w:val="left" w:pos="1800" w:leader="none"/>
          <w:tab w:val="left" w:pos="5580" w:leader="none"/>
        </w:tabs>
        <w:rPr>
          <w:color w:val="000000"/>
          <w:sz w:val="24"/>
          <w:highlight w:val="none"/>
        </w:rPr>
        <w:outlineLvl w:val="9"/>
      </w:pPr>
      <w:r>
        <w:rPr>
          <w:color w:val="000000"/>
          <w:sz w:val="24"/>
          <w:highlight w:val="none"/>
        </w:rPr>
        <w:t xml:space="preserve">注：</w:t>
      </w:r>
      <w:r>
        <w:rPr>
          <w:rFonts w:hint="eastAsia"/>
          <w:color w:val="000000"/>
          <w:sz w:val="24"/>
          <w:highlight w:val="none"/>
          <w:lang w:val="en-US" w:eastAsia="zh-CN"/>
        </w:rPr>
        <w:t xml:space="preserve">1</w:t>
      </w:r>
      <w:r>
        <w:rPr>
          <w:color w:val="000000"/>
          <w:sz w:val="24"/>
          <w:highlight w:val="none"/>
        </w:rPr>
        <w:t xml:space="preserve">.如果不提供分项报价将视为没有实质性响应招标文件。</w:t>
      </w:r>
      <w:r/>
    </w:p>
    <w:p>
      <w:pPr>
        <w:ind w:firstLine="480"/>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lang w:val="en-US" w:eastAsia="zh-CN"/>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outlineLvl w:val="9"/>
      </w:pPr>
      <w:r>
        <w:rPr>
          <w:rFonts w:hint="eastAsia"/>
          <w:color w:val="000000"/>
          <w:sz w:val="24"/>
          <w:highlight w:val="none"/>
          <w:lang w:val="en-US" w:eastAsia="zh-CN"/>
        </w:rPr>
        <w:t xml:space="preserve">3</w:t>
      </w:r>
      <w:r>
        <w:rPr>
          <w:rFonts w:hint="eastAsia"/>
          <w:color w:val="000000"/>
          <w:sz w:val="24"/>
          <w:highlight w:val="none"/>
        </w:rPr>
        <w:t xml:space="preserve">.</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ind w:firstLine="480"/>
        <w:spacing w:before="25" w:after="25" w:line="360" w:lineRule="auto"/>
        <w:rPr>
          <w:rFonts w:hint="eastAsia"/>
          <w:color w:val="000000"/>
          <w:sz w:val="24"/>
          <w:highlight w:val="none"/>
          <w:lang w:val="zh-CN"/>
        </w:rPr>
        <w:outlineLvl w:val="9"/>
      </w:pPr>
      <w:r>
        <w:rPr>
          <w:rFonts w:hint="eastAsia"/>
          <w:color w:val="000000"/>
          <w:sz w:val="24"/>
          <w:highlight w:val="none"/>
          <w:lang w:val="en-US" w:eastAsia="zh-CN"/>
        </w:rPr>
        <w:t xml:space="preserve">4.</w:t>
      </w:r>
      <w:r>
        <w:rPr>
          <w:rFonts w:hint="eastAsia"/>
          <w:color w:val="000000"/>
          <w:sz w:val="24"/>
          <w:highlight w:val="none"/>
          <w:lang w:val="zh-CN"/>
        </w:rPr>
        <w:t xml:space="preserve">报价</w:t>
      </w:r>
      <w:r>
        <w:rPr>
          <w:rFonts w:hint="eastAsia"/>
          <w:color w:val="000000"/>
          <w:sz w:val="24"/>
          <w:highlight w:val="none"/>
          <w:lang w:val="en-US" w:eastAsia="zh-CN"/>
        </w:rPr>
        <w:t xml:space="preserve">须包</w:t>
      </w:r>
      <w:r>
        <w:rPr>
          <w:rFonts w:hint="eastAsia"/>
          <w:color w:val="000000"/>
          <w:sz w:val="24"/>
          <w:highlight w:val="none"/>
          <w:lang w:val="zh-CN"/>
        </w:rPr>
        <w:t xml:space="preserve">含所有涉及到的网络接口费用。</w:t>
      </w:r>
      <w:r/>
    </w:p>
    <w:p>
      <w:pPr>
        <w:ind w:firstLine="480"/>
        <w:spacing w:before="25" w:after="25" w:line="360" w:lineRule="auto"/>
        <w:rPr>
          <w:rFonts w:hint="eastAsia"/>
          <w:color w:val="000000"/>
          <w:sz w:val="24"/>
          <w:highlight w:val="none"/>
          <w:lang w:val="zh-CN"/>
        </w:rPr>
        <w:outlineLvl w:val="9"/>
      </w:pPr>
      <w:r>
        <w:rPr>
          <w:rFonts w:hint="eastAsia"/>
          <w:color w:val="000000"/>
          <w:sz w:val="24"/>
          <w:highlight w:val="none"/>
          <w:lang w:val="en-US" w:eastAsia="zh-CN"/>
        </w:rPr>
        <w:t xml:space="preserve">5</w:t>
      </w:r>
      <w:r>
        <w:rPr>
          <w:rFonts w:hint="eastAsia"/>
          <w:color w:val="000000"/>
          <w:sz w:val="24"/>
          <w:highlight w:val="none"/>
          <w:lang w:val="zh-CN"/>
        </w:rPr>
        <w:t xml:space="preserve">.价格扣除优惠，仅适用于采购活动中实际存在非本国产品参与竞争的情形。如果</w:t>
      </w:r>
      <w:r/>
    </w:p>
    <w:p>
      <w:pPr>
        <w:spacing w:before="25" w:after="25" w:line="360" w:lineRule="auto"/>
        <w:rPr>
          <w:rFonts w:hint="eastAsia"/>
          <w:color w:val="000000"/>
          <w:sz w:val="24"/>
          <w:highlight w:val="none"/>
          <w:lang w:val="zh-CN"/>
        </w:rPr>
        <w:outlineLvl w:val="9"/>
      </w:pPr>
      <w:r>
        <w:rPr>
          <w:rFonts w:hint="eastAsia"/>
          <w:color w:val="000000"/>
          <w:sz w:val="24"/>
          <w:highlight w:val="none"/>
          <w:lang w:val="zh-CN"/>
        </w:rPr>
        <w:t xml:space="preserve">所有有效投标人提供的产品均为本国产品（即不存在非本国产品竞争），则不执行本国</w:t>
      </w:r>
      <w:r/>
    </w:p>
    <w:p>
      <w:pPr>
        <w:spacing w:before="25" w:after="25" w:line="360" w:lineRule="auto"/>
        <w:rPr>
          <w:color w:val="000000"/>
          <w:sz w:val="24"/>
          <w:highlight w:val="none"/>
          <w:lang w:val="zh-CN"/>
        </w:rPr>
        <w:outlineLvl w:val="9"/>
      </w:pPr>
      <w:r>
        <w:rPr>
          <w:rFonts w:hint="eastAsia"/>
          <w:color w:val="000000"/>
          <w:sz w:val="24"/>
          <w:highlight w:val="none"/>
          <w:lang w:val="zh-CN"/>
        </w:rPr>
        <w:t xml:space="preserve">产品的价格扣除政策。</w:t>
      </w:r>
      <w:r>
        <w:rPr>
          <w:color w:val="000000"/>
          <w:sz w:val="24"/>
          <w:highlight w:val="none"/>
          <w:lang w:val="zh-CN"/>
        </w:rPr>
        <w:t xml:space="preserve">             </w:t>
      </w:r>
      <w:r/>
    </w:p>
    <w:p>
      <w:pPr>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p>
    <w:p>
      <w:pPr>
        <w:jc w:val="left"/>
        <w:spacing w:before="240" w:after="240"/>
        <w:rPr>
          <w:rFonts w:hint="eastAsia"/>
          <w:b/>
          <w:i/>
          <w:color w:val="000000"/>
          <w:sz w:val="24"/>
          <w:highlight w:val="none"/>
        </w:rPr>
        <w:outlineLvl w:val="9"/>
      </w:pPr>
      <w:r>
        <w:rPr>
          <w:rFonts w:hint="eastAsia"/>
          <w:b/>
          <w:i/>
          <w:color w:val="000000"/>
          <w:sz w:val="24"/>
          <w:highlight w:val="none"/>
        </w:rPr>
      </w:r>
      <w:r/>
    </w:p>
    <w:p>
      <w:pPr>
        <w:jc w:val="left"/>
        <w:spacing w:before="240" w:after="240"/>
        <w:rPr>
          <w:rFonts w:hint="eastAsia"/>
          <w:b/>
          <w:i/>
          <w:color w:val="000000"/>
          <w:sz w:val="24"/>
          <w:highlight w:val="none"/>
        </w:rPr>
        <w:outlineLvl w:val="9"/>
      </w:pPr>
      <w:r>
        <w:rPr>
          <w:rFonts w:hint="eastAsia"/>
          <w:b/>
          <w:i/>
          <w:color w:val="000000"/>
          <w:sz w:val="24"/>
          <w:highlight w:val="none"/>
        </w:rPr>
      </w:r>
      <w:r/>
    </w:p>
    <w:p>
      <w:pPr>
        <w:spacing w:line="360" w:lineRule="auto"/>
        <w:rPr>
          <w:color w:val="000000"/>
          <w:sz w:val="24"/>
          <w:szCs w:val="20"/>
          <w:highlight w:val="none"/>
        </w:rPr>
        <w:outlineLvl w:val="9"/>
      </w:pPr>
      <w:r/>
      <w:bookmarkStart w:id="845" w:name="_Toc226337258"/>
      <w:r/>
      <w:bookmarkStart w:id="846" w:name="_Toc127151562"/>
      <w:r/>
      <w:bookmarkStart w:id="847" w:name="_Toc226965752"/>
      <w:r/>
      <w:bookmarkStart w:id="848" w:name="_Toc150480798"/>
      <w:r/>
      <w:bookmarkStart w:id="849" w:name="_Toc150774765"/>
      <w:r/>
      <w:bookmarkStart w:id="850" w:name="_Toc265228400"/>
      <w:r/>
      <w:bookmarkStart w:id="851" w:name="_Toc195842927"/>
      <w:r/>
      <w:bookmarkStart w:id="852" w:name="_Toc226309806"/>
      <w:r/>
      <w:bookmarkStart w:id="853" w:name="_Toc142311062"/>
      <w:r/>
      <w:bookmarkStart w:id="854" w:name="_Toc226965835"/>
      <w:r/>
      <w:bookmarkStart w:id="855" w:name="_Toc305158904"/>
      <w:r/>
      <w:bookmarkStart w:id="856" w:name="_Toc305158830"/>
      <w:r/>
      <w:bookmarkStart w:id="857" w:name="_Toc264969252"/>
      <w:r/>
      <w:bookmarkStart w:id="858" w:name="_Toc264969251"/>
      <w:r/>
      <w:bookmarkStart w:id="859" w:name="_Toc305158903"/>
      <w:r/>
      <w:bookmarkStart w:id="860" w:name="_Toc195842926"/>
      <w:r/>
      <w:bookmarkStart w:id="861" w:name="_Toc226337257"/>
      <w:r/>
      <w:bookmarkStart w:id="862" w:name="_Toc226965834"/>
      <w:r/>
      <w:bookmarkStart w:id="863" w:name="_Toc226309805"/>
      <w:r/>
      <w:bookmarkStart w:id="864" w:name="_Toc305158829"/>
      <w:r/>
      <w:bookmarkStart w:id="865" w:name="_Toc142311061"/>
      <w:r/>
      <w:bookmarkStart w:id="866" w:name="_Toc265228399"/>
      <w:r/>
      <w:bookmarkStart w:id="867" w:name="_Toc150480797"/>
      <w:r/>
      <w:bookmarkStart w:id="868" w:name="_Toc127151561"/>
      <w:r/>
      <w:bookmarkStart w:id="869" w:name="_Toc150774764"/>
      <w:r/>
      <w:bookmarkStart w:id="870" w:name="_Toc226965751"/>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color w:val="000000"/>
          <w:sz w:val="24"/>
          <w:szCs w:val="20"/>
          <w:highlight w:val="none"/>
        </w:rPr>
        <w:t xml:space="preserve">（实质性格式）</w:t>
      </w:r>
      <w:r/>
    </w:p>
    <w:p>
      <w:pPr>
        <w:spacing w:line="360" w:lineRule="auto"/>
        <w:rPr>
          <w:color w:val="000000"/>
          <w:sz w:val="24"/>
          <w:szCs w:val="20"/>
          <w:highlight w:val="none"/>
        </w:rPr>
        <w:outlineLvl w:val="9"/>
      </w:pPr>
      <w:r>
        <w:rPr>
          <w:color w:val="000000"/>
          <w:sz w:val="24"/>
          <w:szCs w:val="20"/>
          <w:highlight w:val="none"/>
        </w:rPr>
      </w:r>
      <w:r/>
    </w:p>
    <w:p>
      <w:pPr>
        <w:jc w:val="center"/>
        <w:spacing w:line="360" w:lineRule="auto"/>
        <w:tabs>
          <w:tab w:val="left" w:pos="2775" w:leader="none"/>
          <w:tab w:val="center" w:pos="4153" w:leader="none"/>
        </w:tabs>
        <w:rPr>
          <w:b/>
          <w:color w:val="000000"/>
          <w:sz w:val="36"/>
          <w:szCs w:val="36"/>
          <w:highlight w:val="none"/>
        </w:rPr>
        <w:outlineLvl w:val="9"/>
      </w:pPr>
      <w:r>
        <w:rPr>
          <w:rFonts w:hint="eastAsia"/>
          <w:b/>
          <w:color w:val="000000"/>
          <w:sz w:val="36"/>
          <w:szCs w:val="36"/>
          <w:highlight w:val="none"/>
        </w:rPr>
        <w:t xml:space="preserve">合同条款偏离表</w:t>
      </w:r>
      <w:r/>
    </w:p>
    <w:p>
      <w:pPr>
        <w:spacing w:line="360" w:lineRule="auto"/>
        <w:rPr>
          <w:color w:val="000000"/>
          <w:sz w:val="24"/>
          <w:szCs w:val="20"/>
          <w:highlight w:val="none"/>
        </w:rPr>
        <w:outlineLvl w:val="9"/>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项目编号：_____________________     项目名称：_____________</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highlight w:val="none"/>
              </w:rPr>
              <w:outlineLvl w:val="9"/>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color w:val="000000"/>
                <w:sz w:val="24"/>
                <w:highlight w:val="none"/>
              </w:rPr>
              <w:outlineLvl w:val="9"/>
            </w:pPr>
            <w:r>
              <w:rPr>
                <w:color w:val="000000"/>
                <w:sz w:val="24"/>
                <w:highlight w:val="none"/>
              </w:rPr>
              <w:t xml:space="preserve">序号</w:t>
            </w:r>
            <w:r/>
          </w:p>
        </w:tc>
        <w:tc>
          <w:tcPr>
            <w:tcW w:w="1290" w:type="dxa"/>
            <w:vAlign w:val="center"/>
            <w:textDirection w:val="lrTb"/>
            <w:noWrap w:val="false"/>
          </w:tcPr>
          <w:p>
            <w:pPr>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条目号（页码）</w:t>
            </w:r>
            <w:r/>
          </w:p>
        </w:tc>
        <w:tc>
          <w:tcPr>
            <w:tcW w:w="1980" w:type="dxa"/>
            <w:vAlign w:val="center"/>
            <w:textDirection w:val="lrTb"/>
            <w:noWrap w:val="false"/>
          </w:tcPr>
          <w:p>
            <w:pPr>
              <w:jc w:val="center"/>
              <w:rPr>
                <w:color w:val="000000"/>
                <w:sz w:val="24"/>
                <w:highlight w:val="none"/>
              </w:rPr>
              <w:outlineLvl w:val="9"/>
            </w:pPr>
            <w:r>
              <w:rPr>
                <w:color w:val="000000"/>
                <w:sz w:val="24"/>
                <w:szCs w:val="21"/>
                <w:highlight w:val="none"/>
              </w:rPr>
              <w:t xml:space="preserve">招标文件</w:t>
            </w:r>
            <w:r>
              <w:rPr>
                <w:color w:val="000000"/>
                <w:sz w:val="24"/>
                <w:highlight w:val="none"/>
              </w:rPr>
              <w:t xml:space="preserve">要求</w:t>
            </w:r>
            <w:r/>
          </w:p>
        </w:tc>
        <w:tc>
          <w:tcPr>
            <w:tcW w:w="1981" w:type="dxa"/>
            <w:vAlign w:val="center"/>
            <w:textDirection w:val="lrTb"/>
            <w:noWrap w:val="false"/>
          </w:tcPr>
          <w:p>
            <w:pPr>
              <w:jc w:val="center"/>
              <w:rPr>
                <w:color w:val="000000"/>
                <w:sz w:val="24"/>
                <w:highlight w:val="none"/>
              </w:rPr>
              <w:outlineLvl w:val="9"/>
            </w:pPr>
            <w:r>
              <w:rPr>
                <w:color w:val="000000"/>
                <w:sz w:val="24"/>
                <w:highlight w:val="none"/>
              </w:rPr>
              <w:t xml:space="preserve">投标文件内容</w:t>
            </w:r>
            <w:r/>
          </w:p>
        </w:tc>
        <w:tc>
          <w:tcPr>
            <w:tcW w:w="2423" w:type="dxa"/>
            <w:vAlign w:val="center"/>
            <w:textDirection w:val="lrTb"/>
            <w:noWrap w:val="false"/>
          </w:tcPr>
          <w:p>
            <w:pPr>
              <w:jc w:val="center"/>
              <w:rPr>
                <w:color w:val="000000"/>
                <w:sz w:val="24"/>
                <w:highlight w:val="none"/>
              </w:rPr>
              <w:outlineLvl w:val="9"/>
            </w:pPr>
            <w:r>
              <w:rPr>
                <w:color w:val="000000"/>
                <w:sz w:val="24"/>
                <w:highlight w:val="none"/>
              </w:rPr>
              <w:t xml:space="preserve">偏离情况</w:t>
            </w:r>
            <w:r/>
          </w:p>
        </w:tc>
        <w:tc>
          <w:tcPr>
            <w:tcW w:w="782" w:type="dxa"/>
            <w:vAlign w:val="center"/>
            <w:textDirection w:val="lrTb"/>
            <w:noWrap w:val="false"/>
          </w:tcPr>
          <w:p>
            <w:pPr>
              <w:jc w:val="center"/>
              <w:rPr>
                <w:color w:val="000000"/>
                <w:sz w:val="24"/>
                <w:highlight w:val="none"/>
              </w:rPr>
              <w:outlineLvl w:val="9"/>
            </w:pPr>
            <w:r>
              <w:rPr>
                <w:color w:val="000000"/>
                <w:sz w:val="24"/>
                <w:highlight w:val="none"/>
              </w:rPr>
              <w:t xml:space="preserve">说明</w:t>
            </w:r>
            <w:r/>
          </w:p>
        </w:tc>
      </w:tr>
      <w:tr>
        <w:trPr>
          <w:jc w:val="center"/>
          <w:trHeight w:val="930"/>
        </w:trPr>
        <w:tc>
          <w:tcPr>
            <w:tcW w:w="832" w:type="dxa"/>
            <w:vAlign w:val="center"/>
            <w:textDirection w:val="lrTb"/>
            <w:noWrap w:val="false"/>
          </w:tcPr>
          <w:p>
            <w:pPr>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jc w:val="center"/>
              <w:rPr>
                <w:color w:val="000000"/>
                <w:sz w:val="24"/>
                <w:highlight w:val="none"/>
              </w:rPr>
              <w:outlineLvl w:val="9"/>
            </w:pPr>
            <w:r>
              <w:rPr>
                <w:color w:val="000000"/>
                <w:sz w:val="24"/>
                <w:highlight w:val="none"/>
              </w:rPr>
            </w:r>
            <w:r/>
          </w:p>
        </w:tc>
        <w:tc>
          <w:tcPr>
            <w:tcW w:w="782"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jc w:val="center"/>
              <w:rPr>
                <w:color w:val="000000"/>
                <w:sz w:val="24"/>
                <w:highlight w:val="none"/>
              </w:rPr>
              <w:outlineLvl w:val="9"/>
            </w:pPr>
            <w:r>
              <w:rPr>
                <w:color w:val="000000"/>
                <w:sz w:val="24"/>
                <w:highlight w:val="none"/>
              </w:rPr>
            </w:r>
            <w:r/>
          </w:p>
        </w:tc>
        <w:tc>
          <w:tcPr>
            <w:tcW w:w="782"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jc w:val="center"/>
              <w:rPr>
                <w:color w:val="000000"/>
                <w:sz w:val="24"/>
                <w:highlight w:val="none"/>
              </w:rPr>
              <w:outlineLvl w:val="9"/>
            </w:pPr>
            <w:r>
              <w:rPr>
                <w:color w:val="000000"/>
                <w:sz w:val="24"/>
                <w:highlight w:val="none"/>
              </w:rPr>
            </w:r>
            <w:r/>
          </w:p>
        </w:tc>
        <w:tc>
          <w:tcPr>
            <w:tcW w:w="782"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outlineLvl w:val="9"/>
            </w:pPr>
            <w:r>
              <w:rPr>
                <w:color w:val="000000"/>
                <w:sz w:val="24"/>
                <w:highlight w:val="none"/>
              </w:rPr>
              <w:t xml:space="preserve">……</w:t>
            </w:r>
            <w:r/>
          </w:p>
        </w:tc>
        <w:tc>
          <w:tcPr>
            <w:tcW w:w="1290" w:type="dxa"/>
            <w:vAlign w:val="center"/>
            <w:textDirection w:val="lrTb"/>
            <w:noWrap w:val="false"/>
          </w:tcPr>
          <w:p>
            <w:pPr>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jc w:val="center"/>
              <w:rPr>
                <w:color w:val="000000"/>
                <w:sz w:val="24"/>
                <w:highlight w:val="none"/>
              </w:rPr>
              <w:outlineLvl w:val="9"/>
            </w:pPr>
            <w:r>
              <w:rPr>
                <w:color w:val="000000"/>
                <w:sz w:val="24"/>
                <w:highlight w:val="none"/>
              </w:rPr>
            </w:r>
            <w:r/>
          </w:p>
        </w:tc>
        <w:tc>
          <w:tcPr>
            <w:tcW w:w="2423" w:type="dxa"/>
            <w:vAlign w:val="center"/>
            <w:textDirection w:val="lrTb"/>
            <w:noWrap w:val="false"/>
          </w:tcPr>
          <w:p>
            <w:pPr>
              <w:jc w:val="center"/>
              <w:rPr>
                <w:color w:val="000000"/>
                <w:sz w:val="24"/>
                <w:highlight w:val="none"/>
              </w:rPr>
              <w:outlineLvl w:val="9"/>
            </w:pPr>
            <w:r>
              <w:rPr>
                <w:color w:val="000000"/>
                <w:sz w:val="24"/>
                <w:highlight w:val="none"/>
              </w:rPr>
            </w:r>
            <w:r/>
          </w:p>
        </w:tc>
        <w:tc>
          <w:tcPr>
            <w:tcW w:w="782" w:type="dxa"/>
            <w:vAlign w:val="center"/>
            <w:textDirection w:val="lrTb"/>
            <w:noWrap w:val="false"/>
          </w:tcPr>
          <w:p>
            <w:pPr>
              <w:jc w:val="center"/>
              <w:rPr>
                <w:color w:val="000000"/>
                <w:sz w:val="24"/>
                <w:highlight w:val="none"/>
              </w:rPr>
              <w:outlineLvl w:val="9"/>
            </w:pPr>
            <w:r>
              <w:rPr>
                <w:color w:val="000000"/>
                <w:sz w:val="24"/>
                <w:highlight w:val="none"/>
              </w:rPr>
            </w:r>
            <w:r/>
          </w:p>
        </w:tc>
      </w:tr>
    </w:tbl>
    <w:p>
      <w:pPr>
        <w:jc w:val="left"/>
        <w:tabs>
          <w:tab w:val="left" w:pos="1800" w:leader="none"/>
          <w:tab w:val="left" w:pos="5580" w:leader="none"/>
        </w:tabs>
        <w:rPr>
          <w:color w:val="000000"/>
          <w:sz w:val="24"/>
          <w:highlight w:val="none"/>
        </w:rPr>
        <w:outlineLvl w:val="9"/>
      </w:pPr>
      <w:r>
        <w:rPr>
          <w:color w:val="000000"/>
          <w:sz w:val="24"/>
          <w:highlight w:val="none"/>
        </w:rPr>
      </w:r>
      <w:r/>
    </w:p>
    <w:p>
      <w:pPr>
        <w:jc w:val="left"/>
        <w:tabs>
          <w:tab w:val="left" w:pos="1800" w:leader="none"/>
          <w:tab w:val="left" w:pos="5580" w:leader="none"/>
        </w:tabs>
        <w:rPr>
          <w:color w:val="000000"/>
          <w:sz w:val="24"/>
          <w:highlight w:val="none"/>
        </w:rPr>
        <w:outlineLvl w:val="9"/>
      </w:pPr>
      <w:r>
        <w:rPr>
          <w:color w:val="000000"/>
          <w:sz w:val="24"/>
          <w:highlight w:val="none"/>
        </w:rPr>
        <w:t xml:space="preserve">注：</w:t>
      </w:r>
      <w:r/>
    </w:p>
    <w:p>
      <w:pPr>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p>
    <w:p>
      <w:pPr>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p>
    <w:p>
      <w:pPr>
        <w:spacing w:line="360" w:lineRule="auto"/>
        <w:rPr>
          <w:color w:val="000000"/>
          <w:sz w:val="24"/>
          <w:szCs w:val="20"/>
          <w:highlight w:val="none"/>
        </w:rPr>
        <w:outlineLvl w:val="9"/>
      </w:pPr>
      <w:r>
        <w:rPr>
          <w:color w:val="000000"/>
          <w:sz w:val="24"/>
          <w:szCs w:val="20"/>
          <w:highlight w:val="none"/>
        </w:rPr>
      </w:r>
      <w:r/>
    </w:p>
    <w:p>
      <w:pPr>
        <w:spacing w:before="25" w:after="25" w:line="360" w:lineRule="auto"/>
        <w:rPr>
          <w:color w:val="000000"/>
          <w:sz w:val="24"/>
          <w:highlight w:val="none"/>
          <w:lang w:val="zh-CN"/>
        </w:rPr>
        <w:outlineLvl w:val="9"/>
      </w:pPr>
      <w:r>
        <w:rPr>
          <w:color w:val="000000"/>
          <w:sz w:val="24"/>
          <w:highlight w:val="none"/>
          <w:lang w:val="zh-CN"/>
        </w:rPr>
        <w:t xml:space="preserve">                      </w:t>
      </w:r>
      <w:r/>
    </w:p>
    <w:p>
      <w:pPr>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p>
    <w:p>
      <w:pPr>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color w:val="000000"/>
          <w:sz w:val="24"/>
          <w:szCs w:val="20"/>
          <w:highlight w:val="none"/>
        </w:rPr>
        <w:t xml:space="preserve">采购需求偏离表（实质性格式）</w:t>
      </w:r>
      <w:r/>
    </w:p>
    <w:p>
      <w:pPr>
        <w:jc w:val="center"/>
        <w:spacing w:line="360" w:lineRule="auto"/>
        <w:rPr>
          <w:rFonts w:hint="eastAsia"/>
          <w:b/>
          <w:color w:val="000000"/>
          <w:sz w:val="36"/>
          <w:szCs w:val="36"/>
          <w:highlight w:val="none"/>
        </w:rPr>
        <w:outlineLvl w:val="9"/>
      </w:pPr>
      <w:r>
        <w:rPr>
          <w:rFonts w:hint="eastAsia"/>
          <w:b/>
          <w:color w:val="000000"/>
          <w:sz w:val="36"/>
          <w:szCs w:val="36"/>
          <w:highlight w:val="none"/>
        </w:rPr>
      </w:r>
      <w:r/>
    </w:p>
    <w:p>
      <w:pPr>
        <w:jc w:val="center"/>
        <w:spacing w:line="360" w:lineRule="auto"/>
        <w:rPr>
          <w:b/>
          <w:color w:val="000000"/>
          <w:sz w:val="36"/>
          <w:szCs w:val="36"/>
          <w:highlight w:val="none"/>
        </w:rPr>
        <w:outlineLvl w:val="9"/>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outlineLvl w:val="9"/>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outlineLvl w:val="9"/>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outlineLvl w:val="9"/>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outlineLvl w:val="9"/>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outlineLvl w:val="9"/>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outlineLvl w:val="9"/>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jc w:val="center"/>
              <w:rPr>
                <w:color w:val="000000"/>
                <w:sz w:val="24"/>
                <w:highlight w:val="none"/>
              </w:rPr>
              <w:outlineLvl w:val="9"/>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outlineLvl w:val="9"/>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jc w:val="center"/>
              <w:rPr>
                <w:color w:val="000000"/>
                <w:sz w:val="24"/>
                <w:highlight w:val="none"/>
              </w:rPr>
              <w:outlineLvl w:val="9"/>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jc w:val="left"/>
        <w:tabs>
          <w:tab w:val="left" w:pos="1800" w:leader="none"/>
          <w:tab w:val="left" w:pos="5580" w:leader="none"/>
        </w:tabs>
        <w:rPr>
          <w:color w:val="000000"/>
          <w:sz w:val="24"/>
          <w:highlight w:val="none"/>
        </w:rPr>
        <w:outlineLvl w:val="9"/>
      </w:pPr>
      <w:r>
        <w:rPr>
          <w:color w:val="000000"/>
          <w:sz w:val="24"/>
          <w:highlight w:val="none"/>
        </w:rPr>
        <w:t xml:space="preserve">注：</w:t>
      </w:r>
      <w:r/>
    </w:p>
    <w:p>
      <w:pPr>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lang w:eastAsia="zh-CN"/>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p>
    <w:p>
      <w:pPr>
        <w:jc w:val="left"/>
        <w:tabs>
          <w:tab w:val="left" w:pos="1800" w:leader="none"/>
          <w:tab w:val="left" w:pos="5580" w:leader="none"/>
        </w:tabs>
        <w:rPr>
          <w:rFonts w:eastAsia="宋体"/>
          <w:color w:val="000000"/>
          <w:sz w:val="24"/>
          <w:highlight w:val="none"/>
          <w:lang w:val="en-US" w:eastAsia="zh-CN"/>
        </w:rPr>
        <w:outlineLvl w:val="9"/>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rFonts w:hint="eastAsia"/>
          <w:color w:val="000000"/>
          <w:sz w:val="24"/>
          <w:highlight w:val="none"/>
          <w:lang w:val="en-US" w:eastAsia="zh-CN"/>
        </w:rPr>
        <w:t xml:space="preserve">若不存在偏离情况，只需在此表中填写“无偏离”。</w:t>
      </w:r>
      <w:r/>
    </w:p>
    <w:p>
      <w:pPr>
        <w:jc w:val="left"/>
        <w:tabs>
          <w:tab w:val="left" w:pos="1800" w:leader="none"/>
          <w:tab w:val="left" w:pos="5580" w:leader="none"/>
        </w:tabs>
        <w:rPr>
          <w:color w:val="000000"/>
          <w:sz w:val="24"/>
          <w:highlight w:val="none"/>
        </w:rPr>
        <w:outlineLvl w:val="9"/>
      </w:pPr>
      <w:r>
        <w:rPr>
          <w:color w:val="000000"/>
          <w:sz w:val="24"/>
          <w:highlight w:val="none"/>
        </w:rPr>
      </w:r>
      <w:r/>
    </w:p>
    <w:p>
      <w:pPr>
        <w:jc w:val="left"/>
        <w:tabs>
          <w:tab w:val="left" w:pos="1800" w:leader="none"/>
          <w:tab w:val="left" w:pos="5580" w:leader="none"/>
        </w:tabs>
        <w:rPr>
          <w:color w:val="000000"/>
          <w:sz w:val="24"/>
          <w:highlight w:val="none"/>
        </w:rPr>
        <w:outlineLvl w:val="9"/>
      </w:pPr>
      <w:r>
        <w:rPr>
          <w:color w:val="000000"/>
          <w:sz w:val="24"/>
          <w:highlight w:val="none"/>
        </w:rPr>
      </w:r>
      <w:r/>
    </w:p>
    <w:p>
      <w:pPr>
        <w:rPr>
          <w:color w:val="000000"/>
          <w:sz w:val="24"/>
          <w:szCs w:val="20"/>
          <w:highlight w:val="none"/>
        </w:rPr>
        <w:outlineLvl w:val="9"/>
      </w:pPr>
      <w:r>
        <w:rPr>
          <w:color w:val="000000"/>
          <w:sz w:val="24"/>
          <w:szCs w:val="20"/>
          <w:highlight w:val="none"/>
        </w:rPr>
      </w:r>
      <w:r/>
    </w:p>
    <w:p>
      <w:pPr>
        <w:spacing w:before="25" w:after="25" w:line="360" w:lineRule="auto"/>
        <w:rPr>
          <w:color w:val="000000"/>
          <w:sz w:val="24"/>
          <w:highlight w:val="none"/>
          <w:lang w:val="zh-CN"/>
        </w:rPr>
        <w:outlineLvl w:val="9"/>
      </w:pPr>
      <w:r>
        <w:rPr>
          <w:color w:val="000000"/>
          <w:sz w:val="24"/>
          <w:highlight w:val="none"/>
          <w:lang w:val="zh-CN"/>
        </w:rPr>
        <w:t xml:space="preserve">                  </w:t>
      </w:r>
      <w:r/>
    </w:p>
    <w:p>
      <w:pPr>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p>
    <w:p>
      <w:pPr>
        <w:spacing w:line="360" w:lineRule="auto"/>
        <w:tabs>
          <w:tab w:val="left" w:pos="5580" w:leader="none"/>
        </w:tabs>
        <w:rPr>
          <w:rFonts w:hint="eastAsia"/>
          <w:color w:val="000000"/>
          <w:sz w:val="24"/>
          <w:highlight w:val="none"/>
        </w:rPr>
        <w:outlineLvl w:val="9"/>
      </w:pPr>
      <w:r>
        <w:rPr>
          <w:color w:val="000000"/>
          <w:sz w:val="24"/>
          <w:szCs w:val="20"/>
          <w:highlight w:val="none"/>
        </w:rPr>
        <w:br w:type="page" w:clear="all"/>
      </w:r>
      <w:r>
        <w:rPr>
          <w:rFonts w:ascii="宋体" w:hAnsi="宋体" w:eastAsia="宋体" w:cs="宋体"/>
          <w:color w:val="000000"/>
          <w:sz w:val="24"/>
          <w:szCs w:val="24"/>
          <w:highlight w:val="none"/>
        </w:rPr>
        <w:t xml:space="preserve">8  中小企业声明函</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2）投标人应充分、准确地了解所投产品制造企业信息。对相关情况了解不清楚的，不建议填报本声明函。</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3）中小企业认定标准以《关于印发中小企业划型标准规定的通知》（工信部联企业〔2011〕300号）文件规定为准。</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5）在货物采购项目中，投标人提供的货物既有中型企业制造货物，也有小微企业制造货物的，不享受小微企业扶持政策，不予价格扣除。</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6）小微企业未提供声明函的，价格分评审将不予价格扣除。</w:t>
      </w:r>
      <w:r/>
    </w:p>
    <w:p>
      <w:pPr>
        <w:spacing w:line="360" w:lineRule="auto"/>
        <w:tabs>
          <w:tab w:val="left" w:pos="5580" w:leader="none"/>
        </w:tabs>
        <w:rPr>
          <w:color w:val="000000"/>
          <w:sz w:val="24"/>
          <w:highlight w:val="none"/>
        </w:rPr>
        <w:outlineLvl w:val="9"/>
      </w:pPr>
      <w:r>
        <w:rPr>
          <w:color w:val="000000"/>
          <w:sz w:val="24"/>
          <w:highlight w:val="none"/>
        </w:rPr>
      </w:r>
      <w:r/>
    </w:p>
    <w:p>
      <w:pPr>
        <w:spacing w:line="360" w:lineRule="auto"/>
        <w:tabs>
          <w:tab w:val="left" w:pos="5580" w:leader="none"/>
        </w:tabs>
        <w:rPr>
          <w:color w:val="000000"/>
          <w:sz w:val="24"/>
          <w:highlight w:val="none"/>
        </w:rPr>
        <w:outlineLvl w:val="9"/>
      </w:pPr>
      <w:r>
        <w:rPr>
          <w:color w:val="000000"/>
          <w:sz w:val="24"/>
          <w:highlight w:val="none"/>
        </w:rPr>
      </w:r>
      <w:r/>
    </w:p>
    <w:p>
      <w:pPr>
        <w:jc w:val="center"/>
        <w:spacing w:before="240" w:afterAutospacing="0" w:line="360" w:lineRule="auto"/>
        <w:rPr>
          <w:rFonts w:ascii="方正小标宋简体" w:hAnsi="宋体" w:eastAsia="方正小标宋简体"/>
          <w:color w:val="000000"/>
          <w:sz w:val="44"/>
          <w:szCs w:val="44"/>
          <w:highlight w:val="none"/>
        </w:rPr>
        <w:outlineLvl w:val="9"/>
      </w:pPr>
      <w:r>
        <w:rPr>
          <w:color w:val="000000"/>
          <w:sz w:val="24"/>
          <w:highlight w:val="none"/>
        </w:rPr>
        <w:br w:type="page" w:clear="all"/>
      </w: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p>
    <w:p>
      <w:pPr>
        <w:ind w:firstLine="360"/>
        <w:spacing w:beforeAutospacing="0"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本公司郑重声明，根据《政府采购促进中小企业发展管理办法》(财库[2020]46号)的规定，本公司参加江苏尚阳工程管理有限公司组织的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p>
    <w:p>
      <w:pPr>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72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82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p>
    <w:p>
      <w:pPr>
        <w:ind w:right="1120"/>
        <w:jc w:val="center"/>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p>
    <w:p>
      <w:pPr>
        <w:spacing w:line="570" w:lineRule="exact"/>
        <w:rPr>
          <w:rFonts w:hint="eastAsia" w:ascii="宋体" w:hAnsi="宋体" w:eastAsia="宋体" w:cs="宋体"/>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rPr>
      </w:r>
      <w:r/>
    </w:p>
    <w:p>
      <w:pPr>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2.采购编号为②：填写本项目编号，如JSZC-3204XX-SYZB-</w:t>
      </w:r>
      <w:r>
        <w:rPr>
          <w:rFonts w:hint="eastAsia" w:ascii="宋体" w:hAnsi="宋体" w:eastAsia="宋体" w:cs="宋体"/>
          <w:color w:val="000000"/>
          <w:sz w:val="24"/>
          <w:szCs w:val="24"/>
          <w:highlight w:val="none"/>
          <w:lang w:val="en-US" w:eastAsia="zh-CN"/>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lang w:eastAsia="zh-CN"/>
        </w:rPr>
        <w:t xml:space="preserve">。</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5.（标的名称⑤）：填写本项目标的名称，如有产品清单的请根据采购文件</w:t>
      </w:r>
      <w:r>
        <w:rPr>
          <w:rFonts w:ascii="宋体" w:hAnsi="宋体" w:eastAsia="宋体" w:cs="宋体"/>
          <w:color w:val="000000"/>
          <w:sz w:val="24"/>
          <w:szCs w:val="24"/>
          <w:highlight w:val="none"/>
        </w:rPr>
        <w:t xml:space="preserve">“第五章  采购需求”-“采购清单”中列出的名称进行填写，如：</w:t>
      </w:r>
      <w:r>
        <w:rPr>
          <w:rFonts w:hint="eastAsia" w:ascii="宋体" w:hAnsi="宋体" w:eastAsia="宋体" w:cs="宋体"/>
          <w:bCs/>
          <w:color w:val="000000"/>
          <w:sz w:val="24"/>
          <w:szCs w:val="24"/>
          <w:highlight w:val="none"/>
          <w:lang w:eastAsia="zh-CN"/>
        </w:rPr>
        <w:t xml:space="preserve">SPECT-CT。</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6.（采购文件中明确的所属行业⑥）：填写本项目采购标的所属行业。须根据采购文件“第二章投标人须知”表格中列明的所属行业进行填写。如：工业等。</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w:t>
      </w:r>
      <w:r>
        <w:rPr>
          <w:rFonts w:hint="eastAsia" w:ascii="宋体" w:hAnsi="宋体" w:eastAsia="宋体" w:cs="宋体"/>
          <w:color w:val="000000"/>
          <w:sz w:val="24"/>
          <w:szCs w:val="24"/>
          <w:highlight w:val="none"/>
        </w:rPr>
        <w:t xml:space="preserve">CA电子公章。</w:t>
      </w:r>
      <w:r/>
    </w:p>
    <w:p>
      <w:pPr>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4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spacing w:line="360" w:lineRule="auto"/>
        <w:rPr>
          <w:color w:val="000000"/>
          <w:sz w:val="24"/>
          <w:szCs w:val="20"/>
          <w:highlight w:val="none"/>
        </w:rPr>
        <w:outlineLvl w:val="9"/>
      </w:pPr>
      <w:r>
        <w:rPr>
          <w:color w:val="000000"/>
          <w:sz w:val="24"/>
          <w:highlight w:val="none"/>
        </w:rPr>
        <w:br w:type="page" w:clear="all"/>
      </w:r>
      <w:r/>
    </w:p>
    <w:p>
      <w:pPr>
        <w:jc w:val="center"/>
        <w:spacing w:before="240" w:after="240" w:line="360" w:lineRule="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p>
    <w:p>
      <w:pPr>
        <w:ind w:firstLine="504"/>
        <w:spacing w:line="588" w:lineRule="exact"/>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p>
    <w:p>
      <w:pPr>
        <w:ind w:firstLine="482"/>
        <w:spacing w:line="588" w:lineRule="exact"/>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p>
    <w:p>
      <w:pPr>
        <w:ind w:firstLine="482"/>
        <w:spacing w:line="588" w:lineRule="exact"/>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p>
    <w:p>
      <w:pPr>
        <w:ind w:firstLine="506"/>
        <w:spacing w:line="588" w:lineRule="exact"/>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p>
    <w:p>
      <w:pPr>
        <w:ind w:firstLine="504"/>
        <w:spacing w:line="588" w:lineRule="exact"/>
        <w:rPr>
          <w:color w:val="000000"/>
          <w:spacing w:val="6"/>
          <w:sz w:val="24"/>
          <w:highlight w:val="none"/>
        </w:rPr>
        <w:outlineLvl w:val="9"/>
      </w:pPr>
      <w:r>
        <w:rPr>
          <w:color w:val="000000"/>
          <w:spacing w:val="6"/>
          <w:sz w:val="24"/>
          <w:highlight w:val="none"/>
        </w:rPr>
      </w:r>
      <w:r/>
    </w:p>
    <w:p>
      <w:pPr>
        <w:ind w:firstLine="504"/>
        <w:spacing w:line="588" w:lineRule="exact"/>
        <w:rPr>
          <w:color w:val="000000"/>
          <w:spacing w:val="6"/>
          <w:sz w:val="24"/>
          <w:highlight w:val="none"/>
        </w:rPr>
        <w:outlineLvl w:val="9"/>
      </w:pPr>
      <w:r>
        <w:rPr>
          <w:color w:val="000000"/>
          <w:spacing w:val="6"/>
          <w:sz w:val="24"/>
          <w:highlight w:val="none"/>
        </w:rPr>
      </w:r>
      <w:r/>
    </w:p>
    <w:p>
      <w:pPr>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单位名称（加盖公章）：</w:t>
      </w:r>
      <w:r/>
    </w:p>
    <w:p>
      <w:pPr>
        <w:ind w:right="1560" w:firstLine="504"/>
        <w:jc w:val="center"/>
        <w:spacing w:line="588" w:lineRule="exact"/>
        <w:tabs>
          <w:tab w:val="left" w:pos="4860" w:leader="none"/>
        </w:tabs>
        <w:rPr>
          <w:color w:val="000000"/>
          <w:spacing w:val="6"/>
          <w:sz w:val="24"/>
          <w:highlight w:val="none"/>
        </w:rPr>
        <w:outlineLvl w:val="9"/>
      </w:pPr>
      <w:r>
        <w:rPr>
          <w:color w:val="000000"/>
          <w:spacing w:val="6"/>
          <w:sz w:val="24"/>
          <w:highlight w:val="none"/>
        </w:rPr>
        <w:t xml:space="preserve">       日  期：</w:t>
      </w:r>
      <w:r/>
    </w:p>
    <w:p>
      <w:pPr>
        <w:spacing w:line="360" w:lineRule="auto"/>
        <w:rPr>
          <w:b/>
          <w:color w:val="000000"/>
          <w:sz w:val="24"/>
          <w:highlight w:val="none"/>
        </w:rPr>
        <w:outlineLvl w:val="9"/>
      </w:pPr>
      <w:r>
        <w:rPr>
          <w:b/>
          <w:color w:val="000000"/>
          <w:sz w:val="24"/>
          <w:highlight w:val="none"/>
        </w:rPr>
      </w:r>
      <w:r/>
    </w:p>
    <w:p>
      <w:pPr>
        <w:rPr>
          <w:rFonts w:hint="eastAsia"/>
          <w:color w:val="000000"/>
          <w:sz w:val="24"/>
          <w:szCs w:val="20"/>
          <w:highlight w:val="none"/>
          <w:lang w:val="en-US" w:eastAsia="zh-CN"/>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p>
    <w:p>
      <w:pPr>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（1）项目实施方案；</w:t>
      </w:r>
      <w:r/>
    </w:p>
    <w:p>
      <w:pPr>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（2）质量保障措施；</w:t>
      </w:r>
      <w:r/>
    </w:p>
    <w:p>
      <w:pPr>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（3）产品安全性、稳定性方案；</w:t>
      </w:r>
      <w:r/>
    </w:p>
    <w:p>
      <w:pPr>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（4）培训方案；</w:t>
      </w:r>
      <w:r/>
    </w:p>
    <w:p>
      <w:pPr>
        <w:jc w:val="left"/>
        <w:spacing w:line="560" w:lineRule="exact"/>
        <w:rPr>
          <w:rFonts w:hint="eastAsia"/>
          <w:color w:val="000000"/>
          <w:sz w:val="24"/>
          <w:szCs w:val="20"/>
          <w:highlight w:val="none"/>
          <w:lang w:val="en-US" w:eastAsia="zh-CN"/>
        </w:rPr>
        <w:outlineLvl w:val="9"/>
      </w:pPr>
      <w:r>
        <w:rPr>
          <w:rFonts w:hint="eastAsia"/>
          <w:color w:val="000000"/>
          <w:sz w:val="24"/>
          <w:szCs w:val="20"/>
          <w:highlight w:val="none"/>
          <w:lang w:val="en-US" w:eastAsia="zh-CN"/>
        </w:rPr>
        <w:t xml:space="preserve">（5）售后服务方案；</w:t>
      </w:r>
      <w:r/>
    </w:p>
    <w:p>
      <w:pPr>
        <w:jc w:val="left"/>
        <w:spacing w:line="560" w:lineRule="exact"/>
        <w:rPr>
          <w:rFonts w:hint="eastAsia" w:eastAsia="宋体"/>
          <w:color w:val="000000"/>
          <w:sz w:val="24"/>
          <w:szCs w:val="20"/>
          <w:highlight w:val="none"/>
          <w:lang w:eastAsia="zh-CN"/>
        </w:rPr>
        <w:outlineLvl w:val="9"/>
      </w:pPr>
      <w:r>
        <w:rPr>
          <w:rFonts w:hint="eastAsia"/>
          <w:color w:val="000000"/>
          <w:sz w:val="24"/>
          <w:szCs w:val="20"/>
          <w:highlight w:val="none"/>
          <w:lang w:val="en-US" w:eastAsia="zh-CN"/>
        </w:rPr>
        <w:t xml:space="preserve">（6）</w:t>
      </w:r>
      <w:r>
        <w:rPr>
          <w:rFonts w:hint="eastAsia"/>
          <w:color w:val="000000"/>
          <w:sz w:val="24"/>
          <w:szCs w:val="20"/>
          <w:highlight w:val="none"/>
        </w:rPr>
        <w:t xml:space="preserve">其他。</w:t>
      </w:r>
      <w:r/>
    </w:p>
    <w:p>
      <w:pPr>
        <w:rPr>
          <w:color w:val="000000"/>
          <w:sz w:val="24"/>
          <w:szCs w:val="20"/>
          <w:highlight w:val="none"/>
        </w:rPr>
        <w:outlineLvl w:val="9"/>
      </w:pPr>
      <w:r>
        <w:rPr>
          <w:color w:val="000000"/>
          <w:sz w:val="22"/>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p>
    <w:p>
      <w:pPr>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p>
    <w:p>
      <w:pPr>
        <w:spacing w:line="360" w:lineRule="auto"/>
        <w:rPr>
          <w:rFonts w:ascii="宋体" w:hAnsi="宋体"/>
          <w:color w:val="000000"/>
          <w:sz w:val="22"/>
          <w:highlight w:val="none"/>
        </w:rPr>
        <w:outlineLvl w:val="9"/>
      </w:pPr>
      <w:r>
        <w:rPr>
          <w:rFonts w:ascii="宋体" w:hAnsi="宋体"/>
          <w:color w:val="000000"/>
          <w:sz w:val="22"/>
          <w:highlight w:val="none"/>
        </w:rPr>
      </w:r>
      <w:r/>
    </w:p>
    <w:p>
      <w:pPr>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17"/>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注：参加本项目人员须是投标人正式职工。</w:t>
      </w:r>
      <w:r/>
    </w:p>
    <w:p>
      <w:pPr>
        <w:spacing w:line="360" w:lineRule="auto"/>
        <w:rPr>
          <w:rFonts w:ascii="宋体" w:hAnsi="宋体"/>
          <w:color w:val="000000"/>
          <w:sz w:val="24"/>
          <w:highlight w:val="none"/>
        </w:rPr>
        <w:outlineLvl w:val="9"/>
      </w:pPr>
      <w:r>
        <w:rPr>
          <w:rFonts w:ascii="宋体" w:hAnsi="宋体"/>
          <w:color w:val="000000"/>
          <w:sz w:val="24"/>
          <w:highlight w:val="none"/>
        </w:rPr>
      </w:r>
      <w:r/>
    </w:p>
    <w:p>
      <w:pPr>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p>
    <w:p>
      <w:pPr>
        <w:rPr>
          <w:color w:val="000000"/>
          <w:sz w:val="24"/>
          <w:szCs w:val="20"/>
          <w:highlight w:val="none"/>
        </w:rPr>
        <w:outlineLvl w:val="9"/>
      </w:pPr>
      <w:r>
        <w:rPr>
          <w:color w:val="000000"/>
          <w:sz w:val="22"/>
          <w:highlight w:val="none"/>
        </w:rPr>
        <w:br w:type="page" w:clear="all"/>
      </w:r>
      <w:bookmarkStart w:id="871" w:name="_Toc288738839"/>
      <w:r/>
      <w:bookmarkStart w:id="872" w:name="_Toc288738397"/>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p>
    <w:p>
      <w:pPr>
        <w:rPr>
          <w:color w:val="000000"/>
          <w:sz w:val="24"/>
          <w:szCs w:val="20"/>
          <w:highlight w:val="none"/>
        </w:rPr>
        <w:outlineLvl w:val="9"/>
      </w:pPr>
      <w:r>
        <w:rPr>
          <w:color w:val="000000"/>
          <w:sz w:val="24"/>
          <w:szCs w:val="20"/>
          <w:highlight w:val="none"/>
        </w:rPr>
      </w:r>
      <w:r/>
    </w:p>
    <w:p>
      <w:pPr>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871"/>
      <w:r/>
      <w:bookmarkEnd w:id="872"/>
      <w:r/>
      <w:r/>
    </w:p>
    <w:p>
      <w:pPr>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17"/>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spacing w:before="25" w:after="25" w:line="360" w:lineRule="auto"/>
        <w:rPr>
          <w:color w:val="000000"/>
          <w:sz w:val="24"/>
          <w:highlight w:val="none"/>
          <w:lang w:val="zh-CN"/>
        </w:rPr>
        <w:outlineLvl w:val="9"/>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p>
    <w:p>
      <w:pPr>
        <w:rPr>
          <w:color w:val="000000"/>
          <w:highlight w:val="none"/>
        </w:rPr>
        <w:outlineLvl w:val="9"/>
      </w:pPr>
      <w:r>
        <w:rPr>
          <w:color w:val="000000"/>
          <w:highlight w:val="none"/>
        </w:rPr>
      </w:r>
      <w:r/>
    </w:p>
    <w:p>
      <w:pPr>
        <w:rPr>
          <w:color w:val="000000"/>
          <w:highlight w:val="none"/>
        </w:rPr>
        <w:outlineLvl w:val="9"/>
      </w:pPr>
      <w:r>
        <w:rPr>
          <w:color w:val="000000"/>
          <w:highlight w:val="none"/>
        </w:rPr>
      </w:r>
      <w:r/>
    </w:p>
    <w:p>
      <w:pPr>
        <w:rPr>
          <w:color w:val="000000"/>
          <w:highlight w:val="none"/>
        </w:rPr>
        <w:outlineLvl w:val="9"/>
      </w:pPr>
      <w:r>
        <w:rPr>
          <w:color w:val="000000"/>
          <w:highlight w:val="none"/>
        </w:rPr>
      </w:r>
      <w:r/>
    </w:p>
    <w:p>
      <w:pPr>
        <w:rPr>
          <w:color w:val="000000"/>
          <w:highlight w:val="none"/>
        </w:rPr>
        <w:outlineLvl w:val="9"/>
      </w:pPr>
      <w:r>
        <w:rPr>
          <w:color w:val="000000"/>
          <w:highlight w:val="none"/>
        </w:rPr>
      </w:r>
      <w:r/>
    </w:p>
    <w:p>
      <w:pPr>
        <w:rPr>
          <w:color w:val="000000"/>
          <w:highlight w:val="none"/>
        </w:rPr>
        <w:outlineLvl w:val="9"/>
      </w:pPr>
      <w:r>
        <w:rPr>
          <w:color w:val="00000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spacing w:line="360" w:lineRule="auto"/>
        <w:rPr>
          <w:rFonts w:hint="eastAsia"/>
          <w:color w:val="000000"/>
          <w:sz w:val="24"/>
          <w:szCs w:val="20"/>
          <w:highlight w:val="none"/>
        </w:rPr>
        <w:outlineLvl w:val="9"/>
      </w:pPr>
      <w:r>
        <w:rPr>
          <w:rFonts w:hint="eastAsia"/>
          <w:color w:val="000000"/>
          <w:sz w:val="24"/>
          <w:szCs w:val="20"/>
          <w:highlight w:val="none"/>
        </w:rPr>
      </w:r>
      <w:r/>
    </w:p>
    <w:p>
      <w:pPr>
        <w:jc w:val="left"/>
        <w:spacing w:line="360" w:lineRule="auto"/>
        <w:rPr>
          <w:rFonts w:hint="eastAsia" w:ascii="方正魏碑_GBK" w:hAnsi="方正魏碑_GBK" w:eastAsia="方正魏碑_GBK" w:cs="方正魏碑_GBK"/>
          <w:color w:val="000000"/>
          <w:sz w:val="24"/>
          <w:szCs w:val="24"/>
          <w:highlight w:val="none"/>
          <w:lang w:val="en-US" w:eastAsia="zh-CN"/>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w:t>
      </w: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p>
    <w:p>
      <w:pPr>
        <w:jc w:val="left"/>
        <w:spacing w:line="360" w:lineRule="auto"/>
        <w:rPr>
          <w:rFonts w:hint="eastAsia" w:ascii="方正魏碑_GBK" w:hAnsi="方正魏碑_GBK" w:eastAsia="方正魏碑_GBK" w:cs="方正魏碑_GBK"/>
          <w:b/>
          <w:color w:val="000000"/>
          <w:sz w:val="24"/>
          <w:szCs w:val="24"/>
          <w:highlight w:val="none"/>
        </w:rPr>
      </w:pPr>
      <w:r>
        <w:rPr>
          <w:rFonts w:hint="eastAsia"/>
          <w:color w:val="000000"/>
          <w:sz w:val="24"/>
          <w:szCs w:val="20"/>
          <w:highlight w:val="none"/>
          <w:lang w:val="en-US" w:eastAsia="zh-CN"/>
        </w:rPr>
        <w:t xml:space="preserve"> </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b/>
          <w:color w:val="000000"/>
          <w:sz w:val="24"/>
          <w:szCs w:val="24"/>
          <w:highlight w:val="none"/>
        </w:rPr>
        <w:t xml:space="preserve"> </w:t>
      </w:r>
      <w:r/>
    </w:p>
    <w:p>
      <w:pPr>
        <w:jc w:val="center"/>
        <w:spacing w:line="360" w:lineRule="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p>
    <w:p>
      <w:pPr>
        <w:pStyle w:val="1147"/>
        <w:ind w:firstLine="420"/>
        <w:spacing w:before="0" w:beforeAutospacing="0" w:after="0" w:afterAutospacing="0" w:line="360" w:lineRule="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147"/>
        <w:ind w:firstLine="420"/>
        <w:spacing w:before="0" w:beforeAutospacing="0" w:after="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7"/>
        <w:ind w:firstLine="420"/>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161"/>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161"/>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161"/>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1"/>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161"/>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161"/>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161"/>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161"/>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p>
    <w:p>
      <w:pPr>
        <w:pStyle w:val="1147"/>
        <w:ind w:firstLine="420"/>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p>
    <w:p>
      <w:pPr>
        <w:pStyle w:val="1147"/>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r>
      <w:r/>
    </w:p>
    <w:p>
      <w:pPr>
        <w:pStyle w:val="1147"/>
        <w:ind w:right="480" w:firstLine="3720"/>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p>
    <w:p>
      <w:pPr>
        <w:pStyle w:val="1147"/>
        <w:jc w:val="center"/>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p>
    <w:p>
      <w:pPr>
        <w:pStyle w:val="1147"/>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p>
    <w:p>
      <w:pPr>
        <w:pStyle w:val="1147"/>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p>
    <w:p>
      <w:pPr>
        <w:pStyle w:val="1147"/>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p>
    <w:p>
      <w:pPr>
        <w:pStyle w:val="1147"/>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p>
    <w:p>
      <w:pPr>
        <w:pStyle w:val="1147"/>
        <w:spacing w:before="30" w:beforeAutospacing="0" w:after="30" w:afterAutospacing="0"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p>
    <w:p>
      <w:pPr>
        <w:pStyle w:val="1147"/>
        <w:spacing w:before="30" w:beforeAutospacing="0" w:after="30" w:afterAutospacing="0" w:line="360" w:lineRule="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p>
    <w:p>
      <w:pPr>
        <w:spacing w:line="360" w:lineRule="auto"/>
        <w:rPr>
          <w:rFonts w:hint="eastAsia" w:ascii="方正魏碑_GBK" w:hAnsi="方正魏碑_GBK" w:eastAsia="方正魏碑_GBK" w:cs="方正魏碑_GBK"/>
          <w:color w:val="000000"/>
          <w:sz w:val="24"/>
          <w:szCs w:val="24"/>
          <w:highlight w:val="none"/>
          <w:shd w:val="clear" w:color="auto" w:fill="ffffff"/>
        </w:rPr>
        <w:outlineLvl w:val="9"/>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p>
    <w:p>
      <w:pPr>
        <w:spacing w:line="360" w:lineRule="auto"/>
        <w:rPr>
          <w:color w:val="000000"/>
          <w:sz w:val="24"/>
          <w:szCs w:val="20"/>
          <w:highlight w:val="none"/>
        </w:rPr>
        <w:outlineLvl w:val="9"/>
      </w:pPr>
      <w:r>
        <w:rPr>
          <w:rFonts w:hint="eastAsia" w:ascii="方正魏碑_GBK" w:hAnsi="方正魏碑_GBK" w:eastAsia="方正魏碑_GBK" w:cs="方正魏碑_GBK"/>
          <w:color w:val="000000"/>
          <w:sz w:val="24"/>
          <w:szCs w:val="24"/>
          <w:highlight w:val="none"/>
          <w:shd w:val="clear" w:color="auto" w:fill="ffffff"/>
        </w:rPr>
        <w:br w:type="page" w:clear="all"/>
      </w:r>
      <w:r>
        <w:rPr>
          <w:rFonts w:hint="eastAsia"/>
          <w:color w:val="000000"/>
          <w:sz w:val="24"/>
          <w:szCs w:val="20"/>
          <w:highlight w:val="none"/>
          <w:lang w:val="en-US" w:eastAsia="zh-CN"/>
        </w:rPr>
        <w:t xml:space="preserve">13</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p>
    <w:p>
      <w:pPr>
        <w:jc w:val="left"/>
        <w:widowControl/>
        <w:rPr>
          <w:b/>
          <w:color w:val="000000"/>
          <w:sz w:val="36"/>
          <w:szCs w:val="36"/>
          <w:highlight w:val="none"/>
        </w:rPr>
        <w:outlineLvl w:val="9"/>
      </w:pPr>
      <w:r>
        <w:rPr>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仿宋">
    <w:panose1 w:val="02010609060101010101"/>
  </w:font>
  <w:font w:name="Segoe UI Symbol">
    <w:panose1 w:val="020B0502040204020203"/>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Style w:val="115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34"/>
      <w:ind w:right="36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Style w:val="115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134"/>
      <w:ind w:right="36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Style w:val="1159"/>
      </w:rPr>
      <w:framePr w:wrap="around" w:vAnchor="text" w:hAnchor="margin" w:xAlign="right" w:y="1"/>
    </w:pPr>
    <w:r>
      <w:rPr>
        <w:rStyle w:val="1159"/>
      </w:rPr>
      <w:fldChar w:fldCharType="begin"/>
    </w:r>
    <w:r>
      <w:rPr>
        <w:rStyle w:val="1159"/>
      </w:rPr>
      <w:instrText xml:space="preserve">PAGE  </w:instrText>
    </w:r>
    <w:r>
      <w:rPr>
        <w:rStyle w:val="1159"/>
      </w:rPr>
      <w:fldChar w:fldCharType="end"/>
    </w:r>
    <w:r/>
  </w:p>
  <w:p>
    <w:pPr>
      <w:pStyle w:val="113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Style w:val="1159"/>
      </w:rPr>
      <w:framePr w:wrap="around" w:vAnchor="text" w:hAnchor="margin" w:xAlign="right" w:y="1"/>
    </w:pPr>
    <w:r>
      <w:rPr>
        <w:rStyle w:val="1159"/>
      </w:rPr>
      <w:fldChar w:fldCharType="begin"/>
    </w:r>
    <w:r>
      <w:rPr>
        <w:rStyle w:val="1159"/>
      </w:rPr>
      <w:instrText xml:space="preserve">PAGE  </w:instrText>
    </w:r>
    <w:r>
      <w:rPr>
        <w:rStyle w:val="1159"/>
      </w:rPr>
      <w:fldChar w:fldCharType="end"/>
    </w:r>
    <w:r/>
  </w:p>
  <w:p>
    <w:pPr>
      <w:pStyle w:val="1134"/>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rPr>
        <w:rFonts w:hint="eastAsia" w:eastAsia="宋体"/>
        <w:lang w:eastAsia="zh-CN"/>
      </w:rPr>
    </w:pPr>
    <w:r>
      <w:rPr>
        <w:rFonts w:hint="eastAsia"/>
        <w:lang w:eastAsia="zh-CN"/>
      </w:rPr>
      <w:t xml:space="preserve">常州市武进人民医院SPECT-CT采购项目</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rPr>
        <w:rFonts w:hint="eastAsia" w:eastAsia="宋体"/>
        <w:lang w:eastAsia="zh-CN"/>
      </w:rPr>
    </w:pPr>
    <w:r>
      <w:rPr>
        <w:rFonts w:hint="eastAsia"/>
        <w:lang w:eastAsia="zh-CN"/>
      </w:rPr>
      <w:t xml:space="preserve">常州市武进人民医院SPECT-CT采购项目</w:t>
    </w:r>
    <w:r>
      <w:rPr>
        <w:rFonts w:hint="eastAsia"/>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3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28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lowerLetter"/>
      <w:pStyle w:val="126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3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3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3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73"/>
      <w:isLgl w:val="false"/>
      <w:suff w:val="nothing"/>
      <w:lvlText w:val="%1.%2.%3.%4.%5.%6　"/>
      <w:lvlJc w:val="left"/>
      <w:pPr>
        <w:ind w:left="-25" w:firstLine="0"/>
      </w:pPr>
      <w:rPr>
        <w:rFonts w:ascii="Times New Roman" w:hAnsi="Times New Roman" w:eastAsia="宋体"/>
        <w:b/>
        <w:i w:val="0"/>
        <w:sz w:val="28"/>
      </w:rPr>
    </w:lvl>
    <w:lvl w:ilvl="6">
      <w:start w:val="1"/>
      <w:numFmt w:val="lowerLetter"/>
      <w:pStyle w:val="130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1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33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285"/>
      <w:isLgl w:val="false"/>
      <w:suff w:val="tab"/>
      <w:lvlText w:val="%1"/>
      <w:lvlJc w:val="left"/>
      <w:pPr>
        <w:ind w:left="680" w:hanging="680"/>
      </w:pPr>
      <w:rPr>
        <w:rFonts w:hint="eastAsia" w:ascii="宋体" w:hAnsi="宋体" w:eastAsia="宋体"/>
      </w:rPr>
    </w:lvl>
    <w:lvl w:ilvl="1">
      <w:start w:val="1"/>
      <w:numFmt w:val="decimal"/>
      <w:pStyle w:val="1278"/>
      <w:isLgl w:val="false"/>
      <w:suff w:val="tab"/>
      <w:lvlText w:val="%1.%2"/>
      <w:lvlJc w:val="left"/>
      <w:pPr>
        <w:ind w:left="851" w:hanging="851"/>
      </w:pPr>
      <w:rPr>
        <w:rFonts w:hint="eastAsia" w:ascii="宋体" w:hAnsi="宋体" w:eastAsia="宋体"/>
        <w:color w:val="000000"/>
      </w:rPr>
    </w:lvl>
    <w:lvl w:ilvl="2">
      <w:start w:val="1"/>
      <w:numFmt w:val="decimal"/>
      <w:pStyle w:val="129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default="1">
    <w:name w:val="Normal"/>
    <w:link w:val="13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name w:val="Heading 1"/>
    <w:basedOn w:val="906"/>
    <w:next w:val="906"/>
    <w:link w:val="939"/>
    <w:uiPriority w:val="9"/>
    <w:qFormat/>
    <w:pPr>
      <w:keepLines/>
      <w:keepNext/>
      <w:spacing w:before="480" w:after="200"/>
      <w:outlineLvl w:val="0"/>
    </w:pPr>
    <w:rPr>
      <w:rFonts w:ascii="Arial" w:hAnsi="Arial" w:eastAsia="Arial" w:cs="Arial"/>
      <w:sz w:val="40"/>
      <w:szCs w:val="40"/>
    </w:rPr>
  </w:style>
  <w:style w:type="paragraph" w:styleId="908">
    <w:name w:val="Heading 2"/>
    <w:basedOn w:val="906"/>
    <w:next w:val="906"/>
    <w:link w:val="940"/>
    <w:uiPriority w:val="9"/>
    <w:unhideWhenUsed/>
    <w:qFormat/>
    <w:pPr>
      <w:keepLines/>
      <w:keepNext/>
      <w:spacing w:before="360" w:after="200"/>
      <w:outlineLvl w:val="1"/>
    </w:pPr>
    <w:rPr>
      <w:rFonts w:ascii="Arial" w:hAnsi="Arial" w:eastAsia="Arial" w:cs="Arial"/>
      <w:sz w:val="34"/>
    </w:rPr>
  </w:style>
  <w:style w:type="paragraph" w:styleId="909">
    <w:name w:val="Heading 3"/>
    <w:basedOn w:val="906"/>
    <w:next w:val="906"/>
    <w:link w:val="941"/>
    <w:uiPriority w:val="9"/>
    <w:unhideWhenUsed/>
    <w:qFormat/>
    <w:pPr>
      <w:keepLines/>
      <w:keepNext/>
      <w:spacing w:before="320" w:after="200"/>
      <w:outlineLvl w:val="2"/>
    </w:pPr>
    <w:rPr>
      <w:rFonts w:ascii="Arial" w:hAnsi="Arial" w:eastAsia="Arial" w:cs="Arial"/>
      <w:sz w:val="30"/>
      <w:szCs w:val="30"/>
    </w:rPr>
  </w:style>
  <w:style w:type="paragraph" w:styleId="910">
    <w:name w:val="Heading 4"/>
    <w:basedOn w:val="906"/>
    <w:next w:val="906"/>
    <w:link w:val="942"/>
    <w:uiPriority w:val="9"/>
    <w:unhideWhenUsed/>
    <w:qFormat/>
    <w:pPr>
      <w:keepLines/>
      <w:keepNext/>
      <w:spacing w:before="320" w:after="200"/>
      <w:outlineLvl w:val="3"/>
    </w:pPr>
    <w:rPr>
      <w:rFonts w:ascii="Arial" w:hAnsi="Arial" w:eastAsia="Arial" w:cs="Arial"/>
      <w:b/>
      <w:bCs/>
      <w:sz w:val="26"/>
      <w:szCs w:val="26"/>
    </w:rPr>
  </w:style>
  <w:style w:type="paragraph" w:styleId="911">
    <w:name w:val="Heading 5"/>
    <w:basedOn w:val="906"/>
    <w:next w:val="906"/>
    <w:link w:val="943"/>
    <w:uiPriority w:val="9"/>
    <w:unhideWhenUsed/>
    <w:qFormat/>
    <w:pPr>
      <w:keepLines/>
      <w:keepNext/>
      <w:spacing w:before="320" w:after="200"/>
      <w:outlineLvl w:val="4"/>
    </w:pPr>
    <w:rPr>
      <w:rFonts w:ascii="Arial" w:hAnsi="Arial" w:eastAsia="Arial" w:cs="Arial"/>
      <w:b/>
      <w:bCs/>
      <w:sz w:val="24"/>
      <w:szCs w:val="24"/>
    </w:rPr>
  </w:style>
  <w:style w:type="paragraph" w:styleId="912">
    <w:name w:val="Heading 6"/>
    <w:basedOn w:val="906"/>
    <w:next w:val="906"/>
    <w:link w:val="944"/>
    <w:uiPriority w:val="9"/>
    <w:unhideWhenUsed/>
    <w:qFormat/>
    <w:pPr>
      <w:keepLines/>
      <w:keepNext/>
      <w:spacing w:before="320" w:after="200"/>
      <w:outlineLvl w:val="5"/>
    </w:pPr>
    <w:rPr>
      <w:rFonts w:ascii="Arial" w:hAnsi="Arial" w:eastAsia="Arial" w:cs="Arial"/>
      <w:b/>
      <w:bCs/>
      <w:sz w:val="22"/>
      <w:szCs w:val="22"/>
    </w:rPr>
  </w:style>
  <w:style w:type="paragraph" w:styleId="913">
    <w:name w:val="Heading 7"/>
    <w:basedOn w:val="906"/>
    <w:next w:val="906"/>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914">
    <w:name w:val="Heading 8"/>
    <w:basedOn w:val="906"/>
    <w:next w:val="906"/>
    <w:link w:val="946"/>
    <w:uiPriority w:val="9"/>
    <w:unhideWhenUsed/>
    <w:qFormat/>
    <w:pPr>
      <w:keepLines/>
      <w:keepNext/>
      <w:spacing w:before="320" w:after="200"/>
      <w:outlineLvl w:val="7"/>
    </w:pPr>
    <w:rPr>
      <w:rFonts w:ascii="Arial" w:hAnsi="Arial" w:eastAsia="Arial" w:cs="Arial"/>
      <w:i/>
      <w:iCs/>
      <w:sz w:val="22"/>
      <w:szCs w:val="22"/>
    </w:rPr>
  </w:style>
  <w:style w:type="paragraph" w:styleId="915">
    <w:name w:val="Heading 9"/>
    <w:basedOn w:val="906"/>
    <w:next w:val="906"/>
    <w:link w:val="947"/>
    <w:uiPriority w:val="9"/>
    <w:unhideWhenUsed/>
    <w:qFormat/>
    <w:pPr>
      <w:keepLines/>
      <w:keepNext/>
      <w:spacing w:before="320" w:after="200"/>
      <w:outlineLvl w:val="8"/>
    </w:pPr>
    <w:rPr>
      <w:rFonts w:ascii="Arial" w:hAnsi="Arial" w:eastAsia="Arial" w:cs="Arial"/>
      <w:i/>
      <w:iCs/>
      <w:sz w:val="21"/>
      <w:szCs w:val="21"/>
    </w:rPr>
  </w:style>
  <w:style w:type="character" w:styleId="916" w:default="1">
    <w:name w:val="Default Paragraph Font"/>
    <w:uiPriority w:val="1"/>
    <w:semiHidden/>
    <w:unhideWhenUsed/>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toc 7"/>
    <w:basedOn w:val="906"/>
    <w:next w:val="906"/>
    <w:uiPriority w:val="39"/>
    <w:unhideWhenUsed/>
    <w:pPr>
      <w:ind w:left="1701" w:right="0" w:firstLine="0"/>
      <w:spacing w:after="57"/>
    </w:pPr>
  </w:style>
  <w:style w:type="paragraph" w:styleId="919">
    <w:name w:val="Caption"/>
    <w:basedOn w:val="906"/>
    <w:next w:val="9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0">
    <w:name w:val="toc 5"/>
    <w:basedOn w:val="906"/>
    <w:next w:val="906"/>
    <w:uiPriority w:val="39"/>
    <w:unhideWhenUsed/>
    <w:pPr>
      <w:ind w:left="1134" w:right="0" w:firstLine="0"/>
      <w:spacing w:after="57"/>
    </w:pPr>
  </w:style>
  <w:style w:type="paragraph" w:styleId="921">
    <w:name w:val="toc 3"/>
    <w:basedOn w:val="906"/>
    <w:next w:val="906"/>
    <w:uiPriority w:val="39"/>
    <w:unhideWhenUsed/>
    <w:pPr>
      <w:ind w:left="567" w:right="0" w:firstLine="0"/>
      <w:spacing w:after="57"/>
    </w:pPr>
  </w:style>
  <w:style w:type="paragraph" w:styleId="922">
    <w:name w:val="toc 8"/>
    <w:basedOn w:val="906"/>
    <w:next w:val="906"/>
    <w:uiPriority w:val="39"/>
    <w:unhideWhenUsed/>
    <w:pPr>
      <w:ind w:left="1984" w:right="0" w:firstLine="0"/>
      <w:spacing w:after="57"/>
    </w:pPr>
  </w:style>
  <w:style w:type="paragraph" w:styleId="923">
    <w:name w:val="endnote text"/>
    <w:basedOn w:val="906"/>
    <w:link w:val="1085"/>
    <w:uiPriority w:val="99"/>
    <w:semiHidden/>
    <w:unhideWhenUsed/>
    <w:pPr>
      <w:spacing w:after="0" w:line="240" w:lineRule="auto"/>
    </w:pPr>
    <w:rPr>
      <w:sz w:val="20"/>
    </w:rPr>
  </w:style>
  <w:style w:type="paragraph" w:styleId="924">
    <w:name w:val="Footer"/>
    <w:basedOn w:val="906"/>
    <w:link w:val="958"/>
    <w:uiPriority w:val="99"/>
    <w:unhideWhenUsed/>
    <w:qFormat/>
    <w:pPr>
      <w:spacing w:after="0" w:line="240" w:lineRule="auto"/>
      <w:tabs>
        <w:tab w:val="center" w:pos="7143" w:leader="none"/>
        <w:tab w:val="right" w:pos="14287" w:leader="none"/>
      </w:tabs>
    </w:pPr>
  </w:style>
  <w:style w:type="paragraph" w:styleId="925">
    <w:name w:val="Header"/>
    <w:basedOn w:val="906"/>
    <w:link w:val="956"/>
    <w:uiPriority w:val="99"/>
    <w:unhideWhenUsed/>
    <w:qFormat/>
    <w:pPr>
      <w:spacing w:after="0" w:line="240" w:lineRule="auto"/>
      <w:tabs>
        <w:tab w:val="center" w:pos="7143" w:leader="none"/>
        <w:tab w:val="right" w:pos="14287" w:leader="none"/>
      </w:tabs>
    </w:pPr>
  </w:style>
  <w:style w:type="paragraph" w:styleId="926">
    <w:name w:val="toc 1"/>
    <w:basedOn w:val="906"/>
    <w:next w:val="906"/>
    <w:uiPriority w:val="39"/>
    <w:unhideWhenUsed/>
    <w:pPr>
      <w:ind w:left="0" w:right="0" w:firstLine="0"/>
      <w:spacing w:after="57"/>
    </w:pPr>
  </w:style>
  <w:style w:type="paragraph" w:styleId="927">
    <w:name w:val="toc 4"/>
    <w:basedOn w:val="906"/>
    <w:next w:val="906"/>
    <w:uiPriority w:val="39"/>
    <w:unhideWhenUsed/>
    <w:pPr>
      <w:ind w:left="850" w:right="0" w:firstLine="0"/>
      <w:spacing w:after="57"/>
    </w:pPr>
  </w:style>
  <w:style w:type="paragraph" w:styleId="928">
    <w:name w:val="Subtitle"/>
    <w:basedOn w:val="906"/>
    <w:next w:val="906"/>
    <w:link w:val="951"/>
    <w:uiPriority w:val="11"/>
    <w:qFormat/>
    <w:pPr>
      <w:spacing w:before="200" w:after="200"/>
    </w:pPr>
    <w:rPr>
      <w:sz w:val="24"/>
      <w:szCs w:val="24"/>
    </w:rPr>
  </w:style>
  <w:style w:type="paragraph" w:styleId="929">
    <w:name w:val="footnote text"/>
    <w:basedOn w:val="906"/>
    <w:link w:val="1084"/>
    <w:uiPriority w:val="99"/>
    <w:semiHidden/>
    <w:unhideWhenUsed/>
    <w:pPr>
      <w:spacing w:after="40" w:line="240" w:lineRule="auto"/>
    </w:pPr>
    <w:rPr>
      <w:sz w:val="18"/>
    </w:rPr>
  </w:style>
  <w:style w:type="paragraph" w:styleId="930">
    <w:name w:val="toc 6"/>
    <w:basedOn w:val="906"/>
    <w:next w:val="906"/>
    <w:uiPriority w:val="39"/>
    <w:unhideWhenUsed/>
    <w:pPr>
      <w:ind w:left="1417" w:right="0" w:firstLine="0"/>
      <w:spacing w:after="57"/>
    </w:pPr>
  </w:style>
  <w:style w:type="paragraph" w:styleId="931">
    <w:name w:val="table of figures"/>
    <w:basedOn w:val="906"/>
    <w:next w:val="906"/>
    <w:uiPriority w:val="99"/>
    <w:unhideWhenUsed/>
    <w:pPr>
      <w:spacing w:after="0" w:afterAutospacing="0"/>
    </w:pPr>
  </w:style>
  <w:style w:type="paragraph" w:styleId="932">
    <w:name w:val="toc 2"/>
    <w:basedOn w:val="906"/>
    <w:next w:val="906"/>
    <w:uiPriority w:val="39"/>
    <w:unhideWhenUsed/>
    <w:pPr>
      <w:ind w:left="283" w:right="0" w:firstLine="0"/>
      <w:spacing w:after="57"/>
    </w:pPr>
  </w:style>
  <w:style w:type="paragraph" w:styleId="933">
    <w:name w:val="toc 9"/>
    <w:basedOn w:val="906"/>
    <w:next w:val="906"/>
    <w:uiPriority w:val="39"/>
    <w:unhideWhenUsed/>
    <w:pPr>
      <w:ind w:left="2268" w:right="0" w:firstLine="0"/>
      <w:spacing w:after="57"/>
    </w:pPr>
  </w:style>
  <w:style w:type="paragraph" w:styleId="934">
    <w:name w:val="Title"/>
    <w:basedOn w:val="906"/>
    <w:next w:val="906"/>
    <w:link w:val="950"/>
    <w:uiPriority w:val="10"/>
    <w:qFormat/>
    <w:pPr>
      <w:contextualSpacing/>
      <w:spacing w:before="300" w:after="200"/>
    </w:pPr>
    <w:rPr>
      <w:sz w:val="48"/>
      <w:szCs w:val="48"/>
    </w:r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endnote reference"/>
    <w:uiPriority w:val="99"/>
    <w:semiHidden/>
    <w:unhideWhenUsed/>
    <w:rPr>
      <w:vertAlign w:val="superscript"/>
    </w:rPr>
  </w:style>
  <w:style w:type="character" w:styleId="937">
    <w:name w:val="Hyperlink"/>
    <w:uiPriority w:val="99"/>
    <w:unhideWhenUsed/>
    <w:rPr>
      <w:color w:val="0000ff" w:themeColor="hyperlink"/>
      <w:u w:val="single"/>
      <w14:textFill>
        <w14:solidFill>
          <w14:schemeClr w14:val="hlink"/>
        </w14:solidFill>
      </w14:textFill>
    </w:rPr>
  </w:style>
  <w:style w:type="character" w:styleId="938">
    <w:name w:val="footnote reference"/>
    <w:uiPriority w:val="99"/>
    <w:unhideWhenUsed/>
    <w:rPr>
      <w:vertAlign w:val="superscript"/>
    </w:rPr>
  </w:style>
  <w:style w:type="character" w:styleId="939" w:customStyle="1">
    <w:name w:val="Heading 1 Char"/>
    <w:link w:val="907"/>
    <w:uiPriority w:val="9"/>
    <w:rPr>
      <w:rFonts w:ascii="Arial" w:hAnsi="Arial" w:eastAsia="Arial" w:cs="Arial"/>
      <w:sz w:val="40"/>
      <w:szCs w:val="40"/>
    </w:rPr>
  </w:style>
  <w:style w:type="character" w:styleId="940" w:customStyle="1">
    <w:name w:val="Heading 2 Char"/>
    <w:link w:val="908"/>
    <w:uiPriority w:val="9"/>
    <w:rPr>
      <w:rFonts w:ascii="Arial" w:hAnsi="Arial" w:eastAsia="Arial" w:cs="Arial"/>
      <w:sz w:val="34"/>
    </w:rPr>
  </w:style>
  <w:style w:type="character" w:styleId="941" w:customStyle="1">
    <w:name w:val="Heading 3 Char"/>
    <w:link w:val="909"/>
    <w:uiPriority w:val="9"/>
    <w:rPr>
      <w:rFonts w:ascii="Arial" w:hAnsi="Arial" w:eastAsia="Arial" w:cs="Arial"/>
      <w:sz w:val="30"/>
      <w:szCs w:val="30"/>
    </w:rPr>
  </w:style>
  <w:style w:type="character" w:styleId="942" w:customStyle="1">
    <w:name w:val="Heading 4 Char"/>
    <w:link w:val="910"/>
    <w:uiPriority w:val="9"/>
    <w:rPr>
      <w:rFonts w:ascii="Arial" w:hAnsi="Arial" w:eastAsia="Arial" w:cs="Arial"/>
      <w:b/>
      <w:bCs/>
      <w:sz w:val="26"/>
      <w:szCs w:val="26"/>
    </w:rPr>
  </w:style>
  <w:style w:type="character" w:styleId="943" w:customStyle="1">
    <w:name w:val="Heading 5 Char"/>
    <w:link w:val="911"/>
    <w:uiPriority w:val="9"/>
    <w:rPr>
      <w:rFonts w:ascii="Arial" w:hAnsi="Arial" w:eastAsia="Arial" w:cs="Arial"/>
      <w:b/>
      <w:bCs/>
      <w:sz w:val="24"/>
      <w:szCs w:val="24"/>
    </w:rPr>
  </w:style>
  <w:style w:type="character" w:styleId="944" w:customStyle="1">
    <w:name w:val="Heading 6 Char"/>
    <w:link w:val="912"/>
    <w:uiPriority w:val="9"/>
    <w:rPr>
      <w:rFonts w:ascii="Arial" w:hAnsi="Arial" w:eastAsia="Arial" w:cs="Arial"/>
      <w:b/>
      <w:bCs/>
      <w:sz w:val="22"/>
      <w:szCs w:val="22"/>
    </w:rPr>
  </w:style>
  <w:style w:type="character" w:styleId="945" w:customStyle="1">
    <w:name w:val="Heading 7 Char"/>
    <w:link w:val="913"/>
    <w:uiPriority w:val="9"/>
    <w:rPr>
      <w:rFonts w:ascii="Arial" w:hAnsi="Arial" w:eastAsia="Arial" w:cs="Arial"/>
      <w:b/>
      <w:bCs/>
      <w:i/>
      <w:iCs/>
      <w:sz w:val="22"/>
      <w:szCs w:val="22"/>
    </w:rPr>
  </w:style>
  <w:style w:type="character" w:styleId="946" w:customStyle="1">
    <w:name w:val="Heading 8 Char"/>
    <w:link w:val="914"/>
    <w:uiPriority w:val="9"/>
    <w:rPr>
      <w:rFonts w:ascii="Arial" w:hAnsi="Arial" w:eastAsia="Arial" w:cs="Arial"/>
      <w:i/>
      <w:iCs/>
      <w:sz w:val="22"/>
      <w:szCs w:val="22"/>
    </w:rPr>
  </w:style>
  <w:style w:type="character" w:styleId="947" w:customStyle="1">
    <w:name w:val="Heading 9 Char"/>
    <w:link w:val="915"/>
    <w:uiPriority w:val="9"/>
    <w:rPr>
      <w:rFonts w:ascii="Arial" w:hAnsi="Arial" w:eastAsia="Arial" w:cs="Arial"/>
      <w:i/>
      <w:iCs/>
      <w:sz w:val="21"/>
      <w:szCs w:val="21"/>
    </w:rPr>
  </w:style>
  <w:style w:type="paragraph" w:styleId="948">
    <w:name w:val="List Paragraph"/>
    <w:basedOn w:val="906"/>
    <w:uiPriority w:val="34"/>
    <w:qFormat/>
    <w:pPr>
      <w:contextualSpacing/>
      <w:ind w:left="720"/>
    </w:pPr>
  </w:style>
  <w:style w:type="paragraph" w:styleId="949">
    <w:name w:val="No Spacing"/>
    <w:uiPriority w:val="1"/>
    <w:qFormat/>
    <w:pPr>
      <w:spacing w:before="0" w:after="0" w:line="240" w:lineRule="auto"/>
    </w:pPr>
    <w:rPr>
      <w:rFonts w:hint="default" w:ascii="Times New Roman" w:hAnsi="Times New Roman" w:eastAsia="宋体" w:cs="Times New Roman"/>
    </w:rPr>
  </w:style>
  <w:style w:type="character" w:styleId="950" w:customStyle="1">
    <w:name w:val="Title Char"/>
    <w:link w:val="934"/>
    <w:uiPriority w:val="10"/>
    <w:rPr>
      <w:sz w:val="48"/>
      <w:szCs w:val="48"/>
    </w:rPr>
  </w:style>
  <w:style w:type="character" w:styleId="951" w:customStyle="1">
    <w:name w:val="Subtitle Char"/>
    <w:link w:val="928"/>
    <w:uiPriority w:val="11"/>
    <w:rPr>
      <w:sz w:val="24"/>
      <w:szCs w:val="24"/>
    </w:rPr>
  </w:style>
  <w:style w:type="paragraph" w:styleId="952">
    <w:name w:val="Quote"/>
    <w:basedOn w:val="906"/>
    <w:next w:val="906"/>
    <w:link w:val="953"/>
    <w:uiPriority w:val="29"/>
    <w:qFormat/>
    <w:pPr>
      <w:ind w:left="720" w:right="720"/>
    </w:pPr>
    <w:rPr>
      <w:i/>
    </w:rPr>
  </w:style>
  <w:style w:type="character" w:styleId="953" w:customStyle="1">
    <w:name w:val="Quote Char"/>
    <w:link w:val="952"/>
    <w:uiPriority w:val="29"/>
    <w:rPr>
      <w:i/>
    </w:rPr>
  </w:style>
  <w:style w:type="paragraph" w:styleId="954">
    <w:name w:val="Intense Quote"/>
    <w:basedOn w:val="906"/>
    <w:next w:val="906"/>
    <w:link w:val="9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Intense Quote Char"/>
    <w:link w:val="954"/>
    <w:uiPriority w:val="30"/>
    <w:qFormat/>
    <w:rPr>
      <w:i/>
    </w:rPr>
  </w:style>
  <w:style w:type="character" w:styleId="956" w:customStyle="1">
    <w:name w:val="Header Char"/>
    <w:link w:val="925"/>
    <w:uiPriority w:val="99"/>
  </w:style>
  <w:style w:type="character" w:styleId="957" w:customStyle="1">
    <w:name w:val="Footer Char"/>
    <w:link w:val="924"/>
    <w:uiPriority w:val="99"/>
    <w:qFormat/>
  </w:style>
  <w:style w:type="character" w:styleId="958" w:customStyle="1">
    <w:name w:val="Caption Char"/>
    <w:link w:val="924"/>
    <w:uiPriority w:val="99"/>
    <w:qFormat/>
  </w:style>
  <w:style w:type="table" w:styleId="9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Footnote Text Char"/>
    <w:link w:val="929"/>
    <w:uiPriority w:val="99"/>
    <w:rPr>
      <w:sz w:val="18"/>
    </w:rPr>
  </w:style>
  <w:style w:type="character" w:styleId="1085" w:customStyle="1">
    <w:name w:val="Endnote Text Char"/>
    <w:link w:val="923"/>
    <w:uiPriority w:val="99"/>
    <w:rPr>
      <w:sz w:val="20"/>
    </w:rPr>
  </w:style>
  <w:style w:type="paragraph" w:styleId="1086" w:customStyle="1">
    <w:name w:val="TOC Heading"/>
    <w:uiPriority w:val="39"/>
    <w:unhideWhenUsed/>
    <w:rPr>
      <w:rFonts w:hint="default" w:ascii="Times New Roman" w:hAnsi="Times New Roman" w:eastAsia="宋体" w:cs="Times New Roman"/>
    </w:rPr>
  </w:style>
  <w:style w:type="paragraph" w:styleId="1087" w:customStyle="1">
    <w:name w:val="标题 11"/>
    <w:basedOn w:val="906"/>
    <w:next w:val="906"/>
    <w:link w:val="1099"/>
    <w:uiPriority w:val="0"/>
    <w:qFormat/>
    <w:pPr>
      <w:jc w:val="center"/>
      <w:keepLines/>
      <w:keepNext/>
      <w:spacing w:before="240" w:after="120" w:line="300" w:lineRule="auto"/>
      <w:outlineLvl w:val="0"/>
    </w:pPr>
    <w:rPr>
      <w:rFonts w:ascii="宋体"/>
      <w:b/>
      <w:sz w:val="32"/>
      <w:szCs w:val="20"/>
    </w:rPr>
  </w:style>
  <w:style w:type="paragraph" w:styleId="1088" w:customStyle="1">
    <w:name w:val="标题 21"/>
    <w:basedOn w:val="906"/>
    <w:next w:val="1089"/>
    <w:link w:val="1100"/>
    <w:uiPriority w:val="0"/>
    <w:qFormat/>
    <w:pPr>
      <w:jc w:val="center"/>
      <w:keepLines/>
      <w:keepNext/>
      <w:spacing w:before="120" w:line="300" w:lineRule="auto"/>
      <w:outlineLvl w:val="1"/>
    </w:pPr>
    <w:rPr>
      <w:rFonts w:ascii="Arial" w:hAnsi="Arial" w:eastAsia="黑体"/>
      <w:b/>
      <w:sz w:val="30"/>
      <w:szCs w:val="20"/>
    </w:rPr>
  </w:style>
  <w:style w:type="paragraph" w:styleId="1089" w:customStyle="1">
    <w:name w:val="正文缩进11"/>
    <w:basedOn w:val="906"/>
    <w:next w:val="906"/>
    <w:link w:val="1101"/>
    <w:uiPriority w:val="0"/>
    <w:qFormat/>
    <w:pPr>
      <w:ind w:firstLine="420"/>
      <w:jc w:val="left"/>
    </w:pPr>
    <w:rPr>
      <w:rFonts w:ascii="宋体"/>
      <w:sz w:val="24"/>
    </w:rPr>
  </w:style>
  <w:style w:type="paragraph" w:styleId="1090" w:customStyle="1">
    <w:name w:val="标题 31"/>
    <w:basedOn w:val="906"/>
    <w:next w:val="906"/>
    <w:link w:val="1102"/>
    <w:uiPriority w:val="0"/>
    <w:qFormat/>
    <w:pPr>
      <w:jc w:val="left"/>
      <w:keepLines/>
      <w:keepNext/>
      <w:spacing w:before="360" w:after="120"/>
      <w:outlineLvl w:val="2"/>
    </w:pPr>
    <w:rPr>
      <w:rFonts w:ascii="宋体"/>
      <w:b/>
      <w:sz w:val="24"/>
      <w:szCs w:val="20"/>
      <w:u w:val="single"/>
    </w:rPr>
  </w:style>
  <w:style w:type="paragraph" w:styleId="1091" w:customStyle="1">
    <w:name w:val="标题 41"/>
    <w:basedOn w:val="906"/>
    <w:next w:val="1089"/>
    <w:link w:val="1103"/>
    <w:uiPriority w:val="0"/>
    <w:qFormat/>
    <w:pPr>
      <w:keepLines/>
      <w:keepNext/>
      <w:spacing w:before="280" w:after="290" w:line="376" w:lineRule="atLeast"/>
      <w:outlineLvl w:val="3"/>
    </w:pPr>
    <w:rPr>
      <w:rFonts w:ascii="Arial" w:hAnsi="Arial" w:eastAsia="黑体"/>
      <w:b/>
      <w:sz w:val="28"/>
      <w:szCs w:val="20"/>
    </w:rPr>
  </w:style>
  <w:style w:type="paragraph" w:styleId="1092" w:customStyle="1">
    <w:name w:val="标题 51"/>
    <w:basedOn w:val="906"/>
    <w:next w:val="906"/>
    <w:link w:val="1104"/>
    <w:uiPriority w:val="0"/>
    <w:qFormat/>
    <w:pPr>
      <w:keepLines/>
      <w:keepNext/>
      <w:spacing w:before="280" w:after="290" w:line="376" w:lineRule="atLeast"/>
      <w:outlineLvl w:val="4"/>
    </w:pPr>
    <w:rPr>
      <w:b/>
      <w:sz w:val="28"/>
      <w:szCs w:val="20"/>
    </w:rPr>
  </w:style>
  <w:style w:type="paragraph" w:styleId="1093" w:customStyle="1">
    <w:name w:val="标题 61"/>
    <w:basedOn w:val="906"/>
    <w:next w:val="906"/>
    <w:link w:val="1105"/>
    <w:uiPriority w:val="0"/>
    <w:qFormat/>
    <w:pPr>
      <w:keepLines/>
      <w:keepNext/>
      <w:spacing w:before="240" w:after="64" w:line="320" w:lineRule="atLeast"/>
      <w:outlineLvl w:val="5"/>
    </w:pPr>
    <w:rPr>
      <w:rFonts w:ascii="Arial" w:hAnsi="Arial" w:eastAsia="黑体"/>
      <w:b/>
      <w:sz w:val="24"/>
      <w:szCs w:val="20"/>
    </w:rPr>
  </w:style>
  <w:style w:type="paragraph" w:styleId="1094" w:customStyle="1">
    <w:name w:val="标题 71"/>
    <w:basedOn w:val="906"/>
    <w:next w:val="906"/>
    <w:link w:val="1106"/>
    <w:uiPriority w:val="0"/>
    <w:qFormat/>
    <w:pPr>
      <w:keepLines/>
      <w:keepNext/>
      <w:spacing w:before="240" w:after="64" w:line="320" w:lineRule="atLeast"/>
      <w:outlineLvl w:val="6"/>
    </w:pPr>
    <w:rPr>
      <w:b/>
      <w:sz w:val="24"/>
      <w:szCs w:val="20"/>
    </w:rPr>
  </w:style>
  <w:style w:type="paragraph" w:styleId="1095" w:customStyle="1">
    <w:name w:val="标题 81"/>
    <w:basedOn w:val="906"/>
    <w:next w:val="906"/>
    <w:link w:val="1107"/>
    <w:uiPriority w:val="0"/>
    <w:qFormat/>
    <w:pPr>
      <w:keepLines/>
      <w:keepNext/>
      <w:spacing w:before="240" w:after="64" w:line="320" w:lineRule="atLeast"/>
      <w:outlineLvl w:val="7"/>
    </w:pPr>
    <w:rPr>
      <w:rFonts w:ascii="Arial" w:hAnsi="Arial" w:eastAsia="黑体"/>
      <w:sz w:val="24"/>
      <w:szCs w:val="20"/>
    </w:rPr>
  </w:style>
  <w:style w:type="paragraph" w:styleId="1096" w:customStyle="1">
    <w:name w:val="标题 91"/>
    <w:basedOn w:val="906"/>
    <w:next w:val="906"/>
    <w:link w:val="1108"/>
    <w:uiPriority w:val="0"/>
    <w:qFormat/>
    <w:pPr>
      <w:keepLines/>
      <w:keepNext/>
      <w:spacing w:before="240" w:after="64" w:line="320" w:lineRule="atLeast"/>
      <w:outlineLvl w:val="8"/>
    </w:pPr>
    <w:rPr>
      <w:rFonts w:ascii="Arial" w:hAnsi="Arial" w:eastAsia="黑体"/>
      <w:szCs w:val="20"/>
    </w:rPr>
  </w:style>
  <w:style w:type="character" w:styleId="1097" w:customStyle="1">
    <w:name w:val="默认段落字体1"/>
    <w:link w:val="906"/>
    <w:uiPriority w:val="1"/>
    <w:unhideWhenUsed/>
    <w:qFormat/>
  </w:style>
  <w:style w:type="table" w:styleId="1098" w:customStyle="1">
    <w:name w:val="普通表格1"/>
    <w:uiPriority w:val="99"/>
    <w:unhideWhenUsed/>
    <w:qFormat/>
    <w:tblPr/>
  </w:style>
  <w:style w:type="character" w:styleId="1099" w:customStyle="1">
    <w:name w:val="标题 1 Char"/>
    <w:basedOn w:val="1097"/>
    <w:link w:val="1087"/>
    <w:uiPriority w:val="0"/>
    <w:qFormat/>
    <w:rPr>
      <w:rFonts w:ascii="宋体"/>
      <w:b/>
      <w:sz w:val="32"/>
    </w:rPr>
  </w:style>
  <w:style w:type="character" w:styleId="1100" w:customStyle="1">
    <w:name w:val="标题 2 Char1"/>
    <w:link w:val="1088"/>
    <w:uiPriority w:val="0"/>
    <w:qFormat/>
    <w:rPr>
      <w:rFonts w:ascii="Arial" w:hAnsi="Arial" w:eastAsia="黑体"/>
      <w:b/>
      <w:sz w:val="30"/>
      <w:lang w:val="en-US" w:eastAsia="zh-CN" w:bidi="ar-SA"/>
    </w:rPr>
  </w:style>
  <w:style w:type="character" w:styleId="1101" w:customStyle="1">
    <w:name w:val="正文缩进 Char1"/>
    <w:link w:val="1089"/>
    <w:uiPriority w:val="0"/>
    <w:qFormat/>
    <w:rPr>
      <w:rFonts w:ascii="宋体" w:eastAsia="宋体"/>
      <w:sz w:val="24"/>
      <w:szCs w:val="24"/>
      <w:lang w:val="en-US" w:eastAsia="zh-CN" w:bidi="ar-SA"/>
    </w:rPr>
  </w:style>
  <w:style w:type="character" w:styleId="1102" w:customStyle="1">
    <w:name w:val="标题 3 Char1"/>
    <w:link w:val="1090"/>
    <w:uiPriority w:val="0"/>
    <w:qFormat/>
    <w:rPr>
      <w:rFonts w:ascii="宋体" w:eastAsia="宋体"/>
      <w:b/>
      <w:sz w:val="24"/>
      <w:u w:val="single"/>
      <w:lang w:val="en-US" w:eastAsia="zh-CN" w:bidi="ar-SA"/>
    </w:rPr>
  </w:style>
  <w:style w:type="character" w:styleId="1103" w:customStyle="1">
    <w:name w:val="标题 4 Char"/>
    <w:basedOn w:val="1097"/>
    <w:link w:val="1091"/>
    <w:uiPriority w:val="0"/>
    <w:qFormat/>
    <w:rPr>
      <w:rFonts w:ascii="Arial" w:hAnsi="Arial" w:eastAsia="黑体"/>
      <w:b/>
      <w:sz w:val="28"/>
    </w:rPr>
  </w:style>
  <w:style w:type="character" w:styleId="1104" w:customStyle="1">
    <w:name w:val="标题 5 Char"/>
    <w:basedOn w:val="1097"/>
    <w:link w:val="1092"/>
    <w:uiPriority w:val="0"/>
    <w:qFormat/>
    <w:rPr>
      <w:b/>
      <w:sz w:val="28"/>
    </w:rPr>
  </w:style>
  <w:style w:type="character" w:styleId="1105" w:customStyle="1">
    <w:name w:val="标题 6 Char"/>
    <w:basedOn w:val="1097"/>
    <w:link w:val="1093"/>
    <w:uiPriority w:val="0"/>
    <w:qFormat/>
    <w:rPr>
      <w:rFonts w:ascii="Arial" w:hAnsi="Arial" w:eastAsia="黑体"/>
      <w:b/>
      <w:sz w:val="24"/>
    </w:rPr>
  </w:style>
  <w:style w:type="character" w:styleId="1106" w:customStyle="1">
    <w:name w:val="标题 7 Char"/>
    <w:basedOn w:val="1097"/>
    <w:link w:val="1094"/>
    <w:uiPriority w:val="0"/>
    <w:qFormat/>
    <w:rPr>
      <w:b/>
      <w:sz w:val="24"/>
    </w:rPr>
  </w:style>
  <w:style w:type="character" w:styleId="1107" w:customStyle="1">
    <w:name w:val="标题 8 Char"/>
    <w:basedOn w:val="1097"/>
    <w:link w:val="1095"/>
    <w:uiPriority w:val="0"/>
    <w:qFormat/>
    <w:rPr>
      <w:rFonts w:ascii="Arial" w:hAnsi="Arial" w:eastAsia="黑体"/>
      <w:sz w:val="24"/>
    </w:rPr>
  </w:style>
  <w:style w:type="character" w:styleId="1108" w:customStyle="1">
    <w:name w:val="标题 9 Char"/>
    <w:basedOn w:val="1097"/>
    <w:link w:val="1096"/>
    <w:uiPriority w:val="0"/>
    <w:qFormat/>
    <w:rPr>
      <w:rFonts w:ascii="Arial" w:hAnsi="Arial" w:eastAsia="黑体"/>
      <w:sz w:val="21"/>
    </w:rPr>
  </w:style>
  <w:style w:type="paragraph" w:styleId="1109" w:customStyle="1">
    <w:name w:val="目录 71"/>
    <w:basedOn w:val="906"/>
    <w:next w:val="906"/>
    <w:uiPriority w:val="0"/>
    <w:qFormat/>
    <w:pPr>
      <w:ind w:left="2520"/>
    </w:pPr>
  </w:style>
  <w:style w:type="paragraph" w:styleId="1110" w:customStyle="1">
    <w:name w:val="题注1"/>
    <w:basedOn w:val="906"/>
    <w:next w:val="906"/>
    <w:uiPriority w:val="0"/>
    <w:qFormat/>
    <w:pPr>
      <w:spacing w:line="480" w:lineRule="auto"/>
    </w:pPr>
    <w:rPr>
      <w:rFonts w:ascii="华文中宋" w:hAnsi="华文中宋" w:eastAsia="华文中宋"/>
      <w:sz w:val="36"/>
      <w:szCs w:val="20"/>
    </w:rPr>
  </w:style>
  <w:style w:type="paragraph" w:styleId="1111" w:customStyle="1">
    <w:name w:val="文档结构图1"/>
    <w:basedOn w:val="906"/>
    <w:link w:val="1112"/>
    <w:uiPriority w:val="0"/>
    <w:qFormat/>
    <w:pPr>
      <w:shd w:val="clear" w:color="auto" w:fill="000080"/>
    </w:pPr>
  </w:style>
  <w:style w:type="character" w:styleId="1112" w:customStyle="1">
    <w:name w:val="文档结构图 Char"/>
    <w:basedOn w:val="1097"/>
    <w:link w:val="1111"/>
    <w:uiPriority w:val="0"/>
    <w:qFormat/>
    <w:rPr>
      <w:sz w:val="21"/>
      <w:szCs w:val="24"/>
      <w:shd w:val="clear" w:color="auto" w:fill="000080"/>
    </w:rPr>
  </w:style>
  <w:style w:type="paragraph" w:styleId="1113" w:customStyle="1">
    <w:name w:val="批注文字1"/>
    <w:basedOn w:val="906"/>
    <w:link w:val="1114"/>
    <w:uiPriority w:val="99"/>
    <w:qFormat/>
    <w:pPr>
      <w:jc w:val="left"/>
    </w:pPr>
  </w:style>
  <w:style w:type="character" w:styleId="1114" w:customStyle="1">
    <w:name w:val="批注文字 Char1"/>
    <w:link w:val="1113"/>
    <w:uiPriority w:val="99"/>
    <w:qFormat/>
    <w:rPr>
      <w:sz w:val="21"/>
      <w:szCs w:val="24"/>
    </w:rPr>
  </w:style>
  <w:style w:type="paragraph" w:styleId="1115" w:customStyle="1">
    <w:name w:val="正文文本 31"/>
    <w:basedOn w:val="906"/>
    <w:link w:val="1116"/>
    <w:uiPriority w:val="0"/>
    <w:qFormat/>
    <w:pPr>
      <w:spacing w:after="120"/>
    </w:pPr>
    <w:rPr>
      <w:sz w:val="16"/>
      <w:szCs w:val="16"/>
    </w:rPr>
  </w:style>
  <w:style w:type="character" w:styleId="1116" w:customStyle="1">
    <w:name w:val="正文文本 3 Char"/>
    <w:basedOn w:val="1097"/>
    <w:link w:val="1115"/>
    <w:uiPriority w:val="0"/>
    <w:qFormat/>
    <w:rPr>
      <w:sz w:val="16"/>
      <w:szCs w:val="16"/>
    </w:rPr>
  </w:style>
  <w:style w:type="paragraph" w:styleId="1117" w:customStyle="1">
    <w:name w:val="正文文本1"/>
    <w:basedOn w:val="906"/>
    <w:next w:val="906"/>
    <w:link w:val="1118"/>
    <w:uiPriority w:val="0"/>
    <w:qFormat/>
    <w:pPr>
      <w:spacing w:before="120" w:line="22" w:lineRule="atLeast"/>
      <w:tabs>
        <w:tab w:val="left" w:pos="567" w:leader="none"/>
      </w:tabs>
    </w:pPr>
    <w:rPr>
      <w:rFonts w:ascii="宋体" w:hAnsi="宋体"/>
      <w:sz w:val="24"/>
    </w:rPr>
  </w:style>
  <w:style w:type="character" w:styleId="1118" w:customStyle="1">
    <w:name w:val="正文文本 Char"/>
    <w:basedOn w:val="1097"/>
    <w:link w:val="1117"/>
    <w:uiPriority w:val="0"/>
    <w:qFormat/>
    <w:rPr>
      <w:rFonts w:ascii="宋体" w:hAnsi="宋体"/>
      <w:sz w:val="24"/>
      <w:szCs w:val="24"/>
    </w:rPr>
  </w:style>
  <w:style w:type="paragraph" w:styleId="1119" w:customStyle="1">
    <w:name w:val="正文文本缩进11"/>
    <w:basedOn w:val="906"/>
    <w:link w:val="1120"/>
    <w:uiPriority w:val="0"/>
    <w:qFormat/>
    <w:pPr>
      <w:ind w:firstLine="570"/>
      <w:spacing w:line="360" w:lineRule="auto"/>
    </w:pPr>
    <w:rPr>
      <w:sz w:val="24"/>
    </w:rPr>
  </w:style>
  <w:style w:type="character" w:styleId="1120" w:customStyle="1">
    <w:name w:val="正文文本缩进 Char2"/>
    <w:link w:val="1119"/>
    <w:uiPriority w:val="0"/>
    <w:qFormat/>
    <w:rPr>
      <w:rFonts w:eastAsia="宋体"/>
      <w:sz w:val="24"/>
      <w:szCs w:val="24"/>
      <w:lang w:val="en-US" w:eastAsia="zh-CN" w:bidi="ar-SA"/>
    </w:rPr>
  </w:style>
  <w:style w:type="paragraph" w:styleId="1121" w:customStyle="1">
    <w:name w:val="列表 21"/>
    <w:basedOn w:val="906"/>
    <w:uiPriority w:val="0"/>
    <w:qFormat/>
    <w:pPr>
      <w:ind w:left="100" w:hanging="200"/>
    </w:pPr>
  </w:style>
  <w:style w:type="paragraph" w:styleId="1122" w:customStyle="1">
    <w:name w:val="文本块1"/>
    <w:basedOn w:val="906"/>
    <w:uiPriority w:val="0"/>
    <w:qFormat/>
    <w:pPr>
      <w:ind w:left="480" w:right="-341" w:firstLine="513"/>
      <w:widowControl/>
    </w:pPr>
    <w:rPr>
      <w:sz w:val="24"/>
      <w:szCs w:val="20"/>
    </w:rPr>
  </w:style>
  <w:style w:type="paragraph" w:styleId="1123" w:customStyle="1">
    <w:name w:val="目录 51"/>
    <w:basedOn w:val="906"/>
    <w:next w:val="906"/>
    <w:uiPriority w:val="0"/>
    <w:qFormat/>
    <w:pPr>
      <w:ind w:left="1680"/>
    </w:pPr>
  </w:style>
  <w:style w:type="paragraph" w:styleId="1124" w:customStyle="1">
    <w:name w:val="目录 31"/>
    <w:basedOn w:val="906"/>
    <w:next w:val="906"/>
    <w:uiPriority w:val="39"/>
    <w:qFormat/>
    <w:pPr>
      <w:ind w:left="840"/>
    </w:pPr>
  </w:style>
  <w:style w:type="paragraph" w:styleId="1125" w:customStyle="1">
    <w:name w:val="纯文本11"/>
    <w:basedOn w:val="906"/>
    <w:next w:val="1089"/>
    <w:link w:val="1126"/>
    <w:uiPriority w:val="0"/>
    <w:qFormat/>
    <w:rPr>
      <w:rFonts w:hint="eastAsia" w:ascii="宋体" w:hAnsi="Courier New"/>
      <w:szCs w:val="20"/>
    </w:rPr>
  </w:style>
  <w:style w:type="character" w:styleId="1126" w:customStyle="1">
    <w:name w:val="纯文本 Char"/>
    <w:basedOn w:val="1097"/>
    <w:link w:val="1125"/>
    <w:uiPriority w:val="0"/>
    <w:qFormat/>
    <w:rPr>
      <w:rFonts w:hint="eastAsia" w:ascii="宋体" w:hAnsi="Courier New" w:eastAsia="宋体" w:cs="宋体"/>
      <w:sz w:val="21"/>
    </w:rPr>
  </w:style>
  <w:style w:type="paragraph" w:styleId="1127" w:customStyle="1">
    <w:name w:val="目录 81"/>
    <w:basedOn w:val="906"/>
    <w:next w:val="906"/>
    <w:uiPriority w:val="0"/>
    <w:qFormat/>
    <w:pPr>
      <w:ind w:left="2940"/>
    </w:pPr>
  </w:style>
  <w:style w:type="paragraph" w:styleId="1128" w:customStyle="1">
    <w:name w:val="日期1"/>
    <w:basedOn w:val="906"/>
    <w:next w:val="906"/>
    <w:link w:val="1129"/>
    <w:uiPriority w:val="0"/>
    <w:qFormat/>
    <w:pPr>
      <w:ind w:left="100"/>
    </w:pPr>
    <w:rPr>
      <w:rFonts w:ascii="仿宋_GB2312" w:hAnsi="宋体" w:eastAsia="仿宋_GB2312"/>
      <w:color w:val="000000"/>
      <w:sz w:val="24"/>
    </w:rPr>
  </w:style>
  <w:style w:type="character" w:styleId="1129" w:customStyle="1">
    <w:name w:val="日期 Char"/>
    <w:basedOn w:val="1097"/>
    <w:link w:val="1128"/>
    <w:uiPriority w:val="0"/>
    <w:qFormat/>
    <w:rPr>
      <w:rFonts w:ascii="仿宋_GB2312" w:hAnsi="宋体" w:eastAsia="仿宋_GB2312"/>
      <w:color w:val="000000"/>
      <w:sz w:val="24"/>
      <w:szCs w:val="24"/>
    </w:rPr>
  </w:style>
  <w:style w:type="paragraph" w:styleId="1130" w:customStyle="1">
    <w:name w:val="正文文本缩进 21"/>
    <w:basedOn w:val="906"/>
    <w:link w:val="1131"/>
    <w:uiPriority w:val="0"/>
    <w:qFormat/>
    <w:pPr>
      <w:ind w:firstLine="480"/>
    </w:pPr>
    <w:rPr>
      <w:rFonts w:ascii="仿宋_GB2312" w:eastAsia="仿宋_GB2312"/>
      <w:sz w:val="24"/>
    </w:rPr>
  </w:style>
  <w:style w:type="character" w:styleId="1131" w:customStyle="1">
    <w:name w:val="正文文本缩进 2 Char"/>
    <w:basedOn w:val="1097"/>
    <w:link w:val="1130"/>
    <w:uiPriority w:val="0"/>
    <w:qFormat/>
    <w:rPr>
      <w:rFonts w:ascii="仿宋_GB2312" w:eastAsia="仿宋_GB2312"/>
      <w:sz w:val="24"/>
      <w:szCs w:val="24"/>
    </w:rPr>
  </w:style>
  <w:style w:type="paragraph" w:styleId="1132" w:customStyle="1">
    <w:name w:val="批注框文本1"/>
    <w:basedOn w:val="906"/>
    <w:link w:val="1133"/>
    <w:uiPriority w:val="0"/>
    <w:qFormat/>
    <w:rPr>
      <w:sz w:val="18"/>
      <w:szCs w:val="18"/>
    </w:rPr>
  </w:style>
  <w:style w:type="character" w:styleId="1133" w:customStyle="1">
    <w:name w:val="批注框文本 Char"/>
    <w:basedOn w:val="1097"/>
    <w:link w:val="1132"/>
    <w:uiPriority w:val="0"/>
    <w:qFormat/>
    <w:rPr>
      <w:sz w:val="18"/>
      <w:szCs w:val="18"/>
    </w:rPr>
  </w:style>
  <w:style w:type="paragraph" w:styleId="1134" w:customStyle="1">
    <w:name w:val="页脚1"/>
    <w:basedOn w:val="906"/>
    <w:link w:val="1135"/>
    <w:uiPriority w:val="99"/>
    <w:qFormat/>
    <w:pPr>
      <w:jc w:val="left"/>
      <w:tabs>
        <w:tab w:val="center" w:pos="4153" w:leader="none"/>
        <w:tab w:val="right" w:pos="8306" w:leader="none"/>
      </w:tabs>
    </w:pPr>
    <w:rPr>
      <w:rFonts w:ascii="宋体"/>
      <w:sz w:val="18"/>
      <w:szCs w:val="20"/>
    </w:rPr>
  </w:style>
  <w:style w:type="character" w:styleId="1135" w:customStyle="1">
    <w:name w:val="页脚 Char1"/>
    <w:link w:val="1134"/>
    <w:uiPriority w:val="99"/>
    <w:qFormat/>
    <w:rPr>
      <w:rFonts w:ascii="宋体" w:eastAsia="宋体"/>
      <w:sz w:val="18"/>
      <w:lang w:val="en-US" w:eastAsia="zh-CN" w:bidi="ar-SA"/>
    </w:rPr>
  </w:style>
  <w:style w:type="paragraph" w:styleId="1136" w:customStyle="1">
    <w:name w:val="页眉1"/>
    <w:basedOn w:val="906"/>
    <w:link w:val="1137"/>
    <w:uiPriority w:val="0"/>
    <w:qFormat/>
    <w:pPr>
      <w:jc w:val="center"/>
      <w:tabs>
        <w:tab w:val="center" w:pos="4153" w:leader="none"/>
        <w:tab w:val="right" w:pos="8306" w:leader="none"/>
      </w:tabs>
      <w:pBdr>
        <w:bottom w:val="single" w:color="000000" w:sz="6" w:space="1"/>
      </w:pBdr>
    </w:pPr>
    <w:rPr>
      <w:sz w:val="18"/>
      <w:szCs w:val="18"/>
    </w:rPr>
  </w:style>
  <w:style w:type="character" w:styleId="1137" w:customStyle="1">
    <w:name w:val="页眉 Char1"/>
    <w:link w:val="1136"/>
    <w:uiPriority w:val="0"/>
    <w:qFormat/>
    <w:rPr>
      <w:rFonts w:eastAsia="宋体"/>
      <w:sz w:val="18"/>
      <w:szCs w:val="18"/>
      <w:lang w:val="en-US" w:eastAsia="zh-CN" w:bidi="ar-SA"/>
    </w:rPr>
  </w:style>
  <w:style w:type="paragraph" w:styleId="1138" w:customStyle="1">
    <w:name w:val="目录 11"/>
    <w:basedOn w:val="906"/>
    <w:next w:val="906"/>
    <w:uiPriority w:val="39"/>
    <w:qFormat/>
    <w:pPr>
      <w:spacing w:line="300" w:lineRule="auto"/>
      <w:tabs>
        <w:tab w:val="left" w:pos="1050" w:leader="none"/>
        <w:tab w:val="right" w:pos="8937" w:leader="dot"/>
      </w:tabs>
    </w:pPr>
    <w:rPr>
      <w:rFonts w:ascii="宋体" w:hAnsi="宋体"/>
      <w:b/>
      <w:sz w:val="24"/>
    </w:rPr>
  </w:style>
  <w:style w:type="paragraph" w:styleId="1139" w:customStyle="1">
    <w:name w:val="目录 41"/>
    <w:basedOn w:val="906"/>
    <w:next w:val="906"/>
    <w:uiPriority w:val="0"/>
    <w:qFormat/>
    <w:pPr>
      <w:ind w:left="1260"/>
    </w:pPr>
  </w:style>
  <w:style w:type="paragraph" w:styleId="1140" w:customStyle="1">
    <w:name w:val="目录 61"/>
    <w:basedOn w:val="906"/>
    <w:next w:val="906"/>
    <w:uiPriority w:val="0"/>
    <w:qFormat/>
    <w:pPr>
      <w:ind w:left="2100"/>
    </w:pPr>
  </w:style>
  <w:style w:type="paragraph" w:styleId="1141" w:customStyle="1">
    <w:name w:val="正文文本缩进 31"/>
    <w:basedOn w:val="906"/>
    <w:link w:val="1142"/>
    <w:uiPriority w:val="0"/>
    <w:qFormat/>
    <w:pPr>
      <w:ind w:left="720" w:firstLine="480"/>
      <w:jc w:val="left"/>
      <w:spacing w:before="120" w:line="22" w:lineRule="atLeast"/>
    </w:pPr>
    <w:rPr>
      <w:rFonts w:ascii="宋体"/>
      <w:sz w:val="24"/>
      <w:szCs w:val="20"/>
    </w:rPr>
  </w:style>
  <w:style w:type="character" w:styleId="1142" w:customStyle="1">
    <w:name w:val="正文文本缩进 3 Char"/>
    <w:basedOn w:val="1097"/>
    <w:link w:val="1141"/>
    <w:uiPriority w:val="0"/>
    <w:qFormat/>
    <w:rPr>
      <w:rFonts w:ascii="宋体"/>
      <w:sz w:val="24"/>
    </w:rPr>
  </w:style>
  <w:style w:type="paragraph" w:styleId="1143" w:customStyle="1">
    <w:name w:val="目录 21"/>
    <w:basedOn w:val="906"/>
    <w:next w:val="906"/>
    <w:uiPriority w:val="39"/>
    <w:qFormat/>
    <w:pPr>
      <w:ind w:left="420"/>
      <w:spacing w:line="312" w:lineRule="auto"/>
      <w:tabs>
        <w:tab w:val="right" w:pos="8937" w:leader="dot"/>
      </w:tabs>
    </w:pPr>
  </w:style>
  <w:style w:type="paragraph" w:styleId="1144" w:customStyle="1">
    <w:name w:val="目录 91"/>
    <w:basedOn w:val="906"/>
    <w:next w:val="906"/>
    <w:uiPriority w:val="0"/>
    <w:qFormat/>
    <w:pPr>
      <w:ind w:left="3360"/>
    </w:pPr>
  </w:style>
  <w:style w:type="paragraph" w:styleId="1145" w:customStyle="1">
    <w:name w:val="HTML 预设格式1"/>
    <w:basedOn w:val="906"/>
    <w:link w:val="11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customStyle="1">
    <w:name w:val="HTML 预设格式 Char"/>
    <w:basedOn w:val="1097"/>
    <w:link w:val="1145"/>
    <w:uiPriority w:val="0"/>
    <w:qFormat/>
    <w:rPr>
      <w:rFonts w:ascii="宋体" w:hAnsi="宋体" w:cs="宋体"/>
      <w:sz w:val="24"/>
      <w:szCs w:val="24"/>
    </w:rPr>
  </w:style>
  <w:style w:type="paragraph" w:styleId="1147" w:customStyle="1">
    <w:name w:val="普通(网站)1"/>
    <w:basedOn w:val="906"/>
    <w:uiPriority w:val="99"/>
    <w:unhideWhenUsed/>
    <w:qFormat/>
    <w:pPr>
      <w:jc w:val="left"/>
      <w:spacing w:before="100" w:beforeAutospacing="1" w:after="100" w:afterAutospacing="1"/>
      <w:widowControl/>
    </w:pPr>
    <w:rPr>
      <w:rFonts w:ascii="宋体" w:hAnsi="宋体" w:cs="宋体"/>
      <w:sz w:val="24"/>
    </w:rPr>
  </w:style>
  <w:style w:type="paragraph" w:styleId="1148" w:customStyle="1">
    <w:name w:val="索引 11"/>
    <w:basedOn w:val="906"/>
    <w:next w:val="906"/>
    <w:uiPriority w:val="0"/>
    <w:qFormat/>
    <w:rPr>
      <w:szCs w:val="20"/>
    </w:rPr>
  </w:style>
  <w:style w:type="paragraph" w:styleId="1149" w:customStyle="1">
    <w:name w:val="标题1"/>
    <w:basedOn w:val="906"/>
    <w:link w:val="1150"/>
    <w:uiPriority w:val="0"/>
    <w:qFormat/>
    <w:pPr>
      <w:jc w:val="center"/>
      <w:outlineLvl w:val="0"/>
    </w:pPr>
    <w:rPr>
      <w:b/>
      <w:sz w:val="32"/>
      <w:szCs w:val="20"/>
    </w:rPr>
  </w:style>
  <w:style w:type="character" w:styleId="1150" w:customStyle="1">
    <w:name w:val="标题 Char1"/>
    <w:link w:val="1149"/>
    <w:uiPriority w:val="0"/>
    <w:qFormat/>
    <w:rPr>
      <w:b/>
      <w:sz w:val="32"/>
    </w:rPr>
  </w:style>
  <w:style w:type="paragraph" w:styleId="1151" w:customStyle="1">
    <w:name w:val="批注主题1"/>
    <w:basedOn w:val="1113"/>
    <w:next w:val="1113"/>
    <w:link w:val="1152"/>
    <w:uiPriority w:val="0"/>
    <w:qFormat/>
    <w:rPr>
      <w:b/>
      <w:bCs/>
    </w:rPr>
  </w:style>
  <w:style w:type="character" w:styleId="1152" w:customStyle="1">
    <w:name w:val="批注主题 Char"/>
    <w:basedOn w:val="1153"/>
    <w:link w:val="1151"/>
    <w:uiPriority w:val="0"/>
    <w:qFormat/>
    <w:rPr>
      <w:rFonts w:ascii="Times New Roman" w:hAnsi="Times New Roman" w:eastAsia="宋体" w:cs="Times New Roman"/>
      <w:b/>
      <w:bCs/>
      <w:sz w:val="21"/>
      <w:szCs w:val="24"/>
      <w:lang w:val="en-US" w:eastAsia="zh-CN" w:bidi="ar-SA"/>
    </w:rPr>
  </w:style>
  <w:style w:type="character" w:styleId="1153" w:customStyle="1">
    <w:name w:val="批注文字 字符"/>
    <w:link w:val="906"/>
    <w:uiPriority w:val="99"/>
    <w:qFormat/>
    <w:rPr>
      <w:rFonts w:ascii="Times New Roman" w:hAnsi="Times New Roman" w:eastAsia="宋体" w:cs="Times New Roman"/>
      <w:sz w:val="24"/>
      <w:lang w:val="en-US" w:eastAsia="zh-CN" w:bidi="ar-SA"/>
    </w:rPr>
  </w:style>
  <w:style w:type="paragraph" w:styleId="1154" w:customStyle="1">
    <w:name w:val="正文首行缩进 21"/>
    <w:basedOn w:val="1119"/>
    <w:link w:val="1155"/>
    <w:uiPriority w:val="0"/>
    <w:qFormat/>
    <w:pPr>
      <w:ind w:left="420" w:firstLine="420"/>
      <w:spacing w:after="120" w:line="480" w:lineRule="exact"/>
    </w:pPr>
    <w:rPr>
      <w:szCs w:val="20"/>
    </w:rPr>
  </w:style>
  <w:style w:type="character" w:styleId="1155" w:customStyle="1">
    <w:name w:val="正文首行缩进 2 Char"/>
    <w:basedOn w:val="1120"/>
    <w:link w:val="1154"/>
    <w:uiPriority w:val="0"/>
    <w:qFormat/>
    <w:rPr>
      <w:rFonts w:eastAsia="宋体"/>
      <w:sz w:val="24"/>
      <w:szCs w:val="24"/>
      <w:lang w:val="en-US" w:eastAsia="zh-CN" w:bidi="ar-SA"/>
    </w:rPr>
  </w:style>
  <w:style w:type="table" w:styleId="1156" w:customStyle="1">
    <w:name w:val="网格型1"/>
    <w:basedOn w:val="1098"/>
    <w:uiPriority w:val="39"/>
    <w:qFormat/>
    <w:tblPr/>
  </w:style>
  <w:style w:type="table" w:styleId="1157" w:customStyle="1">
    <w:name w:val="中等深浅网格 1 - 强调文字颜色 21"/>
    <w:basedOn w:val="1098"/>
    <w:uiPriority w:val="0"/>
    <w:qFormat/>
    <w:rPr>
      <w:sz w:val="21"/>
      <w:szCs w:val="24"/>
    </w:rPr>
    <w:tblPr/>
  </w:style>
  <w:style w:type="character" w:styleId="1158" w:customStyle="1">
    <w:name w:val="要点1"/>
    <w:link w:val="906"/>
    <w:uiPriority w:val="0"/>
    <w:qFormat/>
    <w:rPr>
      <w:b/>
      <w:bCs/>
    </w:rPr>
  </w:style>
  <w:style w:type="character" w:styleId="1159" w:customStyle="1">
    <w:name w:val="页码1"/>
    <w:basedOn w:val="1097"/>
    <w:link w:val="906"/>
    <w:uiPriority w:val="0"/>
    <w:qFormat/>
  </w:style>
  <w:style w:type="character" w:styleId="1160" w:customStyle="1">
    <w:name w:val="已访问的超链接1"/>
    <w:link w:val="906"/>
    <w:uiPriority w:val="0"/>
    <w:qFormat/>
    <w:rPr>
      <w:color w:val="800080"/>
      <w:u w:val="single"/>
    </w:rPr>
  </w:style>
  <w:style w:type="character" w:styleId="1161" w:customStyle="1">
    <w:name w:val="强调1"/>
    <w:link w:val="906"/>
    <w:uiPriority w:val="0"/>
    <w:qFormat/>
    <w:rPr>
      <w:color w:val="cc0033"/>
    </w:rPr>
  </w:style>
  <w:style w:type="character" w:styleId="1162" w:customStyle="1">
    <w:name w:val="超链接1"/>
    <w:link w:val="906"/>
    <w:uiPriority w:val="99"/>
    <w:qFormat/>
    <w:rPr>
      <w:color w:val="0000ff"/>
      <w:u w:val="single"/>
    </w:rPr>
  </w:style>
  <w:style w:type="character" w:styleId="1163" w:customStyle="1">
    <w:name w:val="批注引用1"/>
    <w:link w:val="906"/>
    <w:uiPriority w:val="99"/>
    <w:qFormat/>
    <w:rPr>
      <w:sz w:val="21"/>
      <w:szCs w:val="21"/>
    </w:rPr>
  </w:style>
  <w:style w:type="character" w:styleId="1164" w:customStyle="1">
    <w:name w:val="HTML 引文1"/>
    <w:link w:val="906"/>
    <w:uiPriority w:val="0"/>
    <w:qFormat/>
    <w:rPr>
      <w:i/>
      <w:iCs/>
    </w:rPr>
  </w:style>
  <w:style w:type="character" w:styleId="1165" w:customStyle="1">
    <w:name w:val="中等深浅网格 1 - 强调文字颜色 2 Char"/>
    <w:link w:val="1166"/>
    <w:uiPriority w:val="0"/>
    <w:qFormat/>
    <w:rPr>
      <w:sz w:val="21"/>
      <w:szCs w:val="24"/>
      <w:lang w:val="zh-CN" w:eastAsia="zh-CN" w:bidi="ar-SA"/>
    </w:rPr>
  </w:style>
  <w:style w:type="paragraph" w:styleId="1166" w:customStyle="1">
    <w:name w:val="1"/>
    <w:link w:val="1165"/>
    <w:uiPriority w:val="0"/>
    <w:qFormat/>
    <w:rPr>
      <w:rFonts w:hint="default" w:ascii="Times New Roman" w:hAnsi="Times New Roman" w:eastAsia="宋体" w:cs="Times New Roman"/>
      <w:sz w:val="21"/>
      <w:szCs w:val="24"/>
      <w:lang w:val="zh-CN" w:eastAsia="zh-CN" w:bidi="ar-SA"/>
    </w:rPr>
  </w:style>
  <w:style w:type="character" w:styleId="1167" w:customStyle="1">
    <w:name w:val="正文文本缩进 Char1"/>
    <w:link w:val="1168"/>
    <w:uiPriority w:val="0"/>
    <w:qFormat/>
    <w:rPr>
      <w:rFonts w:ascii="宋体" w:hAnsi="宋体" w:eastAsia="宋体"/>
      <w:sz w:val="24"/>
      <w:szCs w:val="24"/>
      <w:lang w:bidi="ar-SA"/>
    </w:rPr>
  </w:style>
  <w:style w:type="paragraph" w:styleId="1168" w:customStyle="1">
    <w:name w:val="正文文本缩进1"/>
    <w:basedOn w:val="906"/>
    <w:link w:val="1167"/>
    <w:uiPriority w:val="0"/>
    <w:qFormat/>
    <w:pPr>
      <w:ind w:firstLine="480"/>
      <w:spacing w:line="480" w:lineRule="exact"/>
    </w:pPr>
    <w:rPr>
      <w:rFonts w:ascii="宋体" w:hAnsi="宋体"/>
      <w:sz w:val="24"/>
    </w:rPr>
  </w:style>
  <w:style w:type="character" w:styleId="1169" w:customStyle="1">
    <w:name w:val="chanpin拷贝"/>
    <w:basedOn w:val="1097"/>
    <w:link w:val="906"/>
    <w:uiPriority w:val="0"/>
    <w:qFormat/>
  </w:style>
  <w:style w:type="character" w:styleId="1170" w:customStyle="1">
    <w:name w:val="纯文本 字符1"/>
    <w:link w:val="906"/>
    <w:uiPriority w:val="0"/>
    <w:qFormat/>
    <w:rPr>
      <w:rFonts w:ascii="宋体" w:hAnsi="Courier New"/>
    </w:rPr>
  </w:style>
  <w:style w:type="character" w:styleId="1171" w:customStyle="1">
    <w:name w:val="street-address"/>
    <w:basedOn w:val="1097"/>
    <w:link w:val="906"/>
    <w:uiPriority w:val="0"/>
    <w:qFormat/>
  </w:style>
  <w:style w:type="character" w:styleId="1172" w:customStyle="1">
    <w:name w:val="正文格式 Char"/>
    <w:link w:val="1173"/>
    <w:uiPriority w:val="0"/>
    <w:qFormat/>
    <w:rPr>
      <w:rFonts w:ascii="宋体" w:hAnsi="宋体"/>
      <w:sz w:val="24"/>
      <w:szCs w:val="24"/>
      <w:lang w:val="en-GB"/>
    </w:rPr>
  </w:style>
  <w:style w:type="paragraph" w:styleId="1173" w:customStyle="1">
    <w:name w:val="正文格式"/>
    <w:basedOn w:val="906"/>
    <w:link w:val="1172"/>
    <w:uiPriority w:val="0"/>
    <w:qFormat/>
    <w:pPr>
      <w:ind w:firstLine="480"/>
      <w:spacing w:line="360" w:lineRule="auto"/>
    </w:pPr>
    <w:rPr>
      <w:rFonts w:ascii="宋体" w:hAnsi="宋体"/>
      <w:sz w:val="24"/>
      <w:lang w:val="en-GB"/>
    </w:rPr>
  </w:style>
  <w:style w:type="character" w:styleId="1174" w:customStyle="1">
    <w:name w:val="成文日期 Char"/>
    <w:link w:val="1175"/>
    <w:uiPriority w:val="0"/>
    <w:rPr>
      <w:rFonts w:ascii="仿宋_GB2312" w:eastAsia="仿宋_GB2312"/>
      <w:sz w:val="32"/>
    </w:rPr>
  </w:style>
  <w:style w:type="paragraph" w:styleId="1175" w:customStyle="1">
    <w:name w:val="成文日期"/>
    <w:basedOn w:val="906"/>
    <w:link w:val="1174"/>
    <w:uiPriority w:val="0"/>
    <w:qFormat/>
    <w:pPr>
      <w:ind w:right="400" w:firstLine="200"/>
      <w:jc w:val="right"/>
      <w:spacing w:line="570" w:lineRule="exact"/>
    </w:pPr>
    <w:rPr>
      <w:rFonts w:ascii="仿宋_GB2312" w:eastAsia="仿宋_GB2312"/>
      <w:sz w:val="32"/>
      <w:szCs w:val="20"/>
    </w:rPr>
  </w:style>
  <w:style w:type="character" w:styleId="1176" w:customStyle="1">
    <w:name w:val="正文表格 Char"/>
    <w:link w:val="1177"/>
    <w:uiPriority w:val="0"/>
    <w:qFormat/>
    <w:rPr>
      <w:rFonts w:ascii="宋体" w:hAnsi="宋体"/>
      <w:color w:val="000000"/>
      <w:sz w:val="21"/>
      <w:szCs w:val="21"/>
    </w:rPr>
  </w:style>
  <w:style w:type="paragraph" w:styleId="1177" w:customStyle="1">
    <w:name w:val="正文表格"/>
    <w:basedOn w:val="906"/>
    <w:link w:val="1176"/>
    <w:uiPriority w:val="0"/>
    <w:qFormat/>
    <w:pPr>
      <w:jc w:val="left"/>
    </w:pPr>
    <w:rPr>
      <w:rFonts w:ascii="宋体" w:hAnsi="宋体"/>
      <w:color w:val="000000"/>
      <w:szCs w:val="21"/>
    </w:rPr>
  </w:style>
  <w:style w:type="character" w:styleId="1178" w:customStyle="1">
    <w:name w:val="正文大标题 Char"/>
    <w:link w:val="1179"/>
    <w:uiPriority w:val="0"/>
    <w:qFormat/>
    <w:rPr>
      <w:rFonts w:ascii="宋体" w:hAnsi="宋体"/>
      <w:b/>
      <w:color w:val="000000"/>
      <w:sz w:val="28"/>
      <w:szCs w:val="21"/>
    </w:rPr>
  </w:style>
  <w:style w:type="paragraph" w:styleId="1179" w:customStyle="1">
    <w:name w:val="正文大标题"/>
    <w:basedOn w:val="1180"/>
    <w:next w:val="1089"/>
    <w:link w:val="1178"/>
    <w:uiPriority w:val="0"/>
    <w:qFormat/>
    <w:pPr>
      <w:jc w:val="center"/>
    </w:pPr>
    <w:rPr>
      <w:i w:val="0"/>
      <w:color w:val="000000"/>
      <w:sz w:val="28"/>
      <w:szCs w:val="21"/>
    </w:rPr>
  </w:style>
  <w:style w:type="paragraph" w:styleId="1180" w:customStyle="1">
    <w:name w:val="正文小标题"/>
    <w:basedOn w:val="906"/>
    <w:next w:val="1089"/>
    <w:link w:val="1181"/>
    <w:uiPriority w:val="0"/>
    <w:qFormat/>
    <w:pPr>
      <w:ind w:firstLine="482"/>
      <w:jc w:val="left"/>
      <w:spacing w:before="312" w:after="312"/>
    </w:pPr>
    <w:rPr>
      <w:rFonts w:ascii="宋体" w:hAnsi="宋体"/>
      <w:b/>
      <w:i/>
      <w:color w:val="ff0000"/>
      <w:sz w:val="24"/>
      <w:szCs w:val="20"/>
    </w:rPr>
  </w:style>
  <w:style w:type="character" w:styleId="1181" w:customStyle="1">
    <w:name w:val="正文小标题 Char"/>
    <w:link w:val="1180"/>
    <w:uiPriority w:val="0"/>
    <w:qFormat/>
    <w:rPr>
      <w:rFonts w:ascii="宋体" w:hAnsi="宋体"/>
      <w:b/>
      <w:i/>
      <w:color w:val="ff0000"/>
      <w:sz w:val="24"/>
    </w:rPr>
  </w:style>
  <w:style w:type="character" w:styleId="1182" w:customStyle="1">
    <w:name w:val="bjh-p"/>
    <w:link w:val="906"/>
    <w:uiPriority w:val="0"/>
    <w:qFormat/>
  </w:style>
  <w:style w:type="character" w:styleId="1183" w:customStyle="1">
    <w:name w:val="正文缩进 Char Char"/>
    <w:link w:val="1184"/>
    <w:uiPriority w:val="0"/>
    <w:qFormat/>
    <w:rPr>
      <w:rFonts w:ascii="宋体" w:eastAsia="宋体"/>
      <w:color w:val="000000"/>
      <w:sz w:val="28"/>
      <w:lang w:bidi="ar-SA"/>
    </w:rPr>
  </w:style>
  <w:style w:type="paragraph" w:styleId="1184" w:customStyle="1">
    <w:name w:val="正文缩进1"/>
    <w:basedOn w:val="906"/>
    <w:link w:val="1183"/>
    <w:uiPriority w:val="0"/>
    <w:qFormat/>
    <w:pPr>
      <w:ind w:firstLine="567"/>
      <w:spacing w:line="480" w:lineRule="exact"/>
      <w:widowControl/>
    </w:pPr>
    <w:rPr>
      <w:rFonts w:ascii="宋体"/>
      <w:color w:val="000000"/>
      <w:sz w:val="28"/>
      <w:szCs w:val="20"/>
    </w:rPr>
  </w:style>
  <w:style w:type="character" w:styleId="1185" w:customStyle="1">
    <w:name w:val="标题 Char"/>
    <w:link w:val="906"/>
    <w:uiPriority w:val="0"/>
    <w:qFormat/>
    <w:rPr>
      <w:b/>
      <w:sz w:val="32"/>
    </w:rPr>
  </w:style>
  <w:style w:type="character" w:styleId="1186" w:customStyle="1">
    <w:name w:val="列出段落 Char"/>
    <w:link w:val="906"/>
    <w:uiPriority w:val="0"/>
    <w:qFormat/>
    <w:rPr>
      <w:rFonts w:ascii="Calibri" w:hAnsi="Calibri" w:eastAsia="宋体"/>
      <w:sz w:val="21"/>
      <w:szCs w:val="22"/>
      <w:lang w:val="en-US" w:eastAsia="zh-CN" w:bidi="ar-SA"/>
    </w:rPr>
  </w:style>
  <w:style w:type="character" w:styleId="1187" w:customStyle="1">
    <w:name w:val="Char Char111"/>
    <w:link w:val="906"/>
    <w:uiPriority w:val="0"/>
    <w:qFormat/>
    <w:rPr>
      <w:rFonts w:ascii="宋体" w:eastAsia="宋体"/>
      <w:b/>
      <w:sz w:val="24"/>
      <w:u w:val="single"/>
      <w:lang w:val="en-US" w:eastAsia="zh-CN" w:bidi="ar-SA"/>
    </w:rPr>
  </w:style>
  <w:style w:type="character" w:styleId="1188" w:customStyle="1">
    <w:name w:val="列出段落 Char1"/>
    <w:link w:val="1189"/>
    <w:uiPriority w:val="34"/>
    <w:qFormat/>
    <w:rPr>
      <w:rFonts w:ascii="Calibri" w:hAnsi="Calibri" w:eastAsia="宋体"/>
      <w:sz w:val="21"/>
      <w:szCs w:val="22"/>
      <w:lang w:val="en-US" w:eastAsia="zh-CN" w:bidi="ar-SA"/>
    </w:rPr>
  </w:style>
  <w:style w:type="paragraph" w:styleId="1189" w:customStyle="1">
    <w:name w:val="列出段落"/>
    <w:basedOn w:val="906"/>
    <w:link w:val="1188"/>
    <w:uiPriority w:val="34"/>
    <w:qFormat/>
    <w:pPr>
      <w:ind w:firstLine="420"/>
    </w:pPr>
    <w:rPr>
      <w:rFonts w:ascii="Calibri" w:hAnsi="Calibri"/>
      <w:szCs w:val="22"/>
    </w:rPr>
  </w:style>
  <w:style w:type="character" w:styleId="1190" w:customStyle="1">
    <w:name w:val="注释 Char"/>
    <w:link w:val="1191"/>
    <w:uiPriority w:val="0"/>
    <w:qFormat/>
    <w:rPr>
      <w:rFonts w:ascii="宋体" w:hAnsi="宋体"/>
      <w:sz w:val="21"/>
      <w:szCs w:val="21"/>
    </w:rPr>
  </w:style>
  <w:style w:type="paragraph" w:styleId="1191" w:customStyle="1">
    <w:name w:val="注释"/>
    <w:basedOn w:val="906"/>
    <w:link w:val="1190"/>
    <w:uiPriority w:val="0"/>
    <w:qFormat/>
    <w:pPr>
      <w:ind w:left="420" w:hanging="420"/>
      <w:jc w:val="left"/>
    </w:pPr>
    <w:rPr>
      <w:rFonts w:ascii="宋体" w:hAnsi="宋体"/>
      <w:szCs w:val="21"/>
    </w:rPr>
  </w:style>
  <w:style w:type="character" w:styleId="1192" w:customStyle="1">
    <w:name w:val="txt"/>
    <w:basedOn w:val="1097"/>
    <w:link w:val="906"/>
    <w:uiPriority w:val="0"/>
    <w:qFormat/>
  </w:style>
  <w:style w:type="character" w:styleId="1193" w:customStyle="1">
    <w:name w:val="标题 2 Char Char"/>
    <w:link w:val="906"/>
    <w:uiPriority w:val="0"/>
    <w:qFormat/>
    <w:rPr>
      <w:rFonts w:ascii="Arial" w:hAnsi="Arial" w:eastAsia="黑体"/>
      <w:b/>
      <w:bCs/>
      <w:sz w:val="32"/>
      <w:szCs w:val="32"/>
      <w:lang w:val="en-US" w:eastAsia="zh-CN" w:bidi="ar-SA"/>
    </w:rPr>
  </w:style>
  <w:style w:type="character" w:styleId="1194" w:customStyle="1">
    <w:name w:val="纯文本 Char1"/>
    <w:link w:val="906"/>
    <w:uiPriority w:val="0"/>
    <w:qFormat/>
    <w:rPr>
      <w:rFonts w:ascii="宋体" w:hAnsi="Courier New" w:eastAsia="宋体"/>
      <w:sz w:val="21"/>
      <w:lang w:val="en-US" w:eastAsia="zh-CN" w:bidi="ar-SA"/>
    </w:rPr>
  </w:style>
  <w:style w:type="character" w:styleId="1195" w:customStyle="1">
    <w:name w:val="c21"/>
    <w:link w:val="906"/>
    <w:uiPriority w:val="0"/>
    <w:qFormat/>
    <w:rPr>
      <w:rFonts w:ascii="ˎ̥" w:hAnsi="ˎ̥"/>
      <w:color w:val="000000"/>
      <w:sz w:val="20"/>
      <w:szCs w:val="20"/>
      <w:u w:val="none"/>
    </w:rPr>
  </w:style>
  <w:style w:type="character" w:styleId="1196" w:customStyle="1">
    <w:name w:val="title4"/>
    <w:link w:val="906"/>
    <w:uiPriority w:val="0"/>
    <w:qFormat/>
    <w:rPr>
      <w:b/>
      <w:bCs/>
      <w:color w:val="1d87b3"/>
      <w:sz w:val="15"/>
      <w:szCs w:val="15"/>
    </w:rPr>
  </w:style>
  <w:style w:type="character" w:styleId="1197" w:customStyle="1">
    <w:name w:val="页脚 Char"/>
    <w:link w:val="906"/>
    <w:uiPriority w:val="0"/>
    <w:qFormat/>
    <w:rPr>
      <w:rFonts w:ascii="宋体" w:eastAsia="宋体"/>
      <w:sz w:val="18"/>
      <w:lang w:val="en-US" w:eastAsia="zh-CN" w:bidi="ar-SA"/>
    </w:rPr>
  </w:style>
  <w:style w:type="character" w:styleId="1198" w:customStyle="1">
    <w:name w:val="locality"/>
    <w:basedOn w:val="1097"/>
    <w:link w:val="906"/>
    <w:uiPriority w:val="0"/>
    <w:qFormat/>
  </w:style>
  <w:style w:type="character" w:styleId="1199" w:customStyle="1">
    <w:name w:val="black1"/>
    <w:link w:val="906"/>
    <w:uiPriority w:val="0"/>
    <w:qFormat/>
    <w:rPr>
      <w:color w:val="000000"/>
    </w:rPr>
  </w:style>
  <w:style w:type="character" w:styleId="1200" w:customStyle="1">
    <w:name w:val="chanpin1"/>
    <w:link w:val="906"/>
    <w:uiPriority w:val="0"/>
    <w:qFormat/>
    <w:rPr>
      <w:rFonts w:ascii="ˎ̥" w:hAnsi="ˎ̥"/>
      <w:color w:val="000000"/>
      <w:sz w:val="20"/>
      <w:szCs w:val="20"/>
      <w:u w:val="none"/>
    </w:rPr>
  </w:style>
  <w:style w:type="character" w:styleId="1201" w:customStyle="1">
    <w:name w:val="段1 Char"/>
    <w:link w:val="906"/>
    <w:uiPriority w:val="0"/>
    <w:qFormat/>
    <w:rPr>
      <w:rFonts w:ascii="宋体" w:eastAsia="宋体"/>
      <w:sz w:val="24"/>
      <w:lang w:val="en-US" w:eastAsia="zh-CN" w:bidi="ar-SA"/>
    </w:rPr>
  </w:style>
  <w:style w:type="character" w:styleId="1202" w:customStyle="1">
    <w:name w:val="标题 3 Char"/>
    <w:link w:val="906"/>
    <w:uiPriority w:val="0"/>
    <w:qFormat/>
    <w:rPr>
      <w:rFonts w:ascii="宋体" w:eastAsia="宋体"/>
      <w:b/>
      <w:sz w:val="24"/>
      <w:u w:val="single"/>
      <w:lang w:val="en-US" w:eastAsia="zh-CN" w:bidi="ar-SA"/>
    </w:rPr>
  </w:style>
  <w:style w:type="character" w:styleId="1203" w:customStyle="1">
    <w:name w:val="标题 2 Char"/>
    <w:link w:val="906"/>
    <w:uiPriority w:val="0"/>
    <w:qFormat/>
    <w:rPr>
      <w:rFonts w:ascii="Arial" w:hAnsi="Arial" w:eastAsia="黑体"/>
      <w:b/>
      <w:sz w:val="30"/>
      <w:lang w:val="en-US" w:eastAsia="zh-CN" w:bidi="ar-SA"/>
    </w:rPr>
  </w:style>
  <w:style w:type="character" w:styleId="1204" w:customStyle="1">
    <w:name w:val="正文文本缩进 Char"/>
    <w:link w:val="906"/>
    <w:uiPriority w:val="0"/>
    <w:qFormat/>
    <w:rPr>
      <w:rFonts w:eastAsia="宋体"/>
      <w:sz w:val="24"/>
      <w:szCs w:val="24"/>
      <w:lang w:val="en-US" w:eastAsia="zh-CN" w:bidi="ar-SA"/>
    </w:rPr>
  </w:style>
  <w:style w:type="character" w:styleId="1205" w:customStyle="1">
    <w:name w:val="Char Char11"/>
    <w:link w:val="906"/>
    <w:uiPriority w:val="0"/>
    <w:qFormat/>
    <w:rPr>
      <w:rFonts w:ascii="宋体" w:eastAsia="宋体"/>
      <w:b/>
      <w:sz w:val="24"/>
      <w:u w:val="single"/>
      <w:lang w:val="en-US" w:eastAsia="zh-CN" w:bidi="ar-SA"/>
    </w:rPr>
  </w:style>
  <w:style w:type="character" w:styleId="1206" w:customStyle="1">
    <w:name w:val="页眉 Char"/>
    <w:link w:val="906"/>
    <w:uiPriority w:val="0"/>
    <w:qFormat/>
    <w:rPr>
      <w:rFonts w:eastAsia="宋体"/>
      <w:sz w:val="18"/>
      <w:szCs w:val="18"/>
      <w:lang w:val="en-US" w:eastAsia="zh-CN" w:bidi="ar-SA"/>
    </w:rPr>
  </w:style>
  <w:style w:type="character" w:styleId="1207" w:customStyle="1">
    <w:name w:val="纯文本 字符"/>
    <w:link w:val="906"/>
    <w:uiPriority w:val="99"/>
    <w:qFormat/>
    <w:rPr>
      <w:rFonts w:ascii="宋体" w:hAnsi="Courier New" w:eastAsia="宋体" w:cs="Times New Roman"/>
      <w:sz w:val="21"/>
      <w:szCs w:val="21"/>
      <w:lang w:val="en-US" w:eastAsia="zh-CN" w:bidi="ar-SA"/>
    </w:rPr>
  </w:style>
  <w:style w:type="character" w:styleId="1208" w:customStyle="1">
    <w:name w:val="正文重点 Char"/>
    <w:link w:val="1209"/>
    <w:uiPriority w:val="0"/>
    <w:qFormat/>
    <w:rPr>
      <w:b/>
      <w:sz w:val="24"/>
    </w:rPr>
  </w:style>
  <w:style w:type="paragraph" w:styleId="1209" w:customStyle="1">
    <w:name w:val="正文重点"/>
    <w:basedOn w:val="906"/>
    <w:link w:val="1208"/>
    <w:uiPriority w:val="0"/>
    <w:qFormat/>
    <w:pPr>
      <w:ind w:firstLine="482"/>
      <w:jc w:val="left"/>
      <w:spacing w:line="360" w:lineRule="auto"/>
    </w:pPr>
    <w:rPr>
      <w:b/>
      <w:sz w:val="24"/>
      <w:szCs w:val="20"/>
    </w:rPr>
  </w:style>
  <w:style w:type="character" w:styleId="1210" w:customStyle="1">
    <w:name w:val="正文缩进 Char"/>
    <w:link w:val="906"/>
    <w:uiPriority w:val="0"/>
    <w:qFormat/>
    <w:rPr>
      <w:rFonts w:ascii="宋体" w:eastAsia="宋体"/>
      <w:sz w:val="24"/>
      <w:szCs w:val="24"/>
      <w:lang w:val="en-US" w:eastAsia="zh-CN" w:bidi="ar-SA"/>
    </w:rPr>
  </w:style>
  <w:style w:type="character" w:styleId="1211" w:customStyle="1">
    <w:name w:val="普通文字1 Char1"/>
    <w:link w:val="906"/>
    <w:uiPriority w:val="0"/>
    <w:qFormat/>
    <w:rPr>
      <w:rFonts w:ascii="宋体" w:hAnsi="Courier New" w:eastAsia="宋体"/>
      <w:sz w:val="21"/>
      <w:lang w:val="en-US" w:eastAsia="zh-CN" w:bidi="ar-SA"/>
    </w:rPr>
  </w:style>
  <w:style w:type="character" w:styleId="1212" w:customStyle="1">
    <w:name w:val="批注文字 Char"/>
    <w:link w:val="906"/>
    <w:uiPriority w:val="99"/>
    <w:qFormat/>
    <w:rPr>
      <w:sz w:val="21"/>
      <w:szCs w:val="24"/>
    </w:rPr>
  </w:style>
  <w:style w:type="character" w:styleId="1213" w:customStyle="1">
    <w:name w:val="apple-style-span"/>
    <w:link w:val="906"/>
    <w:uiPriority w:val="0"/>
    <w:qFormat/>
    <w:rPr>
      <w:rFonts w:cs="Times New Roman"/>
    </w:rPr>
  </w:style>
  <w:style w:type="character" w:styleId="1214" w:customStyle="1">
    <w:name w:val="标题 3 Char Char"/>
    <w:link w:val="906"/>
    <w:uiPriority w:val="0"/>
    <w:qFormat/>
    <w:rPr>
      <w:rFonts w:eastAsia="宋体"/>
      <w:b/>
      <w:bCs/>
      <w:sz w:val="32"/>
      <w:szCs w:val="32"/>
      <w:lang w:val="en-US" w:eastAsia="zh-CN" w:bidi="ar-SA"/>
    </w:rPr>
  </w:style>
  <w:style w:type="paragraph" w:styleId="121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xl38"/>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7" w:customStyle="1">
    <w:name w:val="Char"/>
    <w:basedOn w:val="906"/>
    <w:uiPriority w:val="0"/>
    <w:qFormat/>
    <w:pPr>
      <w:tabs>
        <w:tab w:val="left" w:pos="360" w:leader="none"/>
      </w:tabs>
    </w:pPr>
    <w:rPr>
      <w:sz w:val="24"/>
    </w:rPr>
  </w:style>
  <w:style w:type="paragraph" w:styleId="1218" w:customStyle="1">
    <w:name w:val="xl25"/>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customStyle="1">
    <w:name w:val="xl45"/>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0" w:customStyle="1">
    <w:name w:val="列出段落1"/>
    <w:basedOn w:val="906"/>
    <w:uiPriority w:val="0"/>
    <w:qFormat/>
    <w:pPr>
      <w:ind w:firstLine="420"/>
    </w:pPr>
    <w:rPr>
      <w:rFonts w:ascii="Calibri" w:hAnsi="Calibri"/>
      <w:szCs w:val="22"/>
    </w:rPr>
  </w:style>
  <w:style w:type="paragraph" w:styleId="1221" w:customStyle="1">
    <w:name w:val="Char Char Char Char Char Char Char Char Char Char"/>
    <w:basedOn w:val="906"/>
    <w:uiPriority w:val="0"/>
    <w:qFormat/>
  </w:style>
  <w:style w:type="paragraph" w:styleId="1222" w:customStyle="1">
    <w:name w:val="xl40"/>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3" w:customStyle="1">
    <w:name w:val="Char3 Char Char Char1"/>
    <w:basedOn w:val="906"/>
    <w:uiPriority w:val="0"/>
    <w:qFormat/>
    <w:rPr>
      <w:rFonts w:ascii="Tahoma" w:hAnsi="Tahoma"/>
      <w:sz w:val="24"/>
      <w:szCs w:val="20"/>
    </w:rPr>
  </w:style>
  <w:style w:type="paragraph" w:styleId="1224" w:customStyle="1">
    <w:name w:val="正文列项_数字"/>
    <w:basedOn w:val="90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25" w:customStyle="1">
    <w:name w:val="Char1 Char Char Char1"/>
    <w:basedOn w:val="906"/>
    <w:uiPriority w:val="0"/>
    <w:qFormat/>
    <w:rPr>
      <w:rFonts w:ascii="Tahoma" w:hAnsi="Tahoma" w:cs="仿宋_GB2312"/>
      <w:sz w:val="24"/>
      <w:szCs w:val="28"/>
    </w:rPr>
  </w:style>
  <w:style w:type="paragraph" w:styleId="1226" w:customStyle="1">
    <w:name w:val="正文缩进2"/>
    <w:basedOn w:val="906"/>
    <w:uiPriority w:val="0"/>
    <w:qFormat/>
    <w:pPr>
      <w:ind w:firstLine="567"/>
      <w:spacing w:line="480" w:lineRule="exact"/>
      <w:widowControl/>
    </w:pPr>
    <w:rPr>
      <w:rFonts w:ascii="宋体"/>
      <w:color w:val="000000"/>
      <w:sz w:val="28"/>
      <w:szCs w:val="20"/>
      <w:lang w:val="zh-CN" w:eastAsia="zh-CN"/>
    </w:rPr>
  </w:style>
  <w:style w:type="paragraph" w:styleId="1227" w:customStyle="1">
    <w:name w:val="xl33"/>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8" w:customStyle="1">
    <w:name w:val="项目符号1"/>
    <w:basedOn w:val="1229"/>
    <w:uiPriority w:val="0"/>
    <w:qFormat/>
    <w:pPr>
      <w:ind w:left="-25" w:firstLine="0"/>
    </w:pPr>
  </w:style>
  <w:style w:type="paragraph" w:styleId="1229" w:customStyle="1">
    <w:name w:val="正文文本样式"/>
    <w:basedOn w:val="906"/>
    <w:uiPriority w:val="0"/>
    <w:qFormat/>
    <w:pPr>
      <w:ind w:firstLine="482"/>
      <w:spacing w:line="360" w:lineRule="auto"/>
    </w:pPr>
    <w:rPr>
      <w:rFonts w:cs="宋体"/>
      <w:sz w:val="24"/>
      <w:szCs w:val="20"/>
    </w:rPr>
  </w:style>
  <w:style w:type="paragraph" w:styleId="1230" w:customStyle="1">
    <w:name w:val="章标题"/>
    <w:next w:val="90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31" w:customStyle="1">
    <w:name w:val="xl46"/>
    <w:basedOn w:val="90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2" w:customStyle="1">
    <w:name w:val="默认段落字体 Para Char Char Char Char"/>
    <w:basedOn w:val="906"/>
    <w:uiPriority w:val="0"/>
    <w:qFormat/>
    <w:rPr>
      <w:rFonts w:ascii="Arial" w:hAnsi="Arial" w:cs="Arial"/>
      <w:szCs w:val="21"/>
    </w:rPr>
  </w:style>
  <w:style w:type="paragraph" w:styleId="1233" w:customStyle="1">
    <w:name w:val="图中文字"/>
    <w:basedOn w:val="906"/>
    <w:uiPriority w:val="0"/>
    <w:qFormat/>
    <w:pPr>
      <w:jc w:val="center"/>
      <w:spacing w:line="0" w:lineRule="atLeast"/>
    </w:pPr>
    <w:rPr>
      <w:sz w:val="24"/>
      <w:szCs w:val="20"/>
    </w:rPr>
  </w:style>
  <w:style w:type="paragraph" w:styleId="1234" w:customStyle="1">
    <w:name w:val="Char Char Char Char Char Char Char Char Char Char2"/>
    <w:basedOn w:val="906"/>
    <w:uiPriority w:val="0"/>
    <w:qFormat/>
    <w:rPr>
      <w:rFonts w:ascii="宋体" w:hAnsi="宋体" w:cs="Courier New"/>
      <w:sz w:val="32"/>
      <w:szCs w:val="32"/>
    </w:rPr>
  </w:style>
  <w:style w:type="paragraph" w:styleId="1235" w:customStyle="1">
    <w:name w:val="三级条标题"/>
    <w:basedOn w:val="1236"/>
    <w:next w:val="906"/>
    <w:uiPriority w:val="0"/>
    <w:qFormat/>
    <w:pPr>
      <w:numPr>
        <w:ilvl w:val="3"/>
        <w:numId w:val="1"/>
      </w:numPr>
      <w:ind w:left="0" w:hanging="840"/>
      <w:tabs>
        <w:tab w:val="left" w:pos="360" w:leader="none"/>
        <w:tab w:val="left" w:pos="840" w:leader="none"/>
      </w:tabs>
      <w:outlineLvl w:val="3"/>
    </w:pPr>
  </w:style>
  <w:style w:type="paragraph" w:styleId="1236" w:customStyle="1">
    <w:name w:val="二级条标题"/>
    <w:basedOn w:val="1237"/>
    <w:next w:val="90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37" w:customStyle="1">
    <w:name w:val="一级条标题"/>
    <w:basedOn w:val="1230"/>
    <w:next w:val="906"/>
    <w:uiPriority w:val="0"/>
    <w:qFormat/>
    <w:pPr>
      <w:numPr>
        <w:ilvl w:val="1"/>
      </w:numPr>
      <w:ind w:left="0" w:hanging="840"/>
      <w:tabs>
        <w:tab w:val="left" w:pos="360" w:leader="none"/>
        <w:tab w:val="left" w:pos="840" w:leader="none"/>
      </w:tabs>
      <w:outlineLvl w:val="1"/>
    </w:pPr>
  </w:style>
  <w:style w:type="paragraph" w:styleId="1238" w:customStyle="1">
    <w:name w:val="Char Char41"/>
    <w:basedOn w:val="906"/>
    <w:uiPriority w:val="0"/>
    <w:qFormat/>
    <w:pPr>
      <w:jc w:val="center"/>
      <w:spacing w:line="400" w:lineRule="exact"/>
      <w:widowControl/>
    </w:pPr>
  </w:style>
  <w:style w:type="paragraph" w:styleId="1239" w:customStyle="1">
    <w:name w:val="正文 A"/>
    <w:uiPriority w:val="0"/>
    <w:qFormat/>
    <w:pPr>
      <w:jc w:val="both"/>
      <w:widowControl w:val="off"/>
    </w:pPr>
    <w:rPr>
      <w:rFonts w:hint="default" w:ascii="Times New Roman" w:hAnsi="Times New Roman" w:eastAsia="Times New Roman" w:cs="Times New Roman"/>
      <w:color w:val="000000"/>
      <w:sz w:val="21"/>
      <w:szCs w:val="21"/>
      <w:u w:val="none"/>
      <w:lang w:val="en-US" w:eastAsia="zh-CN" w:bidi="ar-SA"/>
    </w:rPr>
  </w:style>
  <w:style w:type="paragraph" w:styleId="1240" w:customStyle="1">
    <w:name w:val="Char Char Char Char Char Char Char2"/>
    <w:basedOn w:val="906"/>
    <w:uiPriority w:val="0"/>
    <w:qFormat/>
    <w:pPr>
      <w:ind w:firstLine="200"/>
      <w:spacing w:line="360" w:lineRule="auto"/>
    </w:pPr>
    <w:rPr>
      <w:rFonts w:eastAsia="仿宋_GB2312"/>
      <w:sz w:val="24"/>
    </w:rPr>
  </w:style>
  <w:style w:type="paragraph" w:styleId="1241" w:customStyle="1">
    <w:name w:val="xl35"/>
    <w:basedOn w:val="9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2" w:customStyle="1">
    <w:name w:val="Char Char Char2"/>
    <w:basedOn w:val="906"/>
    <w:uiPriority w:val="0"/>
    <w:qFormat/>
    <w:rPr>
      <w:rFonts w:ascii="Tahoma" w:hAnsi="Tahoma"/>
      <w:sz w:val="24"/>
      <w:szCs w:val="20"/>
    </w:rPr>
  </w:style>
  <w:style w:type="paragraph" w:styleId="1243" w:customStyle="1">
    <w:name w:val="Char2 Char Char Char Char Char Char1"/>
    <w:basedOn w:val="906"/>
    <w:uiPriority w:val="0"/>
    <w:qFormat/>
    <w:pPr>
      <w:jc w:val="center"/>
      <w:spacing w:line="400" w:lineRule="exact"/>
      <w:widowControl/>
    </w:pPr>
  </w:style>
  <w:style w:type="paragraph" w:styleId="1244" w:customStyle="1">
    <w:name w:val="缺省文本"/>
    <w:basedOn w:val="906"/>
    <w:uiPriority w:val="0"/>
    <w:qFormat/>
    <w:pPr>
      <w:jc w:val="left"/>
    </w:pPr>
    <w:rPr>
      <w:sz w:val="24"/>
    </w:rPr>
  </w:style>
  <w:style w:type="paragraph" w:styleId="1245" w:customStyle="1">
    <w:name w:val="Char1"/>
    <w:basedOn w:val="906"/>
    <w:uiPriority w:val="0"/>
    <w:qFormat/>
    <w:pPr>
      <w:tabs>
        <w:tab w:val="left" w:pos="360" w:leader="none"/>
      </w:tabs>
    </w:pPr>
    <w:rPr>
      <w:sz w:val="24"/>
    </w:rPr>
  </w:style>
  <w:style w:type="paragraph" w:styleId="1246" w:customStyle="1">
    <w:name w:val="Char Char Char Char Char Char Char"/>
    <w:basedOn w:val="906"/>
    <w:uiPriority w:val="0"/>
    <w:qFormat/>
    <w:pPr>
      <w:ind w:firstLine="200"/>
      <w:spacing w:line="360" w:lineRule="auto"/>
    </w:pPr>
    <w:rPr>
      <w:rFonts w:eastAsia="仿宋_GB2312"/>
      <w:sz w:val="24"/>
    </w:rPr>
  </w:style>
  <w:style w:type="paragraph" w:styleId="1247" w:customStyle="1">
    <w:name w:val="字元 字元2"/>
    <w:basedOn w:val="906"/>
    <w:uiPriority w:val="0"/>
    <w:qFormat/>
    <w:rPr>
      <w:rFonts w:ascii="Tahoma" w:hAnsi="Tahoma"/>
      <w:sz w:val="24"/>
      <w:szCs w:val="20"/>
    </w:rPr>
  </w:style>
  <w:style w:type="paragraph" w:styleId="1248" w:customStyle="1">
    <w:name w:val="Char Char Char Char Char Char Char1"/>
    <w:basedOn w:val="906"/>
    <w:uiPriority w:val="0"/>
    <w:qFormat/>
    <w:pPr>
      <w:ind w:firstLine="200"/>
      <w:spacing w:line="360" w:lineRule="auto"/>
    </w:pPr>
    <w:rPr>
      <w:rFonts w:eastAsia="仿宋_GB2312"/>
      <w:sz w:val="24"/>
    </w:rPr>
  </w:style>
  <w:style w:type="paragraph" w:styleId="1249" w:customStyle="1">
    <w:name w:val="xl41"/>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0" w:customStyle="1">
    <w:name w:val="Char2"/>
    <w:basedOn w:val="906"/>
    <w:uiPriority w:val="0"/>
    <w:qFormat/>
    <w:rPr>
      <w:rFonts w:ascii="Tahoma" w:hAnsi="Tahoma"/>
      <w:sz w:val="24"/>
      <w:szCs w:val="20"/>
    </w:rPr>
  </w:style>
  <w:style w:type="paragraph" w:styleId="1251" w:customStyle="1">
    <w:name w:val="xl52"/>
    <w:basedOn w:val="9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2" w:customStyle="1">
    <w:name w:val="字元 字元"/>
    <w:basedOn w:val="906"/>
    <w:uiPriority w:val="0"/>
    <w:qFormat/>
    <w:rPr>
      <w:rFonts w:ascii="Tahoma" w:hAnsi="Tahoma"/>
      <w:sz w:val="24"/>
      <w:szCs w:val="20"/>
    </w:rPr>
  </w:style>
  <w:style w:type="paragraph" w:styleId="1253" w:customStyle="1">
    <w:name w:val="Revision"/>
    <w:uiPriority w:val="0"/>
    <w:qFormat/>
    <w:rPr>
      <w:rFonts w:hint="default" w:ascii="Times New Roman" w:hAnsi="Times New Roman" w:eastAsia="宋体" w:cs="Times New Roman"/>
      <w:sz w:val="21"/>
      <w:szCs w:val="24"/>
      <w:lang w:val="en-US" w:eastAsia="zh-CN" w:bidi="ar-SA"/>
    </w:rPr>
  </w:style>
  <w:style w:type="paragraph" w:styleId="1254" w:customStyle="1">
    <w:name w:val="font8"/>
    <w:basedOn w:val="906"/>
    <w:uiPriority w:val="0"/>
    <w:qFormat/>
    <w:pPr>
      <w:jc w:val="left"/>
      <w:spacing w:before="100" w:beforeAutospacing="1" w:after="100" w:afterAutospacing="1"/>
      <w:widowControl/>
    </w:pPr>
    <w:rPr>
      <w:sz w:val="36"/>
      <w:szCs w:val="36"/>
    </w:rPr>
  </w:style>
  <w:style w:type="paragraph" w:styleId="1255" w:customStyle="1">
    <w:name w:val="font5"/>
    <w:basedOn w:val="906"/>
    <w:uiPriority w:val="0"/>
    <w:qFormat/>
    <w:pPr>
      <w:jc w:val="left"/>
      <w:spacing w:before="100" w:beforeAutospacing="1" w:after="100" w:afterAutospacing="1"/>
      <w:widowControl/>
    </w:pPr>
    <w:rPr>
      <w:rFonts w:ascii="宋体" w:hAnsi="宋体" w:cs="宋体"/>
      <w:sz w:val="18"/>
      <w:szCs w:val="18"/>
    </w:rPr>
  </w:style>
  <w:style w:type="paragraph" w:styleId="1256" w:customStyle="1">
    <w:name w:val="xl49"/>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7" w:customStyle="1">
    <w:name w:val="Char Char4"/>
    <w:basedOn w:val="906"/>
    <w:uiPriority w:val="0"/>
    <w:qFormat/>
    <w:pPr>
      <w:jc w:val="center"/>
      <w:spacing w:line="400" w:lineRule="exact"/>
      <w:widowControl/>
    </w:pPr>
  </w:style>
  <w:style w:type="paragraph" w:styleId="1258" w:customStyle="1">
    <w:name w:val="xl28"/>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customStyle="1">
    <w:name w:val="xl53"/>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customStyle="1">
    <w:name w:val="xl47"/>
    <w:basedOn w:val="9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1" w:customStyle="1">
    <w:name w:val="xl31"/>
    <w:basedOn w:val="9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2" w:customStyle="1">
    <w:name w:val="Char Char Char1 Char1"/>
    <w:basedOn w:val="906"/>
    <w:uiPriority w:val="0"/>
    <w:qFormat/>
    <w:rPr>
      <w:rFonts w:ascii="Tahoma" w:hAnsi="Tahoma"/>
      <w:sz w:val="24"/>
      <w:szCs w:val="20"/>
    </w:rPr>
  </w:style>
  <w:style w:type="paragraph" w:styleId="1263" w:customStyle="1">
    <w:name w:val="Char Char Char1"/>
    <w:basedOn w:val="906"/>
    <w:uiPriority w:val="0"/>
    <w:qFormat/>
    <w:rPr>
      <w:rFonts w:ascii="Tahoma" w:hAnsi="Tahoma"/>
      <w:sz w:val="24"/>
      <w:szCs w:val="20"/>
    </w:rPr>
  </w:style>
  <w:style w:type="paragraph" w:styleId="1264" w:customStyle="1">
    <w:name w:val="xl4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5" w:customStyle="1">
    <w:name w:val="无标题条"/>
    <w:next w:val="906"/>
    <w:uiPriority w:val="0"/>
    <w:qFormat/>
    <w:pPr>
      <w:jc w:val="both"/>
    </w:pPr>
    <w:rPr>
      <w:rFonts w:hint="default" w:ascii="Times New Roman" w:hAnsi="Times New Roman" w:eastAsia="宋体" w:cs="Times New Roman"/>
      <w:sz w:val="21"/>
      <w:lang w:val="en-US" w:eastAsia="zh-CN" w:bidi="ar-SA"/>
    </w:rPr>
  </w:style>
  <w:style w:type="paragraph" w:styleId="1266" w:customStyle="1">
    <w:name w:val="Char Char1 Char Char Char Char Char Char Char Char"/>
    <w:basedOn w:val="906"/>
    <w:uiPriority w:val="0"/>
    <w:qFormat/>
    <w:pPr>
      <w:jc w:val="left"/>
      <w:spacing w:after="160" w:line="240" w:lineRule="exact"/>
      <w:widowControl/>
    </w:pPr>
    <w:rPr>
      <w:rFonts w:ascii="Verdana" w:hAnsi="Verdana"/>
      <w:sz w:val="20"/>
      <w:szCs w:val="20"/>
      <w:lang w:eastAsia="en-US"/>
    </w:rPr>
  </w:style>
  <w:style w:type="paragraph" w:styleId="1267" w:customStyle="1">
    <w:name w:val="项目编号3"/>
    <w:basedOn w:val="1229"/>
    <w:uiPriority w:val="0"/>
    <w:qFormat/>
    <w:pPr>
      <w:numPr>
        <w:ilvl w:val="0"/>
        <w:numId w:val="2"/>
      </w:numPr>
    </w:pPr>
  </w:style>
  <w:style w:type="paragraph" w:styleId="1268" w:customStyle="1">
    <w:name w:val="字元 字元1"/>
    <w:basedOn w:val="906"/>
    <w:uiPriority w:val="0"/>
    <w:qFormat/>
    <w:rPr>
      <w:rFonts w:ascii="Tahoma" w:hAnsi="Tahoma"/>
      <w:sz w:val="24"/>
      <w:szCs w:val="20"/>
    </w:rPr>
  </w:style>
  <w:style w:type="paragraph" w:styleId="1269" w:customStyle="1">
    <w:name w:val="xl23"/>
    <w:basedOn w:val="906"/>
    <w:uiPriority w:val="0"/>
    <w:qFormat/>
    <w:pPr>
      <w:spacing w:before="100" w:beforeAutospacing="1" w:after="100" w:afterAutospacing="1" w:line="360" w:lineRule="auto"/>
      <w:widowControl/>
    </w:pPr>
    <w:rPr>
      <w:sz w:val="24"/>
      <w:szCs w:val="20"/>
    </w:rPr>
  </w:style>
  <w:style w:type="paragraph" w:styleId="1270" w:customStyle="1">
    <w:name w:val="xl34"/>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1" w:customStyle="1">
    <w:name w:val="Char Char Char Char Char Char Char Char Char Char1"/>
    <w:basedOn w:val="906"/>
    <w:uiPriority w:val="0"/>
    <w:qFormat/>
    <w:rPr>
      <w:rFonts w:ascii="宋体" w:hAnsi="宋体" w:cs="Courier New"/>
      <w:sz w:val="32"/>
      <w:szCs w:val="32"/>
    </w:rPr>
  </w:style>
  <w:style w:type="paragraph" w:styleId="1272" w:customStyle="1">
    <w:name w:val="Char2 Char Char Char Char Char Char"/>
    <w:basedOn w:val="906"/>
    <w:uiPriority w:val="0"/>
    <w:qFormat/>
    <w:pPr>
      <w:jc w:val="center"/>
      <w:spacing w:line="400" w:lineRule="exact"/>
      <w:widowControl/>
    </w:pPr>
  </w:style>
  <w:style w:type="paragraph" w:styleId="1273" w:customStyle="1">
    <w:name w:val="五级条标题"/>
    <w:basedOn w:val="1274"/>
    <w:next w:val="906"/>
    <w:uiPriority w:val="0"/>
    <w:qFormat/>
    <w:pPr>
      <w:numPr>
        <w:ilvl w:val="5"/>
      </w:numPr>
      <w:ind w:left="0" w:hanging="840"/>
      <w:tabs>
        <w:tab w:val="left" w:pos="360" w:leader="none"/>
        <w:tab w:val="left" w:pos="840" w:leader="none"/>
      </w:tabs>
      <w:outlineLvl w:val="5"/>
    </w:pPr>
  </w:style>
  <w:style w:type="paragraph" w:styleId="1274" w:customStyle="1">
    <w:name w:val="四级条标题"/>
    <w:basedOn w:val="1235"/>
    <w:next w:val="906"/>
    <w:uiPriority w:val="0"/>
    <w:qFormat/>
    <w:pPr>
      <w:numPr>
        <w:ilvl w:val="4"/>
      </w:numPr>
      <w:ind w:left="0" w:hanging="840"/>
      <w:outlineLvl w:val="4"/>
    </w:pPr>
  </w:style>
  <w:style w:type="paragraph" w:styleId="1275" w:customStyle="1">
    <w:name w:val="xl50"/>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6" w:customStyle="1">
    <w:name w:val="Char Char Char1 Char2"/>
    <w:basedOn w:val="906"/>
    <w:uiPriority w:val="0"/>
    <w:qFormat/>
    <w:rPr>
      <w:rFonts w:ascii="Tahoma" w:hAnsi="Tahoma"/>
      <w:sz w:val="24"/>
      <w:szCs w:val="20"/>
    </w:rPr>
  </w:style>
  <w:style w:type="paragraph" w:styleId="1277" w:customStyle="1">
    <w:name w:val="xl29"/>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须知-2级"/>
    <w:basedOn w:val="906"/>
    <w:uiPriority w:val="0"/>
    <w:qFormat/>
    <w:pPr>
      <w:numPr>
        <w:ilvl w:val="1"/>
        <w:numId w:val="3"/>
      </w:numPr>
      <w:spacing w:line="300" w:lineRule="auto"/>
    </w:pPr>
    <w:rPr>
      <w:rFonts w:ascii="宋体" w:hAnsi="Calibri"/>
      <w:sz w:val="24"/>
      <w:szCs w:val="21"/>
    </w:rPr>
  </w:style>
  <w:style w:type="paragraph" w:styleId="1279" w:customStyle="1">
    <w:name w:val="Table Paragraph"/>
    <w:basedOn w:val="906"/>
    <w:uiPriority w:val="1"/>
    <w:qFormat/>
    <w:pPr>
      <w:jc w:val="left"/>
    </w:pPr>
    <w:rPr>
      <w:rFonts w:ascii="宋体" w:hAnsi="宋体" w:cs="宋体"/>
      <w:sz w:val="22"/>
      <w:szCs w:val="22"/>
      <w:lang w:eastAsia="en-US"/>
    </w:rPr>
  </w:style>
  <w:style w:type="paragraph" w:styleId="1280" w:customStyle="1">
    <w:name w:val="xl24"/>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82" w:customStyle="1">
    <w:name w:val="22222222222222"/>
    <w:basedOn w:val="906"/>
    <w:uiPriority w:val="0"/>
    <w:qFormat/>
    <w:pPr>
      <w:ind w:firstLine="480"/>
      <w:jc w:val="left"/>
      <w:spacing w:line="360" w:lineRule="auto"/>
      <w:widowControl/>
    </w:pPr>
    <w:rPr>
      <w:color w:val="ff0000"/>
      <w:sz w:val="24"/>
      <w:szCs w:val="20"/>
    </w:rPr>
  </w:style>
  <w:style w:type="paragraph" w:styleId="1283" w:customStyle="1">
    <w:name w:val="项目编号1"/>
    <w:basedOn w:val="906"/>
    <w:uiPriority w:val="0"/>
    <w:qFormat/>
    <w:pPr>
      <w:numPr>
        <w:ilvl w:val="0"/>
        <w:numId w:val="4"/>
      </w:numPr>
      <w:spacing w:before="100" w:beforeAutospacing="1" w:after="100" w:afterAutospacing="1" w:line="360" w:lineRule="auto"/>
    </w:pPr>
    <w:rPr>
      <w:sz w:val="24"/>
    </w:rPr>
  </w:style>
  <w:style w:type="paragraph" w:styleId="1284" w:customStyle="1">
    <w:name w:val="正文 + 楷体_GB2312"/>
    <w:basedOn w:val="906"/>
    <w:uiPriority w:val="0"/>
    <w:qFormat/>
    <w:pPr>
      <w:jc w:val="left"/>
      <w:widowControl/>
    </w:pPr>
    <w:rPr>
      <w:rFonts w:ascii="楷体_GB2312" w:eastAsia="楷体_GB2312" w:cs="Arial"/>
      <w:sz w:val="24"/>
    </w:rPr>
  </w:style>
  <w:style w:type="paragraph" w:styleId="1285" w:customStyle="1">
    <w:name w:val="正文须知-1级"/>
    <w:basedOn w:val="906"/>
    <w:next w:val="906"/>
    <w:uiPriority w:val="0"/>
    <w:qFormat/>
    <w:pPr>
      <w:numPr>
        <w:ilvl w:val="0"/>
        <w:numId w:val="3"/>
      </w:numPr>
      <w:spacing w:line="300" w:lineRule="auto"/>
    </w:pPr>
    <w:rPr>
      <w:rFonts w:ascii="宋体" w:hAnsi="Calibri"/>
      <w:sz w:val="24"/>
      <w:szCs w:val="21"/>
    </w:rPr>
  </w:style>
  <w:style w:type="paragraph" w:styleId="1286" w:customStyle="1">
    <w:name w:val="Char Char1 Char Char Char Char Char Char"/>
    <w:basedOn w:val="906"/>
    <w:uiPriority w:val="0"/>
    <w:qFormat/>
    <w:pPr>
      <w:jc w:val="left"/>
      <w:spacing w:after="160" w:line="240" w:lineRule="exact"/>
      <w:widowControl/>
    </w:pPr>
    <w:rPr>
      <w:rFonts w:ascii="Verdana" w:hAnsi="Verdana" w:eastAsia="仿宋_GB2312"/>
      <w:sz w:val="24"/>
      <w:szCs w:val="20"/>
      <w:lang w:eastAsia="en-US"/>
    </w:rPr>
  </w:style>
  <w:style w:type="paragraph" w:styleId="1287" w:customStyle="1">
    <w:name w:val="表格文字"/>
    <w:basedOn w:val="1119"/>
    <w:uiPriority w:val="0"/>
    <w:qFormat/>
    <w:pPr>
      <w:ind w:firstLine="0"/>
      <w:spacing w:before="20" w:after="20" w:line="240" w:lineRule="auto"/>
    </w:pPr>
    <w:rPr>
      <w:rFonts w:ascii="Century Gothic" w:hAnsi="Century Gothic"/>
      <w:sz w:val="20"/>
      <w:szCs w:val="20"/>
    </w:rPr>
  </w:style>
  <w:style w:type="paragraph" w:styleId="1288" w:customStyle="1">
    <w:name w:val="xl30"/>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9" w:customStyle="1">
    <w:name w:val="表格1"/>
    <w:basedOn w:val="906"/>
    <w:uiPriority w:val="0"/>
    <w:qFormat/>
    <w:pPr>
      <w:ind w:firstLine="480"/>
      <w:jc w:val="center"/>
    </w:pPr>
    <w:rPr>
      <w:sz w:val="24"/>
      <w:szCs w:val="20"/>
    </w:rPr>
  </w:style>
  <w:style w:type="paragraph" w:styleId="1290" w:customStyle="1">
    <w:name w:val="background1"/>
    <w:basedOn w:val="906"/>
    <w:uiPriority w:val="0"/>
    <w:qFormat/>
    <w:pPr>
      <w:jc w:val="left"/>
      <w:spacing w:before="100" w:beforeAutospacing="1" w:after="100" w:afterAutospacing="1"/>
      <w:widowControl/>
    </w:pPr>
    <w:rPr>
      <w:rFonts w:ascii="宋体" w:hAnsi="宋体" w:cs="宋体"/>
      <w:sz w:val="24"/>
    </w:rPr>
  </w:style>
  <w:style w:type="paragraph" w:styleId="1291" w:customStyle="1">
    <w:name w:val="纯文本1"/>
    <w:uiPriority w:val="0"/>
    <w:qFormat/>
    <w:pPr>
      <w:jc w:val="both"/>
      <w:widowControl w:val="off"/>
    </w:pPr>
    <w:rPr>
      <w:rFonts w:hint="default" w:ascii="宋体" w:hAnsi="宋体" w:eastAsia="宋体" w:cs="Times New Roman"/>
      <w:sz w:val="26"/>
      <w:lang w:val="en-US" w:eastAsia="zh-CN" w:bidi="ar-SA"/>
    </w:rPr>
  </w:style>
  <w:style w:type="paragraph" w:styleId="1292" w:customStyle="1">
    <w:name w:val="Char Char Char1 Char"/>
    <w:basedOn w:val="906"/>
    <w:uiPriority w:val="0"/>
    <w:qFormat/>
    <w:rPr>
      <w:rFonts w:ascii="Tahoma" w:hAnsi="Tahoma"/>
      <w:sz w:val="24"/>
      <w:szCs w:val="20"/>
    </w:rPr>
  </w:style>
  <w:style w:type="paragraph" w:styleId="1293" w:customStyle="1">
    <w:name w:val="font9"/>
    <w:basedOn w:val="90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4" w:customStyle="1">
    <w:name w:val="正文文本缩进2"/>
    <w:basedOn w:val="906"/>
    <w:uiPriority w:val="0"/>
    <w:qFormat/>
    <w:pPr>
      <w:ind w:firstLine="480"/>
      <w:spacing w:line="480" w:lineRule="exact"/>
    </w:pPr>
    <w:rPr>
      <w:rFonts w:ascii="宋体" w:hAnsi="宋体"/>
      <w:sz w:val="24"/>
      <w:lang w:val="zh-CN" w:eastAsia="zh-CN"/>
    </w:rPr>
  </w:style>
  <w:style w:type="paragraph" w:styleId="1295" w:customStyle="1">
    <w:name w:val="正文文本样式 加粗"/>
    <w:basedOn w:val="1229"/>
    <w:uiPriority w:val="0"/>
    <w:qFormat/>
    <w:rPr>
      <w:b/>
    </w:rPr>
  </w:style>
  <w:style w:type="paragraph" w:styleId="1296" w:customStyle="1">
    <w:name w:val="正文须知-3级"/>
    <w:basedOn w:val="906"/>
    <w:uiPriority w:val="0"/>
    <w:qFormat/>
    <w:pPr>
      <w:numPr>
        <w:ilvl w:val="2"/>
        <w:numId w:val="3"/>
      </w:numPr>
      <w:ind w:hanging="355"/>
      <w:spacing w:line="300" w:lineRule="auto"/>
    </w:pPr>
    <w:rPr>
      <w:rFonts w:ascii="宋体" w:hAnsi="Calibri"/>
      <w:sz w:val="24"/>
      <w:szCs w:val="21"/>
    </w:rPr>
  </w:style>
  <w:style w:type="paragraph" w:styleId="1297" w:customStyle="1">
    <w:name w:val="Char3 Char Char Char"/>
    <w:basedOn w:val="906"/>
    <w:uiPriority w:val="0"/>
    <w:qFormat/>
    <w:rPr>
      <w:rFonts w:ascii="Tahoma" w:hAnsi="Tahoma"/>
      <w:sz w:val="24"/>
      <w:szCs w:val="20"/>
    </w:rPr>
  </w:style>
  <w:style w:type="paragraph" w:styleId="1298" w:customStyle="1">
    <w:name w:val="Char Char Char Char Char Char Char Char Char Char Char Char Char Char Char Char"/>
    <w:basedOn w:val="906"/>
    <w:uiPriority w:val="0"/>
    <w:qFormat/>
    <w:pPr>
      <w:jc w:val="center"/>
      <w:spacing w:after="160" w:line="240" w:lineRule="exact"/>
      <w:widowControl/>
    </w:pPr>
    <w:rPr>
      <w:rFonts w:ascii="宋体" w:hAnsi="宋体"/>
      <w:b/>
      <w:sz w:val="30"/>
      <w:szCs w:val="30"/>
      <w:lang w:eastAsia="en-US"/>
    </w:rPr>
  </w:style>
  <w:style w:type="paragraph" w:styleId="1299" w:customStyle="1">
    <w:name w:val="Char Char Char"/>
    <w:basedOn w:val="906"/>
    <w:uiPriority w:val="0"/>
    <w:qFormat/>
    <w:rPr>
      <w:rFonts w:ascii="Tahoma" w:hAnsi="Tahoma"/>
      <w:sz w:val="24"/>
      <w:szCs w:val="20"/>
    </w:rPr>
  </w:style>
  <w:style w:type="paragraph" w:styleId="1300" w:customStyle="1">
    <w:name w:val="_Style 160"/>
    <w:uiPriority w:val="0"/>
    <w:qFormat/>
    <w:rPr>
      <w:rFonts w:hint="default" w:ascii="Times New Roman" w:hAnsi="Times New Roman" w:eastAsia="宋体" w:cs="Times New Roman"/>
      <w:sz w:val="21"/>
      <w:szCs w:val="24"/>
      <w:lang w:val="en-US" w:eastAsia="zh-CN" w:bidi="ar-SA"/>
    </w:rPr>
  </w:style>
  <w:style w:type="paragraph" w:styleId="1301" w:customStyle="1">
    <w:name w:val="xl36"/>
    <w:basedOn w:val="90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03" w:customStyle="1">
    <w:name w:val="Char Char1"/>
    <w:basedOn w:val="1111"/>
    <w:uiPriority w:val="0"/>
    <w:qFormat/>
    <w:rPr>
      <w:rFonts w:ascii="Tahoma" w:hAnsi="Tahoma"/>
      <w:sz w:val="24"/>
    </w:rPr>
  </w:style>
  <w:style w:type="paragraph" w:styleId="1304" w:customStyle="1">
    <w:name w:val="正文列项_字母"/>
    <w:basedOn w:val="90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5" w:customStyle="1">
    <w:name w:val="图例"/>
    <w:basedOn w:val="906"/>
    <w:uiPriority w:val="0"/>
    <w:qFormat/>
    <w:pPr>
      <w:jc w:val="center"/>
      <w:spacing w:before="120" w:after="120" w:line="360" w:lineRule="auto"/>
    </w:pPr>
    <w:rPr>
      <w:rFonts w:eastAsia="仿宋_GB2312"/>
      <w:b/>
      <w:sz w:val="24"/>
      <w:szCs w:val="20"/>
    </w:rPr>
  </w:style>
  <w:style w:type="paragraph" w:styleId="1306" w:customStyle="1">
    <w:name w:val="xl39"/>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7" w:customStyle="1">
    <w:name w:val="xl37"/>
    <w:basedOn w:val="9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8" w:customStyle="1">
    <w:name w:val="xl48"/>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9" w:customStyle="1">
    <w:name w:val="项目编号2"/>
    <w:basedOn w:val="1283"/>
    <w:uiPriority w:val="0"/>
    <w:qFormat/>
    <w:pPr>
      <w:numPr>
        <w:numId w:val="5"/>
      </w:numPr>
    </w:pPr>
  </w:style>
  <w:style w:type="paragraph" w:styleId="1310" w:customStyle="1">
    <w:name w:val="样式 标题 2 + 宋体 五号 行距: 单倍行距"/>
    <w:basedOn w:val="1088"/>
    <w:uiPriority w:val="0"/>
    <w:qFormat/>
    <w:pPr>
      <w:numPr>
        <w:ilvl w:val="1"/>
        <w:numId w:val="6"/>
      </w:numPr>
      <w:jc w:val="left"/>
      <w:spacing w:before="260" w:after="260" w:line="240" w:lineRule="auto"/>
    </w:pPr>
    <w:rPr>
      <w:rFonts w:ascii="宋体" w:hAnsi="宋体" w:eastAsia="宋体"/>
      <w:bCs/>
      <w:sz w:val="21"/>
    </w:rPr>
  </w:style>
  <w:style w:type="paragraph" w:styleId="131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12" w:customStyle="1">
    <w:name w:val="xl44"/>
    <w:basedOn w:val="90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3" w:customStyle="1">
    <w:name w:val="样式2"/>
    <w:basedOn w:val="1148"/>
    <w:uiPriority w:val="0"/>
    <w:qFormat/>
    <w:pPr>
      <w:jc w:val="center"/>
      <w:spacing w:line="360" w:lineRule="auto"/>
    </w:pPr>
    <w:rPr>
      <w:sz w:val="24"/>
    </w:rPr>
  </w:style>
  <w:style w:type="paragraph" w:styleId="1314" w:customStyle="1">
    <w:name w:val="xl51"/>
    <w:basedOn w:val="9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customStyle="1">
    <w:name w:val="图文"/>
    <w:basedOn w:val="906"/>
    <w:uiPriority w:val="0"/>
    <w:qFormat/>
    <w:pPr>
      <w:spacing w:after="50" w:line="360" w:lineRule="auto"/>
    </w:pPr>
    <w:rPr>
      <w:sz w:val="24"/>
    </w:rPr>
  </w:style>
  <w:style w:type="paragraph" w:styleId="1316" w:customStyle="1">
    <w:name w:val="Char Char Char Char Char Char Char Char Char Char Char Char Char Char Char Char1"/>
    <w:basedOn w:val="906"/>
    <w:uiPriority w:val="0"/>
    <w:qFormat/>
    <w:pPr>
      <w:jc w:val="center"/>
      <w:spacing w:after="160" w:line="240" w:lineRule="exact"/>
      <w:widowControl/>
    </w:pPr>
    <w:rPr>
      <w:rFonts w:ascii="宋体" w:hAnsi="宋体"/>
      <w:b/>
      <w:sz w:val="30"/>
      <w:szCs w:val="30"/>
      <w:lang w:eastAsia="en-US"/>
    </w:rPr>
  </w:style>
  <w:style w:type="paragraph" w:styleId="1317" w:customStyle="1">
    <w:name w:val="正文 + 宋体"/>
    <w:basedOn w:val="906"/>
    <w:uiPriority w:val="0"/>
    <w:qFormat/>
    <w:pPr>
      <w:ind w:left="360" w:hanging="360"/>
      <w:jc w:val="left"/>
      <w:widowControl/>
    </w:pPr>
    <w:rPr>
      <w:rFonts w:ascii="宋体" w:hAnsi="宋体" w:cs="宋体"/>
      <w:b/>
      <w:bCs/>
      <w:color w:val="000000"/>
      <w:sz w:val="18"/>
      <w:szCs w:val="18"/>
    </w:rPr>
  </w:style>
  <w:style w:type="paragraph" w:styleId="1318" w:customStyle="1">
    <w:name w:val="Char3 Char Char Char2"/>
    <w:basedOn w:val="906"/>
    <w:uiPriority w:val="0"/>
    <w:qFormat/>
    <w:rPr>
      <w:rFonts w:ascii="Tahoma" w:hAnsi="Tahoma"/>
      <w:sz w:val="24"/>
      <w:szCs w:val="20"/>
    </w:rPr>
  </w:style>
  <w:style w:type="paragraph" w:styleId="1319" w:customStyle="1">
    <w:name w:val="xl2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0" w:customStyle="1">
    <w:name w:val="Char Char1 Char Char Char Char Char Char1"/>
    <w:basedOn w:val="906"/>
    <w:uiPriority w:val="0"/>
    <w:qFormat/>
    <w:pPr>
      <w:jc w:val="left"/>
      <w:spacing w:after="160" w:line="240" w:lineRule="exact"/>
      <w:widowControl/>
    </w:pPr>
    <w:rPr>
      <w:rFonts w:ascii="Verdana" w:hAnsi="Verdana" w:eastAsia="仿宋_GB2312"/>
      <w:sz w:val="24"/>
      <w:szCs w:val="20"/>
      <w:lang w:eastAsia="en-US"/>
    </w:rPr>
  </w:style>
  <w:style w:type="paragraph" w:styleId="1321" w:customStyle="1">
    <w:name w:val="1 Char Char Char Char"/>
    <w:basedOn w:val="906"/>
    <w:uiPriority w:val="0"/>
    <w:qFormat/>
    <w:rPr>
      <w:rFonts w:ascii="Tahoma" w:hAnsi="Tahoma"/>
      <w:sz w:val="24"/>
      <w:szCs w:val="20"/>
    </w:rPr>
  </w:style>
  <w:style w:type="paragraph" w:styleId="1322" w:customStyle="1">
    <w:name w:val="List Paragraph1"/>
    <w:basedOn w:val="906"/>
    <w:uiPriority w:val="0"/>
    <w:qFormat/>
    <w:pPr>
      <w:ind w:firstLine="420"/>
    </w:pPr>
    <w:rPr>
      <w:rFonts w:ascii="Calibri" w:hAnsi="Calibri"/>
      <w:szCs w:val="22"/>
    </w:rPr>
  </w:style>
  <w:style w:type="paragraph" w:styleId="1323" w:customStyle="1">
    <w:name w:val="文档正文"/>
    <w:basedOn w:val="906"/>
    <w:uiPriority w:val="0"/>
    <w:qFormat/>
    <w:pPr>
      <w:spacing w:before="120" w:after="120" w:line="180" w:lineRule="auto"/>
    </w:pPr>
    <w:rPr>
      <w:rFonts w:ascii="Arial" w:hAnsi="Arial"/>
      <w:szCs w:val="20"/>
    </w:rPr>
  </w:style>
  <w:style w:type="paragraph" w:styleId="1324" w:customStyle="1">
    <w:name w:val="xl32"/>
    <w:basedOn w:val="90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5" w:customStyle="1">
    <w:name w:val="列出段落2"/>
    <w:basedOn w:val="906"/>
    <w:uiPriority w:val="0"/>
    <w:qFormat/>
    <w:pPr>
      <w:ind w:firstLine="420"/>
    </w:pPr>
    <w:rPr>
      <w:rFonts w:ascii="Calibri" w:hAnsi="Calibri"/>
      <w:szCs w:val="22"/>
    </w:rPr>
  </w:style>
  <w:style w:type="paragraph" w:styleId="1326" w:customStyle="1">
    <w:name w:val="font6"/>
    <w:basedOn w:val="906"/>
    <w:uiPriority w:val="0"/>
    <w:qFormat/>
    <w:pPr>
      <w:jc w:val="left"/>
      <w:spacing w:before="100" w:beforeAutospacing="1" w:after="100" w:afterAutospacing="1"/>
      <w:widowControl/>
    </w:pPr>
    <w:rPr>
      <w:rFonts w:ascii="宋体" w:hAnsi="宋体" w:cs="宋体"/>
      <w:sz w:val="20"/>
      <w:szCs w:val="20"/>
    </w:rPr>
  </w:style>
  <w:style w:type="paragraph" w:styleId="1327" w:customStyle="1">
    <w:name w:val="xl43"/>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8" w:customStyle="1">
    <w:name w:val="Char3"/>
    <w:basedOn w:val="906"/>
    <w:uiPriority w:val="0"/>
    <w:qFormat/>
    <w:pPr>
      <w:tabs>
        <w:tab w:val="left" w:pos="360" w:leader="none"/>
      </w:tabs>
    </w:pPr>
    <w:rPr>
      <w:sz w:val="24"/>
    </w:rPr>
  </w:style>
  <w:style w:type="paragraph" w:styleId="1329" w:customStyle="1">
    <w:name w:val="样式 宋体 五号 行距: 单倍行距"/>
    <w:basedOn w:val="906"/>
    <w:uiPriority w:val="0"/>
    <w:qFormat/>
    <w:pPr>
      <w:jc w:val="left"/>
    </w:pPr>
    <w:rPr>
      <w:rFonts w:ascii="宋体" w:hAnsi="宋体"/>
      <w:szCs w:val="20"/>
    </w:rPr>
  </w:style>
  <w:style w:type="paragraph" w:styleId="1330" w:customStyle="1">
    <w:name w:val="标题1-附件"/>
    <w:basedOn w:val="1087"/>
    <w:uiPriority w:val="0"/>
    <w:qFormat/>
    <w:pPr>
      <w:jc w:val="left"/>
    </w:pPr>
    <w:rPr>
      <w:sz w:val="24"/>
      <w:szCs w:val="24"/>
    </w:rPr>
  </w:style>
  <w:style w:type="paragraph" w:styleId="1331" w:customStyle="1">
    <w:name w:val="default"/>
    <w:basedOn w:val="906"/>
    <w:uiPriority w:val="0"/>
    <w:qFormat/>
    <w:pPr>
      <w:jc w:val="left"/>
      <w:spacing w:before="100" w:beforeAutospacing="1" w:after="100" w:afterAutospacing="1"/>
      <w:widowControl/>
    </w:pPr>
    <w:rPr>
      <w:rFonts w:ascii="宋体" w:hAnsi="宋体" w:cs="宋体"/>
      <w:sz w:val="24"/>
    </w:rPr>
  </w:style>
  <w:style w:type="paragraph" w:styleId="1332" w:customStyle="1">
    <w:name w:val="font7"/>
    <w:basedOn w:val="906"/>
    <w:uiPriority w:val="0"/>
    <w:qFormat/>
    <w:pPr>
      <w:jc w:val="left"/>
      <w:spacing w:before="100" w:beforeAutospacing="1" w:after="100" w:afterAutospacing="1"/>
      <w:widowControl/>
    </w:pPr>
    <w:rPr>
      <w:rFonts w:eastAsia="Arial Unicode MS"/>
      <w:b/>
      <w:bCs/>
      <w:color w:val="000000"/>
      <w:sz w:val="20"/>
      <w:szCs w:val="20"/>
    </w:rPr>
  </w:style>
  <w:style w:type="paragraph" w:styleId="1333" w:customStyle="1">
    <w:name w:val="1名"/>
    <w:basedOn w:val="906"/>
    <w:uiPriority w:val="0"/>
    <w:qFormat/>
    <w:pPr>
      <w:numPr>
        <w:ilvl w:val="0"/>
        <w:numId w:val="7"/>
      </w:numPr>
      <w:spacing w:before="120"/>
    </w:pPr>
    <w:rPr>
      <w:rFonts w:ascii="宋体"/>
      <w:sz w:val="28"/>
      <w:szCs w:val="20"/>
    </w:rPr>
  </w:style>
  <w:style w:type="paragraph" w:styleId="1334" w:customStyle="1">
    <w:name w:val="Char21"/>
    <w:basedOn w:val="906"/>
    <w:uiPriority w:val="0"/>
    <w:qFormat/>
    <w:rPr>
      <w:rFonts w:ascii="Tahoma" w:hAnsi="Tahoma"/>
      <w:sz w:val="24"/>
      <w:szCs w:val="20"/>
    </w:rPr>
  </w:style>
  <w:style w:type="paragraph" w:styleId="1335" w:customStyle="1">
    <w:name w:val="Char22"/>
    <w:basedOn w:val="906"/>
    <w:uiPriority w:val="0"/>
    <w:qFormat/>
    <w:rPr>
      <w:rFonts w:ascii="Tahoma" w:hAnsi="Tahoma"/>
      <w:sz w:val="24"/>
      <w:szCs w:val="20"/>
    </w:rPr>
  </w:style>
  <w:style w:type="paragraph" w:styleId="1336" w:customStyle="1">
    <w:name w:val="xl26"/>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337" w:customStyle="1">
    <w:name w:val="Table Normal"/>
    <w:uiPriority w:val="2"/>
    <w:unhideWhenUsed/>
    <w:qFormat/>
    <w:pPr>
      <w:widowControl w:val="off"/>
    </w:pPr>
    <w:rPr>
      <w:rFonts w:ascii="Calibri" w:hAnsi="Calibri"/>
      <w:sz w:val="22"/>
      <w:szCs w:val="22"/>
      <w:lang w:val="en-US" w:eastAsia="en-US" w:bidi="ar-SA"/>
    </w:rPr>
    <w:tblPr/>
  </w:style>
  <w:style w:type="character" w:styleId="1338" w:customStyle="1">
    <w:name w:val="font21"/>
    <w:basedOn w:val="1097"/>
    <w:link w:val="906"/>
    <w:uiPriority w:val="0"/>
    <w:qFormat/>
    <w:rPr>
      <w:rFonts w:hint="eastAsia" w:ascii="宋体" w:hAnsi="宋体" w:eastAsia="宋体" w:cs="宋体"/>
      <w:color w:val="000000"/>
      <w:sz w:val="24"/>
      <w:szCs w:val="24"/>
      <w:u w:val="none"/>
    </w:rPr>
  </w:style>
  <w:style w:type="character" w:styleId="1339" w:customStyle="1">
    <w:name w:val="font41"/>
    <w:basedOn w:val="1097"/>
    <w:link w:val="906"/>
    <w:uiPriority w:val="0"/>
    <w:rPr>
      <w:rFonts w:hint="eastAsia" w:ascii="宋体" w:hAnsi="宋体" w:eastAsia="宋体" w:cs="宋体"/>
      <w:color w:val="000000"/>
      <w:sz w:val="24"/>
      <w:szCs w:val="24"/>
      <w:u w:val="none"/>
      <w:vertAlign w:val="subscript"/>
    </w:rPr>
  </w:style>
  <w:style w:type="character" w:styleId="1340" w:customStyle="1">
    <w:name w:val="font11"/>
    <w:basedOn w:val="1097"/>
    <w:link w:val="906"/>
    <w:uiPriority w:val="0"/>
    <w:rPr>
      <w:rFonts w:hint="eastAsia" w:ascii="宋体" w:hAnsi="宋体" w:eastAsia="宋体" w:cs="宋体"/>
      <w:color w:val="000000"/>
      <w:sz w:val="22"/>
      <w:szCs w:val="22"/>
      <w:u w:val="none"/>
    </w:rPr>
  </w:style>
  <w:style w:type="paragraph" w:styleId="1341" w:customStyle="1">
    <w:name w:val="null3"/>
    <w:uiPriority w:val="0"/>
    <w:qFormat/>
    <w:rPr>
      <w:rFonts w:hint="eastAsia" w:ascii="Calibri" w:hAnsi="Calibri" w:eastAsia="宋体" w:cs="Times New Roman"/>
      <w:lang w:val="en-US" w:eastAsia="zh-CN" w:bidi="ar-SA"/>
    </w:rPr>
  </w:style>
  <w:style w:type="numbering" w:styleId="15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王涛</cp:lastModifiedBy>
  <cp:revision>6</cp:revision>
  <dcterms:created xsi:type="dcterms:W3CDTF">2022-05-30T08:08:00Z</dcterms:created>
  <dcterms:modified xsi:type="dcterms:W3CDTF">2026-05-28T02:46:26Z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eyJoZGlkIjoiZDI2OTIxZjNiZjQyM2RhZGE1NjdmY2MxYTljZDAzODciLCJ1c2VySWQiOiIxNDk3NzQ3NTk5In0=</vt:lpwstr>
  </property>
  <property fmtid="{D5CDD505-2E9C-101B-9397-08002B2CF9AE}" pid="3" name="KSOProductBuildVer">
    <vt:lpwstr>2052-12.1.0.26375</vt:lpwstr>
  </property>
  <property fmtid="{D5CDD505-2E9C-101B-9397-08002B2CF9AE}" pid="4" name="ICV">
    <vt:lpwstr>2E71F95A924F4C89B2DAD07531CD1457_12</vt:lpwstr>
  </property>
</Properties>
</file>