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auto"/>
          <w:sz w:val="44"/>
          <w:szCs w:val="44"/>
          <w:highlight w:val="none"/>
        </w:rPr>
      </w:pPr>
      <w:r>
        <w:rPr>
          <w:rFonts w:hint="eastAsia" w:ascii="宋体"/>
          <w:caps/>
          <w:color w:val="auto"/>
          <w:sz w:val="44"/>
          <w:szCs w:val="44"/>
          <w:highlight w:val="none"/>
        </w:rPr>
        <w:t xml:space="preserve"> </w:t>
      </w:r>
      <w:r/>
    </w:p>
    <w:p>
      <w:pPr>
        <w:pStyle w:val="972"/>
        <w:rPr>
          <w:color w:val="auto"/>
          <w:highlight w:val="none"/>
          <w:lang w:val="zh-CN"/>
        </w:rPr>
      </w:pPr>
      <w:r>
        <w:rPr>
          <w:color w:val="auto"/>
          <w:highlight w:val="none"/>
          <w:lang w:val="zh-CN"/>
        </w:rPr>
      </w:r>
      <w:r/>
    </w:p>
    <w:p>
      <w:pPr>
        <w:jc w:val="center"/>
        <w:spacing w:line="360" w:lineRule="auto"/>
        <w:widowControl/>
        <w:rPr>
          <w:rFonts w:ascii="宋体"/>
          <w:color w:val="auto"/>
          <w:sz w:val="32"/>
          <w:szCs w:val="32"/>
          <w:highlight w:val="none"/>
        </w:rPr>
      </w:pPr>
      <w:r>
        <w:rPr>
          <w:rFonts w:hint="eastAsia" w:ascii="宋体" w:hAnsi="宋体" w:cs="宋体"/>
          <w:b/>
          <w:color w:val="auto"/>
          <w:sz w:val="44"/>
          <w:szCs w:val="44"/>
          <w:highlight w:val="none"/>
        </w:rPr>
        <w:t xml:space="preserve">南京医科大学疫苗平台高分辨率小动物超声成像系统采购项目</w:t>
      </w:r>
      <w:r/>
    </w:p>
    <w:p>
      <w:pPr>
        <w:jc w:val="center"/>
        <w:spacing w:line="360" w:lineRule="auto"/>
        <w:widowControl/>
        <w:rPr>
          <w:color w:val="auto"/>
          <w:highlight w:val="none"/>
        </w:rPr>
      </w:pPr>
      <w:r>
        <w:rPr>
          <w:color w:val="auto"/>
          <w:highlight w:val="none"/>
        </w:rPr>
      </w:r>
      <w:r/>
    </w:p>
    <w:p>
      <w:pPr>
        <w:jc w:val="center"/>
        <w:spacing w:line="360" w:lineRule="auto"/>
        <w:widowControl/>
        <w:rPr>
          <w:color w:val="auto"/>
          <w:highlight w:val="none"/>
        </w:rPr>
      </w:pPr>
      <w:r>
        <w:rPr>
          <w:color w:val="auto"/>
          <w:highlight w:val="none"/>
        </w:rPr>
      </w:r>
      <w:r/>
    </w:p>
    <w:p>
      <w:pPr>
        <w:jc w:val="center"/>
        <w:spacing w:line="360" w:lineRule="auto"/>
        <w:widowControl/>
        <w:rPr>
          <w:color w:val="auto"/>
          <w:highlight w:val="none"/>
        </w:rPr>
      </w:pPr>
      <w:r>
        <w:rPr>
          <w:color w:val="auto"/>
          <w:highlight w:val="none"/>
        </w:rPr>
      </w:r>
      <w:r/>
    </w:p>
    <w:p>
      <w:pPr>
        <w:jc w:val="center"/>
        <w:spacing w:line="360" w:lineRule="auto"/>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1716405" cy="2131060"/>
                <wp:effectExtent l="0" t="0" r="10795" b="2540"/>
                <wp:docPr id="6"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a:picLocks noChangeAspect="1"/>
                        </pic:cNvPicPr>
                        <pic:nvPr/>
                      </pic:nvPicPr>
                      <pic:blipFill>
                        <a:blip r:embed="rId15"/>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ascii="宋体"/>
          <w:b/>
          <w:color w:val="auto"/>
          <w:sz w:val="72"/>
          <w:szCs w:val="72"/>
          <w:highlight w:val="none"/>
        </w:rPr>
      </w:pPr>
      <w:r>
        <w:rPr>
          <w:rFonts w:hint="eastAsia" w:ascii="宋体" w:hAnsi="宋体"/>
          <w:b/>
          <w:color w:val="auto"/>
          <w:sz w:val="72"/>
          <w:szCs w:val="72"/>
          <w:highlight w:val="none"/>
        </w:rPr>
        <w:t xml:space="preserve">招标文件</w:t>
      </w:r>
      <w:r/>
    </w:p>
    <w:p>
      <w:pPr>
        <w:jc w:val="center"/>
        <w:spacing w:line="360" w:lineRule="auto"/>
        <w:widowControl/>
        <w:rPr>
          <w:rFonts w:ascii="宋体"/>
          <w:b/>
          <w:color w:val="auto"/>
          <w:sz w:val="36"/>
          <w:szCs w:val="36"/>
          <w:highlight w:val="none"/>
        </w:rPr>
      </w:pPr>
      <w:r>
        <w:rPr>
          <w:rFonts w:hint="eastAsia" w:ascii="宋体" w:hAnsi="宋体"/>
          <w:b/>
          <w:color w:val="auto"/>
          <w:sz w:val="32"/>
          <w:szCs w:val="32"/>
          <w:highlight w:val="none"/>
        </w:rPr>
        <w:t xml:space="preserve">项目编号：JSZC-320000-SNZX-G2026-0074</w:t>
      </w:r>
      <w:r/>
    </w:p>
    <w:p>
      <w:pPr>
        <w:pStyle w:val="972"/>
        <w:rPr>
          <w:rFonts w:ascii="宋体"/>
          <w:b/>
          <w:color w:val="auto"/>
          <w:sz w:val="36"/>
          <w:szCs w:val="36"/>
          <w:highlight w:val="none"/>
        </w:rPr>
      </w:pPr>
      <w:r>
        <w:rPr>
          <w:rFonts w:ascii="宋体"/>
          <w:b/>
          <w:color w:val="auto"/>
          <w:sz w:val="36"/>
          <w:szCs w:val="36"/>
          <w:highlight w:val="none"/>
        </w:rPr>
      </w:r>
      <w:r/>
    </w:p>
    <w:p>
      <w:pPr>
        <w:pStyle w:val="972"/>
        <w:rPr>
          <w:rFonts w:ascii="宋体"/>
          <w:b/>
          <w:color w:val="auto"/>
          <w:sz w:val="36"/>
          <w:szCs w:val="36"/>
          <w:highlight w:val="none"/>
        </w:rPr>
      </w:pPr>
      <w:r>
        <w:rPr>
          <w:rFonts w:ascii="宋体"/>
          <w:b/>
          <w:color w:val="auto"/>
          <w:sz w:val="36"/>
          <w:szCs w:val="36"/>
          <w:highlight w:val="none"/>
        </w:rPr>
      </w:r>
      <w:r/>
    </w:p>
    <w:p>
      <w:pPr>
        <w:pStyle w:val="972"/>
        <w:rPr>
          <w:rFonts w:ascii="宋体"/>
          <w:b/>
          <w:color w:val="auto"/>
          <w:sz w:val="36"/>
          <w:szCs w:val="36"/>
          <w:highlight w:val="none"/>
        </w:rPr>
      </w:pPr>
      <w:r>
        <w:rPr>
          <w:rFonts w:ascii="宋体"/>
          <w:b/>
          <w:color w:val="auto"/>
          <w:sz w:val="36"/>
          <w:szCs w:val="36"/>
          <w:highlight w:val="none"/>
        </w:rPr>
      </w:r>
      <w:r/>
    </w:p>
    <w:p>
      <w:pPr>
        <w:pStyle w:val="972"/>
        <w:rPr>
          <w:rFonts w:ascii="宋体"/>
          <w:b/>
          <w:color w:val="auto"/>
          <w:sz w:val="36"/>
          <w:szCs w:val="36"/>
          <w:highlight w:val="none"/>
        </w:rPr>
      </w:pPr>
      <w:r>
        <w:rPr>
          <w:rFonts w:ascii="宋体"/>
          <w:b/>
          <w:color w:val="auto"/>
          <w:sz w:val="36"/>
          <w:szCs w:val="36"/>
          <w:highlight w:val="none"/>
        </w:rPr>
      </w:r>
      <w:r/>
    </w:p>
    <w:p>
      <w:pPr>
        <w:ind w:firstLine="904"/>
        <w:spacing w:line="360" w:lineRule="auto"/>
        <w:widowControl/>
        <w:rPr>
          <w:rFonts w:ascii="宋体"/>
          <w:b/>
          <w:color w:val="auto"/>
          <w:sz w:val="36"/>
          <w:szCs w:val="36"/>
          <w:highlight w:val="none"/>
        </w:rPr>
      </w:pPr>
      <w:r>
        <w:rPr>
          <w:rFonts w:hint="eastAsia" w:ascii="宋体" w:hAnsi="宋体"/>
          <w:b/>
          <w:color w:val="auto"/>
          <w:sz w:val="36"/>
          <w:szCs w:val="36"/>
          <w:highlight w:val="none"/>
        </w:rPr>
        <w:t xml:space="preserve">采购人：南京医科大学</w:t>
      </w:r>
      <w:r/>
    </w:p>
    <w:p>
      <w:pPr>
        <w:ind w:firstLine="904"/>
        <w:spacing w:line="360" w:lineRule="auto"/>
        <w:widowControl/>
        <w:rPr>
          <w:rFonts w:ascii="宋体"/>
          <w:b/>
          <w:color w:val="auto"/>
          <w:sz w:val="36"/>
          <w:szCs w:val="36"/>
          <w:highlight w:val="none"/>
        </w:rPr>
      </w:pPr>
      <w:r>
        <w:rPr>
          <w:rFonts w:hint="eastAsia" w:ascii="宋体" w:hAnsi="宋体"/>
          <w:b/>
          <w:color w:val="auto"/>
          <w:sz w:val="36"/>
          <w:szCs w:val="36"/>
          <w:highlight w:val="none"/>
        </w:rPr>
        <w:t xml:space="preserve">招标代理机构：南京苏宁工程咨询有限公司</w:t>
      </w:r>
      <w:r/>
    </w:p>
    <w:p>
      <w:pPr>
        <w:ind w:firstLine="904"/>
        <w:spacing w:line="360" w:lineRule="auto"/>
        <w:shd w:val="clear" w:color="auto" w:fill="ffffff"/>
        <w:widowControl/>
        <w:rPr>
          <w:color w:val="auto"/>
          <w:highlight w:val="none"/>
        </w:rPr>
      </w:pPr>
      <w:r>
        <w:rPr>
          <w:rFonts w:hint="eastAsia" w:ascii="宋体" w:hAnsi="宋体"/>
          <w:b/>
          <w:color w:val="auto"/>
          <w:sz w:val="36"/>
          <w:szCs w:val="36"/>
          <w:highlight w:val="none"/>
        </w:rPr>
        <w:t xml:space="preserve">日期：二〇二六年</w:t>
      </w:r>
      <w:r>
        <w:rPr>
          <w:rFonts w:hint="eastAsia" w:ascii="宋体" w:hAnsi="宋体"/>
          <w:b/>
          <w:color w:val="auto"/>
          <w:sz w:val="36"/>
          <w:szCs w:val="36"/>
          <w:highlight w:val="none"/>
          <w:lang w:eastAsia="zh-CN"/>
        </w:rPr>
        <w:t xml:space="preserve">五</w:t>
      </w:r>
      <w:r>
        <w:rPr>
          <w:rFonts w:hint="eastAsia" w:ascii="宋体" w:hAnsi="宋体"/>
          <w:b/>
          <w:color w:val="auto"/>
          <w:sz w:val="36"/>
          <w:szCs w:val="36"/>
          <w:highlight w:val="none"/>
        </w:rPr>
        <w:t xml:space="preserve">月</w:t>
      </w:r>
      <w:r/>
    </w:p>
    <w:p>
      <w:pPr>
        <w:jc w:val="center"/>
        <w:rPr>
          <w:rFonts w:ascii="黑体" w:eastAsia="黑体"/>
          <w:color w:val="auto"/>
          <w:sz w:val="36"/>
          <w:szCs w:val="36"/>
          <w:highlight w:val="none"/>
        </w:rPr>
        <w:sectPr>
          <w:headerReference w:type="default" r:id="rId9"/>
          <w:footerReference w:type="default" r:id="rId11"/>
          <w:footnotePr/>
          <w:endnotePr>
            <w:numFmt w:val="decimal"/>
          </w:endnotePr>
          <w:type w:val="nextPage"/>
          <w:pgSz w:w="11906" w:h="16838" w:orient="portrait"/>
          <w:pgMar w:top="850" w:right="850" w:bottom="850" w:left="1417" w:header="227" w:footer="720" w:gutter="0"/>
          <w:cols w:num="1" w:sep="0" w:space="720" w:equalWidth="1"/>
          <w:docGrid w:linePitch="360"/>
        </w:sectPr>
      </w:pPr>
      <w:r>
        <w:rPr>
          <w:rFonts w:ascii="黑体" w:eastAsia="黑体"/>
          <w:color w:val="auto"/>
          <w:sz w:val="36"/>
          <w:szCs w:val="36"/>
          <w:highlight w:val="none"/>
        </w:rPr>
      </w:r>
      <w:r/>
    </w:p>
    <w:p>
      <w:pPr>
        <w:jc w:val="center"/>
        <w:rPr>
          <w:rFonts w:hint="eastAsia" w:ascii="宋体" w:hAnsi="宋体" w:cs="宋体"/>
          <w:color w:val="auto"/>
          <w:sz w:val="28"/>
          <w:szCs w:val="28"/>
          <w:highlight w:val="none"/>
        </w:rPr>
      </w:pPr>
      <w:r>
        <w:rPr>
          <w:rFonts w:hint="eastAsia" w:ascii="宋体" w:hAnsi="宋体" w:cs="宋体"/>
          <w:color w:val="auto"/>
          <w:sz w:val="36"/>
          <w:szCs w:val="36"/>
          <w:highlight w:val="none"/>
          <w:lang w:val="zh-CN"/>
        </w:rPr>
        <w:t xml:space="preserve">第一章 投标邀请</w:t>
      </w:r>
      <w:r/>
    </w:p>
    <w:p>
      <w:pPr>
        <w:ind w:firstLine="420"/>
        <w:jc w:val="left"/>
        <w:spacing w:line="360" w:lineRule="auto"/>
        <w:rPr>
          <w:rFonts w:hint="eastAsia" w:ascii="宋体" w:hAnsi="宋体" w:cs="宋体"/>
          <w:color w:val="auto"/>
          <w:szCs w:val="21"/>
          <w:highlight w:val="none"/>
        </w:rPr>
        <w:pBdr>
          <w:top w:val="single" w:color="auto" w:sz="4" w:space="0"/>
          <w:left w:val="single" w:color="auto" w:sz="4" w:space="0"/>
          <w:bottom w:val="single" w:color="auto" w:sz="4" w:space="0"/>
          <w:right w:val="single" w:color="auto" w:sz="4" w:space="0"/>
        </w:pBdr>
      </w:pPr>
      <w:r>
        <w:rPr>
          <w:rFonts w:hint="eastAsia" w:ascii="宋体" w:hAnsi="宋体" w:cs="宋体"/>
          <w:color w:val="auto"/>
          <w:szCs w:val="21"/>
          <w:highlight w:val="none"/>
        </w:rPr>
        <w:t xml:space="preserve">项目概况</w:t>
      </w:r>
      <w:r/>
    </w:p>
    <w:p>
      <w:pPr>
        <w:ind w:firstLine="420"/>
        <w:jc w:val="left"/>
        <w:spacing w:line="360" w:lineRule="auto"/>
        <w:rPr>
          <w:rFonts w:hint="eastAsia" w:ascii="宋体" w:hAnsi="宋体" w:cs="宋体"/>
          <w:color w:val="auto"/>
          <w:szCs w:val="21"/>
          <w:highlight w:val="none"/>
        </w:rPr>
        <w:pBdr>
          <w:top w:val="single" w:color="auto" w:sz="4" w:space="0"/>
          <w:left w:val="single" w:color="auto" w:sz="4" w:space="0"/>
          <w:bottom w:val="single" w:color="auto" w:sz="4" w:space="0"/>
          <w:right w:val="single" w:color="auto" w:sz="4" w:space="0"/>
        </w:pBdr>
      </w:pPr>
      <w:r>
        <w:rPr>
          <w:rFonts w:hint="eastAsia" w:ascii="宋体" w:hAnsi="宋体" w:cs="宋体"/>
          <w:color w:val="auto"/>
          <w:szCs w:val="21"/>
          <w:highlight w:val="none"/>
          <w:u w:val="single"/>
        </w:rPr>
        <w:t xml:space="preserve">南京医科大学疫苗平台高分辨率小动物超声成像系统采购项目</w:t>
      </w:r>
      <w:r>
        <w:rPr>
          <w:rFonts w:hint="eastAsia" w:ascii="宋体" w:hAnsi="宋体" w:cs="宋体"/>
          <w:color w:val="auto"/>
          <w:szCs w:val="21"/>
          <w:highlight w:val="none"/>
        </w:rPr>
        <w:t xml:space="preserve">招标项目的潜在投标人应在</w:t>
      </w:r>
      <w:r>
        <w:rPr>
          <w:rFonts w:hint="eastAsia" w:ascii="宋体" w:hAnsi="宋体" w:cs="宋体"/>
          <w:color w:val="auto"/>
          <w:szCs w:val="21"/>
          <w:highlight w:val="none"/>
          <w:u w:val="single"/>
        </w:rPr>
        <w:t xml:space="preserve">江苏政府采购</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18</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w:t>
      </w:r>
      <w:r>
        <w:rPr>
          <w:rFonts w:hint="eastAsia" w:ascii="宋体" w:hAnsi="宋体" w:cs="宋体"/>
          <w:color w:val="auto"/>
          <w:szCs w:val="21"/>
          <w:highlight w:val="none"/>
        </w:rPr>
        <w:t xml:space="preserve">（北京时间）前递交投标文件。</w:t>
      </w:r>
      <w:r/>
    </w:p>
    <w:p>
      <w:pPr>
        <w:jc w:val="left"/>
        <w:spacing w:line="360" w:lineRule="auto"/>
        <w:rPr>
          <w:rFonts w:hint="eastAsia" w:ascii="宋体" w:hAnsi="宋体" w:cs="宋体"/>
          <w:color w:val="auto"/>
          <w:szCs w:val="21"/>
          <w:highlight w:val="none"/>
        </w:rPr>
      </w:pPr>
      <w:r/>
      <w:bookmarkStart w:id="0" w:name="_Toc28359002"/>
      <w:r/>
      <w:bookmarkStart w:id="1" w:name="_Toc35393790"/>
      <w:r/>
      <w:bookmarkStart w:id="2" w:name="_Toc35393621"/>
      <w:r/>
      <w:bookmarkStart w:id="3" w:name="_Toc28359079"/>
      <w:r/>
      <w:bookmarkStart w:id="4" w:name="_Hlk24379207"/>
      <w:r>
        <w:rPr>
          <w:rFonts w:hint="eastAsia" w:ascii="宋体" w:hAnsi="宋体" w:cs="宋体"/>
          <w:color w:val="auto"/>
          <w:szCs w:val="21"/>
          <w:highlight w:val="none"/>
        </w:rPr>
        <w:t xml:space="preserve">一、项目基本情况</w:t>
      </w:r>
      <w:bookmarkEnd w:id="0"/>
      <w:r/>
      <w:bookmarkEnd w:id="1"/>
      <w:r/>
      <w:bookmarkEnd w:id="2"/>
      <w:r/>
      <w:bookmarkEnd w:id="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项目编号：JSZC-320000-SNZX-G2026-0074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bookmarkEnd w:id="4"/>
      <w:r>
        <w:rPr>
          <w:rFonts w:hint="eastAsia" w:ascii="宋体" w:hAnsi="宋体" w:cs="宋体"/>
          <w:color w:val="auto"/>
          <w:szCs w:val="21"/>
          <w:highlight w:val="none"/>
        </w:rPr>
        <w:t xml:space="preserve">：南京医科大学疫苗平台高分辨率小动物超声成像系统采购项目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预算金额：380万元</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最高限价：380万元，投标报价超过最高限价的为无效投标。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采购需求：南京医科大学疫苗平台高分辨率小动物超声成像系统采购项目，具体详见招标文件。</w:t>
      </w:r>
      <w:r/>
    </w:p>
    <w:p>
      <w:pPr>
        <w:ind w:firstLine="420"/>
        <w:jc w:val="left"/>
        <w:spacing w:line="360" w:lineRule="auto"/>
        <w:rPr>
          <w:rFonts w:hint="eastAsia" w:ascii="宋体" w:hAnsi="宋体" w:cs="宋体"/>
          <w:bCs/>
          <w:color w:val="auto"/>
          <w:sz w:val="24"/>
          <w:highlight w:val="none"/>
        </w:rPr>
      </w:pPr>
      <w:r>
        <w:rPr>
          <w:rFonts w:hint="eastAsia" w:ascii="宋体" w:hAnsi="宋体" w:cs="宋体"/>
          <w:color w:val="auto"/>
          <w:szCs w:val="21"/>
          <w:highlight w:val="none"/>
        </w:rPr>
        <w:t xml:space="preserve">合同履行期限（交货期）：</w:t>
      </w:r>
      <w:bookmarkStart w:id="5" w:name="_Toc35393622"/>
      <w:r/>
      <w:bookmarkStart w:id="6" w:name="_Toc35393791"/>
      <w:r/>
      <w:bookmarkStart w:id="7" w:name="_Toc28359003"/>
      <w:r/>
      <w:bookmarkStart w:id="8" w:name="_Toc28359080"/>
      <w:r>
        <w:rPr>
          <w:rFonts w:hint="eastAsia" w:ascii="宋体" w:hAnsi="宋体" w:eastAsia="宋体" w:cs="宋体"/>
          <w:color w:val="auto"/>
          <w:sz w:val="21"/>
          <w:szCs w:val="21"/>
          <w:highlight w:val="none"/>
          <w:lang w:val="zh-CN"/>
        </w:rPr>
        <w:t xml:space="preserve">合同签订生效后，进口设备（免税）三个月内、国产设备及进口设备（非免税）一个月内全部设备、材料运抵现场，并安装、调试结束，验收合格</w:t>
      </w:r>
      <w:r>
        <w:rPr>
          <w:rFonts w:hint="eastAsia" w:ascii="宋体" w:hAnsi="宋体"/>
          <w:color w:val="auto"/>
          <w:sz w:val="21"/>
          <w:szCs w:val="21"/>
          <w:highlight w:val="none"/>
          <w:lang w:val="zh-CN"/>
        </w:rPr>
        <w:t xml:space="preserve">，交付采购方使用。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本项目不接受联合体投标。 </w:t>
      </w:r>
      <w:bookmarkEnd w:id="5"/>
      <w:r/>
      <w:bookmarkEnd w:id="6"/>
      <w:r/>
      <w:bookmarkEnd w:id="7"/>
      <w:r/>
      <w:bookmarkEnd w:id="8"/>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二、申请人的资格要求：</w:t>
      </w:r>
      <w:r/>
    </w:p>
    <w:p>
      <w:pPr>
        <w:ind w:firstLine="420"/>
        <w:jc w:val="left"/>
        <w:spacing w:line="360" w:lineRule="auto"/>
        <w:rPr>
          <w:rFonts w:hint="eastAsia" w:ascii="宋体" w:hAnsi="宋体" w:cs="宋体"/>
          <w:color w:val="auto"/>
          <w:szCs w:val="21"/>
          <w:highlight w:val="none"/>
        </w:rPr>
      </w:pPr>
      <w:r/>
      <w:bookmarkStart w:id="9" w:name="_Toc35393792"/>
      <w:r/>
      <w:bookmarkStart w:id="10" w:name="_Toc35393623"/>
      <w:r/>
      <w:bookmarkStart w:id="11" w:name="_Toc28359005"/>
      <w:r/>
      <w:bookmarkStart w:id="12" w:name="_Toc28359082"/>
      <w:r/>
      <w:bookmarkStart w:id="13" w:name="_Toc35393624"/>
      <w:r/>
      <w:bookmarkStart w:id="14" w:name="_Toc35393793"/>
      <w:r>
        <w:rPr>
          <w:rFonts w:hint="eastAsia" w:ascii="宋体" w:hAnsi="宋体" w:cs="宋体"/>
          <w:color w:val="auto"/>
          <w:szCs w:val="21"/>
          <w:highlight w:val="none"/>
        </w:rPr>
        <w:t xml:space="preserve">（一）满足《中华人民共和国政府采购法》第二十二条规定；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1.具有独立承担民事责任的能力（提供法人或者其他组织的营业执照；供应商为自然人的提供其身份证，提供相关证明材料复印件并加盖公章）；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r>
        <w:rPr>
          <w:rFonts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5.参加政府采购活动前三年内，在经营活动中没有重大违法记录（提供承诺书原件）；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6.法律、行政法规规定的其他条件，提供相关证明材料：无。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7.注:①前款第（5）项中所称重大违法记录，是指投标人因违法经营受到刑事处罚或者责令停产停业、吊销许可证或者执照、较大数额罚款等行政处罚。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若所投产品为进口产品且为非生产商投标，必须具有生产者或其驻中国办事机构（或生产者授权的中国境内最高级别代理机构）针对本项目的专项授权书。投标时需提供复印件加盖供应商公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（四）本项目不接受转包、分包。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（五）拒绝下述供应商参加本次采购活动：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1.供应商单位负责人为同一人或者存在直接控股、管理关系的不同供应商，不得参加同一合同项下的采购活动。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（六）本项目接受进口产品投标。（注：本文件所称进口产品是指通过中国海关报关验放进入中国境内且产自关境外的产品）</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三、获取招标文件</w:t>
      </w:r>
      <w:bookmarkEnd w:id="9"/>
      <w:r/>
      <w:bookmarkEnd w:id="1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时间：自招标文件公告发布之日起5个工作日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地点：江苏政府采购网</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方式：网上下载</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四、提交投标文件</w:t>
      </w:r>
      <w:bookmarkEnd w:id="11"/>
      <w:r/>
      <w:bookmarkEnd w:id="12"/>
      <w:r>
        <w:rPr>
          <w:rFonts w:hint="eastAsia" w:ascii="宋体" w:hAnsi="宋体" w:cs="宋体"/>
          <w:color w:val="auto"/>
          <w:szCs w:val="21"/>
          <w:highlight w:val="none"/>
        </w:rPr>
        <w:t xml:space="preserve">截止时间、开标时间和地点</w:t>
      </w:r>
      <w:bookmarkEnd w:id="13"/>
      <w:r/>
      <w:bookmarkEnd w:id="14"/>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截止时间及开标时间：</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18</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30</w:t>
      </w:r>
      <w:r>
        <w:rPr>
          <w:rFonts w:hint="eastAsia" w:ascii="宋体" w:hAnsi="宋体" w:cs="宋体"/>
          <w:color w:val="auto"/>
          <w:szCs w:val="21"/>
          <w:highlight w:val="none"/>
          <w:u w:val="single"/>
        </w:rPr>
        <w:t xml:space="preserve">分（北京时间）</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江苏省政府采购交易系统（以下简称“苏采云系统”）网上开标大厅。</w:t>
      </w:r>
      <w:r/>
    </w:p>
    <w:p>
      <w:pPr>
        <w:jc w:val="left"/>
        <w:spacing w:line="360" w:lineRule="auto"/>
        <w:rPr>
          <w:rFonts w:hint="eastAsia" w:ascii="宋体" w:hAnsi="宋体" w:cs="宋体"/>
          <w:color w:val="auto"/>
          <w:szCs w:val="21"/>
          <w:highlight w:val="none"/>
        </w:rPr>
      </w:pPr>
      <w:r/>
      <w:bookmarkStart w:id="15" w:name="_Toc35393794"/>
      <w:r/>
      <w:bookmarkStart w:id="16" w:name="_Toc35393625"/>
      <w:r/>
      <w:bookmarkStart w:id="17" w:name="_Toc28359007"/>
      <w:r/>
      <w:bookmarkStart w:id="18" w:name="_Toc28359084"/>
      <w:r>
        <w:rPr>
          <w:rFonts w:hint="eastAsia" w:ascii="宋体" w:hAnsi="宋体" w:cs="宋体"/>
          <w:color w:val="auto"/>
          <w:szCs w:val="21"/>
          <w:highlight w:val="none"/>
        </w:rPr>
        <w:t xml:space="preserve">五、公告期限</w:t>
      </w:r>
      <w:bookmarkEnd w:id="15"/>
      <w:r/>
      <w:bookmarkEnd w:id="16"/>
      <w:r/>
      <w:bookmarkEnd w:id="17"/>
      <w:r/>
      <w:bookmarkEnd w:id="1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jc w:val="left"/>
        <w:spacing w:line="360" w:lineRule="auto"/>
        <w:rPr>
          <w:rFonts w:hint="eastAsia" w:ascii="宋体" w:hAnsi="宋体" w:cs="宋体"/>
          <w:color w:val="auto"/>
          <w:szCs w:val="21"/>
          <w:highlight w:val="none"/>
        </w:rPr>
      </w:pPr>
      <w:r/>
      <w:bookmarkStart w:id="19" w:name="_Toc35393795"/>
      <w:r/>
      <w:bookmarkStart w:id="20" w:name="_Toc35393626"/>
      <w:r>
        <w:rPr>
          <w:rFonts w:hint="eastAsia" w:ascii="宋体" w:hAnsi="宋体" w:cs="宋体"/>
          <w:color w:val="auto"/>
          <w:szCs w:val="21"/>
          <w:highlight w:val="none"/>
        </w:rPr>
        <w:t xml:space="preserve">六、其他补充事宜</w:t>
      </w:r>
      <w:bookmarkEnd w:id="19"/>
      <w:r/>
      <w:bookmarkEnd w:id="20"/>
      <w:r/>
      <w:bookmarkStart w:id="72" w:name="_GoBack"/>
      <w:r/>
      <w:bookmarkEnd w:id="72"/>
      <w:r/>
      <w:r/>
    </w:p>
    <w:p>
      <w:pPr>
        <w:ind w:firstLine="420"/>
        <w:jc w:val="left"/>
        <w:spacing w:line="360" w:lineRule="auto"/>
        <w:rPr>
          <w:color w:val="auto"/>
          <w:highlight w:val="none"/>
        </w:rPr>
      </w:pPr>
      <w:r/>
      <w:bookmarkStart w:id="21" w:name="_Toc35393627"/>
      <w:r/>
      <w:bookmarkStart w:id="22" w:name="_Toc28359085"/>
      <w:r/>
      <w:bookmarkStart w:id="23" w:name="_Toc28359008"/>
      <w:r/>
      <w:bookmarkStart w:id="24" w:name="_Toc35393796"/>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本项目</w:t>
      </w:r>
      <w:r>
        <w:rPr>
          <w:rFonts w:hint="eastAsia" w:ascii="宋体" w:hAnsi="宋体"/>
          <w:color w:val="auto"/>
          <w:szCs w:val="21"/>
          <w:highlight w:val="none"/>
        </w:rPr>
        <w:t xml:space="preserve">是否专门面向中小企业：否</w:t>
      </w:r>
      <w:r/>
    </w:p>
    <w:p>
      <w:pPr>
        <w:ind w:firstLine="420"/>
        <w:jc w:val="left"/>
        <w:spacing w:line="360" w:lineRule="auto"/>
        <w:rPr>
          <w:rFonts w:ascii="宋体" w:hAnsi="宋体" w:cs="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本项目采购标的所属行业为：</w:t>
      </w:r>
      <w:r>
        <w:rPr>
          <w:rFonts w:hint="eastAsia" w:ascii="宋体" w:hAnsi="宋体" w:cs="宋体"/>
          <w:color w:val="auto"/>
          <w:szCs w:val="21"/>
          <w:highlight w:val="none"/>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集中勘察或答疑：</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.公告媒体</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（1）本公告在江苏政府采购网（http：//www.ccgp-jiangsu.gov.cn/）公示发布，敬请各投标人关注；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.采购项目需要落实的政府采购政策：</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（1）政府采购促进中小企业发展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（2）政府采购支持监狱企业发展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（3）政府采购促进残疾人就业</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（4）政府采购鼓励采购节能环保产品</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http://www.ccgp-jiangsu.gov.cn/jiangsu/zlxz/ee/ee3a4bc5a3454aa2b0d9312230633ce9.html</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7.潜在供应商访问电子招标响应交易平台的网络地址和方法：</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（2）潜在供应商访问“苏采云”系统的网络地址和方法：“苏采云”系统的网址：http://jszfcg.jsczt.cn/。</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（3）“CA数字证书”的获取：</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（5）招标代理机构（采购代理机构）将数据电文形式的采购文件加载至“苏采云”系统，供潜在供应商下载或者查阅。</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七、对本次招标提出询问，请按以下方式联系。</w:t>
      </w:r>
      <w:bookmarkEnd w:id="21"/>
      <w:r/>
      <w:bookmarkEnd w:id="22"/>
      <w:r/>
      <w:bookmarkEnd w:id="23"/>
      <w:r/>
      <w:bookmarkEnd w:id="2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360" w:lineRule="auto"/>
        <w:rPr>
          <w:rFonts w:hint="eastAsia" w:ascii="宋体" w:hAnsi="宋体" w:cs="宋体"/>
          <w:color w:val="auto"/>
          <w:szCs w:val="21"/>
          <w:highlight w:val="none"/>
        </w:rPr>
      </w:pPr>
      <w:r/>
      <w:bookmarkStart w:id="25" w:name="_Toc28359086"/>
      <w:r/>
      <w:bookmarkStart w:id="26" w:name="_Toc28359009"/>
      <w:r>
        <w:rPr>
          <w:rFonts w:hint="eastAsia" w:ascii="宋体" w:hAnsi="宋体" w:cs="宋体"/>
          <w:color w:val="auto"/>
          <w:szCs w:val="21"/>
          <w:highlight w:val="none"/>
        </w:rPr>
        <w:t xml:space="preserve">单位名称：南京医科大学</w:t>
      </w:r>
      <w:r/>
    </w:p>
    <w:p>
      <w:pPr>
        <w:ind w:firstLine="452"/>
        <w:jc w:val="left"/>
        <w:spacing w:line="360" w:lineRule="auto"/>
        <w:rPr>
          <w:rFonts w:hint="eastAsia" w:ascii="宋体" w:hAnsi="宋体" w:cs="宋体"/>
          <w:color w:val="auto"/>
          <w:spacing w:val="8"/>
          <w:szCs w:val="21"/>
          <w:highlight w:val="none"/>
        </w:rPr>
      </w:pPr>
      <w:r>
        <w:rPr>
          <w:rFonts w:hint="eastAsia" w:ascii="宋体" w:hAnsi="宋体" w:cs="宋体"/>
          <w:color w:val="auto"/>
          <w:spacing w:val="8"/>
          <w:szCs w:val="21"/>
          <w:highlight w:val="none"/>
        </w:rPr>
        <w:t xml:space="preserve">单位地址：</w:t>
      </w:r>
      <w:r>
        <w:rPr>
          <w:rFonts w:hint="eastAsia" w:ascii="宋体" w:hAnsi="宋体" w:cs="宋体"/>
          <w:color w:val="auto"/>
          <w:spacing w:val="8"/>
          <w:szCs w:val="21"/>
          <w:highlight w:val="none"/>
          <w:shd w:val="clear" w:color="auto" w:fill="ffffff"/>
        </w:rPr>
        <w:t xml:space="preserve">南京市江宁区龙眠大道101号</w:t>
      </w:r>
      <w:r/>
    </w:p>
    <w:p>
      <w:pPr>
        <w:ind w:firstLine="420"/>
        <w:spacing w:line="360" w:lineRule="auto"/>
        <w:rPr>
          <w:color w:val="auto"/>
          <w:szCs w:val="21"/>
          <w:highlight w:val="none"/>
        </w:rPr>
      </w:pPr>
      <w:r>
        <w:rPr>
          <w:rFonts w:hint="eastAsia"/>
          <w:color w:val="auto"/>
          <w:szCs w:val="21"/>
          <w:highlight w:val="none"/>
        </w:rPr>
        <w:t xml:space="preserve">联系人：马老师</w:t>
      </w:r>
      <w:r/>
    </w:p>
    <w:p>
      <w:pPr>
        <w:ind w:firstLine="420"/>
        <w:spacing w:line="360" w:lineRule="auto"/>
        <w:rPr>
          <w:color w:val="auto"/>
          <w:szCs w:val="21"/>
          <w:highlight w:val="none"/>
        </w:rPr>
      </w:pPr>
      <w:r>
        <w:rPr>
          <w:rFonts w:hint="eastAsia"/>
          <w:color w:val="auto"/>
          <w:szCs w:val="21"/>
          <w:highlight w:val="none"/>
        </w:rPr>
        <w:t xml:space="preserve">联系电话：025-86868572</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25"/>
      <w:r/>
      <w:bookmarkEnd w:id="2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单位名称：</w:t>
      </w:r>
      <w:bookmarkStart w:id="27" w:name="OLE_LINK1"/>
      <w:r>
        <w:rPr>
          <w:rFonts w:hint="eastAsia" w:ascii="宋体" w:hAnsi="宋体" w:cs="宋体"/>
          <w:color w:val="auto"/>
          <w:szCs w:val="21"/>
          <w:highlight w:val="none"/>
        </w:rPr>
        <w:t xml:space="preserve">南京苏宁工程咨询有限公司</w:t>
      </w:r>
      <w:bookmarkEnd w:id="2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单位地址：南京市鼓楼区中山路99号12楼1212室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bookmarkStart w:id="28" w:name="_Toc28359087"/>
      <w:r/>
      <w:bookmarkStart w:id="29" w:name="_Toc28359010"/>
      <w:r>
        <w:rPr>
          <w:rFonts w:hint="eastAsia" w:ascii="宋体" w:hAnsi="宋体" w:cs="宋体"/>
          <w:color w:val="auto"/>
          <w:szCs w:val="21"/>
          <w:highlight w:val="none"/>
        </w:rPr>
        <w:t xml:space="preserve">李佳蓉025-84200809</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28"/>
      <w:r/>
      <w:bookmarkEnd w:id="2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项目联系人：李佳蓉 </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联系电话：025-84200809</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hint="eastAsia" w:ascii="宋体" w:hAnsi="宋体" w:cs="宋体"/>
          <w:color w:val="auto"/>
          <w:sz w:val="36"/>
          <w:szCs w:val="36"/>
          <w:highlight w:val="none"/>
          <w:lang w:val="zh-CN"/>
        </w:rPr>
        <w:sectPr>
          <w:footnotePr/>
          <w:endnotePr>
            <w:numFmt w:val="decimal"/>
          </w:endnotePr>
          <w:type w:val="nextPage"/>
          <w:pgSz w:w="11906" w:h="16838" w:orient="portrait"/>
          <w:pgMar w:top="850" w:right="850" w:bottom="850" w:left="1417" w:header="227" w:footer="720" w:gutter="0"/>
          <w:rtlGutter/>
          <w:cols w:num="1" w:sep="0" w:space="720" w:equalWidth="1"/>
          <w:docGrid w:linePitch="360"/>
        </w:sectPr>
      </w:pPr>
      <w:r>
        <w:rPr>
          <w:rFonts w:hint="eastAsia" w:ascii="宋体" w:hAnsi="宋体" w:cs="宋体"/>
          <w:color w:val="auto"/>
          <w:sz w:val="36"/>
          <w:szCs w:val="36"/>
          <w:highlight w:val="none"/>
          <w:lang w:val="zh-CN"/>
        </w:rPr>
      </w:r>
      <w:r/>
    </w:p>
    <w:p>
      <w:pPr>
        <w:jc w:val="center"/>
        <w:rPr>
          <w:rFonts w:hint="eastAsia" w:ascii="宋体" w:hAnsi="宋体" w:cs="宋体"/>
          <w:color w:val="auto"/>
          <w:sz w:val="28"/>
          <w:szCs w:val="28"/>
          <w:highlight w:val="none"/>
        </w:rPr>
      </w:pPr>
      <w:r>
        <w:rPr>
          <w:rFonts w:hint="eastAsia" w:ascii="宋体" w:hAnsi="宋体" w:cs="宋体"/>
          <w:color w:val="auto"/>
          <w:sz w:val="36"/>
          <w:szCs w:val="36"/>
          <w:highlight w:val="none"/>
          <w:lang w:val="zh-CN"/>
        </w:rPr>
        <w:t xml:space="preserve">第二章供应商须知</w:t>
      </w:r>
      <w:r/>
    </w:p>
    <w:p>
      <w:pPr>
        <w:ind w:firstLine="422"/>
        <w:jc w:val="lef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一、总则</w:t>
      </w:r>
      <w:r/>
    </w:p>
    <w:p>
      <w:pPr>
        <w:ind w:firstLine="420"/>
        <w:jc w:val="left"/>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1、适用法律</w:t>
      </w:r>
      <w:r/>
    </w:p>
    <w:p>
      <w:pPr>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ind w:firstLine="422"/>
        <w:jc w:val="left"/>
        <w:rPr>
          <w:rFonts w:ascii="宋体" w:hAnsi="宋体" w:cs="宋体"/>
          <w:b/>
          <w:color w:val="auto"/>
          <w:szCs w:val="21"/>
          <w:highlight w:val="none"/>
          <w:lang w:val="zh-CN"/>
        </w:rPr>
        <w:outlineLvl w:val="0"/>
      </w:pPr>
      <w:r>
        <w:rPr>
          <w:rFonts w:hint="eastAsia" w:ascii="宋体" w:hAnsi="宋体" w:cs="宋体"/>
          <w:b/>
          <w:color w:val="auto"/>
          <w:szCs w:val="21"/>
          <w:highlight w:val="none"/>
          <w:lang w:val="zh-CN"/>
        </w:rPr>
        <w:t xml:space="preserve">2、定义</w:t>
      </w:r>
      <w:r/>
    </w:p>
    <w:p>
      <w:pPr>
        <w:ind w:firstLine="420"/>
        <w:jc w:val="left"/>
        <w:rPr>
          <w:rFonts w:ascii="宋体" w:hAnsi="宋体" w:cs="宋体"/>
          <w:bCs/>
          <w:color w:val="auto"/>
          <w:szCs w:val="21"/>
          <w:highlight w:val="none"/>
          <w:lang w:val="zh-CN"/>
        </w:rPr>
      </w:pPr>
      <w:r>
        <w:rPr>
          <w:rFonts w:hint="eastAsia" w:ascii="宋体" w:hAnsi="宋体" w:cs="宋体"/>
          <w:color w:val="auto"/>
          <w:szCs w:val="21"/>
          <w:highlight w:val="none"/>
          <w:lang w:val="zh-CN"/>
        </w:rPr>
        <w:t xml:space="preserve">2.1 “</w:t>
      </w:r>
      <w:r>
        <w:rPr>
          <w:rFonts w:hint="eastAsia" w:ascii="宋体" w:hAnsi="宋体" w:cs="宋体"/>
          <w:bCs/>
          <w:color w:val="auto"/>
          <w:szCs w:val="21"/>
          <w:highlight w:val="none"/>
          <w:lang w:val="zh-CN"/>
        </w:rPr>
        <w:t xml:space="preserve">供应商”</w:t>
      </w:r>
      <w:r>
        <w:rPr>
          <w:rFonts w:hint="eastAsia" w:ascii="宋体" w:hAnsi="宋体" w:cs="宋体"/>
          <w:bCs/>
          <w:color w:val="auto"/>
          <w:highlight w:val="none"/>
        </w:rPr>
        <w:t xml:space="preserve">是指参加投标竞争，并符合招标文件规定资格条件的法人、其他组织或者自然人。</w:t>
      </w:r>
      <w:r/>
    </w:p>
    <w:p>
      <w:pPr>
        <w:ind w:firstLine="420"/>
        <w:jc w:val="left"/>
        <w:rPr>
          <w:rFonts w:ascii="宋体" w:hAnsi="宋体" w:cs="宋体"/>
          <w:b/>
          <w:color w:val="auto"/>
          <w:szCs w:val="21"/>
          <w:highlight w:val="none"/>
          <w:lang w:val="zh-CN"/>
        </w:rPr>
      </w:pPr>
      <w:r>
        <w:rPr>
          <w:rFonts w:hint="eastAsia" w:ascii="宋体" w:hAnsi="宋体" w:cs="宋体"/>
          <w:bCs/>
          <w:color w:val="auto"/>
          <w:szCs w:val="21"/>
          <w:highlight w:val="none"/>
          <w:lang w:val="zh-CN"/>
        </w:rPr>
        <w:t xml:space="preserve">2.2 “产品”指本招标文件中所述产品</w:t>
      </w:r>
      <w:r>
        <w:rPr>
          <w:rFonts w:hint="eastAsia" w:ascii="宋体" w:hAnsi="宋体" w:cs="宋体"/>
          <w:color w:val="auto"/>
          <w:szCs w:val="21"/>
          <w:highlight w:val="none"/>
          <w:lang w:val="zh-CN"/>
        </w:rPr>
        <w:t xml:space="preserve">及相关服务。</w:t>
      </w:r>
      <w:r/>
    </w:p>
    <w:p>
      <w:pPr>
        <w:ind w:firstLine="420"/>
        <w:jc w:val="lef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 “用户或使用单位”是指使用服务的单位。</w:t>
      </w:r>
      <w:r/>
    </w:p>
    <w:p>
      <w:pPr>
        <w:ind w:firstLine="422"/>
        <w:jc w:val="lef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3、政策功能</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3.1中小供应商政策</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（5）提供的产品属于信息安全产品的，供应商应当选择经国家认证的信息安全产品投标，并提供由中国信息安全认证中心按国家标准认证颁发的有效认证证书复印件。</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（6）提供的产品属于政府强制采购节能产品的，供应商应当选择经过认证的节能产品投标，并提供有效的节能产品认证证书复印件。</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（7）提供的产品属于环境标志产品的,供应商应当选择经过认证的环境标志产品投标,并提供有效的环境标志产品认证证书复印件。</w:t>
      </w:r>
      <w:r/>
    </w:p>
    <w:p>
      <w:pPr>
        <w:ind w:firstLine="42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3.2政府采购中实施本国产品标准及相关政策</w:t>
      </w:r>
      <w:r/>
    </w:p>
    <w:p>
      <w:pPr>
        <w:ind w:firstLine="42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lang w:val="zh-CN"/>
        </w:rPr>
        <w:t xml:space="preserve">）本项目对采购本国产品给予政策支持，具体内容见招标文件</w:t>
      </w:r>
      <w:r>
        <w:rPr>
          <w:rFonts w:hint="eastAsia" w:ascii="宋体" w:hAnsi="宋体" w:cs="宋体"/>
          <w:bCs/>
          <w:color w:val="auto"/>
          <w:szCs w:val="21"/>
          <w:highlight w:val="none"/>
          <w:lang w:val="en-US" w:eastAsia="zh-CN"/>
        </w:rPr>
        <w:t xml:space="preserve">第三章</w:t>
      </w:r>
      <w:r>
        <w:rPr>
          <w:rFonts w:hint="eastAsia" w:ascii="宋体" w:hAnsi="宋体" w:cs="宋体"/>
          <w:bCs/>
          <w:color w:val="auto"/>
          <w:szCs w:val="21"/>
          <w:highlight w:val="none"/>
          <w:lang w:val="zh-CN"/>
        </w:rPr>
        <w:t xml:space="preserve">。</w:t>
      </w:r>
      <w:r/>
    </w:p>
    <w:p>
      <w:pPr>
        <w:ind w:firstLine="42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en-US" w:eastAsia="zh-CN"/>
        </w:rPr>
        <w:t xml:space="preserve">3.3</w:t>
      </w:r>
      <w:r>
        <w:rPr>
          <w:rFonts w:hint="eastAsia" w:ascii="宋体" w:hAnsi="宋体" w:cs="宋体"/>
          <w:bCs/>
          <w:color w:val="auto"/>
          <w:szCs w:val="21"/>
          <w:highlight w:val="none"/>
          <w:lang w:val="zh-CN"/>
        </w:rPr>
        <w:t xml:space="preserve">未按要求提供相关材料的，不享受相关政策。</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lang w:val="zh-CN"/>
        </w:rPr>
        <w:t xml:space="preserve"> 进口产品政策</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（1）除招标公告载明接受进口产品参加外，不允许进口产品参加。进口产品认定依照《财政部关于政府采购进口产品管理有关问题的通知》（财办库〔2008〕248号）的规定。</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（2）允许进口产品参加的，满足需求的国内产品可以参加。</w:t>
      </w:r>
      <w:r/>
    </w:p>
    <w:p>
      <w:pPr>
        <w:ind w:firstLine="420"/>
        <w:jc w:val="left"/>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（3）允许进口产品参加的，优先采购向我国企业转让技术、与我国企业签订消化吸收再创新方案的投标人的进口产品。</w:t>
      </w:r>
      <w:r/>
    </w:p>
    <w:p>
      <w:pPr>
        <w:ind w:firstLine="413"/>
        <w:rPr>
          <w:rFonts w:ascii="宋体" w:hAnsi="宋体" w:cs="宋体"/>
          <w:b/>
          <w:color w:val="auto"/>
          <w:highlight w:val="none"/>
        </w:rPr>
      </w:pPr>
      <w:r>
        <w:rPr>
          <w:rFonts w:hint="eastAsia" w:ascii="宋体" w:hAnsi="宋体" w:cs="宋体"/>
          <w:b/>
          <w:color w:val="auto"/>
          <w:highlight w:val="none"/>
        </w:rPr>
        <w:t xml:space="preserve">二、招标文件</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4、招标文件组成</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4.3 招标文件如果要求供应商提交备选投标方案的，供应商可以提交备选方案；否则，备选方案将被拒绝。</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5、招标文件的澄清、修改</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5.1 招标代理对已发出的招标文件进行必要澄清或者修改的，将在招标文件要求提交投标文件截止时间</w:t>
      </w:r>
      <w:r>
        <w:rPr>
          <w:rFonts w:hint="eastAsia" w:ascii="宋体" w:hAnsi="宋体" w:cs="宋体"/>
          <w:b/>
          <w:bCs/>
          <w:iCs/>
          <w:color w:val="auto"/>
          <w:szCs w:val="21"/>
          <w:highlight w:val="none"/>
          <w:u w:val="single"/>
          <w:lang w:val="zh-CN"/>
        </w:rPr>
        <w:t xml:space="preserve">十五日</w:t>
      </w:r>
      <w:r>
        <w:rPr>
          <w:rFonts w:hint="eastAsia" w:ascii="宋体" w:hAnsi="宋体" w:cs="宋体"/>
          <w:color w:val="auto"/>
          <w:szCs w:val="21"/>
          <w:highlight w:val="none"/>
          <w:lang w:val="zh-CN"/>
        </w:rPr>
        <w:t xml:space="preserve">前，在原招标公告媒体发布更正公告，该澄清或者修改的内容为招标文件的组成部分。</w:t>
      </w:r>
      <w:r/>
    </w:p>
    <w:p>
      <w:pPr>
        <w:ind w:firstLine="420"/>
        <w:rPr>
          <w:rFonts w:ascii="宋体" w:hAnsi="宋体" w:cs="宋体"/>
          <w:color w:val="auto"/>
          <w:highlight w:val="none"/>
        </w:rPr>
      </w:pPr>
      <w:r>
        <w:rPr>
          <w:rFonts w:hint="eastAsia" w:ascii="宋体" w:hAnsi="宋体" w:cs="宋体"/>
          <w:color w:val="auto"/>
          <w:szCs w:val="21"/>
          <w:highlight w:val="none"/>
          <w:lang w:val="zh-CN"/>
        </w:rPr>
        <w:t xml:space="preserve">5.2 招标代理在招标文件要求提交投标文件截止时间前，有权决定延长投标截止时间和开标时间，并</w:t>
      </w:r>
      <w:r>
        <w:rPr>
          <w:rFonts w:hint="eastAsia" w:ascii="宋体" w:hAnsi="宋体" w:cs="宋体"/>
          <w:color w:val="auto"/>
          <w:highlight w:val="none"/>
        </w:rPr>
        <w:t xml:space="preserve">在原采购信息发布媒体上发布变更公告。</w:t>
      </w:r>
      <w:r/>
    </w:p>
    <w:p>
      <w:pPr>
        <w:ind w:firstLine="420"/>
        <w:rPr>
          <w:rFonts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.3 供应商应在投标截止时间前关注</w:t>
      </w:r>
      <w:r>
        <w:rPr>
          <w:rFonts w:hint="eastAsia" w:ascii="宋体" w:hAnsi="宋体" w:cs="宋体"/>
          <w:color w:val="auto"/>
          <w:highlight w:val="none"/>
        </w:rPr>
        <w:t xml:space="preserve">原采购信息发布媒体上</w:t>
      </w:r>
      <w:r>
        <w:rPr>
          <w:rFonts w:hint="eastAsia" w:ascii="宋体" w:hAnsi="宋体" w:cs="宋体"/>
          <w:color w:val="auto"/>
          <w:szCs w:val="21"/>
          <w:highlight w:val="none"/>
          <w:lang w:val="zh-CN"/>
        </w:rPr>
        <w:t xml:space="preserve">有关本招标项目有无变更公告。</w:t>
      </w:r>
      <w:r>
        <w:rPr>
          <w:rFonts w:hint="eastAsia" w:ascii="宋体" w:hAnsi="宋体"/>
          <w:bCs/>
          <w:color w:val="auto"/>
          <w:sz w:val="21"/>
          <w:szCs w:val="21"/>
          <w:highlight w:val="none"/>
        </w:rPr>
        <w:t xml:space="preserve">根据更正公告内容自行决定是否需要重新制作和提交投标文件，并承担由此产生的相应责任。</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三、投标</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6、投标文件的语言、计量单位、货币和编制</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6.2 供应商所使用的计量单位应为国家法定计量单位。</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6.3 供应商应用人民币报价。投标产品如果是进口产品的，应提供人民币与外币之间的汇率。</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 </w:t>
      </w:r>
      <w:r>
        <w:rPr>
          <w:rFonts w:hint="eastAsia" w:ascii="宋体" w:hAnsi="宋体"/>
          <w:bCs/>
          <w:color w:val="auto"/>
          <w:sz w:val="21"/>
          <w:szCs w:val="21"/>
          <w:highlight w:val="none"/>
        </w:rPr>
        <w:t xml:space="preserve">如标书制作工具中格式和内容与“江苏政府采购网”发布的招标文件不一致，以“江苏政府采购网”发布的招标文件为准。</w:t>
      </w:r>
      <w:r/>
    </w:p>
    <w:p>
      <w:pPr>
        <w:ind w:left="0" w:firstLine="420"/>
        <w:keepLines w:val="0"/>
        <w:keepNext w:val="0"/>
        <w:pageBreakBefore w:val="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6.5 供应商应在投标文件中写清相应的项目编号、项目名称、供应商全称、地址、电话、传真等。</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6.6 供应商所使用的技术标准应遵循国家最新标准及规范。</w:t>
      </w:r>
      <w:r/>
    </w:p>
    <w:p>
      <w:pPr>
        <w:ind w:firstLine="420"/>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bCs/>
          <w:color w:val="auto"/>
          <w:szCs w:val="21"/>
          <w:highlight w:val="none"/>
          <w:lang w:val="zh-CN"/>
        </w:rPr>
        <w:t xml:space="preserve">、联合投标</w:t>
      </w:r>
      <w:r/>
    </w:p>
    <w:p>
      <w:pPr>
        <w:ind w:firstLine="420"/>
        <w:rPr>
          <w:rFonts w:ascii="宋体" w:hAnsi="宋体" w:cs="宋体"/>
          <w:bCs/>
          <w:color w:val="auto"/>
          <w:szCs w:val="21"/>
          <w:highlight w:val="none"/>
        </w:rPr>
        <w:outlineLvl w:val="0"/>
      </w:pPr>
      <w:r>
        <w:rPr>
          <w:rFonts w:hint="eastAsia" w:ascii="宋体" w:hAnsi="宋体" w:cs="宋体"/>
          <w:bCs/>
          <w:color w:val="auto"/>
          <w:szCs w:val="21"/>
          <w:highlight w:val="none"/>
        </w:rPr>
        <w:t xml:space="preserve">本次招标不接受联合体投标。</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8、投标费用</w:t>
      </w:r>
      <w:r/>
    </w:p>
    <w:p>
      <w:pPr>
        <w:ind w:firstLine="420"/>
        <w:rPr>
          <w:color w:val="auto"/>
          <w:highlight w:val="none"/>
        </w:rPr>
      </w:pPr>
      <w:r>
        <w:rPr>
          <w:color w:val="auto"/>
          <w:highlight w:val="none"/>
        </w:rPr>
        <w:t xml:space="preserve">8.1 供应商应自行承担所有与准备和参加投标有关的费用。</w:t>
      </w:r>
      <w:r/>
    </w:p>
    <w:p>
      <w:pPr>
        <w:ind w:firstLine="420"/>
        <w:rPr>
          <w:color w:val="auto"/>
          <w:highlight w:val="none"/>
        </w:rPr>
      </w:pPr>
      <w:r>
        <w:rPr>
          <w:color w:val="auto"/>
          <w:highlight w:val="none"/>
        </w:rPr>
        <w:t xml:space="preserve">8.2</w:t>
      </w:r>
      <w:r>
        <w:rPr>
          <w:rFonts w:hint="eastAsia"/>
          <w:color w:val="auto"/>
          <w:highlight w:val="none"/>
        </w:rPr>
        <w:t xml:space="preserve"> 本次招标，中标人按《招标代理服务费管理暂行办法》（国家发展计划委员会计价格【2002】1980 号）代理服务招标收费标准的</w:t>
      </w:r>
      <w:r>
        <w:rPr>
          <w:rFonts w:hint="eastAsia"/>
          <w:color w:val="auto"/>
          <w:highlight w:val="none"/>
          <w:lang w:val="en-US" w:eastAsia="zh-CN"/>
        </w:rPr>
        <w:t xml:space="preserve">48</w:t>
      </w:r>
      <w:r>
        <w:rPr>
          <w:rFonts w:hint="eastAsia"/>
          <w:color w:val="auto"/>
          <w:highlight w:val="none"/>
        </w:rPr>
        <w:t xml:space="preserve">%计算，超过</w:t>
      </w:r>
      <w:r>
        <w:rPr>
          <w:rFonts w:hint="eastAsia"/>
          <w:color w:val="auto"/>
          <w:highlight w:val="none"/>
          <w:lang w:val="en-US" w:eastAsia="zh-CN"/>
        </w:rPr>
        <w:t xml:space="preserve">18000</w:t>
      </w:r>
      <w:r>
        <w:rPr>
          <w:rFonts w:hint="eastAsia"/>
          <w:color w:val="auto"/>
          <w:highlight w:val="none"/>
        </w:rPr>
        <w:t xml:space="preserve">元的按固定金额人民币</w:t>
      </w:r>
      <w:r>
        <w:rPr>
          <w:rFonts w:hint="eastAsia"/>
          <w:color w:val="auto"/>
          <w:highlight w:val="none"/>
          <w:lang w:val="en-US" w:eastAsia="zh-CN"/>
        </w:rPr>
        <w:t xml:space="preserve">18000</w:t>
      </w:r>
      <w:r>
        <w:rPr>
          <w:rFonts w:hint="eastAsia"/>
          <w:color w:val="auto"/>
          <w:highlight w:val="none"/>
        </w:rPr>
        <w:t xml:space="preserve">元计算，在领取中标通知书前向采购代理机构支付招标服务费。该项费用请投标人综合考虑在投标报价中，后期采购人不单独列支，必须在领取中标通知书前向招标代理机构支付招标服务费。</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9、投标文件组成</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9.1 </w:t>
      </w:r>
      <w:r>
        <w:rPr>
          <w:rFonts w:hint="eastAsia" w:ascii="宋体" w:hAnsi="宋体" w:cs="宋体"/>
          <w:color w:val="auto"/>
          <w:szCs w:val="21"/>
          <w:highlight w:val="none"/>
        </w:rPr>
        <w:t xml:space="preserve">供应商应当根据招标文件要求编制投标文件，投标文件应对招标文件提出的要求和条件作出实质性响应，并在</w:t>
      </w:r>
      <w:r>
        <w:rPr>
          <w:rFonts w:hint="eastAsia" w:ascii="宋体" w:hAnsi="宋体" w:cs="宋体"/>
          <w:color w:val="auto"/>
          <w:szCs w:val="21"/>
          <w:highlight w:val="none"/>
          <w:lang w:val="zh-CN"/>
        </w:rPr>
        <w:t xml:space="preserve">《商务条款偏离表》和《技术条款偏离表》等处</w:t>
      </w:r>
      <w:r>
        <w:rPr>
          <w:rFonts w:hint="eastAsia" w:ascii="宋体" w:hAnsi="宋体" w:cs="宋体"/>
          <w:color w:val="auto"/>
          <w:szCs w:val="21"/>
          <w:highlight w:val="none"/>
        </w:rPr>
        <w:t xml:space="preserve">逐条标明满足与否。</w:t>
      </w:r>
      <w:r/>
    </w:p>
    <w:p>
      <w:pPr>
        <w:ind w:firstLine="411"/>
        <w:rPr>
          <w:rFonts w:ascii="宋体" w:hAnsi="宋体" w:cs="宋体"/>
          <w:b/>
          <w:color w:val="auto"/>
          <w:highlight w:val="none"/>
        </w:rPr>
      </w:pPr>
      <w:r>
        <w:rPr>
          <w:rFonts w:hint="eastAsia" w:ascii="宋体" w:hAnsi="宋体" w:cs="宋体"/>
          <w:color w:val="auto"/>
          <w:szCs w:val="21"/>
          <w:highlight w:val="none"/>
          <w:lang w:val="zh-CN"/>
        </w:rPr>
        <w:t xml:space="preserve">9.2 供应商根据招标文件载明的标的采购项目实际情况，拟在中标后将中标项目的非主体、非关键性工作交由他人完成的，应当在投标文件中载明。</w:t>
      </w:r>
      <w:r/>
    </w:p>
    <w:p>
      <w:pPr>
        <w:ind w:firstLine="420"/>
        <w:rPr>
          <w:rFonts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投标文件由商务部分、技术部分、价格部分，以及其他部分组成。</w:t>
      </w:r>
      <w:r/>
    </w:p>
    <w:p>
      <w:pPr>
        <w:ind w:firstLine="422"/>
        <w:rPr>
          <w:rFonts w:ascii="宋体" w:hAnsi="宋体" w:cs="宋体"/>
          <w:b/>
          <w:color w:val="auto"/>
          <w:highlight w:val="none"/>
        </w:rPr>
      </w:pPr>
      <w:r>
        <w:rPr>
          <w:rFonts w:hint="eastAsia" w:ascii="宋体" w:hAnsi="宋体" w:cs="宋体"/>
          <w:b/>
          <w:color w:val="auto"/>
          <w:highlight w:val="none"/>
        </w:rPr>
        <w:t xml:space="preserve">10、投标文件的商务部分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 商务部分是证明供应商有资格参加投标和中标后有能力履行合同的文件，</w:t>
      </w:r>
      <w:r>
        <w:rPr>
          <w:rFonts w:hint="eastAsia" w:ascii="宋体" w:hAnsi="宋体" w:cs="宋体"/>
          <w:color w:val="auto"/>
          <w:szCs w:val="21"/>
          <w:highlight w:val="none"/>
        </w:rPr>
        <w:t xml:space="preserve">这些文件应能满足招标的要求</w:t>
      </w:r>
      <w:r>
        <w:rPr>
          <w:rFonts w:hint="eastAsia" w:ascii="宋体" w:hAnsi="宋体" w:cs="宋体"/>
          <w:color w:val="auto"/>
          <w:szCs w:val="21"/>
          <w:highlight w:val="none"/>
          <w:lang w:val="zh-CN"/>
        </w:rPr>
        <w:t xml:space="preserve">，包括但不限于下列文件，其中加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rPr>
          <w:color w:val="auto"/>
          <w:highlight w:val="none"/>
        </w:rPr>
      </w:pPr>
      <w:r>
        <w:rPr>
          <w:color w:val="auto"/>
          <w:highlight w:val="none"/>
        </w:rPr>
        <w:t xml:space="preserve">（1）</w:t>
      </w:r>
      <w:r>
        <w:rPr>
          <w:rFonts w:hint="eastAsia" w:ascii="宋体" w:hAnsi="宋体" w:cs="宋体"/>
          <w:color w:val="auto"/>
          <w:highlight w:val="none"/>
        </w:rPr>
        <w:t xml:space="preserve">★</w:t>
      </w:r>
      <w:r>
        <w:rPr>
          <w:color w:val="auto"/>
          <w:highlight w:val="none"/>
        </w:rPr>
        <w:t xml:space="preserve">投标函（投标申请及声明）；</w:t>
      </w:r>
      <w:r/>
    </w:p>
    <w:p>
      <w:pPr>
        <w:ind w:firstLine="420"/>
        <w:rPr>
          <w:color w:val="auto"/>
          <w:highlight w:val="none"/>
        </w:rPr>
      </w:pPr>
      <w:r>
        <w:rPr>
          <w:color w:val="auto"/>
          <w:highlight w:val="none"/>
        </w:rPr>
        <w:t xml:space="preserve">（2）</w:t>
      </w:r>
      <w:r>
        <w:rPr>
          <w:rFonts w:hint="eastAsia" w:ascii="宋体" w:hAnsi="宋体" w:cs="宋体"/>
          <w:color w:val="auto"/>
          <w:highlight w:val="none"/>
        </w:rPr>
        <w:t xml:space="preserve">★</w:t>
      </w:r>
      <w:r>
        <w:rPr>
          <w:color w:val="auto"/>
          <w:highlight w:val="none"/>
        </w:rPr>
        <w:t xml:space="preserve">法定代表人授权委托书及委托代理人的身份证复印件； </w:t>
      </w:r>
      <w:r/>
    </w:p>
    <w:p>
      <w:pPr>
        <w:ind w:firstLine="420"/>
        <w:rPr>
          <w:color w:val="auto"/>
          <w:highlight w:val="none"/>
        </w:rPr>
      </w:pPr>
      <w:r>
        <w:rPr>
          <w:color w:val="auto"/>
          <w:highlight w:val="none"/>
        </w:rPr>
        <w:t xml:space="preserve">（3）</w:t>
      </w:r>
      <w:r>
        <w:rPr>
          <w:rFonts w:hint="eastAsia" w:ascii="宋体" w:hAnsi="宋体" w:cs="宋体"/>
          <w:color w:val="auto"/>
          <w:highlight w:val="none"/>
        </w:rPr>
        <w:t xml:space="preserve">★</w:t>
      </w:r>
      <w:r>
        <w:rPr>
          <w:rFonts w:hint="eastAsia" w:ascii="宋体" w:hAnsi="宋体" w:cs="宋体"/>
          <w:color w:val="auto"/>
          <w:szCs w:val="21"/>
          <w:highlight w:val="none"/>
        </w:rPr>
        <w:t xml:space="preserve">第一章投标邀请中二、申请人的资格要求：1.《中华人民共和国政府采购法》规定的资格条件证明文件</w:t>
      </w:r>
      <w:r>
        <w:rPr>
          <w:color w:val="auto"/>
          <w:highlight w:val="none"/>
        </w:rPr>
        <w:t xml:space="preserve">； </w:t>
      </w:r>
      <w:r/>
    </w:p>
    <w:p>
      <w:pPr>
        <w:ind w:firstLine="420"/>
        <w:rPr>
          <w:color w:val="auto"/>
          <w:highlight w:val="none"/>
        </w:rPr>
      </w:pPr>
      <w:r>
        <w:rPr>
          <w:color w:val="auto"/>
          <w:highlight w:val="none"/>
        </w:rPr>
        <w:t xml:space="preserve">（4）</w:t>
      </w:r>
      <w:r>
        <w:rPr>
          <w:rFonts w:hint="eastAsia" w:ascii="宋体" w:hAnsi="宋体" w:cs="宋体"/>
          <w:color w:val="auto"/>
          <w:highlight w:val="none"/>
        </w:rPr>
        <w:t xml:space="preserve">★</w:t>
      </w:r>
      <w:r>
        <w:rPr>
          <w:rFonts w:hint="eastAsia" w:ascii="宋体" w:hAnsi="宋体" w:cs="宋体"/>
          <w:color w:val="auto"/>
          <w:szCs w:val="21"/>
          <w:highlight w:val="none"/>
          <w:lang w:val="zh-CN"/>
        </w:rPr>
        <w:t xml:space="preserve">第一章投标邀请中</w:t>
      </w:r>
      <w:r>
        <w:rPr>
          <w:rFonts w:hint="eastAsia" w:ascii="宋体" w:hAnsi="宋体" w:cs="宋体"/>
          <w:color w:val="auto"/>
          <w:szCs w:val="21"/>
          <w:highlight w:val="none"/>
        </w:rPr>
        <w:t xml:space="preserve">二、申请人的资格要求：3.本项目的特定资格要求</w:t>
      </w:r>
      <w:r>
        <w:rPr>
          <w:rFonts w:hint="eastAsia" w:ascii="宋体" w:hAnsi="宋体" w:cs="宋体"/>
          <w:color w:val="auto"/>
          <w:szCs w:val="21"/>
          <w:highlight w:val="none"/>
          <w:lang w:val="zh-CN"/>
        </w:rPr>
        <w:t xml:space="preserve">证明文件</w:t>
      </w:r>
      <w:r>
        <w:rPr>
          <w:rFonts w:hint="eastAsia"/>
          <w:color w:val="auto"/>
          <w:highlight w:val="none"/>
        </w:rPr>
        <w:t xml:space="preserve">（若有）</w:t>
      </w:r>
      <w:r>
        <w:rPr>
          <w:color w:val="auto"/>
          <w:highlight w:val="none"/>
        </w:rPr>
        <w:t xml:space="preserve">；  </w:t>
      </w:r>
      <w:r/>
    </w:p>
    <w:p>
      <w:pPr>
        <w:ind w:firstLine="420"/>
        <w:rPr>
          <w:color w:val="auto"/>
          <w:highlight w:val="none"/>
        </w:rPr>
      </w:pPr>
      <w:r>
        <w:rPr>
          <w:color w:val="auto"/>
          <w:highlight w:val="none"/>
        </w:rPr>
        <w:t xml:space="preserve">（</w:t>
      </w:r>
      <w:r>
        <w:rPr>
          <w:rFonts w:hint="eastAsia"/>
          <w:color w:val="auto"/>
          <w:highlight w:val="none"/>
        </w:rPr>
        <w:t xml:space="preserve">5</w:t>
      </w:r>
      <w:r>
        <w:rPr>
          <w:color w:val="auto"/>
          <w:highlight w:val="none"/>
        </w:rPr>
        <w:t xml:space="preserve">）</w:t>
      </w:r>
      <w:r>
        <w:rPr>
          <w:rFonts w:hint="eastAsia" w:ascii="宋体" w:hAnsi="宋体" w:cs="宋体"/>
          <w:color w:val="auto"/>
          <w:highlight w:val="none"/>
        </w:rPr>
        <w:t xml:space="preserve">★</w:t>
      </w:r>
      <w:r>
        <w:rPr>
          <w:color w:val="auto"/>
          <w:highlight w:val="none"/>
        </w:rPr>
        <w:t xml:space="preserve">开标一览表；</w:t>
      </w:r>
      <w:r/>
    </w:p>
    <w:p>
      <w:pPr>
        <w:ind w:firstLine="420"/>
        <w:rPr>
          <w:color w:val="auto"/>
          <w:highlight w:val="none"/>
        </w:rPr>
      </w:pPr>
      <w:r>
        <w:rPr>
          <w:color w:val="auto"/>
          <w:highlight w:val="none"/>
        </w:rPr>
        <w:t xml:space="preserve">（</w:t>
      </w:r>
      <w:r>
        <w:rPr>
          <w:rFonts w:hint="eastAsia"/>
          <w:color w:val="auto"/>
          <w:highlight w:val="none"/>
        </w:rPr>
        <w:t xml:space="preserve">6</w:t>
      </w:r>
      <w:r>
        <w:rPr>
          <w:color w:val="auto"/>
          <w:highlight w:val="none"/>
        </w:rPr>
        <w:t xml:space="preserve">）《商务条款偏离表》； </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color w:val="auto"/>
          <w:highlight w:val="none"/>
        </w:rPr>
        <w:t xml:space="preserve">（</w:t>
      </w:r>
      <w:r>
        <w:rPr>
          <w:rFonts w:hint="eastAsia"/>
          <w:color w:val="auto"/>
          <w:highlight w:val="none"/>
        </w:rPr>
        <w:t xml:space="preserve">7</w:t>
      </w:r>
      <w:r>
        <w:rPr>
          <w:color w:val="auto"/>
          <w:highlight w:val="none"/>
        </w:rPr>
        <w:t xml:space="preserve">）</w:t>
      </w:r>
      <w:r>
        <w:rPr>
          <w:rFonts w:hint="eastAsia" w:ascii="宋体" w:hAnsi="宋体" w:eastAsia="宋体" w:cs="宋体"/>
          <w:color w:val="auto"/>
          <w:szCs w:val="21"/>
          <w:highlight w:val="none"/>
        </w:rPr>
        <w:t xml:space="preserve">合同条款</w:t>
      </w:r>
      <w:r/>
    </w:p>
    <w:p>
      <w:pPr>
        <w:ind w:firstLine="420"/>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8</w:t>
      </w:r>
      <w:r>
        <w:rPr>
          <w:rFonts w:hint="eastAsia"/>
          <w:color w:val="auto"/>
          <w:highlight w:val="none"/>
          <w:lang w:eastAsia="zh-CN"/>
        </w:rPr>
        <w:t xml:space="preserve">）</w:t>
      </w:r>
      <w:r>
        <w:rPr>
          <w:color w:val="auto"/>
          <w:highlight w:val="none"/>
        </w:rPr>
        <w:t xml:space="preserve">供应商认为需要提供的其他资格证明文件和商务资料。</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11、投标文件的技术部分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 技术部分是证明</w:t>
      </w:r>
      <w:r>
        <w:rPr>
          <w:rFonts w:hint="eastAsia" w:ascii="宋体" w:hAnsi="宋体" w:cs="宋体"/>
          <w:color w:val="auto"/>
          <w:szCs w:val="21"/>
          <w:highlight w:val="none"/>
        </w:rPr>
        <w:t xml:space="preserve">供应商提供的产品和服务是合格的、并符合招标文件要求的证明文件，以及</w:t>
      </w:r>
      <w:r>
        <w:rPr>
          <w:rFonts w:hint="eastAsia" w:ascii="宋体" w:hAnsi="宋体" w:cs="宋体"/>
          <w:color w:val="auto"/>
          <w:szCs w:val="21"/>
          <w:highlight w:val="none"/>
          <w:lang w:val="zh-CN"/>
        </w:rPr>
        <w:t xml:space="preserve">对投标报价表中的服务的详细说明，这些文件可以是文字资料、图纸和数据等。</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 若技术性能无特殊说明，则按国家有关部门最新颁布的标准及规范为准；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11.3 提供的服务如与招标文件要求有不符之处，应说明其差别之所在，并在《技术条款偏离表》中逐条予以说明。</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11.4 投标文件应按照招标文件要求提供技术资料、文件和有关证明，包括但不限于其中加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（1）技术说明或服务方案；</w:t>
      </w:r>
      <w:r/>
    </w:p>
    <w:p>
      <w:pPr>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（2）《技术条款偏离表》； </w:t>
      </w:r>
      <w:r/>
    </w:p>
    <w:p>
      <w:pPr>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（3）服务承诺； </w:t>
      </w:r>
      <w:r/>
    </w:p>
    <w:p>
      <w:pPr>
        <w:ind w:firstLine="420"/>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（4）投标人拟投入本项目的设备、人员情况一览表； </w:t>
      </w:r>
      <w:r/>
    </w:p>
    <w:p>
      <w:pPr>
        <w:ind w:firstLine="420"/>
        <w:rPr>
          <w:rFonts w:ascii="宋体" w:hAnsi="宋体" w:cs="宋体"/>
          <w:color w:val="auto"/>
          <w:szCs w:val="21"/>
          <w:highlight w:val="none"/>
          <w:lang w:val="zh-CN"/>
        </w:rPr>
      </w:pPr>
      <w:r>
        <w:rPr>
          <w:rFonts w:hint="eastAsia" w:ascii="宋体" w:hAnsi="宋体" w:cs="宋体"/>
          <w:bCs/>
          <w:color w:val="auto"/>
          <w:szCs w:val="21"/>
          <w:highlight w:val="none"/>
          <w:lang w:val="zh-CN"/>
        </w:rPr>
        <w:t xml:space="preserve">（5）供应商认为需要提供的其他技术资料。</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12、投标文件的价格部分</w:t>
      </w:r>
      <w:r/>
    </w:p>
    <w:p>
      <w:pPr>
        <w:ind w:left="0" w:firstLine="420"/>
        <w:keepLines w:val="0"/>
        <w:keepNext w:val="0"/>
        <w:pageBreakBefore w:val="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12.1价格部分是对投标服务价格构成的说明，</w:t>
      </w:r>
      <w:r>
        <w:rPr>
          <w:rFonts w:hint="eastAsia" w:ascii="宋体" w:hAnsi="宋体" w:eastAsia="宋体" w:cs="宋体"/>
          <w:color w:val="auto"/>
          <w:szCs w:val="21"/>
          <w:highlight w:val="none"/>
        </w:rPr>
        <w:t xml:space="preserve">招标文件如没有特别说明的话，</w:t>
      </w:r>
      <w:r>
        <w:rPr>
          <w:rFonts w:hint="eastAsia" w:ascii="宋体" w:hAnsi="宋体" w:cs="宋体"/>
          <w:color w:val="auto"/>
          <w:szCs w:val="21"/>
          <w:highlight w:val="none"/>
          <w:lang w:val="zh-CN"/>
        </w:rPr>
        <w:t xml:space="preserve">每一项服务仅接受一个价格。</w:t>
      </w:r>
      <w:r>
        <w:rPr>
          <w:rFonts w:hint="eastAsia" w:ascii="宋体" w:hAnsi="宋体" w:eastAsia="宋体" w:cs="宋体"/>
          <w:color w:val="auto"/>
          <w:szCs w:val="21"/>
          <w:highlight w:val="none"/>
        </w:rPr>
        <w:t xml:space="preserve">投标人应按照招标文件规定格式填报投标分项报价表。</w:t>
      </w:r>
      <w:r/>
    </w:p>
    <w:p>
      <w:pPr>
        <w:ind w:left="0" w:firstLine="420"/>
        <w:keepLines w:val="0"/>
        <w:keepNext w:val="0"/>
        <w:pageBreakBefore w:val="0"/>
        <w:spacing w:line="288" w:lineRule="auto"/>
        <w:shd w:val="clear" w:color="auto"/>
        <w:rPr>
          <w:rFonts w:hint="eastAsia" w:ascii="宋体" w:hAnsi="宋体" w:eastAsia="宋体" w:cs="宋体"/>
          <w:b/>
          <w:color w:val="auto"/>
          <w:szCs w:val="21"/>
          <w:highlight w:val="none"/>
        </w:rPr>
      </w:pPr>
      <w:r>
        <w:rPr>
          <w:rFonts w:hint="eastAsia" w:ascii="宋体" w:hAnsi="宋体" w:cs="宋体"/>
          <w:color w:val="auto"/>
          <w:szCs w:val="21"/>
          <w:highlight w:val="none"/>
          <w:lang w:val="zh-CN"/>
        </w:rPr>
        <w:t xml:space="preserve">12.2</w:t>
      </w:r>
      <w:r>
        <w:rPr>
          <w:rFonts w:hint="eastAsia" w:ascii="宋体" w:hAnsi="宋体" w:eastAsia="宋体" w:cs="宋体"/>
          <w:color w:val="auto"/>
          <w:szCs w:val="21"/>
          <w:highlight w:val="none"/>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eastAsia="宋体" w:cs="宋体"/>
          <w:b/>
          <w:color w:val="auto"/>
          <w:szCs w:val="21"/>
          <w:highlight w:val="none"/>
        </w:rPr>
        <w:t xml:space="preserve">。</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12.3供应商的任何错漏、优惠、竞争性报价不得作为减轻责任、减少服务、增加收费、降低质量的理由。</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12.4供应商应在《开标一览表》、《分项报价</w:t>
      </w:r>
      <w:r>
        <w:rPr>
          <w:rFonts w:hint="eastAsia" w:ascii="宋体" w:hAnsi="宋体" w:cs="宋体"/>
          <w:color w:val="auto"/>
          <w:szCs w:val="21"/>
          <w:highlight w:val="none"/>
        </w:rPr>
        <w:t xml:space="preserve">表</w:t>
      </w:r>
      <w:r>
        <w:rPr>
          <w:rFonts w:hint="eastAsia" w:ascii="宋体" w:hAnsi="宋体" w:cs="宋体"/>
          <w:color w:val="auto"/>
          <w:szCs w:val="21"/>
          <w:highlight w:val="none"/>
          <w:lang w:val="zh-CN"/>
        </w:rPr>
        <w:t xml:space="preserve">》等标明提供</w:t>
      </w:r>
      <w:r>
        <w:rPr>
          <w:rFonts w:hint="eastAsia" w:ascii="宋体" w:hAnsi="宋体" w:cs="宋体"/>
          <w:color w:val="auto"/>
          <w:szCs w:val="21"/>
          <w:highlight w:val="none"/>
          <w:lang w:val="en-US" w:eastAsia="zh-CN"/>
        </w:rPr>
        <w:t xml:space="preserve">货物和</w:t>
      </w:r>
      <w:r>
        <w:rPr>
          <w:rFonts w:hint="eastAsia" w:ascii="宋体" w:hAnsi="宋体" w:cs="宋体"/>
          <w:color w:val="auto"/>
          <w:szCs w:val="21"/>
          <w:highlight w:val="none"/>
          <w:lang w:val="zh-CN"/>
        </w:rPr>
        <w:t xml:space="preserve">服务的单价、总价以及分项报价。供应商系小企业（含小型、微型企业），并由本企业提供服务，须在《开标一览表》、《分项报价</w:t>
      </w:r>
      <w:r>
        <w:rPr>
          <w:rFonts w:hint="eastAsia" w:ascii="宋体" w:hAnsi="宋体" w:cs="宋体"/>
          <w:color w:val="auto"/>
          <w:szCs w:val="21"/>
          <w:highlight w:val="none"/>
        </w:rPr>
        <w:t xml:space="preserve">表</w:t>
      </w:r>
      <w:r>
        <w:rPr>
          <w:rFonts w:hint="eastAsia" w:ascii="宋体" w:hAnsi="宋体" w:cs="宋体"/>
          <w:color w:val="auto"/>
          <w:szCs w:val="21"/>
          <w:highlight w:val="none"/>
          <w:lang w:val="zh-CN"/>
        </w:rPr>
        <w:t xml:space="preserve">》中注明,供应商应当如实申报,否则评标委员会有权取消其小微企业优惠政策。</w:t>
      </w:r>
      <w:r/>
    </w:p>
    <w:p>
      <w:pPr>
        <w:ind w:left="0" w:firstLine="420"/>
        <w:keepLines w:val="0"/>
        <w:keepNext w:val="0"/>
        <w:pageBreakBefore w:val="0"/>
        <w:spacing w:line="288" w:lineRule="auto"/>
        <w:shd w:val="clear" w:color="auto"/>
        <w:rPr>
          <w:rFonts w:hint="eastAsia" w:ascii="宋体" w:hAnsi="宋体" w:cs="宋体"/>
          <w:color w:val="auto"/>
          <w:sz w:val="21"/>
          <w:szCs w:val="21"/>
          <w:highlight w:val="none"/>
          <w:lang w:val="zh-CN"/>
        </w:rPr>
      </w:pPr>
      <w:r>
        <w:rPr>
          <w:rFonts w:hint="eastAsia" w:ascii="宋体" w:hAnsi="宋体" w:cs="宋体"/>
          <w:color w:val="auto"/>
          <w:szCs w:val="21"/>
          <w:highlight w:val="none"/>
        </w:rPr>
        <w:t xml:space="preserve">12.5</w:t>
      </w:r>
      <w:r>
        <w:rPr>
          <w:rFonts w:hint="eastAsia" w:ascii="宋体" w:hAnsi="宋体" w:cs="宋体"/>
          <w:color w:val="auto"/>
          <w:sz w:val="21"/>
          <w:szCs w:val="21"/>
          <w:highlight w:val="none"/>
          <w:lang w:val="zh-CN"/>
        </w:rPr>
        <w:t xml:space="preserve">《开标一览表》须加盖电子公章。</w:t>
      </w:r>
      <w:r/>
    </w:p>
    <w:p>
      <w:pPr>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12.6</w:t>
      </w:r>
      <w:r>
        <w:rPr>
          <w:rFonts w:hint="eastAsia" w:ascii="宋体" w:hAnsi="宋体" w:cs="宋体"/>
          <w:color w:val="auto"/>
          <w:szCs w:val="21"/>
          <w:highlight w:val="none"/>
        </w:rPr>
        <w:t xml:space="preserve">评审中出现下列情形之一的，评审委员会应当启动异常低价投标（响应）审查程序：</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（3）投标（响应）报价低于采购项目最高限价45%的，即投标（响应）报价&lt;采购项目最高限价×45%；</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相关法律法规对供应商报价有规定的，从其规定。</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288" w:lineRule="auto"/>
        <w:rPr>
          <w:rFonts w:ascii="宋体" w:hAnsi="宋体" w:cs="宋体"/>
          <w:color w:val="auto"/>
          <w:szCs w:val="21"/>
          <w:highlight w:val="none"/>
          <w:lang w:val="zh-CN"/>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color w:val="auto"/>
          <w:szCs w:val="21"/>
          <w:highlight w:val="none"/>
        </w:rPr>
      </w:pPr>
      <w:r>
        <w:rPr>
          <w:rFonts w:hint="eastAsia" w:ascii="宋体" w:hAnsi="宋体" w:cs="宋体"/>
          <w:b w:val="0"/>
          <w:bCs w:val="0"/>
          <w:color w:val="auto"/>
          <w:szCs w:val="21"/>
          <w:highlight w:val="none"/>
          <w:lang w:val="en-US" w:eastAsia="zh-CN"/>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13、投标文件的其他部分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13.1其他部分由供应商根据编制投标文件需要提供的其他相关文件。</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14、投标保证金：无</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15、投标有效期</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15.1 自开标之日起60天内投标有效。</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16、投标文件的份数、签署</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cs="宋体"/>
          <w:color w:val="auto"/>
          <w:szCs w:val="21"/>
          <w:highlight w:val="none"/>
          <w:lang w:val="zh-CN"/>
        </w:rPr>
        <w:t xml:space="preserve">16.1 </w:t>
      </w:r>
      <w:r>
        <w:rPr>
          <w:rFonts w:hint="eastAsia" w:ascii="宋体" w:hAnsi="宋体" w:cs="宋体"/>
          <w:color w:val="auto"/>
          <w:szCs w:val="21"/>
          <w:highlight w:val="none"/>
          <w:lang w:val="en-US" w:eastAsia="zh-CN"/>
        </w:rPr>
        <w:t xml:space="preserve">投标文件</w:t>
      </w:r>
      <w:r>
        <w:rPr>
          <w:rFonts w:hint="eastAsia" w:ascii="宋体" w:hAnsi="宋体" w:eastAsia="宋体" w:cs="宋体"/>
          <w:color w:val="auto"/>
          <w:szCs w:val="21"/>
          <w:highlight w:val="none"/>
        </w:rPr>
        <w:t xml:space="preserve">应加盖响应供应商公章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文件中注明须签字的地方应由供应商的法定代表人或委托代理人签字。</w:t>
      </w:r>
      <w:r/>
    </w:p>
    <w:p>
      <w:pPr>
        <w:ind w:firstLine="420"/>
        <w:rPr>
          <w:rFonts w:ascii="宋体" w:hAnsi="宋体" w:cs="宋体"/>
          <w:bCs/>
          <w:color w:val="auto"/>
          <w:highlight w:val="none"/>
        </w:rPr>
      </w:pPr>
      <w:r>
        <w:rPr>
          <w:rFonts w:hint="eastAsia" w:ascii="宋体" w:hAnsi="宋体" w:cs="宋体"/>
          <w:color w:val="auto"/>
          <w:szCs w:val="21"/>
          <w:highlight w:val="none"/>
          <w:lang w:val="zh-CN"/>
        </w:rPr>
        <w:t xml:space="preserve">16.2 </w:t>
      </w:r>
      <w:r>
        <w:rPr>
          <w:rFonts w:hint="eastAsia" w:ascii="宋体" w:hAnsi="宋体" w:cs="宋体"/>
          <w:bCs/>
          <w:color w:val="auto"/>
          <w:highlight w:val="none"/>
        </w:rPr>
        <w:t xml:space="preserve">除投标人对错处做必要修改外，投标文件不得行间插字、涂改或增删。如有修改错漏处，必须由投标文件签署人签字或盖章。</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17、投标文件的密封和递交</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cs="宋体"/>
          <w:color w:val="auto"/>
          <w:szCs w:val="21"/>
          <w:highlight w:val="none"/>
          <w:lang w:val="zh-CN"/>
        </w:rPr>
        <w:t xml:space="preserve">17.1 </w:t>
      </w:r>
      <w:r>
        <w:rPr>
          <w:rFonts w:hint="eastAsia" w:ascii="宋体" w:hAnsi="宋体" w:eastAsia="宋体" w:cs="宋体"/>
          <w:color w:val="auto"/>
          <w:szCs w:val="21"/>
          <w:highlight w:val="none"/>
        </w:rPr>
        <w:t xml:space="preserve">投标人应当按照《操作手册》规定，在招标公告规定的投标截止时间前制作并上传电子投标文件。</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.2投标人应当按照《操作手册》规定，在苏采云系统规定的时间内对</w:t>
      </w:r>
      <w:r>
        <w:rPr>
          <w:rFonts w:hint="eastAsia" w:ascii="宋体" w:hAnsi="宋体" w:eastAsia="宋体" w:cs="宋体"/>
          <w:color w:val="auto"/>
          <w:szCs w:val="21"/>
          <w:highlight w:val="none"/>
          <w:lang w:eastAsia="zh-CN"/>
        </w:rPr>
        <w:t xml:space="preserve">投标</w:t>
      </w:r>
      <w:r>
        <w:rPr>
          <w:rFonts w:hint="eastAsia" w:ascii="宋体" w:hAnsi="宋体" w:eastAsia="宋体" w:cs="宋体"/>
          <w:color w:val="auto"/>
          <w:szCs w:val="21"/>
          <w:highlight w:val="none"/>
        </w:rPr>
        <w:t xml:space="preserve">文件进行解密。</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17.3</w:t>
      </w:r>
      <w:r>
        <w:rPr>
          <w:rFonts w:hint="eastAsia" w:ascii="宋体" w:hAnsi="宋体" w:eastAsia="宋体" w:cs="宋体"/>
          <w:color w:val="auto"/>
          <w:szCs w:val="21"/>
          <w:highlight w:val="none"/>
        </w:rPr>
        <w:t xml:space="preserve"> 所有</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使用 CA 证书在递交响应文件截止后，解密各自响应文件，</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不足3家的，不得评标</w:t>
      </w:r>
      <w:r>
        <w:rPr>
          <w:rFonts w:hint="eastAsia" w:ascii="宋体" w:hAnsi="宋体" w:eastAsia="宋体" w:cs="宋体"/>
          <w:color w:val="auto"/>
          <w:szCs w:val="21"/>
          <w:highlight w:val="none"/>
          <w:lang w:eastAsia="zh-CN"/>
        </w:rPr>
        <w:t xml:space="preserve">。</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17.4</w:t>
      </w:r>
      <w:r>
        <w:rPr>
          <w:rFonts w:hint="eastAsia" w:ascii="宋体" w:hAnsi="宋体" w:eastAsia="宋体" w:cs="宋体"/>
          <w:color w:val="auto"/>
          <w:szCs w:val="21"/>
          <w:highlight w:val="none"/>
        </w:rPr>
        <w:t xml:space="preserve"> 因投标人网络与电源不稳定、未按操作手册要求配置软硬件、解密锁发生故障或用错、故意不在要求时限内完成解密等自身原因，导致</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文件在规定时间内未能解密、解密失败或解密超时，视为投标人撤销其</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文件，系统内</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文件将被退回；因采购人原因或网上招投标平台发生故障，导致无法按时完成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文件解密或开、评标工作无法进行的，可根据实际情况相应延迟解密时间或调整开、评标时间。部分</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文件未解密的，其他</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文件的评标可以继续进行。</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代理机构有权通过修改招标文件酌情延长投标截止时间，在此情况下，投标人的所有权利和义务均以延长后新的截止时间为准。</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18、有下列情形之一的投标文件将拒收：</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18.1 在招标文件要求提交投标文件的截止时间之后</w:t>
      </w:r>
      <w:r>
        <w:rPr>
          <w:rFonts w:hint="eastAsia" w:ascii="宋体" w:hAnsi="宋体" w:cs="宋体"/>
          <w:color w:val="auto"/>
          <w:szCs w:val="21"/>
          <w:highlight w:val="none"/>
          <w:lang w:val="en-US" w:eastAsia="zh-CN"/>
        </w:rPr>
        <w:t xml:space="preserve">上传</w:t>
      </w:r>
      <w:r>
        <w:rPr>
          <w:rFonts w:hint="eastAsia" w:ascii="宋体" w:hAnsi="宋体" w:cs="宋体"/>
          <w:color w:val="auto"/>
          <w:szCs w:val="21"/>
          <w:highlight w:val="none"/>
          <w:lang w:val="zh-CN"/>
        </w:rPr>
        <w:t xml:space="preserve">的。</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19、投标文件的修改和撤回</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cs="宋体"/>
          <w:color w:val="auto"/>
          <w:szCs w:val="21"/>
          <w:highlight w:val="none"/>
          <w:lang w:val="zh-CN"/>
        </w:rPr>
        <w:t xml:space="preserve">19.1 </w:t>
      </w:r>
      <w:r>
        <w:rPr>
          <w:rFonts w:hint="eastAsia" w:ascii="宋体" w:hAnsi="宋体" w:eastAsia="宋体" w:cs="宋体"/>
          <w:color w:val="auto"/>
          <w:szCs w:val="21"/>
          <w:highlight w:val="none"/>
        </w:rPr>
        <w:t xml:space="preserve">投标文件的修改</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.1 投标人可在投标截止时间前对其电子投标文件进行修改，具体操作方法见《操作手册》。</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.2 投标截止时间之后，投标人不得对其电子投标文件作任何修改。</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 投标文件的撤回</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.2.1 投标人可在投标截止时间前撤回其电子投标文件，具体操作方法见《操作手册》。</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.2.2 投标人撤回电子投标文件，则认为其不再参与本项目投标活动。</w:t>
      </w:r>
      <w:r/>
    </w:p>
    <w:p>
      <w:pPr>
        <w:ind w:left="0" w:firstLine="420"/>
        <w:keepLines w:val="0"/>
        <w:keepNext w:val="0"/>
        <w:pageBreakBefore w:val="0"/>
        <w:spacing w:line="288" w:lineRule="auto"/>
        <w:shd w:val="clear" w:color="auto"/>
        <w:rPr>
          <w:rFonts w:ascii="宋体" w:hAnsi="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.2.3 在投标截止时间至招标文件中规定的投标有效期满之间的这段时间内，投标人不得撤回其投标。</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四、开标、评标与</w:t>
      </w:r>
      <w:r>
        <w:rPr>
          <w:rFonts w:hint="eastAsia" w:ascii="宋体" w:hAnsi="宋体" w:cs="宋体"/>
          <w:b/>
          <w:bCs/>
          <w:color w:val="auto"/>
          <w:highlight w:val="none"/>
          <w:lang w:val="zh-CN"/>
        </w:rPr>
        <w:t xml:space="preserve">确定中标供应商</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20、开标</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cs="宋体"/>
          <w:color w:val="auto"/>
          <w:szCs w:val="21"/>
          <w:highlight w:val="none"/>
          <w:lang w:val="zh-CN"/>
        </w:rPr>
        <w:t xml:space="preserve">20.1 </w:t>
      </w:r>
      <w:r>
        <w:rPr>
          <w:rFonts w:hint="eastAsia" w:ascii="宋体" w:hAnsi="宋体" w:eastAsia="宋体" w:cs="宋体"/>
          <w:color w:val="auto"/>
          <w:szCs w:val="21"/>
          <w:highlight w:val="none"/>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cs="宋体"/>
          <w:color w:val="auto"/>
          <w:szCs w:val="21"/>
          <w:highlight w:val="none"/>
          <w:lang w:val="zh-CN"/>
        </w:rPr>
        <w:t xml:space="preserve">20.2 </w:t>
      </w:r>
      <w:r>
        <w:rPr>
          <w:rFonts w:hint="eastAsia" w:ascii="宋体" w:hAnsi="宋体" w:eastAsia="宋体" w:cs="宋体"/>
          <w:color w:val="auto"/>
          <w:szCs w:val="21"/>
          <w:highlight w:val="none"/>
        </w:rPr>
        <w:t xml:space="preserve">投标人在开标过程中涉及到的投标文件解密、开标结果确认等工作，应按照《操作手册》规定执行。</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20</w:t>
      </w:r>
      <w:r>
        <w:rPr>
          <w:rFonts w:hint="eastAsia" w:ascii="宋体" w:hAnsi="宋体" w:cs="宋体"/>
          <w:color w:val="auto"/>
          <w:szCs w:val="21"/>
          <w:highlight w:val="none"/>
          <w:lang w:val="zh-CN"/>
        </w:rPr>
        <w:t xml:space="preserve">.3 </w:t>
      </w:r>
      <w:r>
        <w:rPr>
          <w:rFonts w:hint="eastAsia" w:ascii="宋体" w:hAnsi="宋体" w:eastAsia="宋体" w:cs="宋体"/>
          <w:color w:val="auto"/>
          <w:szCs w:val="21"/>
          <w:highlight w:val="none"/>
        </w:rPr>
        <w:t xml:space="preserve">投标人如果对开标过程和开标结果有疑义，应当根据《操作手册》规定提出，苏采云系统中《开标记录表》公布后5分钟内未提出的，视同认可开标结果。</w:t>
      </w:r>
      <w:r/>
    </w:p>
    <w:p>
      <w:pPr>
        <w:ind w:left="0" w:firstLine="420"/>
        <w:keepLines w:val="0"/>
        <w:keepNext w:val="0"/>
        <w:pageBreakBefore w:val="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21、评标</w:t>
      </w:r>
      <w:r/>
    </w:p>
    <w:p>
      <w:pPr>
        <w:ind w:firstLine="420"/>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21.1</w:t>
      </w:r>
      <w:r>
        <w:rPr>
          <w:rFonts w:hint="eastAsia" w:ascii="宋体" w:hAnsi="宋体" w:cs="宋体"/>
          <w:b/>
          <w:bCs/>
          <w:color w:val="auto"/>
          <w:szCs w:val="21"/>
          <w:highlight w:val="none"/>
          <w:lang w:val="zh-CN"/>
        </w:rPr>
        <w:t xml:space="preserve"> 评标组织</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21.1.1评标工作由招标代理负责组织，具体评标事务由依法组建的评标委员会负责，并独立履行</w:t>
      </w:r>
      <w:r>
        <w:rPr>
          <w:rFonts w:hint="eastAsia" w:ascii="宋体" w:hAnsi="宋体" w:cs="宋体"/>
          <w:color w:val="auto"/>
          <w:szCs w:val="21"/>
          <w:highlight w:val="none"/>
        </w:rPr>
        <w:t xml:space="preserve">下列职责：</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（1）审查、评价投标文件是否符合招标文件的商务、技术等实质性要求；</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（2）要求投标人对投标文件有关事项作出澄清或者说明；</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（3）对投标文件进行比较和评价；</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eastAsia="宋体" w:cs="宋体"/>
          <w:color w:val="auto"/>
          <w:szCs w:val="21"/>
          <w:highlight w:val="none"/>
        </w:rPr>
        <w:t xml:space="preserve">推荐中标候选人或</w:t>
      </w:r>
      <w:r>
        <w:rPr>
          <w:rFonts w:hint="eastAsia" w:ascii="宋体" w:hAnsi="宋体" w:cs="宋体"/>
          <w:color w:val="auto"/>
          <w:szCs w:val="21"/>
          <w:highlight w:val="none"/>
        </w:rPr>
        <w:t xml:space="preserve">根据采购人委托协议直接确定中标人；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（5）向采购人、财政部门报告评标中发现的违法行为。</w:t>
      </w:r>
      <w:r/>
    </w:p>
    <w:p>
      <w:pPr>
        <w:ind w:firstLine="420"/>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 xml:space="preserve">评标委员会由采购人代表和有关技术、经济等方面的专家组成，独立开展评审工作。</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21.2 评标程序</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21.2.1 投标文件的资格审查。</w:t>
      </w:r>
      <w:r/>
    </w:p>
    <w:p>
      <w:pPr>
        <w:ind w:firstLine="420"/>
        <w:rPr>
          <w:color w:val="auto"/>
          <w:highlight w:val="none"/>
        </w:rPr>
      </w:pPr>
      <w:r>
        <w:rPr>
          <w:color w:val="auto"/>
          <w:highlight w:val="none"/>
        </w:rPr>
        <w:t xml:space="preserve">21.2.1.1 采购人代表将依法对投标人的资格进行审查。</w:t>
      </w:r>
      <w:r/>
    </w:p>
    <w:p>
      <w:pPr>
        <w:ind w:firstLine="420"/>
        <w:rPr>
          <w:color w:val="auto"/>
          <w:highlight w:val="none"/>
        </w:rPr>
      </w:pPr>
      <w:r>
        <w:rPr>
          <w:color w:val="auto"/>
          <w:highlight w:val="none"/>
        </w:rPr>
        <w:t xml:space="preserve">21.2.1.2 资格性审查：依据法律法规和招标文件的规定，对投标文件中的资格证明文件进行审查，以 确定投标供应商是否具备投标资格。 </w:t>
      </w:r>
      <w:r/>
    </w:p>
    <w:p>
      <w:pPr>
        <w:ind w:firstLine="420"/>
        <w:rPr>
          <w:color w:val="auto"/>
          <w:highlight w:val="none"/>
        </w:rPr>
      </w:pPr>
      <w:r>
        <w:rPr>
          <w:color w:val="auto"/>
          <w:highlight w:val="none"/>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rPr>
          <w:color w:val="auto"/>
          <w:highlight w:val="none"/>
        </w:rPr>
      </w:pPr>
      <w:r>
        <w:rPr>
          <w:color w:val="auto"/>
          <w:highlight w:val="none"/>
        </w:rPr>
        <w:t xml:space="preserve"> 21.2.1.4 投标文件有下列情况之一的，在资格性审查时按照无效投标处理： </w:t>
      </w:r>
      <w:r/>
    </w:p>
    <w:p>
      <w:pPr>
        <w:ind w:firstLine="420"/>
        <w:rPr>
          <w:color w:val="auto"/>
          <w:highlight w:val="none"/>
        </w:rPr>
      </w:pPr>
      <w:r>
        <w:rPr>
          <w:color w:val="auto"/>
          <w:highlight w:val="none"/>
        </w:rPr>
        <w:t xml:space="preserve">（1）</w:t>
      </w:r>
      <w:r>
        <w:rPr>
          <w:rFonts w:hint="eastAsia"/>
          <w:color w:val="auto"/>
          <w:highlight w:val="none"/>
        </w:rPr>
        <w:t xml:space="preserve"> </w:t>
      </w:r>
      <w:r>
        <w:rPr>
          <w:color w:val="auto"/>
          <w:highlight w:val="none"/>
        </w:rPr>
        <w:t xml:space="preserve">不具备招标文件中规定资格条件的；</w:t>
      </w:r>
      <w:r/>
    </w:p>
    <w:p>
      <w:pPr>
        <w:ind w:firstLine="420"/>
        <w:rPr>
          <w:color w:val="auto"/>
          <w:highlight w:val="none"/>
        </w:rPr>
      </w:pPr>
      <w:r>
        <w:rPr>
          <w:color w:val="auto"/>
          <w:highlight w:val="none"/>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rPr>
          <w:rFonts w:ascii="宋体" w:hAnsi="宋体" w:cs="宋体"/>
          <w:b/>
          <w:bCs/>
          <w:color w:val="auto"/>
          <w:szCs w:val="21"/>
          <w:highlight w:val="none"/>
          <w:lang w:val="zh-CN"/>
        </w:rPr>
      </w:pPr>
      <w:r>
        <w:rPr>
          <w:rFonts w:ascii="宋体" w:hAnsi="宋体" w:cs="宋体"/>
          <w:b/>
          <w:bCs/>
          <w:color w:val="auto"/>
          <w:szCs w:val="21"/>
          <w:highlight w:val="none"/>
          <w:lang w:val="zh-CN"/>
        </w:rPr>
        <w:t xml:space="preserve">21.2.2 投标文件的符合性审查。</w:t>
      </w:r>
      <w:r/>
    </w:p>
    <w:p>
      <w:pPr>
        <w:ind w:firstLine="420"/>
        <w:rPr>
          <w:color w:val="auto"/>
          <w:highlight w:val="none"/>
        </w:rPr>
      </w:pPr>
      <w:r>
        <w:rPr>
          <w:color w:val="auto"/>
          <w:highlight w:val="none"/>
        </w:rPr>
        <w:t xml:space="preserve">21.2.2.1 评标委员会将依据法律法规和招标文件的规定，对投标文件的有效性、完整性和对招标文件 的响应程度进行审查，以确定是否对招标文件的实质性要求作出响应。</w:t>
      </w:r>
      <w:r/>
    </w:p>
    <w:p>
      <w:pPr>
        <w:ind w:firstLine="420"/>
        <w:rPr>
          <w:color w:val="auto"/>
          <w:highlight w:val="none"/>
        </w:rPr>
      </w:pPr>
      <w:r>
        <w:rPr>
          <w:color w:val="auto"/>
          <w:highlight w:val="none"/>
        </w:rPr>
        <w:t xml:space="preserve">21.2.2.2 实质性要求是指本招标文件中用带星号（“</w:t>
      </w:r>
      <w:r>
        <w:rPr>
          <w:rFonts w:hint="eastAsia" w:ascii="宋体" w:hAnsi="宋体" w:cs="宋体"/>
          <w:color w:val="auto"/>
          <w:highlight w:val="none"/>
        </w:rPr>
        <w:t xml:space="preserve">★</w:t>
      </w:r>
      <w:r>
        <w:rPr>
          <w:color w:val="auto"/>
          <w:highlight w:val="none"/>
        </w:rPr>
        <w:t xml:space="preserve">”）的商务和技术要求。 </w:t>
      </w:r>
      <w:r/>
    </w:p>
    <w:p>
      <w:pPr>
        <w:ind w:firstLine="420"/>
        <w:rPr>
          <w:color w:val="auto"/>
          <w:highlight w:val="none"/>
        </w:rPr>
      </w:pPr>
      <w:r>
        <w:rPr>
          <w:color w:val="auto"/>
          <w:highlight w:val="none"/>
        </w:rPr>
        <w:t xml:space="preserve">21.2.2.3 如果投标文件实质上没有响应招标文件的要求，评标委员会将予以拒绝，投标人不得通过修改或撤销不合要求的偏离或保留而使其投标成为实质性响应的投标。</w:t>
      </w:r>
      <w:r/>
    </w:p>
    <w:p>
      <w:pPr>
        <w:ind w:firstLine="420"/>
        <w:rPr>
          <w:color w:val="auto"/>
          <w:highlight w:val="none"/>
        </w:rPr>
      </w:pPr>
      <w:r>
        <w:rPr>
          <w:color w:val="auto"/>
          <w:highlight w:val="none"/>
        </w:rPr>
        <w:t xml:space="preserve"> 21.2.2.4 投标文件有下列情况之一的，在符合性审查时按照无效投标处理： </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（1）供应商在苏采云系统规定的时间内未成功解密电子投标文件的。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（2）供应商未按照采购文件要求上传电子投标文件的。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（3）供应商不具备采购文件中规定资格要求的；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（4）供应商在报价时采用选择性报价；</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（5）报价超过采购文件中规定的预算金额或者最高限价的；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（6）投标文件含有采购人不能接受的附加条件的；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（7）不同供应商的投标文件由同一单位或者个人编制；</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（8）不同供应商委托同一单位或者个人办理投标事宜；</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（9）不同供应商的投标文件载明的项目管理成员或联系人员为同一人；</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（10）不同供应商的投标文件异常一致或者报价呈规律性差异；</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（11）不同供应商的投标文件相互混装；</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（12）不同供应商的负责人为同一人或者存在控股、管理关系的；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（13）未通过符合性检查的；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（15）未按文件要求签署、盖章的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（16）不符合采购文件中规定的其它实质性要求的；</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left="0" w:firstLine="420"/>
        <w:keepLines w:val="0"/>
        <w:keepNext w:val="0"/>
        <w:pageBreakBefore w:val="0"/>
        <w:spacing w:line="288"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（18）不符合法律、法规和磋商文件规定的其他实质性要求的。</w:t>
      </w:r>
      <w:r/>
    </w:p>
    <w:p>
      <w:pPr>
        <w:ind w:firstLine="420"/>
        <w:rPr>
          <w:color w:val="auto"/>
          <w:highlight w:val="none"/>
        </w:rPr>
      </w:pPr>
      <w:r>
        <w:rPr>
          <w:color w:val="auto"/>
          <w:highlight w:val="none"/>
        </w:rPr>
        <w:t xml:space="preserve">21.2.2.5 在评标期间，出现符合专业条件的供应商或者对招标文件作出实质性响应的供应商不足三 家情形的，比照 </w:t>
      </w:r>
      <w:r>
        <w:rPr>
          <w:rFonts w:hint="eastAsia"/>
          <w:color w:val="auto"/>
          <w:highlight w:val="none"/>
        </w:rPr>
        <w:t xml:space="preserve">20.4</w:t>
      </w:r>
      <w:r>
        <w:rPr>
          <w:color w:val="auto"/>
          <w:highlight w:val="none"/>
        </w:rPr>
        <w:t xml:space="preserve"> 款执行。 </w:t>
      </w:r>
      <w:r/>
    </w:p>
    <w:p>
      <w:pPr>
        <w:ind w:firstLine="420"/>
        <w:rPr>
          <w:color w:val="auto"/>
          <w:highlight w:val="none"/>
        </w:rPr>
      </w:pPr>
      <w:r>
        <w:rPr>
          <w:color w:val="auto"/>
          <w:highlight w:val="none"/>
        </w:rPr>
        <w:t xml:space="preserve">21.2.2.6 有下列情形之一的予以废标，同时将废标理由通知所有供应商： </w:t>
      </w:r>
      <w:r/>
    </w:p>
    <w:p>
      <w:pPr>
        <w:ind w:left="0" w:firstLine="420"/>
        <w:keepLines w:val="0"/>
        <w:keepNext w:val="0"/>
        <w:pageBreakBefore w:val="0"/>
        <w:spacing w:line="288" w:lineRule="auto"/>
        <w:rPr>
          <w:color w:val="auto"/>
          <w:highlight w:val="none"/>
        </w:rPr>
      </w:pPr>
      <w:r>
        <w:rPr>
          <w:color w:val="auto"/>
          <w:highlight w:val="none"/>
        </w:rPr>
        <w:t xml:space="preserve">（1）符合专业条件的供应商或者对招标文件作实质性响应的供应商不足三家的； </w:t>
      </w:r>
      <w:r/>
    </w:p>
    <w:p>
      <w:pPr>
        <w:ind w:left="0" w:firstLine="420"/>
        <w:keepLines w:val="0"/>
        <w:keepNext w:val="0"/>
        <w:pageBreakBefore w:val="0"/>
        <w:spacing w:line="288" w:lineRule="auto"/>
        <w:rPr>
          <w:color w:val="auto"/>
          <w:highlight w:val="none"/>
        </w:rPr>
      </w:pPr>
      <w:r>
        <w:rPr>
          <w:color w:val="auto"/>
          <w:highlight w:val="none"/>
        </w:rPr>
        <w:t xml:space="preserve">（2）出现影响采购公正的违法、违规行为的；</w:t>
      </w:r>
      <w:r/>
    </w:p>
    <w:p>
      <w:pPr>
        <w:ind w:left="0" w:firstLine="420"/>
        <w:keepLines w:val="0"/>
        <w:keepNext w:val="0"/>
        <w:pageBreakBefore w:val="0"/>
        <w:spacing w:line="288" w:lineRule="auto"/>
        <w:rPr>
          <w:color w:val="auto"/>
          <w:highlight w:val="none"/>
        </w:rPr>
      </w:pPr>
      <w:r>
        <w:rPr>
          <w:color w:val="auto"/>
          <w:highlight w:val="none"/>
        </w:rPr>
        <w:t xml:space="preserve">（3）供应商的报价均超过了采购预算或最高限价的，采购人不能支付的； </w:t>
      </w:r>
      <w:r/>
    </w:p>
    <w:p>
      <w:pPr>
        <w:ind w:left="0" w:firstLine="420"/>
        <w:keepLines w:val="0"/>
        <w:keepNext w:val="0"/>
        <w:pageBreakBefore w:val="0"/>
        <w:spacing w:line="288" w:lineRule="auto"/>
        <w:rPr>
          <w:color w:val="auto"/>
          <w:highlight w:val="none"/>
        </w:rPr>
      </w:pPr>
      <w:r>
        <w:rPr>
          <w:color w:val="auto"/>
          <w:highlight w:val="none"/>
        </w:rPr>
        <w:t xml:space="preserve">（4）因重大变故，采购任务取消的；</w:t>
      </w:r>
      <w:r/>
    </w:p>
    <w:p>
      <w:pPr>
        <w:ind w:left="0" w:firstLine="420"/>
        <w:keepLines w:val="0"/>
        <w:keepNext w:val="0"/>
        <w:pageBreakBefore w:val="0"/>
        <w:spacing w:line="288" w:lineRule="auto"/>
        <w:shd w:val="clear" w:color="auto"/>
        <w:widowControl/>
        <w:rPr>
          <w:rFonts w:hint="eastAsia" w:ascii="宋体" w:hAnsi="宋体" w:eastAsia="宋体" w:cs="宋体"/>
          <w:color w:val="auto"/>
          <w:szCs w:val="21"/>
          <w:highlight w:val="none"/>
        </w:rPr>
      </w:pPr>
      <w:r>
        <w:rPr>
          <w:color w:val="auto"/>
          <w:highlight w:val="none"/>
        </w:rPr>
        <w:t xml:space="preserve">（5）</w:t>
      </w:r>
      <w:r>
        <w:rPr>
          <w:rFonts w:hint="eastAsia" w:ascii="宋体" w:hAnsi="宋体" w:eastAsia="宋体" w:cs="宋体"/>
          <w:color w:val="auto"/>
          <w:szCs w:val="21"/>
          <w:highlight w:val="none"/>
        </w:rPr>
        <w:t xml:space="preserve">评委会认定招标文件存在歧义、重大缺陷导致评审工作无法进行。</w:t>
      </w:r>
      <w:r/>
    </w:p>
    <w:p>
      <w:pPr>
        <w:ind w:left="0" w:firstLine="420"/>
        <w:keepLines w:val="0"/>
        <w:keepNext w:val="0"/>
        <w:pageBreakBefore w:val="0"/>
        <w:spacing w:line="288" w:lineRule="auto"/>
        <w:shd w:val="clear" w:color="auto"/>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）预留份额的采购项目或采购包，通过发布公告方式邀请供应商后，符合资格条件的中小企业数量不足3家的。</w:t>
      </w:r>
      <w:r/>
    </w:p>
    <w:p>
      <w:pPr>
        <w:ind w:left="0" w:firstLine="420"/>
        <w:keepLines w:val="0"/>
        <w:keepNext w:val="0"/>
        <w:pageBreakBefore w:val="0"/>
        <w:spacing w:line="288" w:lineRule="auto"/>
        <w:shd w:val="clear" w:color="auto"/>
        <w:widowControl/>
        <w:rPr>
          <w:color w:val="auto"/>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）因苏采云系统故障造成开标不成功。</w:t>
      </w:r>
      <w:r/>
    </w:p>
    <w:p>
      <w:pPr>
        <w:ind w:firstLine="420"/>
        <w:rPr>
          <w:color w:val="auto"/>
          <w:highlight w:val="none"/>
        </w:rPr>
      </w:pPr>
      <w:r>
        <w:rPr>
          <w:color w:val="auto"/>
          <w:highlight w:val="none"/>
        </w:rPr>
        <w:t xml:space="preserve">21.2.3 投标文件的进一步评审。 </w:t>
      </w:r>
      <w:r/>
    </w:p>
    <w:p>
      <w:pPr>
        <w:ind w:left="0" w:firstLine="420"/>
        <w:keepLines w:val="0"/>
        <w:keepNext w:val="0"/>
        <w:pageBreakBefore w:val="0"/>
        <w:spacing w:line="288" w:lineRule="auto"/>
        <w:rPr>
          <w:color w:val="auto"/>
          <w:highlight w:val="none"/>
        </w:rPr>
      </w:pPr>
      <w:r>
        <w:rPr>
          <w:color w:val="auto"/>
          <w:highlight w:val="none"/>
        </w:rPr>
        <w:t xml:space="preserve">21.2.3.1 评标委员会将对确定为实质性响应的投标文件进行进一步评审，看其是否有计算上或累加上 的算术错误，修正错误的原则如下：</w:t>
      </w:r>
      <w:r/>
    </w:p>
    <w:p>
      <w:pPr>
        <w:ind w:left="0" w:firstLine="420"/>
        <w:keepLines w:val="0"/>
        <w:keepNext w:val="0"/>
        <w:pageBreakBefore w:val="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）《开标一览表》（报价表）内容与投标文件中相应内容不一致的，以《开标一览表》（报价表）为准。</w:t>
      </w:r>
      <w:r/>
    </w:p>
    <w:p>
      <w:pPr>
        <w:ind w:left="0" w:firstLine="420"/>
        <w:keepLines w:val="0"/>
        <w:keepNext w:val="0"/>
        <w:pageBreakBefore w:val="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）投标文件、《开标一览表》（报价表）中报价的大写金额与小写金额不一致的，以大写金额为准。</w:t>
      </w:r>
      <w:r/>
    </w:p>
    <w:p>
      <w:pPr>
        <w:ind w:left="0" w:firstLine="420"/>
        <w:keepLines w:val="0"/>
        <w:keepNext w:val="0"/>
        <w:pageBreakBefore w:val="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）单价金额小数点或者百分比有明显错位的，以《开标一览表》（报价表）的总价为准，并修改单价；</w:t>
      </w:r>
      <w:r/>
    </w:p>
    <w:p>
      <w:pPr>
        <w:ind w:left="0" w:firstLine="420"/>
        <w:keepLines w:val="0"/>
        <w:keepNext w:val="0"/>
        <w:pageBreakBefore w:val="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）总价金额与按单价汇总金额不一致的，以单价金额计算结果为准；</w:t>
      </w:r>
      <w:r>
        <w:rPr>
          <w:color w:val="auto"/>
          <w:highlight w:val="none"/>
        </w:rPr>
        <w:t xml:space="preserve">只有在评委会认为单价有明显的小数点错误时，才能以标出的总价为准，并修改单价。</w:t>
      </w:r>
      <w:r/>
    </w:p>
    <w:p>
      <w:pPr>
        <w:ind w:left="0" w:firstLine="420"/>
        <w:keepLines w:val="0"/>
        <w:keepNext w:val="0"/>
        <w:pageBreakBefore w:val="0"/>
        <w:spacing w:line="288"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）同时出现21.2.3.1中两种以上不一致的,按照（</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的顺序修正。</w:t>
      </w:r>
      <w:r/>
    </w:p>
    <w:p>
      <w:pPr>
        <w:ind w:left="0" w:firstLine="420"/>
        <w:keepLines w:val="0"/>
        <w:keepNext w:val="0"/>
        <w:pageBreakBefore w:val="0"/>
        <w:spacing w:line="288"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）对不同文字文本投标文件的解释发生异议的，以中文文本为准。</w:t>
      </w:r>
      <w:r/>
    </w:p>
    <w:p>
      <w:pPr>
        <w:ind w:left="0" w:firstLine="420"/>
        <w:keepLines w:val="0"/>
        <w:keepNext w:val="0"/>
        <w:pageBreakBefore w:val="0"/>
        <w:spacing w:line="288" w:lineRule="auto"/>
        <w:rPr>
          <w:color w:val="auto"/>
          <w:highlight w:val="none"/>
        </w:rPr>
      </w:pPr>
      <w:r>
        <w:rPr>
          <w:color w:val="auto"/>
          <w:highlight w:val="none"/>
        </w:rPr>
        <w:t xml:space="preserve">21.2.3.2 评标委员会将按上述修正错误的方法</w:t>
      </w:r>
      <w:r>
        <w:rPr>
          <w:rFonts w:hint="eastAsia"/>
          <w:color w:val="auto"/>
          <w:highlight w:val="none"/>
          <w:lang w:val="en-US" w:eastAsia="zh-CN"/>
        </w:rPr>
        <w:t xml:space="preserve">修正</w:t>
      </w:r>
      <w:r>
        <w:rPr>
          <w:color w:val="auto"/>
          <w:highlight w:val="none"/>
        </w:rPr>
        <w:t xml:space="preserve">投标文件中的投标价，</w:t>
      </w:r>
      <w:r>
        <w:rPr>
          <w:rFonts w:hint="eastAsia" w:ascii="宋体" w:hAnsi="宋体" w:cs="宋体"/>
          <w:color w:val="auto"/>
          <w:szCs w:val="21"/>
          <w:highlight w:val="none"/>
          <w:lang w:val="zh-CN"/>
        </w:rPr>
        <w:t xml:space="preserve">修正后的报价由法定代表人或其授权的代表</w:t>
      </w:r>
      <w:r>
        <w:rPr>
          <w:rFonts w:hint="eastAsia" w:ascii="宋体" w:hAnsi="宋体" w:eastAsia="宋体" w:cs="宋体"/>
          <w:color w:val="auto"/>
          <w:szCs w:val="21"/>
          <w:highlight w:val="none"/>
          <w:lang w:val="zh-CN"/>
        </w:rPr>
        <w:t xml:space="preserve">通过“苏采云”系统</w:t>
      </w:r>
      <w:r>
        <w:rPr>
          <w:rFonts w:hint="eastAsia" w:ascii="宋体" w:hAnsi="宋体" w:cs="宋体"/>
          <w:color w:val="auto"/>
          <w:szCs w:val="21"/>
          <w:highlight w:val="none"/>
          <w:lang w:val="zh-CN"/>
        </w:rPr>
        <w:t xml:space="preserve">确认后产生约束力，投标人不确认的，投标无效。</w:t>
      </w:r>
      <w:r>
        <w:rPr>
          <w:color w:val="auto"/>
          <w:highlight w:val="none"/>
        </w:rPr>
        <w:t xml:space="preserve"> </w:t>
      </w:r>
      <w:r/>
    </w:p>
    <w:p>
      <w:pPr>
        <w:ind w:firstLine="420"/>
        <w:rPr>
          <w:color w:val="auto"/>
          <w:highlight w:val="none"/>
        </w:rPr>
      </w:pPr>
      <w:r>
        <w:rPr>
          <w:color w:val="auto"/>
          <w:highlight w:val="none"/>
        </w:rPr>
        <w:t xml:space="preserve">21.2.3.3 评委会将允许修正投标文件中不构成重大偏离的、微小的、非正规的、不一致的或不规则的地方，但这些修改不能影响任何投标人相应的名次排列。 </w:t>
      </w:r>
      <w:r/>
    </w:p>
    <w:p>
      <w:pPr>
        <w:ind w:firstLine="420"/>
        <w:rPr>
          <w:color w:val="auto"/>
          <w:highlight w:val="none"/>
        </w:rPr>
      </w:pPr>
      <w:r>
        <w:rPr>
          <w:color w:val="auto"/>
          <w:highlight w:val="none"/>
        </w:rPr>
        <w:t xml:space="preserve">21.2.3.4 澄清有关问题。对投标文件中含义不明确、同类问题表述不一致或者明显文字错误的内容， 评标委员会可以要求供应商作出必要的澄清、说明或者补正。供应商的澄清、说明、补正应当采用书面形 式，由其授权代表签字，但不得超出投标文件的范围或者改变投标文件的实质性内容。</w:t>
      </w:r>
      <w:r/>
    </w:p>
    <w:p>
      <w:pPr>
        <w:ind w:left="0" w:firstLine="420"/>
        <w:keepLines w:val="0"/>
        <w:keepNext w:val="0"/>
        <w:pageBreakBefore w:val="0"/>
        <w:spacing w:line="288" w:lineRule="auto"/>
        <w:shd w:val="clear" w:color="auto"/>
        <w:widowControl/>
        <w:rPr>
          <w:rFonts w:hint="eastAsia" w:ascii="宋体" w:hAnsi="宋体" w:eastAsia="宋体" w:cs="宋体"/>
          <w:color w:val="auto"/>
          <w:szCs w:val="21"/>
          <w:highlight w:val="none"/>
        </w:rPr>
      </w:pPr>
      <w:r>
        <w:rPr>
          <w:color w:val="auto"/>
          <w:highlight w:val="none"/>
        </w:rPr>
        <w:t xml:space="preserve">21.2.3.5 </w:t>
      </w:r>
      <w:r>
        <w:rPr>
          <w:rFonts w:hint="eastAsia" w:ascii="宋体" w:hAnsi="宋体" w:eastAsia="宋体" w:cs="宋体"/>
          <w:color w:val="auto"/>
          <w:szCs w:val="21"/>
          <w:highlight w:val="none"/>
        </w:rPr>
        <w:t xml:space="preserve">需要供应商进行澄清、说明和补正的，</w:t>
      </w:r>
      <w:r>
        <w:rPr>
          <w:rFonts w:hint="eastAsia" w:ascii="宋体" w:hAnsi="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firstLine="420"/>
        <w:keepLines w:val="0"/>
        <w:keepNext w:val="0"/>
        <w:pageBreakBefore w:val="0"/>
        <w:spacing w:line="288" w:lineRule="auto"/>
        <w:shd w:val="clear" w:color="auto"/>
        <w:widowControl/>
        <w:rPr>
          <w:rFonts w:hint="eastAsia" w:ascii="宋体" w:hAnsi="宋体" w:eastAsia="宋体" w:cs="宋体"/>
          <w:color w:val="auto"/>
          <w:szCs w:val="21"/>
          <w:highlight w:val="none"/>
        </w:rPr>
      </w:pPr>
      <w:r>
        <w:rPr>
          <w:rFonts w:hint="eastAsia" w:ascii="Times New Roman" w:hAnsi="Times New Roman" w:eastAsia="宋体" w:cs="Times New Roman"/>
          <w:color w:val="auto"/>
          <w:highlight w:val="none"/>
        </w:rPr>
        <w:t xml:space="preserve">2</w:t>
      </w: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.2.3.</w:t>
      </w:r>
      <w:r>
        <w:rPr>
          <w:rFonts w:hint="eastAsia" w:ascii="Times New Roman" w:hAnsi="Times New Roman" w:eastAsia="宋体" w:cs="Times New Roman"/>
          <w:color w:val="auto"/>
          <w:highlight w:val="none"/>
          <w:lang w:val="en-US" w:eastAsia="zh-CN"/>
        </w:rPr>
        <w:t xml:space="preserve">6</w:t>
      </w:r>
      <w:r>
        <w:rPr>
          <w:rFonts w:hint="eastAsia" w:ascii="宋体" w:hAnsi="宋体" w:eastAsia="宋体" w:cs="宋体"/>
          <w:color w:val="auto"/>
          <w:szCs w:val="21"/>
          <w:highlight w:val="none"/>
        </w:rPr>
        <w:t xml:space="preserve">接到</w:t>
      </w:r>
      <w:r>
        <w:rPr>
          <w:rFonts w:hint="eastAsia" w:ascii="宋体" w:hAnsi="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澄清、说明和补正要求的供应商如未按规定做出澄清、说明和补正，其风险由供应商自行承担。供应商拒不按照要求对响应件进行澄清、说明或者补正的，视其放弃该项权利。</w:t>
      </w:r>
      <w:r/>
    </w:p>
    <w:p>
      <w:pPr>
        <w:ind w:left="0" w:firstLine="420"/>
        <w:keepLines w:val="0"/>
        <w:keepNext w:val="0"/>
        <w:pageBreakBefore w:val="0"/>
        <w:spacing w:line="288" w:lineRule="auto"/>
        <w:rPr>
          <w:color w:val="auto"/>
          <w:highlight w:val="none"/>
        </w:rPr>
      </w:pPr>
      <w:r>
        <w:rPr>
          <w:rFonts w:hint="eastAsia" w:ascii="Times New Roman" w:hAnsi="Times New Roman" w:eastAsia="宋体" w:cs="Times New Roman"/>
          <w:color w:val="auto"/>
          <w:highlight w:val="none"/>
        </w:rPr>
        <w:t xml:space="preserve">2</w:t>
      </w: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.2.3.</w:t>
      </w:r>
      <w:r>
        <w:rPr>
          <w:rFonts w:hint="eastAsia" w:ascii="Times New Roman" w:hAnsi="Times New Roman" w:eastAsia="宋体" w:cs="Times New Roman"/>
          <w:color w:val="auto"/>
          <w:highlight w:val="none"/>
          <w:lang w:val="en-US" w:eastAsia="zh-CN"/>
        </w:rPr>
        <w:t xml:space="preserve">7 </w:t>
      </w:r>
      <w:r>
        <w:rPr>
          <w:color w:val="auto"/>
          <w:highlight w:val="none"/>
        </w:rPr>
        <w:t xml:space="preserve">比较与评价。按照招标文件中规定的评标方法和标准，对资格性检查和符合性检查合格的投 标文件进行商务和技术评估，综合比较与评价。</w:t>
      </w:r>
      <w:r/>
    </w:p>
    <w:p>
      <w:pPr>
        <w:ind w:left="0" w:firstLine="420"/>
        <w:keepLines w:val="0"/>
        <w:keepNext w:val="0"/>
        <w:pageBreakBefore w:val="0"/>
        <w:spacing w:line="288" w:lineRule="auto"/>
        <w:shd w:val="clear" w:color="auto"/>
        <w:widowControl/>
        <w:rPr>
          <w:rFonts w:hint="eastAsia" w:ascii="宋体" w:hAnsi="宋体" w:eastAsia="宋体" w:cs="宋体"/>
          <w:color w:val="auto"/>
          <w:szCs w:val="21"/>
          <w:highlight w:val="none"/>
        </w:rPr>
      </w:pPr>
      <w:r>
        <w:rPr>
          <w:rFonts w:hint="eastAsia" w:ascii="Times New Roman" w:hAnsi="Times New Roman" w:eastAsia="宋体" w:cs="Times New Roman"/>
          <w:color w:val="auto"/>
          <w:highlight w:val="none"/>
        </w:rPr>
        <w:t xml:space="preserve">2</w:t>
      </w:r>
      <w:r>
        <w:rPr>
          <w:rFonts w:hint="eastAsia" w:ascii="Times New Roman" w:hAnsi="Times New Roman" w:eastAsia="宋体" w:cs="Times New Roman"/>
          <w:color w:val="auto"/>
          <w:highlight w:val="none"/>
          <w:lang w:val="en-US" w:eastAsia="zh-CN"/>
        </w:rPr>
        <w:t xml:space="preserve">0</w:t>
      </w:r>
      <w:r>
        <w:rPr>
          <w:rFonts w:hint="eastAsia" w:ascii="Times New Roman" w:hAnsi="Times New Roman" w:eastAsia="宋体" w:cs="Times New Roman"/>
          <w:color w:val="auto"/>
          <w:highlight w:val="none"/>
        </w:rPr>
        <w:t xml:space="preserve">.2.3.</w:t>
      </w:r>
      <w:r>
        <w:rPr>
          <w:rFonts w:hint="eastAsia" w:ascii="Times New Roman" w:hAnsi="Times New Roman" w:eastAsia="宋体" w:cs="Times New Roman"/>
          <w:color w:val="auto"/>
          <w:highlight w:val="none"/>
          <w:lang w:val="en-US" w:eastAsia="zh-CN"/>
        </w:rPr>
        <w:t xml:space="preserve">8</w:t>
      </w:r>
      <w:r>
        <w:rPr>
          <w:rFonts w:hint="eastAsia" w:ascii="Times New Roman" w:hAnsi="Times New Roman" w:eastAsia="宋体" w:cs="Times New Roman"/>
          <w:color w:val="auto"/>
          <w:highlight w:val="none"/>
        </w:rPr>
        <w:t xml:space="preserve"> </w:t>
      </w:r>
      <w:r>
        <w:rPr>
          <w:rFonts w:hint="eastAsia" w:ascii="宋体" w:hAnsi="宋体" w:eastAsia="宋体" w:cs="宋体"/>
          <w:color w:val="auto"/>
          <w:szCs w:val="21"/>
          <w:highlight w:val="none"/>
        </w:rPr>
        <w:t xml:space="preserve">投标人在开、评标全过程中应保持通讯畅通，及时登录苏采云系统查阅、答复相关信息，并安排专人与代理机构及评委会联系。</w:t>
      </w:r>
      <w:r/>
    </w:p>
    <w:p>
      <w:pPr>
        <w:ind w:left="0" w:firstLine="420"/>
        <w:keepLines w:val="0"/>
        <w:keepNext w:val="0"/>
        <w:pageBreakBefore w:val="0"/>
        <w:spacing w:line="288" w:lineRule="auto"/>
        <w:shd w:val="clear" w:color="auto"/>
        <w:widowControl/>
        <w:rPr>
          <w:rFonts w:hint="eastAsia" w:ascii="宋体" w:hAnsi="宋体" w:eastAsia="宋体" w:cs="宋体"/>
          <w:color w:val="auto"/>
          <w:szCs w:val="21"/>
          <w:highlight w:val="none"/>
        </w:rPr>
      </w:pPr>
      <w:r>
        <w:rPr>
          <w:rFonts w:hint="eastAsia" w:ascii="Times New Roman" w:hAnsi="Times New Roman" w:eastAsia="宋体" w:cs="Times New Roman"/>
          <w:color w:val="auto"/>
          <w:highlight w:val="none"/>
        </w:rPr>
        <w:t xml:space="preserve">2</w:t>
      </w:r>
      <w:r>
        <w:rPr>
          <w:rFonts w:hint="eastAsia" w:ascii="Times New Roman" w:hAnsi="Times New Roman" w:eastAsia="宋体" w:cs="Times New Roman"/>
          <w:color w:val="auto"/>
          <w:highlight w:val="none"/>
          <w:lang w:val="en-US" w:eastAsia="zh-CN"/>
        </w:rPr>
        <w:t xml:space="preserve">0</w:t>
      </w:r>
      <w:r>
        <w:rPr>
          <w:rFonts w:hint="eastAsia" w:ascii="Times New Roman" w:hAnsi="Times New Roman" w:eastAsia="宋体" w:cs="Times New Roman"/>
          <w:color w:val="auto"/>
          <w:highlight w:val="none"/>
        </w:rPr>
        <w:t xml:space="preserve">.2.3.</w:t>
      </w:r>
      <w:r>
        <w:rPr>
          <w:rFonts w:hint="eastAsia" w:ascii="Times New Roman" w:hAnsi="Times New Roman" w:eastAsia="宋体" w:cs="Times New Roman"/>
          <w:color w:val="auto"/>
          <w:highlight w:val="none"/>
          <w:lang w:val="en-US" w:eastAsia="zh-CN"/>
        </w:rPr>
        <w:t xml:space="preserve">9</w:t>
      </w:r>
      <w:r>
        <w:rPr>
          <w:rFonts w:hint="eastAsia" w:ascii="Times New Roman" w:hAnsi="Times New Roman" w:eastAsia="宋体" w:cs="Times New Roman"/>
          <w:color w:val="auto"/>
          <w:highlight w:val="none"/>
        </w:rPr>
        <w:t xml:space="preserve"> </w:t>
      </w:r>
      <w:r>
        <w:rPr>
          <w:rFonts w:hint="eastAsia" w:ascii="宋体" w:hAnsi="宋体" w:eastAsia="宋体" w:cs="宋体"/>
          <w:color w:val="auto"/>
          <w:szCs w:val="21"/>
          <w:highlight w:val="none"/>
        </w:rPr>
        <w:t xml:space="preserve">如出现投标截止时间后参加投标的供应商或者对招标文件作出实质性响应的供应商不足三家的情况，按政府采购相关规定执行。</w:t>
      </w:r>
      <w:r/>
    </w:p>
    <w:p>
      <w:pPr>
        <w:ind w:left="0" w:firstLine="420"/>
        <w:keepLines w:val="0"/>
        <w:keepNext w:val="0"/>
        <w:pageBreakBefore w:val="0"/>
        <w:spacing w:line="288" w:lineRule="auto"/>
        <w:rPr>
          <w:color w:val="auto"/>
          <w:highlight w:val="none"/>
        </w:rPr>
      </w:pPr>
      <w:r>
        <w:rPr>
          <w:color w:val="auto"/>
          <w:highlight w:val="none"/>
        </w:rPr>
        <w:t xml:space="preserve">21.3 评标方法和标准 </w:t>
      </w:r>
      <w:r/>
    </w:p>
    <w:p>
      <w:pPr>
        <w:ind w:left="0" w:firstLine="420"/>
        <w:keepLines w:val="0"/>
        <w:keepNext w:val="0"/>
        <w:pageBreakBefore w:val="0"/>
        <w:spacing w:line="288" w:lineRule="auto"/>
        <w:rPr>
          <w:color w:val="auto"/>
          <w:highlight w:val="none"/>
        </w:rPr>
      </w:pPr>
      <w:r>
        <w:rPr>
          <w:color w:val="auto"/>
          <w:highlight w:val="none"/>
        </w:rPr>
        <w:t xml:space="preserve">21.3.1 采用综合评分法。即在投标文件满足招标文件全部实质性要求前提下，且按照评审因素的量化指标评审得分最高的投标人为中标人的评标方法。</w:t>
      </w:r>
      <w:r/>
    </w:p>
    <w:p>
      <w:pPr>
        <w:ind w:left="0" w:firstLine="420"/>
        <w:keepLines w:val="0"/>
        <w:keepNext w:val="0"/>
        <w:pageBreakBefore w:val="0"/>
        <w:spacing w:line="288" w:lineRule="auto"/>
        <w:rPr>
          <w:color w:val="auto"/>
          <w:highlight w:val="none"/>
        </w:rPr>
      </w:pPr>
      <w:r>
        <w:rPr>
          <w:color w:val="auto"/>
          <w:highlight w:val="none"/>
        </w:rPr>
        <w:t xml:space="preserve">21.3.2 综合评分的主要因素是：价格、技术、商务等。 </w:t>
      </w:r>
      <w:r/>
    </w:p>
    <w:p>
      <w:pPr>
        <w:ind w:left="0" w:firstLine="420"/>
        <w:keepLines w:val="0"/>
        <w:keepNext w:val="0"/>
        <w:pageBreakBefore w:val="0"/>
        <w:spacing w:line="288" w:lineRule="auto"/>
        <w:rPr>
          <w:color w:val="auto"/>
          <w:highlight w:val="none"/>
        </w:rPr>
      </w:pPr>
      <w:r>
        <w:rPr>
          <w:color w:val="auto"/>
          <w:highlight w:val="none"/>
        </w:rPr>
        <w:t xml:space="preserve">21.3.3</w:t>
      </w:r>
      <w:r>
        <w:rPr>
          <w:rFonts w:hint="eastAsia"/>
          <w:color w:val="auto"/>
          <w:highlight w:val="none"/>
          <w:lang w:val="en-US" w:eastAsia="zh-CN"/>
        </w:rPr>
        <w:t xml:space="preserve"> </w:t>
      </w:r>
      <w:r>
        <w:rPr>
          <w:color w:val="auto"/>
          <w:highlight w:val="none"/>
        </w:rPr>
        <w:t xml:space="preserve">评分标准详见文件第三章。</w:t>
      </w:r>
      <w:r/>
    </w:p>
    <w:p>
      <w:pPr>
        <w:ind w:firstLine="422"/>
        <w:rPr>
          <w:rFonts w:ascii="宋体" w:hAnsi="宋体" w:cs="宋体"/>
          <w:b/>
          <w:bCs/>
          <w:color w:val="auto"/>
          <w:highlight w:val="none"/>
          <w:lang w:val="zh-CN"/>
        </w:rPr>
      </w:pPr>
      <w:r>
        <w:rPr>
          <w:rFonts w:hint="eastAsia" w:ascii="宋体" w:hAnsi="宋体" w:cs="宋体"/>
          <w:b/>
          <w:bCs/>
          <w:color w:val="auto"/>
          <w:highlight w:val="none"/>
          <w:lang w:val="zh-CN"/>
        </w:rPr>
        <w:t xml:space="preserve">22、确定中标供应商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color w:val="auto"/>
          <w:highlight w:val="none"/>
        </w:rPr>
        <w:t xml:space="preserve">技术部分</w:t>
      </w:r>
      <w:r>
        <w:rPr>
          <w:rFonts w:hint="eastAsia" w:ascii="宋体" w:hAnsi="宋体" w:cs="宋体"/>
          <w:color w:val="auto"/>
          <w:highlight w:val="none"/>
          <w:lang w:val="zh-CN"/>
        </w:rPr>
        <w:t xml:space="preserve">）优劣顺序排列。</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22.2 按以下第（</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）种方式确定中标供应商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（1）评标委员会直接确定排名第一的中标候选人为中标供应商；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（2）采购人在评标委员会推荐的中标候选人中按顺序确定中标供应商。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22.3 中标供应商确定之日起两个工作日内，将在财政部门指定的政府采购信息发布媒体上公告。</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22.4 《中标通知书》对采购人和中标供应商具有同等法律效力。</w:t>
      </w:r>
      <w:r/>
    </w:p>
    <w:p>
      <w:pPr>
        <w:ind w:firstLine="420"/>
        <w:rPr>
          <w:rFonts w:ascii="宋体" w:hAnsi="宋体" w:cs="宋体"/>
          <w:color w:val="auto"/>
          <w:highlight w:val="none"/>
          <w:lang w:val="zh-CN"/>
        </w:rPr>
      </w:pPr>
      <w:r>
        <w:rPr>
          <w:rFonts w:hint="eastAsia" w:ascii="宋体" w:hAnsi="宋体" w:cs="宋体"/>
          <w:color w:val="auto"/>
          <w:highlight w:val="none"/>
          <w:lang w:val="zh-CN"/>
        </w:rPr>
        <w:t xml:space="preserve">22.5 《中标通知书》发出后，中标供应商无正当理由不与采购人签订合同的，应当依法承担法律责任。</w:t>
      </w:r>
      <w:r/>
    </w:p>
    <w:p>
      <w:pPr>
        <w:ind w:firstLine="420"/>
        <w:rPr>
          <w:rFonts w:ascii="宋体" w:hAnsi="宋体" w:cs="宋体"/>
          <w:color w:val="auto"/>
          <w:highlight w:val="none"/>
        </w:rPr>
      </w:pPr>
      <w:r>
        <w:rPr>
          <w:rFonts w:hint="eastAsia" w:ascii="宋体" w:hAnsi="宋体" w:cs="宋体"/>
          <w:color w:val="auto"/>
          <w:highlight w:val="none"/>
          <w:lang w:val="zh-CN"/>
        </w:rPr>
        <w:t xml:space="preserve">22.6代理机构和评标委员会对未中标的供应商不作未中标原因的解释。</w:t>
      </w:r>
      <w:r/>
    </w:p>
    <w:p>
      <w:pPr>
        <w:ind w:firstLine="413"/>
        <w:rPr>
          <w:rFonts w:ascii="宋体" w:hAnsi="宋体" w:cs="宋体"/>
          <w:b/>
          <w:color w:val="auto"/>
          <w:szCs w:val="21"/>
          <w:highlight w:val="none"/>
        </w:rPr>
      </w:pPr>
      <w:r>
        <w:rPr>
          <w:rFonts w:hint="eastAsia" w:ascii="宋体" w:hAnsi="宋体" w:cs="宋体"/>
          <w:b/>
          <w:color w:val="auto"/>
          <w:szCs w:val="21"/>
          <w:highlight w:val="none"/>
        </w:rPr>
        <w:t xml:space="preserve">23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编写评标报告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23.1 评标委员会根据全体评标成员签字的原始评标记录和评标结果编写评标报告。</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24、评标过程的保密性</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 招标代理将采取必要措施，保证评标在严格保密的情况下进行。</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 任何单位和个人不得非法干预、影响评标办法的确定，以及评标过程和结果。</w:t>
      </w:r>
      <w:r/>
    </w:p>
    <w:p>
      <w:pPr>
        <w:ind w:firstLine="420"/>
        <w:rPr>
          <w:rFonts w:ascii="宋体" w:hAnsi="宋体" w:cs="宋体"/>
          <w:b/>
          <w:color w:val="auto"/>
          <w:szCs w:val="21"/>
          <w:highlight w:val="none"/>
        </w:rPr>
      </w:pPr>
      <w:r>
        <w:rPr>
          <w:rFonts w:hint="eastAsia" w:ascii="宋体" w:hAnsi="宋体" w:cs="宋体"/>
          <w:color w:val="auto"/>
          <w:szCs w:val="21"/>
          <w:highlight w:val="none"/>
          <w:lang w:val="zh-CN"/>
        </w:rPr>
        <w:t xml:space="preserve">24.3 凡是与审查、澄清、评价和比较投标的有关资料等，均不向供应商及与评标无关的其他人员透露。</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五、签订合同</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25、签订合同</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25.2</w:t>
      </w:r>
      <w:r>
        <w:rPr>
          <w:rFonts w:hint="eastAsia" w:ascii="宋体" w:hAnsi="宋体" w:cs="宋体"/>
          <w:color w:val="auto"/>
          <w:szCs w:val="21"/>
          <w:highlight w:val="none"/>
        </w:rPr>
        <w:t xml:space="preserve">采购人不得向中标人提出任何不合理的要求作为签订合同的条件，不得与中标人私下订立背离合同实质性内容的协议。</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rPr>
          <w:rFonts w:ascii="宋体" w:hAnsi="宋体" w:cs="宋体"/>
          <w:b/>
          <w:bCs/>
          <w:color w:val="auto"/>
          <w:szCs w:val="21"/>
          <w:highlight w:val="none"/>
          <w:lang w:val="zh-CN"/>
        </w:rPr>
        <w:outlineLvl w:val="0"/>
      </w:pPr>
      <w:r>
        <w:rPr>
          <w:rFonts w:hint="eastAsia" w:ascii="宋体" w:hAnsi="宋体" w:cs="宋体"/>
          <w:b/>
          <w:bCs/>
          <w:color w:val="auto"/>
          <w:szCs w:val="21"/>
          <w:highlight w:val="none"/>
          <w:lang w:val="zh-CN"/>
        </w:rPr>
        <w:t xml:space="preserve">六、询问、质疑、投诉和诚实信用</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26、询问</w:t>
      </w:r>
      <w:r/>
    </w:p>
    <w:p>
      <w:pPr>
        <w:ind w:firstLine="420"/>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auto"/>
          <w:szCs w:val="21"/>
          <w:highlight w:val="none"/>
          <w:lang w:val="zh-CN"/>
        </w:rPr>
        <w:t xml:space="preserve">。</w:t>
      </w:r>
      <w:r/>
    </w:p>
    <w:p>
      <w:pPr>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27、质疑</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27.1 投标人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27.2 </w:t>
      </w:r>
      <w:r>
        <w:rPr>
          <w:rFonts w:hint="eastAsia" w:ascii="宋体" w:hAnsi="宋体" w:eastAsia="宋体" w:cs="宋体"/>
          <w:color w:val="auto"/>
          <w:szCs w:val="21"/>
          <w:highlight w:val="none"/>
        </w:rPr>
        <w:t xml:space="preserve">质疑供应商的质疑行为应符合财政部94号令相关规定，</w:t>
      </w:r>
      <w:r>
        <w:rPr>
          <w:rFonts w:hint="eastAsia" w:ascii="宋体" w:hAnsi="宋体" w:cs="宋体"/>
          <w:color w:val="auto"/>
          <w:szCs w:val="21"/>
          <w:highlight w:val="none"/>
          <w:lang w:val="zh-CN"/>
        </w:rPr>
        <w:t xml:space="preserve">质疑供应商是指直接参加本次投标活动的供应商，未参加投标活动的供应商或在投标活动中自身权益未受到损害的供应商所提出的质疑不予受理。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27.3 质疑必须以参加投标供应商法定代表人或授权代表（投标文件中所确定的）原件送达的方式提交，否则，招标代理有权不予受理。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27.4上述应知其权益受到损害之日是指：</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（1）对招标文件提出质疑的，为投标文件公告期限届满之日起计算；</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（2）对采购过程提出质疑的，自采购程序环节结束之日起计算；</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（3）对中标结果提出质疑的，自中标结果公告期限届满之日起计算。  </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27.5 质疑文件应包括以下主要内容，并按照“谁主张、谁举证”的原则，附上相关证明材料。否则，招标代理或采购人不予受理：</w:t>
      </w:r>
      <w:r/>
    </w:p>
    <w:p>
      <w:pPr>
        <w:ind w:left="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（1）质疑项目名称、项目编号、包号、招标公告发布时间、开标时间；</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（2）提起质疑的日期、具体的质疑事项及事实根据（具体条款）；</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（4）质疑供应商名称、地址、邮编、联系人、联系电话（包括座机、手机、传真号码等）；</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（6）供应商委托代理质疑的，应当向被质疑人提交授权委托书，并载明委托代理的具体权限和事项。</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0"/>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28、投诉</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 质疑供应商对招标代理的答复不满意，或招标代理未在规定的时间内作出答复的，可以在答复期满后</w:t>
      </w:r>
      <w:r>
        <w:rPr>
          <w:rFonts w:hint="eastAsia" w:ascii="宋体" w:hAnsi="宋体" w:cs="宋体"/>
          <w:b/>
          <w:bCs/>
          <w:color w:val="auto"/>
          <w:szCs w:val="21"/>
          <w:highlight w:val="none"/>
          <w:lang w:val="zh-CN"/>
        </w:rPr>
        <w:t xml:space="preserve">十五个工作日内</w:t>
      </w:r>
      <w:r>
        <w:rPr>
          <w:rFonts w:hint="eastAsia" w:ascii="宋体" w:hAnsi="宋体" w:cs="宋体"/>
          <w:color w:val="auto"/>
          <w:szCs w:val="21"/>
          <w:highlight w:val="none"/>
          <w:lang w:val="zh-CN"/>
        </w:rPr>
        <w:t xml:space="preserve">向采购项目同级财政部门投诉。</w:t>
      </w:r>
      <w:r/>
    </w:p>
    <w:p>
      <w:pPr>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29、诚实信用</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 供应商之间不得相互串通投标报价，不得妨碍其他供应商的公平竞争，不得损害采购人和其他供应商的合法权益。</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 供应商不得以向招标代理工作人员、评标委员会成员行贿或者采取其他不正当手段谋取中标。经查实供应商有此行为的，</w:t>
      </w:r>
      <w:r>
        <w:rPr>
          <w:rFonts w:hint="eastAsia" w:ascii="宋体" w:hAnsi="宋体" w:cs="宋体"/>
          <w:color w:val="auto"/>
          <w:highlight w:val="none"/>
        </w:rPr>
        <w:t xml:space="preserve">政府采购管理部门将供应商列入不良行为记录名单，按照《政府采购法》有关规定处理。</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29.4 供应商不得虚假承诺，否则，按照提供虚假材料谋取中标成交处理。</w:t>
      </w:r>
      <w:r/>
    </w:p>
    <w:p>
      <w:pPr>
        <w:ind w:firstLine="420"/>
        <w:rPr>
          <w:rFonts w:ascii="宋体" w:hAnsi="宋体" w:cs="宋体"/>
          <w:b/>
          <w:color w:val="auto"/>
          <w:sz w:val="36"/>
          <w:szCs w:val="36"/>
          <w:highlight w:val="none"/>
        </w:rPr>
      </w:pPr>
      <w:r>
        <w:rPr>
          <w:rFonts w:hint="eastAsia" w:ascii="宋体" w:hAnsi="宋体" w:cs="宋体"/>
          <w:color w:val="auto"/>
          <w:szCs w:val="21"/>
          <w:highlight w:val="none"/>
          <w:lang w:val="zh-CN"/>
        </w:rPr>
        <w:t xml:space="preserve">29.5 供应商应自觉遵守开标、评标纪律，扰乱开标评标现场秩序的，属于失信行为，根据《江苏省政府采购供应商监督管理暂行办法》，失信行为将被记入供应商诚信档案。</w:t>
      </w:r>
      <w:r/>
    </w:p>
    <w:p>
      <w:pPr>
        <w:jc w:val="center"/>
        <w:rPr>
          <w:rFonts w:hint="eastAsia" w:ascii="宋体" w:hAnsi="宋体" w:cs="宋体"/>
          <w:b/>
          <w:color w:val="auto"/>
          <w:sz w:val="36"/>
          <w:szCs w:val="36"/>
          <w:highlight w:val="none"/>
        </w:rPr>
      </w:pPr>
      <w:r>
        <w:rPr>
          <w:rFonts w:hint="eastAsia" w:ascii="宋体" w:hAnsi="宋体" w:cs="宋体"/>
          <w:color w:val="auto"/>
          <w:szCs w:val="21"/>
          <w:highlight w:val="none"/>
          <w:lang w:val="zh-CN"/>
        </w:rPr>
        <w:br w:type="page" w:clear="all"/>
      </w:r>
      <w:r>
        <w:rPr>
          <w:rFonts w:hint="eastAsia" w:ascii="宋体" w:hAnsi="宋体" w:cs="宋体"/>
          <w:b/>
          <w:color w:val="auto"/>
          <w:sz w:val="36"/>
          <w:szCs w:val="36"/>
          <w:highlight w:val="none"/>
        </w:rPr>
        <w:t xml:space="preserve">第三章 评标标准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在综合比较与评价后按照得分由高到低顺序对供应商进行排序。得分相同的，按投标报价由低到高顺序排列。得分且报价相同的，按技术指标（</w:t>
      </w:r>
      <w:r>
        <w:rPr>
          <w:rFonts w:hint="eastAsia" w:ascii="宋体" w:hAnsi="宋体" w:cs="宋体"/>
          <w:color w:val="auto"/>
          <w:szCs w:val="21"/>
          <w:highlight w:val="none"/>
        </w:rPr>
        <w:t xml:space="preserve">技术部分</w:t>
      </w:r>
      <w:r>
        <w:rPr>
          <w:rFonts w:hint="eastAsia" w:ascii="宋体" w:hAnsi="宋体" w:cs="宋体"/>
          <w:color w:val="auto"/>
          <w:szCs w:val="21"/>
          <w:highlight w:val="none"/>
          <w:lang w:val="zh-CN"/>
        </w:rPr>
        <w:t xml:space="preserve">）优劣顺序排列</w:t>
      </w:r>
      <w:r>
        <w:rPr>
          <w:rFonts w:ascii="宋体" w:hAnsi="宋体" w:cs="宋体"/>
          <w:color w:val="auto"/>
          <w:szCs w:val="21"/>
          <w:highlight w:val="none"/>
          <w:lang w:val="zh-CN"/>
        </w:rPr>
        <w:t xml:space="preserve">。</w:t>
      </w:r>
      <w:r/>
    </w:p>
    <w:tbl>
      <w:tblPr>
        <w:tblStyle w:val="971"/>
        <w:tblW w:w="9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733"/>
        <w:gridCol w:w="7337"/>
        <w:gridCol w:w="618"/>
      </w:tblGrid>
      <w:tr>
        <w:trPr>
          <w:trHeight w:val="602"/>
        </w:trPr>
        <w:tc>
          <w:tcPr>
            <w:tcW w:w="674"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
                <w:color w:val="auto"/>
                <w:szCs w:val="21"/>
                <w:highlight w:val="none"/>
              </w:rPr>
              <w:t xml:space="preserve">序号</w:t>
            </w:r>
            <w:r/>
          </w:p>
        </w:tc>
        <w:tc>
          <w:tcPr>
            <w:tcW w:w="733"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
                <w:color w:val="auto"/>
                <w:szCs w:val="21"/>
                <w:highlight w:val="none"/>
              </w:rPr>
              <w:t xml:space="preserve">评分因素</w:t>
            </w:r>
            <w:r/>
          </w:p>
        </w:tc>
        <w:tc>
          <w:tcPr>
            <w:tcW w:w="7337"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
                <w:color w:val="auto"/>
                <w:szCs w:val="21"/>
                <w:highlight w:val="none"/>
              </w:rPr>
              <w:t xml:space="preserve">评  分  细  则</w:t>
            </w:r>
            <w:r/>
          </w:p>
        </w:tc>
        <w:tc>
          <w:tcPr>
            <w:tcW w:w="61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
                <w:color w:val="auto"/>
                <w:szCs w:val="21"/>
                <w:highlight w:val="none"/>
              </w:rPr>
              <w:t xml:space="preserve">分值</w:t>
            </w:r>
            <w:r/>
          </w:p>
        </w:tc>
      </w:tr>
      <w:tr>
        <w:trPr>
          <w:trHeight w:val="1559"/>
        </w:trPr>
        <w:tc>
          <w:tcPr>
            <w:tcW w:w="674" w:type="dxa"/>
            <w:vAlign w:val="center"/>
            <w:textDirection w:val="lrTb"/>
            <w:noWrap w:val="false"/>
          </w:tcPr>
          <w:p>
            <w:pPr>
              <w:jc w:val="center"/>
              <w:spacing w:before="62" w:after="4"/>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733"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color w:val="auto"/>
                <w:szCs w:val="21"/>
                <w:highlight w:val="none"/>
              </w:rPr>
              <w:t xml:space="preserve">价格</w:t>
            </w:r>
            <w:r/>
          </w:p>
        </w:tc>
        <w:tc>
          <w:tcPr>
            <w:tcW w:w="7337" w:type="dxa"/>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本次招标，以进入详细评审的各投标人评标价的最低值为A值，A值为价格分的满分，即30分。其他投标人的价格分统一按照以下公式计算：投标人评标价得分=（A／该投标人评标价）×30。（保留小数点后两位）</w:t>
            </w:r>
            <w:r/>
          </w:p>
        </w:tc>
        <w:tc>
          <w:tcPr>
            <w:tcW w:w="61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30</w:t>
            </w:r>
            <w:r/>
          </w:p>
        </w:tc>
      </w:tr>
      <w:tr>
        <w:trPr>
          <w:trHeight w:val="1559"/>
        </w:trPr>
        <w:tc>
          <w:tcPr>
            <w:tcW w:w="674" w:type="dxa"/>
            <w:vAlign w:val="center"/>
            <w:textDirection w:val="lrTb"/>
            <w:noWrap w:val="false"/>
          </w:tcPr>
          <w:p>
            <w:pPr>
              <w:jc w:val="center"/>
              <w:spacing w:before="62" w:after="4"/>
              <w:rPr>
                <w:rFonts w:hint="eastAsia" w:ascii="宋体" w:hAnsi="宋体" w:cs="宋体"/>
                <w:b/>
                <w:color w:val="auto"/>
                <w:szCs w:val="21"/>
                <w:highlight w:val="none"/>
              </w:rPr>
            </w:pPr>
            <w:r>
              <w:rPr>
                <w:rFonts w:hint="eastAsia" w:ascii="宋体" w:hAnsi="宋体" w:cs="宋体"/>
                <w:b/>
                <w:color w:val="auto"/>
                <w:szCs w:val="21"/>
                <w:highlight w:val="none"/>
              </w:rPr>
              <w:t xml:space="preserve">2</w:t>
            </w:r>
            <w:r/>
          </w:p>
        </w:tc>
        <w:tc>
          <w:tcPr>
            <w:tcW w:w="733"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技术响应</w:t>
            </w:r>
            <w:r/>
          </w:p>
        </w:tc>
        <w:tc>
          <w:tcPr>
            <w:tcW w:w="7337" w:type="dxa"/>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投标产品对招标文件具体需求的响应程度能够满足招标文件“第四章 招标项目要求”的得</w:t>
            </w: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分。招标文件中标注“★”的内容为实质性要求，有一项不符合的，作无效投标处理。带“▲”条款为重要技术参数指标，如带“▲”条款存在负偏离的，负偏离1项扣3分；其他技术参数，负偏离1项扣1分，扣完为止。</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如文件中要求提供证明材料，建议采用加粗或下划线等进行明显标注，并在偏离表中标明页码，方便评委查看。</w:t>
            </w:r>
            <w:r/>
          </w:p>
        </w:tc>
        <w:tc>
          <w:tcPr>
            <w:tcW w:w="618"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32</w:t>
            </w:r>
            <w:r/>
          </w:p>
        </w:tc>
      </w:tr>
      <w:tr>
        <w:trPr>
          <w:trHeight w:val="1396"/>
        </w:trPr>
        <w:tc>
          <w:tcPr>
            <w:tcW w:w="674" w:type="dxa"/>
            <w:vAlign w:val="center"/>
            <w:textDirection w:val="lrTb"/>
            <w:noWrap w:val="false"/>
          </w:tcPr>
          <w:p>
            <w:pPr>
              <w:jc w:val="center"/>
              <w:spacing w:before="62" w:after="4"/>
              <w:rPr>
                <w:rFonts w:hint="eastAsia" w:ascii="宋体" w:hAnsi="宋体" w:cs="宋体"/>
                <w:b/>
                <w:color w:val="auto"/>
                <w:szCs w:val="21"/>
                <w:highlight w:val="none"/>
              </w:rPr>
            </w:pPr>
            <w:r>
              <w:rPr>
                <w:rFonts w:hint="eastAsia" w:ascii="宋体" w:hAnsi="宋体" w:cs="宋体"/>
                <w:b/>
                <w:color w:val="auto"/>
                <w:szCs w:val="21"/>
                <w:highlight w:val="none"/>
              </w:rPr>
              <w:t xml:space="preserve">3</w:t>
            </w:r>
            <w:r/>
          </w:p>
        </w:tc>
        <w:tc>
          <w:tcPr>
            <w:tcW w:w="733"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color w:val="auto"/>
                <w:szCs w:val="21"/>
                <w:highlight w:val="none"/>
              </w:rPr>
              <w:t xml:space="preserve">业绩</w:t>
            </w:r>
            <w:r/>
          </w:p>
        </w:tc>
        <w:tc>
          <w:tcPr>
            <w:tcW w:w="7337" w:type="dxa"/>
            <w:vAlign w:val="center"/>
            <w:textDirection w:val="lrTb"/>
            <w:noWrap w:val="false"/>
          </w:tcPr>
          <w:p>
            <w:pPr>
              <w:spacing w:line="30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投标人提供自2023年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月1日（含）（时间以合同签订时间为准）以来同类产品的销售业绩，每提供一份得2分，最多得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须提供合同、中标通知书（或网上中标公示截图）及验收合格证明材料复印件，以上三份材料都需要加盖投标单位公章并同时提供才视为有效，同一业主单位的不重复计算，合同须含有清晰可见的标的物以及盖章或签字部分所在页，未体现不得分，原件备查。</w:t>
            </w:r>
            <w:r/>
          </w:p>
        </w:tc>
        <w:tc>
          <w:tcPr>
            <w:tcW w:w="618" w:type="dxa"/>
            <w:vAlign w:val="center"/>
            <w:textDirection w:val="lrTb"/>
            <w:noWrap w:val="false"/>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4</w:t>
            </w:r>
            <w:r/>
          </w:p>
        </w:tc>
      </w:tr>
      <w:tr>
        <w:trPr>
          <w:trHeight w:val="668"/>
        </w:trPr>
        <w:tc>
          <w:tcPr>
            <w:tcW w:w="674" w:type="dxa"/>
            <w:vAlign w:val="center"/>
            <w:textDirection w:val="lrTb"/>
            <w:noWrap w:val="false"/>
          </w:tcPr>
          <w:p>
            <w:pPr>
              <w:jc w:val="center"/>
              <w:spacing w:before="62" w:after="4"/>
              <w:rPr>
                <w:rFonts w:hint="eastAsia" w:ascii="宋体" w:hAnsi="宋体" w:cs="宋体"/>
                <w:b/>
                <w:color w:val="auto"/>
                <w:szCs w:val="21"/>
                <w:highlight w:val="none"/>
              </w:rPr>
            </w:pPr>
            <w:r>
              <w:rPr>
                <w:rFonts w:hint="eastAsia" w:ascii="宋体" w:hAnsi="宋体" w:cs="宋体"/>
                <w:b/>
                <w:color w:val="auto"/>
                <w:szCs w:val="21"/>
                <w:highlight w:val="none"/>
              </w:rPr>
              <w:t xml:space="preserve">4</w:t>
            </w:r>
            <w:r/>
          </w:p>
        </w:tc>
        <w:tc>
          <w:tcPr>
            <w:tcW w:w="733" w:type="dxa"/>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免费质保期</w:t>
            </w:r>
            <w:r/>
          </w:p>
        </w:tc>
        <w:tc>
          <w:tcPr>
            <w:tcW w:w="733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供应商承诺项目整体及所投设备满足采购文件免费质保期要求（1年）的基础上整机免费质保期每增加1年加2分，满分4分。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（提供质保期承诺函原件加盖投标单位公章，如承诺的设备质保期不一致按最低质保期计算）</w:t>
            </w:r>
            <w:r/>
          </w:p>
        </w:tc>
        <w:tc>
          <w:tcPr>
            <w:tcW w:w="61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p>
        </w:tc>
      </w:tr>
      <w:tr>
        <w:trPr>
          <w:trHeight w:val="599"/>
        </w:trPr>
        <w:tc>
          <w:tcPr>
            <w:tcW w:w="674" w:type="dxa"/>
            <w:vAlign w:val="center"/>
            <w:textDirection w:val="lrTb"/>
            <w:noWrap w:val="false"/>
          </w:tcPr>
          <w:p>
            <w:pPr>
              <w:jc w:val="center"/>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5</w:t>
            </w:r>
            <w:r/>
          </w:p>
        </w:tc>
        <w:tc>
          <w:tcPr>
            <w:gridSpan w:val="3"/>
            <w:tcW w:w="8688" w:type="dxa"/>
            <w:vAlign w:val="center"/>
            <w:textDirection w:val="lrTb"/>
            <w:noWrap w:val="false"/>
          </w:tcPr>
          <w:p>
            <w:pPr>
              <w:jc w:val="center"/>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技术部分</w:t>
            </w:r>
            <w:r/>
          </w:p>
        </w:tc>
      </w:tr>
      <w:tr>
        <w:trPr>
          <w:trHeight w:val="816"/>
        </w:trPr>
        <w:tc>
          <w:tcPr>
            <w:tcW w:w="674" w:type="dxa"/>
            <w:vAlign w:val="center"/>
            <w:textDirection w:val="lrTb"/>
            <w:noWrap w:val="false"/>
          </w:tcPr>
          <w:p>
            <w:pPr>
              <w:jc w:val="center"/>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5.1</w:t>
            </w:r>
            <w:r/>
          </w:p>
        </w:tc>
        <w:tc>
          <w:tcPr>
            <w:tcW w:w="73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实施方案</w:t>
            </w:r>
            <w:r/>
          </w:p>
        </w:tc>
        <w:tc>
          <w:tcPr>
            <w:tcW w:w="7337"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评标委员会根据供应商针对本项目的项目需求及项目要点提供的项目实施方案进行打分，包括但不限于全部产品的安装部署、联合调试方案、供货及安装各节点时间进度、人员配置安排等：</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1、项目实施方案全面，针对性强，能完全满足本项目需求的，得7分；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2、项目实施方案较全面、针对性较强，能满足本项目需求的，得4分；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3、项目实施方案一般，针对性、可行性一般，勉强能满足本项目需求的，得1分；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4、其他或未提供不得分。</w:t>
            </w:r>
            <w:r/>
          </w:p>
        </w:tc>
        <w:tc>
          <w:tcPr>
            <w:tcW w:w="618" w:type="dxa"/>
            <w:vAlign w:val="center"/>
            <w:textDirection w:val="lrTb"/>
            <w:noWrap w:val="false"/>
          </w:tcPr>
          <w:p>
            <w:pPr>
              <w:jc w:val="cente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r>
      <w:tr>
        <w:trPr>
          <w:trHeight w:val="574"/>
        </w:trPr>
        <w:tc>
          <w:tcPr>
            <w:tcW w:w="674" w:type="dxa"/>
            <w:vAlign w:val="center"/>
            <w:textDirection w:val="lrTb"/>
            <w:noWrap w:val="false"/>
          </w:tcPr>
          <w:p>
            <w:pPr>
              <w:jc w:val="center"/>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5.2</w:t>
            </w:r>
            <w:r/>
          </w:p>
        </w:tc>
        <w:tc>
          <w:tcPr>
            <w:tcW w:w="733" w:type="dxa"/>
            <w:vAlign w:val="center"/>
            <w:textDirection w:val="lrTb"/>
            <w:noWrap w:val="false"/>
          </w:tcPr>
          <w:p>
            <w:pPr>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验收方案</w:t>
            </w:r>
            <w:r/>
          </w:p>
        </w:tc>
        <w:tc>
          <w:tcPr>
            <w:tcW w:w="7337"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评标委员会根据供应商针对本项目的项目需求及项目要点提供的项目验收方案进行打分，包括但不限于全部产品的安装部署、联合调试方案、供货及安装各节点时间进度、人员配置安排等：</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1、验收方案全面，针对性强，能完全满足本项目需求的，得7分；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2、验收方案较全面、针对性较强，能满足本项目需求的，得4分；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3、验收方案一般，针对性、可行性一般，勉强能满足本项目需求的，得1分；</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4、其他或未提供不得分。</w:t>
            </w:r>
            <w:r/>
          </w:p>
        </w:tc>
        <w:tc>
          <w:tcPr>
            <w:tcW w:w="618" w:type="dxa"/>
            <w:vAlign w:val="center"/>
            <w:textDirection w:val="lrTb"/>
            <w:noWrap w:val="false"/>
          </w:tcPr>
          <w:p>
            <w:pPr>
              <w:jc w:val="center"/>
              <w:spacing w:line="3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p>
        </w:tc>
      </w:tr>
      <w:tr>
        <w:trPr>
          <w:trHeight w:val="1117"/>
        </w:trPr>
        <w:tc>
          <w:tcPr>
            <w:tcW w:w="674" w:type="dxa"/>
            <w:vAlign w:val="center"/>
            <w:textDirection w:val="lrTb"/>
            <w:noWrap w:val="false"/>
          </w:tcPr>
          <w:p>
            <w:pPr>
              <w:jc w:val="center"/>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5.3</w:t>
            </w:r>
            <w:r/>
          </w:p>
        </w:tc>
        <w:tc>
          <w:tcPr>
            <w:tcW w:w="733"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售后服务方案</w:t>
            </w:r>
            <w:r/>
          </w:p>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7337" w:type="dxa"/>
            <w:vAlign w:val="center"/>
            <w:textDirection w:val="lrTb"/>
            <w:noWrap w:val="false"/>
          </w:tcPr>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根据投标人针对本项目提供的售后服务方案（包括但不限于售后服务人员的配备、服务响应时间、质保期后服务等技术指导及该仪器的备品、配件、耗材、维修的明细、价格或折扣的承诺）进行综合评审：</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1、服务方案全面，细致，有针对性，且售后服务、质保期后服务等技术指导方案周全，备品、配件、耗材、维修的明细、价格或折扣合理，得8分；</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2、服务方案不够全面，无针对性，且售后服务、质保期后服务等技术指导方案内容不够周全，备品、配件、耗材、维修的明细、价格或折扣较为合理的，得5分；</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3、方案无实质性内容、没有可操作性，备品、配件、耗材、维修的明细、价格或折扣不太合理得2分；</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4、其他或未提供不得分。</w:t>
            </w:r>
            <w:r/>
          </w:p>
        </w:tc>
        <w:tc>
          <w:tcPr>
            <w:tcW w:w="618" w:type="dxa"/>
            <w:vAlign w:val="center"/>
            <w:textDirection w:val="lrTb"/>
            <w:noWrap w:val="false"/>
          </w:tcPr>
          <w:p>
            <w:pPr>
              <w:jc w:val="cente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r>
      <w:tr>
        <w:trPr>
          <w:trHeight w:val="305"/>
        </w:trPr>
        <w:tc>
          <w:tcPr>
            <w:tcW w:w="674" w:type="dxa"/>
            <w:vAlign w:val="center"/>
            <w:textDirection w:val="lrTb"/>
            <w:noWrap w:val="false"/>
          </w:tcPr>
          <w:p>
            <w:pPr>
              <w:jc w:val="center"/>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5.4</w:t>
            </w:r>
            <w:r/>
          </w:p>
        </w:tc>
        <w:tc>
          <w:tcPr>
            <w:tcW w:w="733" w:type="dxa"/>
            <w:vAlign w:val="center"/>
            <w:textDirection w:val="lrTb"/>
            <w:noWrap w:val="false"/>
          </w:tcPr>
          <w:p>
            <w:pPr>
              <w:spacing w:line="30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培训及应急保障方案</w:t>
            </w:r>
            <w:r/>
          </w:p>
        </w:tc>
        <w:tc>
          <w:tcPr>
            <w:tcW w:w="7337" w:type="dxa"/>
            <w:vAlign w:val="center"/>
            <w:textDirection w:val="lrTb"/>
            <w:noWrap w:val="false"/>
          </w:tcPr>
          <w:p>
            <w:pPr>
              <w:spacing w:line="30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根据供应商提供的</w:t>
            </w:r>
            <w:r>
              <w:rPr>
                <w:rFonts w:hint="eastAsia" w:ascii="宋体" w:hAnsi="宋体" w:cs="宋体"/>
                <w:color w:val="auto"/>
                <w:szCs w:val="21"/>
                <w:highlight w:val="none"/>
              </w:rPr>
              <w:t xml:space="preserve">培训及应急保障方案进行打分，</w:t>
            </w:r>
            <w:r>
              <w:rPr>
                <w:rFonts w:hint="eastAsia" w:ascii="宋体" w:hAnsi="宋体" w:cs="宋体"/>
                <w:color w:val="auto"/>
                <w:szCs w:val="21"/>
                <w:highlight w:val="none"/>
                <w:lang w:val="zh-CN"/>
              </w:rPr>
              <w:t xml:space="preserve">包括但不限于人员操作培训、维修保养培训、相关科研教育</w:t>
            </w:r>
            <w:r>
              <w:rPr>
                <w:rFonts w:hint="eastAsia" w:ascii="宋体" w:hAnsi="宋体" w:cs="宋体"/>
                <w:color w:val="auto"/>
                <w:szCs w:val="21"/>
                <w:highlight w:val="none"/>
              </w:rPr>
              <w:t xml:space="preserve">、应急保障预案以及项目实施风险分析</w:t>
            </w:r>
            <w:r>
              <w:rPr>
                <w:rFonts w:hint="eastAsia" w:ascii="宋体" w:hAnsi="宋体" w:cs="宋体"/>
                <w:color w:val="auto"/>
                <w:szCs w:val="21"/>
                <w:highlight w:val="none"/>
                <w:lang w:val="zh-CN"/>
              </w:rPr>
              <w:t xml:space="preserve">等</w:t>
            </w:r>
            <w:r>
              <w:rPr>
                <w:rFonts w:hint="eastAsia" w:ascii="宋体" w:hAnsi="宋体" w:cs="宋体"/>
                <w:color w:val="auto"/>
                <w:szCs w:val="21"/>
                <w:highlight w:val="none"/>
              </w:rPr>
              <w:t xml:space="preserve">方面进行打分。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1、培训内容完善、风险分析全面、保障方案周全，得8分；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2、培训内容基本完善、风险分析基本全面、保障方案基本周全，得5分；</w:t>
            </w:r>
            <w:r/>
          </w:p>
          <w:p>
            <w:pPr>
              <w:spacing w:line="300" w:lineRule="auto"/>
              <w:rPr>
                <w:rFonts w:hint="eastAsia" w:ascii="宋体" w:hAnsi="宋体" w:cs="宋体"/>
                <w:color w:val="auto"/>
                <w:szCs w:val="21"/>
                <w:highlight w:val="none"/>
              </w:rPr>
            </w:pPr>
            <w:r>
              <w:rPr>
                <w:rFonts w:hint="eastAsia" w:ascii="宋体" w:hAnsi="宋体" w:cs="宋体"/>
                <w:color w:val="auto"/>
                <w:szCs w:val="21"/>
                <w:highlight w:val="none"/>
              </w:rPr>
              <w:t xml:space="preserve">3、培训内容和保障方案简单、风险分析有所缺漏，得2分；</w:t>
            </w:r>
            <w:r/>
          </w:p>
          <w:p>
            <w:pPr>
              <w:spacing w:line="30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4、其他或未提供不得分。</w:t>
            </w:r>
            <w:r/>
          </w:p>
        </w:tc>
        <w:tc>
          <w:tcPr>
            <w:tcW w:w="618" w:type="dxa"/>
            <w:vAlign w:val="center"/>
            <w:textDirection w:val="lrTb"/>
            <w:noWrap w:val="false"/>
          </w:tcPr>
          <w:p>
            <w:pPr>
              <w:jc w:val="center"/>
              <w:spacing w:line="30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p>
        </w:tc>
      </w:tr>
      <w:tr>
        <w:trPr>
          <w:trHeight w:val="521"/>
        </w:trPr>
        <w:tc>
          <w:tcPr>
            <w:gridSpan w:val="4"/>
            <w:tcBorders>
              <w:top w:val="single" w:color="auto" w:sz="4" w:space="0"/>
              <w:left w:val="single" w:color="auto" w:sz="4" w:space="0"/>
              <w:bottom w:val="single" w:color="auto" w:sz="4" w:space="0"/>
              <w:right w:val="single" w:color="auto" w:sz="4" w:space="0"/>
            </w:tcBorders>
            <w:tcW w:w="9362" w:type="dxa"/>
            <w:vAlign w:val="center"/>
            <w:textDirection w:val="lrTb"/>
            <w:noWrap w:val="false"/>
          </w:tcPr>
          <w:p>
            <w:pPr>
              <w:jc w:val="center"/>
              <w:spacing w:before="62" w:after="4"/>
              <w:rPr>
                <w:rFonts w:hint="eastAsia" w:ascii="宋体" w:hAnsi="宋体" w:cs="宋体"/>
                <w:bCs/>
                <w:color w:val="auto"/>
                <w:szCs w:val="21"/>
                <w:highlight w:val="none"/>
              </w:rPr>
            </w:pPr>
            <w:r>
              <w:rPr>
                <w:rFonts w:hint="eastAsia" w:ascii="宋体" w:hAnsi="宋体" w:cs="宋体"/>
                <w:bCs/>
                <w:color w:val="auto"/>
                <w:szCs w:val="21"/>
                <w:highlight w:val="none"/>
              </w:rPr>
              <w:t xml:space="preserve">合计：100分</w:t>
            </w:r>
            <w:r/>
          </w:p>
        </w:tc>
      </w:tr>
    </w:tbl>
    <w:p>
      <w:pPr>
        <w:pStyle w:val="1034"/>
        <w:rPr>
          <w:color w:val="auto"/>
          <w:highlight w:val="none"/>
          <w:lang w:val="zh-CN"/>
        </w:rPr>
      </w:pPr>
      <w:r>
        <w:rPr>
          <w:color w:val="auto"/>
          <w:highlight w:val="none"/>
          <w:lang w:val="zh-CN"/>
        </w:rPr>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一、小微企业的价格扣除</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2.价格扣除比例或者价格分加分比例对小型企业和微型企业同等对待，不作区分。</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lang w:val="en-US" w:eastAsia="zh-CN"/>
        </w:rPr>
        <w:t xml:space="preserve">二</w:t>
      </w:r>
      <w:r>
        <w:rPr>
          <w:rFonts w:hint="eastAsia" w:ascii="宋体" w:hAnsi="宋体" w:cs="宋体"/>
          <w:bCs/>
          <w:color w:val="auto"/>
          <w:highlight w:val="none"/>
        </w:rPr>
        <w:t xml:space="preserve">、监狱和戒毒企业的价格扣除</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1.本项目对监狱和戒毒企业（简称监狱企业）视同小型、微型企业，享受相同的价格扣除优惠政策。</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2.监狱企业需提供由省级以上监狱管理局、戒毒管理局（含新疆生产建设兵团）出具的属于监狱企业的证明文件。</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3.监狱企业标准请参照《关于政府采购支持监狱企业发展有关问题的通知》（财库〔2014〕68号）。</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lang w:val="en-US" w:eastAsia="zh-CN"/>
        </w:rPr>
        <w:t xml:space="preserve">三</w:t>
      </w:r>
      <w:r>
        <w:rPr>
          <w:rFonts w:hint="eastAsia" w:ascii="宋体" w:hAnsi="宋体" w:cs="宋体"/>
          <w:bCs/>
          <w:color w:val="auto"/>
          <w:highlight w:val="none"/>
        </w:rPr>
        <w:t xml:space="preserve">、残疾人福利性单位的价格扣除</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1.本项目对残疾人福利性单位视同小型、微型企业，享受相同的价格扣除优惠政策。</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2.残疾人福利性单位需按照招标文件的要求提供《残疾人福利性单位声明函》。</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rPr>
        <w:t xml:space="preserve">3.残疾人福利性单位标准请参照《关于促进残疾人就业政府采购政策的通知》（财库〔2017〕141号）。</w:t>
      </w:r>
      <w:r/>
    </w:p>
    <w:p>
      <w:pPr>
        <w:ind w:firstLine="420"/>
        <w:jc w:val="left"/>
        <w:spacing w:line="360" w:lineRule="auto"/>
        <w:shd w:val="clear" w:color="auto" w:fill="ffffff"/>
        <w:widowControl/>
        <w:rPr>
          <w:rFonts w:hint="eastAsia" w:ascii="宋体" w:hAnsi="宋体" w:cs="宋体"/>
          <w:bCs/>
          <w:color w:val="auto"/>
          <w:highlight w:val="none"/>
        </w:rPr>
      </w:pPr>
      <w:r>
        <w:rPr>
          <w:rFonts w:hint="eastAsia" w:ascii="宋体" w:hAnsi="宋体" w:cs="宋体"/>
          <w:bCs/>
          <w:color w:val="auto"/>
          <w:highlight w:val="none"/>
          <w:lang w:eastAsia="zh-CN"/>
        </w:rPr>
        <w:t xml:space="preserve">四</w:t>
      </w:r>
      <w:r>
        <w:rPr>
          <w:rFonts w:hint="eastAsia" w:ascii="宋体" w:hAnsi="宋体" w:cs="宋体"/>
          <w:bCs/>
          <w:color w:val="auto"/>
          <w:highlight w:val="none"/>
        </w:rPr>
        <w:t xml:space="preserve">、监狱企业、残疾人福利性单位属于小型、微型企业的，不重复享受政策。</w:t>
      </w:r>
      <w:r/>
    </w:p>
    <w:p>
      <w:pPr>
        <w:ind w:firstLine="420"/>
        <w:jc w:val="left"/>
        <w:spacing w:line="360" w:lineRule="auto"/>
        <w:rPr>
          <w:rFonts w:hint="eastAsia" w:ascii="宋体" w:hAnsi="宋体" w:cs="宋体"/>
          <w:bCs/>
          <w:color w:val="auto"/>
          <w:highlight w:val="none"/>
        </w:rPr>
      </w:pPr>
      <w:r>
        <w:rPr>
          <w:rFonts w:hint="eastAsia" w:ascii="宋体" w:hAnsi="宋体" w:cs="宋体"/>
          <w:bCs/>
          <w:color w:val="auto"/>
          <w:highlight w:val="none"/>
          <w:lang w:eastAsia="zh-CN"/>
        </w:rPr>
        <w:t xml:space="preserve">五</w:t>
      </w:r>
      <w:r>
        <w:rPr>
          <w:rFonts w:hint="eastAsia" w:ascii="宋体" w:hAnsi="宋体" w:cs="宋体"/>
          <w:bCs/>
          <w:color w:val="auto"/>
          <w:highlight w:val="none"/>
        </w:rPr>
        <w:t xml:space="preserve">、采购本国产品的支持政策</w:t>
      </w:r>
      <w:r/>
    </w:p>
    <w:p>
      <w:pPr>
        <w:ind w:firstLine="42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宋体" w:hAnsi="宋体" w:cs="宋体"/>
          <w:bCs/>
          <w:color w:val="auto"/>
          <w:highlight w:val="none"/>
        </w:rPr>
      </w:pPr>
      <w:r>
        <w:rPr>
          <w:rFonts w:hint="eastAsia" w:ascii="宋体" w:hAnsi="宋体" w:cs="宋体"/>
          <w:bCs/>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hint="eastAsia" w:ascii="宋体" w:hAnsi="宋体" w:cs="宋体"/>
          <w:bCs/>
          <w:color w:val="auto"/>
          <w:sz w:val="22"/>
          <w:szCs w:val="22"/>
          <w:highlight w:val="none"/>
        </w:rPr>
        <w:sectPr>
          <w:headerReference w:type="default" r:id="rId10"/>
          <w:footerReference w:type="default" r:id="rId12"/>
          <w:footnotePr/>
          <w:endnotePr/>
          <w:type w:val="nextPage"/>
          <w:pgSz w:w="11906" w:h="16838" w:orient="portrait"/>
          <w:pgMar w:top="850" w:right="850" w:bottom="850" w:left="1418" w:header="170" w:footer="397" w:gutter="0"/>
          <w:cols w:num="1" w:sep="0" w:space="720" w:equalWidth="1"/>
          <w:docGrid w:linePitch="360"/>
        </w:sectPr>
      </w:pPr>
      <w:r>
        <w:rPr>
          <w:rFonts w:hint="eastAsia" w:ascii="宋体" w:hAnsi="宋体" w:cs="宋体"/>
          <w:bCs/>
          <w:color w:val="auto"/>
          <w:highlight w:val="none"/>
          <w:lang w:val="en-US" w:eastAsia="zh-CN"/>
        </w:rPr>
        <w:t xml:space="preserve">六</w:t>
      </w:r>
      <w:r>
        <w:rPr>
          <w:rFonts w:hint="eastAsia" w:ascii="宋体" w:hAnsi="宋体" w:cs="宋体"/>
          <w:bCs/>
          <w:color w:val="auto"/>
          <w:highlight w:val="none"/>
        </w:rPr>
        <w:t xml:space="preserve">、除评分标准中另有说明外，所有认证、证明和业绩均以有效的证明文件的复印件为依据。</w:t>
      </w:r>
      <w:r/>
    </w:p>
    <w:p>
      <w:pPr>
        <w:jc w:val="center"/>
        <w:spacing w:after="240"/>
        <w:rPr>
          <w:rFonts w:hint="eastAsia" w:ascii="宋体" w:hAnsi="宋体"/>
          <w:b/>
          <w:bCs/>
          <w:color w:val="auto"/>
          <w:sz w:val="44"/>
          <w:szCs w:val="44"/>
          <w:highlight w:val="none"/>
          <w:lang w:val="zh-CN"/>
        </w:rPr>
        <w:outlineLvl w:val="0"/>
      </w:pPr>
      <w:r/>
      <w:bookmarkStart w:id="30" w:name="_Toc285612594"/>
      <w:r/>
      <w:bookmarkStart w:id="31" w:name="_Toc390713967"/>
      <w:r/>
      <w:bookmarkStart w:id="32" w:name="_Toc86950124"/>
      <w:r/>
      <w:bookmarkStart w:id="33" w:name="OLE_LINK13"/>
      <w:r/>
      <w:bookmarkStart w:id="34" w:name="OLE_LINK12"/>
      <w:r/>
      <w:bookmarkStart w:id="35" w:name="OLE_LINK6"/>
      <w:r/>
      <w:bookmarkStart w:id="36" w:name="OLE_LINK4"/>
      <w:r>
        <w:rPr>
          <w:rFonts w:ascii="宋体" w:hAnsi="宋体"/>
          <w:b/>
          <w:bCs/>
          <w:color w:val="auto"/>
          <w:sz w:val="44"/>
          <w:szCs w:val="44"/>
          <w:highlight w:val="none"/>
          <w:lang w:val="zh-CN"/>
        </w:rPr>
        <w:t xml:space="preserve">第</w:t>
      </w:r>
      <w:r>
        <w:rPr>
          <w:rFonts w:hint="eastAsia" w:ascii="宋体" w:hAnsi="宋体"/>
          <w:b/>
          <w:bCs/>
          <w:color w:val="auto"/>
          <w:sz w:val="44"/>
          <w:szCs w:val="44"/>
          <w:highlight w:val="none"/>
        </w:rPr>
        <w:t xml:space="preserve">四</w:t>
      </w:r>
      <w:r>
        <w:rPr>
          <w:rFonts w:hint="eastAsia" w:ascii="宋体" w:hAnsi="宋体"/>
          <w:b/>
          <w:bCs/>
          <w:color w:val="auto"/>
          <w:sz w:val="44"/>
          <w:szCs w:val="44"/>
          <w:highlight w:val="none"/>
          <w:lang w:val="zh-CN"/>
        </w:rPr>
        <w:t xml:space="preserve">章</w:t>
      </w:r>
      <w:r>
        <w:rPr>
          <w:rFonts w:ascii="宋体" w:hAnsi="宋体"/>
          <w:b/>
          <w:bCs/>
          <w:color w:val="auto"/>
          <w:sz w:val="44"/>
          <w:szCs w:val="44"/>
          <w:highlight w:val="none"/>
          <w:lang w:val="zh-CN"/>
        </w:rPr>
        <w:t xml:space="preserve">  </w:t>
      </w:r>
      <w:bookmarkEnd w:id="30"/>
      <w:r/>
      <w:bookmarkEnd w:id="31"/>
      <w:r/>
      <w:bookmarkEnd w:id="32"/>
      <w:r>
        <w:rPr>
          <w:rFonts w:hint="eastAsia" w:ascii="宋体" w:hAnsi="宋体"/>
          <w:b/>
          <w:bCs/>
          <w:color w:val="auto"/>
          <w:sz w:val="44"/>
          <w:szCs w:val="44"/>
          <w:highlight w:val="none"/>
          <w:lang w:val="zh-CN"/>
        </w:rPr>
        <w:t xml:space="preserve">招标项目要求</w:t>
      </w:r>
      <w:bookmarkEnd w:id="33"/>
      <w:r/>
      <w:bookmarkEnd w:id="34"/>
      <w:r/>
      <w:bookmarkEnd w:id="35"/>
      <w:r/>
      <w:bookmarkEnd w:id="36"/>
      <w:r/>
      <w:r/>
    </w:p>
    <w:p>
      <w:pPr>
        <w:spacing w:after="120" w:line="360" w:lineRule="auto"/>
        <w:rPr>
          <w:rFonts w:hint="eastAsia" w:ascii="宋体" w:hAnsi="宋体"/>
          <w:b/>
          <w:bCs/>
          <w:color w:val="auto"/>
          <w:sz w:val="24"/>
          <w:highlight w:val="none"/>
        </w:rPr>
        <w:outlineLvl w:val="1"/>
      </w:pPr>
      <w:r>
        <w:rPr>
          <w:rFonts w:hint="eastAsia" w:ascii="宋体" w:hAnsi="宋体" w:cs="宋体"/>
          <w:b/>
          <w:bCs/>
          <w:color w:val="auto"/>
          <w:sz w:val="24"/>
          <w:highlight w:val="none"/>
        </w:rPr>
        <w:t xml:space="preserve">注：本章节需在《技术条款偏离表》或《商务条款偏离表》中进行响应，其中加“★”内容为实质性要求，供应商未对实质性要求响应或有负偏离的，按无效响应处理。</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（第一部分：技术部分要求）</w:t>
      </w:r>
      <w:r/>
    </w:p>
    <w:p>
      <w:pPr>
        <w:spacing w:line="360" w:lineRule="auto"/>
        <w:rPr>
          <w:rFonts w:hint="eastAsia" w:ascii="宋体" w:hAnsi="宋体" w:cs="宋体"/>
          <w:b/>
          <w:color w:val="auto"/>
          <w:sz w:val="24"/>
          <w:highlight w:val="none"/>
        </w:rPr>
      </w:pPr>
      <w:r/>
      <w:bookmarkStart w:id="37" w:name="_Toc3932"/>
      <w:r/>
      <w:bookmarkStart w:id="38" w:name="_Toc27315"/>
      <w:r>
        <w:rPr>
          <w:rFonts w:hint="eastAsia" w:ascii="宋体" w:hAnsi="宋体" w:cs="宋体"/>
          <w:b/>
          <w:color w:val="auto"/>
          <w:sz w:val="24"/>
          <w:highlight w:val="none"/>
        </w:rPr>
        <w:t xml:space="preserve">一、项目</w:t>
      </w:r>
      <w:bookmarkEnd w:id="37"/>
      <w:r>
        <w:rPr>
          <w:rFonts w:hint="eastAsia" w:ascii="宋体" w:hAnsi="宋体" w:cs="宋体"/>
          <w:b/>
          <w:color w:val="auto"/>
          <w:sz w:val="24"/>
          <w:highlight w:val="none"/>
        </w:rPr>
        <w:t xml:space="preserve">概述</w:t>
      </w:r>
      <w:bookmarkEnd w:id="38"/>
      <w:r/>
      <w:r/>
    </w:p>
    <w:p>
      <w:pPr>
        <w:pStyle w:val="1082"/>
        <w:ind w:firstLine="480"/>
        <w:rPr>
          <w:rFonts w:hint="eastAsia" w:ascii="宋体" w:hAnsi="宋体" w:cs="宋体"/>
          <w:color w:val="auto"/>
          <w:sz w:val="24"/>
          <w:szCs w:val="24"/>
          <w:highlight w:val="none"/>
        </w:rPr>
      </w:pPr>
      <w:r/>
      <w:bookmarkStart w:id="39" w:name="_Toc311"/>
      <w:r/>
      <w:bookmarkStart w:id="40" w:name="_Toc32119"/>
      <w:r/>
      <w:bookmarkStart w:id="41" w:name="_Toc4968"/>
      <w:r/>
      <w:bookmarkStart w:id="42" w:name="_Toc18449"/>
      <w:r>
        <w:rPr>
          <w:rFonts w:hint="eastAsia" w:ascii="宋体" w:hAnsi="宋体" w:cs="宋体"/>
          <w:color w:val="auto"/>
          <w:sz w:val="24"/>
          <w:szCs w:val="24"/>
          <w:highlight w:val="none"/>
        </w:rPr>
        <w:t xml:space="preserve">南京医科大学为满足科研教学需要，需采购一套高分辨率小动物超声成像系统，至少配备2个高频超声探头、B超、M超、彩色多普勒、脉冲多普勒和组织多普勒模块。</w:t>
      </w:r>
      <w:bookmarkEnd w:id="39"/>
      <w:r/>
      <w:bookmarkEnd w:id="40"/>
      <w:r/>
      <w:r/>
    </w:p>
    <w:p>
      <w:pPr>
        <w:pStyle w:val="1417"/>
        <w:numPr>
          <w:ilvl w:val="0"/>
          <w:numId w:val="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技术参数要求</w:t>
      </w:r>
      <w:bookmarkEnd w:id="41"/>
      <w:r/>
      <w:bookmarkEnd w:id="42"/>
      <w:r/>
      <w:bookmarkStart w:id="43" w:name="_Toc9991"/>
      <w:r/>
      <w:bookmarkStart w:id="44" w:name="_Toc29315"/>
      <w:r/>
      <w:bookmarkStart w:id="45" w:name="_Toc2652"/>
      <w:r/>
      <w:r/>
    </w:p>
    <w:p>
      <w:pPr>
        <w:pStyle w:val="1082"/>
        <w:ind w:firstLine="400"/>
        <w:rPr>
          <w:rFonts w:hint="eastAsia" w:ascii="宋体" w:hAnsi="宋体" w:cs="宋体"/>
          <w:color w:val="auto"/>
          <w:sz w:val="24"/>
          <w:szCs w:val="24"/>
          <w:highlight w:val="none"/>
        </w:rPr>
      </w:pPr>
      <w:r>
        <w:rPr>
          <w:rFonts w:hint="eastAsia"/>
          <w:color w:val="auto"/>
          <w:highlight w:val="none"/>
        </w:rPr>
        <w:t xml:space="preserve">★</w:t>
      </w:r>
      <w:r>
        <w:rPr>
          <w:rFonts w:hint="eastAsia" w:ascii="宋体" w:hAnsi="宋体" w:cs="宋体"/>
          <w:color w:val="auto"/>
          <w:sz w:val="24"/>
          <w:szCs w:val="24"/>
          <w:highlight w:val="none"/>
        </w:rPr>
        <w:t xml:space="preserve">1、为满足斑马鱼，大/小鼠等常规实验动物的B超观察所需较高频率，超声主机应可连接小动物专用电子线阵探头，主机频率最高频率≧70MHz。</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▲2、配备小鼠高频线性阵列式探头，频率范围要求不小于25～55MHz；</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3、配备大鼠高频线性阵列式探头，频率范围要求不小于18～29MHz；</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▲4、为满足大/小鼠等常规实验动物的心脏、血管的高分辨率观察，超声主机图像分辨率需满足≦30 µm；</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★5、为可以适应大/小鼠快速心率，采集完整小动物高速心动周期，超声主机应采用聚焦波B模式，超声数据实时采集帧频应满足≧1500频/秒；</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▲6、超声探头要求：组成晶元数量≧256个，图像实时采集帧频≧1000帧/秒，无需超声导膜更换，无需注水；</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7、应具备M超功能，可以高速下进行单线型超声扫描，实现高分辨率≦50µm下心脏一维切线方向上的心血管功能测量和分析；</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8、应具备脉冲多普勒功能，可以对活体内心脏及主要血管内血流运动波形、速度大小/方向等(脉冲重复频率PRF范围涵盖：2kHz～125kHz，最高可测血流速度0～6m/s)精确测量和血流动力学的准确定量分析；</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9、应具备彩色多普勒功能，可以提供高级血流动力学信息，加强血流量化与血流异常分析的可靠性；</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10、应具备组织多普勒功能，可测量/显影较低流速的流体运动，如心脏/血管肌肉组织运动等；</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▲11、应具备专业小动物心脏分析软件功能，可以在多种(B/M等)模式下实现左室室壁的自动连续追踪，准确实现心动周期内左室室壁运动轨迹/边界位置的精确跟踪和定位;</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▲12、应具备离线分析软件，离线实现超声影像数据的全部处理、图像分析、测量和注释等功能，提高超声影像数据分析处理效率；</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13、应具备大、小鼠恒温加热手术平台，可自动补偿麻醉小动物体温，用于大/小鼠的放置、固定、定位和体表温度保持，并提供多组生理数据的精确监控和处理，以保证数据准确性；</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▲14、应具备触控屏小动物生理信息监控系统，实时采集体温，ECG，心率，呼吸节律等参数，并可在主机上显示，内嵌在采集图像数据中，以保证数据的真实性和重复性；</w:t>
      </w:r>
      <w:r>
        <w:rPr>
          <w:rFonts w:hint="eastAsia" w:ascii="宋体" w:hAnsi="宋体" w:cs="宋体"/>
          <w:b/>
          <w:bCs/>
          <w:color w:val="auto"/>
          <w:sz w:val="24"/>
          <w:highlight w:val="none"/>
        </w:rPr>
        <w:t xml:space="preserve">提供相关证明材料并加盖投标单位公章（包括但不限于明确说明该技术内容的产品彩页或产品说明书或白皮书或第三方检测机构的检测报告等）</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15、应具备小动物支架轨道系统，实现 X、Y 和 Z 三维方向的自由调节和定位，以便实现全方位小动物高分辨率超声成像稳定操作；</w:t>
      </w:r>
      <w:r/>
    </w:p>
    <w:p>
      <w:pPr>
        <w:pStyle w:val="1082"/>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16、应</w:t>
      </w:r>
      <w:r>
        <w:rPr>
          <w:rFonts w:ascii="宋体" w:hAnsi="宋体" w:cs="宋体"/>
          <w:color w:val="auto"/>
          <w:sz w:val="24"/>
          <w:szCs w:val="24"/>
          <w:highlight w:val="none"/>
        </w:rPr>
        <w:t xml:space="preserve">配</w:t>
      </w:r>
      <w:r>
        <w:rPr>
          <w:rFonts w:hint="eastAsia" w:ascii="宋体" w:hAnsi="宋体" w:cs="宋体"/>
          <w:color w:val="auto"/>
          <w:sz w:val="24"/>
          <w:szCs w:val="24"/>
          <w:highlight w:val="none"/>
        </w:rPr>
        <w:t xml:space="preserve">备</w:t>
      </w:r>
      <w:r>
        <w:rPr>
          <w:rFonts w:ascii="宋体" w:hAnsi="宋体" w:cs="宋体"/>
          <w:color w:val="auto"/>
          <w:sz w:val="24"/>
          <w:szCs w:val="24"/>
          <w:highlight w:val="none"/>
        </w:rPr>
        <w:t xml:space="preserve">桌面式大小鼠、啮齿类等小动物气体麻醉机系统，通道不少于2个（诱导麻醉和维持麻醉），并携带大小鼠相匹配的麻醉面罩。</w:t>
      </w:r>
      <w:r/>
    </w:p>
    <w:p>
      <w:pPr>
        <w:pStyle w:val="1417"/>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三、服务要求</w:t>
      </w:r>
      <w:bookmarkEnd w:id="43"/>
      <w:r/>
      <w:bookmarkEnd w:id="44"/>
      <w:r/>
      <w:bookmarkEnd w:id="45"/>
      <w:r/>
      <w:r/>
    </w:p>
    <w:p>
      <w:pPr>
        <w:ind w:firstLine="241"/>
        <w:spacing w:line="360" w:lineRule="auto"/>
        <w:rPr>
          <w:rFonts w:hint="eastAsia" w:ascii="宋体" w:hAnsi="宋体" w:cs="宋体"/>
          <w:color w:val="auto"/>
          <w:sz w:val="24"/>
          <w:highlight w:val="none"/>
        </w:rPr>
      </w:pPr>
      <w:r/>
      <w:bookmarkStart w:id="46" w:name="OLE_LINK27"/>
      <w:r>
        <w:rPr>
          <w:rFonts w:hint="eastAsia" w:ascii="宋体" w:hAnsi="宋体" w:cs="宋体"/>
          <w:b/>
          <w:bCs/>
          <w:color w:val="auto"/>
          <w:sz w:val="24"/>
          <w:highlight w:val="none"/>
        </w:rPr>
        <w:t xml:space="preserve">（1）技术培训：</w:t>
      </w:r>
      <w:bookmarkStart w:id="47" w:name="OLE_LINK22"/>
      <w:r>
        <w:rPr>
          <w:rFonts w:hint="eastAsia" w:ascii="宋体" w:hAnsi="宋体" w:cs="宋体"/>
          <w:color w:val="auto"/>
          <w:sz w:val="24"/>
          <w:highlight w:val="none"/>
        </w:rPr>
        <w:t xml:space="preserve">供应商</w:t>
      </w:r>
      <w:bookmarkEnd w:id="47"/>
      <w:r>
        <w:rPr>
          <w:rFonts w:hint="eastAsia" w:ascii="宋体" w:hAnsi="宋体" w:cs="宋体"/>
          <w:color w:val="auto"/>
          <w:sz w:val="24"/>
          <w:highlight w:val="none"/>
        </w:rPr>
        <w:t xml:space="preserve">负责派专业技术人员到采购人处进行</w:t>
      </w:r>
      <w:bookmarkStart w:id="48" w:name="OLE_LINK32"/>
      <w:r>
        <w:rPr>
          <w:rFonts w:hint="eastAsia"/>
          <w:color w:val="auto"/>
          <w:sz w:val="24"/>
          <w:szCs w:val="32"/>
          <w:highlight w:val="none"/>
        </w:rPr>
        <w:t xml:space="preserve">不少于 </w:t>
      </w:r>
      <w:bookmarkStart w:id="49" w:name="OLE_LINK25"/>
      <w:r>
        <w:rPr>
          <w:rFonts w:hint="eastAsia"/>
          <w:color w:val="auto"/>
          <w:sz w:val="24"/>
          <w:szCs w:val="32"/>
          <w:highlight w:val="none"/>
        </w:rPr>
        <w:t xml:space="preserve">4 次</w:t>
      </w:r>
      <w:bookmarkEnd w:id="48"/>
      <w:r/>
      <w:bookmarkEnd w:id="49"/>
      <w:r>
        <w:rPr>
          <w:rFonts w:hint="eastAsia"/>
          <w:color w:val="auto"/>
          <w:sz w:val="24"/>
          <w:szCs w:val="32"/>
          <w:highlight w:val="none"/>
        </w:rPr>
        <w:t xml:space="preserve">的</w:t>
      </w:r>
      <w:bookmarkStart w:id="50" w:name="OLE_LINK34"/>
      <w:r>
        <w:rPr>
          <w:rFonts w:hint="eastAsia"/>
          <w:color w:val="auto"/>
          <w:sz w:val="24"/>
          <w:szCs w:val="32"/>
          <w:highlight w:val="none"/>
        </w:rPr>
        <w:t xml:space="preserve">设</w:t>
      </w:r>
      <w:bookmarkStart w:id="51" w:name="OLE_LINK33"/>
      <w:r>
        <w:rPr>
          <w:rFonts w:hint="eastAsia"/>
          <w:color w:val="auto"/>
          <w:sz w:val="24"/>
          <w:szCs w:val="32"/>
          <w:highlight w:val="none"/>
        </w:rPr>
        <w:t xml:space="preserve">备操作培</w:t>
      </w:r>
      <w:bookmarkEnd w:id="51"/>
      <w:r>
        <w:rPr>
          <w:rFonts w:hint="eastAsia"/>
          <w:color w:val="auto"/>
          <w:sz w:val="24"/>
          <w:szCs w:val="32"/>
          <w:highlight w:val="none"/>
        </w:rPr>
        <w:t xml:space="preserve">训</w:t>
      </w:r>
      <w:bookmarkEnd w:id="50"/>
      <w:r>
        <w:rPr>
          <w:rFonts w:hint="eastAsia"/>
          <w:color w:val="auto"/>
          <w:sz w:val="24"/>
          <w:szCs w:val="32"/>
          <w:highlight w:val="none"/>
        </w:rPr>
        <w:t xml:space="preserve">，培训人员数量不低于 </w:t>
      </w:r>
      <w:bookmarkStart w:id="52" w:name="OLE_LINK26"/>
      <w:r>
        <w:rPr>
          <w:rFonts w:hint="eastAsia"/>
          <w:color w:val="auto"/>
          <w:sz w:val="24"/>
          <w:szCs w:val="32"/>
          <w:highlight w:val="none"/>
        </w:rPr>
        <w:t xml:space="preserve">2 人</w:t>
      </w:r>
      <w:bookmarkEnd w:id="52"/>
      <w:r>
        <w:rPr>
          <w:rFonts w:hint="eastAsia" w:ascii="宋体" w:hAnsi="宋体" w:cs="宋体"/>
          <w:color w:val="auto"/>
          <w:sz w:val="24"/>
          <w:highlight w:val="none"/>
        </w:rPr>
        <w:t xml:space="preserve">，使其能熟练掌握仪器的各项性能（包括硬件和软件）</w:t>
      </w:r>
      <w:bookmarkStart w:id="53" w:name="OLE_LINK24"/>
      <w:r/>
      <w:bookmarkStart w:id="54" w:name="OLE_LINK28"/>
      <w:r>
        <w:rPr>
          <w:rFonts w:hint="eastAsia"/>
          <w:color w:val="auto"/>
          <w:sz w:val="24"/>
          <w:szCs w:val="32"/>
          <w:highlight w:val="none"/>
        </w:rPr>
        <w:t xml:space="preserve">。</w:t>
      </w:r>
      <w:bookmarkEnd w:id="53"/>
      <w:r/>
      <w:bookmarkEnd w:id="54"/>
      <w:r>
        <w:rPr>
          <w:rFonts w:hint="eastAsia" w:ascii="宋体" w:hAnsi="宋体" w:cs="宋体"/>
          <w:color w:val="auto"/>
          <w:sz w:val="24"/>
          <w:highlight w:val="none"/>
        </w:rPr>
        <w:t xml:space="preserve">在</w:t>
      </w:r>
      <w:bookmarkStart w:id="55" w:name="OLE_LINK35"/>
      <w:r>
        <w:rPr>
          <w:rFonts w:hint="eastAsia"/>
          <w:color w:val="auto"/>
          <w:sz w:val="24"/>
          <w:szCs w:val="32"/>
          <w:highlight w:val="none"/>
        </w:rPr>
        <w:t xml:space="preserve">设备操作培训</w:t>
      </w:r>
      <w:bookmarkEnd w:id="55"/>
      <w:r>
        <w:rPr>
          <w:rFonts w:hint="eastAsia" w:ascii="宋体" w:hAnsi="宋体" w:cs="宋体"/>
          <w:color w:val="auto"/>
          <w:sz w:val="24"/>
          <w:highlight w:val="none"/>
        </w:rPr>
        <w:t xml:space="preserve">以后，若有采购</w:t>
      </w:r>
      <w:bookmarkStart w:id="56" w:name="OLE_LINK39"/>
      <w:r>
        <w:rPr>
          <w:rFonts w:hint="eastAsia" w:ascii="宋体" w:hAnsi="宋体" w:cs="宋体"/>
          <w:color w:val="auto"/>
          <w:sz w:val="24"/>
          <w:highlight w:val="none"/>
        </w:rPr>
        <w:t xml:space="preserve">人</w:t>
      </w:r>
      <w:bookmarkEnd w:id="56"/>
      <w:r>
        <w:rPr>
          <w:rFonts w:hint="eastAsia" w:ascii="宋体" w:hAnsi="宋体" w:cs="宋体"/>
          <w:color w:val="auto"/>
          <w:sz w:val="24"/>
          <w:highlight w:val="none"/>
        </w:rPr>
        <w:t xml:space="preserve">仍</w:t>
      </w:r>
      <w:bookmarkStart w:id="57" w:name="OLE_LINK21"/>
      <w:r>
        <w:rPr>
          <w:rFonts w:hint="eastAsia" w:ascii="宋体" w:hAnsi="宋体" w:cs="宋体"/>
          <w:color w:val="auto"/>
          <w:sz w:val="24"/>
          <w:highlight w:val="none"/>
        </w:rPr>
        <w:t xml:space="preserve">有</w:t>
      </w:r>
      <w:bookmarkEnd w:id="57"/>
      <w:r>
        <w:rPr>
          <w:rFonts w:hint="eastAsia" w:ascii="宋体" w:hAnsi="宋体" w:cs="宋体"/>
          <w:color w:val="auto"/>
          <w:sz w:val="24"/>
          <w:highlight w:val="none"/>
        </w:rPr>
        <w:t xml:space="preserve">技术问题，供应商在任何时候，都应在48小时以内提供详细技术方案并予以解决。</w:t>
      </w:r>
      <w:r/>
    </w:p>
    <w:p>
      <w:pPr>
        <w:ind w:firstLine="241"/>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（2）保修期：</w:t>
      </w:r>
      <w:r>
        <w:rPr>
          <w:rFonts w:hint="eastAsia" w:ascii="宋体" w:hAnsi="宋体" w:cs="宋体"/>
          <w:color w:val="auto"/>
          <w:sz w:val="24"/>
          <w:highlight w:val="none"/>
        </w:rPr>
        <w:t xml:space="preserve">不低于1年</w:t>
      </w:r>
      <w:bookmarkStart w:id="58" w:name="OLE_LINK23"/>
      <w:r/>
      <w:bookmarkStart w:id="59" w:name="OLE_LINK36"/>
      <w:r>
        <w:rPr>
          <w:rFonts w:hint="eastAsia" w:ascii="宋体" w:hAnsi="宋体" w:cs="宋体"/>
          <w:color w:val="auto"/>
          <w:sz w:val="24"/>
          <w:highlight w:val="none"/>
        </w:rPr>
        <w:t xml:space="preserve">，</w:t>
      </w:r>
      <w:r>
        <w:rPr>
          <w:rFonts w:hint="eastAsia"/>
          <w:color w:val="auto"/>
          <w:sz w:val="24"/>
          <w:szCs w:val="32"/>
          <w:highlight w:val="none"/>
        </w:rPr>
        <w:t xml:space="preserve">自验收合格次日起算。质保期内发生任何设备损坏，所需要的维修费用（包括零部件费用、维修费用）均由供应商承担（人为操作不当造成的损坏除外）</w:t>
      </w:r>
      <w:bookmarkEnd w:id="58"/>
      <w:r/>
      <w:bookmarkEnd w:id="59"/>
      <w:r>
        <w:rPr>
          <w:rFonts w:hint="eastAsia"/>
          <w:color w:val="auto"/>
          <w:sz w:val="24"/>
          <w:szCs w:val="32"/>
          <w:highlight w:val="none"/>
        </w:rPr>
        <w:t xml:space="preserve">。</w:t>
      </w:r>
      <w:bookmarkEnd w:id="46"/>
      <w:r/>
      <w:r/>
    </w:p>
    <w:p>
      <w:pPr>
        <w:ind w:firstLine="241"/>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（3）售后技术服务要求：</w:t>
      </w:r>
      <w:bookmarkStart w:id="60" w:name="OLE_LINK40"/>
      <w:r>
        <w:rPr>
          <w:rFonts w:hint="eastAsia" w:ascii="宋体" w:hAnsi="宋体" w:cs="宋体"/>
          <w:color w:val="auto"/>
          <w:sz w:val="24"/>
          <w:highlight w:val="none"/>
        </w:rPr>
        <w:t xml:space="preserve">供应商应在国内有专门负责的维修工程师或技术支持工程师。供应商应在2小时内电话响应，在24小时内对采购人的服务要求提出解决方案，经确认如有需要，技术人员须在48小时内到达现场；重大问题或其他无法迅速解决的问题应在一周内解决或提出明确解决方案，否则供应商应赔偿相应损失。</w:t>
      </w:r>
      <w:bookmarkEnd w:id="60"/>
      <w:r/>
      <w:r/>
    </w:p>
    <w:p>
      <w:pPr>
        <w:pStyle w:val="985"/>
        <w:ind w:left="0"/>
        <w:spacing w:line="440" w:lineRule="exact"/>
        <w:rPr>
          <w:color w:val="auto"/>
          <w:sz w:val="24"/>
          <w:szCs w:val="32"/>
          <w:highlight w:val="none"/>
        </w:rPr>
      </w:pPr>
      <w:r>
        <w:rPr>
          <w:rFonts w:hint="eastAsia" w:ascii="宋体" w:hAnsi="宋体" w:cs="宋体"/>
          <w:b/>
          <w:bCs/>
          <w:color w:val="auto"/>
          <w:spacing w:val="8"/>
          <w:sz w:val="24"/>
          <w:highlight w:val="none"/>
        </w:rPr>
        <w:t xml:space="preserve">四、安装要求：</w:t>
      </w:r>
      <w:r/>
    </w:p>
    <w:p>
      <w:pPr>
        <w:pStyle w:val="985"/>
        <w:ind w:left="0" w:firstLine="480"/>
        <w:spacing w:line="440" w:lineRule="exact"/>
        <w:rPr>
          <w:color w:val="auto"/>
          <w:sz w:val="24"/>
          <w:szCs w:val="32"/>
          <w:highlight w:val="none"/>
        </w:rPr>
      </w:pPr>
      <w:r>
        <w:rPr>
          <w:rFonts w:hint="eastAsia"/>
          <w:color w:val="auto"/>
          <w:sz w:val="24"/>
          <w:szCs w:val="32"/>
          <w:highlight w:val="none"/>
        </w:rPr>
        <w:t xml:space="preserve">1、</w:t>
      </w:r>
      <w:bookmarkStart w:id="61" w:name="OLE_LINK7"/>
      <w:r>
        <w:rPr>
          <w:rFonts w:hint="eastAsia"/>
          <w:color w:val="auto"/>
          <w:sz w:val="24"/>
          <w:szCs w:val="32"/>
          <w:highlight w:val="none"/>
        </w:rPr>
        <w:t xml:space="preserve">按照国家现行行业规范标准进行安装，符合国家或行业质量检验评定标准，没有行业标准的产品，</w:t>
      </w:r>
      <w:bookmarkStart w:id="62" w:name="OLE_LINK8"/>
      <w:r>
        <w:rPr>
          <w:rFonts w:hint="eastAsia"/>
          <w:color w:val="auto"/>
          <w:sz w:val="24"/>
          <w:szCs w:val="32"/>
          <w:highlight w:val="none"/>
        </w:rPr>
        <w:t xml:space="preserve">供应商</w:t>
      </w:r>
      <w:bookmarkEnd w:id="62"/>
      <w:r>
        <w:rPr>
          <w:rFonts w:hint="eastAsia"/>
          <w:color w:val="auto"/>
          <w:sz w:val="24"/>
          <w:szCs w:val="32"/>
          <w:highlight w:val="none"/>
        </w:rPr>
        <w:t xml:space="preserve">应提供相关制造商标准。</w:t>
      </w:r>
      <w:bookmarkEnd w:id="61"/>
      <w:r/>
      <w:r/>
    </w:p>
    <w:p>
      <w:pPr>
        <w:pStyle w:val="985"/>
        <w:ind w:left="0" w:firstLine="480"/>
        <w:spacing w:line="440" w:lineRule="exact"/>
        <w:rPr>
          <w:color w:val="auto"/>
          <w:sz w:val="24"/>
          <w:szCs w:val="32"/>
          <w:highlight w:val="none"/>
        </w:rPr>
      </w:pPr>
      <w:r>
        <w:rPr>
          <w:rFonts w:hint="eastAsia"/>
          <w:color w:val="auto"/>
          <w:sz w:val="24"/>
          <w:szCs w:val="32"/>
          <w:highlight w:val="none"/>
        </w:rPr>
        <w:t xml:space="preserve">2、设备安装调试：设备到货后，供应商在接到通知的7个工作日内派人前往负责该设备的安装、调试和操作培训，直至达到各项验收指标合格。</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（第二部分：商务部分要求）</w:t>
      </w:r>
      <w:r/>
    </w:p>
    <w:p>
      <w:pPr>
        <w:spacing w:line="360" w:lineRule="auto"/>
        <w:rPr>
          <w:rFonts w:hint="eastAsia" w:ascii="宋体" w:hAnsi="宋体" w:cs="宋体"/>
          <w:color w:val="auto"/>
          <w:sz w:val="24"/>
          <w:highlight w:val="none"/>
          <w:lang w:val="zh-CN"/>
        </w:rPr>
      </w:pPr>
      <w:r>
        <w:rPr>
          <w:rFonts w:hint="eastAsia" w:ascii="宋体" w:hAnsi="宋体" w:cs="宋体"/>
          <w:b/>
          <w:bCs/>
          <w:color w:val="auto"/>
          <w:sz w:val="24"/>
          <w:highlight w:val="none"/>
          <w:lang w:val="zh-CN"/>
        </w:rPr>
        <w:t xml:space="preserve">五、交货期、交货方式及交货地点</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交货期：</w:t>
      </w:r>
      <w:r>
        <w:rPr>
          <w:rFonts w:hint="eastAsia" w:ascii="宋体" w:hAnsi="宋体" w:eastAsia="宋体" w:cs="宋体"/>
          <w:color w:val="auto"/>
          <w:sz w:val="24"/>
          <w:szCs w:val="24"/>
          <w:highlight w:val="none"/>
          <w:lang w:val="zh-CN"/>
        </w:rPr>
        <w:t xml:space="preserve">合同签订生效后，进口设备（免税）三个月内、国产设备及进口设备（非免税）一个月内全部设备、材料运抵现场，并安装、调试结束，验收合格</w:t>
      </w:r>
      <w:r>
        <w:rPr>
          <w:rFonts w:hint="eastAsia" w:ascii="宋体" w:hAnsi="宋体"/>
          <w:color w:val="auto"/>
          <w:sz w:val="24"/>
          <w:highlight w:val="none"/>
          <w:lang w:val="zh-CN"/>
        </w:rPr>
        <w:t xml:space="preserve">，交付采购方使用。</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交货方式：中标人在</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方</w:t>
      </w:r>
      <w:r>
        <w:rPr>
          <w:rFonts w:hint="eastAsia" w:ascii="宋体" w:hAnsi="宋体" w:cs="宋体"/>
          <w:color w:val="auto"/>
          <w:sz w:val="24"/>
          <w:highlight w:val="none"/>
          <w:lang w:val="zh-CN"/>
        </w:rPr>
        <w:t xml:space="preserve">指定地点交货，并完成安装、调试。</w:t>
      </w:r>
      <w:r/>
    </w:p>
    <w:p>
      <w:pPr>
        <w:ind w:firstLine="42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交货地点：</w:t>
      </w:r>
      <w:r>
        <w:rPr>
          <w:rFonts w:hint="eastAsia" w:hAnsi="宋体"/>
          <w:b w:val="0"/>
          <w:bCs w:val="0"/>
          <w:color w:val="auto"/>
          <w:sz w:val="24"/>
          <w:highlight w:val="none"/>
          <w:lang w:val="zh-CN"/>
        </w:rPr>
        <w:t xml:space="preserve">南京医科大学指定地点。</w:t>
      </w:r>
      <w:r/>
    </w:p>
    <w:p>
      <w:pPr>
        <w:pStyle w:val="988"/>
        <w:spacing w:line="360" w:lineRule="auto"/>
        <w:rPr>
          <w:rFonts w:hint="eastAsia" w:hAnsi="宋体" w:cs="宋体"/>
          <w:b/>
          <w:bCs/>
          <w:color w:val="auto"/>
          <w:spacing w:val="8"/>
          <w:sz w:val="24"/>
          <w:szCs w:val="24"/>
          <w:highlight w:val="none"/>
        </w:rPr>
      </w:pPr>
      <w:r>
        <w:rPr>
          <w:rFonts w:hint="eastAsia" w:hAnsi="宋体" w:cs="宋体"/>
          <w:b/>
          <w:bCs/>
          <w:color w:val="auto"/>
          <w:spacing w:val="8"/>
          <w:sz w:val="24"/>
          <w:highlight w:val="none"/>
        </w:rPr>
        <w:t xml:space="preserve">六、</w:t>
      </w:r>
      <w:r>
        <w:rPr>
          <w:rFonts w:hint="eastAsia" w:hAnsi="宋体" w:cs="宋体"/>
          <w:b/>
          <w:bCs/>
          <w:color w:val="auto"/>
          <w:spacing w:val="8"/>
          <w:sz w:val="24"/>
          <w:szCs w:val="24"/>
          <w:highlight w:val="none"/>
        </w:rPr>
        <w:t xml:space="preserve">项目的验收方案</w:t>
      </w:r>
      <w:r/>
    </w:p>
    <w:p>
      <w:pPr>
        <w:pStyle w:val="988"/>
        <w:ind w:firstLine="480"/>
        <w:spacing w:line="360" w:lineRule="auto"/>
        <w:rPr>
          <w:rFonts w:hint="eastAsia" w:hAnsi="宋体"/>
          <w:bCs/>
          <w:color w:val="auto"/>
          <w:sz w:val="24"/>
          <w:highlight w:val="none"/>
        </w:rPr>
      </w:pPr>
      <w:r>
        <w:rPr>
          <w:rFonts w:hint="eastAsia" w:hAnsi="宋体"/>
          <w:bCs/>
          <w:color w:val="auto"/>
          <w:sz w:val="24"/>
          <w:highlight w:val="none"/>
        </w:rPr>
        <w:t xml:space="preserve">投标人应根据招标文件要求及本项目特点，制订项目验收方案。</w:t>
      </w:r>
      <w:bookmarkStart w:id="63" w:name="_Hlk47438576"/>
      <w:r>
        <w:rPr>
          <w:rFonts w:hint="eastAsia" w:hAnsi="宋体"/>
          <w:bCs/>
          <w:color w:val="auto"/>
          <w:sz w:val="24"/>
          <w:highlight w:val="none"/>
        </w:rPr>
        <w:t xml:space="preserve">验收方案要体现项目的全过程质量管控，对包括产品进场、安装过程、系统调试等实施验收并进行全过程记录，以及收集整理包括设备合格证、技术文档等的全套材料</w:t>
      </w:r>
      <w:bookmarkEnd w:id="63"/>
      <w:r>
        <w:rPr>
          <w:rFonts w:hint="eastAsia" w:hAnsi="宋体"/>
          <w:bCs/>
          <w:color w:val="auto"/>
          <w:sz w:val="24"/>
          <w:highlight w:val="none"/>
        </w:rPr>
        <w:t xml:space="preserve">，确保本项目达到投标人的各项响应承诺要求，货物交付、安装、调试，准备验收前，中标人需提前一周提交验收申请通知单至南京医科大学资产处。</w:t>
      </w:r>
      <w:r/>
    </w:p>
    <w:p>
      <w:pPr>
        <w:pStyle w:val="985"/>
        <w:ind w:left="0"/>
        <w:spacing w:line="440" w:lineRule="exact"/>
        <w:rPr>
          <w:rFonts w:hint="eastAsia" w:ascii="宋体" w:hAnsi="宋体" w:cs="宋体"/>
          <w:b/>
          <w:bCs/>
          <w:color w:val="auto"/>
          <w:spacing w:val="8"/>
          <w:sz w:val="24"/>
          <w:highlight w:val="none"/>
        </w:rPr>
      </w:pPr>
      <w:r>
        <w:rPr>
          <w:rFonts w:hint="eastAsia" w:hAnsi="宋体" w:cs="宋体"/>
          <w:b/>
          <w:bCs/>
          <w:color w:val="auto"/>
          <w:spacing w:val="8"/>
          <w:sz w:val="24"/>
          <w:highlight w:val="none"/>
        </w:rPr>
        <w:t xml:space="preserve">七、</w:t>
      </w:r>
      <w:r>
        <w:rPr>
          <w:rFonts w:hint="eastAsia" w:ascii="宋体" w:hAnsi="宋体" w:cs="宋体"/>
          <w:b/>
          <w:bCs/>
          <w:color w:val="auto"/>
          <w:spacing w:val="8"/>
          <w:sz w:val="24"/>
          <w:highlight w:val="none"/>
        </w:rPr>
        <w:t xml:space="preserve">其他技术服务要求：</w:t>
      </w:r>
      <w:r/>
    </w:p>
    <w:p>
      <w:pPr>
        <w:pStyle w:val="985"/>
        <w:ind w:left="0" w:firstLine="480"/>
        <w:spacing w:line="440" w:lineRule="exact"/>
        <w:rPr>
          <w:color w:val="auto"/>
          <w:sz w:val="24"/>
          <w:szCs w:val="32"/>
          <w:highlight w:val="none"/>
        </w:rPr>
      </w:pPr>
      <w:r>
        <w:rPr>
          <w:rFonts w:hint="eastAsia"/>
          <w:color w:val="auto"/>
          <w:sz w:val="24"/>
          <w:szCs w:val="32"/>
          <w:highlight w:val="none"/>
        </w:rPr>
        <w:t xml:space="preserve">1、</w:t>
      </w:r>
      <w:bookmarkStart w:id="64" w:name="OLE_LINK10"/>
      <w:r>
        <w:rPr>
          <w:rFonts w:hint="eastAsia"/>
          <w:color w:val="auto"/>
          <w:sz w:val="24"/>
          <w:szCs w:val="32"/>
          <w:highlight w:val="none"/>
        </w:rPr>
        <w:t xml:space="preserve">供应商须保证本次投标产品系优质材料和先进工艺制成新出厂的产品，且完全与投标响应文件所述相符。</w:t>
      </w:r>
      <w:bookmarkEnd w:id="64"/>
      <w:r/>
      <w:r/>
    </w:p>
    <w:p>
      <w:pPr>
        <w:pStyle w:val="985"/>
        <w:ind w:left="0" w:firstLine="480"/>
        <w:spacing w:line="440" w:lineRule="exact"/>
        <w:rPr>
          <w:color w:val="auto"/>
          <w:sz w:val="24"/>
          <w:szCs w:val="32"/>
          <w:highlight w:val="none"/>
        </w:rPr>
      </w:pPr>
      <w:r>
        <w:rPr>
          <w:rFonts w:hint="eastAsia"/>
          <w:color w:val="auto"/>
          <w:sz w:val="24"/>
          <w:szCs w:val="32"/>
          <w:highlight w:val="none"/>
        </w:rPr>
        <w:t xml:space="preserve">2、交付使用前发生的产品硬件损坏和不合格，一律退换新品。在质保期开始的前三个月内，若发生产品损坏和性能不合格（非使用不当原因造成），除采购人同意修理之外，亦应退换新品。</w:t>
      </w:r>
      <w:r/>
    </w:p>
    <w:p>
      <w:pPr>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r>
      <w:r/>
    </w:p>
    <w:p>
      <w:pPr>
        <w:pStyle w:val="988"/>
        <w:spacing w:line="360" w:lineRule="auto"/>
        <w:rPr>
          <w:rFonts w:hint="eastAsia" w:hAnsi="宋体" w:cs="宋体"/>
          <w:b/>
          <w:bCs/>
          <w:color w:val="auto"/>
          <w:spacing w:val="8"/>
          <w:sz w:val="24"/>
          <w:szCs w:val="24"/>
          <w:highlight w:val="none"/>
        </w:rPr>
      </w:pPr>
      <w:r>
        <w:rPr>
          <w:rFonts w:hint="eastAsia" w:hAnsi="宋体" w:cs="宋体"/>
          <w:b/>
          <w:bCs/>
          <w:color w:val="auto"/>
          <w:sz w:val="24"/>
          <w:szCs w:val="24"/>
          <w:highlight w:val="none"/>
          <w:lang w:val="en-US" w:eastAsia="zh-CN"/>
        </w:rPr>
        <w:t xml:space="preserve">八</w:t>
      </w:r>
      <w:r>
        <w:rPr>
          <w:rFonts w:hint="eastAsia" w:hAnsi="宋体" w:cs="宋体"/>
          <w:b/>
          <w:bCs/>
          <w:color w:val="auto"/>
          <w:sz w:val="24"/>
          <w:szCs w:val="24"/>
          <w:highlight w:val="none"/>
          <w:lang w:val="zh-CN"/>
        </w:rPr>
        <w:t xml:space="preserve">、</w:t>
      </w:r>
      <w:r>
        <w:rPr>
          <w:rFonts w:hint="eastAsia" w:hAnsi="宋体" w:cs="宋体"/>
          <w:b/>
          <w:bCs/>
          <w:color w:val="auto"/>
          <w:spacing w:val="8"/>
          <w:sz w:val="24"/>
          <w:szCs w:val="24"/>
          <w:highlight w:val="none"/>
        </w:rPr>
        <w:t xml:space="preserve">结算方式</w:t>
      </w:r>
      <w:r/>
    </w:p>
    <w:p>
      <w:p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1、国产设备及进口设备（非免税）：货物交付、安装、调试且通过验收后一周内（遇寒暑假和法定节假日顺延），学校支付合同总金额的100%，付款之前需收到中标供应商开具的合法有效的相应全额发票。</w:t>
      </w:r>
      <w:r/>
    </w:p>
    <w:p>
      <w:pPr>
        <w:pStyle w:val="988"/>
        <w:numPr>
          <w:ilvl w:val="0"/>
          <w:numId w:val="0"/>
        </w:numPr>
        <w:ind w:firstLine="480"/>
        <w:spacing w:before="120" w:after="120" w:line="33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2、进口设备（免税）：</w:t>
      </w:r>
      <w:bookmarkStart w:id="65" w:name="_Toc5640"/>
      <w:r/>
      <w:bookmarkStart w:id="66" w:name="_Toc30691"/>
      <w:r/>
      <w:r/>
    </w:p>
    <w:p>
      <w:pPr>
        <w:pStyle w:val="988"/>
        <w:numPr>
          <w:ilvl w:val="0"/>
          <w:numId w:val="0"/>
        </w:numPr>
        <w:ind w:firstLine="480"/>
        <w:spacing w:before="120" w:after="120" w:line="33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（1）合同签订后，外贸代理公司提供受益人为南京医科大学的100%合同金额的预付款银行保函，保函有效期为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天（供货期＋2个月），银行保函服务费由中标单位承担。</w:t>
      </w:r>
      <w:r/>
    </w:p>
    <w:p>
      <w:pPr>
        <w:pStyle w:val="988"/>
        <w:ind w:firstLine="480"/>
        <w:spacing w:before="120" w:after="120" w:line="33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（2）外贸代理公司收到100%货款后按照合同办理相关进口手续，货到验收合格后由学校通知外贸代理公司一周内开具合法有效的全额发票，并支付100%货款至境外厂家。</w:t>
      </w:r>
      <w:bookmarkEnd w:id="65"/>
      <w:r/>
      <w:bookmarkEnd w:id="66"/>
      <w:r/>
      <w:r/>
    </w:p>
    <w:p>
      <w:pPr>
        <w:pStyle w:val="988"/>
        <w:spacing w:line="360" w:lineRule="auto"/>
        <w:rPr>
          <w:rFonts w:hint="eastAsia" w:hAnsi="宋体" w:cs="宋体"/>
          <w:b/>
          <w:bCs/>
          <w:color w:val="auto"/>
          <w:spacing w:val="8"/>
          <w:sz w:val="24"/>
          <w:szCs w:val="24"/>
          <w:highlight w:val="none"/>
          <w:lang w:val="en-US" w:eastAsia="zh-CN"/>
        </w:rPr>
      </w:pPr>
      <w:r>
        <w:rPr>
          <w:rFonts w:hint="eastAsia" w:hAnsi="宋体" w:cs="宋体"/>
          <w:b/>
          <w:bCs/>
          <w:color w:val="auto"/>
          <w:spacing w:val="8"/>
          <w:sz w:val="24"/>
          <w:szCs w:val="24"/>
          <w:highlight w:val="none"/>
        </w:rPr>
        <w:t xml:space="preserve">九、</w:t>
      </w:r>
      <w:r>
        <w:rPr>
          <w:rFonts w:hint="eastAsia" w:hAnsi="宋体" w:cs="宋体"/>
          <w:b/>
          <w:bCs/>
          <w:color w:val="auto"/>
          <w:spacing w:val="8"/>
          <w:sz w:val="24"/>
          <w:szCs w:val="24"/>
          <w:highlight w:val="none"/>
          <w:lang w:val="en-US" w:eastAsia="zh-CN"/>
        </w:rPr>
        <w:t xml:space="preserve">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1、缴纳履约保证金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南京医科大学指定账户信息具体如下：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单位名称：南京医科大学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 户 行：南京市工行汉中门支行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账    号：4301010109001038622</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注：请在转账时备注“项目名称+履约保证金”字样。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r/>
    </w:p>
    <w:p>
      <w:pPr>
        <w:ind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3、合同履行过程中，若经学校核实存在货物质量问题或中标供应商违约情形，学校有权在通知中标供应商后，从履约保证金中抵扣相应的补偿或赔偿款项。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4、履约保证金退还流程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（1）自货物验收合格之日起12个月后，中标供应商可向学校出具货物最终验收单，并同步提交填写完整的《履约保证金退还申请单》。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（2）经最终用户签字确认，核实无质量问题且供应商无违约情形后，学校于确认完成后一个月内，将履约保证金一次性无息退还中标供应商。</w:t>
      </w:r>
      <w:r/>
    </w:p>
    <w:p>
      <w:pPr>
        <w:pStyle w:val="988"/>
        <w:spacing w:line="360" w:lineRule="auto"/>
        <w:rPr>
          <w:rFonts w:hint="eastAsia" w:hAnsi="宋体" w:cs="宋体"/>
          <w:b/>
          <w:bCs/>
          <w:color w:val="auto"/>
          <w:sz w:val="28"/>
          <w:szCs w:val="28"/>
          <w:highlight w:val="none"/>
        </w:rPr>
      </w:pPr>
      <w:r>
        <w:rPr>
          <w:rFonts w:hint="eastAsia" w:hAnsi="宋体" w:cs="宋体"/>
          <w:b/>
          <w:bCs/>
          <w:color w:val="auto"/>
          <w:spacing w:val="8"/>
          <w:sz w:val="24"/>
          <w:szCs w:val="24"/>
          <w:highlight w:val="none"/>
          <w:lang w:val="en-US" w:eastAsia="zh-CN"/>
        </w:rPr>
        <w:t xml:space="preserve">十、</w:t>
      </w:r>
      <w:r>
        <w:rPr>
          <w:rFonts w:hint="eastAsia" w:hAnsi="宋体" w:cs="宋体"/>
          <w:b/>
          <w:bCs/>
          <w:color w:val="auto"/>
          <w:spacing w:val="8"/>
          <w:sz w:val="24"/>
          <w:szCs w:val="24"/>
          <w:highlight w:val="none"/>
        </w:rPr>
        <w:t xml:space="preserve">投标报价</w:t>
      </w:r>
      <w:r/>
    </w:p>
    <w:p>
      <w:pPr>
        <w:pStyle w:val="985"/>
        <w:ind w:left="0" w:firstLine="512"/>
        <w:spacing w:line="44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r/>
    </w:p>
    <w:p>
      <w:pPr>
        <w:pStyle w:val="985"/>
        <w:ind w:left="0" w:firstLine="512"/>
        <w:spacing w:line="44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如进口免税货物在国务院税委会公告的加征关税商品清单中，加征的关税应包含在投标总价中，即采购人在按照政府采购合同规定的付款方式和金额支付完货款后，不承担任何其他的或后续的费用。</w:t>
      </w:r>
      <w:r/>
    </w:p>
    <w:p>
      <w:pPr>
        <w:pStyle w:val="985"/>
        <w:ind w:left="0" w:firstLine="512"/>
        <w:spacing w:line="44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2、</w:t>
      </w:r>
      <w:r>
        <w:rPr>
          <w:rFonts w:hint="eastAsia" w:ascii="宋体" w:hAnsi="宋体" w:cs="宋体"/>
          <w:color w:val="auto"/>
          <w:spacing w:val="8"/>
          <w:sz w:val="24"/>
          <w:highlight w:val="none"/>
        </w:rPr>
        <w:t xml:space="preserve">报价时应充分考虑所有可能影响到报价的因素，一旦评审结束最终成交，如发生漏、缺、少项都将被认为是成交供应商的报价让利行为，损失自负。</w:t>
      </w:r>
      <w:r/>
    </w:p>
    <w:p>
      <w:pPr>
        <w:pStyle w:val="985"/>
        <w:ind w:left="0" w:firstLine="512"/>
        <w:spacing w:line="440" w:lineRule="exact"/>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3、</w:t>
      </w:r>
      <w:r>
        <w:rPr>
          <w:rFonts w:hint="eastAsia" w:ascii="宋体" w:hAnsi="宋体" w:cs="宋体"/>
          <w:color w:val="auto"/>
          <w:spacing w:val="8"/>
          <w:sz w:val="24"/>
          <w:highlight w:val="none"/>
        </w:rPr>
        <w:t xml:space="preserve">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各档代理费率为：</w:t>
      </w:r>
      <w:r/>
    </w:p>
    <w:tbl>
      <w:tblPr>
        <w:tblStyle w:val="9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4291"/>
        <w:gridCol w:w="2109"/>
      </w:tblGrid>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85"/>
              <w:ind w:left="0"/>
              <w:jc w:val="center"/>
              <w:spacing w:line="320" w:lineRule="exact"/>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档列</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985"/>
              <w:ind w:left="0"/>
              <w:jc w:val="center"/>
              <w:spacing w:line="320" w:lineRule="exact"/>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合同价（单位：美元）</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985"/>
              <w:ind w:left="0"/>
              <w:jc w:val="center"/>
              <w:spacing w:line="320" w:lineRule="exact"/>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合同价＜10000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985"/>
              <w:ind w:left="0"/>
              <w:jc w:val="center"/>
              <w:spacing w:line="320" w:lineRule="exact"/>
              <w:rPr>
                <w:rFonts w:hint="default" w:ascii="仿宋" w:hAnsi="仿宋" w:eastAsia="仿宋" w:cs="仿宋"/>
                <w:color w:val="auto"/>
                <w:sz w:val="22"/>
                <w:szCs w:val="22"/>
                <w:highlight w:val="none"/>
                <w:lang w:val="en-US"/>
              </w:rPr>
            </w:pPr>
            <w:r>
              <w:rPr>
                <w:rFonts w:hint="eastAsia" w:ascii="仿宋" w:hAnsi="仿宋" w:eastAsia="仿宋" w:cs="仿宋"/>
                <w:color w:val="auto"/>
                <w:sz w:val="22"/>
                <w:szCs w:val="22"/>
                <w:highlight w:val="none"/>
              </w:rPr>
              <w:t xml:space="preserve">0.</w:t>
            </w:r>
            <w:r>
              <w:rPr>
                <w:rFonts w:hint="eastAsia" w:ascii="仿宋" w:hAnsi="仿宋" w:eastAsia="仿宋" w:cs="仿宋"/>
                <w:color w:val="auto"/>
                <w:sz w:val="22"/>
                <w:szCs w:val="22"/>
                <w:highlight w:val="none"/>
                <w:lang w:val="en-US" w:eastAsia="zh-CN"/>
              </w:rPr>
              <w:t xml:space="preserve">13</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10，000≤合同价＜30，000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0.1</w:t>
            </w:r>
            <w:r>
              <w:rPr>
                <w:rFonts w:hint="eastAsia" w:ascii="仿宋" w:hAnsi="仿宋" w:eastAsia="仿宋" w:cs="仿宋"/>
                <w:color w:val="auto"/>
                <w:sz w:val="22"/>
                <w:szCs w:val="22"/>
                <w:highlight w:val="none"/>
                <w:lang w:val="en-US" w:eastAsia="zh-CN"/>
              </w:rPr>
              <w:t xml:space="preserve">1</w:t>
            </w:r>
            <w:r/>
          </w:p>
        </w:tc>
      </w:tr>
      <w:tr>
        <w:trPr>
          <w:jc w:val="center"/>
          <w:trHeight w:val="431"/>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30，000≤合同价＜50，000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985"/>
              <w:ind w:left="0"/>
              <w:jc w:val="center"/>
              <w:spacing w:line="320" w:lineRule="exac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0.0</w:t>
            </w:r>
            <w:r>
              <w:rPr>
                <w:rFonts w:hint="eastAsia" w:ascii="仿宋" w:hAnsi="仿宋" w:eastAsia="仿宋" w:cs="仿宋"/>
                <w:color w:val="auto"/>
                <w:sz w:val="22"/>
                <w:szCs w:val="22"/>
                <w:highlight w:val="none"/>
                <w:lang w:val="en-US" w:eastAsia="zh-CN"/>
              </w:rPr>
              <w:t xml:space="preserve">7       </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50，000≤合同价＜100，000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985"/>
              <w:ind w:left="0"/>
              <w:jc w:val="center"/>
              <w:spacing w:line="320" w:lineRule="exac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 xml:space="preserve">0.0</w:t>
            </w:r>
            <w:r>
              <w:rPr>
                <w:rFonts w:hint="eastAsia" w:ascii="仿宋" w:hAnsi="仿宋" w:eastAsia="仿宋" w:cs="仿宋"/>
                <w:color w:val="auto"/>
                <w:sz w:val="22"/>
                <w:szCs w:val="22"/>
                <w:highlight w:val="none"/>
                <w:lang w:val="en-US" w:eastAsia="zh-CN"/>
              </w:rPr>
              <w:t xml:space="preserve">5</w:t>
            </w:r>
            <w:r/>
          </w:p>
        </w:tc>
      </w:tr>
      <w:tr>
        <w:trPr>
          <w:jc w:val="center"/>
          <w:trHeight w:val="454"/>
        </w:trPr>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4291"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100，000≤合同价＜200，000</w:t>
            </w:r>
            <w:r/>
          </w:p>
        </w:tc>
        <w:tc>
          <w:tcPr>
            <w:tcBorders>
              <w:top w:val="single" w:color="auto" w:sz="4" w:space="0"/>
              <w:left w:val="single" w:color="auto" w:sz="4" w:space="0"/>
              <w:bottom w:val="single" w:color="auto" w:sz="4" w:space="0"/>
              <w:right w:val="single" w:color="auto" w:sz="4" w:space="0"/>
            </w:tcBorders>
            <w:tcW w:w="2109" w:type="dxa"/>
            <w:vAlign w:val="center"/>
            <w:textDirection w:val="lrTb"/>
            <w:noWrap w:val="false"/>
          </w:tcPr>
          <w:p>
            <w:pPr>
              <w:pStyle w:val="985"/>
              <w:ind w:left="0"/>
              <w:jc w:val="center"/>
              <w:spacing w:line="320" w:lineRule="exact"/>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 xml:space="preserve">0.0</w:t>
            </w:r>
            <w:r>
              <w:rPr>
                <w:rFonts w:hint="eastAsia" w:ascii="仿宋" w:hAnsi="仿宋" w:eastAsia="仿宋" w:cs="仿宋"/>
                <w:color w:val="auto"/>
                <w:sz w:val="22"/>
                <w:szCs w:val="22"/>
                <w:highlight w:val="none"/>
                <w:lang w:val="en-US" w:eastAsia="zh-CN"/>
              </w:rPr>
              <w:t xml:space="preserve">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7660" w:type="dxa"/>
            <w:vAlign w:val="center"/>
            <w:textDirection w:val="lrTb"/>
            <w:noWrap w:val="false"/>
          </w:tcPr>
          <w:p>
            <w:pPr>
              <w:pStyle w:val="985"/>
              <w:ind w:left="0"/>
              <w:spacing w:line="320" w:lineRule="exact"/>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eastAsia="zh-CN"/>
              </w:rPr>
              <w:t xml:space="preserve">合同价为</w:t>
            </w:r>
            <w:r>
              <w:rPr>
                <w:rFonts w:hint="eastAsia" w:ascii="仿宋" w:hAnsi="仿宋" w:eastAsia="仿宋" w:cs="仿宋"/>
                <w:color w:val="auto"/>
                <w:sz w:val="22"/>
                <w:szCs w:val="22"/>
                <w:highlight w:val="none"/>
                <w:lang w:val="en-US" w:eastAsia="zh-CN"/>
              </w:rPr>
              <w:t xml:space="preserve">20万美元及以上的，代理费率不高于上述代理费中最低一档。</w:t>
            </w:r>
            <w:r/>
          </w:p>
        </w:tc>
      </w:tr>
    </w:tbl>
    <w:p>
      <w:pPr>
        <w:ind w:firstLine="211"/>
        <w:jc w:val="left"/>
        <w:widowControl/>
        <w:rPr>
          <w:rFonts w:hint="eastAsia" w:ascii="宋体" w:hAnsi="宋体" w:cs="宋体"/>
          <w:b/>
          <w:bCs/>
          <w:color w:val="auto"/>
          <w:szCs w:val="21"/>
          <w:highlight w:val="none"/>
          <w:lang w:bidi="ar"/>
        </w:rPr>
      </w:pPr>
      <w:r>
        <w:rPr>
          <w:rFonts w:hint="eastAsia" w:ascii="宋体" w:hAnsi="宋体" w:cs="宋体"/>
          <w:b/>
          <w:bCs/>
          <w:color w:val="auto"/>
          <w:szCs w:val="21"/>
          <w:highlight w:val="none"/>
          <w:lang w:bidi="ar"/>
        </w:rPr>
      </w:r>
      <w:r/>
    </w:p>
    <w:p>
      <w:pPr>
        <w:ind w:firstLine="480"/>
        <w:spacing w:line="360" w:lineRule="auto"/>
        <w:widowControl/>
        <w:rPr>
          <w:rFonts w:hint="eastAsia" w:ascii="宋体" w:hAnsi="宋体" w:cs="宋体"/>
          <w:b/>
          <w:bCs/>
          <w:color w:val="auto"/>
          <w:szCs w:val="21"/>
          <w:highlight w:val="none"/>
          <w:lang w:val="zh-CN"/>
        </w:rPr>
      </w:pPr>
      <w:r>
        <w:rPr>
          <w:rFonts w:hint="eastAsia"/>
          <w:color w:val="auto"/>
          <w:sz w:val="24"/>
          <w:szCs w:val="32"/>
          <w:highlight w:val="none"/>
        </w:rPr>
        <w:t xml:space="preserve">如潜在供应商所投产品为进口（免税）产品，请自行综合考虑外贸代理费等报价事宜。</w:t>
      </w:r>
      <w:r/>
    </w:p>
    <w:p>
      <w:pPr>
        <w:ind w:firstLine="720"/>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br w:type="page" w:clear="all"/>
      </w:r>
      <w:r/>
    </w:p>
    <w:p>
      <w:pPr>
        <w:pStyle w:val="961"/>
        <w:jc w:val="center"/>
        <w:spacing w:line="360" w:lineRule="auto"/>
        <w:rPr>
          <w:rFonts w:hint="eastAsia" w:ascii="宋体" w:hAnsi="宋体" w:eastAsia="宋体" w:cs="宋体"/>
          <w:color w:val="auto"/>
          <w:sz w:val="32"/>
          <w:szCs w:val="32"/>
          <w:highlight w:val="none"/>
          <w:lang w:val="en-US" w:eastAsia="zh-CN"/>
        </w:rPr>
      </w:pPr>
      <w:r>
        <w:rPr>
          <w:rFonts w:hint="eastAsia" w:ascii="宋体" w:hAnsi="宋体" w:cs="宋体"/>
          <w:color w:val="auto"/>
          <w:sz w:val="36"/>
          <w:szCs w:val="36"/>
          <w:highlight w:val="none"/>
          <w:lang w:val="zh-CN"/>
        </w:rPr>
        <w:t xml:space="preserve">第五章  </w:t>
      </w:r>
      <w:bookmarkStart w:id="67" w:name="_Toc13969"/>
      <w:r>
        <w:rPr>
          <w:rFonts w:hint="eastAsia" w:ascii="宋体" w:hAnsi="宋体" w:cs="宋体"/>
          <w:color w:val="auto"/>
          <w:sz w:val="32"/>
          <w:szCs w:val="32"/>
          <w:highlight w:val="none"/>
        </w:rPr>
        <w:t xml:space="preserve"> </w:t>
      </w:r>
      <w:bookmarkEnd w:id="67"/>
      <w:r>
        <w:rPr>
          <w:rFonts w:hint="eastAsia" w:ascii="宋体" w:hAnsi="宋体" w:cs="宋体"/>
          <w:color w:val="auto"/>
          <w:sz w:val="36"/>
          <w:szCs w:val="36"/>
          <w:highlight w:val="none"/>
          <w:lang w:val="zh-CN"/>
        </w:rPr>
        <w:t xml:space="preserve">合同主要条款及格式</w:t>
      </w:r>
      <w:r>
        <w:rPr>
          <w:rFonts w:hint="eastAsia" w:ascii="宋体" w:hAnsi="宋体" w:cs="宋体"/>
          <w:color w:val="auto"/>
          <w:sz w:val="36"/>
          <w:szCs w:val="36"/>
          <w:highlight w:val="none"/>
          <w:lang w:val="en-US" w:eastAsia="zh-CN"/>
        </w:rPr>
        <w:t xml:space="preserve"> </w:t>
      </w:r>
      <w:r/>
    </w:p>
    <w:p>
      <w:pPr>
        <w:pStyle w:val="988"/>
        <w:jc w:val="center"/>
        <w:spacing w:before="120" w:after="120" w:line="360" w:lineRule="auto"/>
        <w:rPr>
          <w:rFonts w:hint="eastAsia" w:hAnsi="宋体" w:cs="宋体"/>
          <w:b/>
          <w:bCs/>
          <w:color w:val="auto"/>
          <w:sz w:val="24"/>
          <w:highlight w:val="none"/>
          <w:u w:val="single"/>
        </w:rPr>
      </w:pPr>
      <w:r>
        <w:rPr>
          <w:rFonts w:hint="eastAsia" w:hAnsi="宋体" w:cs="宋体"/>
          <w:b/>
          <w:bCs/>
          <w:color w:val="auto"/>
          <w:sz w:val="24"/>
          <w:highlight w:val="none"/>
          <w:u w:val="single"/>
        </w:rPr>
        <w:t xml:space="preserve">南京医科大学疫苗平台高分辨率小动物超声成像系统采购项目合同</w:t>
      </w:r>
      <w:r/>
    </w:p>
    <w:p>
      <w:pPr>
        <w:pStyle w:val="988"/>
        <w:ind w:firstLine="420"/>
        <w:spacing w:before="120" w:after="120"/>
        <w:rPr>
          <w:rFonts w:hint="eastAsia" w:hAnsi="宋体" w:cs="宋体"/>
          <w:color w:val="auto"/>
          <w:highlight w:val="none"/>
        </w:rPr>
      </w:pPr>
      <w:r>
        <w:rPr>
          <w:rFonts w:hint="eastAsia" w:hAnsi="宋体" w:cs="宋体"/>
          <w:color w:val="auto"/>
          <w:highlight w:val="none"/>
        </w:rPr>
        <w:t xml:space="preserve">甲方：（买方）_________         乙方：（卖方）_________ </w:t>
      </w:r>
      <w:r/>
    </w:p>
    <w:p>
      <w:pPr>
        <w:pStyle w:val="988"/>
        <w:ind w:firstLine="420"/>
        <w:spacing w:before="120" w:after="120"/>
        <w:rPr>
          <w:rFonts w:hint="eastAsia" w:hAnsi="宋体" w:cs="宋体"/>
          <w:color w:val="auto"/>
          <w:highlight w:val="none"/>
          <w:u w:val="single"/>
        </w:rPr>
      </w:pPr>
      <w:r>
        <w:rPr>
          <w:rFonts w:hint="eastAsia" w:hAnsi="宋体" w:cs="宋体"/>
          <w:color w:val="auto"/>
          <w:highlight w:val="none"/>
        </w:rPr>
        <w:t xml:space="preserve">法定代表人：</w:t>
      </w:r>
      <w:r>
        <w:rPr>
          <w:rFonts w:hint="eastAsia" w:hAnsi="宋体" w:cs="宋体"/>
          <w:color w:val="auto"/>
          <w:highlight w:val="none"/>
          <w:u w:val="single"/>
        </w:rPr>
        <w:t xml:space="preserve">          </w:t>
      </w:r>
      <w:r>
        <w:rPr>
          <w:rFonts w:hint="eastAsia" w:hAnsi="宋体" w:cs="宋体"/>
          <w:color w:val="auto"/>
          <w:highlight w:val="none"/>
        </w:rPr>
        <w:t xml:space="preserve">         法定代表人：</w:t>
      </w:r>
      <w:r>
        <w:rPr>
          <w:rFonts w:hint="eastAsia" w:hAnsi="宋体" w:cs="宋体"/>
          <w:color w:val="auto"/>
          <w:highlight w:val="none"/>
          <w:u w:val="single"/>
        </w:rPr>
        <w:t xml:space="preserve">           </w:t>
      </w:r>
      <w:r/>
    </w:p>
    <w:p>
      <w:pPr>
        <w:pStyle w:val="988"/>
        <w:ind w:firstLine="420"/>
        <w:spacing w:before="120" w:after="120"/>
        <w:rPr>
          <w:rFonts w:hint="eastAsia" w:hAnsi="宋体" w:cs="宋体"/>
          <w:color w:val="auto"/>
          <w:highlight w:val="none"/>
          <w:u w:val="single"/>
        </w:rPr>
      </w:pPr>
      <w:r>
        <w:rPr>
          <w:rFonts w:hint="eastAsia" w:hAnsi="宋体" w:cs="宋体"/>
          <w:color w:val="auto"/>
          <w:highlight w:val="none"/>
        </w:rPr>
        <w:t xml:space="preserve">地址：</w:t>
      </w:r>
      <w:r>
        <w:rPr>
          <w:rFonts w:hint="eastAsia" w:hAnsi="宋体" w:cs="宋体"/>
          <w:color w:val="auto"/>
          <w:highlight w:val="none"/>
          <w:u w:val="single"/>
        </w:rPr>
        <w:t xml:space="preserve">                </w:t>
      </w:r>
      <w:r>
        <w:rPr>
          <w:rFonts w:hint="eastAsia" w:hAnsi="宋体" w:cs="宋体"/>
          <w:color w:val="auto"/>
          <w:highlight w:val="none"/>
        </w:rPr>
        <w:t xml:space="preserve">         地址：</w:t>
      </w:r>
      <w:r>
        <w:rPr>
          <w:rFonts w:hint="eastAsia" w:hAnsi="宋体" w:cs="宋体"/>
          <w:color w:val="auto"/>
          <w:highlight w:val="none"/>
          <w:u w:val="single"/>
        </w:rPr>
        <w:t xml:space="preserve">                 </w:t>
      </w:r>
      <w:r/>
    </w:p>
    <w:p>
      <w:pPr>
        <w:pStyle w:val="988"/>
        <w:ind w:firstLine="420"/>
        <w:spacing w:before="120" w:after="120"/>
        <w:rPr>
          <w:rFonts w:hint="eastAsia" w:hAnsi="宋体" w:cs="宋体"/>
          <w:color w:val="auto"/>
          <w:highlight w:val="none"/>
          <w:u w:val="single"/>
        </w:rPr>
      </w:pPr>
      <w:r>
        <w:rPr>
          <w:rFonts w:hint="eastAsia" w:hAnsi="宋体" w:cs="宋体"/>
          <w:color w:val="auto"/>
          <w:highlight w:val="none"/>
        </w:rPr>
        <w:t xml:space="preserve">联系人：</w:t>
      </w:r>
      <w:r>
        <w:rPr>
          <w:rFonts w:hint="eastAsia" w:hAnsi="宋体" w:cs="宋体"/>
          <w:color w:val="auto"/>
          <w:highlight w:val="none"/>
          <w:u w:val="single"/>
        </w:rPr>
        <w:t xml:space="preserve">              </w:t>
      </w:r>
      <w:r>
        <w:rPr>
          <w:rFonts w:hint="eastAsia" w:hAnsi="宋体" w:cs="宋体"/>
          <w:color w:val="auto"/>
          <w:highlight w:val="none"/>
        </w:rPr>
        <w:t xml:space="preserve">         联系人：</w:t>
      </w:r>
      <w:r>
        <w:rPr>
          <w:rFonts w:hint="eastAsia" w:hAnsi="宋体" w:cs="宋体"/>
          <w:color w:val="auto"/>
          <w:highlight w:val="none"/>
          <w:u w:val="single"/>
        </w:rPr>
        <w:t xml:space="preserve">                </w:t>
      </w:r>
      <w:r/>
    </w:p>
    <w:p>
      <w:pPr>
        <w:pStyle w:val="988"/>
        <w:ind w:firstLine="420"/>
        <w:spacing w:before="120" w:after="120"/>
        <w:rPr>
          <w:rFonts w:hint="eastAsia" w:hAnsi="宋体" w:cs="宋体"/>
          <w:color w:val="auto"/>
          <w:highlight w:val="none"/>
        </w:rPr>
      </w:pPr>
      <w:r>
        <w:rPr>
          <w:rFonts w:hint="eastAsia" w:hAnsi="宋体" w:cs="宋体"/>
          <w:color w:val="auto"/>
          <w:highlight w:val="none"/>
        </w:rPr>
        <w:t xml:space="preserve">联系方式：</w:t>
      </w:r>
      <w:r>
        <w:rPr>
          <w:rFonts w:hint="eastAsia" w:hAnsi="宋体" w:cs="宋体"/>
          <w:color w:val="auto"/>
          <w:highlight w:val="none"/>
          <w:u w:val="single"/>
        </w:rPr>
        <w:t xml:space="preserve">            </w:t>
      </w:r>
      <w:r>
        <w:rPr>
          <w:rFonts w:hint="eastAsia" w:hAnsi="宋体" w:cs="宋体"/>
          <w:color w:val="auto"/>
          <w:highlight w:val="none"/>
        </w:rPr>
        <w:t xml:space="preserve">         联系方式：</w:t>
      </w:r>
      <w:r>
        <w:rPr>
          <w:rFonts w:hint="eastAsia" w:hAnsi="宋体" w:cs="宋体"/>
          <w:color w:val="auto"/>
          <w:highlight w:val="none"/>
          <w:u w:val="single"/>
        </w:rPr>
        <w:t xml:space="preserve">             </w:t>
      </w:r>
      <w:r>
        <w:rPr>
          <w:rFonts w:hint="eastAsia" w:hAnsi="宋体" w:cs="宋体"/>
          <w:color w:val="auto"/>
          <w:highlight w:val="none"/>
        </w:rPr>
        <w:t xml:space="preserve">  </w:t>
      </w:r>
      <w:r/>
    </w:p>
    <w:p>
      <w:pPr>
        <w:pStyle w:val="988"/>
        <w:ind w:firstLine="420"/>
        <w:spacing w:before="120" w:after="120"/>
        <w:rPr>
          <w:rFonts w:hint="eastAsia" w:hAnsi="宋体"/>
          <w:color w:val="auto"/>
          <w:sz w:val="24"/>
          <w:szCs w:val="28"/>
          <w:highlight w:val="none"/>
        </w:rPr>
      </w:pPr>
      <w:r>
        <w:rPr>
          <w:rFonts w:hint="eastAsia" w:hAnsi="宋体" w:cs="宋体"/>
          <w:color w:val="auto"/>
          <w:highlight w:val="none"/>
        </w:rPr>
        <w:t xml:space="preserve">甲、乙双方根据南京医科大学 </w:t>
      </w:r>
      <w:r>
        <w:rPr>
          <w:rFonts w:hint="eastAsia" w:hAnsi="宋体" w:cs="宋体"/>
          <w:color w:val="auto"/>
          <w:highlight w:val="none"/>
          <w:u w:val="single"/>
        </w:rPr>
        <w:t xml:space="preserve">                    项目 </w:t>
      </w:r>
      <w:r>
        <w:rPr>
          <w:rFonts w:hint="eastAsia" w:hAnsi="宋体" w:cs="宋体"/>
          <w:color w:val="auto"/>
          <w:highlight w:val="none"/>
        </w:rPr>
        <w:t xml:space="preserve">公开招标的结果，本着自愿及平等互利的原则，就甲方向乙方购买本合同约定的货物事宜，签署本合同。</w:t>
      </w:r>
      <w:r/>
    </w:p>
    <w:p>
      <w:pPr>
        <w:pStyle w:val="988"/>
        <w:ind w:firstLine="482"/>
        <w:spacing w:before="120" w:after="120" w:line="330" w:lineRule="atLeast"/>
        <w:rPr>
          <w:rFonts w:hint="eastAsia" w:hAnsi="宋体"/>
          <w:b/>
          <w:color w:val="auto"/>
          <w:sz w:val="24"/>
          <w:szCs w:val="24"/>
          <w:highlight w:val="none"/>
        </w:rPr>
      </w:pPr>
      <w:r>
        <w:rPr>
          <w:rFonts w:hAnsi="宋体"/>
          <w:b/>
          <w:color w:val="auto"/>
          <w:sz w:val="24"/>
          <w:szCs w:val="24"/>
          <w:highlight w:val="none"/>
        </w:rPr>
        <w:t xml:space="preserve">一、货物内容</w:t>
      </w:r>
      <w:r>
        <w:rPr>
          <w:rFonts w:hint="eastAsia" w:hAnsi="宋体"/>
          <w:b/>
          <w:color w:val="auto"/>
          <w:sz w:val="24"/>
          <w:szCs w:val="24"/>
          <w:highlight w:val="none"/>
        </w:rPr>
        <w:t xml:space="preserve">、数量及金额</w:t>
      </w:r>
      <w:r/>
    </w:p>
    <w:tbl>
      <w:tblPr>
        <w:tblStyle w:val="971"/>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459"/>
        <w:gridCol w:w="1029"/>
        <w:gridCol w:w="1029"/>
        <w:gridCol w:w="1029"/>
        <w:gridCol w:w="1037"/>
        <w:gridCol w:w="1622"/>
        <w:gridCol w:w="1628"/>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 xml:space="preserve">合计（小写）：</w:t>
            </w:r>
            <w:r/>
          </w:p>
          <w:p>
            <w:pPr>
              <w:jc w:val="center"/>
              <w:spacing w:line="30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此外，</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988"/>
        <w:ind w:firstLine="482"/>
        <w:spacing w:before="120" w:after="120" w:line="330" w:lineRule="atLeast"/>
        <w:rPr>
          <w:rFonts w:hint="eastAsia" w:hAnsi="宋体"/>
          <w:b/>
          <w:color w:val="auto"/>
          <w:sz w:val="24"/>
          <w:szCs w:val="24"/>
          <w:highlight w:val="none"/>
        </w:rPr>
      </w:pPr>
      <w:r>
        <w:rPr>
          <w:rFonts w:hAnsi="宋体"/>
          <w:b/>
          <w:color w:val="auto"/>
          <w:sz w:val="24"/>
          <w:szCs w:val="24"/>
          <w:highlight w:val="none"/>
        </w:rPr>
        <w:t xml:space="preserve">二、</w:t>
      </w:r>
      <w:r>
        <w:rPr>
          <w:rFonts w:hint="eastAsia" w:hAnsi="宋体"/>
          <w:b/>
          <w:color w:val="auto"/>
          <w:sz w:val="24"/>
          <w:szCs w:val="24"/>
          <w:highlight w:val="none"/>
        </w:rPr>
        <w:t xml:space="preserve">结算方式</w:t>
      </w:r>
      <w:r/>
    </w:p>
    <w:p>
      <w:pPr>
        <w:pStyle w:val="988"/>
        <w:ind w:firstLine="480"/>
        <w:spacing w:before="120" w:after="120" w:line="330" w:lineRule="atLeast"/>
        <w:rPr>
          <w:rFonts w:hint="eastAsia" w:hAnsi="宋体"/>
          <w:color w:val="auto"/>
          <w:sz w:val="24"/>
          <w:szCs w:val="28"/>
          <w:highlight w:val="none"/>
        </w:rPr>
      </w:pPr>
      <w:r>
        <w:rPr>
          <w:rFonts w:hAnsi="宋体"/>
          <w:color w:val="auto"/>
          <w:sz w:val="24"/>
          <w:szCs w:val="28"/>
          <w:highlight w:val="none"/>
        </w:rPr>
        <w:t xml:space="preserve">2.1结算方式：</w:t>
      </w:r>
      <w:r/>
    </w:p>
    <w:p>
      <w:pPr>
        <w:pStyle w:val="988"/>
        <w:ind w:firstLine="480"/>
        <w:spacing w:before="120" w:after="120" w:line="330" w:lineRule="atLeast"/>
        <w:rPr>
          <w:rFonts w:hint="eastAsia" w:hAnsi="宋体" w:cstheme="minorBidi"/>
          <w:color w:val="auto"/>
          <w:sz w:val="24"/>
          <w:szCs w:val="22"/>
          <w:highlight w:val="none"/>
        </w:rPr>
      </w:pPr>
      <w:r>
        <w:rPr>
          <w:rFonts w:hint="eastAsia" w:hAnsi="宋体" w:cstheme="minorBidi"/>
          <w:color w:val="auto"/>
          <w:sz w:val="24"/>
          <w:szCs w:val="22"/>
          <w:highlight w:val="none"/>
        </w:rPr>
        <w:t xml:space="preserve">A【</w:t>
      </w:r>
      <w:r>
        <w:rPr>
          <w:rFonts w:hint="eastAsia" w:ascii="宋体" w:hAnsi="宋体" w:cs="宋体"/>
          <w:color w:val="auto"/>
          <w:spacing w:val="8"/>
          <w:sz w:val="24"/>
          <w:highlight w:val="none"/>
        </w:rPr>
        <w:t xml:space="preserve">国产设备及进口设备（非免税）</w:t>
      </w:r>
      <w:r>
        <w:rPr>
          <w:rFonts w:hint="eastAsia" w:hAnsi="宋体" w:cstheme="minorBidi"/>
          <w:color w:val="auto"/>
          <w:sz w:val="24"/>
          <w:szCs w:val="22"/>
          <w:highlight w:val="none"/>
        </w:rPr>
        <w:t xml:space="preserve">】：货物交付、安装、调试且通过验收后一周内（遇寒暑假和法定节假日顺延），学校支付合同总金额的100%，付款之前需收到中标供应商开具的合法有效的相应全额发票。</w:t>
      </w:r>
      <w:r/>
    </w:p>
    <w:p>
      <w:pPr>
        <w:pStyle w:val="988"/>
        <w:ind w:firstLine="480"/>
        <w:spacing w:before="120" w:after="120" w:line="330" w:lineRule="atLeast"/>
        <w:rPr>
          <w:rFonts w:hint="eastAsia" w:hAnsi="宋体" w:cstheme="minorBidi"/>
          <w:color w:val="auto"/>
          <w:sz w:val="24"/>
          <w:szCs w:val="22"/>
          <w:highlight w:val="none"/>
        </w:rPr>
      </w:pPr>
      <w:r>
        <w:rPr>
          <w:rFonts w:hint="eastAsia" w:hAnsi="宋体" w:cstheme="minorBidi"/>
          <w:color w:val="auto"/>
          <w:sz w:val="24"/>
          <w:szCs w:val="22"/>
          <w:highlight w:val="none"/>
        </w:rPr>
        <w:t xml:space="preserve">B【</w:t>
      </w:r>
      <w:r>
        <w:rPr>
          <w:rFonts w:hint="eastAsia" w:ascii="宋体" w:hAnsi="宋体" w:cs="宋体"/>
          <w:color w:val="auto"/>
          <w:spacing w:val="8"/>
          <w:sz w:val="24"/>
          <w:highlight w:val="none"/>
        </w:rPr>
        <w:t xml:space="preserve">进口设备（免税）</w:t>
      </w:r>
      <w:r>
        <w:rPr>
          <w:rFonts w:hint="eastAsia" w:hAnsi="宋体" w:cstheme="minorBidi"/>
          <w:color w:val="auto"/>
          <w:sz w:val="24"/>
          <w:szCs w:val="22"/>
          <w:highlight w:val="none"/>
        </w:rPr>
        <w:t xml:space="preserve">】：</w:t>
      </w:r>
      <w:r/>
    </w:p>
    <w:p>
      <w:pPr>
        <w:pStyle w:val="988"/>
        <w:numPr>
          <w:ilvl w:val="0"/>
          <w:numId w:val="3"/>
        </w:numPr>
        <w:ind w:firstLine="480"/>
        <w:spacing w:before="120" w:after="120" w:line="330" w:lineRule="atLeast"/>
        <w:rPr>
          <w:rFonts w:hint="eastAsia" w:hAnsi="宋体" w:cstheme="minorBidi"/>
          <w:color w:val="auto"/>
          <w:sz w:val="24"/>
          <w:szCs w:val="22"/>
          <w:highlight w:val="none"/>
        </w:rPr>
      </w:pPr>
      <w:r>
        <w:rPr>
          <w:rFonts w:hint="eastAsia" w:hAnsi="宋体" w:cstheme="minorBidi"/>
          <w:color w:val="auto"/>
          <w:sz w:val="24"/>
          <w:szCs w:val="22"/>
          <w:highlight w:val="none"/>
        </w:rPr>
        <w:t xml:space="preserve">合同签订后，外贸代理公司提供受益人为南京医科大学的100%合同金额的预付款银行保函，保函有效期为</w:t>
      </w:r>
      <w:r>
        <w:rPr>
          <w:rFonts w:hint="eastAsia" w:hAnsi="宋体" w:cstheme="minorBidi"/>
          <w:color w:val="auto"/>
          <w:sz w:val="24"/>
          <w:szCs w:val="22"/>
          <w:highlight w:val="none"/>
          <w:u w:val="single"/>
          <w:lang w:val="en-US" w:eastAsia="zh-CN"/>
        </w:rPr>
        <w:t xml:space="preserve">     天（</w:t>
      </w:r>
      <w:r>
        <w:rPr>
          <w:rFonts w:hint="eastAsia" w:hAnsi="宋体" w:cstheme="minorBidi"/>
          <w:color w:val="auto"/>
          <w:sz w:val="24"/>
          <w:szCs w:val="22"/>
          <w:highlight w:val="none"/>
          <w:lang w:val="en-US" w:eastAsia="zh-CN"/>
        </w:rPr>
        <w:t xml:space="preserve">供货期</w:t>
      </w:r>
      <w:r>
        <w:rPr>
          <w:rFonts w:hint="eastAsia" w:ascii="宋体" w:hAnsi="宋体" w:eastAsia="宋体" w:cs="宋体"/>
          <w:color w:val="auto"/>
          <w:sz w:val="24"/>
          <w:szCs w:val="22"/>
          <w:highlight w:val="none"/>
          <w:lang w:val="en-US" w:eastAsia="zh-CN"/>
        </w:rPr>
        <w:t xml:space="preserve">＋2</w:t>
      </w:r>
      <w:r>
        <w:rPr>
          <w:rFonts w:hint="eastAsia" w:hAnsi="宋体" w:cstheme="minorBidi"/>
          <w:color w:val="auto"/>
          <w:sz w:val="24"/>
          <w:szCs w:val="22"/>
          <w:highlight w:val="none"/>
          <w:lang w:val="en-US" w:eastAsia="zh-CN"/>
        </w:rPr>
        <w:t xml:space="preserve">个月）</w:t>
      </w:r>
      <w:r>
        <w:rPr>
          <w:rFonts w:hint="eastAsia" w:hAnsi="宋体" w:cstheme="minorBidi"/>
          <w:color w:val="auto"/>
          <w:sz w:val="24"/>
          <w:szCs w:val="22"/>
          <w:highlight w:val="none"/>
        </w:rPr>
        <w:t xml:space="preserve">，银行保函服务费由中标单位承担。</w:t>
      </w:r>
      <w:r/>
    </w:p>
    <w:p>
      <w:pPr>
        <w:pStyle w:val="988"/>
        <w:ind w:firstLine="480"/>
        <w:spacing w:before="120" w:after="120" w:line="330" w:lineRule="atLeast"/>
        <w:rPr>
          <w:rFonts w:hint="eastAsia" w:hAnsi="宋体" w:cstheme="minorBidi"/>
          <w:color w:val="auto"/>
          <w:sz w:val="24"/>
          <w:szCs w:val="22"/>
          <w:highlight w:val="none"/>
        </w:rPr>
      </w:pPr>
      <w:r>
        <w:rPr>
          <w:rFonts w:hint="eastAsia" w:hAnsi="宋体" w:cstheme="minorBidi"/>
          <w:color w:val="auto"/>
          <w:sz w:val="24"/>
          <w:szCs w:val="22"/>
          <w:highlight w:val="none"/>
        </w:rPr>
        <w:t xml:space="preserve">（2）外贸代理公司收到100%货款后按照合同办理相关进口手续，货到验收合格后由学校通知外贸代理公司一周内开具合法有效的全额发票，并支付100%货款至境外厂家。</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2.2履约保证金（根据招标文件要求选用）</w:t>
      </w:r>
      <w:r/>
    </w:p>
    <w:p>
      <w:pPr>
        <w:pStyle w:val="988"/>
        <w:ind w:firstLine="480"/>
        <w:rPr>
          <w:rFonts w:hint="eastAsia" w:hAnsi="宋体"/>
          <w:color w:val="auto"/>
          <w:sz w:val="24"/>
          <w:szCs w:val="28"/>
          <w:highlight w:val="none"/>
        </w:rPr>
      </w:pPr>
      <w:r>
        <w:rPr>
          <w:rFonts w:ascii="Wingdings 2" w:hAnsi="Wingdings 2" w:eastAsia="Wingdings 2" w:cs="Wingdings 2"/>
          <w:color w:val="auto"/>
          <w:sz w:val="24"/>
          <w:szCs w:val="28"/>
          <w:highlight w:val="none"/>
        </w:rPr>
        <w:t xml:space="preserve">£</w:t>
      </w:r>
      <w:r>
        <w:rPr>
          <w:rFonts w:hint="eastAsia" w:hAnsi="宋体"/>
          <w:color w:val="auto"/>
          <w:sz w:val="24"/>
          <w:szCs w:val="28"/>
          <w:highlight w:val="none"/>
        </w:rPr>
        <w:t xml:space="preserve">本项目不需要缴纳履约保证金。</w:t>
      </w:r>
      <w:r/>
    </w:p>
    <w:p>
      <w:pPr>
        <w:pStyle w:val="988"/>
        <w:ind w:firstLine="480"/>
        <w:rPr>
          <w:rFonts w:hint="eastAsia" w:hAnsi="宋体"/>
          <w:color w:val="auto"/>
          <w:sz w:val="24"/>
          <w:szCs w:val="28"/>
          <w:highlight w:val="none"/>
        </w:rPr>
      </w:pPr>
      <w:r>
        <w:rPr>
          <w:rFonts w:ascii="Wingdings 2" w:hAnsi="Wingdings 2" w:eastAsia="Wingdings 2" w:cs="Wingdings 2"/>
          <w:color w:val="auto"/>
          <w:sz w:val="24"/>
          <w:szCs w:val="28"/>
          <w:highlight w:val="none"/>
        </w:rPr>
        <w:t xml:space="preserve">£</w:t>
      </w:r>
      <w:r>
        <w:rPr>
          <w:rFonts w:hint="eastAsia" w:hAnsi="宋体"/>
          <w:color w:val="auto"/>
          <w:sz w:val="24"/>
          <w:szCs w:val="28"/>
          <w:highlight w:val="none"/>
        </w:rPr>
        <w:t xml:space="preserve">本项目需要缴纳履约保证金，具体要求如下：</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（1）供应商中标后7个工作日内，将中标合同金额10%的履约保证金以银行对公转账形式支付至</w:t>
      </w:r>
      <w:r>
        <w:rPr>
          <w:rFonts w:hint="eastAsia" w:hAnsi="宋体"/>
          <w:color w:val="auto"/>
          <w:sz w:val="24"/>
          <w:szCs w:val="28"/>
          <w:highlight w:val="none"/>
          <w:lang w:val="en-US" w:eastAsia="zh-CN"/>
        </w:rPr>
        <w:t xml:space="preserve">甲方</w:t>
      </w:r>
      <w:r>
        <w:rPr>
          <w:rFonts w:hint="eastAsia" w:hAnsi="宋体"/>
          <w:color w:val="auto"/>
          <w:sz w:val="24"/>
          <w:szCs w:val="28"/>
          <w:highlight w:val="none"/>
        </w:rPr>
        <w:t xml:space="preserve">指定账户，并将加盖单位公章的银行回执单或网银截图递交至</w:t>
      </w:r>
      <w:r>
        <w:rPr>
          <w:rFonts w:hint="eastAsia" w:hAnsi="宋体"/>
          <w:color w:val="auto"/>
          <w:sz w:val="24"/>
          <w:szCs w:val="28"/>
          <w:highlight w:val="none"/>
          <w:lang w:val="en-US" w:eastAsia="zh-CN"/>
        </w:rPr>
        <w:t xml:space="preserve">甲方</w:t>
      </w:r>
      <w:r>
        <w:rPr>
          <w:rFonts w:hint="eastAsia" w:hAnsi="宋体"/>
          <w:color w:val="auto"/>
          <w:sz w:val="24"/>
          <w:szCs w:val="28"/>
          <w:highlight w:val="none"/>
        </w:rPr>
        <w:t xml:space="preserve">，</w:t>
      </w:r>
      <w:r>
        <w:rPr>
          <w:rFonts w:hint="eastAsia" w:hAnsi="宋体"/>
          <w:color w:val="auto"/>
          <w:sz w:val="24"/>
          <w:szCs w:val="28"/>
          <w:highlight w:val="none"/>
          <w:lang w:val="en-US" w:eastAsia="zh-CN"/>
        </w:rPr>
        <w:t xml:space="preserve">甲方</w:t>
      </w:r>
      <w:r>
        <w:rPr>
          <w:rFonts w:hint="eastAsia" w:hAnsi="宋体"/>
          <w:color w:val="auto"/>
          <w:sz w:val="24"/>
          <w:szCs w:val="28"/>
          <w:highlight w:val="none"/>
        </w:rPr>
        <w:t xml:space="preserve">凭付款凭证及到款情况办理合同签订相关手续。</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南京医科大学指定账户信息具体如下：</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单位名称：南京医科大学</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开 户 行：南京市工行汉中门支行                          </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账    号：4301010109001038622</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注：请在转账时备注“项目名称+履约保证保金”字样。</w:t>
      </w:r>
      <w:r/>
    </w:p>
    <w:p>
      <w:pPr>
        <w:pStyle w:val="988"/>
        <w:ind w:firstLine="480"/>
        <w:rPr>
          <w:rFonts w:hint="eastAsia" w:hAnsi="宋体"/>
          <w:color w:val="auto"/>
          <w:sz w:val="24"/>
          <w:szCs w:val="28"/>
          <w:highlight w:val="none"/>
        </w:rPr>
      </w:pPr>
      <w:r>
        <w:rPr>
          <w:rFonts w:hint="eastAsia" w:hAnsi="宋体"/>
          <w:color w:val="auto"/>
          <w:sz w:val="24"/>
          <w:szCs w:val="28"/>
          <w:highlight w:val="none"/>
          <w:lang w:eastAsia="zh-CN"/>
        </w:rPr>
        <w:t xml:space="preserve">（</w:t>
      </w:r>
      <w:r>
        <w:rPr>
          <w:rFonts w:hint="eastAsia" w:hAnsi="宋体"/>
          <w:color w:val="auto"/>
          <w:sz w:val="24"/>
          <w:szCs w:val="28"/>
          <w:highlight w:val="none"/>
          <w:lang w:val="en-US" w:eastAsia="zh-CN"/>
        </w:rPr>
        <w:t xml:space="preserve">2</w:t>
      </w:r>
      <w:r>
        <w:rPr>
          <w:rFonts w:hint="eastAsia" w:hAnsi="宋体"/>
          <w:color w:val="auto"/>
          <w:sz w:val="24"/>
          <w:szCs w:val="28"/>
          <w:highlight w:val="none"/>
          <w:lang w:eastAsia="zh-CN"/>
        </w:rPr>
        <w:t xml:space="preserve">）</w:t>
      </w:r>
      <w:r>
        <w:rPr>
          <w:rFonts w:hint="eastAsia" w:hAnsi="宋体"/>
          <w:color w:val="auto"/>
          <w:sz w:val="24"/>
          <w:szCs w:val="28"/>
          <w:highlight w:val="none"/>
        </w:rPr>
        <w:t xml:space="preserve">合同履行过程中，若经</w:t>
      </w:r>
      <w:r>
        <w:rPr>
          <w:rFonts w:hint="eastAsia" w:hAnsi="宋体"/>
          <w:color w:val="auto"/>
          <w:sz w:val="24"/>
          <w:szCs w:val="28"/>
          <w:highlight w:val="none"/>
          <w:lang w:val="en-US" w:eastAsia="zh-CN"/>
        </w:rPr>
        <w:t xml:space="preserve">甲方</w:t>
      </w:r>
      <w:r>
        <w:rPr>
          <w:rFonts w:hint="eastAsia" w:hAnsi="宋体"/>
          <w:color w:val="auto"/>
          <w:sz w:val="24"/>
          <w:szCs w:val="28"/>
          <w:highlight w:val="none"/>
        </w:rPr>
        <w:t xml:space="preserve">核实存在货物质量问题或</w:t>
      </w:r>
      <w:r>
        <w:rPr>
          <w:rFonts w:hint="eastAsia" w:hAnsi="宋体"/>
          <w:color w:val="auto"/>
          <w:sz w:val="24"/>
          <w:szCs w:val="28"/>
          <w:highlight w:val="none"/>
          <w:lang w:val="en-US" w:eastAsia="zh-CN"/>
        </w:rPr>
        <w:t xml:space="preserve">乙方</w:t>
      </w:r>
      <w:r>
        <w:rPr>
          <w:rFonts w:hint="eastAsia" w:hAnsi="宋体"/>
          <w:color w:val="auto"/>
          <w:sz w:val="24"/>
          <w:szCs w:val="28"/>
          <w:highlight w:val="none"/>
        </w:rPr>
        <w:t xml:space="preserve">违约情形，</w:t>
      </w:r>
      <w:r>
        <w:rPr>
          <w:rFonts w:hint="eastAsia" w:hAnsi="宋体"/>
          <w:color w:val="auto"/>
          <w:sz w:val="24"/>
          <w:szCs w:val="28"/>
          <w:highlight w:val="none"/>
          <w:lang w:val="en-US" w:eastAsia="zh-CN"/>
        </w:rPr>
        <w:t xml:space="preserve">甲方</w:t>
      </w:r>
      <w:r>
        <w:rPr>
          <w:rFonts w:hint="eastAsia" w:hAnsi="宋体"/>
          <w:color w:val="auto"/>
          <w:sz w:val="24"/>
          <w:szCs w:val="28"/>
          <w:highlight w:val="none"/>
        </w:rPr>
        <w:t xml:space="preserve">有权在通知</w:t>
      </w:r>
      <w:r>
        <w:rPr>
          <w:rFonts w:hint="eastAsia" w:hAnsi="宋体"/>
          <w:color w:val="auto"/>
          <w:sz w:val="24"/>
          <w:szCs w:val="28"/>
          <w:highlight w:val="none"/>
          <w:lang w:val="en-US" w:eastAsia="zh-CN"/>
        </w:rPr>
        <w:t xml:space="preserve">乙方</w:t>
      </w:r>
      <w:r>
        <w:rPr>
          <w:rFonts w:hint="eastAsia" w:hAnsi="宋体"/>
          <w:color w:val="auto"/>
          <w:sz w:val="24"/>
          <w:szCs w:val="28"/>
          <w:highlight w:val="none"/>
        </w:rPr>
        <w:t xml:space="preserve">后，从履约保证金中抵扣相应的补偿或赔偿款项。</w:t>
      </w:r>
      <w:r/>
    </w:p>
    <w:p>
      <w:pPr>
        <w:pStyle w:val="988"/>
        <w:ind w:firstLine="480"/>
        <w:rPr>
          <w:rFonts w:hint="eastAsia" w:hAnsi="宋体"/>
          <w:color w:val="auto"/>
          <w:sz w:val="24"/>
          <w:szCs w:val="28"/>
          <w:highlight w:val="none"/>
        </w:rPr>
      </w:pPr>
      <w:r>
        <w:rPr>
          <w:rFonts w:hint="eastAsia" w:hAnsi="宋体"/>
          <w:color w:val="auto"/>
          <w:sz w:val="24"/>
          <w:szCs w:val="28"/>
          <w:highlight w:val="none"/>
          <w:lang w:eastAsia="zh-CN"/>
        </w:rPr>
        <w:t xml:space="preserve">（</w:t>
      </w:r>
      <w:r>
        <w:rPr>
          <w:rFonts w:hint="eastAsia" w:hAnsi="宋体"/>
          <w:color w:val="auto"/>
          <w:sz w:val="24"/>
          <w:szCs w:val="28"/>
          <w:highlight w:val="none"/>
          <w:lang w:val="en-US" w:eastAsia="zh-CN"/>
        </w:rPr>
        <w:t xml:space="preserve">3</w:t>
      </w:r>
      <w:r>
        <w:rPr>
          <w:rFonts w:hint="eastAsia" w:hAnsi="宋体"/>
          <w:color w:val="auto"/>
          <w:sz w:val="24"/>
          <w:szCs w:val="28"/>
          <w:highlight w:val="none"/>
          <w:lang w:eastAsia="zh-CN"/>
        </w:rPr>
        <w:t xml:space="preserve">）</w:t>
      </w:r>
      <w:r>
        <w:rPr>
          <w:rFonts w:hint="eastAsia" w:hAnsi="宋体"/>
          <w:color w:val="auto"/>
          <w:sz w:val="24"/>
          <w:szCs w:val="28"/>
          <w:highlight w:val="none"/>
        </w:rPr>
        <w:t xml:space="preserve">履约保证金退还流程</w:t>
      </w:r>
      <w:r>
        <w:rPr>
          <w:rFonts w:hint="eastAsia" w:hAnsi="宋体"/>
          <w:color w:val="auto"/>
          <w:sz w:val="24"/>
          <w:szCs w:val="28"/>
          <w:highlight w:val="none"/>
          <w:lang w:eastAsia="zh-CN"/>
        </w:rPr>
        <w:t xml:space="preserve">：</w:t>
      </w:r>
      <w:r>
        <w:rPr>
          <w:rFonts w:hint="eastAsia" w:hAnsi="宋体"/>
          <w:color w:val="auto"/>
          <w:sz w:val="24"/>
          <w:szCs w:val="28"/>
          <w:highlight w:val="none"/>
        </w:rPr>
        <w:t xml:space="preserve">自货物验收合格之日起12个月后，</w:t>
      </w:r>
      <w:r>
        <w:rPr>
          <w:rFonts w:hint="eastAsia" w:hAnsi="宋体"/>
          <w:color w:val="auto"/>
          <w:sz w:val="24"/>
          <w:szCs w:val="28"/>
          <w:highlight w:val="none"/>
          <w:lang w:val="en-US" w:eastAsia="zh-CN"/>
        </w:rPr>
        <w:t xml:space="preserve">乙方</w:t>
      </w:r>
      <w:r>
        <w:rPr>
          <w:rFonts w:hint="eastAsia" w:hAnsi="宋体"/>
          <w:color w:val="auto"/>
          <w:sz w:val="24"/>
          <w:szCs w:val="28"/>
          <w:highlight w:val="none"/>
        </w:rPr>
        <w:t xml:space="preserve">可向</w:t>
      </w:r>
      <w:r>
        <w:rPr>
          <w:rFonts w:hint="eastAsia" w:hAnsi="宋体"/>
          <w:color w:val="auto"/>
          <w:sz w:val="24"/>
          <w:szCs w:val="28"/>
          <w:highlight w:val="none"/>
          <w:lang w:val="en-US" w:eastAsia="zh-CN"/>
        </w:rPr>
        <w:t xml:space="preserve">甲方</w:t>
      </w:r>
      <w:r>
        <w:rPr>
          <w:rFonts w:hint="eastAsia" w:hAnsi="宋体"/>
          <w:color w:val="auto"/>
          <w:sz w:val="24"/>
          <w:szCs w:val="28"/>
          <w:highlight w:val="none"/>
        </w:rPr>
        <w:t xml:space="preserve">出具货物最终验收单，并同步提交填写完整的《履约保证金退还申请单》。经最终用户签字确认，核实无质量问题且</w:t>
      </w:r>
      <w:r>
        <w:rPr>
          <w:rFonts w:hint="eastAsia" w:hAnsi="宋体"/>
          <w:color w:val="auto"/>
          <w:sz w:val="24"/>
          <w:szCs w:val="28"/>
          <w:highlight w:val="none"/>
          <w:lang w:val="en-US" w:eastAsia="zh-CN"/>
        </w:rPr>
        <w:t xml:space="preserve">乙方</w:t>
      </w:r>
      <w:r>
        <w:rPr>
          <w:rFonts w:hint="eastAsia" w:hAnsi="宋体"/>
          <w:color w:val="auto"/>
          <w:sz w:val="24"/>
          <w:szCs w:val="28"/>
          <w:highlight w:val="none"/>
        </w:rPr>
        <w:t xml:space="preserve">无违约情形后，</w:t>
      </w:r>
      <w:r>
        <w:rPr>
          <w:rFonts w:hint="eastAsia" w:hAnsi="宋体"/>
          <w:color w:val="auto"/>
          <w:sz w:val="24"/>
          <w:szCs w:val="28"/>
          <w:highlight w:val="none"/>
          <w:lang w:val="en-US" w:eastAsia="zh-CN"/>
        </w:rPr>
        <w:t xml:space="preserve">甲方</w:t>
      </w:r>
      <w:r>
        <w:rPr>
          <w:rFonts w:hint="eastAsia" w:hAnsi="宋体"/>
          <w:color w:val="auto"/>
          <w:sz w:val="24"/>
          <w:szCs w:val="28"/>
          <w:highlight w:val="none"/>
        </w:rPr>
        <w:t xml:space="preserve">于确认完成后一个月内，将履约保证金一次性无息退还</w:t>
      </w:r>
      <w:r>
        <w:rPr>
          <w:rFonts w:hint="eastAsia" w:hAnsi="宋体"/>
          <w:color w:val="auto"/>
          <w:sz w:val="24"/>
          <w:szCs w:val="28"/>
          <w:highlight w:val="none"/>
          <w:lang w:val="en-US" w:eastAsia="zh-CN"/>
        </w:rPr>
        <w:t xml:space="preserve">乙方</w:t>
      </w:r>
      <w:r>
        <w:rPr>
          <w:rFonts w:hint="eastAsia" w:hAnsi="宋体"/>
          <w:color w:val="auto"/>
          <w:sz w:val="24"/>
          <w:szCs w:val="28"/>
          <w:highlight w:val="none"/>
        </w:rPr>
        <w:t xml:space="preserve">。</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2.3当采购数量与实际使用数量不一致时，乙方应根据实际使用量供货，合同的最终结算金额按实际使用量乘以本合同约定的成交单价进行计算。</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2.4乙方指定账户信息：</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开户行：</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户名：</w:t>
      </w:r>
      <w:r/>
    </w:p>
    <w:p>
      <w:pPr>
        <w:pStyle w:val="988"/>
        <w:ind w:firstLine="480"/>
        <w:rPr>
          <w:rFonts w:hint="eastAsia" w:hAnsi="宋体"/>
          <w:color w:val="auto"/>
          <w:sz w:val="24"/>
          <w:szCs w:val="28"/>
          <w:highlight w:val="none"/>
        </w:rPr>
      </w:pPr>
      <w:r>
        <w:rPr>
          <w:rFonts w:hint="eastAsia" w:hAnsi="宋体"/>
          <w:color w:val="auto"/>
          <w:sz w:val="24"/>
          <w:szCs w:val="28"/>
          <w:highlight w:val="none"/>
        </w:rPr>
        <w:t xml:space="preserve">账号：</w:t>
      </w:r>
      <w:r/>
    </w:p>
    <w:p>
      <w:pPr>
        <w:pStyle w:val="988"/>
        <w:ind w:firstLine="480"/>
        <w:rPr>
          <w:rFonts w:hint="eastAsia" w:hAnsi="宋体" w:cs="Times New Roman"/>
          <w:color w:val="auto"/>
          <w:sz w:val="24"/>
          <w:szCs w:val="24"/>
          <w:highlight w:val="none"/>
        </w:rPr>
      </w:pPr>
      <w:r>
        <w:rPr>
          <w:rFonts w:hint="eastAsia" w:hAnsi="宋体"/>
          <w:color w:val="auto"/>
          <w:sz w:val="24"/>
          <w:szCs w:val="28"/>
          <w:highlight w:val="none"/>
        </w:rPr>
        <w:t xml:space="preserve">上述账户信息，如有变更，乙方应在变更前3日内书面通知甲方。否则，由此产生的后果由乙方承担。</w:t>
      </w:r>
      <w:r/>
    </w:p>
    <w:p>
      <w:pPr>
        <w:pStyle w:val="988"/>
        <w:ind w:firstLine="482"/>
        <w:spacing w:before="120" w:after="120" w:line="330" w:lineRule="atLeast"/>
        <w:rPr>
          <w:rFonts w:hint="eastAsia" w:hAnsi="宋体"/>
          <w:b/>
          <w:color w:val="auto"/>
          <w:sz w:val="24"/>
          <w:szCs w:val="24"/>
          <w:highlight w:val="none"/>
        </w:rPr>
      </w:pPr>
      <w:r>
        <w:rPr>
          <w:rFonts w:hint="eastAsia" w:hAnsi="宋体"/>
          <w:b/>
          <w:color w:val="auto"/>
          <w:sz w:val="24"/>
          <w:szCs w:val="24"/>
          <w:highlight w:val="none"/>
        </w:rPr>
        <w:t xml:space="preserve">三、交付方式、时间及地点</w:t>
      </w:r>
      <w:r/>
    </w:p>
    <w:p>
      <w:pPr>
        <w:ind w:firstLine="480"/>
        <w:rPr>
          <w:rFonts w:hint="eastAsia" w:ascii="宋体" w:hAnsi="宋体"/>
          <w:color w:val="auto"/>
          <w:sz w:val="24"/>
          <w:highlight w:val="none"/>
          <w:lang w:val="zh-CN"/>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）交货期：</w:t>
      </w:r>
      <w:r>
        <w:rPr>
          <w:rFonts w:hint="eastAsia" w:ascii="宋体" w:hAnsi="宋体" w:eastAsia="宋体" w:cs="宋体"/>
          <w:color w:val="auto"/>
          <w:sz w:val="24"/>
          <w:szCs w:val="24"/>
          <w:highlight w:val="none"/>
          <w:lang w:val="zh-CN"/>
        </w:rPr>
        <w:t xml:space="preserve">合同签订生效后，进口设备（免税）三个月内、国产设备及进口设备（非免税）一个月内全部设备、材料运抵现场，并安装、调试结束，验收合格</w:t>
      </w:r>
      <w:r>
        <w:rPr>
          <w:rFonts w:hint="eastAsia" w:ascii="宋体" w:hAnsi="宋体"/>
          <w:color w:val="auto"/>
          <w:sz w:val="24"/>
          <w:highlight w:val="none"/>
          <w:lang w:val="zh-CN"/>
        </w:rPr>
        <w:t xml:space="preserve">，交付采购方使用。</w:t>
      </w:r>
      <w:r/>
    </w:p>
    <w:p>
      <w:pPr>
        <w:ind w:firstLine="480"/>
        <w:rPr>
          <w:rFonts w:hint="eastAsia" w:ascii="宋体" w:hAnsi="宋体"/>
          <w:color w:val="auto"/>
          <w:sz w:val="24"/>
          <w:highlight w:val="none"/>
          <w:lang w:val="zh-CN"/>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）交货方式：中标人在采购方指定地点交货，并完成安装、调试。</w:t>
      </w:r>
      <w:r/>
    </w:p>
    <w:p>
      <w:pPr>
        <w:pStyle w:val="988"/>
        <w:ind w:firstLine="480"/>
        <w:spacing w:before="120" w:after="120" w:line="330" w:lineRule="atLeast"/>
        <w:rPr>
          <w:rFonts w:hint="eastAsia" w:hAnsi="宋体"/>
          <w:b/>
          <w:bCs/>
          <w:color w:val="auto"/>
          <w:sz w:val="24"/>
          <w:highlight w:val="none"/>
          <w:lang w:val="zh-CN"/>
        </w:rPr>
      </w:pPr>
      <w:r>
        <w:rPr>
          <w:rFonts w:hint="eastAsia" w:hAnsi="宋体"/>
          <w:color w:val="auto"/>
          <w:sz w:val="24"/>
          <w:highlight w:val="none"/>
          <w:lang w:val="zh-CN"/>
        </w:rPr>
        <w:t xml:space="preserve">（</w:t>
      </w:r>
      <w:r>
        <w:rPr>
          <w:rFonts w:hint="eastAsia" w:hAnsi="宋体"/>
          <w:color w:val="auto"/>
          <w:sz w:val="24"/>
          <w:highlight w:val="none"/>
        </w:rPr>
        <w:t xml:space="preserve">3</w:t>
      </w:r>
      <w:r>
        <w:rPr>
          <w:rFonts w:hint="eastAsia" w:hAnsi="宋体"/>
          <w:color w:val="auto"/>
          <w:sz w:val="24"/>
          <w:highlight w:val="none"/>
          <w:lang w:val="zh-CN"/>
        </w:rPr>
        <w:t xml:space="preserve">）交货地点</w:t>
      </w:r>
      <w:r>
        <w:rPr>
          <w:rFonts w:hint="eastAsia" w:hAnsi="宋体"/>
          <w:b w:val="0"/>
          <w:bCs w:val="0"/>
          <w:color w:val="auto"/>
          <w:sz w:val="24"/>
          <w:highlight w:val="none"/>
          <w:lang w:val="zh-CN"/>
        </w:rPr>
        <w:t xml:space="preserve">：南京医科大学指定地点。</w:t>
      </w:r>
      <w:r/>
    </w:p>
    <w:p>
      <w:pPr>
        <w:pStyle w:val="988"/>
        <w:ind w:firstLine="482"/>
        <w:spacing w:before="120" w:after="120" w:line="330" w:lineRule="atLeast"/>
        <w:rPr>
          <w:rFonts w:hint="eastAsia" w:hAnsi="宋体"/>
          <w:b/>
          <w:color w:val="auto"/>
          <w:sz w:val="24"/>
          <w:szCs w:val="24"/>
          <w:highlight w:val="none"/>
        </w:rPr>
      </w:pPr>
      <w:r>
        <w:rPr>
          <w:rFonts w:hAnsi="宋体"/>
          <w:b/>
          <w:color w:val="auto"/>
          <w:sz w:val="24"/>
          <w:szCs w:val="24"/>
          <w:highlight w:val="none"/>
        </w:rPr>
        <w:t xml:space="preserve">四、货物包装、发运及运输</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4.1 乙方应在货物发运前</w:t>
      </w:r>
      <w:r>
        <w:rPr>
          <w:rFonts w:hint="eastAsia" w:hAnsi="宋体"/>
          <w:color w:val="auto"/>
          <w:sz w:val="24"/>
          <w:szCs w:val="24"/>
          <w:highlight w:val="none"/>
        </w:rPr>
        <w:t xml:space="preserve">根据</w:t>
      </w:r>
      <w:r>
        <w:rPr>
          <w:rFonts w:hAnsi="宋体"/>
          <w:color w:val="auto"/>
          <w:sz w:val="24"/>
          <w:szCs w:val="24"/>
          <w:highlight w:val="none"/>
        </w:rPr>
        <w:t xml:space="preserve">运输距离、防潮、防震、防锈和防破损装卸等要求</w:t>
      </w:r>
      <w:r>
        <w:rPr>
          <w:rFonts w:hint="eastAsia" w:hAnsi="宋体"/>
          <w:color w:val="auto"/>
          <w:sz w:val="24"/>
          <w:szCs w:val="24"/>
          <w:highlight w:val="none"/>
        </w:rPr>
        <w:t xml:space="preserve">进行相应的</w:t>
      </w:r>
      <w:r>
        <w:rPr>
          <w:rFonts w:hAnsi="宋体"/>
          <w:color w:val="auto"/>
          <w:sz w:val="24"/>
          <w:szCs w:val="24"/>
          <w:highlight w:val="none"/>
        </w:rPr>
        <w:t xml:space="preserve">包装，以保证货物安全运达甲方指定地点。</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4.2 使用说明书、质量检验证明书、随配附件和工具以及清单一并附于货物内。</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4.3 乙方在货物发运手续办理完毕后24小时内或货到甲方48小时前通知甲方，以准备接货。</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4.4 货物在交付甲方前发生的风险均由乙方负责。</w:t>
      </w:r>
      <w:r/>
    </w:p>
    <w:p>
      <w:pPr>
        <w:pStyle w:val="988"/>
        <w:ind w:firstLine="482"/>
        <w:spacing w:before="120" w:after="120" w:line="330" w:lineRule="atLeast"/>
        <w:rPr>
          <w:rFonts w:hint="eastAsia" w:hAnsi="宋体"/>
          <w:color w:val="auto"/>
          <w:sz w:val="24"/>
          <w:szCs w:val="24"/>
          <w:highlight w:val="none"/>
        </w:rPr>
      </w:pPr>
      <w:r>
        <w:rPr>
          <w:rFonts w:hint="eastAsia" w:hAnsi="宋体"/>
          <w:b/>
          <w:color w:val="auto"/>
          <w:sz w:val="24"/>
          <w:szCs w:val="24"/>
          <w:highlight w:val="none"/>
        </w:rPr>
        <w:t xml:space="preserve">五、</w:t>
      </w:r>
      <w:r>
        <w:rPr>
          <w:rFonts w:hAnsi="宋体"/>
          <w:b/>
          <w:color w:val="auto"/>
          <w:sz w:val="24"/>
          <w:szCs w:val="24"/>
          <w:highlight w:val="none"/>
        </w:rPr>
        <w:t xml:space="preserve">质量保证及售后服务</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5.1 乙方应按招标文件规定的货物性能、技术要求、质量标准向甲方提供全新</w:t>
      </w:r>
      <w:r>
        <w:rPr>
          <w:rFonts w:hint="eastAsia" w:hAnsi="宋体"/>
          <w:color w:val="auto"/>
          <w:sz w:val="24"/>
          <w:szCs w:val="24"/>
          <w:highlight w:val="none"/>
        </w:rPr>
        <w:t xml:space="preserve">货物，乙方所供货物应符合国家相关的法律规定、技术规格和质量标准；如是进口商品，则需是获得国家相关部门颁布安全许可证的出厂原装合格产品。</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5.2 乙方提供的货物在</w:t>
      </w:r>
      <w:r>
        <w:rPr>
          <w:rFonts w:hint="eastAsia" w:hAnsi="宋体"/>
          <w:color w:val="auto"/>
          <w:sz w:val="24"/>
          <w:szCs w:val="24"/>
          <w:highlight w:val="none"/>
        </w:rPr>
        <w:t xml:space="preserve">质保期</w:t>
      </w:r>
      <w:r>
        <w:rPr>
          <w:rFonts w:hAnsi="宋体"/>
          <w:color w:val="auto"/>
          <w:sz w:val="24"/>
          <w:szCs w:val="24"/>
          <w:highlight w:val="none"/>
        </w:rPr>
        <w:t xml:space="preserve">内因货物本身的质量问题发生故障，乙方应负责免费更换</w:t>
      </w:r>
      <w:r>
        <w:rPr>
          <w:rFonts w:hint="eastAsia" w:hAnsi="宋体"/>
          <w:color w:val="auto"/>
          <w:sz w:val="24"/>
          <w:szCs w:val="24"/>
          <w:highlight w:val="none"/>
        </w:rPr>
        <w:t xml:space="preserve">，并承担所发生的全部费用</w:t>
      </w:r>
      <w:r>
        <w:rPr>
          <w:rFonts w:hAnsi="宋体"/>
          <w:color w:val="auto"/>
          <w:sz w:val="24"/>
          <w:szCs w:val="24"/>
          <w:highlight w:val="none"/>
        </w:rPr>
        <w:t xml:space="preserve">。</w:t>
      </w:r>
      <w:r>
        <w:rPr>
          <w:rFonts w:hint="eastAsia" w:hAnsi="宋体"/>
          <w:color w:val="auto"/>
          <w:sz w:val="24"/>
          <w:szCs w:val="24"/>
          <w:highlight w:val="none"/>
        </w:rPr>
        <w:t xml:space="preserve">更换后仍</w:t>
      </w:r>
      <w:r>
        <w:rPr>
          <w:rFonts w:hAnsi="宋体"/>
          <w:color w:val="auto"/>
          <w:sz w:val="24"/>
          <w:szCs w:val="24"/>
          <w:highlight w:val="none"/>
        </w:rPr>
        <w:t xml:space="preserve">达不到技术要求</w:t>
      </w:r>
      <w:r>
        <w:rPr>
          <w:rFonts w:hint="eastAsia" w:hAnsi="宋体"/>
          <w:color w:val="auto"/>
          <w:sz w:val="24"/>
          <w:szCs w:val="24"/>
          <w:highlight w:val="none"/>
        </w:rPr>
        <w:t xml:space="preserve">的，</w:t>
      </w:r>
      <w:r>
        <w:rPr>
          <w:rFonts w:hAnsi="宋体"/>
          <w:color w:val="auto"/>
          <w:sz w:val="24"/>
          <w:szCs w:val="24"/>
          <w:highlight w:val="none"/>
        </w:rPr>
        <w:t xml:space="preserve">乙方应退还甲方支付的合同款，同时应承担该货物的直接费用（运输、保险、检验、货款利息及银行手续费等）。</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5.3</w:t>
      </w:r>
      <w:r>
        <w:rPr>
          <w:rFonts w:hint="eastAsia" w:hAnsi="宋体"/>
          <w:color w:val="auto"/>
          <w:sz w:val="24"/>
          <w:szCs w:val="24"/>
          <w:highlight w:val="none"/>
        </w:rPr>
        <w:t xml:space="preserve">上述货物的</w:t>
      </w:r>
      <w:r>
        <w:rPr>
          <w:rFonts w:hAnsi="宋体"/>
          <w:color w:val="auto"/>
          <w:sz w:val="24"/>
          <w:szCs w:val="24"/>
          <w:highlight w:val="none"/>
        </w:rPr>
        <w:t xml:space="preserve">质保期</w:t>
      </w:r>
      <w:r>
        <w:rPr>
          <w:rFonts w:hint="eastAsia" w:hAnsi="宋体"/>
          <w:color w:val="auto"/>
          <w:sz w:val="24"/>
          <w:szCs w:val="24"/>
          <w:highlight w:val="none"/>
          <w:u w:val="single"/>
        </w:rPr>
        <w:t xml:space="preserve">     </w:t>
      </w:r>
      <w:r>
        <w:rPr>
          <w:rFonts w:hAnsi="宋体"/>
          <w:color w:val="auto"/>
          <w:sz w:val="24"/>
          <w:szCs w:val="24"/>
          <w:highlight w:val="none"/>
        </w:rPr>
        <w:t xml:space="preserve">年</w:t>
      </w:r>
      <w:r>
        <w:rPr>
          <w:rFonts w:hint="eastAsia" w:hAnsi="宋体"/>
          <w:color w:val="auto"/>
          <w:sz w:val="24"/>
          <w:szCs w:val="24"/>
          <w:highlight w:val="none"/>
        </w:rPr>
        <w:t xml:space="preserve">。</w:t>
      </w:r>
      <w:r>
        <w:rPr>
          <w:rFonts w:hAnsi="宋体"/>
          <w:color w:val="auto"/>
          <w:sz w:val="24"/>
          <w:szCs w:val="24"/>
          <w:highlight w:val="none"/>
        </w:rPr>
        <w:t xml:space="preserve">（自交货验收合格</w:t>
      </w:r>
      <w:r>
        <w:rPr>
          <w:rFonts w:hint="eastAsia" w:hAnsi="宋体"/>
          <w:color w:val="auto"/>
          <w:sz w:val="24"/>
          <w:szCs w:val="24"/>
          <w:highlight w:val="none"/>
        </w:rPr>
        <w:t xml:space="preserve">次日</w:t>
      </w:r>
      <w:r>
        <w:rPr>
          <w:rFonts w:hAnsi="宋体"/>
          <w:color w:val="auto"/>
          <w:sz w:val="24"/>
          <w:szCs w:val="24"/>
          <w:highlight w:val="none"/>
        </w:rPr>
        <w:t xml:space="preserve">起</w:t>
      </w:r>
      <w:r>
        <w:rPr>
          <w:rFonts w:hint="eastAsia" w:hAnsi="宋体"/>
          <w:color w:val="auto"/>
          <w:sz w:val="24"/>
          <w:szCs w:val="24"/>
          <w:highlight w:val="none"/>
        </w:rPr>
        <w:t xml:space="preserve">计算</w:t>
      </w:r>
      <w:r>
        <w:rPr>
          <w:rFonts w:hAnsi="宋体"/>
          <w:color w:val="auto"/>
          <w:sz w:val="24"/>
          <w:szCs w:val="24"/>
          <w:highlight w:val="none"/>
        </w:rPr>
        <w:t xml:space="preserve">），因人为因素出现的故障不在免费保修范围内。</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5.4</w:t>
      </w:r>
      <w:r>
        <w:rPr>
          <w:rFonts w:hint="eastAsia" w:hAnsi="宋体"/>
          <w:color w:val="auto"/>
          <w:sz w:val="24"/>
          <w:szCs w:val="24"/>
          <w:highlight w:val="none"/>
        </w:rPr>
        <w:t xml:space="preserve">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988"/>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5.5 在质保期内，乙方应对货物出现的质量及安全问题负责处理解决并承担一切费用。</w:t>
      </w:r>
      <w:r/>
    </w:p>
    <w:p>
      <w:pPr>
        <w:pStyle w:val="988"/>
        <w:ind w:firstLine="480"/>
        <w:spacing w:before="120" w:after="120" w:line="330" w:lineRule="atLeast"/>
        <w:rPr>
          <w:rFonts w:hAnsi="宋体"/>
          <w:color w:val="auto"/>
          <w:sz w:val="24"/>
          <w:szCs w:val="24"/>
          <w:highlight w:val="none"/>
        </w:rPr>
      </w:pPr>
      <w:r>
        <w:rPr>
          <w:rFonts w:hAnsi="宋体"/>
          <w:color w:val="auto"/>
          <w:sz w:val="24"/>
          <w:szCs w:val="24"/>
          <w:highlight w:val="none"/>
        </w:rPr>
        <w:t xml:space="preserve">5.6 </w:t>
      </w:r>
      <w:r>
        <w:rPr>
          <w:rFonts w:hint="eastAsia" w:hAnsi="宋体"/>
          <w:color w:val="auto"/>
          <w:sz w:val="24"/>
          <w:szCs w:val="24"/>
          <w:highlight w:val="none"/>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color w:val="auto"/>
          <w:sz w:val="24"/>
          <w:szCs w:val="24"/>
          <w:highlight w:val="none"/>
        </w:rPr>
        <w:t xml:space="preserve">。</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5.7 技术培训：乙方负责派专业技术人员到甲方处进行   次的设备操作培训，培训人员数量  人，使其能熟练掌握仪器的各项性能（包括硬件和软件）。在设备操作培训以后，若有甲方仍有技术问题，乙方在任何时候，都应在  小时以内提供详细技术方案并予以解决。</w:t>
      </w:r>
      <w:r/>
    </w:p>
    <w:p>
      <w:pPr>
        <w:pStyle w:val="988"/>
        <w:ind w:firstLine="482"/>
        <w:spacing w:before="120" w:after="120" w:line="330" w:lineRule="atLeast"/>
        <w:rPr>
          <w:rFonts w:hint="eastAsia" w:hAnsi="宋体"/>
          <w:b/>
          <w:color w:val="auto"/>
          <w:sz w:val="24"/>
          <w:szCs w:val="24"/>
          <w:highlight w:val="none"/>
        </w:rPr>
      </w:pPr>
      <w:r>
        <w:rPr>
          <w:rFonts w:hint="eastAsia" w:hAnsi="宋体"/>
          <w:b/>
          <w:color w:val="auto"/>
          <w:sz w:val="24"/>
          <w:szCs w:val="24"/>
          <w:highlight w:val="none"/>
        </w:rPr>
        <w:t xml:space="preserve">六</w:t>
      </w:r>
      <w:r>
        <w:rPr>
          <w:rFonts w:hAnsi="宋体"/>
          <w:b/>
          <w:color w:val="auto"/>
          <w:sz w:val="24"/>
          <w:szCs w:val="24"/>
          <w:highlight w:val="none"/>
        </w:rPr>
        <w:t xml:space="preserve">、调试和验收</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6.1 乙方交货前应对</w:t>
      </w:r>
      <w:r>
        <w:rPr>
          <w:rFonts w:hint="eastAsia" w:hAnsi="宋体"/>
          <w:color w:val="auto"/>
          <w:sz w:val="24"/>
          <w:szCs w:val="24"/>
          <w:highlight w:val="none"/>
        </w:rPr>
        <w:t xml:space="preserve">货物</w:t>
      </w:r>
      <w:r>
        <w:rPr>
          <w:rFonts w:hAnsi="宋体"/>
          <w:color w:val="auto"/>
          <w:sz w:val="24"/>
          <w:szCs w:val="24"/>
          <w:highlight w:val="none"/>
        </w:rPr>
        <w:t xml:space="preserve">全面检查</w:t>
      </w:r>
      <w:r>
        <w:rPr>
          <w:rFonts w:hint="eastAsia" w:hAnsi="宋体"/>
          <w:color w:val="auto"/>
          <w:sz w:val="24"/>
          <w:szCs w:val="24"/>
          <w:highlight w:val="none"/>
        </w:rPr>
        <w:t xml:space="preserve">并</w:t>
      </w:r>
      <w:r>
        <w:rPr>
          <w:rFonts w:hAnsi="宋体"/>
          <w:color w:val="auto"/>
          <w:sz w:val="24"/>
          <w:szCs w:val="24"/>
          <w:highlight w:val="none"/>
        </w:rPr>
        <w:t xml:space="preserve">对验收文件进行整理，列出清单</w:t>
      </w:r>
      <w:r>
        <w:rPr>
          <w:rFonts w:hint="eastAsia" w:hAnsi="宋体"/>
          <w:color w:val="auto"/>
          <w:sz w:val="24"/>
          <w:szCs w:val="24"/>
          <w:highlight w:val="none"/>
        </w:rPr>
        <w:t xml:space="preserve">提交甲方</w:t>
      </w:r>
      <w:r>
        <w:rPr>
          <w:rFonts w:hAnsi="宋体"/>
          <w:color w:val="auto"/>
          <w:sz w:val="24"/>
          <w:szCs w:val="24"/>
          <w:highlight w:val="none"/>
        </w:rPr>
        <w:t xml:space="preserve">，检验的结果</w:t>
      </w:r>
      <w:r>
        <w:rPr>
          <w:rFonts w:hint="eastAsia" w:hAnsi="宋体"/>
          <w:color w:val="auto"/>
          <w:sz w:val="24"/>
          <w:szCs w:val="24"/>
          <w:highlight w:val="none"/>
        </w:rPr>
        <w:t xml:space="preserve">亦</w:t>
      </w:r>
      <w:r>
        <w:rPr>
          <w:rFonts w:hAnsi="宋体"/>
          <w:color w:val="auto"/>
          <w:sz w:val="24"/>
          <w:szCs w:val="24"/>
          <w:highlight w:val="none"/>
        </w:rPr>
        <w:t xml:space="preserve">应随货物交甲方。</w:t>
      </w:r>
      <w:r/>
    </w:p>
    <w:p>
      <w:pPr>
        <w:pStyle w:val="988"/>
        <w:ind w:firstLine="480"/>
        <w:spacing w:before="120" w:after="120" w:line="330" w:lineRule="atLeast"/>
        <w:rPr>
          <w:rFonts w:hint="eastAsia" w:hAnsi="宋体"/>
          <w:color w:val="auto"/>
          <w:sz w:val="24"/>
          <w:szCs w:val="24"/>
          <w:highlight w:val="none"/>
          <w:u w:val="single"/>
        </w:rPr>
      </w:pPr>
      <w:r>
        <w:rPr>
          <w:rFonts w:hAnsi="宋体"/>
          <w:color w:val="auto"/>
          <w:sz w:val="24"/>
          <w:szCs w:val="24"/>
          <w:highlight w:val="none"/>
        </w:rPr>
        <w:t xml:space="preserve">6.2 甲方对乙方提供的货物在使用前进行调试时，乙方需负责安装并培训甲方的使用操作人员，并协助甲方一起调试，直到符合技术要求。</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6.3 </w:t>
      </w:r>
      <w:r>
        <w:rPr>
          <w:rFonts w:hint="eastAsia" w:hAnsi="宋体"/>
          <w:color w:val="auto"/>
          <w:sz w:val="24"/>
          <w:szCs w:val="24"/>
          <w:highlight w:val="none"/>
        </w:rPr>
        <w:t xml:space="preserve">在安装、调试和验收过程中，如发现有漏件、缺件，乙方应无条件、无偿补齐，所发生的一切费用，视为已包含在投标时的投标报价中，且并不因此而影响交付甲方使用的时间。</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6.4 甲方对乙方提交的货物依据招标文件上的技术规格要求和国家有关质量标准进行现场初步验收</w:t>
      </w:r>
      <w:r>
        <w:rPr>
          <w:rFonts w:hint="eastAsia" w:hAnsi="宋体"/>
          <w:color w:val="auto"/>
          <w:sz w:val="24"/>
          <w:szCs w:val="24"/>
          <w:highlight w:val="none"/>
        </w:rPr>
        <w:t xml:space="preserve">。</w:t>
      </w:r>
      <w:r>
        <w:rPr>
          <w:rFonts w:hAnsi="宋体"/>
          <w:color w:val="auto"/>
          <w:sz w:val="24"/>
          <w:szCs w:val="24"/>
          <w:highlight w:val="none"/>
        </w:rPr>
        <w:t xml:space="preserve">外观、说明书符合招标文件技术要求的，给予签收，初步验收不合格的不予签收。货到后，甲方需在10个工作日内</w:t>
      </w:r>
      <w:r>
        <w:rPr>
          <w:rFonts w:hint="eastAsia" w:hAnsi="宋体"/>
          <w:color w:val="auto"/>
          <w:sz w:val="24"/>
          <w:szCs w:val="24"/>
          <w:highlight w:val="none"/>
        </w:rPr>
        <w:t xml:space="preserve">完成初步</w:t>
      </w:r>
      <w:r>
        <w:rPr>
          <w:rFonts w:hAnsi="宋体"/>
          <w:color w:val="auto"/>
          <w:sz w:val="24"/>
          <w:szCs w:val="24"/>
          <w:highlight w:val="none"/>
        </w:rPr>
        <w:t xml:space="preserve">验收。</w:t>
      </w:r>
      <w:r>
        <w:rPr>
          <w:rFonts w:hint="eastAsia" w:hAnsi="宋体"/>
          <w:color w:val="auto"/>
          <w:sz w:val="24"/>
          <w:szCs w:val="24"/>
          <w:highlight w:val="none"/>
        </w:rPr>
        <w:t xml:space="preserve">验收不合格的，乙方应在收到甲方书面整改通知后完成整改并重新申请验收，整改后仍不合格的，甲方有权单方解除合同，乙方按9.3条承担违约责任。</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6.5 </w:t>
      </w:r>
      <w:r>
        <w:rPr>
          <w:rFonts w:hint="eastAsia" w:hAnsi="宋体"/>
          <w:color w:val="auto"/>
          <w:sz w:val="24"/>
          <w:szCs w:val="24"/>
          <w:highlight w:val="none"/>
        </w:rPr>
        <w:t xml:space="preserve">设备、材料安装、调试结束，甲、</w:t>
      </w:r>
      <w:r>
        <w:rPr>
          <w:rFonts w:hAnsi="宋体"/>
          <w:color w:val="auto"/>
          <w:sz w:val="24"/>
          <w:szCs w:val="24"/>
          <w:highlight w:val="none"/>
        </w:rPr>
        <w:t xml:space="preserve">乙</w:t>
      </w:r>
      <w:r>
        <w:rPr>
          <w:rFonts w:hint="eastAsia" w:hAnsi="宋体"/>
          <w:color w:val="auto"/>
          <w:sz w:val="24"/>
          <w:szCs w:val="24"/>
          <w:highlight w:val="none"/>
        </w:rPr>
        <w:t xml:space="preserve">双</w:t>
      </w:r>
      <w:r>
        <w:rPr>
          <w:rFonts w:hAnsi="宋体"/>
          <w:color w:val="auto"/>
          <w:sz w:val="24"/>
          <w:szCs w:val="24"/>
          <w:highlight w:val="none"/>
        </w:rPr>
        <w:t xml:space="preserve">方</w:t>
      </w:r>
      <w:r>
        <w:rPr>
          <w:rFonts w:hint="eastAsia" w:hAnsi="宋体"/>
          <w:color w:val="auto"/>
          <w:sz w:val="24"/>
          <w:szCs w:val="24"/>
          <w:highlight w:val="none"/>
        </w:rPr>
        <w:t xml:space="preserve">派员共同验收</w:t>
      </w:r>
      <w:r>
        <w:rPr>
          <w:rFonts w:hAnsi="宋体"/>
          <w:color w:val="auto"/>
          <w:sz w:val="24"/>
          <w:szCs w:val="24"/>
          <w:highlight w:val="none"/>
        </w:rPr>
        <w:t xml:space="preserve">，</w:t>
      </w:r>
      <w:r>
        <w:rPr>
          <w:rFonts w:hint="eastAsia" w:hAnsi="宋体"/>
          <w:color w:val="auto"/>
          <w:sz w:val="24"/>
          <w:szCs w:val="24"/>
          <w:highlight w:val="none"/>
        </w:rPr>
        <w:t xml:space="preserve">达到验收标准则验收合格。</w:t>
      </w:r>
      <w:r>
        <w:rPr>
          <w:rFonts w:hAnsi="宋体"/>
          <w:color w:val="auto"/>
          <w:sz w:val="24"/>
          <w:szCs w:val="24"/>
          <w:highlight w:val="none"/>
        </w:rPr>
        <w:t xml:space="preserve">验收完毕后</w:t>
      </w:r>
      <w:r>
        <w:rPr>
          <w:rFonts w:hint="eastAsia" w:hAnsi="宋体"/>
          <w:color w:val="auto"/>
          <w:sz w:val="24"/>
          <w:szCs w:val="24"/>
          <w:highlight w:val="none"/>
        </w:rPr>
        <w:t xml:space="preserve">出具</w:t>
      </w:r>
      <w:r>
        <w:rPr>
          <w:rFonts w:hAnsi="宋体"/>
          <w:color w:val="auto"/>
          <w:sz w:val="24"/>
          <w:szCs w:val="24"/>
          <w:highlight w:val="none"/>
        </w:rPr>
        <w:t xml:space="preserve">验收结果报告</w:t>
      </w:r>
      <w:r>
        <w:rPr>
          <w:rFonts w:hint="eastAsia" w:hAnsi="宋体"/>
          <w:color w:val="auto"/>
          <w:sz w:val="24"/>
          <w:szCs w:val="24"/>
          <w:highlight w:val="none"/>
        </w:rPr>
        <w:t xml:space="preserve">并经双方签字确认</w:t>
      </w:r>
      <w:r>
        <w:rPr>
          <w:rFonts w:hAnsi="宋体"/>
          <w:color w:val="auto"/>
          <w:sz w:val="24"/>
          <w:szCs w:val="24"/>
          <w:highlight w:val="none"/>
        </w:rPr>
        <w:t xml:space="preserve">；验收</w:t>
      </w:r>
      <w:r>
        <w:rPr>
          <w:rFonts w:hint="eastAsia" w:hAnsi="宋体"/>
          <w:color w:val="auto"/>
          <w:sz w:val="24"/>
          <w:szCs w:val="24"/>
          <w:highlight w:val="none"/>
        </w:rPr>
        <w:t xml:space="preserve">相关</w:t>
      </w:r>
      <w:r>
        <w:rPr>
          <w:rFonts w:hAnsi="宋体"/>
          <w:color w:val="auto"/>
          <w:sz w:val="24"/>
          <w:szCs w:val="24"/>
          <w:highlight w:val="none"/>
        </w:rPr>
        <w:t xml:space="preserve">费用由</w:t>
      </w:r>
      <w:r>
        <w:rPr>
          <w:rFonts w:hint="eastAsia" w:hAnsi="宋体"/>
          <w:color w:val="auto"/>
          <w:sz w:val="24"/>
          <w:szCs w:val="24"/>
          <w:highlight w:val="none"/>
        </w:rPr>
        <w:t xml:space="preserve">乙方承担。</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6.6 对技术复杂的货物，甲方</w:t>
      </w:r>
      <w:r>
        <w:rPr>
          <w:rFonts w:hint="eastAsia" w:hAnsi="宋体"/>
          <w:color w:val="auto"/>
          <w:sz w:val="24"/>
          <w:szCs w:val="24"/>
          <w:highlight w:val="none"/>
        </w:rPr>
        <w:t xml:space="preserve">可聘</w:t>
      </w:r>
      <w:r>
        <w:rPr>
          <w:rFonts w:hAnsi="宋体"/>
          <w:color w:val="auto"/>
          <w:sz w:val="24"/>
          <w:szCs w:val="24"/>
          <w:highlight w:val="none"/>
        </w:rPr>
        <w:t xml:space="preserve">请国家认可的专业检测机构参与初步验收及最终验收，</w:t>
      </w:r>
      <w:r>
        <w:rPr>
          <w:rFonts w:hint="eastAsia" w:hAnsi="宋体"/>
          <w:color w:val="auto"/>
          <w:sz w:val="24"/>
          <w:szCs w:val="24"/>
          <w:highlight w:val="none"/>
        </w:rPr>
        <w:t xml:space="preserve">专业检测机构</w:t>
      </w:r>
      <w:r>
        <w:rPr>
          <w:rFonts w:hAnsi="宋体"/>
          <w:color w:val="auto"/>
          <w:sz w:val="24"/>
          <w:szCs w:val="24"/>
          <w:highlight w:val="none"/>
        </w:rPr>
        <w:t xml:space="preserve">出具</w:t>
      </w:r>
      <w:r>
        <w:rPr>
          <w:rFonts w:hint="eastAsia" w:hAnsi="宋体"/>
          <w:color w:val="auto"/>
          <w:sz w:val="24"/>
          <w:szCs w:val="24"/>
          <w:highlight w:val="none"/>
        </w:rPr>
        <w:t xml:space="preserve">的</w:t>
      </w:r>
      <w:r>
        <w:rPr>
          <w:rFonts w:hAnsi="宋体"/>
          <w:color w:val="auto"/>
          <w:sz w:val="24"/>
          <w:szCs w:val="24"/>
          <w:highlight w:val="none"/>
        </w:rPr>
        <w:t xml:space="preserve">质量检测报告</w:t>
      </w:r>
      <w:r>
        <w:rPr>
          <w:rFonts w:hint="eastAsia" w:hAnsi="宋体"/>
          <w:color w:val="auto"/>
          <w:sz w:val="24"/>
          <w:szCs w:val="24"/>
          <w:highlight w:val="none"/>
        </w:rPr>
        <w:t xml:space="preserve">作为甲方判断乙方的货物能否通过验收的条件之一，无论是否通过验收，相关检测费用均由乙方承担。</w:t>
      </w:r>
      <w:r/>
    </w:p>
    <w:p>
      <w:pPr>
        <w:pStyle w:val="988"/>
        <w:ind w:firstLine="482"/>
        <w:spacing w:before="120" w:after="120" w:line="330" w:lineRule="atLeast"/>
        <w:rPr>
          <w:rFonts w:hint="eastAsia" w:hAnsi="宋体"/>
          <w:b/>
          <w:color w:val="auto"/>
          <w:sz w:val="24"/>
          <w:szCs w:val="24"/>
          <w:highlight w:val="none"/>
        </w:rPr>
      </w:pPr>
      <w:r>
        <w:rPr>
          <w:rFonts w:hint="eastAsia" w:hAnsi="宋体"/>
          <w:b/>
          <w:color w:val="auto"/>
          <w:sz w:val="24"/>
          <w:szCs w:val="24"/>
          <w:highlight w:val="none"/>
        </w:rPr>
        <w:t xml:space="preserve">七</w:t>
      </w:r>
      <w:r>
        <w:rPr>
          <w:rFonts w:hAnsi="宋体"/>
          <w:b/>
          <w:color w:val="auto"/>
          <w:sz w:val="24"/>
          <w:szCs w:val="24"/>
          <w:highlight w:val="none"/>
        </w:rPr>
        <w:t xml:space="preserve">、技术资料</w:t>
      </w:r>
      <w:r/>
    </w:p>
    <w:p>
      <w:pPr>
        <w:pStyle w:val="988"/>
        <w:ind w:firstLine="480"/>
        <w:spacing w:before="120" w:after="120" w:line="330" w:lineRule="atLeast"/>
        <w:rPr>
          <w:rFonts w:hint="eastAsia" w:hAnsi="宋体"/>
          <w:b/>
          <w:color w:val="auto"/>
          <w:sz w:val="24"/>
          <w:szCs w:val="24"/>
          <w:highlight w:val="none"/>
        </w:rPr>
      </w:pPr>
      <w:r>
        <w:rPr>
          <w:rFonts w:hAnsi="宋体"/>
          <w:color w:val="auto"/>
          <w:sz w:val="24"/>
          <w:szCs w:val="24"/>
          <w:highlight w:val="none"/>
        </w:rPr>
        <w:t xml:space="preserve">7.1乙方应按招标文件规定的时间向甲方提供使用货物的有关技术资料。</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7.2 </w:t>
      </w:r>
      <w:r>
        <w:rPr>
          <w:rFonts w:hint="eastAsia" w:hAnsi="宋体"/>
          <w:color w:val="auto"/>
          <w:sz w:val="24"/>
          <w:szCs w:val="24"/>
          <w:highlight w:val="none"/>
        </w:rPr>
        <w:t xml:space="preserve">未经</w:t>
      </w:r>
      <w:r>
        <w:rPr>
          <w:rFonts w:hAnsi="宋体"/>
          <w:color w:val="auto"/>
          <w:sz w:val="24"/>
          <w:szCs w:val="24"/>
          <w:highlight w:val="none"/>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988"/>
        <w:ind w:firstLine="482"/>
        <w:spacing w:before="120" w:after="120" w:line="330" w:lineRule="atLeast"/>
        <w:rPr>
          <w:rFonts w:hint="eastAsia"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、知识产权</w:t>
      </w:r>
      <w:r/>
    </w:p>
    <w:p>
      <w:pPr>
        <w:ind w:firstLine="480"/>
        <w:spacing w:line="330" w:lineRule="atLeast"/>
        <w:rPr>
          <w:rFonts w:hint="eastAsia" w:ascii="宋体" w:hAnsi="宋体"/>
          <w:color w:val="auto"/>
          <w:sz w:val="24"/>
          <w:szCs w:val="24"/>
          <w:highlight w:val="none"/>
        </w:rPr>
      </w:pPr>
      <w:r>
        <w:rPr>
          <w:rFonts w:ascii="宋体" w:hAnsi="宋体"/>
          <w:color w:val="auto"/>
          <w:sz w:val="24"/>
          <w:szCs w:val="24"/>
          <w:highlight w:val="none"/>
        </w:rPr>
        <w:t xml:space="preserve">乙</w:t>
      </w:r>
      <w:r>
        <w:rPr>
          <w:rFonts w:hint="eastAsia" w:ascii="宋体" w:hAnsi="宋体"/>
          <w:color w:val="auto"/>
          <w:sz w:val="24"/>
          <w:szCs w:val="24"/>
          <w:highlight w:val="none"/>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988"/>
        <w:ind w:firstLine="482"/>
        <w:spacing w:before="120" w:after="120" w:line="330" w:lineRule="atLeast"/>
        <w:rPr>
          <w:rFonts w:hint="eastAsia" w:hAnsi="宋体"/>
          <w:b/>
          <w:color w:val="auto"/>
          <w:sz w:val="24"/>
          <w:szCs w:val="24"/>
          <w:highlight w:val="none"/>
        </w:rPr>
      </w:pPr>
      <w:r>
        <w:rPr>
          <w:rFonts w:hint="eastAsia" w:hAnsi="宋体"/>
          <w:b/>
          <w:color w:val="auto"/>
          <w:sz w:val="24"/>
          <w:szCs w:val="24"/>
          <w:highlight w:val="none"/>
        </w:rPr>
        <w:t xml:space="preserve">九</w:t>
      </w:r>
      <w:r>
        <w:rPr>
          <w:rFonts w:hAnsi="宋体"/>
          <w:b/>
          <w:color w:val="auto"/>
          <w:sz w:val="24"/>
          <w:szCs w:val="24"/>
          <w:highlight w:val="none"/>
        </w:rPr>
        <w:t xml:space="preserve">、违约责任</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9.2 乙方履约的前提下，甲方无故迟延支付货款的,甲方应按逾期付款总额每日万分之五向乙方支付违约金。</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9.8 乙方履行义务不符合合同约定时，甲方有权扣减总货款的10%作为违约金。</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988"/>
        <w:ind w:firstLine="482"/>
        <w:spacing w:before="120" w:after="120" w:line="330" w:lineRule="atLeast"/>
        <w:rPr>
          <w:rFonts w:hint="eastAsia" w:hAnsi="宋体"/>
          <w:b/>
          <w:color w:val="auto"/>
          <w:sz w:val="24"/>
          <w:szCs w:val="24"/>
          <w:highlight w:val="none"/>
        </w:rPr>
      </w:pPr>
      <w:r>
        <w:rPr>
          <w:rFonts w:hint="eastAsia" w:hAnsi="宋体"/>
          <w:b/>
          <w:color w:val="auto"/>
          <w:sz w:val="24"/>
          <w:szCs w:val="24"/>
          <w:highlight w:val="none"/>
        </w:rPr>
        <w:t xml:space="preserve">十</w:t>
      </w:r>
      <w:r>
        <w:rPr>
          <w:rFonts w:hAnsi="宋体"/>
          <w:b/>
          <w:color w:val="auto"/>
          <w:sz w:val="24"/>
          <w:szCs w:val="24"/>
          <w:highlight w:val="none"/>
        </w:rPr>
        <w:t xml:space="preserve">、不可抗力事件处理</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10.1 在合同有效期内，任何一方因不可抗力事件导致不能履行合同，则合同履行期可延长，其延长期与不可抗力影响期相同。</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10.2 不可抗力事件发生后</w:t>
      </w:r>
      <w:r>
        <w:rPr>
          <w:rFonts w:hint="eastAsia" w:hAnsi="宋体"/>
          <w:color w:val="auto"/>
          <w:sz w:val="24"/>
          <w:szCs w:val="24"/>
          <w:highlight w:val="none"/>
        </w:rPr>
        <w:t xml:space="preserve">，</w:t>
      </w:r>
      <w:r>
        <w:rPr>
          <w:rFonts w:hAnsi="宋体"/>
          <w:color w:val="auto"/>
          <w:sz w:val="24"/>
          <w:szCs w:val="24"/>
          <w:highlight w:val="none"/>
        </w:rPr>
        <w:t xml:space="preserve">应立即通知对方，并寄送有关权威机构出具的证明。</w:t>
      </w:r>
      <w:r/>
    </w:p>
    <w:p>
      <w:pPr>
        <w:pStyle w:val="988"/>
        <w:ind w:firstLine="480"/>
        <w:spacing w:before="120" w:after="120" w:line="330" w:lineRule="atLeast"/>
        <w:rPr>
          <w:rFonts w:hint="eastAsia" w:hAnsi="宋体"/>
          <w:color w:val="auto"/>
          <w:sz w:val="24"/>
          <w:szCs w:val="24"/>
          <w:highlight w:val="none"/>
        </w:rPr>
      </w:pPr>
      <w:r>
        <w:rPr>
          <w:rFonts w:hAnsi="宋体"/>
          <w:color w:val="auto"/>
          <w:sz w:val="24"/>
          <w:szCs w:val="24"/>
          <w:highlight w:val="none"/>
        </w:rPr>
        <w:t xml:space="preserve">10.3 不可抗力事件延续30天以上，双方应通过友好协商，确定是否继续履行合同。</w:t>
      </w:r>
      <w:r/>
    </w:p>
    <w:p>
      <w:pPr>
        <w:pStyle w:val="988"/>
        <w:ind w:firstLine="482"/>
        <w:spacing w:before="120" w:after="120" w:line="330" w:lineRule="atLeas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、诉讼</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988"/>
        <w:ind w:firstLine="482"/>
        <w:spacing w:before="120" w:after="120" w:line="330" w:lineRule="atLeas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、合同生效及其它</w:t>
      </w:r>
      <w:r/>
    </w:p>
    <w:p>
      <w:pPr>
        <w:pStyle w:val="988"/>
        <w:ind w:firstLine="480"/>
        <w:spacing w:before="120" w:after="120" w:line="330" w:lineRule="atLeast"/>
        <w:rPr>
          <w:rFonts w:hint="eastAsia" w:hAnsi="宋体"/>
          <w:color w:val="auto"/>
          <w:sz w:val="24"/>
          <w:szCs w:val="24"/>
          <w:highlight w:val="none"/>
        </w:rPr>
      </w:pPr>
      <w:r>
        <w:rPr>
          <w:rFonts w:hint="eastAsia" w:hAnsi="宋体"/>
          <w:color w:val="auto"/>
          <w:sz w:val="24"/>
          <w:szCs w:val="24"/>
          <w:highlight w:val="none"/>
        </w:rPr>
        <w:t xml:space="preserve">12.1招投标文件、中标通知书作为合同的附件，与本合同具有同等法律效力。合同经双方法定代表人或授权委托代表人签字、盖章后生效。</w:t>
      </w:r>
      <w:r/>
    </w:p>
    <w:p>
      <w:pPr>
        <w:pStyle w:val="988"/>
        <w:ind w:firstLine="480"/>
        <w:spacing w:before="120" w:after="120"/>
        <w:rPr>
          <w:rFonts w:hint="eastAsia" w:hAnsi="宋体" w:cs="宋体"/>
          <w:color w:val="auto"/>
          <w:sz w:val="24"/>
          <w:szCs w:val="24"/>
          <w:highlight w:val="none"/>
        </w:rPr>
      </w:pPr>
      <w:r>
        <w:rPr>
          <w:rFonts w:hint="eastAsia" w:hAnsi="宋体" w:cs="宋体"/>
          <w:color w:val="auto"/>
          <w:sz w:val="24"/>
          <w:szCs w:val="24"/>
          <w:highlight w:val="none"/>
        </w:rPr>
        <w:t xml:space="preserve">12.2本合同未尽事宜，遵照《中华人民共和国民法典》有关条文执行。</w:t>
      </w:r>
      <w:r/>
    </w:p>
    <w:p>
      <w:pPr>
        <w:pStyle w:val="988"/>
        <w:ind w:firstLine="480"/>
        <w:spacing w:before="120" w:after="120"/>
        <w:rPr>
          <w:rFonts w:hint="eastAsia" w:hAnsi="宋体" w:cs="宋体"/>
          <w:color w:val="auto"/>
          <w:sz w:val="24"/>
          <w:szCs w:val="24"/>
          <w:highlight w:val="none"/>
        </w:rPr>
      </w:pPr>
      <w:r>
        <w:rPr>
          <w:rFonts w:hint="eastAsia" w:hAnsi="宋体" w:cs="宋体"/>
          <w:color w:val="auto"/>
          <w:sz w:val="24"/>
          <w:szCs w:val="24"/>
          <w:highlight w:val="none"/>
        </w:rPr>
        <w:t xml:space="preserve">12.3 本合同正本一式</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份，甲方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份，乙方</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份，具有同等法律效力。</w:t>
      </w:r>
      <w:r/>
    </w:p>
    <w:p>
      <w:pPr>
        <w:pStyle w:val="988"/>
        <w:ind w:firstLine="480"/>
        <w:spacing w:before="120" w:after="120"/>
        <w:rPr>
          <w:rFonts w:hint="eastAsia" w:hAnsi="宋体" w:cs="宋体"/>
          <w:color w:val="auto"/>
          <w:sz w:val="24"/>
          <w:szCs w:val="24"/>
          <w:highlight w:val="none"/>
        </w:rPr>
      </w:pPr>
      <w:r>
        <w:rPr>
          <w:rFonts w:hint="eastAsia" w:hAnsi="宋体" w:cs="宋体"/>
          <w:color w:val="auto"/>
          <w:sz w:val="24"/>
          <w:szCs w:val="24"/>
          <w:highlight w:val="none"/>
        </w:rPr>
        <w:t xml:space="preserve">12.4 其他：</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w:t>
      </w:r>
      <w:r/>
    </w:p>
    <w:p>
      <w:pPr>
        <w:pStyle w:val="988"/>
        <w:ind w:firstLine="480"/>
        <w:spacing w:before="120" w:after="120"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（以下无正文，为签字盖章处）</w:t>
      </w:r>
      <w:r/>
    </w:p>
    <w:p>
      <w:pPr>
        <w:pStyle w:val="988"/>
        <w:ind w:firstLine="480"/>
        <w:spacing w:before="120" w:after="120"/>
        <w:rPr>
          <w:rFonts w:hint="eastAsia" w:hAnsi="宋体" w:cs="宋体"/>
          <w:color w:val="auto"/>
          <w:sz w:val="24"/>
          <w:szCs w:val="24"/>
          <w:highlight w:val="none"/>
        </w:rPr>
      </w:pPr>
      <w:r>
        <w:rPr>
          <w:rFonts w:hint="eastAsia" w:hAnsi="宋体" w:cs="宋体"/>
          <w:color w:val="auto"/>
          <w:sz w:val="24"/>
          <w:szCs w:val="24"/>
          <w:highlight w:val="none"/>
        </w:rPr>
        <w:t xml:space="preserve">   </w:t>
      </w:r>
      <w:r/>
    </w:p>
    <w:p>
      <w:pPr>
        <w:pStyle w:val="988"/>
        <w:spacing w:before="120" w:after="120" w:line="240" w:lineRule="atLeast"/>
        <w:rPr>
          <w:rFonts w:hint="eastAsia" w:hAnsi="宋体" w:cs="宋体"/>
          <w:color w:val="auto"/>
          <w:sz w:val="24"/>
          <w:szCs w:val="24"/>
          <w:highlight w:val="none"/>
        </w:rPr>
      </w:pPr>
      <w:r>
        <w:rPr>
          <w:rFonts w:hint="eastAsia" w:hAnsi="宋体" w:cs="宋体"/>
          <w:color w:val="auto"/>
          <w:sz w:val="24"/>
          <w:szCs w:val="24"/>
          <w:highlight w:val="none"/>
        </w:rPr>
      </w:r>
      <w:r/>
    </w:p>
    <w:p>
      <w:pPr>
        <w:pStyle w:val="988"/>
        <w:spacing w:before="120" w:after="120" w:line="300" w:lineRule="auto"/>
        <w:rPr>
          <w:rFonts w:hint="eastAsia" w:hAnsi="宋体" w:cs="宋体"/>
          <w:color w:val="auto"/>
          <w:sz w:val="24"/>
          <w:szCs w:val="24"/>
          <w:highlight w:val="none"/>
        </w:rPr>
      </w:pPr>
      <w:r>
        <w:rPr>
          <w:rFonts w:hint="eastAsia" w:hAnsi="宋体" w:cs="宋体"/>
          <w:color w:val="auto"/>
          <w:sz w:val="24"/>
          <w:szCs w:val="24"/>
          <w:highlight w:val="none"/>
        </w:rPr>
        <w:t xml:space="preserve">甲方： 南京医科大学（盖章）                 乙方： （盖章）</w:t>
      </w:r>
      <w:r/>
    </w:p>
    <w:p>
      <w:pPr>
        <w:pStyle w:val="988"/>
        <w:spacing w:before="120" w:after="120" w:line="300" w:lineRule="auto"/>
        <w:rPr>
          <w:rFonts w:hint="eastAsia" w:hAnsi="宋体" w:cs="宋体"/>
          <w:color w:val="auto"/>
          <w:sz w:val="24"/>
          <w:szCs w:val="24"/>
          <w:highlight w:val="none"/>
        </w:rPr>
      </w:pPr>
      <w:r>
        <w:rPr>
          <w:rFonts w:hint="eastAsia" w:hAnsi="宋体" w:cs="宋体"/>
          <w:color w:val="auto"/>
          <w:sz w:val="24"/>
          <w:szCs w:val="24"/>
          <w:highlight w:val="none"/>
        </w:rPr>
        <w:t xml:space="preserve">地址：南京市江宁区龙眠大道101号            地址： </w:t>
      </w:r>
      <w:r/>
    </w:p>
    <w:p>
      <w:pPr>
        <w:pStyle w:val="988"/>
        <w:spacing w:before="120" w:after="120" w:line="300" w:lineRule="auto"/>
        <w:rPr>
          <w:rFonts w:hint="eastAsia" w:hAnsi="宋体" w:cs="宋体"/>
          <w:color w:val="auto"/>
          <w:sz w:val="24"/>
          <w:szCs w:val="24"/>
          <w:highlight w:val="none"/>
        </w:rPr>
      </w:pPr>
      <w:r>
        <w:rPr>
          <w:rFonts w:hint="eastAsia" w:hAnsi="宋体" w:cs="宋体"/>
          <w:color w:val="auto"/>
          <w:sz w:val="24"/>
          <w:szCs w:val="24"/>
          <w:highlight w:val="none"/>
        </w:rPr>
        <w:t xml:space="preserve">法定代表人/授权代表：（签字）               法定代表人/授权代表：（签字）</w:t>
      </w:r>
      <w:r/>
    </w:p>
    <w:p>
      <w:pPr>
        <w:pStyle w:val="988"/>
        <w:spacing w:before="120" w:after="120" w:line="300" w:lineRule="auto"/>
        <w:rPr>
          <w:rFonts w:hint="eastAsia" w:asciiTheme="minorEastAsia" w:hAnsiTheme="minorEastAsia" w:eastAsiaTheme="minorEastAsia"/>
          <w:color w:val="auto"/>
          <w:sz w:val="28"/>
          <w:szCs w:val="28"/>
          <w:highlight w:val="none"/>
        </w:rPr>
      </w:pPr>
      <w:r>
        <w:rPr>
          <w:rFonts w:hint="eastAsia" w:hAnsi="宋体" w:cs="宋体"/>
          <w:color w:val="auto"/>
          <w:sz w:val="24"/>
          <w:szCs w:val="24"/>
          <w:highlight w:val="none"/>
        </w:rPr>
        <w:t xml:space="preserve">签订日期：   年    月    日                 签订日期：   年    月    日</w:t>
      </w:r>
      <w:r/>
    </w:p>
    <w:p>
      <w:pPr>
        <w:jc w:val="left"/>
        <w:keepLines w:val="0"/>
        <w:keepNext w:val="0"/>
        <w:pageBreakBefore w:val="0"/>
        <w:spacing w:line="560" w:lineRule="exact"/>
        <w:widowControl w:val="off"/>
        <w:rPr>
          <w:rFonts w:hint="eastAsia" w:ascii="Times New Roman" w:hAnsi="Times New Roman" w:eastAsia="仿宋" w:cs="Times New Roman"/>
          <w:color w:val="auto"/>
          <w:sz w:val="28"/>
          <w:szCs w:val="28"/>
          <w:highlight w:val="none"/>
          <w:lang w:val="zh-CN" w:eastAsia="zh-CN"/>
        </w:rPr>
      </w:pPr>
      <w:r>
        <w:rPr>
          <w:rFonts w:hint="eastAsia" w:ascii="Times New Roman" w:hAnsi="Times New Roman" w:eastAsia="仿宋" w:cs="Times New Roman"/>
          <w:color w:val="auto"/>
          <w:sz w:val="28"/>
          <w:szCs w:val="28"/>
          <w:highlight w:val="none"/>
          <w:lang w:val="en-US" w:eastAsia="zh-CN"/>
        </w:rPr>
        <w:t xml:space="preserve">附件1：分项报价表</w:t>
      </w:r>
      <w:r/>
    </w:p>
    <w:tbl>
      <w:tblPr>
        <w:tblStyle w:val="9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rFonts w:hint="eastAsia"/>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单价</w:t>
            </w:r>
            <w:r/>
          </w:p>
          <w:p>
            <w:pPr>
              <w:jc w:val="center"/>
              <w:rPr>
                <w:color w:val="auto"/>
                <w:highlight w:val="none"/>
              </w:rPr>
            </w:pPr>
            <w:r>
              <w:rPr>
                <w:rFonts w:hint="eastAsia"/>
                <w:color w:val="auto"/>
                <w:highlight w:val="none"/>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rFonts w:hint="eastAsia"/>
                <w:color w:val="auto"/>
                <w:highlight w:val="none"/>
              </w:rPr>
              <w:t xml:space="preserve">总价</w:t>
            </w:r>
            <w:r/>
          </w:p>
          <w:p>
            <w:pPr>
              <w:jc w:val="center"/>
              <w:rPr>
                <w:color w:val="auto"/>
                <w:highlight w:val="none"/>
              </w:rPr>
            </w:pPr>
            <w:r>
              <w:rPr>
                <w:rFonts w:hint="eastAsia"/>
                <w:color w:val="auto"/>
                <w:highlight w:val="none"/>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color w:val="auto"/>
                <w:highlight w:val="none"/>
              </w:rPr>
            </w:pPr>
            <w:r>
              <w:rPr>
                <w:rFonts w:hint="eastAsia"/>
                <w:color w:val="auto"/>
                <w:highlight w:val="none"/>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auto"/>
                <w:highlight w:val="none"/>
              </w:rPr>
            </w:pPr>
            <w:r>
              <w:rPr>
                <w:color w:val="auto"/>
                <w:highlight w:val="none"/>
              </w:rPr>
            </w:r>
            <w:r/>
          </w:p>
        </w:tc>
      </w:tr>
    </w:tbl>
    <w:p>
      <w:pPr>
        <w:rPr>
          <w:color w:val="auto"/>
          <w:highlight w:val="none"/>
        </w:rPr>
      </w:pPr>
      <w:r>
        <w:rPr>
          <w:color w:val="auto"/>
          <w:highlight w:val="none"/>
        </w:rPr>
      </w:r>
      <w:r/>
    </w:p>
    <w:p>
      <w:pPr>
        <w:jc w:val="left"/>
        <w:keepLines w:val="0"/>
        <w:keepNext w:val="0"/>
        <w:pageBreakBefore w:val="0"/>
        <w:spacing w:line="560" w:lineRule="exact"/>
        <w:widowControl w:val="off"/>
        <w:rPr>
          <w:rFonts w:hint="default" w:ascii="Times New Roman" w:hAnsi="Times New Roman" w:eastAsia="仿宋" w:cs="Times New Roman"/>
          <w:color w:val="auto"/>
          <w:sz w:val="28"/>
          <w:szCs w:val="28"/>
          <w:highlight w:val="none"/>
          <w:lang w:val="en-US" w:eastAsia="zh-CN"/>
        </w:rPr>
      </w:pPr>
      <w:r>
        <w:rPr>
          <w:rFonts w:hint="eastAsia" w:ascii="Times New Roman" w:hAnsi="Times New Roman" w:eastAsia="仿宋" w:cs="Times New Roman"/>
          <w:color w:val="auto"/>
          <w:sz w:val="28"/>
          <w:szCs w:val="28"/>
          <w:highlight w:val="none"/>
          <w:lang w:val="en-US" w:eastAsia="zh-CN"/>
        </w:rPr>
        <w:t xml:space="preserve">附件2：货物配置清单</w:t>
      </w:r>
      <w:r/>
    </w:p>
    <w:p>
      <w:pPr>
        <w:pStyle w:val="985"/>
        <w:ind w:left="0"/>
        <w:rPr>
          <w:rFonts w:hint="default" w:ascii="Times New Roman" w:hAnsi="Times New Roman" w:eastAsia="仿宋" w:cs="Times New Roman"/>
          <w:color w:val="auto"/>
          <w:sz w:val="28"/>
          <w:szCs w:val="28"/>
          <w:highlight w:val="none"/>
          <w:lang w:val="en-US" w:eastAsia="zh-CN" w:bidi="ar-SA"/>
        </w:rPr>
      </w:pPr>
      <w:r>
        <w:rPr>
          <w:rFonts w:hint="eastAsia" w:ascii="Times New Roman" w:hAnsi="Times New Roman" w:eastAsia="仿宋" w:cs="Times New Roman"/>
          <w:color w:val="auto"/>
          <w:sz w:val="28"/>
          <w:szCs w:val="28"/>
          <w:highlight w:val="none"/>
          <w:lang w:val="en-US" w:eastAsia="zh-CN" w:bidi="ar-SA"/>
        </w:rPr>
        <w:t xml:space="preserve">附件3：履约保证金退还申请单</w:t>
      </w:r>
      <w:r/>
    </w:p>
    <w:p>
      <w:pPr>
        <w:spacing w:line="480" w:lineRule="auto"/>
        <w:rPr>
          <w:color w:val="auto"/>
          <w:sz w:val="24"/>
          <w:highlight w:val="none"/>
        </w:rPr>
      </w:pPr>
      <w:r>
        <w:rPr>
          <w:rFonts w:hint="eastAsia"/>
          <w:color w:val="auto"/>
          <w:sz w:val="24"/>
          <w:highlight w:val="none"/>
        </w:rPr>
        <w:t xml:space="preserve">制表单位：</w:t>
      </w:r>
      <w:r>
        <w:rPr>
          <w:color w:val="auto"/>
          <w:sz w:val="24"/>
          <w:highlight w:val="none"/>
        </w:rPr>
        <w:t xml:space="preserve">                                               </w:t>
      </w:r>
      <w:r/>
    </w:p>
    <w:tbl>
      <w:tblPr>
        <w:tblStyle w:val="971"/>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color w:val="auto"/>
                <w:sz w:val="24"/>
                <w:highlight w:val="none"/>
              </w:rPr>
            </w:pPr>
            <w:r>
              <w:rPr>
                <w:rFonts w:hint="eastAsia"/>
                <w:color w:val="auto"/>
                <w:sz w:val="32"/>
                <w:szCs w:val="32"/>
                <w:highlight w:val="none"/>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auto"/>
                <w:sz w:val="24"/>
                <w:highlight w:val="none"/>
              </w:rPr>
            </w:pPr>
            <w:r>
              <w:rPr>
                <w:rFonts w:hint="eastAsia"/>
                <w:color w:val="auto"/>
                <w:sz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auto"/>
                <w:sz w:val="24"/>
                <w:highlight w:val="none"/>
              </w:rPr>
            </w:pPr>
            <w:r>
              <w:rPr>
                <w:rFonts w:hint="eastAsia"/>
                <w:color w:val="auto"/>
                <w:sz w:val="24"/>
                <w:highlight w:val="none"/>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auto"/>
                <w:sz w:val="24"/>
                <w:highlight w:val="none"/>
              </w:rPr>
            </w:pPr>
            <w:r>
              <w:rPr>
                <w:rFonts w:hint="eastAsia"/>
                <w:color w:val="auto"/>
                <w:sz w:val="24"/>
                <w:highlight w:val="none"/>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auto"/>
                <w:sz w:val="24"/>
                <w:highlight w:val="none"/>
              </w:rPr>
            </w:pPr>
            <w:r>
              <w:rPr>
                <w:rFonts w:hint="eastAsia"/>
                <w:color w:val="auto"/>
                <w:sz w:val="24"/>
                <w:highlight w:val="none"/>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auto"/>
                <w:sz w:val="24"/>
                <w:highlight w:val="none"/>
              </w:rPr>
            </w:pPr>
            <w:r>
              <w:rPr>
                <w:rFonts w:hint="eastAsia"/>
                <w:color w:val="auto"/>
                <w:sz w:val="24"/>
                <w:highlight w:val="none"/>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color w:val="auto"/>
                <w:sz w:val="24"/>
                <w:highlight w:val="none"/>
              </w:rPr>
            </w:pPr>
            <w:r>
              <w:rPr>
                <w:rFonts w:hint="eastAsia"/>
                <w:color w:val="auto"/>
                <w:sz w:val="24"/>
                <w:highlight w:val="none"/>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color w:val="auto"/>
                <w:sz w:val="24"/>
                <w:highlight w:val="none"/>
              </w:rPr>
            </w:pPr>
            <w:r>
              <w:rPr>
                <w:rFonts w:hint="eastAsia"/>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rFonts w:hint="eastAsia"/>
                <w:color w:val="auto"/>
                <w:sz w:val="24"/>
                <w:highlight w:val="none"/>
              </w:rPr>
              <w:t xml:space="preserve">账  号</w:t>
            </w:r>
            <w:r>
              <w:rPr>
                <w:color w:val="auto"/>
                <w:sz w:val="24"/>
                <w:highlight w:val="none"/>
              </w:rPr>
              <w:t xml:space="preserve">：</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color w:val="auto"/>
                <w:sz w:val="24"/>
                <w:highlight w:val="none"/>
              </w:rPr>
            </w:pPr>
            <w:r>
              <w:rPr>
                <w:rFonts w:hint="eastAsia"/>
                <w:color w:val="auto"/>
                <w:sz w:val="24"/>
                <w:highlight w:val="none"/>
              </w:rPr>
              <w:t xml:space="preserve">自验收合格之日起，已正常使用满一年且无违约情况发生。</w:t>
            </w:r>
            <w:r/>
          </w:p>
          <w:p>
            <w:pPr>
              <w:rPr>
                <w:color w:val="auto"/>
                <w:sz w:val="24"/>
                <w:highlight w:val="none"/>
              </w:rPr>
            </w:pPr>
            <w:r>
              <w:rPr>
                <w:color w:val="auto"/>
                <w:sz w:val="24"/>
                <w:highlight w:val="none"/>
              </w:rPr>
            </w:r>
            <w:r/>
          </w:p>
          <w:p>
            <w:pPr>
              <w:ind w:right="960" w:firstLine="360"/>
              <w:jc w:val="center"/>
              <w:rPr>
                <w:color w:val="auto"/>
                <w:sz w:val="24"/>
                <w:highlight w:val="none"/>
              </w:rPr>
            </w:pPr>
            <w:r>
              <w:rPr>
                <w:rFonts w:hint="eastAsia"/>
                <w:color w:val="auto"/>
                <w:sz w:val="24"/>
                <w:highlight w:val="none"/>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auto"/>
                <w:sz w:val="24"/>
                <w:highlight w:val="none"/>
              </w:rPr>
            </w:pPr>
            <w:r>
              <w:rPr>
                <w:rFonts w:hint="eastAsia"/>
                <w:color w:val="auto"/>
                <w:sz w:val="24"/>
                <w:highlight w:val="none"/>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ind w:firstLine="3960"/>
              <w:rPr>
                <w:color w:val="auto"/>
                <w:sz w:val="24"/>
                <w:highlight w:val="none"/>
              </w:rPr>
            </w:pPr>
            <w:r>
              <w:rPr>
                <w:color w:val="auto"/>
                <w:sz w:val="24"/>
                <w:highlight w:val="none"/>
              </w:rPr>
            </w:r>
            <w:r/>
          </w:p>
        </w:tc>
      </w:tr>
    </w:tbl>
    <w:p>
      <w:pP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br w:type="page" w:clear="all"/>
      </w:r>
      <w:r/>
    </w:p>
    <w:p>
      <w:pPr>
        <w:jc w:val="cente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第六章 投标文件格式及附件</w:t>
      </w:r>
      <w:r/>
    </w:p>
    <w:p>
      <w:pPr>
        <w:ind w:left="560"/>
        <w:jc w:val="center"/>
        <w:spacing w:line="240" w:lineRule="atLeast"/>
        <w:rPr>
          <w:rFonts w:hint="eastAsia" w:ascii="宋体" w:hAnsi="宋体" w:cs="宋体"/>
          <w:b/>
          <w:bCs/>
          <w:color w:val="auto"/>
          <w:sz w:val="36"/>
          <w:szCs w:val="36"/>
          <w:highlight w:val="none"/>
          <w:lang w:val="zh-CN"/>
        </w:rPr>
        <w:outlineLvl w:val="0"/>
      </w:pPr>
      <w:r>
        <w:rPr>
          <w:rFonts w:hint="eastAsia" w:ascii="宋体" w:hAnsi="宋体" w:cs="宋体"/>
          <w:b/>
          <w:bCs/>
          <w:color w:val="auto"/>
          <w:sz w:val="36"/>
          <w:szCs w:val="36"/>
          <w:highlight w:val="none"/>
          <w:lang w:val="zh-CN"/>
        </w:rPr>
      </w:r>
      <w:r/>
    </w:p>
    <w:p>
      <w:pPr>
        <w:jc w:val="center"/>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3708"/>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72"/>
          <w:highlight w:val="none"/>
        </w:rPr>
      </w:pPr>
      <w:r>
        <w:rPr>
          <w:rFonts w:ascii="宋体" w:hAnsi="宋体" w:cs="宋体"/>
          <w:b/>
          <w:color w:val="auto"/>
          <w:sz w:val="72"/>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ind w:firstLine="1084"/>
        <w:rPr>
          <w:rFonts w:ascii="宋体" w:hAnsi="宋体" w:cs="宋体"/>
          <w:b/>
          <w:color w:val="auto"/>
          <w:sz w:val="36"/>
          <w:highlight w:val="none"/>
        </w:rPr>
      </w:pPr>
      <w:r>
        <w:rPr>
          <w:rFonts w:hint="eastAsia" w:ascii="宋体" w:hAnsi="宋体" w:cs="宋体"/>
          <w:b/>
          <w:color w:val="auto"/>
          <w:sz w:val="36"/>
          <w:highlight w:val="none"/>
        </w:rPr>
        <w:t xml:space="preserve">项 目 编号： </w:t>
      </w:r>
      <w:r/>
    </w:p>
    <w:p>
      <w:pPr>
        <w:ind w:firstLine="1084"/>
        <w:rPr>
          <w:rFonts w:ascii="宋体" w:hAnsi="宋体" w:cs="宋体"/>
          <w:b/>
          <w:color w:val="auto"/>
          <w:sz w:val="36"/>
          <w:highlight w:val="none"/>
          <w:u w:val="single"/>
        </w:rPr>
      </w:pPr>
      <w:r>
        <w:rPr>
          <w:rFonts w:hint="eastAsia" w:ascii="宋体" w:hAnsi="宋体" w:cs="宋体"/>
          <w:b/>
          <w:color w:val="auto"/>
          <w:sz w:val="36"/>
          <w:highlight w:val="none"/>
        </w:rPr>
        <w:t xml:space="preserve">项 目 名称： </w:t>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eastAsia="宋体" w:cs="宋体"/>
          <w:b/>
          <w:color w:val="auto"/>
          <w:sz w:val="36"/>
          <w:highlight w:val="none"/>
        </w:rPr>
        <w:t xml:space="preserve">（加盖CA电子公章）</w:t>
      </w:r>
      <w:r/>
    </w:p>
    <w:p>
      <w:pPr>
        <w:rPr>
          <w:rFonts w:ascii="宋体" w:hAnsi="宋体" w:cs="宋体"/>
          <w:b/>
          <w:color w:val="auto"/>
          <w:sz w:val="36"/>
          <w:highlight w:val="none"/>
        </w:rPr>
      </w:pPr>
      <w:r>
        <w:rPr>
          <w:rFonts w:hint="eastAsia" w:ascii="宋体" w:hAnsi="宋体" w:cs="宋体"/>
          <w:b/>
          <w:color w:val="auto"/>
          <w:sz w:val="36"/>
          <w:highlight w:val="none"/>
        </w:rPr>
        <w:t xml:space="preserve">       日      期 ：</w:t>
      </w:r>
      <w:r/>
    </w:p>
    <w:p>
      <w:pPr>
        <w:jc w:val="center"/>
        <w:rPr>
          <w:rFonts w:hint="eastAsia" w:ascii="宋体" w:hAnsi="宋体" w:cs="宋体"/>
          <w:b/>
          <w:bCs/>
          <w:color w:val="auto"/>
          <w:sz w:val="44"/>
          <w:highlight w:val="none"/>
        </w:rPr>
        <w:outlineLvl w:val="0"/>
      </w:pPr>
      <w:r>
        <w:rPr>
          <w:rFonts w:hint="eastAsia" w:ascii="宋体" w:hAnsi="宋体" w:cs="宋体"/>
          <w:b/>
          <w:bCs/>
          <w:color w:val="auto"/>
          <w:sz w:val="44"/>
          <w:highlight w:val="none"/>
        </w:rPr>
      </w:r>
      <w:r/>
    </w:p>
    <w:p>
      <w:pPr>
        <w:jc w:val="center"/>
        <w:rPr>
          <w:rFonts w:ascii="宋体" w:hAnsi="宋体" w:cs="宋体"/>
          <w:b/>
          <w:bCs/>
          <w:color w:val="auto"/>
          <w:sz w:val="32"/>
          <w:szCs w:val="32"/>
          <w:highlight w:val="none"/>
        </w:rPr>
      </w:pPr>
      <w:r>
        <w:rPr>
          <w:rFonts w:hint="eastAsia" w:ascii="宋体" w:hAnsi="宋体" w:cs="宋体"/>
          <w:b/>
          <w:bCs/>
          <w:color w:val="auto"/>
          <w:sz w:val="36"/>
          <w:highlight w:val="none"/>
        </w:rPr>
        <w:br w:type="page" w:clear="all"/>
      </w:r>
      <w:bookmarkStart w:id="68" w:name="_Toc489655320"/>
      <w:r/>
      <w:bookmarkStart w:id="69" w:name="_Toc405408732"/>
      <w:r>
        <w:rPr>
          <w:rFonts w:hint="eastAsia" w:ascii="宋体" w:hAnsi="宋体" w:cs="宋体"/>
          <w:b/>
          <w:bCs/>
          <w:color w:val="auto"/>
          <w:sz w:val="32"/>
          <w:szCs w:val="32"/>
          <w:highlight w:val="none"/>
        </w:rPr>
        <w:t xml:space="preserve">投标文件主要目录</w:t>
      </w:r>
      <w:bookmarkEnd w:id="68"/>
      <w:r/>
      <w:bookmarkEnd w:id="69"/>
      <w:r>
        <w:rPr>
          <w:rFonts w:hint="eastAsia" w:ascii="宋体" w:hAnsi="宋体" w:cs="宋体"/>
          <w:b/>
          <w:bCs/>
          <w:color w:val="auto"/>
          <w:sz w:val="32"/>
          <w:szCs w:val="32"/>
          <w:highlight w:val="none"/>
        </w:rPr>
        <w:t xml:space="preserve">及相关证明材料格式、附件</w:t>
      </w:r>
      <w:r/>
    </w:p>
    <w:p>
      <w:pPr>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投标申请及声明</w:t>
      </w:r>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开标一览表</w:t>
      </w:r>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分项报价表</w:t>
      </w:r>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服务与承诺</w:t>
      </w:r>
      <w:r/>
    </w:p>
    <w:p>
      <w:pPr>
        <w:numPr>
          <w:ilvl w:val="0"/>
          <w:numId w:val="4"/>
        </w:numPr>
        <w:spacing w:line="360" w:lineRule="auto"/>
        <w:rPr>
          <w:rFonts w:ascii="宋体" w:hAnsi="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投标人类似业绩情况表</w:t>
      </w:r>
      <w:r/>
    </w:p>
    <w:p>
      <w:pPr>
        <w:numPr>
          <w:ilvl w:val="0"/>
          <w:numId w:val="4"/>
        </w:num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投标需要的其他证明文件及材料（若有)</w:t>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附件一、中小企业声明函格式</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            附件二、关于符合本国产品标准的声明函</w:t>
      </w:r>
      <w:r>
        <w:rPr>
          <w:rFonts w:hint="eastAsia" w:ascii="宋体" w:hAnsi="宋体" w:cs="宋体"/>
          <w:color w:val="auto"/>
          <w:sz w:val="28"/>
          <w:szCs w:val="28"/>
          <w:highlight w:val="none"/>
          <w:lang w:val="en-US" w:eastAsia="zh-CN"/>
        </w:rPr>
        <w:t xml:space="preserve">格式</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附件三、无重大违法记录声明格式</w:t>
      </w:r>
      <w:r/>
    </w:p>
    <w:p>
      <w:pPr>
        <w:ind w:left="2796" w:hanging="112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附件四、</w:t>
      </w:r>
      <w:r>
        <w:rPr>
          <w:rFonts w:hint="eastAsia" w:ascii="宋体" w:hAnsi="宋体" w:cs="宋体"/>
          <w:color w:val="auto"/>
          <w:sz w:val="28"/>
          <w:szCs w:val="28"/>
          <w:highlight w:val="none"/>
        </w:rPr>
        <w:t xml:space="preserve">具备履行合同所必需的设备和专业技术能力的声明格式及证明材料</w:t>
      </w:r>
      <w:r/>
    </w:p>
    <w:p>
      <w:pPr>
        <w:pStyle w:val="972"/>
        <w:ind w:firstLine="1680"/>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五</w:t>
      </w:r>
      <w:r>
        <w:rPr>
          <w:rFonts w:hint="eastAsia" w:ascii="宋体" w:hAnsi="宋体" w:cs="宋体"/>
          <w:color w:val="auto"/>
          <w:sz w:val="28"/>
          <w:szCs w:val="28"/>
          <w:highlight w:val="none"/>
        </w:rPr>
        <w:t xml:space="preserve">、残疾人福利性单位声明函格式</w:t>
      </w:r>
      <w:r/>
    </w:p>
    <w:p>
      <w:pPr>
        <w:pStyle w:val="972"/>
        <w:ind w:firstLine="1680"/>
        <w:rPr>
          <w:rFonts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、属于监狱企业的证明文件</w:t>
      </w:r>
      <w:r/>
    </w:p>
    <w:p>
      <w:pPr>
        <w:jc w:val="left"/>
        <w:spacing w:line="360" w:lineRule="auto"/>
        <w:rPr>
          <w:rFonts w:ascii="宋体" w:hAnsi="宋体" w:cs="宋体"/>
          <w:b/>
          <w:color w:val="auto"/>
          <w:szCs w:val="21"/>
          <w:highlight w:val="none"/>
          <w:lang w:val="zh-CN"/>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ascii="宋体" w:hAnsi="宋体" w:cs="宋体"/>
          <w:b/>
          <w:color w:val="auto"/>
          <w:szCs w:val="21"/>
          <w:highlight w:val="none"/>
          <w:lang w:val="zh-CN"/>
        </w:rPr>
      </w:r>
      <w:r/>
    </w:p>
    <w:p>
      <w:pPr>
        <w:jc w:val="left"/>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目录一、投标申请及声明格式</w:t>
      </w:r>
      <w:r/>
    </w:p>
    <w:p>
      <w:pPr>
        <w:jc w:val="center"/>
        <w:spacing w:line="360" w:lineRule="auto"/>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投标申请及声明</w:t>
      </w:r>
      <w:r/>
    </w:p>
    <w:p>
      <w:pPr>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致：南京医科大学</w:t>
      </w:r>
      <w:r/>
    </w:p>
    <w:p>
      <w:pPr>
        <w:ind w:firstLine="420"/>
        <w:spacing w:line="360" w:lineRule="auto"/>
        <w:rPr>
          <w:rFonts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根据贵方（项目名称）（项目编号）投标邀请，正式授权下述签字人(姓名和职务)代表投标人（投标人名称），提交投标文件。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lang w:val="zh-CN"/>
        </w:rPr>
        <w:t xml:space="preserve">我们的资格条件完全符合政府采购法和本次招标要求</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szCs w:val="21"/>
          <w:highlight w:val="none"/>
          <w:lang w:val="zh-CN"/>
        </w:rPr>
        <w:t xml:space="preserve">同意并向贵方提供了与投标有关的所有证据和资料。</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2、按招标要求，我们的投标总报价为（小写）元（大写）元人民币。其中，小</w:t>
      </w:r>
      <w:r>
        <w:rPr>
          <w:rFonts w:hint="eastAsia" w:ascii="宋体" w:hAnsi="宋体" w:cs="宋体"/>
          <w:color w:val="auto"/>
          <w:szCs w:val="21"/>
          <w:highlight w:val="none"/>
          <w:lang w:val="en-US" w:eastAsia="zh-CN"/>
        </w:rPr>
        <w:t xml:space="preserve">微</w:t>
      </w:r>
      <w:r>
        <w:rPr>
          <w:rFonts w:hint="eastAsia" w:ascii="宋体" w:hAnsi="宋体" w:cs="宋体"/>
          <w:color w:val="auto"/>
          <w:szCs w:val="21"/>
          <w:highlight w:val="none"/>
          <w:lang w:val="zh-CN"/>
        </w:rPr>
        <w:t xml:space="preserve">型企业的产品为（大写）元人民币</w:t>
      </w:r>
      <w:r>
        <w:rPr>
          <w:rFonts w:ascii="宋体" w:hAnsi="宋体" w:cs="宋体"/>
          <w:color w:val="auto"/>
          <w:szCs w:val="21"/>
          <w:highlight w:val="none"/>
        </w:rPr>
        <w:t xml:space="preserve">,</w:t>
      </w:r>
      <w:r>
        <w:rPr>
          <w:rFonts w:hint="eastAsia" w:ascii="宋体" w:hAnsi="宋体" w:cs="宋体"/>
          <w:color w:val="auto"/>
          <w:szCs w:val="21"/>
          <w:highlight w:val="none"/>
        </w:rPr>
        <w:t xml:space="preserve">交货期：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3、我们已详细审核全部招标文件及其有效补充文件，我们放弃对招标文件任何误解的权利，提交投标文件后，</w:t>
      </w:r>
      <w:r>
        <w:rPr>
          <w:rFonts w:hint="eastAsia" w:ascii="宋体" w:hAnsi="宋体" w:cs="宋体"/>
          <w:b/>
          <w:color w:val="auto"/>
          <w:szCs w:val="21"/>
          <w:highlight w:val="none"/>
          <w:lang w:val="zh-CN"/>
        </w:rPr>
        <w:t xml:space="preserve">不对招标文件本身提出质疑</w:t>
      </w:r>
      <w:r>
        <w:rPr>
          <w:rFonts w:hint="eastAsia" w:ascii="宋体" w:hAnsi="宋体" w:cs="宋体"/>
          <w:color w:val="auto"/>
          <w:szCs w:val="21"/>
          <w:highlight w:val="none"/>
          <w:lang w:val="zh-CN"/>
        </w:rPr>
        <w:t xml:space="preserve">。否则，属于不诚信和故意扰乱政府采购活动行为，我们将无条件接受处罚。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、与本投标有关的正式联系方式为：</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地址：</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电话：</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传真：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供应商授权代表姓名（签字）：</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lang w:val="en-US" w:eastAsia="zh-CN"/>
        </w:rPr>
        <w:t xml:space="preserve">加盖CA电子公章</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日期：年月日</w:t>
      </w:r>
      <w:r/>
    </w:p>
    <w:p>
      <w:pPr>
        <w:jc w:val="left"/>
        <w:spacing w:line="360" w:lineRule="auto"/>
        <w:widowControl/>
        <w:rPr>
          <w:rFonts w:ascii="宋体" w:hAnsi="宋体" w:cs="宋体"/>
          <w:b/>
          <w:color w:val="auto"/>
          <w:szCs w:val="21"/>
          <w:highlight w:val="none"/>
          <w:lang w:val="zh-CN"/>
        </w:rPr>
        <w:sectPr>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目录二、法定代表人授权书格式</w:t>
      </w:r>
      <w:r/>
    </w:p>
    <w:p>
      <w:pPr>
        <w:ind w:firstLine="720"/>
        <w:jc w:val="center"/>
        <w:spacing w:line="360" w:lineRule="auto"/>
        <w:widowControl/>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法定代表人授权委托书</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南京医科大学</w:t>
      </w:r>
      <w:r>
        <w:rPr>
          <w:rFonts w:hint="eastAsia" w:ascii="宋体" w:hAnsi="宋体" w:cs="宋体"/>
          <w:color w:val="auto"/>
          <w:szCs w:val="21"/>
          <w:highlight w:val="none"/>
          <w:lang w:val="zh-CN"/>
        </w:rPr>
        <w:t xml:space="preserve">：</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本授权书于年月日签字生效，特此声明。</w:t>
      </w:r>
      <w:r/>
    </w:p>
    <w:p>
      <w:pPr>
        <w:ind w:firstLine="408"/>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授权委托人（签字）：</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lang w:val="en-US" w:eastAsia="zh-CN"/>
        </w:rPr>
        <w:t xml:space="preserve">加盖CA电子公章</w:t>
      </w:r>
      <w:r>
        <w:rPr>
          <w:rFonts w:hint="eastAsia" w:ascii="宋体" w:hAnsi="宋体" w:cs="宋体"/>
          <w:color w:val="auto"/>
          <w:szCs w:val="21"/>
          <w:highlight w:val="none"/>
          <w:lang w:val="zh-CN"/>
        </w:rPr>
        <w:t xml:space="preserve">）：</w:t>
      </w:r>
      <w:r/>
    </w:p>
    <w:p>
      <w:pPr>
        <w:ind w:firstLine="420"/>
        <w:jc w:val="left"/>
        <w:spacing w:line="360" w:lineRule="auto"/>
        <w:widowControl/>
        <w:tabs>
          <w:tab w:val="left" w:pos="144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法定代表人身份证复印件：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授权委托人身份证复印件：</w:t>
      </w:r>
      <w:r/>
    </w:p>
    <w:p>
      <w:pPr>
        <w:jc w:val="left"/>
        <w:spacing w:line="360" w:lineRule="auto"/>
        <w:widowControl/>
        <w:rPr>
          <w:rFonts w:ascii="宋体" w:hAnsi="宋体" w:cs="宋体"/>
          <w:b/>
          <w:color w:val="auto"/>
          <w:szCs w:val="21"/>
          <w:highlight w:val="none"/>
          <w:lang w:val="zh-CN"/>
        </w:rPr>
        <w:sectPr>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b/>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目录三、开标一览表格式</w:t>
      </w:r>
      <w:r/>
    </w:p>
    <w:p>
      <w:pPr>
        <w:pStyle w:val="961"/>
        <w:jc w:val="center"/>
        <w:keepLines w:val="0"/>
        <w:keepNext w:val="0"/>
        <w:widowControl/>
        <w:rPr>
          <w:color w:val="auto"/>
          <w:highlight w:val="none"/>
        </w:rPr>
        <w:suppressLineNumbers w:val="0"/>
      </w:pPr>
      <w:r>
        <w:rPr>
          <w:rStyle w:val="1019"/>
          <w:b/>
          <w:color w:val="auto"/>
          <w:highlight w:val="none"/>
        </w:rPr>
        <w:t xml:space="preserve">开标一览表 </w:t>
      </w:r>
      <w:r/>
    </w:p>
    <w:p>
      <w:pPr>
        <w:pStyle w:val="1012"/>
        <w:keepLines w:val="0"/>
        <w:keepNext w:val="0"/>
        <w:widowControl/>
        <w:rPr>
          <w:color w:val="auto"/>
          <w:highlight w:val="none"/>
        </w:rPr>
        <w:suppressLineNumbers w:val="0"/>
      </w:pPr>
      <w:r>
        <w:rPr>
          <w:color w:val="auto"/>
          <w:highlight w:val="none"/>
        </w:rPr>
        <w:t xml:space="preserve">投标人全称（CA公章）：供应商名称 </w:t>
      </w:r>
      <w:r/>
    </w:p>
    <w:p>
      <w:pPr>
        <w:pStyle w:val="1012"/>
        <w:keepLines w:val="0"/>
        <w:keepNext w:val="0"/>
        <w:widowControl/>
        <w:rPr>
          <w:color w:val="auto"/>
          <w:highlight w:val="none"/>
        </w:rPr>
        <w:suppressLineNumbers w:val="0"/>
      </w:pPr>
      <w:r>
        <w:rPr>
          <w:color w:val="auto"/>
          <w:highlight w:val="none"/>
        </w:rPr>
        <w:t xml:space="preserve">项目名称： 项目名称 </w:t>
      </w:r>
      <w:r/>
    </w:p>
    <w:p>
      <w:pPr>
        <w:pStyle w:val="1012"/>
        <w:keepLines w:val="0"/>
        <w:keepNext w:val="0"/>
        <w:widowControl/>
        <w:rPr>
          <w:color w:val="auto"/>
          <w:highlight w:val="none"/>
        </w:rPr>
        <w:suppressLineNumbers w:val="0"/>
      </w:pPr>
      <w:r>
        <w:rPr>
          <w:color w:val="auto"/>
          <w:highlight w:val="none"/>
        </w:rPr>
        <w:t xml:space="preserve">项目编号：项目编号 </w:t>
      </w:r>
      <w:r/>
    </w:p>
    <w:p>
      <w:pPr>
        <w:pStyle w:val="1012"/>
        <w:keepLines w:val="0"/>
        <w:keepNext w:val="0"/>
        <w:widowControl/>
        <w:rPr>
          <w:color w:val="auto"/>
          <w:highlight w:val="none"/>
        </w:rPr>
        <w:suppressLineNumbers w:val="0"/>
      </w:pPr>
      <w:r>
        <w:rPr>
          <w:color w:val="auto"/>
          <w:highlight w:val="none"/>
        </w:rPr>
        <w:t xml:space="preserve">分包号 ：分包号 </w:t>
      </w:r>
      <w:r/>
    </w:p>
    <w:tbl>
      <w:tblPr>
        <w:tblStyle w:val="971"/>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716"/>
        <w:gridCol w:w="8086"/>
      </w:tblGrid>
      <w:tr>
        <w:trPr>
          <w:tblCellSpacing w:w="15" w:type="dxa"/>
          <w:trHeight w:val="810"/>
        </w:trPr>
        <w:tc>
          <w:tcPr>
            <w:shd w:val="clear" w:color="auto" w:fill="auto"/>
            <w:tcW w:w="385" w:type="pct"/>
            <w:vAlign w:val="center"/>
            <w:textDirection w:val="lrTb"/>
            <w:noWrap w:val="false"/>
          </w:tcPr>
          <w:p>
            <w:pPr>
              <w:jc w:val="left"/>
              <w:keepLines w:val="0"/>
              <w:keepNext w:val="0"/>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 </w:t>
            </w:r>
            <w:r/>
          </w:p>
        </w:tc>
        <w:tc>
          <w:tcPr>
            <w:shd w:val="clear" w:color="auto" w:fill="auto"/>
            <w:tcW w:w="4612" w:type="pct"/>
            <w:vAlign w:val="center"/>
            <w:textDirection w:val="lrTb"/>
            <w:noWrap w:val="false"/>
          </w:tcPr>
          <w:p>
            <w:pPr>
              <w:pStyle w:val="1012"/>
              <w:jc w:val="center"/>
              <w:keepLines w:val="0"/>
              <w:keepNext w:val="0"/>
              <w:widowControl/>
              <w:rPr>
                <w:color w:val="auto"/>
                <w:highlight w:val="none"/>
              </w:rPr>
              <w:suppressLineNumbers w:val="0"/>
            </w:pPr>
            <w:r>
              <w:rPr>
                <w:rFonts w:hint="eastAsia" w:ascii="宋体" w:hAnsi="宋体" w:eastAsia="宋体" w:cs="Times New Roman"/>
                <w:color w:val="auto"/>
                <w:sz w:val="24"/>
                <w:szCs w:val="24"/>
                <w:highlight w:val="none"/>
                <w:lang w:val="en-US" w:eastAsia="zh-CN" w:bidi="ar"/>
              </w:rPr>
              <w:t xml:space="preserve">总报价</w:t>
            </w:r>
            <w:r/>
          </w:p>
        </w:tc>
      </w:tr>
      <w:tr>
        <w:trPr>
          <w:tblCellSpacing w:w="15" w:type="dxa"/>
          <w:trHeight w:val="825"/>
        </w:trPr>
        <w:tc>
          <w:tcPr>
            <w:shd w:val="clear" w:color="auto" w:fill="auto"/>
            <w:tcW w:w="385" w:type="pct"/>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 </w:t>
            </w:r>
            <w:r/>
          </w:p>
        </w:tc>
        <w:tc>
          <w:tcPr>
            <w:shd w:val="clear" w:color="auto" w:fill="auto"/>
            <w:tcW w:w="4612" w:type="pct"/>
            <w:vAlign w:val="center"/>
            <w:textDirection w:val="lrTb"/>
            <w:noWrap w:val="false"/>
          </w:tcPr>
          <w:p>
            <w:pPr>
              <w:pStyle w:val="1012"/>
              <w:keepLines w:val="0"/>
              <w:keepNext w:val="0"/>
              <w:widowControl/>
              <w:rPr>
                <w:color w:val="auto"/>
                <w:highlight w:val="none"/>
              </w:rPr>
              <w:suppressLineNumbers w:val="0"/>
            </w:pPr>
            <w:r>
              <w:rPr>
                <w:color w:val="auto"/>
                <w:highlight w:val="none"/>
              </w:rPr>
              <w:t xml:space="preserve">小写：</w:t>
            </w:r>
            <w:r>
              <w:rPr>
                <w:rFonts w:hint="eastAsia"/>
                <w:color w:val="auto"/>
                <w:highlight w:val="none"/>
                <w:u w:val="single"/>
                <w:lang w:val="en-US" w:eastAsia="zh-CN"/>
              </w:rPr>
              <w:t xml:space="preserve">             </w:t>
            </w:r>
            <w:r>
              <w:rPr>
                <w:color w:val="auto"/>
                <w:highlight w:val="none"/>
              </w:rPr>
              <w:t xml:space="preserve">元</w:t>
            </w:r>
            <w:r/>
          </w:p>
        </w:tc>
      </w:tr>
    </w:tbl>
    <w:p>
      <w:pPr>
        <w:pStyle w:val="1012"/>
        <w:jc w:val="right"/>
        <w:keepLines w:val="0"/>
        <w:keepNext w:val="0"/>
        <w:widowControl/>
        <w:rPr>
          <w:color w:val="auto"/>
          <w:highlight w:val="none"/>
        </w:rPr>
        <w:suppressLineNumbers w:val="0"/>
      </w:pPr>
      <w:r>
        <w:rPr>
          <w:color w:val="auto"/>
          <w:highlight w:val="none"/>
        </w:rPr>
        <w:t xml:space="preserve">   </w:t>
      </w:r>
      <w:r>
        <w:rPr>
          <w:rFonts w:hint="eastAsia"/>
          <w:color w:val="auto"/>
          <w:highlight w:val="none"/>
          <w:u w:val="single"/>
          <w:lang w:val="en-US" w:eastAsia="zh-CN"/>
        </w:rPr>
        <w:t xml:space="preserve">       </w:t>
      </w:r>
      <w:r>
        <w:rPr>
          <w:color w:val="auto"/>
          <w:highlight w:val="none"/>
        </w:rPr>
        <w:t xml:space="preserve"> 年</w:t>
      </w:r>
      <w:r>
        <w:rPr>
          <w:rFonts w:hint="eastAsia"/>
          <w:color w:val="auto"/>
          <w:highlight w:val="none"/>
          <w:u w:val="single"/>
          <w:lang w:val="en-US" w:eastAsia="zh-CN"/>
        </w:rPr>
        <w:t xml:space="preserve">       </w:t>
      </w:r>
      <w:r>
        <w:rPr>
          <w:color w:val="auto"/>
          <w:highlight w:val="none"/>
        </w:rPr>
        <w:t xml:space="preserve">月</w:t>
      </w:r>
      <w:r>
        <w:rPr>
          <w:rFonts w:hint="eastAsia"/>
          <w:color w:val="auto"/>
          <w:highlight w:val="none"/>
          <w:u w:val="single"/>
          <w:lang w:val="en-US" w:eastAsia="zh-CN"/>
        </w:rPr>
        <w:t xml:space="preserve">       </w:t>
      </w:r>
      <w:r>
        <w:rPr>
          <w:color w:val="auto"/>
          <w:highlight w:val="none"/>
        </w:rPr>
        <w:t xml:space="preserve">日</w:t>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b/>
          <w:color w:val="auto"/>
          <w:szCs w:val="21"/>
          <w:highlight w:val="none"/>
          <w:lang w:val="zh-CN"/>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color w:val="auto"/>
          <w:szCs w:val="21"/>
          <w:highlight w:val="none"/>
          <w:lang w:val="zh-CN"/>
        </w:rPr>
      </w:r>
      <w:r/>
    </w:p>
    <w:p>
      <w:pPr>
        <w:jc w:val="left"/>
        <w:spacing w:line="240" w:lineRule="atLeast"/>
        <w:widowControl/>
        <w:rPr>
          <w:rFonts w:ascii="宋体" w:hAnsi="宋体" w:cs="宋体"/>
          <w:b/>
          <w:color w:val="auto"/>
          <w:szCs w:val="21"/>
          <w:highlight w:val="none"/>
          <w:lang w:val="zh-CN"/>
        </w:rPr>
      </w:pPr>
      <w:r>
        <w:rPr>
          <w:rFonts w:hint="eastAsia"/>
          <w:b/>
          <w:bCs/>
          <w:color w:val="auto"/>
          <w:sz w:val="21"/>
          <w:szCs w:val="21"/>
          <w:highlight w:val="none"/>
        </w:rPr>
        <w:t xml:space="preserve">目录四、</w:t>
      </w:r>
      <w:r>
        <w:rPr>
          <w:rFonts w:hint="eastAsia" w:ascii="宋体" w:hAnsi="宋体" w:cs="宋体"/>
          <w:b/>
          <w:color w:val="auto"/>
          <w:szCs w:val="21"/>
          <w:highlight w:val="none"/>
          <w:lang w:val="zh-CN"/>
        </w:rPr>
        <w:t xml:space="preserve">分项报价表格式</w:t>
      </w:r>
      <w:r/>
    </w:p>
    <w:p>
      <w:pPr>
        <w:pStyle w:val="964"/>
        <w:rPr>
          <w:color w:val="auto"/>
          <w:highlight w:val="none"/>
          <w:lang w:val="zh-CN"/>
        </w:rPr>
      </w:pPr>
      <w:r>
        <w:rPr>
          <w:color w:val="auto"/>
          <w:highlight w:val="none"/>
          <w:lang w:val="zh-CN"/>
        </w:rPr>
      </w:r>
      <w:r/>
    </w:p>
    <w:p>
      <w:pPr>
        <w:ind w:left="420"/>
        <w:jc w:val="center"/>
        <w:spacing w:line="360" w:lineRule="auto"/>
        <w:widowControl/>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分项报价表</w:t>
      </w:r>
      <w:r/>
    </w:p>
    <w:tbl>
      <w:tblPr>
        <w:tblStyle w:val="10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994"/>
        <w:gridCol w:w="765"/>
        <w:gridCol w:w="1080"/>
        <w:gridCol w:w="855"/>
        <w:gridCol w:w="915"/>
        <w:gridCol w:w="1374"/>
        <w:gridCol w:w="1890"/>
        <w:gridCol w:w="1208"/>
      </w:tblGrid>
      <w:tr>
        <w:trPr>
          <w:trHeight w:val="626"/>
        </w:trPr>
        <w:tc>
          <w:tcPr>
            <w:gridSpan w:val="6"/>
            <w:tcW w:w="5277" w:type="dxa"/>
            <w:vAlign w:val="center"/>
            <w:textDirection w:val="lrTb"/>
            <w:noWrap w:val="false"/>
          </w:tcPr>
          <w:p>
            <w:pP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3"/>
            <w:tcW w:w="4472" w:type="dxa"/>
            <w:vAlign w:val="center"/>
            <w:textDirection w:val="lrTb"/>
            <w:noWrap w:val="false"/>
          </w:tcPr>
          <w:p>
            <w:pP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827"/>
        </w:trPr>
        <w:tc>
          <w:tcPr>
            <w:tcW w:w="668" w:type="dxa"/>
            <w:vAlign w:val="center"/>
            <w:textDirection w:val="lrTb"/>
            <w:noWrap w:val="false"/>
          </w:tcPr>
          <w:p>
            <w:pPr>
              <w:spacing w:line="240" w:lineRule="auto"/>
              <w:widowControl/>
              <w:tabs>
                <w:tab w:val="left" w:pos="15" w:leader="none"/>
              </w:tabs>
              <w:rPr>
                <w:rFonts w:ascii="宋体" w:hAnsi="宋体" w:cs="宋体"/>
                <w:color w:val="auto"/>
                <w:szCs w:val="21"/>
                <w:highlight w:val="none"/>
                <w:lang w:val="zh-CN"/>
              </w:rPr>
            </w:pPr>
            <w:r>
              <w:rPr>
                <w:rFonts w:ascii="宋体" w:hAnsi="宋体" w:cs="宋体"/>
                <w:color w:val="auto"/>
                <w:szCs w:val="21"/>
                <w:highlight w:val="none"/>
                <w:lang w:val="zh-CN"/>
              </w:rPr>
              <w:tab/>
            </w:r>
            <w:r>
              <w:rPr>
                <w:rFonts w:hint="eastAsia" w:ascii="宋体" w:hAnsi="宋体" w:cs="宋体"/>
                <w:color w:val="auto"/>
                <w:szCs w:val="21"/>
                <w:highlight w:val="none"/>
                <w:lang w:val="zh-CN"/>
              </w:rPr>
              <w:t xml:space="preserve">序号</w:t>
            </w:r>
            <w:r/>
          </w:p>
        </w:tc>
        <w:tc>
          <w:tcPr>
            <w:tcW w:w="994" w:type="dxa"/>
            <w:vAlign w:val="center"/>
            <w:textDirection w:val="lrTb"/>
            <w:noWrap w:val="false"/>
          </w:tcPr>
          <w:p>
            <w:pPr>
              <w:spacing w:line="240" w:lineRule="auto"/>
              <w:widowControl/>
              <w:tabs>
                <w:tab w:val="left" w:pos="225" w:leader="none"/>
              </w:tabs>
              <w:rPr>
                <w:rFonts w:ascii="宋体" w:hAnsi="宋体" w:cs="宋体"/>
                <w:color w:val="auto"/>
                <w:szCs w:val="21"/>
                <w:highlight w:val="none"/>
                <w:lang w:val="zh-CN"/>
              </w:rPr>
            </w:pPr>
            <w:r>
              <w:rPr>
                <w:rFonts w:ascii="宋体" w:hAnsi="宋体" w:cs="宋体"/>
                <w:color w:val="auto"/>
                <w:szCs w:val="21"/>
                <w:highlight w:val="none"/>
                <w:lang w:val="zh-CN"/>
              </w:rPr>
              <w:tab/>
            </w:r>
            <w:r>
              <w:rPr>
                <w:rFonts w:hint="eastAsia" w:ascii="宋体" w:hAnsi="宋体" w:cs="宋体"/>
                <w:color w:val="auto"/>
                <w:szCs w:val="21"/>
                <w:highlight w:val="none"/>
                <w:lang w:val="zh-CN"/>
              </w:rPr>
              <w:t xml:space="preserve">名称</w:t>
            </w:r>
            <w:r/>
          </w:p>
        </w:tc>
        <w:tc>
          <w:tcPr>
            <w:tcW w:w="765" w:type="dxa"/>
            <w:vAlign w:val="center"/>
            <w:textDirection w:val="lrTb"/>
            <w:noWrap w:val="false"/>
          </w:tcPr>
          <w:p>
            <w:pPr>
              <w:spacing w:line="24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品牌</w:t>
            </w:r>
            <w:r/>
          </w:p>
        </w:tc>
        <w:tc>
          <w:tcPr>
            <w:tcW w:w="1080" w:type="dxa"/>
            <w:vAlign w:val="center"/>
            <w:textDirection w:val="lrTb"/>
            <w:noWrap w:val="false"/>
          </w:tcPr>
          <w:p>
            <w:pPr>
              <w:spacing w:line="24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规格型号</w:t>
            </w:r>
            <w:r/>
          </w:p>
        </w:tc>
        <w:tc>
          <w:tcPr>
            <w:tcW w:w="855" w:type="dxa"/>
            <w:vAlign w:val="center"/>
            <w:textDirection w:val="lrTb"/>
            <w:noWrap w:val="false"/>
          </w:tcPr>
          <w:p>
            <w:pPr>
              <w:spacing w:line="24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产地</w:t>
            </w:r>
            <w:r/>
          </w:p>
        </w:tc>
        <w:tc>
          <w:tcPr>
            <w:tcW w:w="915" w:type="dxa"/>
            <w:vAlign w:val="center"/>
            <w:textDirection w:val="lrTb"/>
            <w:noWrap w:val="false"/>
          </w:tcPr>
          <w:p>
            <w:pPr>
              <w:spacing w:line="24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W w:w="1374" w:type="dxa"/>
            <w:vAlign w:val="center"/>
            <w:textDirection w:val="lrTb"/>
            <w:noWrap w:val="false"/>
          </w:tcPr>
          <w:p>
            <w:pPr>
              <w:spacing w:line="24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投标单价</w:t>
            </w:r>
            <w:r/>
          </w:p>
        </w:tc>
        <w:tc>
          <w:tcPr>
            <w:tcW w:w="1890" w:type="dxa"/>
            <w:vAlign w:val="center"/>
            <w:textDirection w:val="lrTb"/>
            <w:noWrap w:val="false"/>
          </w:tcPr>
          <w:p>
            <w:pPr>
              <w:spacing w:line="24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投标报价</w:t>
            </w:r>
            <w:r/>
          </w:p>
        </w:tc>
        <w:tc>
          <w:tcPr>
            <w:tcW w:w="1208" w:type="dxa"/>
            <w:vAlign w:val="center"/>
            <w:textDirection w:val="lrTb"/>
            <w:noWrap w:val="false"/>
          </w:tcPr>
          <w:p>
            <w:pPr>
              <w:spacing w:line="24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是否属于小、微型企业的产品</w:t>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26"/>
        </w:trPr>
        <w:tc>
          <w:tcPr>
            <w:tcW w:w="66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9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76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08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85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915"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374"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890"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208" w:type="dxa"/>
            <w:vAlign w:val="center"/>
            <w:textDirection w:val="lrTb"/>
            <w:noWrap w:val="false"/>
          </w:tcPr>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650"/>
        </w:trPr>
        <w:tc>
          <w:tcPr>
            <w:gridSpan w:val="9"/>
            <w:tcW w:w="9749" w:type="dxa"/>
            <w:vAlign w:val="center"/>
            <w:textDirection w:val="lrTb"/>
            <w:noWrap w:val="false"/>
          </w:tcPr>
          <w:p>
            <w:pP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总价小计：</w:t>
            </w:r>
            <w:r/>
          </w:p>
        </w:tc>
      </w:tr>
      <w:tr>
        <w:trPr>
          <w:trHeight w:val="650"/>
        </w:trPr>
        <w:tc>
          <w:tcPr>
            <w:gridSpan w:val="9"/>
            <w:tcW w:w="9749" w:type="dxa"/>
            <w:vAlign w:val="center"/>
            <w:textDirection w:val="lrTb"/>
            <w:noWrap w:val="false"/>
          </w:tcPr>
          <w:p>
            <w:pP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本采购</w:t>
            </w:r>
            <w:r>
              <w:rPr>
                <w:rFonts w:hint="eastAsia" w:ascii="宋体" w:hAnsi="宋体" w:cs="宋体"/>
                <w:color w:val="auto"/>
                <w:szCs w:val="21"/>
                <w:highlight w:val="none"/>
                <w:lang w:val="en-US" w:eastAsia="zh-CN"/>
              </w:rPr>
              <w:t xml:space="preserve">包</w:t>
            </w:r>
            <w:r>
              <w:rPr>
                <w:rFonts w:hint="eastAsia" w:ascii="宋体" w:hAnsi="宋体" w:cs="宋体"/>
                <w:color w:val="auto"/>
                <w:szCs w:val="21"/>
                <w:highlight w:val="none"/>
                <w:lang w:val="zh-CN"/>
              </w:rPr>
              <w:t xml:space="preserve">中提供的符合本国产品标准的产品成本之和占该采购包提供的全部产品成本之和的比例为</w:t>
            </w:r>
            <w:r>
              <w:rPr>
                <w:rFonts w:hint="eastAsia" w:ascii="宋体" w:hAnsi="宋体" w:cs="宋体"/>
                <w:color w:val="auto"/>
                <w:szCs w:val="21"/>
                <w:highlight w:val="none"/>
                <w:lang w:val="en-US" w:eastAsia="zh-CN"/>
              </w:rPr>
              <w:t xml:space="preserve">______</w:t>
            </w:r>
            <w:r>
              <w:rPr>
                <w:rFonts w:hint="eastAsia" w:ascii="宋体" w:hAnsi="宋体" w:cs="宋体"/>
                <w:color w:val="auto"/>
                <w:szCs w:val="21"/>
                <w:highlight w:val="none"/>
                <w:lang w:val="zh-CN"/>
              </w:rPr>
              <w:t xml:space="preserve">%。</w:t>
            </w:r>
            <w:r/>
          </w:p>
        </w:tc>
      </w:tr>
    </w:tbl>
    <w:p>
      <w:pPr>
        <w:jc w:val="left"/>
        <w:spacing w:line="360" w:lineRule="auto"/>
        <w:widowControl/>
        <w:rPr>
          <w:color w:val="auto"/>
          <w:highlight w:val="none"/>
        </w:rPr>
      </w:pPr>
      <w:r>
        <w:rPr>
          <w:color w:val="auto"/>
          <w:highlight w:val="none"/>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投标人名称：（加盖CA电子公章）</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color w:val="auto"/>
          <w:highlight w:val="none"/>
        </w:rPr>
      </w:pPr>
      <w:r>
        <w:rPr>
          <w:color w:val="auto"/>
          <w:highlight w:val="none"/>
        </w:rPr>
        <w:t xml:space="preserve">说明：1、如果行数不够，请自行增加。</w:t>
      </w:r>
      <w:r/>
    </w:p>
    <w:p>
      <w:pPr>
        <w:jc w:val="left"/>
        <w:spacing w:line="360" w:lineRule="auto"/>
        <w:widowControl/>
        <w:rPr>
          <w:color w:val="auto"/>
          <w:highlight w:val="none"/>
        </w:rPr>
      </w:pPr>
      <w:r>
        <w:rPr>
          <w:color w:val="auto"/>
          <w:highlight w:val="none"/>
        </w:rPr>
        <w:t xml:space="preserve"> </w:t>
      </w:r>
      <w:r>
        <w:rPr>
          <w:rFonts w:hint="eastAsia"/>
          <w:color w:val="auto"/>
          <w:highlight w:val="none"/>
          <w:lang w:val="en-US" w:eastAsia="zh-CN"/>
        </w:rPr>
        <w:t xml:space="preserve">     </w:t>
      </w:r>
      <w:r>
        <w:rPr>
          <w:color w:val="auto"/>
          <w:highlight w:val="none"/>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630"/>
        <w:jc w:val="left"/>
        <w:spacing w:line="360" w:lineRule="auto"/>
        <w:widowControl/>
        <w:rPr>
          <w:rFonts w:hint="eastAsia" w:eastAsia="宋体"/>
          <w:color w:val="auto"/>
          <w:highlight w:val="none"/>
          <w:lang w:val="en-US" w:eastAsia="zh-CN"/>
        </w:rPr>
      </w:pPr>
      <w:r>
        <w:rPr>
          <w:rFonts w:hint="eastAsia"/>
          <w:color w:val="auto"/>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w:t>
      </w: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lang w:val="zh-CN"/>
        </w:rPr>
        <w:t xml:space="preserve">、技术条款偏离表格式</w:t>
      </w:r>
      <w:r/>
    </w:p>
    <w:p>
      <w:pPr>
        <w:ind w:left="420"/>
        <w:jc w:val="center"/>
        <w:spacing w:line="360" w:lineRule="auto"/>
        <w:widowControl/>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技术条款偏离表</w:t>
      </w:r>
      <w:r/>
    </w:p>
    <w:tbl>
      <w:tblPr>
        <w:tblStyle w:val="971"/>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52"/>
        <w:gridCol w:w="178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招标文件要求的</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CN"/>
              </w:rPr>
              <w:t xml:space="preserve">条款</w:t>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供应商名称：（加盖CA电子公章）</w:t>
      </w:r>
      <w:r/>
    </w:p>
    <w:p>
      <w:pPr>
        <w:jc w:val="left"/>
        <w:spacing w:line="440" w:lineRule="exact"/>
        <w:widowControl/>
        <w:rPr>
          <w:rFonts w:cs="宋体"/>
          <w:color w:val="auto"/>
          <w:szCs w:val="21"/>
          <w:highlight w:val="none"/>
        </w:rPr>
      </w:pPr>
      <w:r>
        <w:rPr>
          <w:rFonts w:hint="eastAsia" w:cs="宋体"/>
          <w:color w:val="auto"/>
          <w:szCs w:val="21"/>
          <w:highlight w:val="none"/>
        </w:rPr>
        <w:t xml:space="preserve">1、如果行数不够，请自行增加。</w:t>
      </w:r>
      <w:r/>
    </w:p>
    <w:p>
      <w:pPr>
        <w:jc w:val="left"/>
        <w:spacing w:line="440" w:lineRule="exact"/>
        <w:widowControl/>
        <w:rPr>
          <w:rFonts w:cs="宋体"/>
          <w:color w:val="auto"/>
          <w:szCs w:val="21"/>
          <w:highlight w:val="none"/>
        </w:rPr>
      </w:pPr>
      <w:r>
        <w:rPr>
          <w:rFonts w:hint="eastAsia" w:cs="宋体"/>
          <w:color w:val="auto"/>
          <w:szCs w:val="21"/>
          <w:highlight w:val="none"/>
        </w:rPr>
        <w:t xml:space="preserve">2、供应商需在上表中对采购文件第四章“（第一部分：技术部分要求）”相关要求进行响应。</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目录</w:t>
      </w: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lang w:val="zh-CN"/>
        </w:rPr>
        <w:t xml:space="preserve">、商务条款偏离表格式</w:t>
      </w:r>
      <w:r/>
    </w:p>
    <w:p>
      <w:pPr>
        <w:ind w:left="420"/>
        <w:jc w:val="center"/>
        <w:spacing w:line="360" w:lineRule="auto"/>
        <w:widowControl/>
        <w:rPr>
          <w:rFonts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t xml:space="preserve">商务条款偏离表</w:t>
      </w:r>
      <w:r/>
    </w:p>
    <w:tbl>
      <w:tblPr>
        <w:tblStyle w:val="97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153"/>
        <w:gridCol w:w="1677"/>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招标文件条目号</w:t>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招标文件要求的商务条款</w:t>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投标响应</w:t>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25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7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20"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2700"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W w:w="2568"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77"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供应商名称：（加盖CA电子公章）</w:t>
      </w:r>
      <w:r/>
    </w:p>
    <w:p>
      <w:pPr>
        <w:jc w:val="left"/>
        <w:spacing w:line="440" w:lineRule="exact"/>
        <w:widowControl/>
        <w:rPr>
          <w:rFonts w:cs="宋体"/>
          <w:color w:val="auto"/>
          <w:szCs w:val="21"/>
          <w:highlight w:val="none"/>
        </w:rPr>
      </w:pPr>
      <w:r>
        <w:rPr>
          <w:rFonts w:hint="eastAsia" w:cs="宋体"/>
          <w:color w:val="auto"/>
          <w:szCs w:val="21"/>
          <w:highlight w:val="none"/>
        </w:rPr>
        <w:t xml:space="preserve">1、如果行数不够，请自行增加。</w:t>
      </w:r>
      <w:r/>
    </w:p>
    <w:p>
      <w:pPr>
        <w:jc w:val="left"/>
        <w:spacing w:line="440" w:lineRule="exact"/>
        <w:widowControl/>
        <w:rPr>
          <w:rFonts w:cs="宋体"/>
          <w:color w:val="auto"/>
          <w:szCs w:val="21"/>
          <w:highlight w:val="none"/>
        </w:rPr>
      </w:pPr>
      <w:r>
        <w:rPr>
          <w:rFonts w:hint="eastAsia" w:cs="宋体"/>
          <w:color w:val="auto"/>
          <w:szCs w:val="21"/>
          <w:highlight w:val="none"/>
        </w:rPr>
        <w:t xml:space="preserve">2、供应商需在上表中对采购文件第四章“（第二部分：商务部分要求）”相关要求进行响应。</w:t>
      </w:r>
      <w:r/>
    </w:p>
    <w:p>
      <w:pPr>
        <w:jc w:val="left"/>
        <w:spacing w:line="240" w:lineRule="atLeast"/>
        <w:widowControl/>
        <w:rPr>
          <w:rFonts w:ascii="宋体" w:hAnsi="宋体" w:cs="宋体"/>
          <w:color w:val="auto"/>
          <w:szCs w:val="21"/>
          <w:highlight w:val="none"/>
          <w:lang w:val="zh-CN"/>
        </w:rPr>
      </w:pPr>
      <w:r>
        <w:rPr>
          <w:rFonts w:ascii="宋体" w:hAnsi="宋体" w:cs="宋体"/>
          <w:color w:val="auto"/>
          <w:szCs w:val="21"/>
          <w:highlight w:val="none"/>
          <w:lang w:val="zh-CN"/>
        </w:rPr>
      </w:r>
      <w:r/>
    </w:p>
    <w:p>
      <w:pPr>
        <w:spacing w:line="240" w:lineRule="atLeast"/>
        <w:rPr>
          <w:rFonts w:ascii="宋体" w:hAnsi="宋体" w:cs="宋体"/>
          <w:b/>
          <w:color w:val="auto"/>
          <w:highlight w:val="none"/>
        </w:rPr>
      </w:pPr>
      <w:r>
        <w:rPr>
          <w:rFonts w:ascii="宋体" w:hAnsi="宋体" w:cs="宋体"/>
          <w:b/>
          <w:color w:val="auto"/>
          <w:highlight w:val="none"/>
        </w:rPr>
      </w:r>
      <w:r/>
    </w:p>
    <w:p>
      <w:pPr>
        <w:spacing w:line="240" w:lineRule="atLeast"/>
        <w:rPr>
          <w:rFonts w:ascii="宋体" w:hAnsi="宋体" w:cs="宋体"/>
          <w:b/>
          <w:color w:val="auto"/>
          <w:highlight w:val="none"/>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目录</w:t>
      </w:r>
      <w:r>
        <w:rPr>
          <w:rFonts w:hint="eastAsia" w:ascii="宋体" w:hAnsi="宋体" w:cs="宋体"/>
          <w:b/>
          <w:color w:val="auto"/>
          <w:highlight w:val="none"/>
          <w:lang w:val="en-US" w:eastAsia="zh-CN"/>
        </w:rPr>
        <w:t xml:space="preserve">七</w:t>
      </w:r>
      <w:r>
        <w:rPr>
          <w:rFonts w:hint="eastAsia" w:ascii="宋体" w:hAnsi="宋体" w:cs="宋体"/>
          <w:b/>
          <w:color w:val="auto"/>
          <w:highlight w:val="none"/>
        </w:rPr>
        <w:t xml:space="preserve">、服务与承诺</w:t>
      </w:r>
      <w:r/>
    </w:p>
    <w:p>
      <w:pP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服务与承诺</w:t>
      </w:r>
      <w:r/>
    </w:p>
    <w:p>
      <w:pPr>
        <w:spacing w:line="360" w:lineRule="auto"/>
        <w:rPr>
          <w:rFonts w:ascii="宋体" w:hAnsi="宋体" w:cs="宋体"/>
          <w:b/>
          <w:color w:val="auto"/>
          <w:highlight w:val="none"/>
        </w:rPr>
      </w:pPr>
      <w:r>
        <w:rPr>
          <w:rFonts w:ascii="宋体" w:hAnsi="宋体" w:cs="宋体"/>
          <w:b/>
          <w:color w:val="auto"/>
          <w:highlight w:val="none"/>
        </w:rPr>
      </w:r>
      <w:r/>
    </w:p>
    <w:p>
      <w:pPr>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目录</w:t>
      </w:r>
      <w:r>
        <w:rPr>
          <w:rFonts w:hint="eastAsia" w:ascii="宋体" w:hAnsi="宋体" w:cs="宋体"/>
          <w:b/>
          <w:color w:val="auto"/>
          <w:highlight w:val="none"/>
          <w:lang w:val="en-US" w:eastAsia="zh-CN"/>
        </w:rPr>
        <w:t xml:space="preserve">八</w:t>
      </w:r>
      <w:r>
        <w:rPr>
          <w:rFonts w:hint="eastAsia" w:ascii="宋体" w:hAnsi="宋体" w:cs="宋体"/>
          <w:b/>
          <w:color w:val="auto"/>
          <w:highlight w:val="none"/>
        </w:rPr>
        <w:t xml:space="preserve">、</w:t>
      </w:r>
      <w:r>
        <w:rPr>
          <w:rFonts w:ascii="宋体" w:hAnsi="宋体" w:cs="宋体"/>
          <w:b/>
          <w:color w:val="auto"/>
          <w:highlight w:val="none"/>
        </w:rPr>
        <w:t xml:space="preserve">投标人类似业绩情况表</w:t>
      </w:r>
      <w:r/>
    </w:p>
    <w:p>
      <w:pPr>
        <w:jc w:val="center"/>
        <w:spacing w:line="360" w:lineRule="auto"/>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投标人类似业绩情况表</w:t>
      </w:r>
      <w:r/>
    </w:p>
    <w:p>
      <w:pPr>
        <w:pStyle w:val="964"/>
        <w:spacing w:line="360" w:lineRule="auto"/>
        <w:rPr>
          <w:color w:val="auto"/>
          <w:highlight w:val="none"/>
        </w:rPr>
      </w:pPr>
      <w:r>
        <w:rPr>
          <w:color w:val="auto"/>
          <w:highlight w:val="none"/>
        </w:rPr>
      </w:r>
      <w:r/>
    </w:p>
    <w:tbl>
      <w:tblPr>
        <w:tblStyle w:val="9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4"/>
        <w:gridCol w:w="1447"/>
        <w:gridCol w:w="1846"/>
        <w:gridCol w:w="1451"/>
        <w:gridCol w:w="379"/>
        <w:gridCol w:w="1267"/>
        <w:gridCol w:w="2093"/>
        <w:gridCol w:w="572"/>
      </w:tblGrid>
      <w:tr>
        <w:trPr>
          <w:jc w:val="center"/>
          <w:trHeight w:val="339"/>
          <w:tblHeader/>
        </w:trPr>
        <w:tc>
          <w:tcPr>
            <w:gridSpan w:val="5"/>
            <w:tcBorders>
              <w:top w:val="none" w:color="000000" w:sz="4" w:space="0"/>
              <w:left w:val="none" w:color="000000" w:sz="4" w:space="0"/>
              <w:right w:val="none" w:color="000000" w:sz="4" w:space="0"/>
            </w:tcBorders>
            <w:tcW w:w="6395"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Borders>
              <w:top w:val="none" w:color="000000" w:sz="4" w:space="0"/>
              <w:left w:val="none" w:color="000000" w:sz="4" w:space="0"/>
              <w:right w:val="none" w:color="000000" w:sz="4" w:space="0"/>
            </w:tcBorders>
            <w:tcW w:w="1421"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right w:val="none" w:color="000000" w:sz="4" w:space="0"/>
            </w:tcBorders>
            <w:tcW w:w="2348"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none" w:color="000000" w:sz="4" w:space="0"/>
              <w:left w:val="none" w:color="000000" w:sz="4" w:space="0"/>
              <w:right w:val="none" w:color="000000" w:sz="4" w:space="0"/>
            </w:tcBorders>
            <w:tcW w:w="639"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业主方</w:t>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项目规模</w:t>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签约及服务时间</w:t>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联系人及电话</w:t>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340"/>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2"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070"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162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W w:w="184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34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639"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483"/>
        </w:trPr>
        <w:tc>
          <w:tcPr>
            <w:tcW w:w="652"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22"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2070"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1626"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gridSpan w:val="2"/>
            <w:tcW w:w="1846" w:type="dxa"/>
            <w:vAlign w:val="center"/>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2348" w:type="dxa"/>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W w:w="639" w:type="dxa"/>
            <w:textDirection w:val="lrTb"/>
            <w:noWrap w:val="false"/>
          </w:tcPr>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投标人名称： （</w:t>
      </w:r>
      <w:r>
        <w:rPr>
          <w:rFonts w:hint="eastAsia" w:ascii="宋体" w:hAnsi="宋体" w:cs="宋体"/>
          <w:color w:val="auto"/>
          <w:szCs w:val="21"/>
          <w:highlight w:val="none"/>
          <w:lang w:val="zh-CN"/>
        </w:rPr>
        <w:t xml:space="preserve">加盖CA电子公章</w:t>
      </w:r>
      <w:r>
        <w:rPr>
          <w:color w:val="auto"/>
          <w:highlight w:val="none"/>
        </w:rPr>
        <w:t xml:space="preserve">）</w:t>
      </w:r>
      <w:r/>
    </w:p>
    <w:p>
      <w:pPr>
        <w:spacing w:line="360" w:lineRule="auto"/>
        <w:rPr>
          <w:color w:val="auto"/>
          <w:highlight w:val="none"/>
        </w:rPr>
      </w:pPr>
      <w:r>
        <w:rPr>
          <w:color w:val="auto"/>
          <w:highlight w:val="none"/>
        </w:rPr>
        <w:t xml:space="preserve"> 日 期： 年 月 日 </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t xml:space="preserve">说明： 1、如果行、列数不够，请自行增加。</w:t>
      </w:r>
      <w:r/>
    </w:p>
    <w:p>
      <w:pPr>
        <w:ind w:firstLine="630"/>
        <w:spacing w:line="360" w:lineRule="auto"/>
        <w:rPr>
          <w:color w:val="auto"/>
          <w:highlight w:val="none"/>
        </w:rPr>
      </w:pPr>
      <w:r>
        <w:rPr>
          <w:color w:val="auto"/>
          <w:highlight w:val="none"/>
        </w:rPr>
        <w:t xml:space="preserve"> 2、请投标人根据本格式要求如实填写业绩情况表，并附业绩合同复印件</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目录</w:t>
      </w:r>
      <w:r>
        <w:rPr>
          <w:rFonts w:hint="eastAsia" w:ascii="宋体" w:hAnsi="宋体" w:cs="宋体"/>
          <w:b/>
          <w:color w:val="auto"/>
          <w:highlight w:val="none"/>
          <w:lang w:val="en-US" w:eastAsia="zh-CN"/>
        </w:rPr>
        <w:t xml:space="preserve">九</w:t>
      </w:r>
      <w:r>
        <w:rPr>
          <w:rFonts w:hint="eastAsia" w:ascii="宋体" w:hAnsi="宋体" w:cs="宋体"/>
          <w:b/>
          <w:color w:val="auto"/>
          <w:highlight w:val="none"/>
        </w:rPr>
        <w:t xml:space="preserve">、投标需要的其他证明文件及材料</w:t>
      </w:r>
      <w:r/>
    </w:p>
    <w:p>
      <w:pPr>
        <w:jc w:val="center"/>
        <w:spacing w:line="240" w:lineRule="atLeast"/>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投标需要的其他证明文件及材料（若有)</w:t>
      </w:r>
      <w:r/>
    </w:p>
    <w:p>
      <w:pPr>
        <w:spacing w:before="50" w:after="50" w:line="360" w:lineRule="auto"/>
        <w:rPr>
          <w:rFonts w:ascii="宋体" w:hAnsi="宋体" w:cs="宋体"/>
          <w:b/>
          <w:color w:val="auto"/>
          <w:highlight w:val="none"/>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附件一、中小企业声明函格式</w:t>
      </w:r>
      <w:r/>
    </w:p>
    <w:p>
      <w:pPr>
        <w:jc w:val="center"/>
        <w:rPr>
          <w:rFonts w:ascii="宋体" w:hAnsi="宋体" w:cs="宋体"/>
          <w:color w:val="auto"/>
          <w:highlight w:val="none"/>
        </w:rPr>
      </w:pPr>
      <w:r/>
      <w:bookmarkStart w:id="70" w:name="_bookmark0"/>
      <w:r/>
      <w:bookmarkEnd w:id="70"/>
      <w:r>
        <w:rPr>
          <w:rFonts w:hint="eastAsia" w:ascii="宋体" w:hAnsi="宋体" w:cs="宋体"/>
          <w:color w:val="auto"/>
          <w:sz w:val="36"/>
          <w:szCs w:val="36"/>
          <w:highlight w:val="none"/>
        </w:rPr>
        <w:t xml:space="preserve">中小企业声明函（货物）</w:t>
      </w:r>
      <w:r/>
    </w:p>
    <w:p>
      <w:pPr>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  工业 </w:t>
      </w:r>
      <w:r>
        <w:rPr>
          <w:rFonts w:hint="eastAsia" w:ascii="宋体" w:hAnsi="宋体" w:cs="宋体"/>
          <w:color w:val="auto"/>
          <w:highlight w:val="none"/>
        </w:rPr>
        <w:t xml:space="preserve">行业；制造商为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non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ab/>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（中型企业、小型企业、微型企业）；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  工业 </w:t>
      </w:r>
      <w:r>
        <w:rPr>
          <w:rFonts w:hint="eastAsia" w:ascii="宋体" w:hAnsi="宋体" w:cs="宋体"/>
          <w:color w:val="auto"/>
          <w:highlight w:val="none"/>
        </w:rPr>
        <w:t xml:space="preserve">行业；制造商为</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non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ab/>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（中型企业、小型企业、微型企业）；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企业名称（</w:t>
      </w:r>
      <w:r>
        <w:rPr>
          <w:rFonts w:hint="eastAsia" w:ascii="宋体" w:hAnsi="宋体" w:cs="宋体"/>
          <w:color w:val="auto"/>
          <w:szCs w:val="21"/>
          <w:highlight w:val="none"/>
          <w:lang w:val="en-US" w:eastAsia="zh-CN"/>
        </w:rPr>
        <w:t xml:space="preserve">加盖CA电子公章</w:t>
      </w:r>
      <w:r>
        <w:rPr>
          <w:rFonts w:hint="eastAsia" w:ascii="宋体" w:hAnsi="宋体" w:cs="宋体"/>
          <w:color w:val="auto"/>
          <w:highlight w:val="none"/>
        </w:rPr>
        <w:t xml:space="preserve">）：</w:t>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日期：</w:t>
      </w:r>
      <w:r/>
    </w:p>
    <w:p>
      <w:pPr>
        <w:spacing w:line="240" w:lineRule="atLeast"/>
        <w:widowControl/>
        <w:rPr>
          <w:rFonts w:ascii="宋体" w:hAnsi="宋体" w:cs="宋体"/>
          <w:b/>
          <w:color w:val="auto"/>
          <w:highlight w:val="none"/>
        </w:rPr>
      </w:pPr>
      <w:r>
        <w:rPr>
          <w:rFonts w:ascii="宋体" w:hAnsi="宋体" w:cs="宋体"/>
          <w:b/>
          <w:color w:val="auto"/>
          <w:highlight w:val="none"/>
        </w:rPr>
      </w:r>
      <w:r/>
    </w:p>
    <w:p>
      <w:pPr>
        <w:jc w:val="left"/>
        <w:spacing w:line="360" w:lineRule="auto"/>
        <w:shd w:val="clear" w:color="auto"/>
        <w:rPr>
          <w:rFonts w:hint="eastAsia" w:ascii="宋体" w:hAnsi="宋体" w:cs="宋体"/>
          <w:b/>
          <w:bCs/>
          <w:color w:val="auto"/>
          <w:highlight w:val="none"/>
        </w:rPr>
      </w:pPr>
      <w:r>
        <w:rPr>
          <w:rFonts w:hint="eastAsia" w:ascii="宋体" w:hAnsi="宋体" w:cs="宋体"/>
          <w:b/>
          <w:bCs/>
          <w:color w:val="auto"/>
          <w:highlight w:val="none"/>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jc w:val="left"/>
        <w:spacing w:line="360" w:lineRule="auto"/>
        <w:shd w:val="clear" w:color="auto"/>
        <w:rPr>
          <w:rFonts w:hint="eastAsia" w:ascii="宋体" w:hAnsi="宋体" w:cs="宋体"/>
          <w:color w:val="auto"/>
          <w:highlight w:val="none"/>
        </w:rPr>
      </w:pPr>
      <w:r>
        <w:rPr>
          <w:rFonts w:hint="eastAsia" w:ascii="宋体" w:hAnsi="宋体" w:cs="宋体"/>
          <w:color w:val="auto"/>
          <w:highlight w:val="none"/>
        </w:rPr>
        <w:t xml:space="preserve">注2：从业人员、营业收入、资产总额填报上一年度数据，无上一年度数据的新成立企业可不填报。</w:t>
      </w:r>
      <w:r/>
    </w:p>
    <w:p>
      <w:pPr>
        <w:spacing w:line="240" w:lineRule="atLeast"/>
        <w:shd w:val="clear" w:color="auto"/>
        <w:widowControl/>
        <w:rPr>
          <w:rFonts w:hint="eastAsia" w:ascii="宋体" w:hAnsi="宋体" w:cs="宋体"/>
          <w:b/>
          <w:color w:val="auto"/>
          <w:highlight w:val="none"/>
        </w:rPr>
      </w:pPr>
      <w:r>
        <w:rPr>
          <w:rFonts w:hint="eastAsia" w:ascii="宋体" w:hAnsi="宋体" w:cs="宋体"/>
          <w:color w:val="auto"/>
          <w:highlight w:val="none"/>
        </w:rPr>
        <w:t xml:space="preserve">注3：投标人如不提供此声明函，价格将不做相应扣除。</w:t>
      </w:r>
      <w:r/>
    </w:p>
    <w:p>
      <w:pPr>
        <w:spacing w:line="360" w:lineRule="auto"/>
        <w:shd w:val="clear" w:color="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注4：依据《关于印发中小企业划型标准规定的通知》（工信部联企业〔2011〕300号）：</w:t>
      </w:r>
      <w:r/>
    </w:p>
    <w:p>
      <w:pPr>
        <w:spacing w:line="240" w:lineRule="atLeast"/>
        <w:widowControl/>
        <w:rPr>
          <w:rFonts w:ascii="宋体" w:hAnsi="宋体" w:cs="宋体"/>
          <w:b/>
          <w:color w:val="auto"/>
          <w:highlight w:val="none"/>
        </w:rPr>
      </w:pPr>
      <w:r>
        <w:rPr>
          <w:rFonts w:hint="eastAsia" w:ascii="宋体" w:hAnsi="宋体" w:cs="宋体"/>
          <w:color w:val="auto"/>
          <w:highlight w:val="none"/>
          <w:lang w:val="en-US"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240" w:lineRule="atLeast"/>
        <w:widowControl/>
        <w:rPr>
          <w:rFonts w:ascii="宋体" w:hAnsi="宋体" w:cs="宋体"/>
          <w:b/>
          <w:color w:val="auto"/>
          <w:highlight w:val="none"/>
        </w:rPr>
      </w:pPr>
      <w:r>
        <w:rPr>
          <w:rFonts w:ascii="宋体" w:hAnsi="宋体" w:cs="宋体"/>
          <w:b/>
          <w:color w:val="auto"/>
          <w:highlight w:val="none"/>
        </w:rPr>
      </w:r>
      <w:r/>
    </w:p>
    <w:p>
      <w:pPr>
        <w:spacing w:line="240" w:lineRule="atLeast"/>
        <w:widowControl/>
        <w:rPr>
          <w:rFonts w:ascii="宋体" w:hAnsi="宋体" w:cs="宋体"/>
          <w:b/>
          <w:color w:val="auto"/>
          <w:highlight w:val="none"/>
        </w:rPr>
      </w:pPr>
      <w:r>
        <w:rPr>
          <w:rFonts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spacing w:line="240" w:lineRule="atLeast"/>
        <w:widowControl/>
        <w:rPr>
          <w:rFonts w:hint="eastAsia" w:ascii="宋体" w:hAnsi="宋体" w:eastAsia="宋体" w:cs="宋体"/>
          <w:b/>
          <w:color w:val="auto"/>
          <w:highlight w:val="none"/>
          <w:lang w:val="en-US" w:eastAsia="zh-CN"/>
        </w:rPr>
      </w:pPr>
      <w:r>
        <w:rPr>
          <w:rFonts w:hint="eastAsia" w:ascii="宋体" w:hAnsi="宋体" w:cs="宋体"/>
          <w:b/>
          <w:color w:val="auto"/>
          <w:highlight w:val="none"/>
        </w:rPr>
        <w:t xml:space="preserve">附件二、关于符合本国产品标准的声明函</w:t>
      </w:r>
      <w:r>
        <w:rPr>
          <w:rFonts w:hint="eastAsia" w:ascii="宋体" w:hAnsi="宋体" w:cs="宋体"/>
          <w:b/>
          <w:color w:val="auto"/>
          <w:highlight w:val="none"/>
          <w:lang w:val="en-US" w:eastAsia="zh-CN"/>
        </w:rPr>
        <w:t xml:space="preserve">格式</w:t>
      </w:r>
      <w:r/>
    </w:p>
    <w:p>
      <w:pPr>
        <w:spacing w:line="240" w:lineRule="atLeast"/>
        <w:widowControl/>
        <w:rPr>
          <w:rFonts w:hint="eastAsia" w:ascii="宋体" w:hAnsi="宋体" w:cs="宋体"/>
          <w:b/>
          <w:color w:val="auto"/>
          <w:highlight w:val="none"/>
        </w:rPr>
      </w:pPr>
      <w:r>
        <w:rPr>
          <w:rFonts w:hint="eastAsia" w:ascii="宋体" w:hAnsi="宋体" w:cs="宋体"/>
          <w:b/>
          <w:color w:val="auto"/>
          <w:highlight w:val="none"/>
        </w:rPr>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关于符合本国产品标准的声明函</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（产品名称1），生产厂为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（厂名），厂址为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（生产厂址）。</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（产品名称1）</w:t>
      </w:r>
      <w:r>
        <w:rPr>
          <w:rFonts w:hint="eastAsia" w:ascii="宋体" w:hAnsi="宋体" w:eastAsia="宋体" w:cs="宋体"/>
          <w:color w:val="auto"/>
          <w:highlight w:val="none"/>
        </w:rPr>
        <w:t xml:space="preserve">的中国境内生产的组件成本占比≥</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（规定比例）</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（产品名称1）</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（关键组件）</w:t>
      </w:r>
      <w:r>
        <w:rPr>
          <w:rFonts w:hint="eastAsia" w:ascii="宋体" w:hAnsi="宋体" w:eastAsia="宋体" w:cs="宋体"/>
          <w:color w:val="auto"/>
          <w:highlight w:val="none"/>
        </w:rPr>
        <w:t xml:space="preserve">在中国境内生产。</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（产品名称1）</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（关键工序）</w:t>
      </w:r>
      <w:r>
        <w:rPr>
          <w:rFonts w:hint="eastAsia" w:ascii="宋体" w:hAnsi="宋体" w:eastAsia="宋体" w:cs="宋体"/>
          <w:color w:val="auto"/>
          <w:highlight w:val="none"/>
        </w:rPr>
        <w:t xml:space="preserve">在中国境内完成。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（产品名称</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），生产厂为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（厂名），厂址为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（生产厂址）。</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（产品名称</w:t>
      </w:r>
      <w:r>
        <w:rPr>
          <w:rFonts w:hint="eastAsia" w:ascii="宋体" w:hAnsi="宋体" w:eastAsia="宋体" w:cs="宋体"/>
          <w:strike w:val="0"/>
          <w:color w:val="auto"/>
          <w:highlight w:val="none"/>
          <w:lang w:val="en-US" w:eastAsia="zh-CN"/>
        </w:rPr>
        <w:t xml:space="preserve">2</w:t>
      </w:r>
      <w:r>
        <w:rPr>
          <w:rFonts w:hint="eastAsia" w:ascii="宋体" w:hAnsi="宋体" w:eastAsia="宋体" w:cs="宋体"/>
          <w:strike w:val="0"/>
          <w:color w:val="auto"/>
          <w:highlight w:val="none"/>
        </w:rPr>
        <w:t xml:space="preserve">）</w:t>
      </w:r>
      <w:r>
        <w:rPr>
          <w:rFonts w:hint="eastAsia" w:ascii="宋体" w:hAnsi="宋体" w:eastAsia="宋体" w:cs="宋体"/>
          <w:color w:val="auto"/>
          <w:highlight w:val="none"/>
        </w:rPr>
        <w:t xml:space="preserve">的中国境内生产的组件成本占比≥</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（规定比例）</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（产品名称</w:t>
      </w:r>
      <w:r>
        <w:rPr>
          <w:rFonts w:hint="eastAsia" w:ascii="宋体" w:hAnsi="宋体" w:eastAsia="宋体" w:cs="宋体"/>
          <w:strike w:val="0"/>
          <w:color w:val="auto"/>
          <w:highlight w:val="none"/>
          <w:lang w:val="en-US" w:eastAsia="zh-CN"/>
        </w:rPr>
        <w:t xml:space="preserve">2</w:t>
      </w:r>
      <w:r>
        <w:rPr>
          <w:rFonts w:hint="eastAsia" w:ascii="宋体" w:hAnsi="宋体" w:eastAsia="宋体" w:cs="宋体"/>
          <w:strike w:val="0"/>
          <w:color w:val="auto"/>
          <w:highlight w:val="none"/>
        </w:rPr>
        <w:t xml:space="preserve">）</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（关键组件）</w:t>
      </w:r>
      <w:r>
        <w:rPr>
          <w:rFonts w:hint="eastAsia" w:ascii="宋体" w:hAnsi="宋体" w:eastAsia="宋体" w:cs="宋体"/>
          <w:color w:val="auto"/>
          <w:highlight w:val="none"/>
        </w:rPr>
        <w:t xml:space="preserve">在中国境内生产。</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（产品名称</w:t>
      </w:r>
      <w:r>
        <w:rPr>
          <w:rFonts w:hint="eastAsia" w:ascii="宋体" w:hAnsi="宋体" w:eastAsia="宋体" w:cs="宋体"/>
          <w:strike w:val="0"/>
          <w:color w:val="auto"/>
          <w:highlight w:val="none"/>
          <w:lang w:val="en-US" w:eastAsia="zh-CN"/>
        </w:rPr>
        <w:t xml:space="preserve">2</w:t>
      </w:r>
      <w:r>
        <w:rPr>
          <w:rFonts w:hint="eastAsia" w:ascii="宋体" w:hAnsi="宋体" w:eastAsia="宋体" w:cs="宋体"/>
          <w:strike w:val="0"/>
          <w:color w:val="auto"/>
          <w:highlight w:val="none"/>
        </w:rPr>
        <w:t xml:space="preserve">）</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val="en-US" w:eastAsia="zh-CN"/>
        </w:rPr>
        <w:t xml:space="preserve"> / </w:t>
      </w:r>
      <w:r>
        <w:rPr>
          <w:rFonts w:hint="eastAsia" w:ascii="宋体" w:hAnsi="宋体" w:eastAsia="宋体" w:cs="宋体"/>
          <w:strike w:val="0"/>
          <w:color w:val="auto"/>
          <w:highlight w:val="none"/>
        </w:rPr>
        <w:t xml:space="preserve">（关键工序）</w:t>
      </w:r>
      <w:r>
        <w:rPr>
          <w:rFonts w:hint="eastAsia" w:ascii="宋体" w:hAnsi="宋体" w:eastAsia="宋体" w:cs="宋体"/>
          <w:color w:val="auto"/>
          <w:highlight w:val="none"/>
        </w:rPr>
        <w:t xml:space="preserve">在中国境内完成。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本公司（单位）对上述声明内容的真实性负责。如有虚假，愿承担相应法律责任。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公司（单位）名称（</w:t>
      </w:r>
      <w:r>
        <w:rPr>
          <w:rFonts w:hint="eastAsia" w:ascii="宋体" w:hAnsi="宋体" w:cs="宋体"/>
          <w:color w:val="auto"/>
          <w:szCs w:val="21"/>
          <w:highlight w:val="none"/>
          <w:lang w:val="en-US" w:eastAsia="zh-CN"/>
        </w:rPr>
        <w:t xml:space="preserve">加盖CA电子公章</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                    </w:t>
      </w:r>
      <w:r/>
    </w:p>
    <w:p>
      <w:pPr>
        <w:ind w:firstLine="420"/>
        <w:jc w:val="right"/>
        <w:spacing w:line="360" w:lineRule="auto"/>
        <w:rPr>
          <w:rFonts w:hint="default" w:ascii="宋体" w:hAnsi="宋体" w:eastAsia="宋体" w:cs="宋体"/>
          <w:b/>
          <w:color w:val="auto"/>
          <w:highlight w:val="none"/>
          <w:lang w:val="en-US" w:eastAsia="zh-CN"/>
        </w:rPr>
      </w:pPr>
      <w:r>
        <w:rPr>
          <w:rFonts w:hint="eastAsia" w:ascii="宋体" w:hAnsi="宋体" w:eastAsia="宋体" w:cs="宋体"/>
          <w:color w:val="auto"/>
          <w:highlight w:val="none"/>
        </w:rPr>
        <w:t xml:space="preserve">日期：　   年　  月　  日</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p>
    <w:p>
      <w:pPr>
        <w:rPr>
          <w:rFonts w:hint="default" w:ascii="宋体" w:hAnsi="宋体" w:eastAsia="宋体" w:cs="宋体"/>
          <w:b/>
          <w:color w:val="auto"/>
          <w:highlight w:val="none"/>
          <w:lang w:val="en-US" w:eastAsia="zh-CN"/>
        </w:rPr>
      </w:pPr>
      <w:r>
        <w:rPr>
          <w:rFonts w:hint="eastAsia" w:ascii="宋体" w:hAnsi="宋体" w:cs="宋体"/>
          <w:b/>
          <w:color w:val="auto"/>
          <w:highlight w:val="none"/>
          <w:lang w:val="en-US" w:eastAsia="zh-CN"/>
        </w:rPr>
        <w:t xml:space="preserve">注：</w:t>
      </w:r>
      <w:r/>
    </w:p>
    <w:p>
      <w:pPr>
        <w:rPr>
          <w:rFonts w:hint="eastAsia" w:ascii="宋体" w:hAnsi="宋体" w:cs="宋体"/>
          <w:b w:val="0"/>
          <w:bCs/>
          <w:color w:val="auto"/>
          <w:highlight w:val="none"/>
        </w:rPr>
      </w:pPr>
      <w:r>
        <w:rPr>
          <w:rFonts w:hint="eastAsia" w:ascii="宋体" w:hAnsi="宋体" w:cs="宋体"/>
          <w:b w:val="0"/>
          <w:bCs/>
          <w:color w:val="auto"/>
          <w:highlight w:val="none"/>
        </w:rPr>
        <w:t xml:space="preserve">1.产品如有型号，请在“产品名称”栏一并填写。</w:t>
      </w:r>
      <w:r/>
    </w:p>
    <w:p>
      <w:pPr>
        <w:rPr>
          <w:rFonts w:hint="eastAsia" w:ascii="宋体" w:hAnsi="宋体" w:cs="宋体"/>
          <w:b w:val="0"/>
          <w:bCs/>
          <w:color w:val="auto"/>
          <w:highlight w:val="none"/>
        </w:rPr>
      </w:pPr>
      <w:r>
        <w:rPr>
          <w:rFonts w:hint="eastAsia" w:ascii="宋体" w:hAnsi="宋体" w:cs="宋体"/>
          <w:b w:val="0"/>
          <w:bCs/>
          <w:color w:val="auto"/>
          <w:highlight w:val="none"/>
        </w:rPr>
        <w:t xml:space="preserve">2.生产厂名与厂址应与生产厂营业执照载明的相关信息保持一致。</w:t>
      </w:r>
      <w:r/>
    </w:p>
    <w:p>
      <w:pPr>
        <w:rPr>
          <w:rFonts w:hint="eastAsia" w:ascii="宋体" w:hAnsi="宋体" w:cs="宋体"/>
          <w:b w:val="0"/>
          <w:bCs/>
          <w:color w:val="auto"/>
          <w:highlight w:val="none"/>
        </w:rPr>
      </w:pPr>
      <w:r>
        <w:rPr>
          <w:rFonts w:hint="eastAsia" w:ascii="宋体" w:hAnsi="宋体" w:cs="宋体"/>
          <w:b w:val="0"/>
          <w:bCs/>
          <w:color w:val="auto"/>
          <w:highlight w:val="none"/>
        </w:rPr>
        <w:t xml:space="preserve">3.该产品的中国境内生产的组件成本占比相关要求实施前，“规定比例”栏可不填，下同。</w:t>
      </w:r>
      <w:r/>
    </w:p>
    <w:p>
      <w:pPr>
        <w:rPr>
          <w:rFonts w:hint="eastAsia" w:ascii="宋体" w:hAnsi="宋体" w:cs="宋体"/>
          <w:b w:val="0"/>
          <w:bCs/>
          <w:color w:val="auto"/>
          <w:highlight w:val="none"/>
        </w:rPr>
      </w:pPr>
      <w:r>
        <w:rPr>
          <w:rFonts w:hint="eastAsia" w:ascii="宋体" w:hAnsi="宋体" w:cs="宋体"/>
          <w:b w:val="0"/>
          <w:bCs/>
          <w:color w:val="auto"/>
          <w:highlight w:val="none"/>
        </w:rPr>
        <w:t xml:space="preserve">4.该产品的关键组件要求实施前，“关键组件”栏可不填，下同。</w:t>
      </w:r>
      <w:r/>
    </w:p>
    <w:p>
      <w:pPr>
        <w:rPr>
          <w:rFonts w:hint="eastAsia" w:ascii="宋体" w:hAnsi="宋体" w:cs="宋体"/>
          <w:b w:val="0"/>
          <w:bCs/>
          <w:color w:val="auto"/>
          <w:highlight w:val="none"/>
        </w:rPr>
      </w:pPr>
      <w:r>
        <w:rPr>
          <w:rFonts w:hint="eastAsia" w:ascii="宋体" w:hAnsi="宋体" w:cs="宋体"/>
          <w:b w:val="0"/>
          <w:bCs/>
          <w:color w:val="auto"/>
          <w:highlight w:val="none"/>
        </w:rPr>
        <w:t xml:space="preserve">5.该产品的关键工序要求实施前，“关键工序”栏可不填，下同。</w:t>
      </w:r>
      <w:r/>
    </w:p>
    <w:p>
      <w:pPr>
        <w:rPr>
          <w:rFonts w:hint="eastAsia" w:ascii="宋体" w:hAnsi="宋体" w:cs="宋体"/>
          <w:b w:val="0"/>
          <w:bCs/>
          <w:color w:val="auto"/>
          <w:highlight w:val="none"/>
        </w:rPr>
      </w:pPr>
      <w:r>
        <w:rPr>
          <w:rFonts w:hint="eastAsia" w:ascii="宋体" w:hAnsi="宋体" w:cs="宋体"/>
          <w:b w:val="0"/>
          <w:bCs/>
          <w:color w:val="auto"/>
          <w:highlight w:val="none"/>
        </w:rPr>
        <w:t xml:space="preserve">6.用</w:t>
      </w:r>
      <w:r>
        <w:rPr>
          <w:rFonts w:hint="eastAsia" w:ascii="宋体" w:hAnsi="宋体" w:cs="宋体"/>
          <w:b w:val="0"/>
          <w:bCs/>
          <w:color w:val="auto"/>
          <w:highlight w:val="none"/>
          <w:lang w:val="en-US" w:eastAsia="zh-CN"/>
        </w:rPr>
        <w:t xml:space="preserve">斜线划除</w:t>
      </w:r>
      <w:r>
        <w:rPr>
          <w:rFonts w:hint="eastAsia" w:ascii="宋体" w:hAnsi="宋体" w:cs="宋体"/>
          <w:b w:val="0"/>
          <w:bCs/>
          <w:color w:val="auto"/>
          <w:highlight w:val="none"/>
        </w:rPr>
        <w:t xml:space="preserve">的地方无需填写。</w:t>
      </w:r>
      <w:r>
        <w:rPr>
          <w:rFonts w:hint="eastAsia" w:ascii="宋体" w:hAnsi="宋体" w:cs="宋体"/>
          <w:b w:val="0"/>
          <w:bCs/>
          <w:color w:val="auto"/>
          <w:highlight w:val="none"/>
        </w:rPr>
        <w:br w:type="page" w:clear="all"/>
      </w:r>
      <w:r/>
    </w:p>
    <w:p>
      <w:pPr>
        <w:spacing w:line="240" w:lineRule="atLeast"/>
        <w:widowControl/>
        <w:rPr>
          <w:rFonts w:ascii="宋体" w:hAnsi="宋体" w:cs="宋体"/>
          <w:b/>
          <w:color w:val="auto"/>
          <w:highlight w:val="none"/>
        </w:rPr>
      </w:pPr>
      <w:r>
        <w:rPr>
          <w:rFonts w:hint="eastAsia" w:ascii="宋体" w:hAnsi="宋体" w:cs="宋体"/>
          <w:b/>
          <w:color w:val="auto"/>
          <w:highlight w:val="none"/>
          <w:lang w:val="en-US" w:eastAsia="zh-CN"/>
        </w:rPr>
        <w:t xml:space="preserve">附件三、</w:t>
      </w:r>
      <w:r>
        <w:rPr>
          <w:rFonts w:hint="eastAsia" w:ascii="宋体" w:hAnsi="宋体" w:cs="宋体"/>
          <w:b/>
          <w:color w:val="auto"/>
          <w:highlight w:val="none"/>
        </w:rPr>
        <w:t xml:space="preserve">无重大违法记录声明格式</w:t>
      </w:r>
      <w:r/>
    </w:p>
    <w:p>
      <w:pPr>
        <w:spacing w:line="240" w:lineRule="atLeast"/>
        <w:widowControl/>
        <w:rPr>
          <w:rFonts w:ascii="宋体" w:hAnsi="宋体" w:cs="宋体"/>
          <w:b/>
          <w:color w:val="auto"/>
          <w:highlight w:val="none"/>
        </w:rPr>
      </w:pPr>
      <w:r>
        <w:rPr>
          <w:rFonts w:ascii="宋体" w:hAnsi="宋体" w:cs="宋体"/>
          <w:b/>
          <w:color w:val="auto"/>
          <w:highlight w:val="none"/>
        </w:rPr>
      </w:r>
      <w:r/>
    </w:p>
    <w:p>
      <w:pPr>
        <w:jc w:val="center"/>
        <w:rPr>
          <w:rFonts w:ascii="宋体" w:hAnsi="宋体" w:cs="宋体"/>
          <w:color w:val="auto"/>
          <w:sz w:val="36"/>
          <w:szCs w:val="36"/>
          <w:highlight w:val="none"/>
        </w:rPr>
      </w:pPr>
      <w:r/>
      <w:bookmarkStart w:id="71" w:name="_Hlk179355627"/>
      <w:r>
        <w:rPr>
          <w:rFonts w:hint="eastAsia" w:ascii="宋体" w:hAnsi="宋体" w:cs="宋体"/>
          <w:color w:val="auto"/>
          <w:sz w:val="36"/>
          <w:szCs w:val="36"/>
          <w:highlight w:val="none"/>
        </w:rPr>
        <w:t xml:space="preserve">无重大违法记录声明</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南京医科大学：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我单位（供应商名称）郑重声明：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参加政府采购活动前3年内在经营活动中______（在下划线上如实填写：有或没有）重大违法记录。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4620"/>
        <w:spacing w:line="360" w:lineRule="auto"/>
        <w:rPr>
          <w:rFonts w:ascii="宋体" w:hAnsi="宋体" w:cs="宋体"/>
          <w:color w:val="auto"/>
          <w:highlight w:val="none"/>
        </w:rPr>
      </w:pPr>
      <w:r>
        <w:rPr>
          <w:rFonts w:hint="eastAsia" w:ascii="宋体" w:hAnsi="宋体" w:cs="宋体"/>
          <w:color w:val="auto"/>
          <w:highlight w:val="none"/>
        </w:rPr>
        <w:t xml:space="preserve">声明人（</w:t>
      </w:r>
      <w:r>
        <w:rPr>
          <w:rFonts w:hint="eastAsia" w:ascii="宋体" w:hAnsi="宋体" w:cs="宋体"/>
          <w:color w:val="auto"/>
          <w:szCs w:val="21"/>
          <w:highlight w:val="none"/>
          <w:lang w:val="en-US" w:eastAsia="zh-CN"/>
        </w:rPr>
        <w:t xml:space="preserve">加盖CA电子公章</w:t>
      </w:r>
      <w:r>
        <w:rPr>
          <w:rFonts w:hint="eastAsia" w:ascii="宋体" w:hAnsi="宋体" w:cs="宋体"/>
          <w:color w:val="auto"/>
          <w:highlight w:val="none"/>
        </w:rPr>
        <w:t xml:space="preserve">）：</w:t>
      </w:r>
      <w:r/>
    </w:p>
    <w:p>
      <w:pPr>
        <w:ind w:firstLine="4620"/>
        <w:spacing w:line="360" w:lineRule="auto"/>
        <w:rPr>
          <w:rFonts w:ascii="宋体" w:hAnsi="宋体" w:cs="宋体"/>
          <w:color w:val="auto"/>
          <w:highlight w:val="none"/>
        </w:rPr>
      </w:pPr>
      <w:r>
        <w:rPr>
          <w:rFonts w:hint="eastAsia" w:ascii="宋体" w:hAnsi="宋体" w:cs="宋体"/>
          <w:color w:val="auto"/>
          <w:highlight w:val="none"/>
        </w:rPr>
        <w:t xml:space="preserve">日　　　　期：          年     月    日</w:t>
      </w:r>
      <w:bookmarkEnd w:id="71"/>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w:t>
      </w:r>
      <w:r>
        <w:rPr>
          <w:rFonts w:hint="eastAsia" w:ascii="宋体" w:hAnsi="宋体" w:cs="宋体"/>
          <w:b/>
          <w:color w:val="auto"/>
          <w:szCs w:val="21"/>
          <w:highlight w:val="none"/>
          <w:lang w:eastAsia="zh-CN"/>
        </w:rPr>
        <w:t xml:space="preserve">四</w:t>
      </w:r>
      <w:r>
        <w:rPr>
          <w:rFonts w:hint="eastAsia" w:ascii="宋体" w:hAnsi="宋体" w:cs="宋体"/>
          <w:b/>
          <w:color w:val="auto"/>
          <w:szCs w:val="21"/>
          <w:highlight w:val="none"/>
        </w:rPr>
        <w:t xml:space="preserve">、具备履行合同所必需的设备和专业技术能力的声明格式及证明材料</w:t>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具备履行合同所必需的设备和专业技术能力的声明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南京医科大学：</w:t>
      </w:r>
      <w:r/>
    </w:p>
    <w:p>
      <w:pPr>
        <w:ind w:firstLine="49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主要设备有：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9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主要专业技术能力有：</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声明人：（</w:t>
      </w:r>
      <w:r>
        <w:rPr>
          <w:rFonts w:hint="eastAsia" w:ascii="宋体" w:hAnsi="宋体" w:cs="宋体"/>
          <w:color w:val="auto"/>
          <w:szCs w:val="21"/>
          <w:highlight w:val="none"/>
          <w:lang w:val="en-US" w:eastAsia="zh-CN"/>
        </w:rPr>
        <w:t xml:space="preserve">加盖CA电子公章</w:t>
      </w:r>
      <w:r>
        <w:rPr>
          <w:rFonts w:hint="eastAsia" w:ascii="宋体" w:hAnsi="宋体" w:cs="宋体"/>
          <w:color w:val="auto"/>
          <w:szCs w:val="21"/>
          <w:highlight w:val="none"/>
        </w:rPr>
        <w:t xml:space="preserve">）</w:t>
      </w:r>
      <w:r/>
    </w:p>
    <w:p>
      <w:pPr>
        <w:ind w:firstLine="4410"/>
        <w:jc w:val="left"/>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日期：______年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92"/>
        <w:spacing w:line="4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其他证明材料及文件：（如果投标人认为需要提供的话）</w:t>
      </w:r>
      <w:r/>
    </w:p>
    <w:p>
      <w:pPr>
        <w:pStyle w:val="1401"/>
        <w:ind w:left="0"/>
        <w:spacing w:before="20"/>
        <w:rPr>
          <w:rFonts w:hint="eastAsia"/>
          <w:color w:val="auto"/>
          <w:sz w:val="21"/>
          <w:szCs w:val="21"/>
          <w:highlight w:val="none"/>
        </w:rPr>
      </w:pPr>
      <w:r>
        <w:rPr>
          <w:rFonts w:hint="eastAsia"/>
          <w:color w:val="auto"/>
          <w:sz w:val="21"/>
          <w:szCs w:val="21"/>
          <w:highlight w:val="none"/>
        </w:rPr>
      </w:r>
      <w:r/>
    </w:p>
    <w:p>
      <w:pPr>
        <w:pStyle w:val="1401"/>
        <w:ind w:left="0"/>
        <w:spacing w:before="20"/>
        <w:rPr>
          <w:color w:val="auto"/>
          <w:sz w:val="21"/>
          <w:szCs w:val="21"/>
          <w:highlight w:val="none"/>
        </w:rPr>
      </w:pPr>
      <w:r>
        <w:rPr>
          <w:rFonts w:hint="eastAsia"/>
          <w:color w:val="auto"/>
          <w:sz w:val="21"/>
          <w:szCs w:val="21"/>
          <w:highlight w:val="none"/>
        </w:rPr>
        <w:t xml:space="preserve">附件</w:t>
      </w:r>
      <w:r>
        <w:rPr>
          <w:rFonts w:hint="eastAsia"/>
          <w:color w:val="auto"/>
          <w:sz w:val="21"/>
          <w:szCs w:val="21"/>
          <w:highlight w:val="none"/>
          <w:lang w:val="en-US" w:eastAsia="zh-CN"/>
        </w:rPr>
        <w:t xml:space="preserve">五</w:t>
      </w:r>
      <w:r>
        <w:rPr>
          <w:rFonts w:hint="eastAsia"/>
          <w:color w:val="auto"/>
          <w:sz w:val="21"/>
          <w:szCs w:val="21"/>
          <w:highlight w:val="none"/>
        </w:rPr>
        <w:t xml:space="preserve">、残疾人福利性单位声明函格式</w:t>
      </w:r>
      <w:r/>
    </w:p>
    <w:p>
      <w:pPr>
        <w:pStyle w:val="972"/>
        <w:rPr>
          <w:rFonts w:ascii="宋体" w:hAnsi="宋体" w:cs="宋体"/>
          <w:b/>
          <w:color w:val="auto"/>
          <w:sz w:val="21"/>
          <w:szCs w:val="21"/>
          <w:highlight w:val="none"/>
        </w:rPr>
      </w:pPr>
      <w:r>
        <w:rPr>
          <w:rFonts w:ascii="宋体" w:hAnsi="宋体" w:cs="宋体"/>
          <w:b/>
          <w:color w:val="auto"/>
          <w:sz w:val="21"/>
          <w:szCs w:val="21"/>
          <w:highlight w:val="none"/>
        </w:rPr>
      </w:r>
      <w:r/>
    </w:p>
    <w:p>
      <w:pPr>
        <w:pStyle w:val="1401"/>
        <w:ind w:left="0"/>
        <w:jc w:val="center"/>
        <w:spacing w:before="167"/>
        <w:rPr>
          <w:color w:val="auto"/>
          <w:sz w:val="21"/>
          <w:szCs w:val="21"/>
          <w:highlight w:val="none"/>
        </w:rPr>
      </w:pPr>
      <w:r>
        <w:rPr>
          <w:rFonts w:hint="eastAsia"/>
          <w:color w:val="auto"/>
          <w:sz w:val="21"/>
          <w:szCs w:val="21"/>
          <w:highlight w:val="none"/>
        </w:rPr>
        <w:t xml:space="preserve">残疾人福利性单位声明函</w:t>
      </w:r>
      <w:r/>
    </w:p>
    <w:p>
      <w:pPr>
        <w:pStyle w:val="972"/>
        <w:spacing w:before="7"/>
        <w:rPr>
          <w:rFonts w:ascii="宋体" w:hAnsi="宋体" w:cs="宋体"/>
          <w:b/>
          <w:color w:val="auto"/>
          <w:sz w:val="21"/>
          <w:szCs w:val="21"/>
          <w:highlight w:val="none"/>
        </w:rPr>
      </w:pPr>
      <w:r>
        <w:rPr>
          <w:rFonts w:ascii="宋体" w:hAnsi="宋体" w:cs="宋体"/>
          <w:b/>
          <w:color w:val="auto"/>
          <w:sz w:val="21"/>
          <w:szCs w:val="21"/>
          <w:highlight w:val="none"/>
        </w:rPr>
      </w:r>
      <w:r/>
    </w:p>
    <w:p>
      <w:pPr>
        <w:pStyle w:val="972"/>
        <w:ind w:right="617" w:firstLine="480"/>
        <w:spacing w:line="424" w:lineRule="auto"/>
        <w:tabs>
          <w:tab w:val="left" w:pos="3711" w:leader="none"/>
          <w:tab w:val="left" w:pos="5151"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w:t>
      </w:r>
      <w:r>
        <w:rPr>
          <w:rFonts w:hint="eastAsia" w:ascii="宋体" w:hAnsi="宋体" w:cs="宋体"/>
          <w:color w:val="auto"/>
          <w:spacing w:val="-27"/>
          <w:sz w:val="21"/>
          <w:szCs w:val="21"/>
          <w:highlight w:val="none"/>
        </w:rPr>
        <w:t xml:space="preserve">，</w:t>
      </w:r>
      <w:r>
        <w:rPr>
          <w:rFonts w:hint="eastAsia" w:ascii="宋体" w:hAnsi="宋体" w:cs="宋体"/>
          <w:color w:val="auto"/>
          <w:sz w:val="21"/>
          <w:szCs w:val="21"/>
          <w:highlight w:val="none"/>
        </w:rPr>
        <w:t xml:space="preserve">根</w:t>
      </w:r>
      <w:r>
        <w:rPr>
          <w:rFonts w:hint="eastAsia" w:ascii="宋体" w:hAnsi="宋体" w:cs="宋体"/>
          <w:color w:val="auto"/>
          <w:spacing w:val="-24"/>
          <w:sz w:val="21"/>
          <w:szCs w:val="21"/>
          <w:highlight w:val="none"/>
        </w:rPr>
        <w:t xml:space="preserve">据</w:t>
      </w:r>
      <w:r>
        <w:rPr>
          <w:rFonts w:hint="eastAsia" w:ascii="宋体" w:hAnsi="宋体" w:cs="宋体"/>
          <w:color w:val="auto"/>
          <w:sz w:val="21"/>
          <w:szCs w:val="21"/>
          <w:highlight w:val="none"/>
        </w:rPr>
        <w:t xml:space="preserve">《财政部 民政部 中国残疾人联合会关于促进残疾人就业</w:t>
      </w:r>
      <w:r>
        <w:rPr>
          <w:rFonts w:hint="eastAsia" w:ascii="宋体" w:hAnsi="宋体" w:cs="宋体"/>
          <w:color w:val="auto"/>
          <w:spacing w:val="-18"/>
          <w:sz w:val="21"/>
          <w:szCs w:val="21"/>
          <w:highlight w:val="none"/>
        </w:rPr>
        <w:t xml:space="preserve">政</w:t>
      </w:r>
      <w:r>
        <w:rPr>
          <w:rFonts w:hint="eastAsia" w:ascii="宋体" w:hAnsi="宋体" w:cs="宋体"/>
          <w:color w:val="auto"/>
          <w:sz w:val="21"/>
          <w:szCs w:val="21"/>
          <w:highlight w:val="none"/>
        </w:rPr>
        <w:t xml:space="preserve">府采购政策的通知</w:t>
      </w:r>
      <w:r>
        <w:rPr>
          <w:rFonts w:hint="eastAsia" w:ascii="宋体" w:hAnsi="宋体" w:cs="宋体"/>
          <w:color w:val="auto"/>
          <w:spacing w:val="-39"/>
          <w:sz w:val="21"/>
          <w:szCs w:val="21"/>
          <w:highlight w:val="none"/>
        </w:rPr>
        <w:t xml:space="preserve">》</w:t>
      </w:r>
      <w:r>
        <w:rPr>
          <w:rFonts w:hint="eastAsia" w:ascii="宋体" w:hAnsi="宋体" w:cs="宋体"/>
          <w:color w:val="auto"/>
          <w:sz w:val="21"/>
          <w:szCs w:val="21"/>
          <w:highlight w:val="none"/>
        </w:rPr>
        <w:t xml:space="preserve">（财</w:t>
      </w:r>
      <w:r>
        <w:rPr>
          <w:rFonts w:hint="eastAsia" w:ascii="宋体" w:hAnsi="宋体" w:cs="宋体"/>
          <w:color w:val="auto"/>
          <w:spacing w:val="-17"/>
          <w:sz w:val="21"/>
          <w:szCs w:val="21"/>
          <w:highlight w:val="none"/>
        </w:rPr>
        <w:t xml:space="preserve">库</w:t>
      </w:r>
      <w:r>
        <w:rPr>
          <w:rFonts w:hint="eastAsia" w:ascii="宋体" w:hAnsi="宋体" w:cs="宋体"/>
          <w:color w:val="auto"/>
          <w:sz w:val="21"/>
          <w:szCs w:val="21"/>
          <w:highlight w:val="none"/>
        </w:rPr>
        <w:t xml:space="preserve">〔2017〕141号</w:t>
      </w:r>
      <w:r>
        <w:rPr>
          <w:rFonts w:hint="eastAsia" w:ascii="宋体" w:hAnsi="宋体" w:cs="宋体"/>
          <w:color w:val="auto"/>
          <w:spacing w:val="-20"/>
          <w:sz w:val="21"/>
          <w:szCs w:val="21"/>
          <w:highlight w:val="none"/>
        </w:rPr>
        <w:t xml:space="preserve">）</w:t>
      </w:r>
      <w:r>
        <w:rPr>
          <w:rFonts w:hint="eastAsia" w:ascii="宋体" w:hAnsi="宋体" w:cs="宋体"/>
          <w:color w:val="auto"/>
          <w:sz w:val="21"/>
          <w:szCs w:val="21"/>
          <w:highlight w:val="none"/>
        </w:rPr>
        <w:t xml:space="preserve">的规定</w:t>
      </w:r>
      <w:r>
        <w:rPr>
          <w:rFonts w:hint="eastAsia" w:ascii="宋体" w:hAnsi="宋体" w:cs="宋体"/>
          <w:color w:val="auto"/>
          <w:spacing w:val="-17"/>
          <w:sz w:val="21"/>
          <w:szCs w:val="21"/>
          <w:highlight w:val="none"/>
        </w:rPr>
        <w:t xml:space="preserve">，</w:t>
      </w:r>
      <w:r>
        <w:rPr>
          <w:rFonts w:hint="eastAsia" w:ascii="宋体" w:hAnsi="宋体" w:cs="宋体"/>
          <w:color w:val="auto"/>
          <w:sz w:val="21"/>
          <w:szCs w:val="21"/>
          <w:highlight w:val="none"/>
        </w:rPr>
        <w:t xml:space="preserve">本单位为符合条件的残疾人福</w:t>
      </w:r>
      <w:r>
        <w:rPr>
          <w:rFonts w:hint="eastAsia" w:ascii="宋体" w:hAnsi="宋体" w:cs="宋体"/>
          <w:color w:val="auto"/>
          <w:spacing w:val="-16"/>
          <w:sz w:val="21"/>
          <w:szCs w:val="21"/>
          <w:highlight w:val="none"/>
        </w:rPr>
        <w:t xml:space="preserve">利</w:t>
      </w:r>
      <w:r>
        <w:rPr>
          <w:rFonts w:hint="eastAsia" w:ascii="宋体" w:hAnsi="宋体" w:cs="宋体"/>
          <w:color w:val="auto"/>
          <w:sz w:val="21"/>
          <w:szCs w:val="21"/>
          <w:highlight w:val="none"/>
        </w:rPr>
        <w:t xml:space="preserve">性单位</w:t>
      </w:r>
      <w:r>
        <w:rPr>
          <w:rFonts w:hint="eastAsia" w:ascii="宋体" w:hAnsi="宋体" w:cs="宋体"/>
          <w:color w:val="auto"/>
          <w:spacing w:val="-27"/>
          <w:sz w:val="21"/>
          <w:szCs w:val="21"/>
          <w:highlight w:val="none"/>
        </w:rPr>
        <w:t xml:space="preserve">，</w:t>
      </w:r>
      <w:r>
        <w:rPr>
          <w:rFonts w:hint="eastAsia" w:ascii="宋体" w:hAnsi="宋体" w:cs="宋体"/>
          <w:color w:val="auto"/>
          <w:sz w:val="21"/>
          <w:szCs w:val="21"/>
          <w:highlight w:val="none"/>
        </w:rPr>
        <w:t xml:space="preserve">且本单位参加</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 xml:space="preserve">单位的</w:t>
      </w:r>
      <w:r>
        <w:rPr>
          <w:rFonts w:hint="eastAsia" w:ascii="宋体" w:hAnsi="宋体" w:cs="宋体"/>
          <w:color w:val="auto"/>
          <w:sz w:val="21"/>
          <w:szCs w:val="21"/>
          <w:highlight w:val="none"/>
          <w:u w:val="single"/>
        </w:rPr>
        <w:tab/>
      </w:r>
      <w:r>
        <w:rPr>
          <w:rFonts w:hint="eastAsia" w:ascii="宋体" w:hAnsi="宋体" w:cs="宋体"/>
          <w:color w:val="auto"/>
          <w:sz w:val="21"/>
          <w:szCs w:val="21"/>
          <w:highlight w:val="none"/>
        </w:rPr>
        <w:t xml:space="preserve">项目采购活动提供本单位制造的货</w:t>
      </w:r>
      <w:r>
        <w:rPr>
          <w:rFonts w:hint="eastAsia" w:ascii="宋体" w:hAnsi="宋体" w:cs="宋体"/>
          <w:color w:val="auto"/>
          <w:spacing w:val="-24"/>
          <w:sz w:val="21"/>
          <w:szCs w:val="21"/>
          <w:highlight w:val="none"/>
        </w:rPr>
        <w:t xml:space="preserve">物</w:t>
      </w:r>
      <w:r>
        <w:rPr>
          <w:rFonts w:hint="eastAsia" w:ascii="宋体" w:hAnsi="宋体" w:cs="宋体"/>
          <w:color w:val="auto"/>
          <w:sz w:val="21"/>
          <w:szCs w:val="21"/>
          <w:highlight w:val="none"/>
        </w:rPr>
        <w:t xml:space="preserve">（由</w:t>
      </w:r>
      <w:r>
        <w:rPr>
          <w:rFonts w:hint="eastAsia" w:ascii="宋体" w:hAnsi="宋体" w:cs="宋体"/>
          <w:color w:val="auto"/>
          <w:spacing w:val="-18"/>
          <w:sz w:val="21"/>
          <w:szCs w:val="21"/>
          <w:highlight w:val="none"/>
        </w:rPr>
        <w:t xml:space="preserve">本</w:t>
      </w:r>
      <w:r>
        <w:rPr>
          <w:rFonts w:hint="eastAsia" w:ascii="宋体" w:hAnsi="宋体" w:cs="宋体"/>
          <w:color w:val="auto"/>
          <w:sz w:val="21"/>
          <w:szCs w:val="21"/>
          <w:highlight w:val="none"/>
        </w:rPr>
        <w:t xml:space="preserve">单位承担工程/提供服务），或者提供其他残疾人福利性单位制造的货物（不包括使用非残疾人福利性单位注册商标的货物）。</w:t>
      </w:r>
      <w:r/>
    </w:p>
    <w:p>
      <w:pPr>
        <w:pStyle w:val="972"/>
        <w:ind w:left="1098"/>
        <w:spacing w:before="3"/>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pStyle w:val="972"/>
        <w:ind w:right="2725"/>
        <w:spacing w:line="422" w:lineRule="auto"/>
        <w:tabs>
          <w:tab w:val="left" w:pos="7098" w:leader="none"/>
        </w:tabs>
        <w:rPr>
          <w:rFonts w:ascii="宋体" w:hAnsi="宋体" w:cs="宋体"/>
          <w:color w:val="auto"/>
          <w:spacing w:val="-9"/>
          <w:sz w:val="21"/>
          <w:szCs w:val="21"/>
          <w:highlight w:val="none"/>
        </w:rPr>
      </w:pPr>
      <w:r>
        <w:rPr>
          <w:rFonts w:hint="eastAsia" w:ascii="宋体" w:hAnsi="宋体" w:cs="宋体"/>
          <w:color w:val="auto"/>
          <w:sz w:val="21"/>
          <w:szCs w:val="21"/>
          <w:highlight w:val="none"/>
        </w:rPr>
        <w:t xml:space="preserve">单位名称（</w:t>
      </w:r>
      <w:r>
        <w:rPr>
          <w:rFonts w:hint="eastAsia" w:ascii="宋体" w:hAnsi="宋体" w:cs="宋体"/>
          <w:color w:val="auto"/>
          <w:sz w:val="21"/>
          <w:szCs w:val="18"/>
          <w:highlight w:val="none"/>
          <w:lang w:val="en-US" w:eastAsia="zh-CN"/>
        </w:rPr>
        <w:t xml:space="preserve">加盖CA电子公章</w:t>
      </w:r>
      <w:r>
        <w:rPr>
          <w:rFonts w:hint="eastAsia" w:ascii="宋体" w:hAnsi="宋体" w:cs="宋体"/>
          <w:color w:val="auto"/>
          <w:spacing w:val="-9"/>
          <w:sz w:val="21"/>
          <w:szCs w:val="21"/>
          <w:highlight w:val="none"/>
        </w:rPr>
        <w:t xml:space="preserve">）：</w:t>
      </w:r>
      <w:r/>
    </w:p>
    <w:p>
      <w:pPr>
        <w:pStyle w:val="972"/>
        <w:ind w:right="2725"/>
        <w:spacing w:line="422" w:lineRule="auto"/>
        <w:tabs>
          <w:tab w:val="left" w:pos="7098" w:leader="none"/>
        </w:tabs>
        <w:rPr>
          <w:rFonts w:ascii="宋体" w:hAnsi="宋体" w:cs="宋体"/>
          <w:color w:val="auto"/>
          <w:spacing w:val="-17"/>
          <w:sz w:val="21"/>
          <w:szCs w:val="21"/>
          <w:highlight w:val="none"/>
        </w:rPr>
      </w:pPr>
      <w:r>
        <w:rPr>
          <w:rFonts w:hint="eastAsia" w:ascii="宋体" w:hAnsi="宋体" w:cs="宋体"/>
          <w:color w:val="auto"/>
          <w:spacing w:val="-9"/>
          <w:sz w:val="21"/>
          <w:szCs w:val="21"/>
          <w:highlight w:val="none"/>
        </w:rPr>
        <w:t xml:space="preserve">日</w:t>
      </w:r>
      <w:r>
        <w:rPr>
          <w:rFonts w:hint="eastAsia" w:ascii="宋体" w:hAnsi="宋体" w:cs="宋体"/>
          <w:color w:val="auto"/>
          <w:sz w:val="21"/>
          <w:szCs w:val="21"/>
          <w:highlight w:val="none"/>
        </w:rPr>
        <w:t xml:space="preserve">期</w:t>
      </w:r>
      <w:r>
        <w:rPr>
          <w:rFonts w:hint="eastAsia" w:ascii="宋体" w:hAnsi="宋体" w:cs="宋体"/>
          <w:color w:val="auto"/>
          <w:spacing w:val="-17"/>
          <w:sz w:val="21"/>
          <w:szCs w:val="21"/>
          <w:highlight w:val="none"/>
        </w:rPr>
        <w:t xml:space="preserve">：</w:t>
      </w:r>
      <w:r/>
    </w:p>
    <w:p>
      <w:pPr>
        <w:pStyle w:val="972"/>
        <w:ind w:right="2725"/>
        <w:spacing w:line="422" w:lineRule="auto"/>
        <w:tabs>
          <w:tab w:val="left" w:pos="7098" w:leader="none"/>
        </w:tabs>
        <w:rPr>
          <w:rFonts w:ascii="宋体" w:hAnsi="宋体" w:cs="宋体"/>
          <w:color w:val="auto"/>
          <w:spacing w:val="-17"/>
          <w:sz w:val="21"/>
          <w:szCs w:val="21"/>
          <w:highlight w:val="none"/>
        </w:rPr>
      </w:pPr>
      <w:r>
        <w:rPr>
          <w:rFonts w:ascii="宋体" w:hAnsi="宋体" w:cs="宋体"/>
          <w:color w:val="auto"/>
          <w:spacing w:val="-17"/>
          <w:sz w:val="21"/>
          <w:szCs w:val="21"/>
          <w:highlight w:val="none"/>
        </w:rPr>
      </w:r>
      <w:r/>
    </w:p>
    <w:p>
      <w:pPr>
        <w:pStyle w:val="1401"/>
        <w:ind w:left="0"/>
        <w:rPr>
          <w:color w:val="auto"/>
          <w:sz w:val="21"/>
          <w:szCs w:val="21"/>
          <w:highlight w:val="none"/>
        </w:rPr>
      </w:pPr>
      <w:r>
        <w:rPr>
          <w:rFonts w:hint="eastAsia"/>
          <w:color w:val="auto"/>
          <w:sz w:val="21"/>
          <w:szCs w:val="21"/>
          <w:highlight w:val="none"/>
        </w:rPr>
        <w:t xml:space="preserve">附件</w:t>
      </w:r>
      <w:r>
        <w:rPr>
          <w:rFonts w:hint="eastAsia"/>
          <w:color w:val="auto"/>
          <w:sz w:val="21"/>
          <w:szCs w:val="21"/>
          <w:highlight w:val="none"/>
          <w:lang w:val="en-US" w:eastAsia="zh-CN"/>
        </w:rPr>
        <w:t xml:space="preserve">六</w:t>
      </w:r>
      <w:r>
        <w:rPr>
          <w:rFonts w:hint="eastAsia"/>
          <w:color w:val="auto"/>
          <w:sz w:val="21"/>
          <w:szCs w:val="21"/>
          <w:highlight w:val="none"/>
        </w:rPr>
        <w:t xml:space="preserve">、属于监狱企业的证明文件</w:t>
      </w:r>
      <w:r/>
    </w:p>
    <w:p>
      <w:pPr>
        <w:pStyle w:val="972"/>
        <w:rPr>
          <w:rFonts w:ascii="宋体" w:hAnsi="宋体" w:cs="宋体"/>
          <w:b/>
          <w:color w:val="auto"/>
          <w:sz w:val="21"/>
          <w:szCs w:val="21"/>
          <w:highlight w:val="none"/>
        </w:rPr>
      </w:pPr>
      <w:r>
        <w:rPr>
          <w:rFonts w:ascii="宋体" w:hAnsi="宋体" w:cs="宋体"/>
          <w:b/>
          <w:color w:val="auto"/>
          <w:sz w:val="21"/>
          <w:szCs w:val="21"/>
          <w:highlight w:val="none"/>
        </w:rPr>
      </w:r>
      <w:r/>
    </w:p>
    <w:p>
      <w:pPr>
        <w:jc w:val="left"/>
        <w:widowControl/>
        <w:rPr>
          <w:rFonts w:ascii="宋体" w:hAnsi="宋体" w:cs="宋体"/>
          <w:b/>
          <w:bCs/>
          <w:color w:val="auto"/>
          <w:szCs w:val="21"/>
          <w:highlight w:val="none"/>
          <w:lang w:val="zh-CN"/>
        </w:rPr>
      </w:pPr>
      <w:r>
        <w:rPr>
          <w:rFonts w:hint="eastAsia" w:ascii="宋体" w:hAnsi="宋体" w:cs="宋体"/>
          <w:color w:val="auto"/>
          <w:szCs w:val="21"/>
          <w:highlight w:val="none"/>
        </w:rPr>
        <w:t xml:space="preserve">提供由省级以上监狱管理局、戒毒管理局(含新疆生产建设兵团)出具的属于监狱企业的证明文件。</w:t>
      </w:r>
      <w:r/>
    </w:p>
    <w:p>
      <w:pPr>
        <w:jc w:val="lef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sectPr>
      <w:footerReference w:type="default" r:id="rId13"/>
      <w:footnotePr/>
      <w:endnotePr/>
      <w:type w:val="nextPage"/>
      <w:pgSz w:w="11906" w:h="16838" w:orient="portrait"/>
      <w:pgMar w:top="850" w:right="850" w:bottom="85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仿宋">
    <w:panose1 w:val="02010609060101010101"/>
  </w:font>
  <w:font w:name="Arial Unicode MS">
    <w:panose1 w:val="020B0604020202020204"/>
  </w:font>
  <w:font w:name="Wingdings 2">
    <w:panose1 w:val="05020102010507070707"/>
  </w:font>
  <w:font w:name="方正小标宋_GBK">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3"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995"/>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995"/>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995"/>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wrap="none" lIns="0" tIns="0" rIns="0" bIns="0">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995"/>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995"/>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95"/>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pPr>
    <w:r>
      <mc:AlternateContent>
        <mc:Choice Requires="wpg">
          <w:drawing>
            <wp:inline xmlns:wp="http://schemas.openxmlformats.org/drawingml/2006/wordprocessingDrawing" distT="0" distB="0" distL="0" distR="0">
              <wp:extent cx="1378585" cy="239395"/>
              <wp:effectExtent l="0" t="0" r="5715" b="190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826bae80687e3a7b3b8bc243736336"/>
                      <pic:cNvPicPr>
                        <a:picLocks noChangeAspect="1"/>
                      </pic:cNvPicPr>
                      <pic:nvPr/>
                    </pic:nvPicPr>
                    <pic:blipFill>
                      <a:blip r:embed="rId1"/>
                      <a:stretch/>
                    </pic:blipFill>
                    <pic:spPr bwMode="auto">
                      <a:xfrm>
                        <a:off x="0" y="0"/>
                        <a:ext cx="1378585"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2"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417"/>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japaneseCounting"/>
      <w:isLgl w:val="false"/>
      <w:suff w:val="tab"/>
      <w:lvlText w:val="%1、"/>
      <w:lvlJc w:val="left"/>
      <w:pPr>
        <w:ind w:left="2138" w:hanging="720"/>
        <w:tabs>
          <w:tab w:val="left" w:pos="2138"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70"/>
    <w:link w:val="961"/>
    <w:uiPriority w:val="9"/>
    <w:rPr>
      <w:rFonts w:ascii="Arial" w:hAnsi="Arial" w:eastAsia="Arial" w:cs="Arial"/>
      <w:sz w:val="40"/>
      <w:szCs w:val="40"/>
    </w:rPr>
  </w:style>
  <w:style w:type="character" w:styleId="815">
    <w:name w:val="Heading 2 Char"/>
    <w:basedOn w:val="970"/>
    <w:link w:val="962"/>
    <w:uiPriority w:val="9"/>
    <w:rPr>
      <w:rFonts w:ascii="Arial" w:hAnsi="Arial" w:eastAsia="Arial" w:cs="Arial"/>
      <w:sz w:val="34"/>
    </w:rPr>
  </w:style>
  <w:style w:type="character" w:styleId="816">
    <w:name w:val="Heading 3 Char"/>
    <w:basedOn w:val="970"/>
    <w:link w:val="963"/>
    <w:uiPriority w:val="9"/>
    <w:rPr>
      <w:rFonts w:ascii="Arial" w:hAnsi="Arial" w:eastAsia="Arial" w:cs="Arial"/>
      <w:sz w:val="30"/>
      <w:szCs w:val="30"/>
    </w:rPr>
  </w:style>
  <w:style w:type="character" w:styleId="817">
    <w:name w:val="Heading 4 Char"/>
    <w:basedOn w:val="970"/>
    <w:link w:val="964"/>
    <w:uiPriority w:val="9"/>
    <w:rPr>
      <w:rFonts w:ascii="Arial" w:hAnsi="Arial" w:eastAsia="Arial" w:cs="Arial"/>
      <w:b/>
      <w:bCs/>
      <w:sz w:val="26"/>
      <w:szCs w:val="26"/>
    </w:rPr>
  </w:style>
  <w:style w:type="character" w:styleId="818">
    <w:name w:val="Heading 5 Char"/>
    <w:basedOn w:val="970"/>
    <w:link w:val="965"/>
    <w:uiPriority w:val="9"/>
    <w:rPr>
      <w:rFonts w:ascii="Arial" w:hAnsi="Arial" w:eastAsia="Arial" w:cs="Arial"/>
      <w:b/>
      <w:bCs/>
      <w:sz w:val="24"/>
      <w:szCs w:val="24"/>
    </w:rPr>
  </w:style>
  <w:style w:type="character" w:styleId="819">
    <w:name w:val="Heading 6 Char"/>
    <w:basedOn w:val="970"/>
    <w:link w:val="966"/>
    <w:uiPriority w:val="9"/>
    <w:rPr>
      <w:rFonts w:ascii="Arial" w:hAnsi="Arial" w:eastAsia="Arial" w:cs="Arial"/>
      <w:b/>
      <w:bCs/>
      <w:sz w:val="22"/>
      <w:szCs w:val="22"/>
    </w:rPr>
  </w:style>
  <w:style w:type="character" w:styleId="820">
    <w:name w:val="Heading 7 Char"/>
    <w:basedOn w:val="970"/>
    <w:link w:val="967"/>
    <w:uiPriority w:val="9"/>
    <w:rPr>
      <w:rFonts w:ascii="Arial" w:hAnsi="Arial" w:eastAsia="Arial" w:cs="Arial"/>
      <w:b/>
      <w:bCs/>
      <w:i/>
      <w:iCs/>
      <w:sz w:val="22"/>
      <w:szCs w:val="22"/>
    </w:rPr>
  </w:style>
  <w:style w:type="character" w:styleId="821">
    <w:name w:val="Heading 8 Char"/>
    <w:basedOn w:val="970"/>
    <w:link w:val="968"/>
    <w:uiPriority w:val="9"/>
    <w:rPr>
      <w:rFonts w:ascii="Arial" w:hAnsi="Arial" w:eastAsia="Arial" w:cs="Arial"/>
      <w:i/>
      <w:iCs/>
      <w:sz w:val="22"/>
      <w:szCs w:val="22"/>
    </w:rPr>
  </w:style>
  <w:style w:type="character" w:styleId="822">
    <w:name w:val="Heading 9 Char"/>
    <w:basedOn w:val="970"/>
    <w:link w:val="969"/>
    <w:uiPriority w:val="9"/>
    <w:rPr>
      <w:rFonts w:ascii="Arial" w:hAnsi="Arial" w:eastAsia="Arial" w:cs="Arial"/>
      <w:i/>
      <w:iCs/>
      <w:sz w:val="21"/>
      <w:szCs w:val="21"/>
    </w:rPr>
  </w:style>
  <w:style w:type="paragraph" w:styleId="823">
    <w:name w:val="No Spacing"/>
    <w:uiPriority w:val="1"/>
    <w:qFormat/>
    <w:pPr>
      <w:spacing w:before="0" w:after="0" w:line="240" w:lineRule="auto"/>
    </w:pPr>
  </w:style>
  <w:style w:type="character" w:styleId="824">
    <w:name w:val="Title Char"/>
    <w:basedOn w:val="970"/>
    <w:link w:val="1014"/>
    <w:uiPriority w:val="10"/>
    <w:rPr>
      <w:sz w:val="48"/>
      <w:szCs w:val="48"/>
    </w:rPr>
  </w:style>
  <w:style w:type="character" w:styleId="825">
    <w:name w:val="Subtitle Char"/>
    <w:basedOn w:val="970"/>
    <w:link w:val="1002"/>
    <w:uiPriority w:val="11"/>
    <w:rPr>
      <w:sz w:val="24"/>
      <w:szCs w:val="24"/>
    </w:rPr>
  </w:style>
  <w:style w:type="paragraph" w:styleId="826">
    <w:name w:val="Quote"/>
    <w:basedOn w:val="960"/>
    <w:next w:val="960"/>
    <w:link w:val="1122"/>
    <w:uiPriority w:val="29"/>
    <w:qFormat/>
    <w:pPr>
      <w:ind w:left="720" w:right="720"/>
    </w:pPr>
    <w:rPr>
      <w:i/>
    </w:rPr>
  </w:style>
  <w:style w:type="paragraph" w:styleId="827">
    <w:name w:val="Intense Quote"/>
    <w:basedOn w:val="960"/>
    <w:next w:val="960"/>
    <w:link w:val="10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Header Char"/>
    <w:basedOn w:val="970"/>
    <w:link w:val="996"/>
    <w:uiPriority w:val="99"/>
  </w:style>
  <w:style w:type="character" w:styleId="829">
    <w:name w:val="Footer Char"/>
    <w:basedOn w:val="970"/>
    <w:link w:val="995"/>
    <w:uiPriority w:val="99"/>
  </w:style>
  <w:style w:type="paragraph" w:styleId="830">
    <w:name w:val="Caption"/>
    <w:basedOn w:val="960"/>
    <w:next w:val="960"/>
    <w:uiPriority w:val="35"/>
    <w:semiHidden/>
    <w:unhideWhenUsed/>
    <w:qFormat/>
    <w:pPr>
      <w:spacing w:line="276" w:lineRule="auto"/>
    </w:pPr>
    <w:rPr>
      <w:b/>
      <w:bCs/>
      <w:color w:val="4f81bd" w:themeColor="accent1"/>
      <w:sz w:val="18"/>
      <w:szCs w:val="18"/>
    </w:rPr>
  </w:style>
  <w:style w:type="character" w:styleId="831">
    <w:name w:val="Caption Char"/>
    <w:basedOn w:val="830"/>
    <w:link w:val="995"/>
    <w:uiPriority w:val="99"/>
  </w:style>
  <w:style w:type="table" w:styleId="832">
    <w:name w:val="Table Grid Light"/>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basedOn w:val="9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basedOn w:val="9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basedOn w:val="9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basedOn w:val="9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basedOn w:val="9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basedOn w:val="9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basedOn w:val="9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basedOn w:val="9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basedOn w:val="9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basedOn w:val="9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basedOn w:val="9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basedOn w:val="9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basedOn w:val="9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basedOn w:val="9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basedOn w:val="9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basedOn w:val="9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basedOn w:val="9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basedOn w:val="9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basedOn w:val="9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basedOn w:val="9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basedOn w:val="9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basedOn w:val="9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basedOn w:val="9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Footnote Text Char"/>
    <w:link w:val="1004"/>
    <w:uiPriority w:val="99"/>
    <w:rPr>
      <w:sz w:val="18"/>
    </w:rPr>
  </w:style>
  <w:style w:type="character" w:styleId="958">
    <w:name w:val="Endnote Text Char"/>
    <w:link w:val="993"/>
    <w:uiPriority w:val="99"/>
    <w:rPr>
      <w:sz w:val="20"/>
    </w:rPr>
  </w:style>
  <w:style w:type="paragraph" w:styleId="959">
    <w:name w:val="TOC Heading"/>
    <w:uiPriority w:val="39"/>
    <w:unhideWhenUsed/>
  </w:style>
  <w:style w:type="paragraph" w:styleId="960" w:default="1">
    <w:name w:val="Normal"/>
    <w:next w:val="972"/>
    <w:uiPriority w:val="0"/>
    <w:qFormat/>
    <w:pPr>
      <w:jc w:val="both"/>
      <w:widowControl w:val="off"/>
    </w:pPr>
    <w:rPr>
      <w:rFonts w:ascii="Times New Roman" w:hAnsi="Times New Roman" w:eastAsia="宋体" w:cs="Times New Roman"/>
      <w:sz w:val="21"/>
      <w:szCs w:val="24"/>
      <w:lang w:val="en-US" w:eastAsia="zh-CN" w:bidi="ar-SA"/>
    </w:rPr>
  </w:style>
  <w:style w:type="paragraph" w:styleId="961">
    <w:name w:val="Heading 1"/>
    <w:basedOn w:val="960"/>
    <w:next w:val="960"/>
    <w:link w:val="1030"/>
    <w:uiPriority w:val="99"/>
    <w:qFormat/>
    <w:pPr>
      <w:keepLines/>
      <w:keepNext/>
      <w:spacing w:before="340" w:after="330" w:line="576" w:lineRule="auto"/>
      <w:outlineLvl w:val="0"/>
    </w:pPr>
    <w:rPr>
      <w:b/>
      <w:bCs/>
      <w:sz w:val="44"/>
      <w:szCs w:val="44"/>
    </w:rPr>
  </w:style>
  <w:style w:type="paragraph" w:styleId="962">
    <w:name w:val="Heading 2"/>
    <w:basedOn w:val="960"/>
    <w:next w:val="960"/>
    <w:link w:val="1031"/>
    <w:uiPriority w:val="99"/>
    <w:qFormat/>
    <w:pPr>
      <w:keepLines/>
      <w:keepNext/>
      <w:spacing w:before="260" w:after="260" w:line="413" w:lineRule="auto"/>
      <w:outlineLvl w:val="1"/>
    </w:pPr>
    <w:rPr>
      <w:rFonts w:ascii="Arial" w:hAnsi="Arial" w:eastAsia="黑体"/>
      <w:b/>
      <w:bCs/>
      <w:sz w:val="32"/>
      <w:szCs w:val="32"/>
    </w:rPr>
  </w:style>
  <w:style w:type="paragraph" w:styleId="963">
    <w:name w:val="Heading 3"/>
    <w:basedOn w:val="960"/>
    <w:next w:val="960"/>
    <w:link w:val="1036"/>
    <w:uiPriority w:val="99"/>
    <w:qFormat/>
    <w:pPr>
      <w:keepLines/>
      <w:keepNext/>
      <w:spacing w:before="260" w:after="260" w:line="413" w:lineRule="auto"/>
      <w:outlineLvl w:val="2"/>
    </w:pPr>
    <w:rPr>
      <w:b/>
      <w:bCs/>
      <w:sz w:val="32"/>
      <w:szCs w:val="32"/>
    </w:rPr>
  </w:style>
  <w:style w:type="paragraph" w:styleId="964">
    <w:name w:val="Heading 4"/>
    <w:basedOn w:val="960"/>
    <w:next w:val="960"/>
    <w:link w:val="1037"/>
    <w:uiPriority w:val="99"/>
    <w:qFormat/>
    <w:pPr>
      <w:keepLines/>
      <w:keepNext/>
      <w:spacing w:before="120" w:after="120"/>
      <w:outlineLvl w:val="3"/>
    </w:pPr>
    <w:rPr>
      <w:rFonts w:ascii="Arial" w:hAnsi="Arial" w:eastAsia="黑体"/>
      <w:b/>
      <w:sz w:val="20"/>
      <w:szCs w:val="20"/>
    </w:rPr>
  </w:style>
  <w:style w:type="paragraph" w:styleId="965">
    <w:name w:val="Heading 5"/>
    <w:basedOn w:val="960"/>
    <w:next w:val="960"/>
    <w:link w:val="1038"/>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66">
    <w:name w:val="Heading 6"/>
    <w:basedOn w:val="960"/>
    <w:next w:val="960"/>
    <w:link w:val="1039"/>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67">
    <w:name w:val="Heading 7"/>
    <w:basedOn w:val="960"/>
    <w:next w:val="960"/>
    <w:link w:val="1040"/>
    <w:uiPriority w:val="99"/>
    <w:qFormat/>
    <w:pPr>
      <w:ind w:left="1296" w:hanging="1296"/>
      <w:keepLines/>
      <w:keepNext/>
      <w:spacing w:before="240" w:after="64" w:line="317" w:lineRule="auto"/>
      <w:tabs>
        <w:tab w:val="left" w:pos="1296" w:leader="none"/>
      </w:tabs>
      <w:outlineLvl w:val="6"/>
    </w:pPr>
    <w:rPr>
      <w:b/>
      <w:bCs/>
      <w:sz w:val="24"/>
    </w:rPr>
  </w:style>
  <w:style w:type="paragraph" w:styleId="968">
    <w:name w:val="Heading 8"/>
    <w:basedOn w:val="960"/>
    <w:next w:val="960"/>
    <w:link w:val="1041"/>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69">
    <w:name w:val="Heading 9"/>
    <w:basedOn w:val="960"/>
    <w:next w:val="960"/>
    <w:link w:val="1042"/>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70" w:default="1">
    <w:name w:val="Default Paragraph Font"/>
    <w:uiPriority w:val="1"/>
    <w:semiHidden/>
    <w:unhideWhenUsed/>
    <w:qFormat/>
  </w:style>
  <w:style w:type="table" w:styleId="971" w:default="1">
    <w:name w:val="Normal Table"/>
    <w:uiPriority w:val="99"/>
    <w:semiHidden/>
    <w:unhideWhenUsed/>
    <w:qFormat/>
    <w:tblPr>
      <w:tblCellMar>
        <w:left w:w="108" w:type="dxa"/>
        <w:top w:w="0" w:type="dxa"/>
        <w:right w:w="108" w:type="dxa"/>
        <w:bottom w:w="0" w:type="dxa"/>
      </w:tblCellMar>
    </w:tblPr>
  </w:style>
  <w:style w:type="paragraph" w:styleId="972">
    <w:name w:val="Body Text"/>
    <w:basedOn w:val="960"/>
    <w:link w:val="1035"/>
    <w:uiPriority w:val="99"/>
    <w:qFormat/>
    <w:pPr>
      <w:spacing w:after="120"/>
    </w:pPr>
    <w:rPr>
      <w:sz w:val="24"/>
    </w:rPr>
  </w:style>
  <w:style w:type="paragraph" w:styleId="973">
    <w:name w:val="List 3"/>
    <w:basedOn w:val="960"/>
    <w:uiPriority w:val="99"/>
    <w:qFormat/>
    <w:pPr>
      <w:ind w:left="1260" w:hanging="420"/>
    </w:pPr>
    <w:rPr>
      <w:szCs w:val="20"/>
    </w:rPr>
  </w:style>
  <w:style w:type="paragraph" w:styleId="974">
    <w:name w:val="toc 7"/>
    <w:basedOn w:val="960"/>
    <w:next w:val="960"/>
    <w:uiPriority w:val="99"/>
    <w:semiHidden/>
    <w:qFormat/>
    <w:pPr>
      <w:ind w:left="1260"/>
      <w:jc w:val="left"/>
    </w:pPr>
    <w:rPr>
      <w:szCs w:val="21"/>
    </w:rPr>
  </w:style>
  <w:style w:type="paragraph" w:styleId="975">
    <w:name w:val="List Number 2"/>
    <w:basedOn w:val="960"/>
    <w:uiPriority w:val="99"/>
    <w:qFormat/>
    <w:pPr>
      <w:ind w:left="1440" w:hanging="1440"/>
      <w:spacing w:line="360" w:lineRule="auto"/>
      <w:tabs>
        <w:tab w:val="left" w:pos="1440" w:leader="none"/>
      </w:tabs>
    </w:pPr>
    <w:rPr>
      <w:sz w:val="24"/>
    </w:rPr>
  </w:style>
  <w:style w:type="paragraph" w:styleId="976">
    <w:name w:val="List Number"/>
    <w:basedOn w:val="960"/>
    <w:uiPriority w:val="99"/>
    <w:qFormat/>
    <w:pPr>
      <w:ind w:left="2952" w:hanging="432"/>
      <w:tabs>
        <w:tab w:val="left" w:pos="2952" w:leader="none"/>
      </w:tabs>
    </w:pPr>
  </w:style>
  <w:style w:type="paragraph" w:styleId="977">
    <w:name w:val="Normal Indent"/>
    <w:basedOn w:val="960"/>
    <w:uiPriority w:val="99"/>
    <w:qFormat/>
    <w:pPr>
      <w:ind w:firstLine="420"/>
    </w:pPr>
    <w:rPr>
      <w:szCs w:val="20"/>
    </w:rPr>
  </w:style>
  <w:style w:type="paragraph" w:styleId="978">
    <w:name w:val="Document Map"/>
    <w:basedOn w:val="960"/>
    <w:link w:val="1043"/>
    <w:uiPriority w:val="99"/>
    <w:semiHidden/>
    <w:qFormat/>
    <w:pPr>
      <w:shd w:val="clear" w:color="auto" w:fill="000080"/>
    </w:pPr>
    <w:rPr>
      <w:sz w:val="24"/>
    </w:rPr>
  </w:style>
  <w:style w:type="paragraph" w:styleId="979">
    <w:name w:val="annotation text"/>
    <w:basedOn w:val="960"/>
    <w:link w:val="1044"/>
    <w:uiPriority w:val="0"/>
    <w:qFormat/>
    <w:pPr>
      <w:jc w:val="left"/>
    </w:pPr>
    <w:rPr>
      <w:sz w:val="20"/>
      <w:szCs w:val="20"/>
    </w:rPr>
  </w:style>
  <w:style w:type="paragraph" w:styleId="980">
    <w:name w:val="Salutation"/>
    <w:basedOn w:val="960"/>
    <w:next w:val="960"/>
    <w:link w:val="1045"/>
    <w:uiPriority w:val="99"/>
    <w:qFormat/>
    <w:rPr>
      <w:rFonts w:ascii="仿宋_GB2312" w:eastAsia="仿宋_GB2312"/>
      <w:sz w:val="20"/>
      <w:szCs w:val="20"/>
    </w:rPr>
  </w:style>
  <w:style w:type="paragraph" w:styleId="981">
    <w:name w:val="Body Text 3"/>
    <w:basedOn w:val="960"/>
    <w:link w:val="1046"/>
    <w:uiPriority w:val="99"/>
    <w:qFormat/>
    <w:pPr>
      <w:spacing w:after="120"/>
    </w:pPr>
    <w:rPr>
      <w:sz w:val="16"/>
      <w:szCs w:val="16"/>
    </w:rPr>
  </w:style>
  <w:style w:type="paragraph" w:styleId="982">
    <w:name w:val="Body Text Indent"/>
    <w:basedOn w:val="960"/>
    <w:next w:val="983"/>
    <w:link w:val="1047"/>
    <w:uiPriority w:val="99"/>
    <w:qFormat/>
    <w:pPr>
      <w:ind w:left="420"/>
      <w:spacing w:after="120"/>
    </w:pPr>
    <w:rPr>
      <w:sz w:val="24"/>
    </w:rPr>
  </w:style>
  <w:style w:type="paragraph" w:styleId="983">
    <w:name w:val="envelope return"/>
    <w:basedOn w:val="960"/>
    <w:uiPriority w:val="99"/>
    <w:unhideWhenUsed/>
    <w:qFormat/>
    <w:rPr>
      <w:rFonts w:ascii="Arial" w:hAnsi="Arial"/>
    </w:rPr>
  </w:style>
  <w:style w:type="paragraph" w:styleId="984">
    <w:name w:val="List 2"/>
    <w:basedOn w:val="960"/>
    <w:uiPriority w:val="99"/>
    <w:qFormat/>
    <w:pPr>
      <w:ind w:left="100" w:hanging="200"/>
    </w:pPr>
    <w:rPr>
      <w:szCs w:val="21"/>
    </w:rPr>
  </w:style>
  <w:style w:type="paragraph" w:styleId="985">
    <w:name w:val="index 4"/>
    <w:basedOn w:val="960"/>
    <w:next w:val="960"/>
    <w:uiPriority w:val="99"/>
    <w:qFormat/>
    <w:pPr>
      <w:ind w:left="600"/>
    </w:pPr>
    <w:rPr>
      <w:rFonts w:ascii="Calibri" w:hAnsi="Calibri"/>
    </w:rPr>
  </w:style>
  <w:style w:type="paragraph" w:styleId="986">
    <w:name w:val="toc 5"/>
    <w:basedOn w:val="960"/>
    <w:next w:val="960"/>
    <w:uiPriority w:val="99"/>
    <w:semiHidden/>
    <w:qFormat/>
    <w:pPr>
      <w:ind w:left="840"/>
      <w:jc w:val="left"/>
    </w:pPr>
    <w:rPr>
      <w:szCs w:val="21"/>
    </w:rPr>
  </w:style>
  <w:style w:type="paragraph" w:styleId="987">
    <w:name w:val="toc 3"/>
    <w:basedOn w:val="960"/>
    <w:next w:val="960"/>
    <w:uiPriority w:val="99"/>
    <w:semiHidden/>
    <w:qFormat/>
    <w:pPr>
      <w:ind w:left="840"/>
    </w:pPr>
  </w:style>
  <w:style w:type="paragraph" w:styleId="988">
    <w:name w:val="Plain Text"/>
    <w:basedOn w:val="960"/>
    <w:link w:val="1048"/>
    <w:uiPriority w:val="99"/>
    <w:qFormat/>
    <w:rPr>
      <w:rFonts w:ascii="宋体" w:hAnsi="Courier New"/>
      <w:szCs w:val="21"/>
    </w:rPr>
  </w:style>
  <w:style w:type="paragraph" w:styleId="989">
    <w:name w:val="toc 8"/>
    <w:basedOn w:val="960"/>
    <w:next w:val="960"/>
    <w:uiPriority w:val="99"/>
    <w:semiHidden/>
    <w:qFormat/>
    <w:pPr>
      <w:ind w:left="1470"/>
      <w:jc w:val="left"/>
    </w:pPr>
    <w:rPr>
      <w:szCs w:val="21"/>
    </w:rPr>
  </w:style>
  <w:style w:type="paragraph" w:styleId="990">
    <w:name w:val="index 3"/>
    <w:basedOn w:val="960"/>
    <w:next w:val="960"/>
    <w:uiPriority w:val="99"/>
    <w:semiHidden/>
    <w:qFormat/>
    <w:pPr>
      <w:ind w:left="840"/>
    </w:pPr>
    <w:rPr>
      <w:szCs w:val="20"/>
    </w:rPr>
  </w:style>
  <w:style w:type="paragraph" w:styleId="991">
    <w:name w:val="Date"/>
    <w:basedOn w:val="960"/>
    <w:next w:val="960"/>
    <w:link w:val="1049"/>
    <w:uiPriority w:val="99"/>
    <w:qFormat/>
    <w:pPr>
      <w:ind w:left="100"/>
    </w:pPr>
    <w:rPr>
      <w:sz w:val="20"/>
      <w:szCs w:val="20"/>
    </w:rPr>
  </w:style>
  <w:style w:type="paragraph" w:styleId="992">
    <w:name w:val="Body Text Indent 2"/>
    <w:basedOn w:val="960"/>
    <w:link w:val="1050"/>
    <w:uiPriority w:val="99"/>
    <w:qFormat/>
    <w:pPr>
      <w:ind w:firstLine="480"/>
      <w:spacing w:line="400" w:lineRule="exact"/>
    </w:pPr>
    <w:rPr>
      <w:rFonts w:ascii="宋体" w:hAnsi="宋体"/>
      <w:sz w:val="24"/>
    </w:rPr>
  </w:style>
  <w:style w:type="paragraph" w:styleId="993">
    <w:name w:val="endnote text"/>
    <w:basedOn w:val="960"/>
    <w:link w:val="1051"/>
    <w:uiPriority w:val="99"/>
    <w:semiHidden/>
    <w:qFormat/>
    <w:pPr>
      <w:jc w:val="left"/>
    </w:pPr>
    <w:rPr>
      <w:sz w:val="24"/>
    </w:rPr>
  </w:style>
  <w:style w:type="paragraph" w:styleId="994">
    <w:name w:val="Balloon Text"/>
    <w:basedOn w:val="960"/>
    <w:link w:val="1052"/>
    <w:uiPriority w:val="99"/>
    <w:semiHidden/>
    <w:qFormat/>
    <w:rPr>
      <w:sz w:val="18"/>
      <w:szCs w:val="18"/>
    </w:rPr>
  </w:style>
  <w:style w:type="paragraph" w:styleId="995">
    <w:name w:val="Footer"/>
    <w:basedOn w:val="960"/>
    <w:link w:val="1053"/>
    <w:uiPriority w:val="0"/>
    <w:qFormat/>
    <w:pPr>
      <w:jc w:val="left"/>
      <w:tabs>
        <w:tab w:val="center" w:pos="4153" w:leader="none"/>
        <w:tab w:val="right" w:pos="8306" w:leader="none"/>
      </w:tabs>
    </w:pPr>
    <w:rPr>
      <w:sz w:val="18"/>
      <w:szCs w:val="18"/>
    </w:rPr>
  </w:style>
  <w:style w:type="paragraph" w:styleId="996">
    <w:name w:val="Header"/>
    <w:basedOn w:val="960"/>
    <w:link w:val="1054"/>
    <w:uiPriority w:val="0"/>
    <w:qFormat/>
    <w:pPr>
      <w:jc w:val="center"/>
      <w:tabs>
        <w:tab w:val="center" w:pos="4153" w:leader="none"/>
        <w:tab w:val="right" w:pos="8306" w:leader="none"/>
      </w:tabs>
      <w:pBdr>
        <w:bottom w:val="single" w:color="auto" w:sz="6" w:space="1"/>
      </w:pBdr>
    </w:pPr>
    <w:rPr>
      <w:sz w:val="18"/>
      <w:szCs w:val="18"/>
    </w:rPr>
  </w:style>
  <w:style w:type="paragraph" w:styleId="997">
    <w:name w:val="Signature"/>
    <w:basedOn w:val="960"/>
    <w:link w:val="1055"/>
    <w:uiPriority w:val="99"/>
    <w:qFormat/>
    <w:pPr>
      <w:jc w:val="center"/>
      <w:spacing w:after="600" w:line="312" w:lineRule="atLeast"/>
    </w:pPr>
    <w:rPr>
      <w:rFonts w:eastAsia="仿宋_GB2312"/>
      <w:sz w:val="20"/>
      <w:szCs w:val="20"/>
    </w:rPr>
  </w:style>
  <w:style w:type="paragraph" w:styleId="998">
    <w:name w:val="toc 1"/>
    <w:basedOn w:val="960"/>
    <w:next w:val="960"/>
    <w:uiPriority w:val="99"/>
    <w:semiHidden/>
    <w:qFormat/>
  </w:style>
  <w:style w:type="paragraph" w:styleId="999">
    <w:name w:val="toc 4"/>
    <w:basedOn w:val="960"/>
    <w:next w:val="960"/>
    <w:uiPriority w:val="99"/>
    <w:semiHidden/>
    <w:qFormat/>
    <w:pPr>
      <w:ind w:left="630"/>
      <w:jc w:val="left"/>
    </w:pPr>
    <w:rPr>
      <w:szCs w:val="21"/>
    </w:rPr>
  </w:style>
  <w:style w:type="paragraph" w:styleId="1000">
    <w:name w:val="index heading"/>
    <w:basedOn w:val="960"/>
    <w:next w:val="1001"/>
    <w:uiPriority w:val="99"/>
    <w:semiHidden/>
    <w:qFormat/>
    <w:rPr>
      <w:szCs w:val="20"/>
    </w:rPr>
  </w:style>
  <w:style w:type="paragraph" w:styleId="1001">
    <w:name w:val="index 1"/>
    <w:basedOn w:val="960"/>
    <w:next w:val="960"/>
    <w:uiPriority w:val="99"/>
    <w:semiHidden/>
    <w:qFormat/>
    <w:pPr>
      <w:jc w:val="center"/>
      <w:tabs>
        <w:tab w:val="left" w:pos="1260" w:leader="none"/>
      </w:tabs>
    </w:pPr>
    <w:rPr>
      <w:rFonts w:ascii="仿宋_GB2312" w:hAnsi="宋体" w:eastAsia="仿宋_GB2312"/>
      <w:sz w:val="30"/>
      <w:szCs w:val="20"/>
    </w:rPr>
  </w:style>
  <w:style w:type="paragraph" w:styleId="1002">
    <w:name w:val="Subtitle"/>
    <w:basedOn w:val="960"/>
    <w:next w:val="960"/>
    <w:link w:val="1056"/>
    <w:uiPriority w:val="99"/>
    <w:qFormat/>
    <w:pPr>
      <w:jc w:val="left"/>
      <w:spacing w:after="600" w:line="276" w:lineRule="auto"/>
      <w:widowControl/>
    </w:pPr>
    <w:rPr>
      <w:rFonts w:ascii="Cambria" w:hAnsi="Cambria"/>
      <w:i/>
      <w:iCs/>
      <w:spacing w:val="13"/>
      <w:sz w:val="24"/>
      <w:lang w:eastAsia="en-US"/>
    </w:rPr>
  </w:style>
  <w:style w:type="paragraph" w:styleId="1003">
    <w:name w:val="List"/>
    <w:basedOn w:val="960"/>
    <w:uiPriority w:val="99"/>
    <w:qFormat/>
    <w:pPr>
      <w:ind w:left="200" w:hanging="200"/>
    </w:pPr>
    <w:rPr>
      <w:szCs w:val="21"/>
    </w:rPr>
  </w:style>
  <w:style w:type="paragraph" w:styleId="1004">
    <w:name w:val="footnote text"/>
    <w:basedOn w:val="960"/>
    <w:link w:val="1057"/>
    <w:uiPriority w:val="99"/>
    <w:semiHidden/>
    <w:qFormat/>
    <w:pPr>
      <w:jc w:val="left"/>
    </w:pPr>
    <w:rPr>
      <w:sz w:val="18"/>
      <w:szCs w:val="18"/>
    </w:rPr>
  </w:style>
  <w:style w:type="paragraph" w:styleId="1005">
    <w:name w:val="toc 6"/>
    <w:basedOn w:val="960"/>
    <w:next w:val="960"/>
    <w:uiPriority w:val="99"/>
    <w:semiHidden/>
    <w:qFormat/>
    <w:pPr>
      <w:ind w:left="1050"/>
      <w:jc w:val="left"/>
    </w:pPr>
    <w:rPr>
      <w:szCs w:val="21"/>
    </w:rPr>
  </w:style>
  <w:style w:type="paragraph" w:styleId="1006">
    <w:name w:val="Body Text Indent 3"/>
    <w:basedOn w:val="960"/>
    <w:link w:val="1058"/>
    <w:uiPriority w:val="99"/>
    <w:qFormat/>
    <w:pPr>
      <w:ind w:left="480"/>
      <w:spacing w:before="120" w:after="120" w:line="264" w:lineRule="auto"/>
    </w:pPr>
    <w:rPr>
      <w:b/>
      <w:bCs/>
      <w:sz w:val="20"/>
      <w:szCs w:val="20"/>
    </w:rPr>
  </w:style>
  <w:style w:type="paragraph" w:styleId="1007">
    <w:name w:val="table of figures"/>
    <w:basedOn w:val="960"/>
    <w:next w:val="960"/>
    <w:uiPriority w:val="99"/>
    <w:semiHidden/>
    <w:qFormat/>
    <w:pPr>
      <w:ind w:left="840" w:hanging="420"/>
    </w:pPr>
    <w:rPr>
      <w:szCs w:val="21"/>
    </w:rPr>
  </w:style>
  <w:style w:type="paragraph" w:styleId="1008">
    <w:name w:val="toc 2"/>
    <w:basedOn w:val="960"/>
    <w:next w:val="960"/>
    <w:uiPriority w:val="99"/>
    <w:semiHidden/>
    <w:qFormat/>
    <w:pPr>
      <w:ind w:left="420"/>
    </w:pPr>
  </w:style>
  <w:style w:type="paragraph" w:styleId="1009">
    <w:name w:val="toc 9"/>
    <w:basedOn w:val="960"/>
    <w:next w:val="960"/>
    <w:uiPriority w:val="99"/>
    <w:semiHidden/>
    <w:qFormat/>
    <w:pPr>
      <w:ind w:left="1680"/>
      <w:jc w:val="left"/>
    </w:pPr>
    <w:rPr>
      <w:szCs w:val="21"/>
    </w:rPr>
  </w:style>
  <w:style w:type="paragraph" w:styleId="1010">
    <w:name w:val="Body Text 2"/>
    <w:basedOn w:val="960"/>
    <w:link w:val="1059"/>
    <w:uiPriority w:val="99"/>
    <w:qFormat/>
    <w:pPr>
      <w:jc w:val="center"/>
    </w:pPr>
    <w:rPr>
      <w:b/>
      <w:bCs/>
      <w:sz w:val="20"/>
      <w:szCs w:val="20"/>
    </w:rPr>
  </w:style>
  <w:style w:type="paragraph" w:styleId="1011">
    <w:name w:val="HTML Preformatted"/>
    <w:basedOn w:val="960"/>
    <w:link w:val="106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2">
    <w:name w:val="Normal (Web)"/>
    <w:basedOn w:val="960"/>
    <w:uiPriority w:val="99"/>
    <w:qFormat/>
    <w:pPr>
      <w:jc w:val="left"/>
      <w:spacing w:before="100" w:beforeAutospacing="1" w:after="100" w:afterAutospacing="1"/>
      <w:widowControl/>
    </w:pPr>
    <w:rPr>
      <w:rFonts w:ascii="宋体" w:hAnsi="宋体" w:cs="宋体"/>
      <w:sz w:val="24"/>
    </w:rPr>
  </w:style>
  <w:style w:type="paragraph" w:styleId="1013">
    <w:name w:val="index 2"/>
    <w:basedOn w:val="960"/>
    <w:next w:val="960"/>
    <w:uiPriority w:val="99"/>
    <w:semiHidden/>
    <w:qFormat/>
    <w:pPr>
      <w:ind w:left="420"/>
      <w:jc w:val="center"/>
    </w:pPr>
    <w:rPr>
      <w:rFonts w:ascii="宋体" w:hAnsi="宋体"/>
      <w:b/>
      <w:sz w:val="32"/>
      <w:szCs w:val="20"/>
    </w:rPr>
  </w:style>
  <w:style w:type="paragraph" w:styleId="1014">
    <w:name w:val="Title"/>
    <w:basedOn w:val="960"/>
    <w:link w:val="1061"/>
    <w:uiPriority w:val="99"/>
    <w:qFormat/>
    <w:pPr>
      <w:jc w:val="center"/>
      <w:spacing w:line="420" w:lineRule="exact"/>
      <w:widowControl/>
    </w:pPr>
    <w:rPr>
      <w:rFonts w:eastAsia="黑体"/>
      <w:b/>
      <w:sz w:val="20"/>
      <w:szCs w:val="20"/>
      <w:lang w:val="en-GB"/>
    </w:rPr>
  </w:style>
  <w:style w:type="paragraph" w:styleId="1015">
    <w:name w:val="annotation subject"/>
    <w:basedOn w:val="979"/>
    <w:next w:val="979"/>
    <w:link w:val="1062"/>
    <w:uiPriority w:val="99"/>
    <w:semiHidden/>
    <w:qFormat/>
    <w:rPr>
      <w:b/>
      <w:bCs/>
      <w:sz w:val="24"/>
    </w:rPr>
  </w:style>
  <w:style w:type="paragraph" w:styleId="1016">
    <w:name w:val="Body Text First Indent"/>
    <w:basedOn w:val="972"/>
    <w:link w:val="1063"/>
    <w:uiPriority w:val="99"/>
    <w:qFormat/>
    <w:pPr>
      <w:ind w:firstLine="420"/>
    </w:pPr>
  </w:style>
  <w:style w:type="paragraph" w:styleId="1017">
    <w:name w:val="Body Text First Indent 2"/>
    <w:basedOn w:val="982"/>
    <w:next w:val="960"/>
    <w:link w:val="1064"/>
    <w:uiPriority w:val="99"/>
    <w:qFormat/>
    <w:pPr>
      <w:ind w:left="0" w:firstLine="420"/>
      <w:spacing w:after="0" w:line="360" w:lineRule="auto"/>
    </w:pPr>
    <w:rPr>
      <w:rFonts w:ascii="宋体" w:hAnsi="宋体"/>
      <w:sz w:val="20"/>
      <w:szCs w:val="20"/>
    </w:rPr>
  </w:style>
  <w:style w:type="table" w:styleId="1018">
    <w:name w:val="Table Grid"/>
    <w:basedOn w:val="97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Strong"/>
    <w:uiPriority w:val="99"/>
    <w:qFormat/>
    <w:rPr>
      <w:rFonts w:cs="Times New Roman"/>
      <w:b/>
    </w:rPr>
  </w:style>
  <w:style w:type="character" w:styleId="1020">
    <w:name w:val="endnote reference"/>
    <w:uiPriority w:val="99"/>
    <w:semiHidden/>
    <w:qFormat/>
    <w:rPr>
      <w:rFonts w:cs="Times New Roman"/>
      <w:vertAlign w:val="superscript"/>
    </w:rPr>
  </w:style>
  <w:style w:type="character" w:styleId="1021">
    <w:name w:val="page number"/>
    <w:uiPriority w:val="99"/>
    <w:qFormat/>
    <w:rPr>
      <w:rFonts w:cs="Times New Roman"/>
    </w:rPr>
  </w:style>
  <w:style w:type="character" w:styleId="1022">
    <w:name w:val="FollowedHyperlink"/>
    <w:uiPriority w:val="99"/>
    <w:qFormat/>
    <w:rPr>
      <w:rFonts w:cs="Times New Roman"/>
      <w:color w:val="auto"/>
      <w:u w:val="none"/>
    </w:rPr>
  </w:style>
  <w:style w:type="character" w:styleId="1023">
    <w:name w:val="Emphasis"/>
    <w:uiPriority w:val="99"/>
    <w:qFormat/>
    <w:rPr>
      <w:rFonts w:cs="Times New Roman"/>
      <w:b/>
      <w:i/>
      <w:spacing w:val="10"/>
      <w:shd w:val="clear" w:color="auto" w:fill="auto"/>
    </w:rPr>
  </w:style>
  <w:style w:type="character" w:styleId="1024">
    <w:name w:val="line number"/>
    <w:uiPriority w:val="99"/>
    <w:qFormat/>
    <w:rPr>
      <w:rFonts w:cs="Times New Roman"/>
    </w:rPr>
  </w:style>
  <w:style w:type="character" w:styleId="1025">
    <w:name w:val="HTML Typewriter"/>
    <w:uiPriority w:val="99"/>
    <w:qFormat/>
    <w:rPr>
      <w:rFonts w:ascii="宋体" w:hAnsi="宋体" w:eastAsia="宋体" w:cs="Times New Roman"/>
      <w:sz w:val="24"/>
    </w:rPr>
  </w:style>
  <w:style w:type="character" w:styleId="1026">
    <w:name w:val="Hyperlink"/>
    <w:uiPriority w:val="99"/>
    <w:qFormat/>
    <w:rPr>
      <w:rFonts w:cs="Times New Roman"/>
      <w:color w:val="auto"/>
      <w:u w:val="none"/>
    </w:rPr>
  </w:style>
  <w:style w:type="character" w:styleId="1027">
    <w:name w:val="annotation reference"/>
    <w:uiPriority w:val="0"/>
    <w:qFormat/>
    <w:rPr>
      <w:rFonts w:cs="Times New Roman"/>
      <w:sz w:val="21"/>
    </w:rPr>
  </w:style>
  <w:style w:type="character" w:styleId="1028">
    <w:name w:val="footnote reference"/>
    <w:uiPriority w:val="99"/>
    <w:semiHidden/>
    <w:qFormat/>
    <w:rPr>
      <w:rFonts w:cs="Times New Roman"/>
      <w:vertAlign w:val="superscript"/>
    </w:rPr>
  </w:style>
  <w:style w:type="character" w:styleId="1029">
    <w:name w:val="HTML Sample"/>
    <w:uiPriority w:val="99"/>
    <w:qFormat/>
    <w:rPr>
      <w:rFonts w:ascii="Courier New" w:hAnsi="宋体" w:eastAsia="宋体" w:cs="Times New Roman"/>
    </w:rPr>
  </w:style>
  <w:style w:type="character" w:styleId="1030" w:customStyle="1">
    <w:name w:val="标题 1 字符"/>
    <w:link w:val="961"/>
    <w:uiPriority w:val="99"/>
    <w:qFormat/>
    <w:rPr>
      <w:rFonts w:ascii="Times New Roman" w:hAnsi="Times New Roman" w:eastAsia="宋体"/>
      <w:b/>
      <w:sz w:val="44"/>
    </w:rPr>
  </w:style>
  <w:style w:type="character" w:styleId="1031" w:customStyle="1">
    <w:name w:val="标题 2 字符"/>
    <w:link w:val="962"/>
    <w:uiPriority w:val="99"/>
    <w:qFormat/>
    <w:rPr>
      <w:rFonts w:ascii="Arial" w:hAnsi="Arial" w:eastAsia="黑体"/>
      <w:b/>
      <w:sz w:val="32"/>
    </w:rPr>
  </w:style>
  <w:style w:type="paragraph" w:styleId="1032" w:customStyle="1">
    <w:name w:val="正文首行缩进1"/>
    <w:basedOn w:val="1033"/>
    <w:uiPriority w:val="0"/>
    <w:qFormat/>
    <w:pPr>
      <w:ind w:firstLine="100"/>
    </w:pPr>
  </w:style>
  <w:style w:type="paragraph" w:styleId="1033" w:customStyle="1">
    <w:name w:val="正文文本1"/>
    <w:basedOn w:val="960"/>
    <w:next w:val="960"/>
    <w:uiPriority w:val="0"/>
    <w:qFormat/>
    <w:rPr>
      <w:rFonts w:ascii="宋体"/>
      <w:sz w:val="28"/>
    </w:rPr>
  </w:style>
  <w:style w:type="paragraph" w:styleId="1034" w:customStyle="1">
    <w:name w:val="列出段落1"/>
    <w:basedOn w:val="960"/>
    <w:uiPriority w:val="99"/>
    <w:qFormat/>
    <w:pPr>
      <w:ind w:firstLine="420"/>
    </w:pPr>
    <w:rPr>
      <w:rFonts w:ascii="Calibri" w:hAnsi="Calibri"/>
      <w:szCs w:val="22"/>
    </w:rPr>
  </w:style>
  <w:style w:type="character" w:styleId="1035" w:customStyle="1">
    <w:name w:val="正文文本 字符1"/>
    <w:link w:val="972"/>
    <w:uiPriority w:val="99"/>
    <w:qFormat/>
    <w:rPr>
      <w:rFonts w:ascii="Times New Roman" w:hAnsi="Times New Roman" w:eastAsia="宋体" w:cs="Times New Roman"/>
      <w:sz w:val="24"/>
      <w:szCs w:val="24"/>
    </w:rPr>
  </w:style>
  <w:style w:type="character" w:styleId="1036" w:customStyle="1">
    <w:name w:val="标题 3 字符"/>
    <w:link w:val="963"/>
    <w:uiPriority w:val="99"/>
    <w:qFormat/>
    <w:rPr>
      <w:rFonts w:ascii="Times New Roman" w:hAnsi="Times New Roman" w:eastAsia="宋体"/>
      <w:b/>
      <w:sz w:val="32"/>
    </w:rPr>
  </w:style>
  <w:style w:type="character" w:styleId="1037" w:customStyle="1">
    <w:name w:val="标题 4 字符"/>
    <w:link w:val="964"/>
    <w:uiPriority w:val="99"/>
    <w:qFormat/>
    <w:rPr>
      <w:rFonts w:ascii="Arial" w:hAnsi="Arial" w:eastAsia="黑体"/>
      <w:b/>
      <w:sz w:val="20"/>
    </w:rPr>
  </w:style>
  <w:style w:type="character" w:styleId="1038" w:customStyle="1">
    <w:name w:val="标题 5 字符"/>
    <w:link w:val="965"/>
    <w:uiPriority w:val="99"/>
    <w:qFormat/>
    <w:rPr>
      <w:rFonts w:ascii="Times New Roman" w:hAnsi="Times New Roman" w:eastAsia="宋体"/>
      <w:b/>
      <w:sz w:val="28"/>
    </w:rPr>
  </w:style>
  <w:style w:type="character" w:styleId="1039" w:customStyle="1">
    <w:name w:val="标题 6 字符"/>
    <w:link w:val="966"/>
    <w:uiPriority w:val="99"/>
    <w:qFormat/>
    <w:rPr>
      <w:rFonts w:ascii="Arial" w:hAnsi="Arial" w:eastAsia="黑体"/>
      <w:b/>
      <w:sz w:val="24"/>
    </w:rPr>
  </w:style>
  <w:style w:type="character" w:styleId="1040" w:customStyle="1">
    <w:name w:val="标题 7 字符"/>
    <w:link w:val="967"/>
    <w:uiPriority w:val="99"/>
    <w:qFormat/>
    <w:rPr>
      <w:rFonts w:ascii="Times New Roman" w:hAnsi="Times New Roman" w:eastAsia="宋体"/>
      <w:b/>
      <w:sz w:val="24"/>
    </w:rPr>
  </w:style>
  <w:style w:type="character" w:styleId="1041" w:customStyle="1">
    <w:name w:val="标题 8 字符"/>
    <w:link w:val="968"/>
    <w:uiPriority w:val="99"/>
    <w:qFormat/>
    <w:rPr>
      <w:rFonts w:ascii="Arial" w:hAnsi="Arial" w:eastAsia="黑体"/>
      <w:sz w:val="24"/>
    </w:rPr>
  </w:style>
  <w:style w:type="character" w:styleId="1042" w:customStyle="1">
    <w:name w:val="标题 9 字符"/>
    <w:link w:val="969"/>
    <w:uiPriority w:val="99"/>
    <w:qFormat/>
    <w:rPr>
      <w:rFonts w:ascii="Arial" w:hAnsi="Arial" w:eastAsia="黑体"/>
      <w:sz w:val="21"/>
    </w:rPr>
  </w:style>
  <w:style w:type="character" w:styleId="1043" w:customStyle="1">
    <w:name w:val="文档结构图 字符"/>
    <w:link w:val="978"/>
    <w:uiPriority w:val="99"/>
    <w:semiHidden/>
    <w:qFormat/>
    <w:rPr>
      <w:rFonts w:ascii="Times New Roman" w:hAnsi="Times New Roman" w:eastAsia="宋体"/>
      <w:sz w:val="24"/>
      <w:shd w:val="clear" w:color="auto" w:fill="000080"/>
    </w:rPr>
  </w:style>
  <w:style w:type="character" w:styleId="1044" w:customStyle="1">
    <w:name w:val="批注文字 字符1"/>
    <w:link w:val="979"/>
    <w:uiPriority w:val="0"/>
    <w:qFormat/>
    <w:rPr>
      <w:rFonts w:ascii="Times New Roman" w:hAnsi="Times New Roman" w:eastAsia="宋体" w:cs="Times New Roman"/>
      <w:sz w:val="24"/>
      <w:szCs w:val="24"/>
    </w:rPr>
  </w:style>
  <w:style w:type="character" w:styleId="1045" w:customStyle="1">
    <w:name w:val="称呼 字符"/>
    <w:link w:val="980"/>
    <w:uiPriority w:val="99"/>
    <w:qFormat/>
    <w:rPr>
      <w:rFonts w:ascii="仿宋_GB2312" w:hAnsi="Times New Roman" w:eastAsia="仿宋_GB2312"/>
      <w:sz w:val="20"/>
    </w:rPr>
  </w:style>
  <w:style w:type="character" w:styleId="1046" w:customStyle="1">
    <w:name w:val="正文文本 3 字符"/>
    <w:link w:val="981"/>
    <w:uiPriority w:val="99"/>
    <w:qFormat/>
    <w:rPr>
      <w:rFonts w:ascii="Times New Roman" w:hAnsi="Times New Roman" w:eastAsia="宋体"/>
      <w:sz w:val="16"/>
    </w:rPr>
  </w:style>
  <w:style w:type="character" w:styleId="1047" w:customStyle="1">
    <w:name w:val="正文文本缩进 字符"/>
    <w:link w:val="982"/>
    <w:uiPriority w:val="99"/>
    <w:qFormat/>
    <w:rPr>
      <w:rFonts w:ascii="Times New Roman" w:hAnsi="Times New Roman" w:eastAsia="宋体"/>
      <w:sz w:val="24"/>
    </w:rPr>
  </w:style>
  <w:style w:type="character" w:styleId="1048" w:customStyle="1">
    <w:name w:val="纯文本 字符"/>
    <w:link w:val="988"/>
    <w:uiPriority w:val="0"/>
    <w:qFormat/>
    <w:rPr>
      <w:rFonts w:ascii="宋体" w:hAnsi="Courier New" w:eastAsia="宋体"/>
      <w:sz w:val="21"/>
    </w:rPr>
  </w:style>
  <w:style w:type="character" w:styleId="1049" w:customStyle="1">
    <w:name w:val="日期 字符"/>
    <w:link w:val="991"/>
    <w:uiPriority w:val="99"/>
    <w:qFormat/>
    <w:rPr>
      <w:rFonts w:ascii="Times New Roman" w:hAnsi="Times New Roman" w:eastAsia="宋体"/>
      <w:sz w:val="20"/>
    </w:rPr>
  </w:style>
  <w:style w:type="character" w:styleId="1050" w:customStyle="1">
    <w:name w:val="正文文本缩进 2 字符"/>
    <w:link w:val="992"/>
    <w:uiPriority w:val="99"/>
    <w:qFormat/>
    <w:rPr>
      <w:rFonts w:ascii="宋体" w:hAnsi="宋体" w:eastAsia="宋体"/>
      <w:sz w:val="24"/>
    </w:rPr>
  </w:style>
  <w:style w:type="character" w:styleId="1051" w:customStyle="1">
    <w:name w:val="尾注文本 字符"/>
    <w:link w:val="993"/>
    <w:uiPriority w:val="99"/>
    <w:semiHidden/>
    <w:qFormat/>
    <w:rPr>
      <w:rFonts w:ascii="Times New Roman" w:hAnsi="Times New Roman" w:eastAsia="宋体"/>
      <w:sz w:val="24"/>
    </w:rPr>
  </w:style>
  <w:style w:type="character" w:styleId="1052" w:customStyle="1">
    <w:name w:val="批注框文本 字符"/>
    <w:link w:val="994"/>
    <w:uiPriority w:val="99"/>
    <w:semiHidden/>
    <w:qFormat/>
    <w:rPr>
      <w:rFonts w:ascii="Times New Roman" w:hAnsi="Times New Roman" w:eastAsia="宋体"/>
      <w:sz w:val="18"/>
    </w:rPr>
  </w:style>
  <w:style w:type="character" w:styleId="1053" w:customStyle="1">
    <w:name w:val="页脚 字符"/>
    <w:link w:val="995"/>
    <w:uiPriority w:val="99"/>
    <w:qFormat/>
    <w:rPr>
      <w:rFonts w:cs="Times New Roman"/>
      <w:sz w:val="18"/>
      <w:szCs w:val="18"/>
    </w:rPr>
  </w:style>
  <w:style w:type="character" w:styleId="1054" w:customStyle="1">
    <w:name w:val="页眉 字符"/>
    <w:link w:val="996"/>
    <w:uiPriority w:val="0"/>
    <w:qFormat/>
    <w:rPr>
      <w:sz w:val="18"/>
    </w:rPr>
  </w:style>
  <w:style w:type="character" w:styleId="1055" w:customStyle="1">
    <w:name w:val="签名 字符"/>
    <w:link w:val="997"/>
    <w:uiPriority w:val="99"/>
    <w:qFormat/>
    <w:rPr>
      <w:rFonts w:ascii="Times New Roman" w:hAnsi="Times New Roman" w:eastAsia="仿宋_GB2312"/>
      <w:sz w:val="20"/>
    </w:rPr>
  </w:style>
  <w:style w:type="character" w:styleId="1056" w:customStyle="1">
    <w:name w:val="副标题 字符"/>
    <w:link w:val="1002"/>
    <w:uiPriority w:val="99"/>
    <w:qFormat/>
    <w:rPr>
      <w:rFonts w:ascii="Cambria" w:hAnsi="Cambria" w:eastAsia="宋体"/>
      <w:i/>
      <w:spacing w:val="13"/>
      <w:sz w:val="24"/>
      <w:lang w:eastAsia="en-US"/>
    </w:rPr>
  </w:style>
  <w:style w:type="character" w:styleId="1057" w:customStyle="1">
    <w:name w:val="脚注文本 字符"/>
    <w:link w:val="1004"/>
    <w:uiPriority w:val="99"/>
    <w:semiHidden/>
    <w:qFormat/>
    <w:rPr>
      <w:rFonts w:ascii="Times New Roman" w:hAnsi="Times New Roman" w:eastAsia="宋体"/>
      <w:sz w:val="18"/>
    </w:rPr>
  </w:style>
  <w:style w:type="character" w:styleId="1058" w:customStyle="1">
    <w:name w:val="正文文本缩进 3 字符"/>
    <w:link w:val="1006"/>
    <w:uiPriority w:val="99"/>
    <w:qFormat/>
    <w:rPr>
      <w:rFonts w:ascii="Times New Roman" w:hAnsi="Times New Roman" w:eastAsia="宋体"/>
      <w:b/>
      <w:sz w:val="20"/>
    </w:rPr>
  </w:style>
  <w:style w:type="character" w:styleId="1059" w:customStyle="1">
    <w:name w:val="正文文本 2 字符"/>
    <w:link w:val="1010"/>
    <w:uiPriority w:val="99"/>
    <w:qFormat/>
    <w:rPr>
      <w:rFonts w:ascii="Times New Roman" w:hAnsi="Times New Roman" w:eastAsia="宋体"/>
      <w:b/>
      <w:sz w:val="20"/>
    </w:rPr>
  </w:style>
  <w:style w:type="character" w:styleId="1060" w:customStyle="1">
    <w:name w:val="HTML 预设格式 字符"/>
    <w:link w:val="1011"/>
    <w:uiPriority w:val="99"/>
    <w:qFormat/>
    <w:rPr>
      <w:rFonts w:ascii="宋体" w:hAnsi="宋体" w:eastAsia="宋体"/>
      <w:sz w:val="24"/>
    </w:rPr>
  </w:style>
  <w:style w:type="character" w:styleId="1061" w:customStyle="1">
    <w:name w:val="标题 字符"/>
    <w:link w:val="1014"/>
    <w:uiPriority w:val="99"/>
    <w:qFormat/>
    <w:rPr>
      <w:rFonts w:ascii="Times New Roman" w:hAnsi="Times New Roman" w:eastAsia="黑体"/>
      <w:b/>
      <w:sz w:val="20"/>
      <w:lang w:val="en-GB"/>
    </w:rPr>
  </w:style>
  <w:style w:type="character" w:styleId="1062" w:customStyle="1">
    <w:name w:val="批注主题 字符"/>
    <w:link w:val="1015"/>
    <w:uiPriority w:val="99"/>
    <w:semiHidden/>
    <w:qFormat/>
    <w:rPr>
      <w:rFonts w:ascii="Times New Roman" w:hAnsi="Times New Roman" w:eastAsia="宋体" w:cs="Times New Roman"/>
      <w:b/>
      <w:sz w:val="24"/>
      <w:szCs w:val="24"/>
    </w:rPr>
  </w:style>
  <w:style w:type="character" w:styleId="1063" w:customStyle="1">
    <w:name w:val="正文文本首行缩进 字符"/>
    <w:link w:val="1016"/>
    <w:uiPriority w:val="99"/>
    <w:qFormat/>
    <w:rPr>
      <w:rFonts w:ascii="Times New Roman" w:hAnsi="Times New Roman" w:eastAsia="宋体" w:cs="Times New Roman"/>
      <w:sz w:val="24"/>
      <w:szCs w:val="24"/>
    </w:rPr>
  </w:style>
  <w:style w:type="character" w:styleId="1064" w:customStyle="1">
    <w:name w:val="正文文本首行缩进 2 字符"/>
    <w:link w:val="1017"/>
    <w:uiPriority w:val="99"/>
    <w:qFormat/>
    <w:rPr>
      <w:rFonts w:ascii="宋体" w:hAnsi="宋体" w:eastAsia="宋体"/>
      <w:sz w:val="20"/>
    </w:rPr>
  </w:style>
  <w:style w:type="paragraph" w:styleId="1065" w:customStyle="1">
    <w:name w:val="首行缩进"/>
    <w:basedOn w:val="960"/>
    <w:uiPriority w:val="0"/>
    <w:qFormat/>
    <w:pPr>
      <w:ind w:left="420" w:firstLine="480"/>
      <w:spacing w:line="400" w:lineRule="exact"/>
    </w:pPr>
    <w:rPr>
      <w:szCs w:val="20"/>
    </w:rPr>
  </w:style>
  <w:style w:type="character" w:styleId="1066" w:customStyle="1">
    <w:name w:val="方案文档 Char Char"/>
    <w:uiPriority w:val="99"/>
    <w:qFormat/>
    <w:rPr>
      <w:rFonts w:ascii="宋体" w:hAnsi="宋体" w:eastAsia="宋体"/>
      <w:sz w:val="24"/>
      <w:lang w:val="zh-CN" w:eastAsia="zh-CN"/>
    </w:rPr>
  </w:style>
  <w:style w:type="character" w:styleId="1067" w:customStyle="1">
    <w:name w:val="textcontents"/>
    <w:uiPriority w:val="99"/>
    <w:qFormat/>
  </w:style>
  <w:style w:type="character" w:styleId="1068" w:customStyle="1">
    <w:name w:val="Char Char28"/>
    <w:uiPriority w:val="99"/>
    <w:qFormat/>
    <w:rPr>
      <w:rFonts w:ascii="Arial" w:hAnsi="Arial" w:eastAsia="黑体"/>
      <w:b/>
      <w:sz w:val="32"/>
    </w:rPr>
  </w:style>
  <w:style w:type="character" w:styleId="1069" w:customStyle="1">
    <w:name w:val="Char Char23"/>
    <w:uiPriority w:val="99"/>
    <w:qFormat/>
    <w:rPr>
      <w:rFonts w:ascii="Arial" w:hAnsi="Arial" w:eastAsia="黑体"/>
      <w:b/>
      <w:sz w:val="24"/>
    </w:rPr>
  </w:style>
  <w:style w:type="character" w:styleId="1070" w:customStyle="1">
    <w:name w:val="纯文本 Char Char Char1"/>
    <w:uiPriority w:val="99"/>
    <w:qFormat/>
    <w:rPr>
      <w:rFonts w:ascii="宋体" w:hAnsi="Courier New" w:eastAsia="宋体"/>
      <w:sz w:val="21"/>
      <w:lang w:val="en-US" w:eastAsia="zh-CN"/>
    </w:rPr>
  </w:style>
  <w:style w:type="character" w:styleId="1071" w:customStyle="1">
    <w:name w:val="华宇段落1 Char Char Char"/>
    <w:uiPriority w:val="99"/>
    <w:qFormat/>
    <w:rPr>
      <w:rFonts w:eastAsia="宋体"/>
      <w:sz w:val="24"/>
      <w:lang w:val="en-US" w:eastAsia="zh-CN"/>
    </w:rPr>
  </w:style>
  <w:style w:type="character" w:styleId="1072" w:customStyle="1">
    <w:name w:val="Char Char6"/>
    <w:uiPriority w:val="99"/>
    <w:qFormat/>
    <w:rPr>
      <w:rFonts w:eastAsia="宋体"/>
      <w:sz w:val="24"/>
      <w:lang w:val="en-US" w:eastAsia="zh-CN"/>
    </w:rPr>
  </w:style>
  <w:style w:type="character" w:styleId="1073" w:customStyle="1">
    <w:name w:val="标准文本 Char"/>
    <w:uiPriority w:val="99"/>
    <w:qFormat/>
    <w:rPr>
      <w:rFonts w:eastAsia="宋体"/>
      <w:sz w:val="24"/>
      <w:lang w:val="en-US" w:eastAsia="zh-CN"/>
    </w:rPr>
  </w:style>
  <w:style w:type="character" w:styleId="1074" w:customStyle="1">
    <w:name w:val="listbenefit"/>
    <w:uiPriority w:val="99"/>
    <w:qFormat/>
  </w:style>
  <w:style w:type="character" w:styleId="1075" w:customStyle="1">
    <w:name w:val="Char Char18"/>
    <w:uiPriority w:val="99"/>
    <w:qFormat/>
    <w:rPr>
      <w:rFonts w:eastAsia="宋体"/>
      <w:b/>
      <w:sz w:val="24"/>
      <w:lang w:val="en-US" w:eastAsia="zh-CN"/>
    </w:rPr>
  </w:style>
  <w:style w:type="character" w:styleId="1076" w:customStyle="1">
    <w:name w:val="明显强调1"/>
    <w:uiPriority w:val="99"/>
    <w:qFormat/>
    <w:rPr>
      <w:b/>
    </w:rPr>
  </w:style>
  <w:style w:type="character" w:styleId="1077" w:customStyle="1">
    <w:name w:val="font5 Char Char"/>
    <w:uiPriority w:val="99"/>
    <w:qFormat/>
    <w:rPr>
      <w:rFonts w:ascii="宋体" w:hAnsi="宋体" w:eastAsia="宋体"/>
      <w:sz w:val="28"/>
      <w:lang w:val="en-US" w:eastAsia="zh-CN"/>
    </w:rPr>
  </w:style>
  <w:style w:type="character" w:styleId="1078" w:customStyle="1">
    <w:name w:val="Char Char11"/>
    <w:uiPriority w:val="99"/>
    <w:qFormat/>
    <w:rPr>
      <w:rFonts w:ascii="宋体" w:hAnsi="宋体" w:eastAsia="宋体"/>
      <w:sz w:val="24"/>
      <w:lang w:val="en-US" w:eastAsia="zh-CN"/>
    </w:rPr>
  </w:style>
  <w:style w:type="character" w:styleId="1079" w:customStyle="1">
    <w:name w:val="Char Char10"/>
    <w:uiPriority w:val="99"/>
    <w:qFormat/>
    <w:rPr>
      <w:rFonts w:eastAsia="宋体"/>
      <w:b/>
      <w:sz w:val="24"/>
      <w:lang w:val="en-US" w:eastAsia="zh-CN"/>
    </w:rPr>
  </w:style>
  <w:style w:type="character" w:styleId="1080" w:customStyle="1">
    <w:name w:val="特点 Char1"/>
    <w:uiPriority w:val="99"/>
    <w:qFormat/>
    <w:rPr>
      <w:rFonts w:eastAsia="宋体"/>
      <w:sz w:val="21"/>
      <w:lang w:val="en-US" w:eastAsia="zh-CN"/>
    </w:rPr>
  </w:style>
  <w:style w:type="character" w:styleId="1081" w:customStyle="1">
    <w:name w:val="列表段落 字符"/>
    <w:link w:val="1082"/>
    <w:uiPriority w:val="99"/>
    <w:qFormat/>
    <w:rPr>
      <w:rFonts w:ascii="Calibri" w:hAnsi="Calibri"/>
    </w:rPr>
  </w:style>
  <w:style w:type="paragraph" w:styleId="1082">
    <w:name w:val="List Paragraph"/>
    <w:basedOn w:val="960"/>
    <w:link w:val="1081"/>
    <w:uiPriority w:val="99"/>
    <w:qFormat/>
    <w:pPr>
      <w:ind w:firstLine="420"/>
      <w:spacing w:line="360" w:lineRule="auto"/>
    </w:pPr>
    <w:rPr>
      <w:rFonts w:ascii="Calibri" w:hAnsi="Calibri"/>
      <w:sz w:val="20"/>
      <w:szCs w:val="20"/>
    </w:rPr>
  </w:style>
  <w:style w:type="character" w:styleId="1083" w:customStyle="1">
    <w:name w:val="样式 非加粗"/>
    <w:uiPriority w:val="99"/>
    <w:qFormat/>
    <w:rPr>
      <w:rFonts w:eastAsia="宋体"/>
      <w:sz w:val="28"/>
    </w:rPr>
  </w:style>
  <w:style w:type="character" w:styleId="1084" w:customStyle="1">
    <w:name w:val="明显引用 Char"/>
    <w:uiPriority w:val="99"/>
    <w:qFormat/>
    <w:rPr>
      <w:rFonts w:ascii="Calibri" w:hAnsi="Calibri" w:eastAsia="宋体"/>
      <w:b/>
      <w:i/>
      <w:sz w:val="22"/>
      <w:lang w:val="en-US" w:eastAsia="en-US"/>
    </w:rPr>
  </w:style>
  <w:style w:type="character" w:styleId="1085" w:customStyle="1">
    <w:name w:val="content"/>
    <w:uiPriority w:val="99"/>
    <w:qFormat/>
  </w:style>
  <w:style w:type="character" w:styleId="1086" w:customStyle="1">
    <w:name w:val="Char Char14"/>
    <w:uiPriority w:val="99"/>
    <w:qFormat/>
    <w:rPr>
      <w:rFonts w:eastAsia="黑体"/>
      <w:b/>
      <w:sz w:val="28"/>
      <w:lang w:val="en-GB" w:eastAsia="zh-CN"/>
    </w:rPr>
  </w:style>
  <w:style w:type="character" w:styleId="1087" w:customStyle="1">
    <w:name w:val="标准小四 Char Char"/>
    <w:uiPriority w:val="99"/>
    <w:qFormat/>
    <w:rPr>
      <w:rFonts w:ascii="Arial" w:hAnsi="Arial" w:eastAsia="宋体"/>
      <w:sz w:val="21"/>
      <w:lang w:val="en-US" w:eastAsia="zh-CN"/>
    </w:rPr>
  </w:style>
  <w:style w:type="character" w:styleId="1088" w:customStyle="1">
    <w:name w:val="华宇段落1 Char Char"/>
    <w:uiPriority w:val="99"/>
    <w:qFormat/>
    <w:rPr>
      <w:rFonts w:eastAsia="宋体"/>
      <w:sz w:val="24"/>
      <w:lang w:val="en-US" w:eastAsia="zh-CN"/>
    </w:rPr>
  </w:style>
  <w:style w:type="character" w:styleId="1089" w:customStyle="1">
    <w:name w:val="书籍标题1"/>
    <w:uiPriority w:val="99"/>
    <w:qFormat/>
    <w:rPr>
      <w:i/>
      <w:smallCaps/>
      <w:spacing w:val="5"/>
    </w:rPr>
  </w:style>
  <w:style w:type="character" w:styleId="1090" w:customStyle="1">
    <w:name w:val="标准文本 Char Char"/>
    <w:uiPriority w:val="99"/>
    <w:qFormat/>
    <w:rPr>
      <w:rFonts w:eastAsia="宋体"/>
      <w:sz w:val="24"/>
      <w:lang w:val="en-US" w:eastAsia="zh-CN"/>
    </w:rPr>
  </w:style>
  <w:style w:type="character" w:styleId="1091" w:customStyle="1">
    <w:name w:val="纯文本 Char Char"/>
    <w:uiPriority w:val="99"/>
    <w:qFormat/>
    <w:rPr>
      <w:rFonts w:ascii="宋体" w:hAnsi="Courier New" w:eastAsia="宋体"/>
      <w:sz w:val="21"/>
      <w:lang w:val="en-US" w:eastAsia="zh-CN"/>
    </w:rPr>
  </w:style>
  <w:style w:type="character" w:styleId="1092" w:customStyle="1">
    <w:name w:val="h Char Char"/>
    <w:uiPriority w:val="99"/>
    <w:qFormat/>
    <w:rPr>
      <w:rFonts w:eastAsia="宋体"/>
      <w:sz w:val="18"/>
      <w:lang w:val="en-US" w:eastAsia="zh-CN"/>
    </w:rPr>
  </w:style>
  <w:style w:type="character" w:styleId="1093" w:customStyle="1">
    <w:name w:val="标题 Char1"/>
    <w:uiPriority w:val="99"/>
    <w:qFormat/>
    <w:rPr>
      <w:rFonts w:ascii="Cambria" w:eastAsia="宋体"/>
      <w:b/>
      <w:sz w:val="32"/>
    </w:rPr>
  </w:style>
  <w:style w:type="character" w:styleId="1094" w:customStyle="1">
    <w:name w:val="Char Char34"/>
    <w:uiPriority w:val="99"/>
    <w:qFormat/>
    <w:rPr>
      <w:rFonts w:eastAsia="宋体"/>
      <w:b/>
      <w:sz w:val="44"/>
      <w:lang w:val="en-US" w:eastAsia="zh-CN"/>
    </w:rPr>
  </w:style>
  <w:style w:type="character" w:styleId="1095" w:customStyle="1">
    <w:name w:val="不明显参考1"/>
    <w:uiPriority w:val="99"/>
    <w:qFormat/>
    <w:rPr>
      <w:smallCaps/>
    </w:rPr>
  </w:style>
  <w:style w:type="character" w:styleId="1096" w:customStyle="1">
    <w:name w:val="Intense Quote Char"/>
    <w:link w:val="1097"/>
    <w:uiPriority w:val="99"/>
    <w:qFormat/>
    <w:rPr>
      <w:rFonts w:ascii="Calibri" w:hAnsi="Calibri" w:eastAsia="宋体"/>
      <w:b/>
      <w:i/>
      <w:sz w:val="22"/>
      <w:lang w:eastAsia="en-US"/>
    </w:rPr>
  </w:style>
  <w:style w:type="paragraph" w:styleId="1097" w:customStyle="1">
    <w:name w:val="明显引用1"/>
    <w:basedOn w:val="960"/>
    <w:next w:val="960"/>
    <w:link w:val="1096"/>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098" w:customStyle="1">
    <w:name w:val="font41"/>
    <w:uiPriority w:val="99"/>
    <w:qFormat/>
    <w:rPr>
      <w:rFonts w:ascii="宋体" w:hAnsi="宋体" w:eastAsia="宋体" w:cs="宋体"/>
      <w:color w:val="000000"/>
      <w:sz w:val="18"/>
      <w:szCs w:val="18"/>
      <w:u w:val="none"/>
    </w:rPr>
  </w:style>
  <w:style w:type="character" w:styleId="1099" w:customStyle="1">
    <w:name w:val="Title1 Char"/>
    <w:uiPriority w:val="99"/>
    <w:qFormat/>
    <w:rPr>
      <w:rFonts w:eastAsia="宋体"/>
      <w:b/>
      <w:sz w:val="44"/>
      <w:lang w:val="en-US" w:eastAsia="zh-CN"/>
    </w:rPr>
  </w:style>
  <w:style w:type="character" w:styleId="1100" w:customStyle="1">
    <w:name w:val="font21"/>
    <w:uiPriority w:val="99"/>
    <w:qFormat/>
    <w:rPr>
      <w:rFonts w:ascii="宋体" w:hAnsi="宋体" w:eastAsia="宋体"/>
      <w:color w:val="000000"/>
      <w:sz w:val="20"/>
      <w:u w:val="none"/>
    </w:rPr>
  </w:style>
  <w:style w:type="character" w:styleId="1101" w:customStyle="1">
    <w:name w:val="Char Char19"/>
    <w:uiPriority w:val="99"/>
    <w:qFormat/>
    <w:rPr>
      <w:rFonts w:ascii="Arial" w:hAnsi="Arial" w:eastAsia="黑体"/>
      <w:b/>
      <w:sz w:val="24"/>
      <w:lang w:val="en-US" w:eastAsia="zh-CN"/>
    </w:rPr>
  </w:style>
  <w:style w:type="character" w:styleId="1102" w:customStyle="1">
    <w:name w:val="style131"/>
    <w:uiPriority w:val="99"/>
    <w:qFormat/>
    <w:rPr>
      <w:sz w:val="18"/>
    </w:rPr>
  </w:style>
  <w:style w:type="character" w:styleId="1103" w:customStyle="1">
    <w:name w:val="Char Char4"/>
    <w:uiPriority w:val="99"/>
    <w:qFormat/>
    <w:rPr>
      <w:rFonts w:ascii="方正大黑简体" w:eastAsia="方正大黑简体"/>
      <w:position w:val="6"/>
      <w:sz w:val="30"/>
      <w:lang w:val="en-US" w:eastAsia="zh-CN"/>
    </w:rPr>
  </w:style>
  <w:style w:type="character" w:styleId="1104" w:customStyle="1">
    <w:name w:val="Char Char32"/>
    <w:uiPriority w:val="99"/>
    <w:qFormat/>
    <w:rPr>
      <w:rFonts w:eastAsia="宋体"/>
      <w:b/>
      <w:sz w:val="32"/>
      <w:lang w:val="en-US" w:eastAsia="zh-CN"/>
    </w:rPr>
  </w:style>
  <w:style w:type="character" w:styleId="1105" w:customStyle="1">
    <w:name w:val="case31"/>
    <w:uiPriority w:val="99"/>
    <w:qFormat/>
    <w:rPr>
      <w:sz w:val="21"/>
    </w:rPr>
  </w:style>
  <w:style w:type="character" w:styleId="1106" w:customStyle="1">
    <w:name w:val="标准小四 Char"/>
    <w:uiPriority w:val="99"/>
    <w:qFormat/>
    <w:rPr>
      <w:rFonts w:ascii="Arial" w:hAnsi="Arial" w:eastAsia="宋体"/>
      <w:sz w:val="21"/>
      <w:lang w:val="en-US" w:eastAsia="zh-CN"/>
    </w:rPr>
  </w:style>
  <w:style w:type="character" w:styleId="1107" w:customStyle="1">
    <w:name w:val="apple-style-span"/>
    <w:uiPriority w:val="99"/>
    <w:qFormat/>
  </w:style>
  <w:style w:type="character" w:styleId="1108" w:customStyle="1">
    <w:name w:val="纯文本 Char Char Char"/>
    <w:uiPriority w:val="99"/>
    <w:qFormat/>
    <w:rPr>
      <w:rFonts w:ascii="宋体" w:hAnsi="Courier New" w:eastAsia="宋体"/>
      <w:sz w:val="21"/>
      <w:lang w:val="en-US" w:eastAsia="zh-CN"/>
    </w:rPr>
  </w:style>
  <w:style w:type="character" w:styleId="1109" w:customStyle="1">
    <w:name w:val="2nd level Char"/>
    <w:uiPriority w:val="99"/>
    <w:qFormat/>
    <w:rPr>
      <w:rFonts w:ascii="Arial" w:hAnsi="Arial" w:eastAsia="黑体"/>
      <w:b/>
      <w:sz w:val="32"/>
      <w:lang w:val="en-US" w:eastAsia="zh-CN"/>
    </w:rPr>
  </w:style>
  <w:style w:type="character" w:styleId="1110" w:customStyle="1">
    <w:name w:val="A2"/>
    <w:uiPriority w:val="99"/>
    <w:qFormat/>
    <w:rPr>
      <w:color w:val="000000"/>
      <w:sz w:val="18"/>
    </w:rPr>
  </w:style>
  <w:style w:type="character" w:styleId="1111" w:customStyle="1">
    <w:name w:val="Char Char30"/>
    <w:uiPriority w:val="99"/>
    <w:qFormat/>
    <w:rPr>
      <w:rFonts w:eastAsia="宋体"/>
      <w:b/>
      <w:sz w:val="28"/>
      <w:lang w:val="en-US" w:eastAsia="zh-CN"/>
    </w:rPr>
  </w:style>
  <w:style w:type="character" w:styleId="1112" w:customStyle="1">
    <w:name w:val="小四 段落 宋体 Char1"/>
    <w:uiPriority w:val="99"/>
    <w:qFormat/>
    <w:rPr>
      <w:rFonts w:eastAsia="宋体"/>
      <w:sz w:val="24"/>
      <w:lang w:val="en-US" w:eastAsia="zh-CN"/>
    </w:rPr>
  </w:style>
  <w:style w:type="character" w:styleId="1113" w:customStyle="1">
    <w:name w:val="普通文字 Char Char3"/>
    <w:uiPriority w:val="99"/>
    <w:qFormat/>
    <w:rPr>
      <w:rFonts w:ascii="宋体" w:hAnsi="Courier New" w:eastAsia="宋体"/>
      <w:sz w:val="21"/>
      <w:lang w:val="en-US" w:eastAsia="zh-CN"/>
    </w:rPr>
  </w:style>
  <w:style w:type="character" w:styleId="1114" w:customStyle="1">
    <w:name w:val="小四 段落 宋体 Char Char Char Char Char"/>
    <w:uiPriority w:val="99"/>
    <w:qFormat/>
    <w:rPr>
      <w:rFonts w:eastAsia="宋体"/>
      <w:sz w:val="24"/>
      <w:lang w:val="en-US" w:eastAsia="zh-CN"/>
    </w:rPr>
  </w:style>
  <w:style w:type="character" w:styleId="1115" w:customStyle="1">
    <w:name w:val="正文 + 宋体 Char"/>
    <w:uiPriority w:val="99"/>
    <w:qFormat/>
    <w:rPr>
      <w:rFonts w:eastAsia="宋体"/>
      <w:sz w:val="24"/>
      <w:lang w:val="en-US" w:eastAsia="zh-CN"/>
    </w:rPr>
  </w:style>
  <w:style w:type="character" w:styleId="1116" w:customStyle="1">
    <w:name w:val="Char Char5"/>
    <w:uiPriority w:val="99"/>
    <w:qFormat/>
    <w:rPr>
      <w:rFonts w:eastAsia="宋体"/>
      <w:sz w:val="24"/>
      <w:lang w:val="en-US" w:eastAsia="zh-CN"/>
    </w:rPr>
  </w:style>
  <w:style w:type="character" w:styleId="1117" w:customStyle="1">
    <w:name w:val="样式 首行缩进:  2 字符 Char"/>
    <w:uiPriority w:val="99"/>
    <w:qFormat/>
    <w:rPr>
      <w:rFonts w:eastAsia="宋体"/>
      <w:sz w:val="24"/>
      <w:lang w:val="en-US" w:eastAsia="zh-CN"/>
    </w:rPr>
  </w:style>
  <w:style w:type="character" w:styleId="1118" w:customStyle="1">
    <w:name w:val="已访问的超链接1"/>
    <w:uiPriority w:val="99"/>
    <w:qFormat/>
    <w:rPr>
      <w:color w:val="auto"/>
      <w:u w:val="none"/>
    </w:rPr>
  </w:style>
  <w:style w:type="character" w:styleId="1119" w:customStyle="1">
    <w:name w:val="正文文本 字符"/>
    <w:uiPriority w:val="99"/>
    <w:semiHidden/>
    <w:qFormat/>
    <w:rPr>
      <w:rFonts w:ascii="Times New Roman" w:hAnsi="Times New Roman" w:eastAsia="宋体"/>
      <w:sz w:val="24"/>
    </w:rPr>
  </w:style>
  <w:style w:type="character" w:styleId="1120" w:customStyle="1">
    <w:name w:val="normalfont1"/>
    <w:uiPriority w:val="99"/>
    <w:qFormat/>
    <w:rPr>
      <w:rFonts w:ascii="??" w:hAnsi="??"/>
      <w:sz w:val="18"/>
      <w:u w:val="none"/>
    </w:rPr>
  </w:style>
  <w:style w:type="character" w:styleId="1121" w:customStyle="1">
    <w:name w:val="小四 段落 宋体 Char Char Char Char1"/>
    <w:uiPriority w:val="99"/>
    <w:qFormat/>
    <w:rPr>
      <w:rFonts w:eastAsia="宋体"/>
      <w:sz w:val="24"/>
      <w:lang w:val="en-US" w:eastAsia="zh-CN"/>
    </w:rPr>
  </w:style>
  <w:style w:type="character" w:styleId="1122" w:customStyle="1">
    <w:name w:val="Quote Char"/>
    <w:link w:val="1123"/>
    <w:uiPriority w:val="99"/>
    <w:qFormat/>
    <w:rPr>
      <w:rFonts w:ascii="Calibri" w:hAnsi="Calibri" w:eastAsia="宋体"/>
      <w:i/>
      <w:sz w:val="22"/>
      <w:lang w:eastAsia="en-US"/>
    </w:rPr>
  </w:style>
  <w:style w:type="paragraph" w:styleId="1123" w:customStyle="1">
    <w:name w:val="引用1"/>
    <w:basedOn w:val="960"/>
    <w:next w:val="960"/>
    <w:link w:val="1122"/>
    <w:uiPriority w:val="99"/>
    <w:qFormat/>
    <w:pPr>
      <w:ind w:left="360" w:right="360"/>
      <w:jc w:val="left"/>
      <w:spacing w:before="200" w:line="276" w:lineRule="auto"/>
      <w:widowControl/>
    </w:pPr>
    <w:rPr>
      <w:rFonts w:ascii="Calibri" w:hAnsi="Calibri"/>
      <w:i/>
      <w:sz w:val="22"/>
      <w:szCs w:val="20"/>
      <w:lang w:eastAsia="en-US"/>
    </w:rPr>
  </w:style>
  <w:style w:type="character" w:styleId="1124" w:customStyle="1">
    <w:name w:val="样式 宋体 小四"/>
    <w:uiPriority w:val="99"/>
    <w:qFormat/>
    <w:rPr>
      <w:rFonts w:ascii="宋体" w:eastAsia="宋体"/>
      <w:sz w:val="24"/>
    </w:rPr>
  </w:style>
  <w:style w:type="character" w:styleId="1125" w:customStyle="1">
    <w:name w:val="标题 3 Char Char"/>
    <w:uiPriority w:val="99"/>
    <w:qFormat/>
    <w:rPr>
      <w:rFonts w:eastAsia="仿宋_GB2312"/>
      <w:b/>
      <w:sz w:val="32"/>
      <w:lang w:val="en-US" w:eastAsia="zh-CN"/>
    </w:rPr>
  </w:style>
  <w:style w:type="character" w:styleId="1126" w:customStyle="1">
    <w:name w:val="font111"/>
    <w:uiPriority w:val="99"/>
    <w:qFormat/>
    <w:rPr>
      <w:rFonts w:ascii="宋体" w:hAnsi="宋体" w:eastAsia="宋体"/>
      <w:color w:val="000000"/>
      <w:sz w:val="20"/>
      <w:u w:val="none"/>
    </w:rPr>
  </w:style>
  <w:style w:type="character" w:styleId="1127" w:customStyle="1">
    <w:name w:val="标准文本 Char Char Char"/>
    <w:uiPriority w:val="99"/>
    <w:qFormat/>
    <w:rPr>
      <w:rFonts w:eastAsia="宋体"/>
      <w:sz w:val="24"/>
      <w:lang w:val="en-US" w:eastAsia="zh-CN"/>
    </w:rPr>
  </w:style>
  <w:style w:type="character" w:styleId="1128" w:customStyle="1">
    <w:name w:val="Char Char24"/>
    <w:uiPriority w:val="99"/>
    <w:qFormat/>
    <w:rPr>
      <w:b/>
      <w:sz w:val="28"/>
    </w:rPr>
  </w:style>
  <w:style w:type="character" w:styleId="1129" w:customStyle="1">
    <w:name w:val="样式 首行缩进:  2 字符 Char Char Char"/>
    <w:uiPriority w:val="99"/>
    <w:qFormat/>
    <w:rPr>
      <w:rFonts w:eastAsia="宋体"/>
      <w:sz w:val="24"/>
      <w:lang w:val="en-US" w:eastAsia="zh-CN"/>
    </w:rPr>
  </w:style>
  <w:style w:type="character" w:styleId="1130" w:customStyle="1">
    <w:name w:val="Char Char31"/>
    <w:uiPriority w:val="99"/>
    <w:qFormat/>
    <w:rPr>
      <w:rFonts w:ascii="Arial" w:hAnsi="Arial" w:eastAsia="黑体"/>
      <w:b/>
      <w:sz w:val="28"/>
      <w:lang w:val="en-US" w:eastAsia="zh-CN"/>
    </w:rPr>
  </w:style>
  <w:style w:type="character" w:styleId="1131" w:customStyle="1">
    <w:name w:val="小四 段落 宋体 Char Char Char1"/>
    <w:uiPriority w:val="99"/>
    <w:qFormat/>
    <w:rPr>
      <w:rFonts w:ascii="宋体" w:hAnsi="宋体" w:eastAsia="宋体"/>
      <w:sz w:val="24"/>
      <w:lang w:val="en-US" w:eastAsia="zh-CN"/>
    </w:rPr>
  </w:style>
  <w:style w:type="character" w:styleId="1132" w:customStyle="1">
    <w:name w:val="Char Char7"/>
    <w:uiPriority w:val="99"/>
    <w:qFormat/>
    <w:rPr>
      <w:rFonts w:eastAsia="宋体"/>
      <w:b/>
      <w:sz w:val="24"/>
      <w:lang w:val="en-US" w:eastAsia="zh-CN"/>
    </w:rPr>
  </w:style>
  <w:style w:type="character" w:styleId="1133" w:customStyle="1">
    <w:name w:val="concon"/>
    <w:uiPriority w:val="99"/>
    <w:qFormat/>
  </w:style>
  <w:style w:type="character" w:styleId="1134" w:customStyle="1">
    <w:name w:val="小四 段落 宋体 Char Char Char Char Char Char"/>
    <w:uiPriority w:val="99"/>
    <w:qFormat/>
    <w:rPr>
      <w:rFonts w:eastAsia="宋体"/>
      <w:sz w:val="24"/>
      <w:lang w:val="en-US" w:eastAsia="zh-CN"/>
    </w:rPr>
  </w:style>
  <w:style w:type="character" w:styleId="1135" w:customStyle="1">
    <w:name w:val="标题 3 Char1"/>
    <w:uiPriority w:val="99"/>
    <w:qFormat/>
    <w:rPr>
      <w:rFonts w:eastAsia="宋体"/>
      <w:b/>
      <w:sz w:val="32"/>
      <w:lang w:val="en-US" w:eastAsia="zh-CN"/>
    </w:rPr>
  </w:style>
  <w:style w:type="character" w:styleId="1136" w:customStyle="1">
    <w:name w:val="Char Char26"/>
    <w:uiPriority w:val="99"/>
    <w:qFormat/>
    <w:rPr>
      <w:b/>
      <w:sz w:val="32"/>
    </w:rPr>
  </w:style>
  <w:style w:type="character" w:styleId="1137" w:customStyle="1">
    <w:name w:val="Char Char33"/>
    <w:uiPriority w:val="99"/>
    <w:qFormat/>
    <w:rPr>
      <w:rFonts w:ascii="Arial" w:hAnsi="Arial" w:eastAsia="黑体"/>
      <w:b/>
      <w:sz w:val="32"/>
      <w:lang w:val="en-US" w:eastAsia="zh-CN"/>
    </w:rPr>
  </w:style>
  <w:style w:type="character" w:styleId="1138" w:customStyle="1">
    <w:name w:val="小四 段落 宋体 Char Char Char Char Char Char Char"/>
    <w:uiPriority w:val="99"/>
    <w:qFormat/>
    <w:rPr>
      <w:rFonts w:eastAsia="宋体"/>
      <w:sz w:val="24"/>
      <w:lang w:val="en-US" w:eastAsia="zh-CN"/>
    </w:rPr>
  </w:style>
  <w:style w:type="character" w:styleId="1139" w:customStyle="1">
    <w:name w:val="Char Char20"/>
    <w:uiPriority w:val="99"/>
    <w:qFormat/>
    <w:rPr>
      <w:rFonts w:ascii="Arial" w:hAnsi="Arial" w:eastAsia="黑体"/>
      <w:sz w:val="21"/>
    </w:rPr>
  </w:style>
  <w:style w:type="character" w:styleId="1140" w:customStyle="1">
    <w:name w:val="Char Char17"/>
    <w:uiPriority w:val="99"/>
    <w:qFormat/>
    <w:rPr>
      <w:rFonts w:ascii="宋体" w:hAnsi="Courier New"/>
      <w:sz w:val="21"/>
    </w:rPr>
  </w:style>
  <w:style w:type="character" w:styleId="1141" w:customStyle="1">
    <w:name w:val="subtitle1"/>
    <w:uiPriority w:val="99"/>
    <w:qFormat/>
    <w:rPr>
      <w:rFonts w:ascii="Georgia" w:hAnsi="Georgia"/>
      <w:b/>
      <w:color w:val="auto"/>
      <w:sz w:val="18"/>
    </w:rPr>
  </w:style>
  <w:style w:type="character" w:styleId="1142" w:customStyle="1">
    <w:name w:val="正文缩进 Char1"/>
    <w:uiPriority w:val="99"/>
    <w:qFormat/>
    <w:rPr>
      <w:rFonts w:eastAsia="宋体"/>
    </w:rPr>
  </w:style>
  <w:style w:type="character" w:styleId="1143" w:customStyle="1">
    <w:name w:val="Char Char12"/>
    <w:uiPriority w:val="99"/>
    <w:qFormat/>
    <w:rPr>
      <w:rFonts w:ascii="Arial" w:hAnsi="Arial" w:eastAsia="黑体"/>
      <w:sz w:val="21"/>
      <w:lang w:val="en-US" w:eastAsia="zh-CN"/>
    </w:rPr>
  </w:style>
  <w:style w:type="character" w:styleId="1144" w:customStyle="1">
    <w:name w:val="Char Char27"/>
    <w:uiPriority w:val="99"/>
    <w:qFormat/>
    <w:rPr>
      <w:b/>
      <w:sz w:val="44"/>
    </w:rPr>
  </w:style>
  <w:style w:type="character" w:styleId="1145" w:customStyle="1">
    <w:name w:val="页脚 Char"/>
    <w:uiPriority w:val="0"/>
    <w:qFormat/>
    <w:rPr>
      <w:sz w:val="18"/>
    </w:rPr>
  </w:style>
  <w:style w:type="character" w:styleId="1146" w:customStyle="1">
    <w:name w:val="明显参考1"/>
    <w:uiPriority w:val="99"/>
    <w:qFormat/>
    <w:rPr>
      <w:smallCaps/>
      <w:spacing w:val="5"/>
      <w:u w:val="single"/>
    </w:rPr>
  </w:style>
  <w:style w:type="character" w:styleId="1147" w:customStyle="1">
    <w:name w:val="apple-converted-space"/>
    <w:uiPriority w:val="99"/>
    <w:qFormat/>
  </w:style>
  <w:style w:type="character" w:styleId="1148" w:customStyle="1">
    <w:name w:val="Char Char22"/>
    <w:uiPriority w:val="99"/>
    <w:qFormat/>
    <w:rPr>
      <w:b/>
      <w:sz w:val="24"/>
    </w:rPr>
  </w:style>
  <w:style w:type="character" w:styleId="1149" w:customStyle="1">
    <w:name w:val="Char Char13"/>
    <w:uiPriority w:val="99"/>
    <w:qFormat/>
    <w:rPr>
      <w:rFonts w:ascii="宋体" w:hAnsi="宋体" w:eastAsia="宋体"/>
      <w:sz w:val="24"/>
      <w:lang w:val="en-US" w:eastAsia="zh-CN"/>
    </w:rPr>
  </w:style>
  <w:style w:type="character" w:styleId="1150" w:customStyle="1">
    <w:name w:val="content_lineheight1"/>
    <w:uiPriority w:val="99"/>
    <w:qFormat/>
  </w:style>
  <w:style w:type="character" w:styleId="1151" w:customStyle="1">
    <w:name w:val="ih151"/>
    <w:uiPriority w:val="99"/>
    <w:qFormat/>
    <w:rPr>
      <w:color w:val="auto"/>
      <w:sz w:val="18"/>
      <w:u w:val="none"/>
    </w:rPr>
  </w:style>
  <w:style w:type="character" w:styleId="1152" w:customStyle="1">
    <w:name w:val="样式 首行缩进:  2 字符 Char Char"/>
    <w:uiPriority w:val="99"/>
    <w:qFormat/>
    <w:rPr>
      <w:rFonts w:eastAsia="宋体"/>
      <w:sz w:val="24"/>
      <w:lang w:val="en-US" w:eastAsia="zh-CN"/>
    </w:rPr>
  </w:style>
  <w:style w:type="character" w:styleId="1153" w:customStyle="1">
    <w:name w:val="Char Char15"/>
    <w:uiPriority w:val="99"/>
    <w:qFormat/>
    <w:rPr>
      <w:rFonts w:ascii="Arial" w:hAnsi="Arial" w:eastAsia="黑体"/>
      <w:sz w:val="21"/>
      <w:lang w:val="en-US" w:eastAsia="zh-CN"/>
    </w:rPr>
  </w:style>
  <w:style w:type="character" w:styleId="1154" w:customStyle="1">
    <w:name w:val="引用 Char"/>
    <w:uiPriority w:val="99"/>
    <w:qFormat/>
    <w:rPr>
      <w:rFonts w:ascii="Calibri" w:hAnsi="Calibri" w:eastAsia="宋体"/>
      <w:i/>
      <w:sz w:val="22"/>
      <w:lang w:val="en-US" w:eastAsia="en-US"/>
    </w:rPr>
  </w:style>
  <w:style w:type="character" w:styleId="1155" w:customStyle="1">
    <w:name w:val="Char Char29"/>
    <w:uiPriority w:val="99"/>
    <w:qFormat/>
    <w:rPr>
      <w:rFonts w:ascii="Times New Roman" w:hAnsi="Times New Roman" w:eastAsia="宋体"/>
      <w:b/>
      <w:sz w:val="44"/>
    </w:rPr>
  </w:style>
  <w:style w:type="character" w:styleId="1156" w:customStyle="1">
    <w:name w:val="t1"/>
    <w:uiPriority w:val="99"/>
    <w:qFormat/>
  </w:style>
  <w:style w:type="character" w:styleId="1157" w:customStyle="1">
    <w:name w:val="title_emph1"/>
    <w:uiPriority w:val="99"/>
    <w:qFormat/>
    <w:rPr>
      <w:rFonts w:ascii="Arial"/>
      <w:b/>
      <w:sz w:val="18"/>
    </w:rPr>
  </w:style>
  <w:style w:type="character" w:styleId="1158" w:customStyle="1">
    <w:name w:val="Char Char21"/>
    <w:uiPriority w:val="99"/>
    <w:qFormat/>
    <w:rPr>
      <w:rFonts w:ascii="Arial" w:hAnsi="Arial" w:eastAsia="黑体"/>
      <w:sz w:val="24"/>
    </w:rPr>
  </w:style>
  <w:style w:type="character" w:styleId="1159" w:customStyle="1">
    <w:name w:val="纯文本 Char1"/>
    <w:uiPriority w:val="99"/>
    <w:qFormat/>
    <w:rPr>
      <w:rFonts w:ascii="宋体" w:hAnsi="Courier New"/>
      <w:sz w:val="21"/>
    </w:rPr>
  </w:style>
  <w:style w:type="character" w:styleId="1160" w:customStyle="1">
    <w:name w:val="Char Char25"/>
    <w:uiPriority w:val="99"/>
    <w:qFormat/>
    <w:rPr>
      <w:rFonts w:ascii="Arial" w:hAnsi="Arial" w:eastAsia="黑体"/>
      <w:b/>
      <w:sz w:val="28"/>
    </w:rPr>
  </w:style>
  <w:style w:type="character" w:styleId="1161" w:customStyle="1">
    <w:name w:val="无间隔 Char"/>
    <w:uiPriority w:val="99"/>
    <w:qFormat/>
    <w:rPr>
      <w:rFonts w:ascii="Calibri" w:hAnsi="Calibri" w:eastAsia="微软雅黑"/>
      <w:sz w:val="22"/>
      <w:lang w:val="en-US" w:eastAsia="zh-CN"/>
    </w:rPr>
  </w:style>
  <w:style w:type="character" w:styleId="1162" w:customStyle="1">
    <w:name w:val="Char Char2"/>
    <w:uiPriority w:val="99"/>
    <w:qFormat/>
    <w:rPr>
      <w:rFonts w:ascii="宋体" w:hAnsi="Courier New" w:eastAsia="宋体"/>
      <w:sz w:val="21"/>
      <w:lang w:val="en-US" w:eastAsia="zh-CN"/>
    </w:rPr>
  </w:style>
  <w:style w:type="character" w:styleId="116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164" w:customStyle="1">
    <w:name w:val="不明显强调1"/>
    <w:uiPriority w:val="99"/>
    <w:qFormat/>
    <w:rPr>
      <w:i/>
    </w:rPr>
  </w:style>
  <w:style w:type="character" w:styleId="1165" w:customStyle="1">
    <w:name w:val="111111 Char Char"/>
    <w:uiPriority w:val="99"/>
    <w:qFormat/>
    <w:rPr>
      <w:rFonts w:ascii="宋体" w:hAnsi="宋体" w:eastAsia="黑体"/>
      <w:b/>
      <w:sz w:val="21"/>
      <w:lang w:val="en-US" w:eastAsia="zh-CN"/>
    </w:rPr>
  </w:style>
  <w:style w:type="character" w:styleId="1166" w:customStyle="1">
    <w:name w:val="font61"/>
    <w:uiPriority w:val="0"/>
    <w:qFormat/>
    <w:rPr>
      <w:rFonts w:ascii="宋体" w:hAnsi="宋体" w:eastAsia="宋体"/>
      <w:color w:val="ff0000"/>
      <w:sz w:val="20"/>
      <w:u w:val="none"/>
    </w:rPr>
  </w:style>
  <w:style w:type="character" w:styleId="1167" w:customStyle="1">
    <w:name w:val="标准小四 Char Char Char"/>
    <w:uiPriority w:val="99"/>
    <w:qFormat/>
    <w:rPr>
      <w:rFonts w:ascii="Arial" w:hAnsi="Arial" w:eastAsia="宋体"/>
      <w:sz w:val="21"/>
      <w:lang w:val="en-US" w:eastAsia="zh-CN"/>
    </w:rPr>
  </w:style>
  <w:style w:type="character" w:styleId="1168" w:customStyle="1">
    <w:name w:val="Char Char9"/>
    <w:uiPriority w:val="99"/>
    <w:qFormat/>
    <w:rPr>
      <w:rFonts w:eastAsia="宋体"/>
      <w:sz w:val="21"/>
      <w:lang w:val="en-US" w:eastAsia="zh-CN"/>
    </w:rPr>
  </w:style>
  <w:style w:type="character" w:styleId="1169" w:customStyle="1">
    <w:name w:val="3zw"/>
    <w:uiPriority w:val="99"/>
    <w:qFormat/>
  </w:style>
  <w:style w:type="character" w:styleId="1170" w:customStyle="1">
    <w:name w:val="medium_text1"/>
    <w:uiPriority w:val="99"/>
    <w:qFormat/>
    <w:rPr>
      <w:sz w:val="24"/>
    </w:rPr>
  </w:style>
  <w:style w:type="character" w:styleId="1171" w:customStyle="1">
    <w:name w:val="Char Char16"/>
    <w:uiPriority w:val="99"/>
    <w:qFormat/>
    <w:rPr>
      <w:rFonts w:ascii="Arial" w:hAnsi="Arial" w:eastAsia="黑体"/>
      <w:sz w:val="24"/>
      <w:lang w:val="en-US" w:eastAsia="zh-CN"/>
    </w:rPr>
  </w:style>
  <w:style w:type="character" w:styleId="1172" w:customStyle="1">
    <w:name w:val="华宇段落1 Char Char Char Char"/>
    <w:uiPriority w:val="99"/>
    <w:qFormat/>
    <w:rPr>
      <w:rFonts w:eastAsia="宋体"/>
      <w:sz w:val="24"/>
      <w:lang w:val="en-US" w:eastAsia="zh-CN"/>
    </w:rPr>
  </w:style>
  <w:style w:type="character" w:styleId="1173" w:customStyle="1">
    <w:name w:val="font91"/>
    <w:uiPriority w:val="99"/>
    <w:qFormat/>
    <w:rPr>
      <w:rFonts w:ascii="宋体" w:hAnsi="宋体" w:eastAsia="宋体"/>
      <w:color w:val="000000"/>
      <w:sz w:val="20"/>
      <w:u w:val="none"/>
    </w:rPr>
  </w:style>
  <w:style w:type="character" w:styleId="1174" w:customStyle="1">
    <w:name w:val="Char Char3"/>
    <w:uiPriority w:val="99"/>
    <w:qFormat/>
    <w:rPr>
      <w:rFonts w:eastAsia="宋体"/>
      <w:sz w:val="18"/>
      <w:lang w:val="en-US" w:eastAsia="zh-CN"/>
    </w:rPr>
  </w:style>
  <w:style w:type="character" w:styleId="1175" w:customStyle="1">
    <w:name w:val="普通文字1 Char"/>
    <w:uiPriority w:val="99"/>
    <w:qFormat/>
    <w:rPr>
      <w:rFonts w:ascii="宋体" w:eastAsia="宋体"/>
      <w:sz w:val="21"/>
      <w:lang w:val="en-US" w:eastAsia="zh-CN"/>
    </w:rPr>
  </w:style>
  <w:style w:type="character" w:styleId="1176" w:customStyle="1">
    <w:name w:val="Char Char8"/>
    <w:uiPriority w:val="99"/>
    <w:qFormat/>
    <w:rPr>
      <w:rFonts w:eastAsia="宋体"/>
      <w:sz w:val="18"/>
      <w:lang w:val="en-US" w:eastAsia="zh-CN"/>
    </w:rPr>
  </w:style>
  <w:style w:type="character" w:styleId="1177" w:customStyle="1">
    <w:name w:val="msosubtleemphasis"/>
    <w:uiPriority w:val="99"/>
    <w:qFormat/>
    <w:rPr>
      <w:rFonts w:cs="Times New Roman"/>
      <w:i/>
      <w:color w:val="auto"/>
    </w:rPr>
  </w:style>
  <w:style w:type="character" w:styleId="1178" w:customStyle="1">
    <w:name w:val="小四 段落 宋体 Char Char Char Char Char Char Char Char"/>
    <w:uiPriority w:val="99"/>
    <w:qFormat/>
    <w:rPr>
      <w:rFonts w:eastAsia="宋体"/>
      <w:sz w:val="24"/>
      <w:lang w:val="en-US" w:eastAsia="zh-CN"/>
    </w:rPr>
  </w:style>
  <w:style w:type="character" w:styleId="1179" w:customStyle="1">
    <w:name w:val="批注文字 Char"/>
    <w:uiPriority w:val="0"/>
    <w:qFormat/>
    <w:rPr>
      <w:rFonts w:ascii="Times New Roman" w:hAnsi="Times New Roman" w:eastAsia="宋体"/>
      <w:sz w:val="20"/>
    </w:rPr>
  </w:style>
  <w:style w:type="character" w:styleId="1180" w:customStyle="1">
    <w:name w:val="批注文字 字符"/>
    <w:uiPriority w:val="99"/>
    <w:qFormat/>
    <w:rPr>
      <w:rFonts w:ascii="Times New Roman" w:hAnsi="Times New Roman" w:eastAsia="宋体" w:cs="Times New Roman"/>
      <w:sz w:val="24"/>
      <w:szCs w:val="24"/>
    </w:rPr>
  </w:style>
  <w:style w:type="paragraph" w:styleId="1181" w:customStyle="1">
    <w:name w:val="样式 加点正文 + 段前: 0.5 行 段后: 0.5 行1"/>
    <w:basedOn w:val="960"/>
    <w:uiPriority w:val="99"/>
    <w:qFormat/>
    <w:pPr>
      <w:ind w:left="1268" w:hanging="420"/>
      <w:spacing w:line="300" w:lineRule="auto"/>
      <w:tabs>
        <w:tab w:val="left" w:pos="1268" w:leader="none"/>
      </w:tabs>
    </w:pPr>
    <w:rPr>
      <w:sz w:val="24"/>
      <w:szCs w:val="20"/>
    </w:rPr>
  </w:style>
  <w:style w:type="paragraph" w:styleId="1182" w:customStyle="1">
    <w:name w:val="Char2"/>
    <w:basedOn w:val="978"/>
    <w:uiPriority w:val="99"/>
    <w:qFormat/>
    <w:rPr>
      <w:rFonts w:ascii="Tahoma" w:hAnsi="Tahoma"/>
    </w:rPr>
  </w:style>
  <w:style w:type="paragraph" w:styleId="1183" w:customStyle="1">
    <w:name w:val="正文缩进2字符"/>
    <w:basedOn w:val="960"/>
    <w:uiPriority w:val="99"/>
    <w:qFormat/>
    <w:pPr>
      <w:ind w:firstLine="200"/>
      <w:spacing w:line="300" w:lineRule="auto"/>
    </w:pPr>
    <w:rPr>
      <w:rFonts w:ascii="仿宋_GB2312" w:eastAsia="仿宋_GB2312"/>
      <w:sz w:val="32"/>
      <w:szCs w:val="32"/>
    </w:rPr>
  </w:style>
  <w:style w:type="paragraph" w:styleId="1184" w:customStyle="1">
    <w:name w:val="普通 (Web)"/>
    <w:basedOn w:val="960"/>
    <w:uiPriority w:val="99"/>
    <w:qFormat/>
    <w:pPr>
      <w:jc w:val="left"/>
      <w:spacing w:before="100" w:beforeAutospacing="1" w:after="100" w:afterAutospacing="1"/>
      <w:widowControl/>
    </w:pPr>
    <w:rPr>
      <w:rFonts w:ascii="宋体" w:hAnsi="宋体"/>
      <w:sz w:val="24"/>
    </w:rPr>
  </w:style>
  <w:style w:type="paragraph" w:styleId="1185" w:customStyle="1">
    <w:name w:val="table_lines"/>
    <w:basedOn w:val="960"/>
    <w:uiPriority w:val="99"/>
    <w:qFormat/>
    <w:pPr>
      <w:jc w:val="left"/>
      <w:widowControl/>
    </w:pPr>
    <w:rPr>
      <w:sz w:val="20"/>
      <w:szCs w:val="20"/>
      <w:lang w:val="de-DE" w:eastAsia="de-DE"/>
    </w:rPr>
  </w:style>
  <w:style w:type="paragraph" w:styleId="1186" w:customStyle="1">
    <w:name w:val="方案正文"/>
    <w:basedOn w:val="960"/>
    <w:uiPriority w:val="99"/>
    <w:qFormat/>
    <w:pPr>
      <w:ind w:firstLine="359"/>
      <w:jc w:val="left"/>
      <w:spacing w:before="156" w:line="360" w:lineRule="auto"/>
    </w:pPr>
    <w:rPr>
      <w:rFonts w:ascii="Arial" w:hAnsi="Arial" w:cs="宋体"/>
      <w:sz w:val="24"/>
      <w:szCs w:val="21"/>
    </w:rPr>
  </w:style>
  <w:style w:type="paragraph" w:styleId="1187" w:customStyle="1">
    <w:name w:val="xl37"/>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88" w:customStyle="1">
    <w:name w:val="标准文本"/>
    <w:basedOn w:val="960"/>
    <w:uiPriority w:val="99"/>
    <w:qFormat/>
    <w:pPr>
      <w:ind w:firstLine="480"/>
      <w:spacing w:line="360" w:lineRule="auto"/>
    </w:pPr>
    <w:rPr>
      <w:rFonts w:cs="宋体"/>
      <w:sz w:val="24"/>
    </w:rPr>
  </w:style>
  <w:style w:type="paragraph" w:styleId="1189" w:customStyle="1">
    <w:name w:val="正文 + 宋体"/>
    <w:basedOn w:val="960"/>
    <w:uiPriority w:val="99"/>
    <w:qFormat/>
    <w:pPr>
      <w:ind w:firstLine="420"/>
      <w:spacing w:line="360" w:lineRule="auto"/>
    </w:pPr>
  </w:style>
  <w:style w:type="paragraph" w:styleId="1190" w:customStyle="1">
    <w:name w:val="我的正文"/>
    <w:basedOn w:val="960"/>
    <w:uiPriority w:val="99"/>
    <w:qFormat/>
    <w:pPr>
      <w:ind w:firstLine="420"/>
      <w:jc w:val="left"/>
      <w:spacing w:line="360" w:lineRule="auto"/>
      <w:widowControl/>
    </w:pPr>
    <w:rPr>
      <w:rFonts w:ascii="宋体" w:hAnsi="宋体" w:cs="宋体"/>
      <w:szCs w:val="21"/>
    </w:rPr>
  </w:style>
  <w:style w:type="paragraph" w:styleId="1191" w:customStyle="1">
    <w:name w:val="Char Char Char Char Char Char Char"/>
    <w:basedOn w:val="960"/>
    <w:uiPriority w:val="99"/>
    <w:qFormat/>
    <w:pPr>
      <w:jc w:val="left"/>
    </w:pPr>
    <w:rPr>
      <w:rFonts w:ascii="Tahoma" w:hAnsi="Tahoma"/>
      <w:sz w:val="24"/>
      <w:szCs w:val="20"/>
    </w:rPr>
  </w:style>
  <w:style w:type="paragraph" w:styleId="1192" w:customStyle="1">
    <w:name w:val="公文正文"/>
    <w:basedOn w:val="982"/>
    <w:uiPriority w:val="99"/>
    <w:qFormat/>
    <w:pPr>
      <w:ind w:left="0" w:firstLine="200"/>
      <w:spacing w:after="0"/>
    </w:pPr>
    <w:rPr>
      <w:rFonts w:ascii="仿宋_GB2312" w:hAnsi="宋体" w:eastAsia="仿宋_GB2312"/>
      <w:sz w:val="28"/>
    </w:rPr>
  </w:style>
  <w:style w:type="paragraph" w:styleId="1193" w:customStyle="1">
    <w:name w:val="p0"/>
    <w:basedOn w:val="960"/>
    <w:uiPriority w:val="99"/>
    <w:qFormat/>
    <w:pPr>
      <w:jc w:val="left"/>
      <w:spacing w:before="100" w:beforeAutospacing="1" w:after="100" w:afterAutospacing="1"/>
      <w:widowControl/>
    </w:pPr>
    <w:rPr>
      <w:rFonts w:ascii="宋体" w:hAnsi="宋体" w:cs="宋体"/>
      <w:sz w:val="24"/>
    </w:rPr>
  </w:style>
  <w:style w:type="paragraph" w:styleId="1194" w:customStyle="1">
    <w:name w:val="Char Char Char Char Char Char Char Char Char Char Char"/>
    <w:basedOn w:val="960"/>
    <w:uiPriority w:val="99"/>
    <w:qFormat/>
    <w:rPr>
      <w:rFonts w:ascii="Tahoma" w:hAnsi="Tahoma"/>
      <w:sz w:val="24"/>
      <w:szCs w:val="20"/>
    </w:rPr>
  </w:style>
  <w:style w:type="paragraph" w:styleId="1195" w:customStyle="1">
    <w:name w:val="插图"/>
    <w:basedOn w:val="960"/>
    <w:uiPriority w:val="99"/>
    <w:qFormat/>
    <w:pPr>
      <w:jc w:val="center"/>
      <w:tabs>
        <w:tab w:val="left" w:pos="1620" w:leader="none"/>
      </w:tabs>
    </w:pPr>
    <w:rPr>
      <w:bCs/>
      <w:color w:val="000000"/>
      <w:szCs w:val="22"/>
    </w:rPr>
  </w:style>
  <w:style w:type="paragraph" w:styleId="1196" w:customStyle="1">
    <w:name w:val="样式1"/>
    <w:basedOn w:val="960"/>
    <w:uiPriority w:val="99"/>
    <w:qFormat/>
    <w:pPr>
      <w:ind w:firstLine="480"/>
      <w:spacing w:line="300" w:lineRule="auto"/>
    </w:pPr>
    <w:rPr>
      <w:sz w:val="24"/>
    </w:rPr>
  </w:style>
  <w:style w:type="paragraph" w:styleId="1197" w:customStyle="1">
    <w:name w:val="xl26"/>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98" w:customStyle="1">
    <w:name w:val="Char Char Char"/>
    <w:basedOn w:val="960"/>
    <w:uiPriority w:val="99"/>
    <w:qFormat/>
    <w:rPr>
      <w:rFonts w:ascii="Tahoma" w:hAnsi="Tahoma"/>
      <w:sz w:val="24"/>
      <w:szCs w:val="20"/>
    </w:rPr>
  </w:style>
  <w:style w:type="paragraph" w:styleId="1199" w:customStyle="1">
    <w:name w:val="马刚标题3"/>
    <w:basedOn w:val="960"/>
    <w:next w:val="960"/>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00" w:customStyle="1">
    <w:name w:val="段"/>
    <w:uiPriority w:val="99"/>
    <w:qFormat/>
    <w:pPr>
      <w:ind w:firstLine="200"/>
      <w:jc w:val="both"/>
    </w:pPr>
    <w:rPr>
      <w:rFonts w:ascii="宋体" w:hAnsi="Times New Roman" w:eastAsia="宋体" w:cs="Times New Roman"/>
      <w:sz w:val="21"/>
      <w:lang w:val="en-US" w:eastAsia="zh-CN" w:bidi="ar-SA"/>
    </w:rPr>
  </w:style>
  <w:style w:type="paragraph" w:styleId="1201" w:customStyle="1">
    <w:name w:val="二级条标题"/>
    <w:basedOn w:val="960"/>
    <w:next w:val="1200"/>
    <w:uiPriority w:val="99"/>
    <w:qFormat/>
    <w:pPr>
      <w:ind w:hanging="420"/>
      <w:widowControl/>
      <w:tabs>
        <w:tab w:val="left" w:pos="2240" w:leader="none"/>
      </w:tabs>
      <w:outlineLvl w:val="3"/>
    </w:pPr>
    <w:rPr>
      <w:rFonts w:eastAsia="黑体"/>
      <w:szCs w:val="20"/>
    </w:rPr>
  </w:style>
  <w:style w:type="paragraph" w:styleId="1202" w:customStyle="1">
    <w:name w:val="Char Char1 Char Char Char Char1 Char Char Char Char Char Char"/>
    <w:basedOn w:val="960"/>
    <w:uiPriority w:val="99"/>
    <w:qFormat/>
    <w:rPr>
      <w:rFonts w:ascii="Tahoma" w:hAnsi="Tahoma"/>
      <w:sz w:val="24"/>
      <w:szCs w:val="20"/>
    </w:rPr>
  </w:style>
  <w:style w:type="paragraph" w:styleId="1203" w:customStyle="1">
    <w:name w:val="正文表标题"/>
    <w:next w:val="1200"/>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04" w:customStyle="1">
    <w:name w:val="xl44"/>
    <w:basedOn w:val="960"/>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05" w:customStyle="1">
    <w:name w:val="Char Char Char Char Char Char Char Char Char Char Char Char Char Char Char Char Char Char Char Char Char1"/>
    <w:basedOn w:val="960"/>
    <w:uiPriority w:val="99"/>
    <w:qFormat/>
    <w:rPr>
      <w:rFonts w:ascii="Tahoma" w:hAnsi="Tahoma"/>
      <w:sz w:val="24"/>
      <w:szCs w:val="20"/>
    </w:rPr>
  </w:style>
  <w:style w:type="paragraph" w:styleId="1206" w:customStyle="1">
    <w:name w:val="样式2"/>
    <w:basedOn w:val="960"/>
    <w:uiPriority w:val="99"/>
    <w:qFormat/>
    <w:pPr>
      <w:ind w:left="200"/>
      <w:spacing w:line="360" w:lineRule="auto"/>
    </w:pPr>
    <w:rPr>
      <w:rFonts w:ascii="宋体" w:hAnsi="宋体"/>
      <w:b/>
      <w:sz w:val="24"/>
    </w:rPr>
  </w:style>
  <w:style w:type="paragraph" w:styleId="1207" w:customStyle="1">
    <w:name w:val="部分1"/>
    <w:basedOn w:val="960"/>
    <w:uiPriority w:val="99"/>
    <w:qFormat/>
    <w:pPr>
      <w:jc w:val="center"/>
      <w:keepNext/>
      <w:pageBreakBefore/>
      <w:spacing w:line="360" w:lineRule="auto"/>
      <w:tabs>
        <w:tab w:val="left" w:pos="360" w:leader="none"/>
      </w:tabs>
      <w:outlineLvl w:val="0"/>
    </w:pPr>
    <w:rPr>
      <w:rFonts w:eastAsia="黑体"/>
      <w:b/>
      <w:sz w:val="36"/>
      <w:szCs w:val="20"/>
    </w:rPr>
  </w:style>
  <w:style w:type="paragraph" w:styleId="1208"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209" w:customStyle="1">
    <w:name w:val="马刚标题4"/>
    <w:basedOn w:val="1199"/>
    <w:next w:val="960"/>
    <w:uiPriority w:val="99"/>
    <w:qFormat/>
    <w:pPr>
      <w:spacing w:before="100" w:after="40"/>
      <w:tabs>
        <w:tab w:val="left" w:pos="1050" w:leader="none"/>
      </w:tabs>
      <w:outlineLvl w:val="3"/>
    </w:pPr>
    <w:rPr>
      <w:b w:val="0"/>
    </w:rPr>
  </w:style>
  <w:style w:type="paragraph" w:styleId="1210" w:customStyle="1">
    <w:name w:val="xl27"/>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11" w:customStyle="1">
    <w:name w:val="xl31"/>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12" w:customStyle="1">
    <w:name w:val="样式 标题 3H3sect1.2.3BOD 0Heading 3 - oldh3l3CTLevel 3 Head..."/>
    <w:basedOn w:val="963"/>
    <w:uiPriority w:val="99"/>
    <w:qFormat/>
    <w:pPr>
      <w:jc w:val="left"/>
      <w:spacing w:line="240" w:lineRule="auto"/>
    </w:pPr>
    <w:rPr>
      <w:rFonts w:cs="宋体"/>
      <w:sz w:val="30"/>
      <w:szCs w:val="20"/>
    </w:rPr>
  </w:style>
  <w:style w:type="paragraph" w:styleId="1213" w:customStyle="1">
    <w:name w:val="Table Text Char"/>
    <w:uiPriority w:val="99"/>
    <w:qFormat/>
    <w:pPr>
      <w:spacing w:before="80" w:after="80"/>
    </w:pPr>
    <w:rPr>
      <w:rFonts w:ascii="Arial" w:hAnsi="Arial" w:eastAsia="宋体" w:cs="Arial"/>
      <w:sz w:val="18"/>
      <w:szCs w:val="28"/>
      <w:lang w:val="en-US" w:eastAsia="zh-CN" w:bidi="ar-SA"/>
    </w:rPr>
  </w:style>
  <w:style w:type="paragraph" w:styleId="1214" w:customStyle="1">
    <w:name w:val="小四 段落 宋体 Char Char Char Char"/>
    <w:basedOn w:val="960"/>
    <w:uiPriority w:val="99"/>
    <w:qFormat/>
    <w:pPr>
      <w:ind w:right="-33" w:firstLine="480"/>
      <w:jc w:val="left"/>
      <w:spacing w:line="360" w:lineRule="auto"/>
    </w:pPr>
    <w:rPr>
      <w:sz w:val="24"/>
    </w:rPr>
  </w:style>
  <w:style w:type="paragraph" w:styleId="1215" w:customStyle="1">
    <w:name w:val="Pa5"/>
    <w:basedOn w:val="960"/>
    <w:next w:val="960"/>
    <w:uiPriority w:val="99"/>
    <w:qFormat/>
    <w:pPr>
      <w:jc w:val="left"/>
      <w:spacing w:line="241" w:lineRule="atLeast"/>
    </w:pPr>
    <w:rPr>
      <w:rFonts w:ascii="汉仪大黑简" w:eastAsia="汉仪大黑简"/>
      <w:sz w:val="24"/>
    </w:rPr>
  </w:style>
  <w:style w:type="paragraph" w:styleId="1216" w:customStyle="1">
    <w:name w:val="样式 段后: 0.25 行"/>
    <w:basedOn w:val="960"/>
    <w:uiPriority w:val="99"/>
    <w:qFormat/>
    <w:pPr>
      <w:ind w:firstLine="420"/>
      <w:jc w:val="left"/>
      <w:spacing w:line="300" w:lineRule="auto"/>
      <w:widowControl/>
    </w:pPr>
    <w:rPr>
      <w:rFonts w:ascii="Arial" w:hAnsi="Arial" w:cs="宋体"/>
      <w:sz w:val="22"/>
      <w:szCs w:val="20"/>
      <w:lang w:eastAsia="en-US"/>
    </w:rPr>
  </w:style>
  <w:style w:type="paragraph" w:styleId="1217" w:customStyle="1">
    <w:name w:val="flType"/>
    <w:basedOn w:val="1218"/>
    <w:uiPriority w:val="99"/>
    <w:qFormat/>
    <w:pPr>
      <w:spacing w:after="284"/>
    </w:pPr>
    <w:rPr>
      <w:rFonts w:eastAsia="宋体"/>
      <w:b w:val="0"/>
    </w:rPr>
  </w:style>
  <w:style w:type="paragraph" w:styleId="1218" w:customStyle="1">
    <w:name w:val="flName"/>
    <w:basedOn w:val="1219"/>
    <w:uiPriority w:val="99"/>
    <w:qFormat/>
    <w:pPr>
      <w:spacing w:before="0" w:line="113" w:lineRule="atLeast"/>
    </w:pPr>
  </w:style>
  <w:style w:type="paragraph" w:styleId="1219" w:customStyle="1">
    <w:name w:val="flNote"/>
    <w:basedOn w:val="960"/>
    <w:uiPriority w:val="99"/>
    <w:qFormat/>
    <w:pPr>
      <w:jc w:val="center"/>
      <w:spacing w:before="567" w:line="360" w:lineRule="atLeast"/>
    </w:pPr>
    <w:rPr>
      <w:rFonts w:eastAsia="黑体"/>
      <w:b/>
      <w:sz w:val="24"/>
      <w:szCs w:val="20"/>
    </w:rPr>
  </w:style>
  <w:style w:type="paragraph" w:styleId="1220"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221" w:customStyle="1">
    <w:name w:val="样式 样式 首行缩进:  2 字符 + 行距: 1.5 倍行距"/>
    <w:basedOn w:val="960"/>
    <w:uiPriority w:val="99"/>
    <w:qFormat/>
    <w:pPr>
      <w:ind w:firstLine="470"/>
      <w:spacing w:line="360" w:lineRule="auto"/>
    </w:pPr>
    <w:rPr>
      <w:sz w:val="24"/>
      <w:szCs w:val="20"/>
    </w:rPr>
  </w:style>
  <w:style w:type="paragraph" w:styleId="1222" w:customStyle="1">
    <w:name w:val="_Style 82"/>
    <w:uiPriority w:val="99"/>
    <w:qFormat/>
    <w:rPr>
      <w:rFonts w:ascii="Times New Roman" w:hAnsi="Times New Roman" w:eastAsia="宋体" w:cs="Times New Roman"/>
      <w:sz w:val="22"/>
      <w:szCs w:val="22"/>
      <w:lang w:val="en-US" w:eastAsia="zh-CN" w:bidi="ar-SA"/>
    </w:rPr>
  </w:style>
  <w:style w:type="paragraph" w:styleId="1223" w:customStyle="1">
    <w:name w:val="xl52"/>
    <w:basedOn w:val="96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24" w:customStyle="1">
    <w:name w:val="样式 样式 首行缩进:  0.74 厘米 行距: 1.5 倍行距 + 段后: 0.5 行"/>
    <w:basedOn w:val="960"/>
    <w:uiPriority w:val="99"/>
    <w:qFormat/>
    <w:pPr>
      <w:ind w:firstLine="420"/>
      <w:spacing w:line="360" w:lineRule="auto"/>
    </w:pPr>
    <w:rPr>
      <w:rFonts w:ascii="楷体_GB2312" w:eastAsia="楷体_GB2312"/>
      <w:bCs/>
      <w:sz w:val="24"/>
      <w:szCs w:val="20"/>
    </w:rPr>
  </w:style>
  <w:style w:type="paragraph" w:styleId="1225" w:customStyle="1">
    <w:name w:val="Char Char1"/>
    <w:basedOn w:val="960"/>
    <w:uiPriority w:val="99"/>
    <w:qFormat/>
    <w:rPr>
      <w:rFonts w:ascii="Tahoma" w:hAnsi="Tahoma"/>
      <w:sz w:val="24"/>
      <w:szCs w:val="20"/>
    </w:rPr>
  </w:style>
  <w:style w:type="paragraph" w:styleId="1226" w:customStyle="1">
    <w:name w:val="Char1 Char Char Char"/>
    <w:basedOn w:val="960"/>
    <w:uiPriority w:val="99"/>
    <w:qFormat/>
    <w:rPr>
      <w:rFonts w:ascii="Tahoma" w:hAnsi="Tahoma" w:cs="Tahoma"/>
      <w:sz w:val="24"/>
      <w:szCs w:val="20"/>
    </w:rPr>
  </w:style>
  <w:style w:type="paragraph" w:styleId="1227" w:customStyle="1">
    <w:name w:val="标题2，章节第二层"/>
    <w:basedOn w:val="960"/>
    <w:next w:val="1228"/>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28" w:customStyle="1">
    <w:name w:val="正文格式"/>
    <w:basedOn w:val="960"/>
    <w:uiPriority w:val="99"/>
    <w:qFormat/>
    <w:pPr>
      <w:ind w:left="178" w:right="44" w:hanging="178"/>
      <w:jc w:val="left"/>
      <w:spacing w:line="360" w:lineRule="auto"/>
      <w:widowControl/>
    </w:pPr>
    <w:rPr>
      <w:rFonts w:ascii="宋体" w:hAnsi="宋体"/>
      <w:bCs/>
      <w:szCs w:val="21"/>
    </w:rPr>
  </w:style>
  <w:style w:type="paragraph" w:styleId="1229" w:customStyle="1">
    <w:name w:val="Test2"/>
    <w:basedOn w:val="962"/>
    <w:uiPriority w:val="99"/>
    <w:qFormat/>
    <w:pPr>
      <w:jc w:val="center"/>
      <w:spacing w:line="480" w:lineRule="exact"/>
      <w:widowControl/>
    </w:pPr>
    <w:rPr>
      <w:rFonts w:ascii="黑体"/>
      <w:sz w:val="24"/>
      <w:szCs w:val="24"/>
    </w:rPr>
  </w:style>
  <w:style w:type="paragraph" w:styleId="1230" w:customStyle="1">
    <w:name w:val="xl36"/>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1" w:customStyle="1">
    <w:name w:val="font6"/>
    <w:basedOn w:val="960"/>
    <w:uiPriority w:val="99"/>
    <w:qFormat/>
    <w:pPr>
      <w:jc w:val="left"/>
      <w:spacing w:before="100" w:beforeAutospacing="1" w:after="100" w:afterAutospacing="1"/>
      <w:widowControl/>
    </w:pPr>
    <w:rPr>
      <w:rFonts w:ascii="宋体" w:hAnsi="宋体" w:cs="宋体"/>
      <w:b/>
      <w:bCs/>
      <w:sz w:val="20"/>
      <w:szCs w:val="20"/>
    </w:rPr>
  </w:style>
  <w:style w:type="paragraph" w:styleId="1232" w:customStyle="1">
    <w:name w:val="xl58"/>
    <w:basedOn w:val="960"/>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33" w:customStyle="1">
    <w:name w:val="font10"/>
    <w:basedOn w:val="960"/>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34" w:customStyle="1">
    <w:name w:val="xl56"/>
    <w:basedOn w:val="96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35" w:customStyle="1">
    <w:name w:val="样式"/>
    <w:basedOn w:val="960"/>
    <w:uiPriority w:val="99"/>
    <w:qFormat/>
    <w:pPr>
      <w:spacing w:before="120" w:after="120" w:line="360" w:lineRule="auto"/>
    </w:pPr>
    <w:rPr>
      <w:rFonts w:ascii="宋体"/>
      <w:sz w:val="24"/>
      <w:szCs w:val="20"/>
    </w:rPr>
  </w:style>
  <w:style w:type="paragraph" w:styleId="1236" w:customStyle="1">
    <w:name w:val="a0"/>
    <w:basedOn w:val="960"/>
    <w:uiPriority w:val="99"/>
    <w:qFormat/>
    <w:pPr>
      <w:spacing w:before="100" w:beforeAutospacing="1" w:after="100" w:afterAutospacing="1"/>
      <w:widowControl/>
    </w:pPr>
    <w:rPr>
      <w:rFonts w:ascii="宋体" w:hAnsi="宋体" w:cs="宋体"/>
      <w:sz w:val="24"/>
    </w:rPr>
  </w:style>
  <w:style w:type="paragraph" w:styleId="1237" w:customStyle="1">
    <w:name w:val="retrait3"/>
    <w:basedOn w:val="960"/>
    <w:uiPriority w:val="99"/>
    <w:qFormat/>
    <w:pPr>
      <w:ind w:left="851"/>
      <w:jc w:val="left"/>
      <w:spacing w:before="20" w:after="20"/>
      <w:widowControl/>
    </w:pPr>
    <w:rPr>
      <w:rFonts w:ascii="Arial" w:hAnsi="Arial"/>
      <w:sz w:val="24"/>
      <w:szCs w:val="20"/>
      <w:lang w:val="en-GB"/>
    </w:rPr>
  </w:style>
  <w:style w:type="paragraph" w:styleId="1238" w:customStyle="1">
    <w:name w:val="图标"/>
    <w:basedOn w:val="960"/>
    <w:next w:val="960"/>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9" w:customStyle="1">
    <w:name w:val="Char1 Char Char Char1"/>
    <w:basedOn w:val="960"/>
    <w:uiPriority w:val="99"/>
    <w:qFormat/>
    <w:rPr>
      <w:rFonts w:ascii="Tahoma" w:hAnsi="Tahoma"/>
      <w:sz w:val="24"/>
      <w:szCs w:val="20"/>
    </w:rPr>
  </w:style>
  <w:style w:type="paragraph" w:styleId="1240" w:customStyle="1">
    <w:name w:val="样式 样式 标题 3H3sect1.2.3BOD 0Heading 3 - oldh3l3CTLevel 3 Head... +..."/>
    <w:basedOn w:val="960"/>
    <w:uiPriority w:val="99"/>
    <w:qFormat/>
    <w:pPr>
      <w:jc w:val="left"/>
      <w:keepLines/>
      <w:keepNext/>
      <w:outlineLvl w:val="2"/>
    </w:pPr>
    <w:rPr>
      <w:rFonts w:cs="宋体"/>
      <w:b/>
      <w:bCs/>
      <w:sz w:val="24"/>
      <w:szCs w:val="20"/>
    </w:rPr>
  </w:style>
  <w:style w:type="paragraph" w:styleId="1241" w:customStyle="1">
    <w:name w:val="Char Char1 Char1"/>
    <w:basedOn w:val="960"/>
    <w:uiPriority w:val="99"/>
    <w:qFormat/>
    <w:pPr>
      <w:jc w:val="left"/>
      <w:spacing w:after="160" w:line="240" w:lineRule="exact"/>
      <w:widowControl/>
    </w:pPr>
    <w:rPr>
      <w:rFonts w:ascii="Verdana" w:hAnsi="Verdana"/>
      <w:sz w:val="20"/>
      <w:szCs w:val="20"/>
      <w:lang w:eastAsia="en-US"/>
    </w:rPr>
  </w:style>
  <w:style w:type="paragraph" w:styleId="1242"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43" w:customStyle="1">
    <w:name w:val="xl34"/>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44" w:customStyle="1">
    <w:name w:val="正文2"/>
    <w:basedOn w:val="960"/>
    <w:uiPriority w:val="99"/>
    <w:qFormat/>
    <w:pPr>
      <w:ind w:firstLine="510"/>
      <w:spacing w:before="156" w:line="360" w:lineRule="auto"/>
    </w:pPr>
    <w:rPr>
      <w:sz w:val="24"/>
      <w:szCs w:val="20"/>
    </w:rPr>
  </w:style>
  <w:style w:type="paragraph" w:styleId="1245" w:customStyle="1">
    <w:name w:val="7"/>
    <w:basedOn w:val="960"/>
    <w:next w:val="1012"/>
    <w:uiPriority w:val="99"/>
    <w:qFormat/>
    <w:pPr>
      <w:jc w:val="left"/>
      <w:spacing w:before="100" w:beforeAutospacing="1" w:after="100" w:afterAutospacing="1"/>
      <w:widowControl/>
    </w:pPr>
    <w:rPr>
      <w:rFonts w:ascii="宋体" w:hAnsi="宋体"/>
      <w:sz w:val="24"/>
      <w:szCs w:val="20"/>
    </w:rPr>
  </w:style>
  <w:style w:type="paragraph" w:styleId="1246" w:customStyle="1">
    <w:name w:val="Char Char Char Char Char Char Char Char Char Char Char1 Char Char Char1"/>
    <w:basedOn w:val="960"/>
    <w:uiPriority w:val="99"/>
    <w:qFormat/>
    <w:pPr>
      <w:ind w:firstLine="200"/>
      <w:jc w:val="left"/>
    </w:pPr>
    <w:rPr>
      <w:rFonts w:ascii="Tahoma" w:hAnsi="Tahoma"/>
      <w:sz w:val="24"/>
    </w:rPr>
  </w:style>
  <w:style w:type="paragraph" w:styleId="1247" w:customStyle="1">
    <w:name w:val="font13"/>
    <w:basedOn w:val="960"/>
    <w:uiPriority w:val="99"/>
    <w:qFormat/>
    <w:pPr>
      <w:jc w:val="left"/>
      <w:spacing w:before="100" w:beforeAutospacing="1" w:after="100" w:afterAutospacing="1"/>
      <w:widowControl/>
    </w:pPr>
    <w:rPr>
      <w:i/>
      <w:iCs/>
      <w:sz w:val="36"/>
      <w:szCs w:val="36"/>
    </w:rPr>
  </w:style>
  <w:style w:type="paragraph" w:styleId="1248" w:customStyle="1">
    <w:name w:val="默认段落字体 Para Char"/>
    <w:basedOn w:val="960"/>
    <w:uiPriority w:val="99"/>
    <w:qFormat/>
    <w:pPr>
      <w:spacing w:line="360" w:lineRule="auto"/>
    </w:pPr>
    <w:rPr>
      <w:sz w:val="24"/>
    </w:rPr>
  </w:style>
  <w:style w:type="paragraph" w:styleId="1249" w:customStyle="1">
    <w:name w:val="xl24"/>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50" w:customStyle="1">
    <w:name w:val="xl29"/>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51"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252" w:customStyle="1">
    <w:name w:val="符号与编号 Char Char"/>
    <w:basedOn w:val="960"/>
    <w:uiPriority w:val="99"/>
    <w:qFormat/>
    <w:pPr>
      <w:ind w:left="839" w:hanging="419"/>
      <w:spacing w:line="400" w:lineRule="atLeast"/>
      <w:tabs>
        <w:tab w:val="left" w:pos="840" w:leader="none"/>
      </w:tabs>
    </w:pPr>
    <w:rPr>
      <w:sz w:val="24"/>
    </w:rPr>
  </w:style>
  <w:style w:type="paragraph" w:styleId="1253" w:customStyle="1">
    <w:name w:val="Char Char Char Char Char Char Char Char Char Char Char1"/>
    <w:basedOn w:val="960"/>
    <w:uiPriority w:val="99"/>
    <w:qFormat/>
    <w:rPr>
      <w:rFonts w:ascii="Tahoma" w:hAnsi="Tahoma" w:cs="Tahoma"/>
      <w:sz w:val="24"/>
      <w:szCs w:val="20"/>
    </w:rPr>
  </w:style>
  <w:style w:type="paragraph" w:styleId="1254" w:customStyle="1">
    <w:name w:val="标题1，章节第一层"/>
    <w:basedOn w:val="1228"/>
    <w:next w:val="1228"/>
    <w:uiPriority w:val="99"/>
    <w:qFormat/>
    <w:pPr>
      <w:ind w:left="482"/>
      <w:tabs>
        <w:tab w:val="left" w:pos="693" w:leader="none"/>
      </w:tabs>
      <w:outlineLvl w:val="0"/>
    </w:pPr>
    <w:rPr>
      <w:color w:val="000000"/>
      <w:sz w:val="24"/>
      <w:szCs w:val="24"/>
    </w:rPr>
  </w:style>
  <w:style w:type="paragraph" w:styleId="1255"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56" w:customStyle="1">
    <w:name w:val="样式 首行缩进:  2 字符"/>
    <w:basedOn w:val="960"/>
    <w:uiPriority w:val="99"/>
    <w:qFormat/>
    <w:pPr>
      <w:ind w:firstLine="480"/>
      <w:spacing w:line="360" w:lineRule="auto"/>
    </w:pPr>
    <w:rPr>
      <w:rFonts w:cs="宋体"/>
      <w:sz w:val="24"/>
      <w:szCs w:val="20"/>
    </w:rPr>
  </w:style>
  <w:style w:type="paragraph" w:styleId="1257" w:customStyle="1">
    <w:name w:val="标题5，章节第五层"/>
    <w:basedOn w:val="960"/>
    <w:next w:val="960"/>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58" w:customStyle="1">
    <w:name w:val="表格"/>
    <w:basedOn w:val="960"/>
    <w:uiPriority w:val="99"/>
    <w:qFormat/>
    <w:pPr>
      <w:ind w:firstLine="21"/>
    </w:pPr>
    <w:rPr>
      <w:rFonts w:ascii="宋体" w:hAnsi="宋体" w:cs="宋体"/>
      <w:sz w:val="20"/>
      <w:szCs w:val="20"/>
    </w:rPr>
  </w:style>
  <w:style w:type="paragraph" w:styleId="1259" w:customStyle="1">
    <w:name w:val="正文1"/>
    <w:basedOn w:val="960"/>
    <w:next w:val="960"/>
    <w:uiPriority w:val="99"/>
    <w:qFormat/>
    <w:pPr>
      <w:ind w:firstLine="510"/>
      <w:spacing w:before="156" w:line="360" w:lineRule="auto"/>
    </w:pPr>
    <w:rPr>
      <w:sz w:val="24"/>
      <w:szCs w:val="20"/>
    </w:rPr>
  </w:style>
  <w:style w:type="paragraph" w:styleId="1260" w:customStyle="1">
    <w:name w:val="批注主题1"/>
    <w:basedOn w:val="979"/>
    <w:next w:val="979"/>
    <w:uiPriority w:val="99"/>
    <w:qFormat/>
    <w:rPr>
      <w:b/>
      <w:bCs/>
    </w:rPr>
  </w:style>
  <w:style w:type="paragraph" w:styleId="1261" w:customStyle="1">
    <w:name w:val="样式3"/>
    <w:basedOn w:val="960"/>
    <w:next w:val="960"/>
    <w:uiPriority w:val="99"/>
    <w:qFormat/>
    <w:pPr>
      <w:spacing w:line="360" w:lineRule="auto"/>
    </w:pPr>
    <w:rPr>
      <w:szCs w:val="20"/>
    </w:rPr>
  </w:style>
  <w:style w:type="paragraph" w:styleId="1262" w:customStyle="1">
    <w:name w:val="Char Char Char Char Char Char Char Char Char1"/>
    <w:basedOn w:val="960"/>
    <w:uiPriority w:val="99"/>
    <w:qFormat/>
    <w:pPr>
      <w:ind w:left="360" w:hanging="360"/>
      <w:tabs>
        <w:tab w:val="left" w:pos="360" w:leader="none"/>
      </w:tabs>
    </w:pPr>
    <w:rPr>
      <w:sz w:val="24"/>
    </w:rPr>
  </w:style>
  <w:style w:type="paragraph" w:styleId="1263" w:customStyle="1">
    <w:name w:val="正文--wdh"/>
    <w:basedOn w:val="960"/>
    <w:uiPriority w:val="99"/>
    <w:qFormat/>
    <w:pPr>
      <w:spacing w:line="360" w:lineRule="auto"/>
    </w:pPr>
    <w:rPr>
      <w:sz w:val="24"/>
    </w:rPr>
  </w:style>
  <w:style w:type="paragraph" w:styleId="1264" w:customStyle="1">
    <w:name w:val="Char Char Char Char Char Char Char Char Char Char Char Char Char Char Char Char Char Char Char Char Char Char Char"/>
    <w:basedOn w:val="960"/>
    <w:uiPriority w:val="99"/>
    <w:qFormat/>
    <w:rPr>
      <w:rFonts w:ascii="Tahoma" w:hAnsi="Tahoma"/>
      <w:sz w:val="24"/>
      <w:szCs w:val="20"/>
    </w:rPr>
  </w:style>
  <w:style w:type="paragraph" w:styleId="1265" w:customStyle="1">
    <w:name w:val="Char"/>
    <w:basedOn w:val="960"/>
    <w:uiPriority w:val="99"/>
    <w:qFormat/>
    <w:pPr>
      <w:spacing w:line="360" w:lineRule="auto"/>
    </w:pPr>
    <w:rPr>
      <w:rFonts w:ascii="Tahoma" w:hAnsi="Tahoma"/>
      <w:sz w:val="24"/>
      <w:szCs w:val="20"/>
    </w:rPr>
  </w:style>
  <w:style w:type="paragraph" w:styleId="1266" w:customStyle="1">
    <w:name w:val="Char1"/>
    <w:basedOn w:val="960"/>
    <w:uiPriority w:val="99"/>
    <w:qFormat/>
    <w:rPr>
      <w:rFonts w:ascii="仿宋_GB2312" w:hAnsi="宋体" w:eastAsia="仿宋_GB2312" w:cs="宋体"/>
      <w:b/>
      <w:sz w:val="32"/>
      <w:szCs w:val="32"/>
    </w:rPr>
  </w:style>
  <w:style w:type="paragraph" w:styleId="1267" w:customStyle="1">
    <w:name w:val="xl62"/>
    <w:basedOn w:val="96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68" w:customStyle="1">
    <w:name w:val="xl41"/>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69" w:customStyle="1">
    <w:name w:val="xl40"/>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70" w:customStyle="1">
    <w:name w:val="xl48"/>
    <w:basedOn w:val="960"/>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271" w:customStyle="1">
    <w:name w:val="font14"/>
    <w:basedOn w:val="960"/>
    <w:uiPriority w:val="99"/>
    <w:qFormat/>
    <w:pPr>
      <w:jc w:val="left"/>
      <w:spacing w:before="100" w:beforeAutospacing="1" w:after="100" w:afterAutospacing="1"/>
      <w:widowControl/>
    </w:pPr>
    <w:rPr>
      <w:sz w:val="36"/>
      <w:szCs w:val="36"/>
    </w:rPr>
  </w:style>
  <w:style w:type="paragraph" w:styleId="1272" w:customStyle="1">
    <w:name w:val="xl53"/>
    <w:basedOn w:val="960"/>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73" w:customStyle="1">
    <w:name w:val="正文文本 21"/>
    <w:basedOn w:val="960"/>
    <w:uiPriority w:val="99"/>
    <w:qFormat/>
    <w:pPr>
      <w:ind w:left="720" w:hanging="720"/>
      <w:widowControl/>
    </w:pPr>
    <w:rPr>
      <w:sz w:val="24"/>
      <w:szCs w:val="20"/>
      <w:lang w:val="en-GB"/>
    </w:rPr>
  </w:style>
  <w:style w:type="paragraph" w:styleId="1274" w:customStyle="1">
    <w:name w:val="xl57"/>
    <w:basedOn w:val="960"/>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275" w:customStyle="1">
    <w:name w:val="Char Char Char Char Char Char Char Char Char Char Char Char Char Char Char Char Char Char Char Char Char Char Char1"/>
    <w:basedOn w:val="960"/>
    <w:uiPriority w:val="99"/>
    <w:qFormat/>
    <w:rPr>
      <w:rFonts w:ascii="Tahoma" w:hAnsi="Tahoma" w:cs="Tahoma"/>
      <w:sz w:val="24"/>
      <w:szCs w:val="20"/>
    </w:rPr>
  </w:style>
  <w:style w:type="paragraph" w:styleId="1276" w:customStyle="1">
    <w:name w:val="正文文本 New New"/>
    <w:basedOn w:val="960"/>
    <w:uiPriority w:val="99"/>
    <w:qFormat/>
    <w:pPr>
      <w:ind w:firstLine="200"/>
      <w:spacing w:before="60" w:after="60" w:line="360" w:lineRule="auto"/>
      <w:widowControl/>
    </w:pPr>
    <w:rPr>
      <w:rFonts w:eastAsia="华文楷体"/>
      <w:sz w:val="24"/>
    </w:rPr>
  </w:style>
  <w:style w:type="paragraph" w:styleId="1277" w:customStyle="1">
    <w:name w:val="Char Char110"/>
    <w:basedOn w:val="960"/>
    <w:uiPriority w:val="99"/>
    <w:qFormat/>
    <w:rPr>
      <w:rFonts w:ascii="Tahoma" w:hAnsi="Tahoma" w:cs="Tahoma"/>
      <w:sz w:val="24"/>
      <w:szCs w:val="20"/>
    </w:rPr>
  </w:style>
  <w:style w:type="paragraph" w:styleId="1278" w:customStyle="1">
    <w:name w:val="表头_5"/>
    <w:basedOn w:val="960"/>
    <w:uiPriority w:val="99"/>
    <w:qFormat/>
    <w:pPr>
      <w:spacing w:line="360" w:lineRule="auto"/>
    </w:pPr>
    <w:rPr>
      <w:b/>
      <w:bCs/>
      <w:sz w:val="28"/>
      <w:szCs w:val="21"/>
    </w:rPr>
  </w:style>
  <w:style w:type="paragraph" w:styleId="1279" w:customStyle="1">
    <w:name w:val="华宇段落1 Char"/>
    <w:basedOn w:val="960"/>
    <w:uiPriority w:val="99"/>
    <w:qFormat/>
    <w:pPr>
      <w:ind w:firstLine="200"/>
      <w:spacing w:line="360" w:lineRule="auto"/>
    </w:pPr>
    <w:rPr>
      <w:bCs/>
      <w:sz w:val="24"/>
    </w:rPr>
  </w:style>
  <w:style w:type="paragraph" w:styleId="1280" w:customStyle="1">
    <w:name w:val="Char Char Char Char Char Char Char Char Char Char Char Char Char Char1"/>
    <w:basedOn w:val="960"/>
    <w:uiPriority w:val="99"/>
    <w:qFormat/>
    <w:rPr>
      <w:rFonts w:ascii="Tahoma" w:hAnsi="Tahoma" w:cs="Tahoma"/>
      <w:sz w:val="24"/>
      <w:szCs w:val="20"/>
    </w:rPr>
  </w:style>
  <w:style w:type="paragraph" w:styleId="1281" w:customStyle="1">
    <w:name w:val="文档正文"/>
    <w:basedOn w:val="960"/>
    <w:uiPriority w:val="99"/>
    <w:qFormat/>
    <w:pPr>
      <w:spacing w:line="360" w:lineRule="auto"/>
    </w:pPr>
    <w:rPr>
      <w:rFonts w:ascii="宋体" w:hAnsi="宋体"/>
      <w:b/>
      <w:bCs/>
    </w:rPr>
  </w:style>
  <w:style w:type="paragraph" w:styleId="1282" w:customStyle="1">
    <w:name w:val="Default Text"/>
    <w:basedOn w:val="960"/>
    <w:uiPriority w:val="99"/>
    <w:qFormat/>
    <w:pPr>
      <w:jc w:val="left"/>
      <w:widowControl/>
    </w:pPr>
    <w:rPr>
      <w:sz w:val="24"/>
      <w:szCs w:val="20"/>
      <w:lang w:eastAsia="en-US"/>
    </w:rPr>
  </w:style>
  <w:style w:type="paragraph" w:styleId="1283" w:customStyle="1">
    <w:name w:val="xl63"/>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84" w:customStyle="1">
    <w:name w:val="xl45"/>
    <w:basedOn w:val="960"/>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285" w:customStyle="1">
    <w:name w:val="Char Char Char Char Char"/>
    <w:basedOn w:val="960"/>
    <w:uiPriority w:val="99"/>
    <w:qFormat/>
    <w:rPr>
      <w:rFonts w:ascii="Tahoma" w:hAnsi="Tahoma"/>
      <w:sz w:val="24"/>
      <w:szCs w:val="20"/>
    </w:rPr>
  </w:style>
  <w:style w:type="paragraph" w:styleId="1286" w:customStyle="1">
    <w:name w:val="纯文本1"/>
    <w:basedOn w:val="960"/>
    <w:uiPriority w:val="99"/>
    <w:qFormat/>
    <w:rPr>
      <w:rFonts w:ascii="宋体" w:hAnsi="宋体" w:eastAsia="楷体_GB2312" w:cs="宋体"/>
      <w:sz w:val="28"/>
      <w:szCs w:val="20"/>
    </w:rPr>
  </w:style>
  <w:style w:type="paragraph" w:styleId="1287" w:customStyle="1">
    <w:name w:val="font5"/>
    <w:basedOn w:val="960"/>
    <w:uiPriority w:val="99"/>
    <w:qFormat/>
    <w:pPr>
      <w:jc w:val="left"/>
      <w:spacing w:before="100" w:beforeAutospacing="1" w:after="100" w:afterAutospacing="1"/>
      <w:widowControl/>
    </w:pPr>
    <w:rPr>
      <w:rFonts w:ascii="宋体" w:hAnsi="宋体" w:cs="宋体"/>
      <w:sz w:val="18"/>
      <w:szCs w:val="18"/>
    </w:rPr>
  </w:style>
  <w:style w:type="paragraph" w:styleId="1288" w:customStyle="1">
    <w:name w:val="章标题"/>
    <w:next w:val="1200"/>
    <w:uiPriority w:val="99"/>
    <w:qFormat/>
    <w:pPr>
      <w:jc w:val="both"/>
      <w:outlineLvl w:val="1"/>
    </w:pPr>
    <w:rPr>
      <w:rFonts w:ascii="Times New Roman" w:hAnsi="Times New Roman" w:eastAsia="黑体" w:cs="Times New Roman"/>
      <w:sz w:val="21"/>
      <w:lang w:val="en-US" w:eastAsia="zh-CN" w:bidi="ar-SA"/>
    </w:rPr>
  </w:style>
  <w:style w:type="paragraph" w:styleId="1289" w:customStyle="1">
    <w:name w:val="xl50"/>
    <w:basedOn w:val="96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290" w:customStyle="1">
    <w:name w:val="正文文本缩进1"/>
    <w:basedOn w:val="960"/>
    <w:uiPriority w:val="99"/>
    <w:qFormat/>
    <w:pPr>
      <w:ind w:left="420"/>
      <w:spacing w:after="120"/>
    </w:pPr>
  </w:style>
  <w:style w:type="paragraph" w:styleId="1291" w:customStyle="1">
    <w:name w:val="1"/>
    <w:basedOn w:val="960"/>
    <w:next w:val="1010"/>
    <w:uiPriority w:val="99"/>
    <w:qFormat/>
    <w:pPr>
      <w:spacing w:line="360" w:lineRule="auto"/>
    </w:pPr>
    <w:rPr>
      <w:rFonts w:eastAsia="仿宋_GB2312"/>
      <w:sz w:val="24"/>
    </w:rPr>
  </w:style>
  <w:style w:type="paragraph" w:styleId="1292" w:customStyle="1">
    <w:name w:val="table_1stline"/>
    <w:basedOn w:val="960"/>
    <w:uiPriority w:val="99"/>
    <w:qFormat/>
    <w:pPr>
      <w:jc w:val="left"/>
      <w:spacing w:before="120"/>
      <w:widowControl/>
    </w:pPr>
    <w:rPr>
      <w:bCs/>
      <w:sz w:val="20"/>
      <w:szCs w:val="20"/>
      <w:lang w:val="de-DE" w:eastAsia="de-DE"/>
    </w:rPr>
  </w:style>
  <w:style w:type="paragraph" w:styleId="1293" w:customStyle="1">
    <w:name w:val="xl54"/>
    <w:basedOn w:val="96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94" w:customStyle="1">
    <w:name w:val="111111"/>
    <w:basedOn w:val="960"/>
    <w:uiPriority w:val="99"/>
    <w:qFormat/>
    <w:pPr>
      <w:jc w:val="center"/>
      <w:spacing w:before="120" w:after="120"/>
    </w:pPr>
    <w:rPr>
      <w:rFonts w:ascii="宋体" w:hAnsi="宋体" w:eastAsia="黑体" w:cs="宋体"/>
      <w:b/>
      <w:bCs/>
      <w:szCs w:val="21"/>
    </w:rPr>
  </w:style>
  <w:style w:type="paragraph" w:styleId="1295" w:customStyle="1">
    <w:name w:val="丁华正文"/>
    <w:basedOn w:val="1006"/>
    <w:uiPriority w:val="99"/>
    <w:qFormat/>
    <w:pPr>
      <w:ind w:left="0" w:firstLine="510"/>
      <w:spacing w:before="0" w:after="0" w:line="360" w:lineRule="auto"/>
    </w:pPr>
    <w:rPr>
      <w:rFonts w:ascii="宋体" w:hAnsi="Arial"/>
      <w:bCs w:val="0"/>
      <w:color w:val="000000"/>
      <w:szCs w:val="16"/>
    </w:rPr>
  </w:style>
  <w:style w:type="paragraph" w:styleId="1296" w:customStyle="1">
    <w:name w:val="条1"/>
    <w:basedOn w:val="960"/>
    <w:uiPriority w:val="99"/>
    <w:qFormat/>
    <w:pPr>
      <w:ind w:left="780" w:hanging="360"/>
      <w:spacing w:before="156" w:line="360" w:lineRule="auto"/>
      <w:tabs>
        <w:tab w:val="left" w:pos="780" w:leader="none"/>
      </w:tabs>
    </w:pPr>
    <w:rPr>
      <w:rFonts w:eastAsia="黑体"/>
      <w:sz w:val="24"/>
      <w:szCs w:val="20"/>
    </w:rPr>
  </w:style>
  <w:style w:type="paragraph" w:styleId="1297" w:customStyle="1">
    <w:name w:val="标题4，章节第四层"/>
    <w:basedOn w:val="960"/>
    <w:next w:val="960"/>
    <w:uiPriority w:val="99"/>
    <w:qFormat/>
    <w:pPr>
      <w:spacing w:line="360" w:lineRule="auto"/>
      <w:tabs>
        <w:tab w:val="left" w:pos="0" w:leader="none"/>
      </w:tabs>
      <w:outlineLvl w:val="3"/>
    </w:pPr>
    <w:rPr>
      <w:rFonts w:ascii="宋体" w:hAnsi="宋体"/>
      <w:b/>
      <w:sz w:val="24"/>
    </w:rPr>
  </w:style>
  <w:style w:type="paragraph" w:styleId="1298" w:customStyle="1">
    <w:name w:val="Char Char1 Char"/>
    <w:basedOn w:val="960"/>
    <w:uiPriority w:val="99"/>
    <w:qFormat/>
    <w:pPr>
      <w:jc w:val="left"/>
      <w:spacing w:after="160" w:line="240" w:lineRule="exact"/>
      <w:widowControl/>
    </w:pPr>
    <w:rPr>
      <w:rFonts w:ascii="Verdana" w:hAnsi="Verdana"/>
      <w:sz w:val="20"/>
      <w:szCs w:val="20"/>
      <w:lang w:eastAsia="en-US"/>
    </w:rPr>
  </w:style>
  <w:style w:type="paragraph" w:styleId="1299" w:customStyle="1">
    <w:name w:val="公文标题 2"/>
    <w:basedOn w:val="960"/>
    <w:next w:val="1192"/>
    <w:uiPriority w:val="99"/>
    <w:qFormat/>
    <w:pPr>
      <w:outlineLvl w:val="1"/>
    </w:pPr>
    <w:rPr>
      <w:rFonts w:ascii="仿宋_GB2312" w:hAnsi="宋体" w:eastAsia="仿宋_GB2312"/>
      <w:sz w:val="28"/>
    </w:rPr>
  </w:style>
  <w:style w:type="paragraph" w:styleId="1300" w:customStyle="1">
    <w:name w:val="项目符号，一级"/>
    <w:basedOn w:val="1228"/>
    <w:next w:val="1228"/>
    <w:uiPriority w:val="99"/>
    <w:qFormat/>
    <w:pPr>
      <w:ind w:left="376" w:firstLine="0"/>
      <w:spacing w:line="240" w:lineRule="atLeast"/>
      <w:tabs>
        <w:tab w:val="left" w:pos="1320" w:leader="none"/>
      </w:tabs>
    </w:pPr>
    <w:rPr>
      <w:bCs w:val="0"/>
      <w:color w:val="000000"/>
      <w:szCs w:val="24"/>
    </w:rPr>
  </w:style>
  <w:style w:type="paragraph" w:styleId="1301" w:customStyle="1">
    <w:name w:val="font11"/>
    <w:basedOn w:val="960"/>
    <w:uiPriority w:val="99"/>
    <w:qFormat/>
    <w:pPr>
      <w:jc w:val="left"/>
      <w:spacing w:before="100" w:beforeAutospacing="1" w:after="100" w:afterAutospacing="1"/>
      <w:widowControl/>
    </w:pPr>
    <w:rPr>
      <w:b/>
      <w:bCs/>
      <w:sz w:val="18"/>
      <w:szCs w:val="18"/>
    </w:rPr>
  </w:style>
  <w:style w:type="paragraph" w:styleId="1302" w:customStyle="1">
    <w:name w:val="样式 段后: 0.5 行 左  0.75 字符"/>
    <w:basedOn w:val="960"/>
    <w:uiPriority w:val="99"/>
    <w:qFormat/>
    <w:pPr>
      <w:ind w:firstLine="420"/>
      <w:spacing w:line="360" w:lineRule="auto"/>
      <w:widowControl/>
    </w:pPr>
    <w:rPr>
      <w:rFonts w:hAnsi="Arial" w:cs="Arial"/>
      <w:szCs w:val="21"/>
    </w:rPr>
  </w:style>
  <w:style w:type="paragraph" w:styleId="1303" w:customStyle="1">
    <w:name w:val="xl60"/>
    <w:basedOn w:val="96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04" w:customStyle="1">
    <w:name w:val="表蕊"/>
    <w:basedOn w:val="960"/>
    <w:uiPriority w:val="99"/>
    <w:qFormat/>
    <w:pPr>
      <w:jc w:val="left"/>
      <w:spacing w:line="320" w:lineRule="atLeast"/>
    </w:pPr>
    <w:rPr>
      <w:rFonts w:eastAsia="楷体_GB2312"/>
      <w:spacing w:val="-10"/>
      <w:szCs w:val="20"/>
    </w:rPr>
  </w:style>
  <w:style w:type="paragraph" w:styleId="1305" w:customStyle="1">
    <w:name w:val="Char11"/>
    <w:basedOn w:val="960"/>
    <w:uiPriority w:val="99"/>
    <w:qFormat/>
    <w:rPr>
      <w:rFonts w:ascii="仿宋_GB2312" w:eastAsia="仿宋_GB2312"/>
      <w:b/>
      <w:sz w:val="32"/>
      <w:szCs w:val="32"/>
    </w:rPr>
  </w:style>
  <w:style w:type="paragraph" w:styleId="1306" w:customStyle="1">
    <w:name w:val="符号与编号 Char"/>
    <w:basedOn w:val="960"/>
    <w:uiPriority w:val="99"/>
    <w:qFormat/>
    <w:pPr>
      <w:ind w:left="720"/>
      <w:spacing w:line="400" w:lineRule="atLeast"/>
      <w:tabs>
        <w:tab w:val="left" w:pos="720" w:leader="none"/>
      </w:tabs>
    </w:pPr>
    <w:rPr>
      <w:sz w:val="24"/>
    </w:rPr>
  </w:style>
  <w:style w:type="paragraph" w:styleId="1307" w:customStyle="1">
    <w:name w:val="标题3"/>
    <w:basedOn w:val="963"/>
    <w:uiPriority w:val="99"/>
    <w:qFormat/>
    <w:pPr>
      <w:keepLines w:val="0"/>
      <w:keepNext w:val="0"/>
      <w:spacing w:before="0" w:after="0" w:line="360" w:lineRule="auto"/>
    </w:pPr>
    <w:rPr>
      <w:rFonts w:eastAsia="仿宋_GB2312"/>
      <w:b w:val="0"/>
      <w:sz w:val="30"/>
    </w:rPr>
  </w:style>
  <w:style w:type="paragraph" w:styleId="1308" w:customStyle="1">
    <w:name w:val="表格内文字"/>
    <w:basedOn w:val="960"/>
    <w:uiPriority w:val="99"/>
    <w:qFormat/>
    <w:pPr>
      <w:spacing w:line="300" w:lineRule="atLeast"/>
    </w:pPr>
    <w:rPr>
      <w:sz w:val="18"/>
    </w:rPr>
  </w:style>
  <w:style w:type="paragraph" w:styleId="1309" w:customStyle="1">
    <w:name w:val="xl59"/>
    <w:basedOn w:val="96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310" w:customStyle="1">
    <w:name w:val="正文 居中"/>
    <w:basedOn w:val="960"/>
    <w:uiPriority w:val="99"/>
    <w:qFormat/>
    <w:pPr>
      <w:jc w:val="center"/>
      <w:spacing w:line="360" w:lineRule="auto"/>
    </w:pPr>
    <w:rPr>
      <w:sz w:val="24"/>
      <w:szCs w:val="20"/>
    </w:rPr>
  </w:style>
  <w:style w:type="paragraph" w:styleId="1311" w:customStyle="1">
    <w:name w:val="正文 + Arial Char"/>
    <w:basedOn w:val="960"/>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312" w:customStyle="1">
    <w:name w:val="xl35"/>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13" w:customStyle="1">
    <w:name w:val="列表内容"/>
    <w:basedOn w:val="960"/>
    <w:next w:val="960"/>
    <w:uiPriority w:val="99"/>
    <w:qFormat/>
    <w:pPr>
      <w:ind w:left="840" w:hanging="420"/>
      <w:jc w:val="left"/>
      <w:widowControl/>
      <w:tabs>
        <w:tab w:val="left" w:pos="840" w:leader="none"/>
      </w:tabs>
    </w:pPr>
    <w:rPr>
      <w:sz w:val="18"/>
    </w:rPr>
  </w:style>
  <w:style w:type="paragraph" w:styleId="1314" w:customStyle="1">
    <w:name w:val="Char Char1 Char Char2 Char Char"/>
    <w:basedOn w:val="960"/>
    <w:uiPriority w:val="99"/>
    <w:qFormat/>
    <w:pPr>
      <w:jc w:val="left"/>
      <w:spacing w:after="160" w:line="240" w:lineRule="exact"/>
      <w:widowControl/>
    </w:pPr>
  </w:style>
  <w:style w:type="paragraph" w:styleId="1315" w:customStyle="1">
    <w:name w:val="方案文档"/>
    <w:basedOn w:val="960"/>
    <w:uiPriority w:val="99"/>
    <w:qFormat/>
    <w:pPr>
      <w:jc w:val="center"/>
      <w:spacing w:before="60" w:after="60" w:line="360" w:lineRule="auto"/>
    </w:pPr>
    <w:rPr>
      <w:rFonts w:ascii="宋体" w:hAnsi="宋体"/>
      <w:sz w:val="24"/>
      <w:szCs w:val="20"/>
      <w:lang w:val="zh-CN"/>
    </w:rPr>
  </w:style>
  <w:style w:type="paragraph" w:styleId="1316" w:customStyle="1">
    <w:name w:val="tableau"/>
    <w:basedOn w:val="960"/>
    <w:uiPriority w:val="99"/>
    <w:qFormat/>
    <w:pPr>
      <w:jc w:val="center"/>
      <w:spacing w:before="20" w:after="20"/>
      <w:widowControl/>
    </w:pPr>
    <w:rPr>
      <w:rFonts w:ascii="Arial" w:hAnsi="Arial"/>
      <w:sz w:val="16"/>
      <w:szCs w:val="20"/>
      <w:lang w:val="en-GB" w:eastAsia="en-US"/>
    </w:rPr>
  </w:style>
  <w:style w:type="paragraph" w:styleId="1317" w:customStyle="1">
    <w:name w:val="样式 标题 2第一章 标题 2Heading 2 HiddenHeading 2 CCBSheading 2H2h2..."/>
    <w:basedOn w:val="962"/>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18" w:customStyle="1">
    <w:name w:val="Char Char Char Char1"/>
    <w:basedOn w:val="978"/>
    <w:uiPriority w:val="99"/>
    <w:qFormat/>
    <w:pPr>
      <w:spacing w:line="360" w:lineRule="auto"/>
    </w:pPr>
    <w:rPr>
      <w:rFonts w:ascii="Tahoma" w:hAnsi="Tahoma"/>
    </w:rPr>
  </w:style>
  <w:style w:type="paragraph" w:styleId="1319" w:customStyle="1">
    <w:name w:val="标题1"/>
    <w:basedOn w:val="960"/>
    <w:next w:val="960"/>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20" w:customStyle="1">
    <w:name w:val="Normal Indent1"/>
    <w:basedOn w:val="960"/>
    <w:uiPriority w:val="99"/>
    <w:qFormat/>
    <w:pPr>
      <w:ind w:firstLine="420"/>
    </w:pPr>
    <w:rPr>
      <w:sz w:val="20"/>
      <w:szCs w:val="20"/>
    </w:rPr>
  </w:style>
  <w:style w:type="paragraph" w:styleId="1321" w:customStyle="1">
    <w:name w:val="Char Char1 Char Char Char Char Char Char Char"/>
    <w:basedOn w:val="960"/>
    <w:uiPriority w:val="99"/>
    <w:qFormat/>
    <w:rPr>
      <w:rFonts w:ascii="Tahoma" w:hAnsi="Tahoma" w:cs="Tahoma"/>
      <w:sz w:val="24"/>
      <w:szCs w:val="20"/>
    </w:rPr>
  </w:style>
  <w:style w:type="paragraph" w:styleId="1322" w:customStyle="1">
    <w:name w:val="font9"/>
    <w:basedOn w:val="960"/>
    <w:uiPriority w:val="99"/>
    <w:qFormat/>
    <w:pPr>
      <w:jc w:val="left"/>
      <w:spacing w:before="100" w:beforeAutospacing="1" w:after="100" w:afterAutospacing="1"/>
      <w:widowControl/>
    </w:pPr>
    <w:rPr>
      <w:b/>
      <w:bCs/>
      <w:sz w:val="20"/>
      <w:szCs w:val="20"/>
    </w:rPr>
  </w:style>
  <w:style w:type="paragraph" w:styleId="1323"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324" w:customStyle="1">
    <w:name w:val="Char Char Char Char Char Char Char1 Char"/>
    <w:basedOn w:val="960"/>
    <w:uiPriority w:val="99"/>
    <w:qFormat/>
    <w:rPr>
      <w:rFonts w:ascii="Tahoma" w:hAnsi="Tahoma" w:cs="Tahoma"/>
      <w:sz w:val="24"/>
      <w:szCs w:val="20"/>
    </w:rPr>
  </w:style>
  <w:style w:type="paragraph" w:styleId="1325" w:customStyle="1">
    <w:name w:val="小四 段落 宋体 Char"/>
    <w:basedOn w:val="976"/>
    <w:uiPriority w:val="99"/>
    <w:qFormat/>
    <w:pPr>
      <w:ind w:left="0" w:right="-33" w:firstLine="600"/>
      <w:jc w:val="left"/>
      <w:tabs>
        <w:tab w:val="clear" w:pos="2952" w:leader="none"/>
      </w:tabs>
    </w:pPr>
    <w:rPr>
      <w:rFonts w:ascii="仿宋_GB2312" w:eastAsia="仿宋_GB2312"/>
      <w:sz w:val="30"/>
      <w:szCs w:val="30"/>
    </w:rPr>
  </w:style>
  <w:style w:type="paragraph" w:styleId="1326" w:customStyle="1">
    <w:name w:val="标准小四"/>
    <w:basedOn w:val="960"/>
    <w:uiPriority w:val="99"/>
    <w:qFormat/>
    <w:pPr>
      <w:ind w:firstLine="480"/>
      <w:spacing w:line="360" w:lineRule="auto"/>
    </w:pPr>
    <w:rPr>
      <w:rFonts w:ascii="Arial" w:hAnsi="Arial"/>
      <w:sz w:val="24"/>
      <w:szCs w:val="21"/>
    </w:rPr>
  </w:style>
  <w:style w:type="paragraph" w:styleId="1327" w:customStyle="1">
    <w:name w:val="xl47"/>
    <w:basedOn w:val="96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28" w:customStyle="1">
    <w:name w:val="xl25"/>
    <w:basedOn w:val="960"/>
    <w:uiPriority w:val="99"/>
    <w:qFormat/>
    <w:pPr>
      <w:jc w:val="center"/>
      <w:spacing w:before="100" w:beforeAutospacing="1" w:after="100" w:afterAutospacing="1"/>
      <w:widowControl/>
      <w:pBdr>
        <w:right w:val="single" w:color="auto" w:sz="4" w:space="0"/>
      </w:pBdr>
    </w:pPr>
    <w:rPr>
      <w:szCs w:val="21"/>
    </w:rPr>
  </w:style>
  <w:style w:type="paragraph" w:styleId="1329" w:customStyle="1">
    <w:name w:val="greytypebeni"/>
    <w:basedOn w:val="960"/>
    <w:uiPriority w:val="99"/>
    <w:qFormat/>
    <w:pPr>
      <w:jc w:val="left"/>
      <w:widowControl/>
    </w:pPr>
    <w:rPr>
      <w:rFonts w:ascii="宋体" w:hAnsi="宋体" w:cs="宋体"/>
      <w:sz w:val="24"/>
    </w:rPr>
  </w:style>
  <w:style w:type="paragraph" w:styleId="1330" w:customStyle="1">
    <w:name w:val="Body Text(ch)"/>
    <w:basedOn w:val="960"/>
    <w:next w:val="972"/>
    <w:uiPriority w:val="99"/>
    <w:qFormat/>
    <w:pPr>
      <w:spacing w:after="120"/>
    </w:pPr>
    <w:rPr>
      <w:rFonts w:ascii="宋体" w:hAnsi="Arial"/>
      <w:bCs/>
      <w:iCs/>
    </w:rPr>
  </w:style>
  <w:style w:type="paragraph" w:styleId="1331" w:customStyle="1">
    <w:name w:val="样式 标题 2H2h2sect 1.2Heading 2 HiddenHeading 2 CCBSheading 2..."/>
    <w:basedOn w:val="962"/>
    <w:uiPriority w:val="99"/>
    <w:qFormat/>
    <w:pPr>
      <w:ind w:left="576" w:hanging="36"/>
      <w:jc w:val="left"/>
      <w:spacing w:line="240" w:lineRule="auto"/>
      <w:tabs>
        <w:tab w:val="left" w:pos="576" w:leader="none"/>
      </w:tabs>
    </w:pPr>
    <w:rPr>
      <w:rFonts w:ascii="宋体" w:hAnsi="宋体" w:eastAsia="宋体"/>
      <w:sz w:val="28"/>
      <w:szCs w:val="20"/>
    </w:rPr>
  </w:style>
  <w:style w:type="paragraph" w:styleId="1332" w:customStyle="1">
    <w:name w:val="a"/>
    <w:basedOn w:val="960"/>
    <w:uiPriority w:val="99"/>
    <w:qFormat/>
    <w:pPr>
      <w:spacing w:before="100" w:beforeAutospacing="1" w:after="100" w:afterAutospacing="1"/>
      <w:widowControl/>
    </w:pPr>
    <w:rPr>
      <w:rFonts w:ascii="宋体" w:hAnsi="宋体" w:cs="宋体"/>
      <w:sz w:val="24"/>
    </w:rPr>
  </w:style>
  <w:style w:type="paragraph" w:styleId="1333" w:customStyle="1">
    <w:name w:val="小四 段落 宋体 Char Char Char"/>
    <w:basedOn w:val="976"/>
    <w:uiPriority w:val="99"/>
    <w:qFormat/>
    <w:pPr>
      <w:ind w:left="0" w:right="-33" w:firstLine="545"/>
      <w:jc w:val="left"/>
      <w:spacing w:line="360" w:lineRule="auto"/>
      <w:tabs>
        <w:tab w:val="clear" w:pos="2952" w:leader="none"/>
      </w:tabs>
    </w:pPr>
    <w:rPr>
      <w:sz w:val="24"/>
    </w:rPr>
  </w:style>
  <w:style w:type="paragraph" w:styleId="1334" w:customStyle="1">
    <w:name w:val="Body Text 211"/>
    <w:basedOn w:val="960"/>
    <w:uiPriority w:val="99"/>
    <w:qFormat/>
    <w:pPr>
      <w:ind w:left="720" w:hanging="720"/>
      <w:widowControl/>
    </w:pPr>
    <w:rPr>
      <w:sz w:val="24"/>
      <w:szCs w:val="20"/>
      <w:lang w:val="en-GB"/>
    </w:rPr>
  </w:style>
  <w:style w:type="paragraph" w:styleId="1335" w:customStyle="1">
    <w:name w:val="Char Char Char Char Char Char Char Char1"/>
    <w:basedOn w:val="960"/>
    <w:uiPriority w:val="99"/>
    <w:qFormat/>
    <w:pPr>
      <w:jc w:val="left"/>
      <w:spacing w:after="160" w:line="240" w:lineRule="exact"/>
      <w:widowControl/>
    </w:pPr>
    <w:rPr>
      <w:rFonts w:ascii="Verdana" w:hAnsi="Verdana"/>
      <w:sz w:val="20"/>
      <w:szCs w:val="20"/>
      <w:lang w:eastAsia="en-US"/>
    </w:rPr>
  </w:style>
  <w:style w:type="paragraph" w:styleId="1336" w:customStyle="1">
    <w:name w:val="xl28"/>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37" w:customStyle="1">
    <w:name w:val="标题3，章节第三层"/>
    <w:basedOn w:val="960"/>
    <w:next w:val="1228"/>
    <w:uiPriority w:val="99"/>
    <w:qFormat/>
    <w:pPr>
      <w:spacing w:before="78" w:line="300" w:lineRule="auto"/>
      <w:outlineLvl w:val="2"/>
    </w:pPr>
    <w:rPr>
      <w:rFonts w:ascii="Arial" w:hAnsi="Arial" w:eastAsia="华文细黑"/>
      <w:sz w:val="30"/>
    </w:rPr>
  </w:style>
  <w:style w:type="paragraph" w:styleId="1338" w:customStyle="1">
    <w:name w:val="样式4 Char"/>
    <w:basedOn w:val="960"/>
    <w:uiPriority w:val="99"/>
    <w:qFormat/>
    <w:pPr>
      <w:ind w:firstLine="480"/>
      <w:jc w:val="left"/>
      <w:spacing w:line="360" w:lineRule="auto"/>
      <w:widowControl/>
    </w:pPr>
    <w:rPr>
      <w:rFonts w:cs="宋体"/>
      <w:color w:val="000000"/>
      <w:sz w:val="24"/>
    </w:rPr>
  </w:style>
  <w:style w:type="paragraph" w:styleId="1339" w:customStyle="1">
    <w:name w:val="Body Text 21"/>
    <w:basedOn w:val="960"/>
    <w:uiPriority w:val="99"/>
    <w:qFormat/>
    <w:pPr>
      <w:ind w:left="720" w:hanging="720"/>
      <w:widowControl/>
    </w:pPr>
    <w:rPr>
      <w:sz w:val="24"/>
      <w:szCs w:val="20"/>
      <w:lang w:val="en-GB"/>
    </w:rPr>
  </w:style>
  <w:style w:type="paragraph" w:styleId="1340" w:customStyle="1">
    <w:name w:val="普通文字"/>
    <w:basedOn w:val="960"/>
    <w:next w:val="960"/>
    <w:uiPriority w:val="99"/>
    <w:qFormat/>
    <w:rPr>
      <w:rFonts w:ascii="宋体" w:hAnsi="宋体" w:cs="宋体"/>
      <w:sz w:val="24"/>
      <w:szCs w:val="20"/>
    </w:rPr>
  </w:style>
  <w:style w:type="paragraph" w:styleId="1341" w:customStyle="1">
    <w:name w:val="xl46"/>
    <w:basedOn w:val="960"/>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342"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343" w:customStyle="1">
    <w:name w:val="font12"/>
    <w:basedOn w:val="960"/>
    <w:uiPriority w:val="99"/>
    <w:qFormat/>
    <w:pPr>
      <w:jc w:val="left"/>
      <w:spacing w:before="100" w:beforeAutospacing="1" w:after="100" w:afterAutospacing="1"/>
      <w:widowControl/>
    </w:pPr>
    <w:rPr>
      <w:rFonts w:ascii="宋体" w:hAnsi="宋体" w:cs="宋体"/>
      <w:sz w:val="36"/>
      <w:szCs w:val="36"/>
    </w:rPr>
  </w:style>
  <w:style w:type="paragraph" w:styleId="1344" w:customStyle="1">
    <w:name w:val="马刚标题1"/>
    <w:basedOn w:val="961"/>
    <w:next w:val="960"/>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45" w:customStyle="1">
    <w:name w:val="Char Char Char Char Char Char Char Char Char Char Char Char Char Char Char Char Char Char Char Char Char"/>
    <w:basedOn w:val="960"/>
    <w:uiPriority w:val="99"/>
    <w:qFormat/>
    <w:rPr>
      <w:rFonts w:ascii="Tahoma" w:hAnsi="Tahoma" w:cs="Tahoma"/>
      <w:sz w:val="24"/>
      <w:szCs w:val="20"/>
    </w:rPr>
  </w:style>
  <w:style w:type="paragraph" w:styleId="1346" w:customStyle="1">
    <w:name w:val="xl30"/>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47" w:customStyle="1">
    <w:name w:val="Char Char1 Char Char Char Char"/>
    <w:basedOn w:val="978"/>
    <w:uiPriority w:val="99"/>
    <w:qFormat/>
    <w:pPr>
      <w:ind w:left="357"/>
      <w:jc w:val="left"/>
      <w:spacing w:line="436" w:lineRule="exact"/>
      <w:outlineLvl w:val="3"/>
    </w:pPr>
    <w:rPr>
      <w:rFonts w:ascii="Tahoma" w:hAnsi="Tahoma" w:cs="Tahoma"/>
      <w:b/>
    </w:rPr>
  </w:style>
  <w:style w:type="paragraph" w:styleId="1348" w:customStyle="1">
    <w:name w:val="普通正文"/>
    <w:basedOn w:val="960"/>
    <w:uiPriority w:val="99"/>
    <w:qFormat/>
    <w:pPr>
      <w:ind w:firstLine="480"/>
      <w:jc w:val="left"/>
      <w:spacing w:before="120" w:after="120" w:line="360" w:lineRule="auto"/>
    </w:pPr>
    <w:rPr>
      <w:rFonts w:ascii="Arial" w:hAnsi="Arial"/>
      <w:sz w:val="24"/>
    </w:rPr>
  </w:style>
  <w:style w:type="paragraph" w:styleId="1349" w:customStyle="1">
    <w:name w:val="Char Char Char Char Char Char Char Char Char Char Char Char Char Char"/>
    <w:basedOn w:val="960"/>
    <w:uiPriority w:val="99"/>
    <w:qFormat/>
    <w:rPr>
      <w:rFonts w:ascii="Tahoma" w:hAnsi="Tahoma"/>
      <w:sz w:val="24"/>
      <w:szCs w:val="20"/>
    </w:rPr>
  </w:style>
  <w:style w:type="paragraph" w:styleId="1350" w:customStyle="1">
    <w:name w:val="xl32"/>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51" w:customStyle="1">
    <w:name w:val="正文 首行缩进:  2 字符 Char Char"/>
    <w:basedOn w:val="960"/>
    <w:uiPriority w:val="99"/>
    <w:qFormat/>
    <w:pPr>
      <w:ind w:firstLine="480"/>
      <w:spacing w:line="360" w:lineRule="auto"/>
    </w:pPr>
    <w:rPr>
      <w:rFonts w:ascii="楷体_GB2312" w:eastAsia="楷体_GB2312"/>
      <w:bCs/>
      <w:sz w:val="24"/>
    </w:rPr>
  </w:style>
  <w:style w:type="paragraph" w:styleId="1352" w:customStyle="1">
    <w:name w:val="4"/>
    <w:basedOn w:val="960"/>
    <w:next w:val="1006"/>
    <w:uiPriority w:val="99"/>
    <w:qFormat/>
    <w:pPr>
      <w:ind w:firstLine="420"/>
      <w:spacing w:line="360" w:lineRule="auto"/>
    </w:pPr>
    <w:rPr>
      <w:color w:val="ff0000"/>
      <w:sz w:val="24"/>
    </w:rPr>
  </w:style>
  <w:style w:type="paragraph" w:styleId="1353" w:customStyle="1">
    <w:name w:val="font7"/>
    <w:basedOn w:val="960"/>
    <w:uiPriority w:val="99"/>
    <w:qFormat/>
    <w:pPr>
      <w:jc w:val="left"/>
      <w:spacing w:before="100" w:beforeAutospacing="1" w:after="100" w:afterAutospacing="1"/>
      <w:widowControl/>
    </w:pPr>
    <w:rPr>
      <w:rFonts w:ascii="宋体" w:hAnsi="宋体"/>
      <w:b/>
      <w:bCs/>
      <w:sz w:val="24"/>
    </w:rPr>
  </w:style>
  <w:style w:type="paragraph" w:styleId="1354" w:customStyle="1">
    <w:name w:val="Char Char Char Char Char Char Char Char Char Char"/>
    <w:basedOn w:val="960"/>
    <w:uiPriority w:val="99"/>
    <w:qFormat/>
    <w:pPr>
      <w:spacing w:line="360" w:lineRule="auto"/>
    </w:pPr>
    <w:rPr>
      <w:sz w:val="24"/>
      <w:szCs w:val="20"/>
    </w:rPr>
  </w:style>
  <w:style w:type="paragraph" w:styleId="1355" w:customStyle="1">
    <w:name w:val="Char Char Char Char Char Char Char Char Char Char Char Char Char"/>
    <w:basedOn w:val="960"/>
    <w:uiPriority w:val="99"/>
    <w:qFormat/>
    <w:pPr>
      <w:jc w:val="left"/>
      <w:spacing w:after="160" w:line="240" w:lineRule="exact"/>
      <w:widowControl/>
    </w:pPr>
  </w:style>
  <w:style w:type="paragraph" w:styleId="1356" w:customStyle="1">
    <w:name w:val="xl43"/>
    <w:basedOn w:val="96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57" w:customStyle="1">
    <w:name w:val="列出段落2"/>
    <w:basedOn w:val="960"/>
    <w:uiPriority w:val="99"/>
    <w:qFormat/>
    <w:pPr>
      <w:ind w:left="720"/>
      <w:jc w:val="left"/>
      <w:widowControl/>
    </w:pPr>
    <w:rPr>
      <w:rFonts w:ascii="Arial" w:hAnsi="Arial" w:eastAsia="黑体" w:cs="Arial"/>
      <w:sz w:val="24"/>
      <w:lang w:eastAsia="en-US"/>
    </w:rPr>
  </w:style>
  <w:style w:type="paragraph" w:styleId="1358" w:customStyle="1">
    <w:name w:val="默认段落字体 Para Char Char Char Char Char Char Char"/>
    <w:basedOn w:val="960"/>
    <w:uiPriority w:val="99"/>
    <w:qFormat/>
    <w:rPr>
      <w:rFonts w:ascii="Tahoma" w:hAnsi="Tahoma"/>
      <w:sz w:val="24"/>
      <w:szCs w:val="20"/>
    </w:rPr>
  </w:style>
  <w:style w:type="paragraph" w:styleId="1359" w:customStyle="1">
    <w:name w:val="正文--表格内正文"/>
    <w:basedOn w:val="960"/>
    <w:uiPriority w:val="99"/>
    <w:qFormat/>
    <w:pPr>
      <w:jc w:val="center"/>
      <w:spacing w:line="240" w:lineRule="atLeast"/>
    </w:pPr>
    <w:rPr>
      <w:rFonts w:ascii="宋体" w:hAnsi="宋体"/>
      <w:color w:val="000000"/>
      <w:sz w:val="24"/>
    </w:rPr>
  </w:style>
  <w:style w:type="paragraph" w:styleId="1360" w:customStyle="1">
    <w:name w:val="标题 4宋体"/>
    <w:basedOn w:val="964"/>
    <w:uiPriority w:val="99"/>
    <w:qFormat/>
    <w:pPr>
      <w:jc w:val="left"/>
      <w:keepLines w:val="0"/>
      <w:spacing w:before="0" w:after="0" w:line="360" w:lineRule="auto"/>
    </w:pPr>
    <w:rPr>
      <w:rFonts w:ascii="宋体" w:hAnsi="宋体" w:eastAsia="宋体"/>
      <w:bCs/>
      <w:color w:val="000000"/>
      <w:sz w:val="24"/>
    </w:rPr>
  </w:style>
  <w:style w:type="paragraph" w:styleId="1361" w:customStyle="1">
    <w:name w:val="xl42"/>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62" w:customStyle="1">
    <w:name w:val="xl39"/>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63" w:customStyle="1">
    <w:name w:val="符号与编号"/>
    <w:basedOn w:val="960"/>
    <w:uiPriority w:val="99"/>
    <w:qFormat/>
    <w:pPr>
      <w:ind w:left="900" w:hanging="420"/>
      <w:spacing w:line="400" w:lineRule="atLeast"/>
      <w:tabs>
        <w:tab w:val="left" w:pos="900" w:leader="none"/>
      </w:tabs>
    </w:pPr>
    <w:rPr>
      <w:sz w:val="24"/>
    </w:rPr>
  </w:style>
  <w:style w:type="paragraph" w:styleId="1364" w:customStyle="1">
    <w:name w:val="zw"/>
    <w:basedOn w:val="960"/>
    <w:uiPriority w:val="99"/>
    <w:qFormat/>
    <w:pPr>
      <w:ind w:firstLine="480"/>
      <w:jc w:val="left"/>
      <w:spacing w:line="360" w:lineRule="auto"/>
      <w:widowControl/>
    </w:pPr>
    <w:rPr>
      <w:rFonts w:ascii="宋体" w:hAnsi="宋体"/>
      <w:bCs/>
      <w:sz w:val="24"/>
      <w:szCs w:val="20"/>
    </w:rPr>
  </w:style>
  <w:style w:type="paragraph" w:styleId="1365" w:customStyle="1">
    <w:name w:val="一级标题"/>
    <w:basedOn w:val="960"/>
    <w:uiPriority w:val="99"/>
    <w:qFormat/>
    <w:pPr>
      <w:ind w:left="900" w:hanging="420"/>
      <w:spacing w:line="360" w:lineRule="auto"/>
      <w:tabs>
        <w:tab w:val="left" w:pos="903" w:leader="none"/>
      </w:tabs>
    </w:pPr>
    <w:rPr>
      <w:rFonts w:ascii="Arial" w:hAnsi="Arial" w:cs="Arial"/>
      <w:sz w:val="24"/>
      <w:szCs w:val="20"/>
    </w:rPr>
  </w:style>
  <w:style w:type="paragraph" w:styleId="1366"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67" w:customStyle="1">
    <w:name w:val="font8"/>
    <w:basedOn w:val="960"/>
    <w:uiPriority w:val="99"/>
    <w:qFormat/>
    <w:pPr>
      <w:jc w:val="left"/>
      <w:spacing w:before="100" w:beforeAutospacing="1" w:after="100" w:afterAutospacing="1"/>
      <w:widowControl/>
    </w:pPr>
    <w:rPr>
      <w:rFonts w:ascii="宋体" w:hAnsi="宋体" w:cs="宋体"/>
      <w:b/>
      <w:bCs/>
      <w:i/>
      <w:iCs/>
      <w:sz w:val="20"/>
      <w:szCs w:val="20"/>
    </w:rPr>
  </w:style>
  <w:style w:type="paragraph" w:styleId="1368" w:customStyle="1">
    <w:name w:val="丁华标题2"/>
    <w:basedOn w:val="962"/>
    <w:next w:val="1295"/>
    <w:uiPriority w:val="99"/>
    <w:qFormat/>
    <w:pPr>
      <w:ind w:left="567" w:hanging="567"/>
      <w:jc w:val="left"/>
      <w:spacing w:before="120" w:after="120"/>
      <w:tabs>
        <w:tab w:val="left" w:pos="567" w:leader="none"/>
      </w:tabs>
    </w:pPr>
    <w:rPr>
      <w:color w:val="000000"/>
      <w:sz w:val="28"/>
      <w:szCs w:val="20"/>
    </w:rPr>
  </w:style>
  <w:style w:type="paragraph" w:styleId="1369" w:customStyle="1">
    <w:name w:val="xl38"/>
    <w:basedOn w:val="96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70" w:customStyle="1">
    <w:name w:val="小四 段落 宋体"/>
    <w:basedOn w:val="976"/>
    <w:uiPriority w:val="99"/>
    <w:qFormat/>
    <w:pPr>
      <w:ind w:left="113" w:right="113" w:firstLine="425"/>
      <w:jc w:val="left"/>
      <w:spacing w:line="360" w:lineRule="auto"/>
      <w:tabs>
        <w:tab w:val="clear" w:pos="2952" w:leader="none"/>
      </w:tabs>
    </w:pPr>
    <w:rPr>
      <w:sz w:val="24"/>
    </w:rPr>
  </w:style>
  <w:style w:type="paragraph" w:styleId="1371" w:customStyle="1">
    <w:name w:val="xl51"/>
    <w:basedOn w:val="960"/>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72" w:customStyle="1">
    <w:name w:val="List Paragraph1"/>
    <w:basedOn w:val="960"/>
    <w:uiPriority w:val="99"/>
    <w:qFormat/>
    <w:pPr>
      <w:ind w:left="720"/>
      <w:jc w:val="left"/>
      <w:widowControl/>
    </w:pPr>
    <w:rPr>
      <w:rFonts w:ascii="Arial" w:hAnsi="Arial" w:eastAsia="黑体"/>
      <w:sz w:val="24"/>
      <w:lang w:eastAsia="en-US"/>
    </w:rPr>
  </w:style>
  <w:style w:type="paragraph" w:styleId="1373" w:customStyle="1">
    <w:name w:val="Char Char Char Char Char Char Char Char"/>
    <w:basedOn w:val="960"/>
    <w:uiPriority w:val="99"/>
    <w:qFormat/>
    <w:pPr>
      <w:jc w:val="left"/>
      <w:spacing w:after="160" w:line="240" w:lineRule="exact"/>
      <w:widowControl/>
    </w:pPr>
    <w:rPr>
      <w:rFonts w:ascii="Verdana" w:hAnsi="Verdana"/>
      <w:sz w:val="20"/>
      <w:szCs w:val="20"/>
      <w:lang w:eastAsia="en-US"/>
    </w:rPr>
  </w:style>
  <w:style w:type="paragraph" w:styleId="1374" w:customStyle="1">
    <w:name w:val="批注框文本1"/>
    <w:basedOn w:val="960"/>
    <w:uiPriority w:val="99"/>
    <w:qFormat/>
    <w:rPr>
      <w:sz w:val="18"/>
      <w:szCs w:val="18"/>
    </w:rPr>
  </w:style>
  <w:style w:type="paragraph" w:styleId="1375" w:customStyle="1">
    <w:name w:val="默认段落字体 Para Char Char Char Char Char Char Char Char Char1 Char Char Char Char Char Char Char"/>
    <w:basedOn w:val="978"/>
    <w:uiPriority w:val="99"/>
    <w:qFormat/>
    <w:rPr>
      <w:szCs w:val="20"/>
    </w:rPr>
  </w:style>
  <w:style w:type="paragraph" w:styleId="1376" w:customStyle="1">
    <w:name w:val="Pa6"/>
    <w:basedOn w:val="960"/>
    <w:next w:val="960"/>
    <w:uiPriority w:val="99"/>
    <w:qFormat/>
    <w:pPr>
      <w:jc w:val="left"/>
      <w:spacing w:line="241" w:lineRule="atLeast"/>
    </w:pPr>
    <w:rPr>
      <w:rFonts w:ascii="汉仪大黑简" w:eastAsia="汉仪大黑简"/>
      <w:sz w:val="24"/>
    </w:rPr>
  </w:style>
  <w:style w:type="paragraph" w:styleId="1377" w:customStyle="1">
    <w:name w:val="xl49"/>
    <w:basedOn w:val="960"/>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378" w:customStyle="1">
    <w:name w:val="列出段落11"/>
    <w:basedOn w:val="960"/>
    <w:uiPriority w:val="99"/>
    <w:qFormat/>
    <w:pPr>
      <w:ind w:firstLine="200"/>
    </w:pPr>
    <w:rPr>
      <w:rFonts w:ascii="Calibri" w:hAnsi="Calibri" w:cs="宋体"/>
      <w:szCs w:val="22"/>
    </w:rPr>
  </w:style>
  <w:style w:type="paragraph" w:styleId="1379" w:customStyle="1">
    <w:name w:val="Char Char Char Char Char Char Char1"/>
    <w:basedOn w:val="960"/>
    <w:uiPriority w:val="99"/>
    <w:qFormat/>
    <w:rPr>
      <w:rFonts w:ascii="Tahoma" w:hAnsi="Tahoma"/>
      <w:sz w:val="24"/>
      <w:szCs w:val="20"/>
    </w:rPr>
  </w:style>
  <w:style w:type="paragraph" w:styleId="1380" w:customStyle="1">
    <w:name w:val="大标题"/>
    <w:basedOn w:val="960"/>
    <w:next w:val="960"/>
    <w:uiPriority w:val="99"/>
    <w:qFormat/>
    <w:pPr>
      <w:ind w:hanging="420"/>
      <w:pageBreakBefore/>
      <w:spacing w:line="360" w:lineRule="auto"/>
      <w:tabs>
        <w:tab w:val="left" w:pos="420" w:leader="none"/>
      </w:tabs>
      <w:outlineLvl w:val="0"/>
    </w:pPr>
    <w:rPr>
      <w:b/>
      <w:iCs/>
      <w:sz w:val="44"/>
    </w:rPr>
  </w:style>
  <w:style w:type="paragraph" w:styleId="1381" w:customStyle="1">
    <w:name w:val="Char2 Char Char Char Char Char Char1"/>
    <w:basedOn w:val="960"/>
    <w:uiPriority w:val="99"/>
    <w:qFormat/>
    <w:pPr>
      <w:ind w:hanging="425"/>
      <w:keepNext/>
      <w:spacing w:before="80" w:after="80"/>
      <w:widowControl/>
      <w:tabs>
        <w:tab w:val="left" w:pos="425" w:leader="none"/>
      </w:tabs>
    </w:pPr>
    <w:rPr>
      <w:rFonts w:ascii="Arial" w:hAnsi="Arial" w:cs="Arial"/>
      <w:sz w:val="20"/>
      <w:szCs w:val="20"/>
    </w:rPr>
  </w:style>
  <w:style w:type="paragraph" w:styleId="1382" w:customStyle="1">
    <w:name w:val="Char Char"/>
    <w:basedOn w:val="960"/>
    <w:uiPriority w:val="99"/>
    <w:qFormat/>
    <w:rPr>
      <w:rFonts w:ascii="Tahoma" w:hAnsi="Tahoma"/>
      <w:sz w:val="24"/>
      <w:szCs w:val="20"/>
    </w:rPr>
  </w:style>
  <w:style w:type="paragraph" w:styleId="1383" w:customStyle="1">
    <w:name w:val="Char Char Char Char"/>
    <w:basedOn w:val="978"/>
    <w:uiPriority w:val="99"/>
    <w:qFormat/>
    <w:pPr>
      <w:spacing w:line="360" w:lineRule="auto"/>
    </w:pPr>
    <w:rPr>
      <w:rFonts w:ascii="Tahoma" w:hAnsi="Tahoma"/>
    </w:rPr>
  </w:style>
  <w:style w:type="paragraph" w:styleId="1384" w:customStyle="1">
    <w:name w:val="ewb-con-p2"/>
    <w:basedOn w:val="960"/>
    <w:uiPriority w:val="99"/>
    <w:qFormat/>
    <w:pPr>
      <w:jc w:val="left"/>
      <w:spacing w:before="100" w:beforeAutospacing="1" w:after="100" w:afterAutospacing="1"/>
      <w:widowControl/>
    </w:pPr>
    <w:rPr>
      <w:rFonts w:ascii="宋体" w:hAnsi="宋体" w:cs="宋体"/>
      <w:sz w:val="24"/>
    </w:rPr>
  </w:style>
  <w:style w:type="paragraph" w:styleId="1385" w:customStyle="1">
    <w:name w:val="xl61"/>
    <w:basedOn w:val="96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86" w:customStyle="1">
    <w:name w:val="xl55"/>
    <w:basedOn w:val="960"/>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387" w:customStyle="1">
    <w:name w:val="Char Char Char1"/>
    <w:basedOn w:val="978"/>
    <w:uiPriority w:val="99"/>
    <w:qFormat/>
    <w:pPr>
      <w:spacing w:line="436" w:lineRule="exact"/>
    </w:pPr>
  </w:style>
  <w:style w:type="paragraph" w:styleId="1388"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389" w:customStyle="1">
    <w:name w:val="正文 首行缩进:  2 字符 Char"/>
    <w:basedOn w:val="960"/>
    <w:uiPriority w:val="99"/>
    <w:qFormat/>
    <w:pPr>
      <w:ind w:firstLine="480"/>
      <w:spacing w:line="360" w:lineRule="auto"/>
    </w:pPr>
    <w:rPr>
      <w:rFonts w:cs="宋体"/>
      <w:sz w:val="24"/>
      <w:szCs w:val="20"/>
    </w:rPr>
  </w:style>
  <w:style w:type="paragraph" w:styleId="1390"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391" w:customStyle="1">
    <w:name w:val="xl33"/>
    <w:basedOn w:val="96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92" w:customStyle="1">
    <w:name w:val="表格内容"/>
    <w:basedOn w:val="960"/>
    <w:uiPriority w:val="99"/>
    <w:qFormat/>
    <w:pPr>
      <w:jc w:val="center"/>
      <w:spacing w:before="60" w:line="300" w:lineRule="auto"/>
      <w:widowControl/>
    </w:pPr>
    <w:rPr>
      <w:szCs w:val="20"/>
    </w:rPr>
  </w:style>
  <w:style w:type="paragraph" w:styleId="1393" w:customStyle="1">
    <w:name w:val="正文lzq"/>
    <w:basedOn w:val="960"/>
    <w:uiPriority w:val="99"/>
    <w:qFormat/>
    <w:pPr>
      <w:ind w:firstLine="480"/>
      <w:spacing w:line="360" w:lineRule="auto"/>
    </w:pPr>
    <w:rPr>
      <w:sz w:val="24"/>
      <w:szCs w:val="20"/>
    </w:rPr>
  </w:style>
  <w:style w:type="paragraph" w:styleId="1394"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95" w:customStyle="1">
    <w:name w:val="Char Char Char Char Char Char Char Char Char"/>
    <w:basedOn w:val="960"/>
    <w:uiPriority w:val="99"/>
    <w:qFormat/>
    <w:pPr>
      <w:ind w:left="200" w:hanging="200"/>
      <w:tabs>
        <w:tab w:val="left" w:pos="360" w:leader="none"/>
      </w:tabs>
    </w:pPr>
    <w:rPr>
      <w:sz w:val="24"/>
    </w:rPr>
  </w:style>
  <w:style w:type="paragraph" w:styleId="1396" w:customStyle="1">
    <w:name w:val="项目符号：一级"/>
    <w:basedOn w:val="1228"/>
    <w:next w:val="1228"/>
    <w:uiPriority w:val="99"/>
    <w:qFormat/>
    <w:pPr>
      <w:ind w:right="-134"/>
    </w:pPr>
    <w:rPr>
      <w:bCs w:val="0"/>
    </w:rPr>
  </w:style>
  <w:style w:type="paragraph" w:styleId="1397" w:customStyle="1">
    <w:name w:val="content_lineheight"/>
    <w:basedOn w:val="960"/>
    <w:uiPriority w:val="99"/>
    <w:qFormat/>
    <w:pPr>
      <w:jc w:val="left"/>
      <w:spacing w:before="100" w:beforeAutospacing="1" w:after="100" w:afterAutospacing="1"/>
      <w:widowControl/>
    </w:pPr>
    <w:rPr>
      <w:rFonts w:ascii="宋体" w:hAnsi="宋体"/>
      <w:sz w:val="24"/>
    </w:rPr>
  </w:style>
  <w:style w:type="paragraph" w:styleId="1398" w:customStyle="1">
    <w:name w:val="项目符号，二级"/>
    <w:basedOn w:val="1228"/>
    <w:next w:val="1228"/>
    <w:uiPriority w:val="99"/>
    <w:qFormat/>
    <w:pPr>
      <w:ind w:left="1337" w:right="-27" w:firstLine="480"/>
      <w:tabs>
        <w:tab w:val="left" w:pos="1211" w:leader="none"/>
        <w:tab w:val="left" w:pos="1337" w:leader="none"/>
      </w:tabs>
    </w:pPr>
    <w:rPr>
      <w:bCs w:val="0"/>
      <w:color w:val="000000"/>
      <w:sz w:val="24"/>
      <w:szCs w:val="24"/>
    </w:rPr>
  </w:style>
  <w:style w:type="paragraph" w:styleId="1399" w:customStyle="1">
    <w:name w:val="小四 段落 宋体 Char Char"/>
    <w:basedOn w:val="960"/>
    <w:uiPriority w:val="99"/>
    <w:qFormat/>
    <w:pPr>
      <w:ind w:firstLine="480"/>
      <w:spacing w:line="360" w:lineRule="auto"/>
    </w:pPr>
    <w:rPr>
      <w:rFonts w:ascii="宋体" w:hAnsi="宋体"/>
      <w:sz w:val="24"/>
    </w:rPr>
  </w:style>
  <w:style w:type="paragraph" w:styleId="1400" w:customStyle="1">
    <w:name w:val="正文文本缩进 31"/>
    <w:basedOn w:val="960"/>
    <w:uiPriority w:val="99"/>
    <w:qFormat/>
    <w:pPr>
      <w:ind w:firstLine="504"/>
      <w:spacing w:line="360" w:lineRule="auto"/>
      <w:tabs>
        <w:tab w:val="left" w:pos="0" w:leader="none"/>
      </w:tabs>
    </w:pPr>
    <w:rPr>
      <w:rFonts w:ascii="宋体"/>
      <w:b/>
      <w:bCs/>
      <w:sz w:val="24"/>
    </w:rPr>
  </w:style>
  <w:style w:type="paragraph" w:styleId="1401" w:customStyle="1">
    <w:name w:val="标题 41"/>
    <w:basedOn w:val="960"/>
    <w:uiPriority w:val="99"/>
    <w:qFormat/>
    <w:pPr>
      <w:ind w:left="618"/>
      <w:jc w:val="left"/>
      <w:outlineLvl w:val="4"/>
    </w:pPr>
    <w:rPr>
      <w:rFonts w:ascii="宋体" w:hAnsi="宋体" w:cs="宋体"/>
      <w:b/>
      <w:bCs/>
      <w:sz w:val="24"/>
      <w:lang w:val="zh-CN"/>
    </w:rPr>
  </w:style>
  <w:style w:type="paragraph" w:styleId="1402" w:customStyle="1">
    <w:name w:val="msolistparagraph"/>
    <w:basedOn w:val="960"/>
    <w:uiPriority w:val="99"/>
    <w:qFormat/>
    <w:pPr>
      <w:ind w:left="420" w:firstLine="420"/>
      <w:spacing w:line="400" w:lineRule="exact"/>
    </w:pPr>
    <w:rPr>
      <w:rFonts w:ascii="Calibri" w:hAnsi="Calibri"/>
    </w:rPr>
  </w:style>
  <w:style w:type="paragraph" w:styleId="1403" w:customStyle="1">
    <w:name w:val="Blockquote"/>
    <w:basedOn w:val="960"/>
    <w:uiPriority w:val="99"/>
    <w:qFormat/>
    <w:pPr>
      <w:ind w:left="360" w:right="360"/>
      <w:jc w:val="left"/>
      <w:spacing w:before="100" w:after="100"/>
    </w:pPr>
    <w:rPr>
      <w:sz w:val="24"/>
    </w:rPr>
  </w:style>
  <w:style w:type="character" w:styleId="1404" w:customStyle="1">
    <w:name w:val="无"/>
    <w:uiPriority w:val="0"/>
    <w:qFormat/>
  </w:style>
  <w:style w:type="character" w:styleId="1405" w:customStyle="1">
    <w:name w:val="Hyperlink.1"/>
    <w:uiPriority w:val="0"/>
    <w:qFormat/>
    <w:rPr>
      <w:rFonts w:ascii="宋体" w:hAnsi="宋体" w:eastAsia="宋体" w:cs="宋体"/>
      <w:shd w:val="clear" w:color="auto" w:fill="auto"/>
      <w:lang w:val="zh-TW" w:eastAsia="zh-TW"/>
    </w:rPr>
  </w:style>
  <w:style w:type="table" w:styleId="1406"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407" w:customStyle="1">
    <w:name w:val="not([class*=suffix])"/>
    <w:basedOn w:val="970"/>
    <w:uiPriority w:val="0"/>
    <w:qFormat/>
  </w:style>
  <w:style w:type="character" w:styleId="1408" w:customStyle="1">
    <w:name w:val="not([class*=suffix])1"/>
    <w:basedOn w:val="970"/>
    <w:uiPriority w:val="0"/>
    <w:qFormat/>
    <w:rPr>
      <w:sz w:val="13"/>
      <w:szCs w:val="13"/>
    </w:rPr>
  </w:style>
  <w:style w:type="paragraph" w:styleId="1409" w:customStyle="1">
    <w:name w:val="Table Paragraph"/>
    <w:basedOn w:val="960"/>
    <w:uiPriority w:val="1"/>
    <w:qFormat/>
    <w:pPr>
      <w:jc w:val="left"/>
    </w:pPr>
    <w:rPr>
      <w:rFonts w:ascii="宋体" w:hAnsi="宋体" w:cs="宋体"/>
      <w:sz w:val="22"/>
      <w:szCs w:val="22"/>
      <w:lang w:val="zh-CN" w:bidi="zh-CN"/>
    </w:rPr>
  </w:style>
  <w:style w:type="paragraph" w:styleId="1410" w:customStyle="1">
    <w:name w:val="BodyText"/>
    <w:basedOn w:val="960"/>
    <w:uiPriority w:val="0"/>
    <w:qFormat/>
    <w:pPr>
      <w:spacing w:after="120"/>
    </w:pPr>
    <w:rPr>
      <w:rFonts w:ascii="Calibri"/>
      <w:sz w:val="20"/>
      <w:szCs w:val="20"/>
    </w:rPr>
  </w:style>
  <w:style w:type="character" w:styleId="1411" w:customStyle="1">
    <w:name w:val="样式 仿宋"/>
    <w:uiPriority w:val="0"/>
    <w:qFormat/>
    <w:rPr>
      <w:rFonts w:ascii="仿宋" w:hAnsi="仿宋" w:eastAsia="仿宋"/>
    </w:rPr>
  </w:style>
  <w:style w:type="character" w:styleId="1412" w:customStyle="1">
    <w:name w:val="font51"/>
    <w:basedOn w:val="970"/>
    <w:uiPriority w:val="0"/>
    <w:qFormat/>
    <w:rPr>
      <w:rFonts w:hint="default" w:ascii="Times New Roman" w:hAnsi="Times New Roman" w:cs="Times New Roman"/>
      <w:color w:val="000000"/>
      <w:sz w:val="20"/>
      <w:szCs w:val="20"/>
      <w:u w:val="none"/>
    </w:rPr>
  </w:style>
  <w:style w:type="character" w:styleId="1413" w:customStyle="1">
    <w:name w:val="NormalCharacter"/>
    <w:uiPriority w:val="0"/>
    <w:qFormat/>
    <w:rPr>
      <w:rFonts w:ascii="KNLe" w:hAnsi="KNLe" w:eastAsia="Ari" w:cs="KNLe"/>
      <w:sz w:val="21"/>
      <w:szCs w:val="22"/>
      <w:lang w:val="en-US" w:eastAsia="zh-CN" w:bidi="ar-SA"/>
    </w:rPr>
  </w:style>
  <w:style w:type="paragraph" w:styleId="1414" w:customStyle="1">
    <w:name w:val="BodyText1I2"/>
    <w:basedOn w:val="1415"/>
    <w:next w:val="960"/>
    <w:uiPriority w:val="0"/>
    <w:qFormat/>
    <w:pPr>
      <w:ind w:firstLine="420"/>
    </w:pPr>
    <w:rPr>
      <w:rFonts w:ascii="Calibri" w:hAnsi="Calibri"/>
    </w:rPr>
  </w:style>
  <w:style w:type="paragraph" w:styleId="1415" w:customStyle="1">
    <w:name w:val="BodyTextIndent"/>
    <w:basedOn w:val="960"/>
    <w:next w:val="1416"/>
    <w:uiPriority w:val="0"/>
    <w:qFormat/>
    <w:pPr>
      <w:ind w:firstLine="403"/>
      <w:spacing w:line="440" w:lineRule="exact"/>
    </w:pPr>
    <w:rPr>
      <w:rFonts w:ascii="宋体" w:hAnsi="宋体"/>
      <w:szCs w:val="21"/>
    </w:rPr>
  </w:style>
  <w:style w:type="paragraph" w:styleId="1416" w:customStyle="1">
    <w:name w:val="EnvelopeReturn"/>
    <w:basedOn w:val="960"/>
    <w:uiPriority w:val="0"/>
    <w:qFormat/>
    <w:rPr>
      <w:rFonts w:ascii="Arial" w:hAnsi="Arial"/>
    </w:rPr>
  </w:style>
  <w:style w:type="paragraph" w:styleId="1417" w:customStyle="1">
    <w:name w:val="二级目录"/>
    <w:next w:val="960"/>
    <w:uiPriority w:val="99"/>
    <w:qFormat/>
    <w:pPr>
      <w:numPr>
        <w:ilvl w:val="0"/>
        <w:numId w:val="1"/>
      </w:numPr>
      <w:spacing w:after="160" w:line="259" w:lineRule="auto"/>
      <w:outlineLvl w:val="1"/>
    </w:pPr>
    <w:rPr>
      <w:rFonts w:ascii="Calibri" w:hAnsi="Calibri" w:eastAsia="宋体" w:cs="Times New Roman"/>
      <w:b/>
      <w:bCs/>
      <w:sz w:val="28"/>
      <w:szCs w:val="28"/>
      <w:lang w:val="en-US" w:eastAsia="zh-CN" w:bidi="ar-SA"/>
    </w:rPr>
  </w:style>
  <w:style w:type="paragraph" w:styleId="1418" w:customStyle="1">
    <w:name w:val="正文首行缩进 21"/>
    <w:basedOn w:val="1419"/>
    <w:next w:val="960"/>
    <w:uiPriority w:val="0"/>
    <w:qFormat/>
    <w:pPr>
      <w:ind w:firstLine="420"/>
      <w:spacing w:before="100" w:beforeAutospacing="1" w:after="200" w:line="440" w:lineRule="exact"/>
    </w:pPr>
    <w:rPr>
      <w:rFonts w:ascii="Calibri" w:hAnsi="Calibri" w:cs="Calibri"/>
      <w:szCs w:val="21"/>
    </w:rPr>
  </w:style>
  <w:style w:type="paragraph" w:styleId="1419" w:customStyle="1">
    <w:name w:val="正文文本缩进11"/>
    <w:basedOn w:val="960"/>
    <w:next w:val="1420"/>
    <w:uiPriority w:val="0"/>
    <w:qFormat/>
    <w:pPr>
      <w:ind w:firstLine="645"/>
    </w:pPr>
    <w:rPr>
      <w:rFonts w:ascii="楷体_GB2312" w:eastAsia="楷体_GB2312"/>
      <w:sz w:val="32"/>
    </w:rPr>
  </w:style>
  <w:style w:type="paragraph" w:styleId="1420" w:customStyle="1">
    <w:name w:val="寄信人地址1"/>
    <w:basedOn w:val="960"/>
    <w:uiPriority w:val="0"/>
    <w:qFormat/>
    <w:rPr>
      <w:rFonts w:ascii="Arial" w:hAnsi="Arial"/>
    </w:rPr>
  </w:style>
  <w:style w:type="character" w:styleId="1421" w:customStyle="1">
    <w:name w:val="15"/>
    <w:uiPriority w:val="0"/>
    <w:qFormat/>
    <w:rPr>
      <w:rFonts w:hint="default" w:ascii="Times New Roman" w:hAnsi="Times New Roman" w:cs="Times New Roman"/>
    </w:rPr>
  </w:style>
  <w:style w:type="paragraph" w:styleId="1422"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42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424" w:customStyle="1">
    <w:name w:val="报告正文"/>
    <w:basedOn w:val="960"/>
    <w:uiPriority w:val="0"/>
    <w:qFormat/>
    <w:pPr>
      <w:ind w:firstLine="560"/>
    </w:pPr>
    <w:rPr>
      <w:szCs w:val="20"/>
      <w:lang w:val="zh-CN"/>
    </w:rPr>
  </w:style>
  <w:style w:type="paragraph" w:styleId="1425" w:customStyle="1">
    <w:name w:val="正文 + 行距: 固定值 20 磅"/>
    <w:basedOn w:val="960"/>
    <w:uiPriority w:val="0"/>
    <w:qFormat/>
    <w:pPr>
      <w:ind w:firstLine="716"/>
      <w:spacing w:line="400" w:lineRule="exact"/>
    </w:pPr>
    <w:rPr>
      <w:rFonts w:ascii="Calibri" w:hAnsi="Calibri"/>
      <w:szCs w:val="22"/>
    </w:rPr>
  </w:style>
  <w:style w:type="paragraph" w:styleId="1426" w:customStyle="1">
    <w:name w:val="_Style 55"/>
    <w:basedOn w:val="960"/>
    <w:next w:val="1082"/>
    <w:uiPriority w:val="1"/>
    <w:qFormat/>
    <w:pPr>
      <w:ind w:firstLine="420"/>
    </w:pPr>
    <w:rPr>
      <w:rFonts w:ascii="Calibri" w:hAnsi="Calibri"/>
    </w:rPr>
  </w:style>
  <w:style w:type="paragraph" w:styleId="1427"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5</cp:revision>
  <dcterms:created xsi:type="dcterms:W3CDTF">2026-03-06T03:14:00Z</dcterms:created>
  <dcterms:modified xsi:type="dcterms:W3CDTF">2026-05-28T06:05:36Z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F4CB5E666CEE4BB68F37949357F849C9_13</vt:lpwstr>
  </property>
  <property fmtid="{D5CDD505-2E9C-101B-9397-08002B2CF9AE}" pid="4" name="commondata">
    <vt:lpwstr>eyJoZGlkIjoiMzRjYzhjMjM2MzIwNWZiYjI5ZGZjZjAyNjdmMTc5ZDgifQ==</vt:lpwstr>
  </property>
  <property fmtid="{D5CDD505-2E9C-101B-9397-08002B2CF9AE}" pid="5" name="MSIP_Label_e68a7eba-5507-4be7-87ab-be5a2ad9d7c1_Enabled">
    <vt:lpwstr>true</vt:lpwstr>
  </property>
  <property fmtid="{D5CDD505-2E9C-101B-9397-08002B2CF9AE}" pid="6" name="MSIP_Label_e68a7eba-5507-4be7-87ab-be5a2ad9d7c1_SetDate">
    <vt:lpwstr>2024-04-02T08:41:07Z</vt:lpwstr>
  </property>
  <property fmtid="{D5CDD505-2E9C-101B-9397-08002B2CF9AE}" pid="7" name="MSIP_Label_e68a7eba-5507-4be7-87ab-be5a2ad9d7c1_Method">
    <vt:lpwstr>Standard</vt:lpwstr>
  </property>
  <property fmtid="{D5CDD505-2E9C-101B-9397-08002B2CF9AE}" pid="8" name="MSIP_Label_e68a7eba-5507-4be7-87ab-be5a2ad9d7c1_Name">
    <vt:lpwstr>General</vt:lpwstr>
  </property>
  <property fmtid="{D5CDD505-2E9C-101B-9397-08002B2CF9AE}" pid="9" name="MSIP_Label_e68a7eba-5507-4be7-87ab-be5a2ad9d7c1_SiteId">
    <vt:lpwstr>da758f18-b6d4-4358-942a-60930627c405</vt:lpwstr>
  </property>
  <property fmtid="{D5CDD505-2E9C-101B-9397-08002B2CF9AE}" pid="10" name="MSIP_Label_e68a7eba-5507-4be7-87ab-be5a2ad9d7c1_ActionId">
    <vt:lpwstr>0a0251e7-f409-4f32-99cf-f4f77d48c927</vt:lpwstr>
  </property>
  <property fmtid="{D5CDD505-2E9C-101B-9397-08002B2CF9AE}" pid="11" name="MSIP_Label_e68a7eba-5507-4be7-87ab-be5a2ad9d7c1_ContentBits">
    <vt:lpwstr>0</vt:lpwstr>
  </property>
  <property fmtid="{D5CDD505-2E9C-101B-9397-08002B2CF9AE}" pid="12" name="MSIP_Label_73094ff5-79ca-456b-95f6-d578316a3809_Enabled">
    <vt:lpwstr>true</vt:lpwstr>
  </property>
  <property fmtid="{D5CDD505-2E9C-101B-9397-08002B2CF9AE}" pid="13" name="MSIP_Label_73094ff5-79ca-456b-95f6-d578316a3809_SetDate">
    <vt:lpwstr>2024-08-12T05:53:11Z</vt:lpwstr>
  </property>
  <property fmtid="{D5CDD505-2E9C-101B-9397-08002B2CF9AE}" pid="14" name="MSIP_Label_73094ff5-79ca-456b-95f6-d578316a3809_Method">
    <vt:lpwstr>Privileged</vt:lpwstr>
  </property>
  <property fmtid="{D5CDD505-2E9C-101B-9397-08002B2CF9AE}" pid="15" name="MSIP_Label_73094ff5-79ca-456b-95f6-d578316a3809_Name">
    <vt:lpwstr>Public</vt:lpwstr>
  </property>
  <property fmtid="{D5CDD505-2E9C-101B-9397-08002B2CF9AE}" pid="16" name="MSIP_Label_73094ff5-79ca-456b-95f6-d578316a3809_SiteId">
    <vt:lpwstr>771c9c47-7f24-44dc-958e-34f8713a8394</vt:lpwstr>
  </property>
  <property fmtid="{D5CDD505-2E9C-101B-9397-08002B2CF9AE}" pid="17" name="MSIP_Label_73094ff5-79ca-456b-95f6-d578316a3809_ActionId">
    <vt:lpwstr>937d6e77-aee8-4fad-a372-f6bffb848a7c</vt:lpwstr>
  </property>
  <property fmtid="{D5CDD505-2E9C-101B-9397-08002B2CF9AE}" pid="18" name="MSIP_Label_73094ff5-79ca-456b-95f6-d578316a3809_ContentBits">
    <vt:lpwstr>0</vt:lpwstr>
  </property>
  <property fmtid="{D5CDD505-2E9C-101B-9397-08002B2CF9AE}" pid="19" name="KSOTemplateDocerSaveRecord">
    <vt:lpwstr>eyJoZGlkIjoiMzYwM2E0OTM1MTNmYjdhZDYzZTk0ZmY4ODg5YjlmZWEiLCJ1c2VySWQiOiI0MzkyODMxNDkifQ==</vt:lpwstr>
  </property>
</Properties>
</file>