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000000"/>
          <w:sz w:val="60"/>
          <w:szCs w:val="60"/>
          <w:highlight w:val="none"/>
        </w:rPr>
      </w:pPr>
      <w:r>
        <w:rPr>
          <w:rFonts w:hint="eastAsia"/>
          <w:color w:val="000000"/>
          <w:sz w:val="60"/>
          <w:szCs w:val="60"/>
          <w:highlight w:val="none"/>
        </w:rPr>
      </w:r>
      <w:r/>
    </w:p>
    <w:p>
      <w:pPr>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p>
    <w:p>
      <w:pPr>
        <w:jc w:val="center"/>
        <w:rPr>
          <w:b/>
          <w:bCs/>
          <w:color w:val="000000"/>
          <w:sz w:val="60"/>
          <w:szCs w:val="60"/>
          <w:highlight w:val="none"/>
        </w:rPr>
      </w:pPr>
      <w:r>
        <w:rPr>
          <w:b/>
          <w:bCs/>
          <w:color w:val="000000"/>
          <w:sz w:val="60"/>
          <w:szCs w:val="60"/>
          <w:highlight w:val="none"/>
        </w:rPr>
      </w:r>
      <w:r/>
    </w:p>
    <w:p>
      <w:pPr>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p>
    <w:p>
      <w:pPr>
        <w:jc w:val="center"/>
        <w:rPr>
          <w:b/>
          <w:bCs/>
          <w:color w:val="000000"/>
          <w:sz w:val="60"/>
          <w:szCs w:val="60"/>
          <w:highlight w:val="none"/>
        </w:rPr>
      </w:pPr>
      <w:r>
        <w:rPr>
          <w:b/>
          <w:bCs/>
          <w:color w:val="000000"/>
          <w:sz w:val="60"/>
          <w:szCs w:val="60"/>
          <w:highlight w:val="none"/>
        </w:rPr>
      </w:r>
      <w:r/>
    </w:p>
    <w:p>
      <w:pPr>
        <w:jc w:val="center"/>
        <w:rPr>
          <w:b/>
          <w:bCs/>
          <w:color w:val="000000"/>
          <w:sz w:val="60"/>
          <w:szCs w:val="60"/>
          <w:highlight w:val="none"/>
        </w:rPr>
      </w:pPr>
      <w:r>
        <w:rPr>
          <w:b/>
          <w:bCs/>
          <w:color w:val="000000"/>
          <w:sz w:val="60"/>
          <w:szCs w:val="60"/>
          <w:highlight w:val="none"/>
        </w:rPr>
      </w:r>
      <w:r/>
    </w:p>
    <w:p>
      <w:pPr>
        <w:jc w:val="center"/>
        <w:rPr>
          <w:b/>
          <w:bCs/>
          <w:color w:val="000000"/>
          <w:sz w:val="60"/>
          <w:szCs w:val="60"/>
          <w:highlight w:val="none"/>
        </w:rPr>
      </w:pPr>
      <w:r>
        <w:rPr>
          <w:b/>
          <w:bCs/>
          <w:color w:val="000000"/>
          <w:sz w:val="60"/>
          <w:szCs w:val="60"/>
          <w:highlight w:val="none"/>
        </w:rPr>
      </w:r>
      <w:r/>
    </w:p>
    <w:p>
      <w:pPr>
        <w:pStyle w:val="1143"/>
        <w:rPr>
          <w:highlight w:val="none"/>
        </w:rPr>
      </w:pPr>
      <w:r>
        <w:rPr>
          <w:highlight w:val="none"/>
        </w:rPr>
      </w:r>
      <w:r/>
    </w:p>
    <w:p>
      <w:pPr>
        <w:jc w:val="center"/>
        <w:spacing w:line="360" w:lineRule="auto"/>
        <w:rPr>
          <w:color w:val="000000"/>
          <w:sz w:val="60"/>
          <w:szCs w:val="60"/>
          <w:highlight w:val="none"/>
        </w:rPr>
      </w:pPr>
      <w:r>
        <w:rPr>
          <w:color w:val="000000"/>
          <w:sz w:val="60"/>
          <w:szCs w:val="60"/>
          <w:highlight w:val="none"/>
        </w:rPr>
      </w:r>
      <w:r/>
    </w:p>
    <w:p>
      <w:pPr>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cs="Times New Roman"/>
          <w:bCs/>
          <w:color w:val="000000"/>
          <w:sz w:val="36"/>
          <w:szCs w:val="36"/>
          <w:highlight w:val="none"/>
          <w:lang w:val="en-US" w:eastAsia="zh-CN"/>
        </w:rPr>
        <w:t xml:space="preserve">武进区公共机构能源费用托管项目</w:t>
      </w:r>
      <w:r/>
    </w:p>
    <w:p>
      <w:pPr>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项目编号：JSZC-320412-CYGS-G2026-0003</w:t>
      </w:r>
      <w:r/>
    </w:p>
    <w:p>
      <w:pPr>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常州市武进区机关事务管理中心</w:t>
      </w:r>
      <w:r/>
    </w:p>
    <w:p>
      <w:pPr>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Times New Roman" w:hAnsi="Times New Roman" w:eastAsia="宋体" w:cs="Times New Roman"/>
          <w:bCs/>
          <w:color w:val="000000"/>
          <w:sz w:val="36"/>
          <w:szCs w:val="36"/>
          <w:highlight w:val="none"/>
          <w:lang w:val="en-US" w:eastAsia="zh-CN"/>
        </w:rPr>
        <w:t xml:space="preserve">常州诚誉工程咨询有限公司</w:t>
      </w:r>
      <w:r>
        <w:rPr>
          <w:rFonts w:ascii="Times New Roman" w:hAnsi="Times New Roman" w:eastAsia="宋体" w:cs="Times New Roman"/>
          <w:bCs/>
          <w:color w:val="000000"/>
          <w:sz w:val="36"/>
          <w:szCs w:val="36"/>
          <w:highlight w:val="none"/>
          <w:lang w:val="en-US" w:eastAsia="zh-CN"/>
        </w:rPr>
        <w:t xml:space="preserve"> </w:t>
      </w:r>
      <w:r/>
    </w:p>
    <w:p>
      <w:pPr>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
    </w:p>
    <w:p>
      <w:pPr>
        <w:pStyle w:val="1117"/>
        <w:spacing w:line="360" w:lineRule="auto"/>
        <w:rPr>
          <w:rFonts w:ascii="Calibri" w:hAnsi="Calibri"/>
          <w:b w:val="0"/>
          <w:color w:val="000000"/>
          <w:sz w:val="21"/>
          <w:szCs w:val="22"/>
          <w:highlight w:val="none"/>
        </w:rPr>
      </w:pPr>
      <w:r>
        <w:rPr>
          <w:rFonts w:ascii="Calibri" w:hAnsi="Calibri"/>
          <w:b w:val="0"/>
          <w:color w:val="000000"/>
          <w:sz w:val="21"/>
          <w:szCs w:val="22"/>
          <w:highlight w:val="none"/>
        </w:rPr>
      </w:r>
      <w:r/>
    </w:p>
    <w:p>
      <w:pPr>
        <w:pStyle w:val="1117"/>
        <w:numPr>
          <w:ilvl w:val="0"/>
          <w:numId w:val="8"/>
        </w:numPr>
        <w:spacing w:line="240" w:lineRule="auto"/>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p>
    <w:p>
      <w:pPr>
        <w:rPr>
          <w:rFonts w:hint="eastAsia"/>
          <w:color w:val="000000"/>
          <w:highlight w:val="none"/>
        </w:rPr>
      </w:pPr>
      <w:r>
        <w:rPr>
          <w:rFonts w:hint="eastAsia"/>
          <w:color w:val="000000"/>
          <w:highlight w:val="none"/>
        </w:rPr>
      </w:r>
      <w:r/>
    </w:p>
    <w:p>
      <w:pPr>
        <w:numPr>
          <w:ilvl w:val="0"/>
          <w:numId w:val="8"/>
        </w:numPr>
        <w:rPr>
          <w:b/>
          <w:bCs/>
          <w:color w:val="000000"/>
          <w:sz w:val="30"/>
          <w:szCs w:val="30"/>
          <w:highlight w:val="none"/>
        </w:rPr>
      </w:pPr>
      <w:r>
        <w:rPr>
          <w:rFonts w:hint="eastAsia"/>
          <w:b/>
          <w:bCs/>
          <w:color w:val="000000"/>
          <w:sz w:val="30"/>
          <w:szCs w:val="30"/>
          <w:highlight w:val="none"/>
        </w:rPr>
        <w:t xml:space="preserve"> 投标人须知</w:t>
      </w:r>
      <w:r/>
    </w:p>
    <w:p>
      <w:pPr>
        <w:pStyle w:val="1143"/>
        <w:rPr>
          <w:highlight w:val="none"/>
        </w:rPr>
      </w:pPr>
      <w:r>
        <w:rPr>
          <w:highlight w:val="none"/>
        </w:rPr>
      </w:r>
      <w:r/>
    </w:p>
    <w:p>
      <w:pPr>
        <w:pStyle w:val="1143"/>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第三章  资格审查</w:t>
      </w:r>
      <w:r/>
    </w:p>
    <w:p>
      <w:pPr>
        <w:pStyle w:val="1143"/>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143"/>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第四章  评标程序、评标方法和评标标准</w:t>
      </w:r>
      <w:r/>
    </w:p>
    <w:p>
      <w:pPr>
        <w:pStyle w:val="1143"/>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143"/>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第五章  采购需求</w:t>
      </w:r>
      <w:r/>
    </w:p>
    <w:p>
      <w:pPr>
        <w:pStyle w:val="1143"/>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143"/>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第六章  拟签订的合同文本</w:t>
      </w:r>
      <w:r/>
    </w:p>
    <w:p>
      <w:pPr>
        <w:pStyle w:val="1143"/>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p>
    <w:p>
      <w:pPr>
        <w:pStyle w:val="1143"/>
        <w:rPr>
          <w:highlight w:val="none"/>
        </w:rPr>
      </w:pPr>
      <w:r>
        <w:rPr>
          <w:highlight w:val="none"/>
        </w:rPr>
      </w:r>
      <w:r/>
    </w:p>
    <w:p>
      <w:pPr>
        <w:pStyle w:val="1143"/>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第八章  投标文件格式</w:t>
      </w:r>
      <w:r/>
    </w:p>
    <w:p>
      <w:pPr>
        <w:pStyle w:val="1143"/>
        <w:spacing w:line="360" w:lineRule="auto"/>
        <w:rPr>
          <w:highlight w:val="none"/>
        </w:rPr>
      </w:pPr>
      <w:r>
        <w:rPr>
          <w:highlight w:val="none"/>
        </w:rPr>
      </w:r>
      <w:r/>
    </w:p>
    <w:p>
      <w:pPr>
        <w:jc w:val="center"/>
        <w:spacing w:line="360" w:lineRule="auto"/>
        <w:rPr>
          <w:b/>
          <w:color w:val="000000"/>
          <w:sz w:val="36"/>
          <w:szCs w:val="36"/>
          <w:highlight w:val="none"/>
        </w:rPr>
        <w:sectPr>
          <w:headerReference w:type="default" r:id="rId9"/>
          <w:headerReference w:type="first" r:id="rId10"/>
          <w:footerReference w:type="first" r:id="rId15"/>
          <w:footnotePr/>
          <w:endnotePr/>
          <w:type w:val="nextColumn"/>
          <w:pgSz w:w="11907" w:h="16840" w:orient="portrait"/>
          <w:pgMar w:top="1417" w:right="1134" w:bottom="1417" w:left="1701" w:header="851" w:footer="850" w:gutter="0"/>
          <w:cols w:num="1" w:sep="0" w:space="1701" w:equalWidth="1"/>
          <w:docGrid w:linePitch="360"/>
        </w:sectPr>
        <w:outlineLvl w:val="0"/>
      </w:pPr>
      <w:r/>
      <w:bookmarkStart w:id="1" w:name="_Toc99301419"/>
      <w:r/>
      <w:r/>
    </w:p>
    <w:p>
      <w:pPr>
        <w:jc w:val="center"/>
        <w:spacing w:line="360" w:lineRule="auto"/>
        <w:rPr>
          <w:b/>
          <w:color w:val="000000"/>
          <w:sz w:val="36"/>
          <w:szCs w:val="36"/>
          <w:highlight w:val="none"/>
        </w:rPr>
        <w:outlineLvl w:val="0"/>
      </w:pPr>
      <w:r>
        <w:rPr>
          <w:b/>
          <w:color w:val="000000"/>
          <w:sz w:val="36"/>
          <w:szCs w:val="36"/>
          <w:highlight w:val="none"/>
        </w:rPr>
        <w:t xml:space="preserve">第一章   投标邀请</w:t>
      </w:r>
      <w:bookmarkEnd w:id="1"/>
      <w:r/>
      <w:r/>
    </w:p>
    <w:p>
      <w:pPr>
        <w:ind w:firstLine="480"/>
        <w:spacing w:line="360" w:lineRule="auto"/>
        <w:rPr>
          <w:rFonts w:ascii="宋体" w:hAnsi="宋体"/>
          <w:color w:val="000000"/>
          <w:sz w:val="24"/>
          <w:highlight w:val="none"/>
        </w:rPr>
      </w:pPr>
      <w:r/>
      <w:bookmarkStart w:id="2" w:name="_Toc28359079"/>
      <w:r/>
      <w:bookmarkStart w:id="3" w:name="_Toc28359002"/>
      <w:r/>
      <w:bookmarkStart w:id="4" w:name="_Toc35393790"/>
      <w:r/>
      <w:bookmarkStart w:id="5" w:name="_Toc35393621"/>
      <w:r/>
      <w:bookmarkStart w:id="6" w:name="_Hlk24379207"/>
      <w:r/>
      <w:bookmarkStart w:id="7" w:name="_Hlk151728086"/>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常州市武进区机关事务管理中心</w:t>
      </w:r>
      <w:r>
        <w:rPr>
          <w:rFonts w:hint="eastAsia" w:ascii="宋体" w:hAnsi="宋体"/>
          <w:color w:val="000000"/>
          <w:sz w:val="24"/>
          <w:highlight w:val="none"/>
        </w:rPr>
        <w:t xml:space="preserve">的委托，</w:t>
      </w:r>
      <w:r>
        <w:rPr>
          <w:rFonts w:hint="eastAsia" w:ascii="宋体" w:hAnsi="宋体"/>
          <w:color w:val="000000"/>
          <w:sz w:val="24"/>
          <w:highlight w:val="none"/>
          <w:lang w:eastAsia="zh-CN"/>
        </w:rPr>
        <w:t xml:space="preserve">常州诚誉工程咨询有限公司</w:t>
      </w:r>
      <w:r>
        <w:rPr>
          <w:rFonts w:hint="eastAsia" w:ascii="宋体" w:hAnsi="宋体"/>
          <w:color w:val="000000"/>
          <w:sz w:val="24"/>
          <w:highlight w:val="none"/>
        </w:rPr>
        <w:t xml:space="preserve">就</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武进区公共机构能源费用托管项目</w:t>
      </w:r>
      <w:r>
        <w:rPr>
          <w:rFonts w:hint="eastAsia" w:ascii="宋体" w:hAnsi="宋体"/>
          <w:color w:val="000000"/>
          <w:sz w:val="24"/>
          <w:highlight w:val="none"/>
        </w:rPr>
        <w:t xml:space="preserve">进行公开招标采购，各潜在投标人可在“苏采云”平台自行免费下载招标文件，并于</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22</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点</w:t>
      </w:r>
      <w:r>
        <w:rPr>
          <w:rFonts w:hint="eastAsia" w:ascii="宋体" w:hAnsi="宋体"/>
          <w:bCs/>
          <w:color w:val="000000"/>
          <w:sz w:val="24"/>
          <w:highlight w:val="none"/>
          <w:u w:val="single"/>
          <w:lang w:val="en-US" w:eastAsia="zh-CN"/>
        </w:rPr>
        <w:t xml:space="preserve">00</w:t>
      </w:r>
      <w:r>
        <w:rPr>
          <w:rFonts w:hint="eastAsia" w:ascii="宋体" w:hAnsi="宋体"/>
          <w:bCs/>
          <w:color w:val="000000"/>
          <w:sz w:val="24"/>
          <w:highlight w:val="none"/>
          <w:u w:val="single"/>
        </w:rPr>
        <w:t xml:space="preserve">分（</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p>
    <w:p>
      <w:pPr>
        <w:pStyle w:val="1069"/>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
    </w:p>
    <w:p>
      <w:pPr>
        <w:ind w:firstLine="480"/>
        <w:spacing w:line="360" w:lineRule="auto"/>
        <w:rPr>
          <w:color w:val="000000"/>
          <w:sz w:val="24"/>
          <w:highlight w:val="none"/>
        </w:rPr>
      </w:pPr>
      <w:r>
        <w:rPr>
          <w:color w:val="000000"/>
          <w:sz w:val="24"/>
          <w:highlight w:val="none"/>
        </w:rPr>
        <w:t xml:space="preserve">1.项目编号：JSZC-320412-CYGS-G2026-0003</w:t>
      </w:r>
      <w:r/>
    </w:p>
    <w:p>
      <w:pPr>
        <w:ind w:firstLine="480"/>
        <w:spacing w:line="360" w:lineRule="auto"/>
        <w:rPr>
          <w:rFonts w:hint="eastAsia" w:eastAsia="宋体"/>
          <w:color w:val="000000"/>
          <w:sz w:val="24"/>
          <w:highlight w:val="none"/>
          <w:lang w:eastAsia="zh-CN"/>
        </w:rPr>
      </w:pPr>
      <w:r>
        <w:rPr>
          <w:color w:val="000000"/>
          <w:sz w:val="24"/>
          <w:highlight w:val="none"/>
        </w:rPr>
        <w:t xml:space="preserve">2.项目名称：</w:t>
      </w:r>
      <w:bookmarkEnd w:id="6"/>
      <w:r>
        <w:rPr>
          <w:rFonts w:hint="eastAsia"/>
          <w:color w:val="000000"/>
          <w:sz w:val="24"/>
          <w:highlight w:val="none"/>
          <w:lang w:eastAsia="zh-CN"/>
        </w:rPr>
        <w:t xml:space="preserve">武进区公共机构能源费用托管项目</w:t>
      </w:r>
      <w:r/>
    </w:p>
    <w:p>
      <w:pPr>
        <w:ind w:firstLine="480"/>
        <w:spacing w:line="360" w:lineRule="auto"/>
        <w:rPr>
          <w:rFonts w:hint="eastAsia" w:eastAsia="宋体"/>
          <w:color w:val="000000"/>
          <w:sz w:val="24"/>
          <w:highlight w:val="none"/>
          <w:lang w:eastAsia="zh-CN"/>
        </w:rPr>
      </w:pPr>
      <w:r>
        <w:rPr>
          <w:color w:val="000000"/>
          <w:sz w:val="24"/>
          <w:highlight w:val="none"/>
        </w:rPr>
        <w:t xml:space="preserve">3.项目预算金额：</w:t>
      </w:r>
      <w:r>
        <w:rPr>
          <w:rFonts w:hint="eastAsia" w:ascii="宋体" w:hAnsi="宋体" w:eastAsia="宋体" w:cs="宋体"/>
          <w:sz w:val="24"/>
          <w:szCs w:val="24"/>
          <w:highlight w:val="none"/>
        </w:rPr>
        <w:t xml:space="preserve">13892.3206万元/年，10年总费用为138923.206万元</w:t>
      </w:r>
      <w:r>
        <w:rPr>
          <w:rFonts w:hint="eastAsia" w:ascii="宋体" w:hAnsi="宋体" w:cs="宋体"/>
          <w:sz w:val="24"/>
          <w:szCs w:val="24"/>
          <w:highlight w:val="none"/>
          <w:lang w:eastAsia="zh-CN"/>
        </w:rPr>
        <w:t xml:space="preserve">。</w:t>
      </w:r>
      <w:r/>
    </w:p>
    <w:p>
      <w:pPr>
        <w:ind w:firstLine="480"/>
        <w:spacing w:line="360" w:lineRule="auto"/>
        <w:rPr>
          <w:rFonts w:hint="eastAsia"/>
          <w:color w:val="000000"/>
          <w:sz w:val="24"/>
          <w:highlight w:val="none"/>
        </w:rPr>
      </w:pPr>
      <w:r>
        <w:rPr>
          <w:rFonts w:hint="eastAsia"/>
          <w:color w:val="000000"/>
          <w:sz w:val="24"/>
          <w:highlight w:val="none"/>
        </w:rPr>
        <w:t xml:space="preserve">4.</w:t>
      </w:r>
      <w:r>
        <w:rPr>
          <w:color w:val="000000"/>
          <w:sz w:val="24"/>
          <w:highlight w:val="none"/>
        </w:rPr>
        <w:t xml:space="preserve">项目最高限价：</w:t>
      </w:r>
      <w:r>
        <w:rPr>
          <w:rFonts w:hint="eastAsia" w:ascii="宋体" w:hAnsi="宋体" w:eastAsia="宋体" w:cs="宋体"/>
          <w:sz w:val="24"/>
          <w:szCs w:val="24"/>
          <w:highlight w:val="none"/>
        </w:rPr>
        <w:t xml:space="preserve">13892.3206万元/年，10年总费用为138923.206万元</w:t>
      </w:r>
      <w:r>
        <w:rPr>
          <w:rFonts w:hint="eastAsia"/>
          <w:color w:val="000000"/>
          <w:sz w:val="24"/>
          <w:highlight w:val="none"/>
        </w:rPr>
        <w:t xml:space="preserve">。</w:t>
      </w:r>
      <w:r/>
    </w:p>
    <w:p>
      <w:pPr>
        <w:ind w:firstLine="480"/>
        <w:spacing w:line="360" w:lineRule="auto"/>
        <w:rPr>
          <w:rFonts w:hint="default" w:eastAsia="宋体"/>
          <w:color w:val="000000"/>
          <w:sz w:val="24"/>
          <w:highlight w:val="none"/>
          <w:lang w:val="en-US" w:eastAsia="zh-CN"/>
        </w:rPr>
      </w:pPr>
      <w:r>
        <w:rPr>
          <w:rFonts w:hint="eastAsia"/>
          <w:color w:val="000000"/>
          <w:sz w:val="24"/>
          <w:highlight w:val="none"/>
        </w:rPr>
        <w:t xml:space="preserve">5</w:t>
      </w:r>
      <w:r>
        <w:rPr>
          <w:color w:val="000000"/>
          <w:sz w:val="24"/>
          <w:highlight w:val="none"/>
        </w:rPr>
        <w:t xml:space="preserve">.采购需求：</w:t>
      </w:r>
      <w:r>
        <w:rPr>
          <w:rFonts w:hint="eastAsia"/>
          <w:color w:val="000000"/>
          <w:sz w:val="24"/>
          <w:highlight w:val="none"/>
          <w:lang w:eastAsia="zh-CN"/>
        </w:rPr>
        <w:t xml:space="preserve">武进区公共机构能源费用托管项目</w:t>
      </w:r>
      <w:r>
        <w:rPr>
          <w:color w:val="000000"/>
          <w:sz w:val="24"/>
          <w:highlight w:val="none"/>
        </w:rPr>
        <w:t xml:space="preserve">是对全区</w:t>
      </w:r>
      <w:r>
        <w:rPr>
          <w:rFonts w:hint="eastAsia"/>
          <w:color w:val="000000"/>
          <w:sz w:val="24"/>
          <w:highlight w:val="none"/>
          <w:lang w:val="en-US" w:eastAsia="zh-CN"/>
        </w:rPr>
        <w:t xml:space="preserve">的</w:t>
      </w:r>
      <w:r>
        <w:rPr>
          <w:color w:val="000000"/>
          <w:sz w:val="24"/>
          <w:highlight w:val="none"/>
        </w:rPr>
        <w:t xml:space="preserve">公共机构整体实施合同能源管理方式</w:t>
      </w:r>
      <w:r>
        <w:rPr>
          <w:rFonts w:hint="eastAsia"/>
          <w:color w:val="000000"/>
          <w:sz w:val="24"/>
          <w:highlight w:val="none"/>
          <w:lang w:eastAsia="zh-CN"/>
        </w:rPr>
        <w:t xml:space="preserve">。</w:t>
      </w:r>
      <w:r>
        <w:rPr>
          <w:color w:val="000000"/>
          <w:sz w:val="24"/>
          <w:highlight w:val="none"/>
        </w:rPr>
        <w:t xml:space="preserve">项目内容包括搭建武进区公共机构能源智慧综合管控平台，对各个公共机构进行综合能效提升改造，推动区域能源结构优化、提升能效、降低能耗，达成规划节能目标</w:t>
      </w:r>
      <w:r>
        <w:rPr>
          <w:rFonts w:hint="eastAsia"/>
          <w:color w:val="000000"/>
          <w:sz w:val="24"/>
          <w:highlight w:val="none"/>
          <w:lang w:eastAsia="zh-CN"/>
        </w:rPr>
        <w:t xml:space="preserve">。</w:t>
      </w:r>
      <w:r>
        <w:rPr>
          <w:rFonts w:hint="eastAsia"/>
          <w:color w:val="000000"/>
          <w:sz w:val="24"/>
          <w:highlight w:val="none"/>
          <w:lang w:val="en-US" w:eastAsia="zh-CN"/>
        </w:rPr>
        <w:t xml:space="preserve">具体详见招标文件。</w:t>
      </w:r>
      <w:r/>
    </w:p>
    <w:p>
      <w:pPr>
        <w:ind w:firstLine="480"/>
        <w:spacing w:line="360" w:lineRule="auto"/>
        <w:rPr>
          <w:rFonts w:hint="eastAsia" w:eastAsia="宋体"/>
          <w:color w:val="000000"/>
          <w:sz w:val="24"/>
          <w:highlight w:val="none"/>
          <w:lang w:val="en-US" w:eastAsia="zh-CN"/>
        </w:rPr>
      </w:pPr>
      <w:r>
        <w:rPr>
          <w:rFonts w:hint="eastAsia"/>
          <w:color w:val="000000"/>
          <w:sz w:val="24"/>
          <w:highlight w:val="none"/>
        </w:rPr>
        <w:t xml:space="preserve">6</w:t>
      </w:r>
      <w:r>
        <w:rPr>
          <w:color w:val="000000"/>
          <w:sz w:val="24"/>
          <w:highlight w:val="none"/>
        </w:rPr>
        <w:t xml:space="preserve">.合同履行期限：</w:t>
      </w:r>
      <w:r>
        <w:rPr>
          <w:rFonts w:hint="eastAsia" w:ascii="宋体" w:hAnsi="宋体" w:eastAsia="宋体" w:cs="宋体"/>
          <w:sz w:val="24"/>
          <w:szCs w:val="24"/>
          <w:highlight w:val="none"/>
        </w:rPr>
        <w:t xml:space="preserve">本项目托管期为10年，自项目改造完成（改造期不超过</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年）投入使用之日起至托管期限届满。</w:t>
      </w:r>
      <w:r/>
    </w:p>
    <w:p>
      <w:pPr>
        <w:ind w:firstLine="480"/>
        <w:spacing w:line="360" w:lineRule="auto"/>
        <w:rPr>
          <w:rFonts w:hint="eastAsia"/>
          <w:color w:val="000000"/>
          <w:sz w:val="24"/>
          <w:highlight w:val="none"/>
        </w:rPr>
      </w:pPr>
      <w:r>
        <w:rPr>
          <w:rFonts w:hint="eastAsia"/>
          <w:color w:val="000000"/>
          <w:sz w:val="24"/>
          <w:highlight w:val="none"/>
        </w:rPr>
        <w:t xml:space="preserve">7</w:t>
      </w:r>
      <w:r>
        <w:rPr>
          <w:color w:val="000000"/>
          <w:sz w:val="24"/>
          <w:highlight w:val="none"/>
        </w:rPr>
        <w:t xml:space="preserve">.本项目是否接受联合体投标：</w:t>
      </w:r>
      <w:r>
        <w:rPr>
          <w:rFonts w:hint="eastAsia"/>
          <w:color w:val="000000"/>
          <w:sz w:val="24"/>
          <w:highlight w:val="none"/>
          <w:lang w:val="en-US" w:eastAsia="zh-CN"/>
        </w:rPr>
        <w:t xml:space="preserve">是</w:t>
      </w:r>
      <w:r>
        <w:rPr>
          <w:rFonts w:hint="eastAsia"/>
          <w:color w:val="000000"/>
          <w:sz w:val="24"/>
          <w:highlight w:val="none"/>
        </w:rPr>
        <w:t xml:space="preserve">。</w:t>
      </w:r>
      <w:r/>
    </w:p>
    <w:p>
      <w:pPr>
        <w:ind w:firstLine="480"/>
        <w:spacing w:line="360" w:lineRule="auto"/>
        <w:rPr>
          <w:rFonts w:hint="eastAsia"/>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p>
    <w:p>
      <w:pPr>
        <w:pStyle w:val="1069"/>
        <w:ind w:firstLine="482"/>
        <w:jc w:val="left"/>
        <w:spacing w:before="0" w:line="360" w:lineRule="auto"/>
        <w:rPr>
          <w:rFonts w:ascii="Times New Roman" w:hAnsi="Times New Roman" w:eastAsia="宋体"/>
          <w:color w:val="000000"/>
          <w:sz w:val="24"/>
          <w:szCs w:val="24"/>
          <w:highlight w:val="none"/>
        </w:rPr>
      </w:pPr>
      <w:r/>
      <w:bookmarkStart w:id="8" w:name="_Toc28359003"/>
      <w:r/>
      <w:bookmarkStart w:id="9" w:name="_Toc28359080"/>
      <w:r/>
      <w:bookmarkStart w:id="10" w:name="_Toc35393622"/>
      <w:r/>
      <w:bookmarkStart w:id="11" w:name="_Toc35393791"/>
      <w:r>
        <w:rPr>
          <w:rFonts w:ascii="Times New Roman" w:hAnsi="Times New Roman" w:eastAsia="宋体"/>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olor w:val="000000"/>
          <w:sz w:val="24"/>
          <w:szCs w:val="24"/>
          <w:highlight w:val="none"/>
        </w:rPr>
        <w:t xml:space="preserve">（须同时满足）</w:t>
      </w:r>
      <w:r/>
    </w:p>
    <w:p>
      <w:pPr>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highlight w:val="none"/>
        </w:rPr>
      </w:pPr>
      <w:r/>
      <w:bookmarkStart w:id="12" w:name="_Toc28359081"/>
      <w:r/>
      <w:bookmarkStart w:id="13" w:name="_Toc28359004"/>
      <w:r>
        <w:rPr>
          <w:color w:val="000000"/>
          <w:sz w:val="24"/>
          <w:highlight w:val="none"/>
        </w:rPr>
        <w:t xml:space="preserve">2.落实政府采购政策需满足的资格要求：</w:t>
      </w:r>
      <w:r/>
    </w:p>
    <w:p>
      <w:pPr>
        <w:ind w:firstLine="480"/>
        <w:spacing w:line="360" w:lineRule="auto"/>
        <w:rPr>
          <w:color w:val="000000"/>
          <w:sz w:val="24"/>
          <w:highlight w:val="none"/>
        </w:rPr>
      </w:pPr>
      <w:r>
        <w:rPr>
          <w:color w:val="000000"/>
          <w:sz w:val="24"/>
          <w:highlight w:val="none"/>
        </w:rPr>
        <w:t xml:space="preserve">2.1 中小企业政策</w:t>
      </w:r>
      <w:r/>
    </w:p>
    <w:p>
      <w:pPr>
        <w:ind w:firstLine="480"/>
        <w:spacing w:line="360" w:lineRule="auto"/>
        <w:rPr>
          <w:color w:val="000000"/>
          <w:sz w:val="24"/>
          <w:highlight w:val="none"/>
        </w:rPr>
      </w:pPr>
      <w:r>
        <w:rPr>
          <w:color w:val="000000"/>
          <w:sz w:val="24"/>
          <w:highlight w:val="none"/>
        </w:rPr>
        <w:t xml:space="preserve">本项目不专门面向中小企业预留采购份额。</w:t>
      </w:r>
      <w:r/>
    </w:p>
    <w:p>
      <w:pPr>
        <w:ind w:firstLine="480"/>
        <w:spacing w:line="360" w:lineRule="auto"/>
        <w:rPr>
          <w:i/>
          <w:iCs/>
          <w:color w:val="000000"/>
          <w:sz w:val="24"/>
          <w:highlight w:val="none"/>
          <w:u w:val="single"/>
        </w:rPr>
      </w:pPr>
      <w:r>
        <w:rPr>
          <w:color w:val="000000"/>
          <w:sz w:val="24"/>
          <w:highlight w:val="none"/>
        </w:rPr>
        <w:t xml:space="preserve">3.本项目的特定资格要求：</w:t>
      </w:r>
      <w:r/>
    </w:p>
    <w:p>
      <w:pPr>
        <w:ind w:firstLine="480"/>
        <w:spacing w:line="360" w:lineRule="auto"/>
        <w:rPr>
          <w:rFonts w:hint="eastAsia"/>
          <w:color w:val="000000"/>
          <w:sz w:val="24"/>
          <w:highlight w:val="none"/>
        </w:rPr>
      </w:pPr>
      <w:r>
        <w:rPr>
          <w:color w:val="000000"/>
          <w:sz w:val="24"/>
          <w:highlight w:val="none"/>
        </w:rPr>
        <w:t xml:space="preserve">3.1本项目是否接受分支机构参与投标：否</w:t>
      </w:r>
      <w:r>
        <w:rPr>
          <w:rFonts w:hint="eastAsia"/>
          <w:color w:val="000000"/>
          <w:sz w:val="24"/>
          <w:highlight w:val="none"/>
        </w:rPr>
        <w:t xml:space="preserve">。</w:t>
      </w:r>
      <w:r/>
    </w:p>
    <w:p>
      <w:pPr>
        <w:ind w:firstLine="480"/>
        <w:spacing w:line="360" w:lineRule="auto"/>
        <w:rPr>
          <w:rFonts w:hint="eastAsia"/>
          <w:color w:val="000000"/>
          <w:sz w:val="24"/>
          <w:highlight w:val="none"/>
        </w:rPr>
      </w:pPr>
      <w:r>
        <w:rPr>
          <w:color w:val="000000"/>
          <w:sz w:val="24"/>
          <w:highlight w:val="none"/>
        </w:rPr>
        <w:t xml:space="preserve">3.2本项目是否属于政府购买服务：否</w:t>
      </w:r>
      <w:r/>
    </w:p>
    <w:p>
      <w:pPr>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3.3其他特定资格要求：</w:t>
      </w:r>
      <w:bookmarkEnd w:id="12"/>
      <w:r/>
      <w:bookmarkEnd w:id="13"/>
      <w:r/>
      <w:r/>
    </w:p>
    <w:p>
      <w:pPr>
        <w:ind w:firstLine="480"/>
        <w:spacing w:line="360" w:lineRule="auto"/>
        <w:rPr>
          <w:rFonts w:hint="eastAsia" w:cs="Times New Roman"/>
          <w:color w:val="000000"/>
          <w:sz w:val="24"/>
          <w:highlight w:val="none"/>
          <w:lang w:eastAsia="zh-CN"/>
        </w:rPr>
      </w:pPr>
      <w:r>
        <w:rPr>
          <w:rFonts w:hint="eastAsia" w:ascii="微软雅黑" w:hAnsi="微软雅黑" w:eastAsia="微软雅黑" w:cs="微软雅黑"/>
          <w:color w:val="000000"/>
          <w:sz w:val="24"/>
          <w:highlight w:val="none"/>
        </w:rPr>
        <w:t xml:space="preserve">①</w:t>
      </w:r>
      <w:r>
        <w:rPr>
          <w:rFonts w:hint="eastAsia" w:ascii="Times New Roman" w:hAnsi="Times New Roman" w:eastAsia="宋体" w:cs="Times New Roman"/>
          <w:color w:val="000000"/>
          <w:sz w:val="24"/>
          <w:highlight w:val="none"/>
        </w:rPr>
        <w:t xml:space="preserve">具</w:t>
      </w:r>
      <w:r>
        <w:rPr>
          <w:rFonts w:hint="eastAsia" w:cs="Times New Roman"/>
          <w:color w:val="000000"/>
          <w:sz w:val="24"/>
          <w:highlight w:val="none"/>
          <w:lang w:val="en-US" w:eastAsia="zh-CN"/>
        </w:rPr>
        <w:t xml:space="preserve">有</w:t>
      </w:r>
      <w:r>
        <w:rPr>
          <w:rFonts w:hint="eastAsia" w:ascii="Times New Roman" w:hAnsi="Times New Roman" w:eastAsia="宋体" w:cs="Times New Roman"/>
          <w:color w:val="000000"/>
          <w:sz w:val="24"/>
          <w:highlight w:val="none"/>
        </w:rPr>
        <w:t xml:space="preserve">机电工程施工总承包三级或以上资质，或电力工程施工总承包三级或以上资质，或建筑机电安装工程专业承包二级或以上资质</w:t>
      </w:r>
      <w:r>
        <w:rPr>
          <w:rFonts w:hint="eastAsia" w:cs="Times New Roman"/>
          <w:color w:val="000000"/>
          <w:sz w:val="24"/>
          <w:highlight w:val="none"/>
          <w:lang w:eastAsia="zh-CN"/>
        </w:rPr>
        <w:t xml:space="preserve">。</w:t>
      </w:r>
      <w:r/>
    </w:p>
    <w:p>
      <w:pPr>
        <w:ind w:firstLine="480"/>
        <w:spacing w:line="360" w:lineRule="auto"/>
        <w:rPr>
          <w:rFonts w:hint="eastAsia" w:ascii="Times New Roman" w:hAnsi="Times New Roman" w:eastAsia="宋体" w:cs="Times New Roman"/>
          <w:color w:val="000000"/>
          <w:sz w:val="24"/>
          <w:highlight w:val="none"/>
          <w:lang w:eastAsia="zh-CN"/>
        </w:rPr>
      </w:pPr>
      <w:r>
        <w:rPr>
          <w:rFonts w:hint="eastAsia" w:ascii="微软雅黑" w:hAnsi="微软雅黑" w:eastAsia="微软雅黑" w:cs="微软雅黑"/>
          <w:color w:val="000000"/>
          <w:sz w:val="24"/>
          <w:highlight w:val="none"/>
          <w:lang w:eastAsia="zh-CN"/>
        </w:rPr>
        <w:t xml:space="preserve">②</w:t>
      </w:r>
      <w:r>
        <w:rPr>
          <w:rFonts w:hint="eastAsia" w:cs="Times New Roman"/>
          <w:color w:val="000000"/>
          <w:sz w:val="24"/>
          <w:highlight w:val="none"/>
          <w:lang w:val="en-US" w:eastAsia="zh-CN"/>
        </w:rPr>
        <w:t xml:space="preserve">具有</w:t>
      </w:r>
      <w:r>
        <w:rPr>
          <w:rFonts w:hint="eastAsia" w:ascii="Times New Roman" w:hAnsi="Times New Roman" w:eastAsia="宋体" w:cs="Times New Roman"/>
          <w:color w:val="000000"/>
          <w:sz w:val="24"/>
          <w:highlight w:val="none"/>
        </w:rPr>
        <w:t xml:space="preserve">三级或以上承装类承装（修、试）电力设施许可证</w:t>
      </w:r>
      <w:r>
        <w:rPr>
          <w:rFonts w:hint="eastAsia" w:cs="Times New Roman"/>
          <w:color w:val="000000"/>
          <w:sz w:val="24"/>
          <w:highlight w:val="none"/>
          <w:lang w:eastAsia="zh-CN"/>
        </w:rPr>
        <w:t xml:space="preserve">。</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以联合体形式参加投标的，联合体应当满足采购项目的全部要求，并在联合协议中载明联合体各方承担的工作和义务。联合体中有同类资质的供应商按照联合体分工承担相同工作的，应当按照资质等级较低的供应商确定联合体资质等级。</w:t>
      </w:r>
      <w:r/>
    </w:p>
    <w:p>
      <w:pPr>
        <w:pStyle w:val="1069"/>
        <w:ind w:firstLine="482"/>
        <w:jc w:val="left"/>
        <w:spacing w:before="0" w:line="360" w:lineRule="auto"/>
        <w:widowControl/>
        <w:rPr>
          <w:rFonts w:ascii="Times New Roman" w:hAnsi="Times New Roman" w:eastAsia="宋体"/>
          <w:color w:val="000000"/>
          <w:sz w:val="24"/>
          <w:szCs w:val="24"/>
          <w:highlight w:val="none"/>
        </w:rPr>
      </w:pPr>
      <w:r/>
      <w:bookmarkStart w:id="14" w:name="_Toc35393792"/>
      <w:r/>
      <w:bookmarkStart w:id="15" w:name="_Toc35393623"/>
      <w:r>
        <w:rPr>
          <w:rFonts w:ascii="Times New Roman" w:hAnsi="Times New Roman" w:eastAsia="宋体"/>
          <w:color w:val="000000"/>
          <w:sz w:val="24"/>
          <w:szCs w:val="24"/>
          <w:highlight w:val="none"/>
        </w:rPr>
        <w:t xml:space="preserve">三、获取招标文件</w:t>
      </w:r>
      <w:bookmarkEnd w:id="14"/>
      <w:r/>
      <w:bookmarkEnd w:id="15"/>
      <w:r/>
      <w:r/>
    </w:p>
    <w:p>
      <w:pPr>
        <w:ind w:firstLine="540"/>
        <w:spacing w:line="360" w:lineRule="auto"/>
        <w:rPr>
          <w:rFonts w:ascii="宋体" w:hAnsi="宋体" w:cs="宋体"/>
          <w:color w:val="000000"/>
          <w:sz w:val="24"/>
          <w:highlight w:val="none"/>
        </w:rPr>
      </w:pPr>
      <w:r/>
      <w:bookmarkStart w:id="16" w:name="_Toc28359005"/>
      <w:r/>
      <w:bookmarkStart w:id="17" w:name="_Toc28359082"/>
      <w:r/>
      <w:bookmarkStart w:id="18" w:name="_Toc35393793"/>
      <w:r/>
      <w:bookmarkStart w:id="19" w:name="_Toc35393624"/>
      <w:r>
        <w:rPr>
          <w:rFonts w:hint="eastAsia" w:ascii="宋体" w:hAnsi="宋体" w:cs="宋体"/>
          <w:color w:val="000000"/>
          <w:sz w:val="24"/>
          <w:highlight w:val="none"/>
        </w:rPr>
        <w:t xml:space="preserve">1.时间：</w:t>
      </w:r>
      <w:r>
        <w:rPr>
          <w:rFonts w:hint="eastAsia"/>
          <w:color w:val="000000"/>
          <w:sz w:val="24"/>
          <w:highlight w:val="none"/>
          <w:lang w:bidi="ar"/>
        </w:rPr>
        <w:t xml:space="preserve">自招标文件公告发布之日起5个工作日</w:t>
      </w:r>
      <w:r>
        <w:rPr>
          <w:rFonts w:hint="eastAsia" w:ascii="宋体" w:hAnsi="宋体" w:cs="宋体"/>
          <w:color w:val="000000"/>
          <w:sz w:val="24"/>
          <w:highlight w:val="none"/>
        </w:rPr>
        <w:t xml:space="preserve">。</w:t>
      </w:r>
      <w:r/>
    </w:p>
    <w:p>
      <w:pPr>
        <w:ind w:firstLine="540"/>
        <w:spacing w:line="360" w:lineRule="auto"/>
        <w:rPr>
          <w:color w:val="000000"/>
          <w:sz w:val="24"/>
          <w:highlight w:val="none"/>
          <w:lang w:bidi="ar"/>
        </w:rPr>
      </w:pPr>
      <w:r>
        <w:rPr>
          <w:rFonts w:hint="eastAsia"/>
          <w:color w:val="000000"/>
          <w:sz w:val="24"/>
          <w:highlight w:val="none"/>
          <w:lang w:bidi="ar"/>
        </w:rPr>
        <w:t xml:space="preserve">2.获取方式：</w:t>
      </w:r>
      <w:bookmarkStart w:id="20" w:name="_Toc38985266"/>
      <w:r>
        <w:rPr>
          <w:rFonts w:hint="eastAsia"/>
          <w:color w:val="000000"/>
          <w:sz w:val="24"/>
          <w:highlight w:val="none"/>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
    </w:p>
    <w:p>
      <w:pPr>
        <w:pStyle w:val="1143"/>
        <w:spacing w:line="360" w:lineRule="auto"/>
        <w:rPr>
          <w:rFonts w:hint="eastAsia" w:ascii="Times New Roman" w:hAnsi="Times New Roman" w:cs="Times New Roman"/>
          <w:highlight w:val="none"/>
          <w:lang w:bidi="ar"/>
        </w:rPr>
      </w:pPr>
      <w:r>
        <w:rPr>
          <w:rFonts w:hint="eastAsia" w:ascii="Times New Roman" w:hAnsi="Times New Roman" w:cs="Times New Roman"/>
          <w:highlight w:val="none"/>
          <w:lang w:bidi="ar"/>
        </w:rPr>
        <w:t xml:space="preserve"> </w:t>
      </w:r>
      <w:r>
        <w:rPr>
          <w:rFonts w:ascii="Times New Roman" w:hAnsi="Times New Roman" w:cs="Times New Roman"/>
          <w:highlight w:val="none"/>
          <w:lang w:bidi="ar"/>
        </w:rPr>
        <w:t xml:space="preserve">   3.</w:t>
      </w:r>
      <w:r>
        <w:rPr>
          <w:rFonts w:hint="eastAsia" w:ascii="Times New Roman" w:hAnsi="Times New Roman" w:cs="Times New Roman"/>
          <w:highlight w:val="none"/>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color w:val="000000"/>
          <w:sz w:val="24"/>
          <w:highlight w:val="none"/>
          <w:lang w:bidi="ar"/>
        </w:rPr>
      </w:pPr>
      <w:r>
        <w:rPr>
          <w:color w:val="000000"/>
          <w:sz w:val="24"/>
          <w:highlight w:val="none"/>
          <w:lang w:bidi="ar"/>
        </w:rPr>
        <w:t xml:space="preserve">4</w:t>
      </w:r>
      <w:r>
        <w:rPr>
          <w:rFonts w:hint="eastAsia"/>
          <w:color w:val="000000"/>
          <w:sz w:val="24"/>
          <w:highlight w:val="none"/>
          <w:lang w:bidi="ar"/>
        </w:rPr>
        <w:t xml:space="preserve">. 投标保证金：本项目不收取投标保证金。</w:t>
      </w:r>
      <w:r/>
    </w:p>
    <w:p>
      <w:pPr>
        <w:pStyle w:val="1069"/>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16"/>
      <w:r/>
      <w:bookmarkEnd w:id="17"/>
      <w:r>
        <w:rPr>
          <w:rFonts w:ascii="Times New Roman" w:hAnsi="Times New Roman" w:eastAsia="宋体"/>
          <w:color w:val="000000"/>
          <w:sz w:val="24"/>
          <w:szCs w:val="24"/>
          <w:highlight w:val="none"/>
        </w:rPr>
        <w:t xml:space="preserve">截止时间、开标时间和地点</w:t>
      </w:r>
      <w:bookmarkEnd w:id="18"/>
      <w:r/>
      <w:bookmarkEnd w:id="19"/>
      <w:r/>
      <w:r/>
    </w:p>
    <w:p>
      <w:pPr>
        <w:ind w:firstLine="480"/>
        <w:spacing w:line="360" w:lineRule="auto"/>
        <w:rPr>
          <w:rFonts w:ascii="宋体" w:hAnsi="宋体"/>
          <w:bCs/>
          <w:color w:val="000000"/>
          <w:sz w:val="24"/>
          <w:highlight w:val="none"/>
          <w:u w:val="single"/>
        </w:rPr>
      </w:pPr>
      <w:r/>
      <w:bookmarkStart w:id="21" w:name="_Toc28359084"/>
      <w:r/>
      <w:bookmarkStart w:id="22" w:name="_Toc35393625"/>
      <w:r/>
      <w:bookmarkStart w:id="23" w:name="_Toc28359007"/>
      <w:r/>
      <w:bookmarkStart w:id="24" w:name="_Toc35393794"/>
      <w:r>
        <w:rPr>
          <w:rFonts w:hint="eastAsia"/>
          <w:color w:val="000000"/>
          <w:sz w:val="24"/>
          <w:highlight w:val="none"/>
          <w:lang w:bidi="ar"/>
        </w:rPr>
        <w:t xml:space="preserve">1.</w:t>
      </w:r>
      <w:r>
        <w:rPr>
          <w:color w:val="000000"/>
          <w:sz w:val="24"/>
          <w:highlight w:val="none"/>
          <w:lang w:bidi="ar"/>
        </w:rPr>
        <w:t xml:space="preserve">投标截止时间、开标时间：</w:t>
      </w:r>
      <w:r>
        <w:rPr>
          <w:color w:val="000000"/>
          <w:sz w:val="24"/>
          <w:highlight w:val="none"/>
          <w:lang w:bidi="ar"/>
        </w:rPr>
        <w:t xml:space="preserve">202</w:t>
      </w:r>
      <w:r>
        <w:rPr>
          <w:rFonts w:hint="eastAsia"/>
          <w:color w:val="000000"/>
          <w:sz w:val="24"/>
          <w:highlight w:val="none"/>
          <w:lang w:val="en-US" w:eastAsia="zh-CN" w:bidi="ar"/>
        </w:rPr>
        <w:t xml:space="preserve">6</w:t>
      </w:r>
      <w:r>
        <w:rPr>
          <w:color w:val="000000"/>
          <w:sz w:val="24"/>
          <w:highlight w:val="none"/>
          <w:lang w:bidi="ar"/>
        </w:rPr>
        <w:t xml:space="preserve">年</w:t>
      </w:r>
      <w:r>
        <w:rPr>
          <w:rFonts w:hint="eastAsia"/>
          <w:color w:val="000000"/>
          <w:sz w:val="24"/>
          <w:highlight w:val="none"/>
          <w:lang w:val="en-US" w:eastAsia="zh-CN" w:bidi="ar"/>
        </w:rPr>
        <w:t xml:space="preserve">6</w:t>
      </w:r>
      <w:r>
        <w:rPr>
          <w:color w:val="000000"/>
          <w:sz w:val="24"/>
          <w:highlight w:val="none"/>
          <w:lang w:bidi="ar"/>
        </w:rPr>
        <w:t xml:space="preserve">月</w:t>
      </w:r>
      <w:r>
        <w:rPr>
          <w:rFonts w:hint="eastAsia"/>
          <w:color w:val="000000"/>
          <w:sz w:val="24"/>
          <w:highlight w:val="none"/>
          <w:lang w:val="en-US" w:eastAsia="zh-CN" w:bidi="ar"/>
        </w:rPr>
        <w:t xml:space="preserve">22</w:t>
      </w:r>
      <w:r>
        <w:rPr>
          <w:color w:val="000000"/>
          <w:sz w:val="24"/>
          <w:highlight w:val="none"/>
          <w:lang w:bidi="ar"/>
        </w:rPr>
        <w:t xml:space="preserve">日</w:t>
      </w:r>
      <w:r>
        <w:rPr>
          <w:rFonts w:hint="eastAsia"/>
          <w:color w:val="000000"/>
          <w:sz w:val="24"/>
          <w:highlight w:val="none"/>
          <w:lang w:val="en-US" w:eastAsia="zh-CN" w:bidi="ar"/>
        </w:rPr>
        <w:t xml:space="preserve">14</w:t>
      </w:r>
      <w:r>
        <w:rPr>
          <w:rFonts w:hint="eastAsia"/>
          <w:color w:val="000000"/>
          <w:sz w:val="24"/>
          <w:highlight w:val="none"/>
          <w:lang w:bidi="ar"/>
        </w:rPr>
        <w:t xml:space="preserve">:</w:t>
      </w:r>
      <w:r>
        <w:rPr>
          <w:rFonts w:hint="eastAsia"/>
          <w:color w:val="000000"/>
          <w:sz w:val="24"/>
          <w:highlight w:val="none"/>
          <w:lang w:val="en-US" w:eastAsia="zh-CN" w:bidi="ar"/>
        </w:rPr>
        <w:t xml:space="preserve">00</w:t>
      </w:r>
      <w:r>
        <w:rPr>
          <w:bCs/>
          <w:color w:val="000000"/>
          <w:sz w:val="24"/>
          <w:highlight w:val="none"/>
          <w:lang w:bidi="ar"/>
        </w:rPr>
        <w:t xml:space="preserve">（北京时间）</w:t>
      </w:r>
      <w:r>
        <w:rPr>
          <w:rFonts w:hint="eastAsia"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2.地点：“苏采云”政府采购交易系统。</w:t>
      </w:r>
      <w:r/>
    </w:p>
    <w:p>
      <w:pPr>
        <w:pStyle w:val="1069"/>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1"/>
      <w:r/>
      <w:bookmarkEnd w:id="22"/>
      <w:r/>
      <w:bookmarkEnd w:id="23"/>
      <w:r/>
      <w:bookmarkEnd w:id="24"/>
      <w:r/>
      <w:r/>
    </w:p>
    <w:p>
      <w:pPr>
        <w:ind w:firstLine="480"/>
        <w:spacing w:line="360" w:lineRule="auto"/>
        <w:rPr>
          <w:color w:val="000000"/>
          <w:sz w:val="24"/>
          <w:highlight w:val="none"/>
        </w:rPr>
      </w:pPr>
      <w:r>
        <w:rPr>
          <w:color w:val="000000"/>
          <w:sz w:val="24"/>
          <w:highlight w:val="none"/>
        </w:rPr>
        <w:t xml:space="preserve">自本公告发布之日起5个工作日。</w:t>
      </w:r>
      <w:r/>
    </w:p>
    <w:p>
      <w:pPr>
        <w:pStyle w:val="1069"/>
        <w:ind w:firstLine="482"/>
        <w:jc w:val="left"/>
        <w:spacing w:before="0" w:line="360" w:lineRule="auto"/>
        <w:rPr>
          <w:rFonts w:ascii="Times New Roman" w:hAnsi="Times New Roman" w:eastAsia="宋体"/>
          <w:color w:val="000000"/>
          <w:sz w:val="24"/>
          <w:szCs w:val="24"/>
          <w:highlight w:val="none"/>
        </w:rPr>
      </w:pPr>
      <w:r/>
      <w:bookmarkStart w:id="25" w:name="_Toc35393626"/>
      <w:r/>
      <w:bookmarkStart w:id="26" w:name="_Toc35393795"/>
      <w:r>
        <w:rPr>
          <w:rFonts w:ascii="Times New Roman" w:hAnsi="Times New Roman" w:eastAsia="宋体"/>
          <w:color w:val="000000"/>
          <w:sz w:val="24"/>
          <w:szCs w:val="24"/>
          <w:highlight w:val="none"/>
        </w:rPr>
        <w:t xml:space="preserve">六、其他补充事宜</w:t>
      </w:r>
      <w:bookmarkEnd w:id="25"/>
      <w:r/>
      <w:bookmarkEnd w:id="26"/>
      <w:r/>
      <w:r/>
    </w:p>
    <w:p>
      <w:pPr>
        <w:ind w:firstLine="480"/>
        <w:spacing w:line="360" w:lineRule="auto"/>
        <w:rPr>
          <w:color w:val="000000"/>
          <w:sz w:val="24"/>
          <w:highlight w:val="none"/>
          <w:lang w:val="zh-TW" w:bidi="ar"/>
        </w:rPr>
      </w:pPr>
      <w:r>
        <w:rPr>
          <w:color w:val="000000"/>
          <w:sz w:val="24"/>
          <w:highlight w:val="none"/>
          <w:lang w:bidi="ar"/>
        </w:rPr>
        <w:t xml:space="preserve">1</w:t>
      </w:r>
      <w:r>
        <w:rPr>
          <w:rFonts w:hint="eastAsia"/>
          <w:color w:val="000000"/>
          <w:sz w:val="24"/>
          <w:highlight w:val="none"/>
          <w:lang w:val="zh-TW" w:bidi="ar"/>
        </w:rPr>
        <w:t xml:space="preserve">.关于常州市中小企业政府采购信用融资：</w:t>
      </w:r>
      <w:r/>
    </w:p>
    <w:p>
      <w:pPr>
        <w:ind w:firstLine="480"/>
        <w:spacing w:line="360" w:lineRule="auto"/>
        <w:rPr>
          <w:rFonts w:hint="eastAsia"/>
          <w:color w:val="000000"/>
          <w:sz w:val="24"/>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69"/>
        <w:ind w:firstLine="482"/>
        <w:jc w:val="left"/>
        <w:spacing w:before="0" w:line="360" w:lineRule="auto"/>
        <w:rPr>
          <w:rFonts w:ascii="Times New Roman" w:hAnsi="Times New Roman" w:eastAsia="宋体"/>
          <w:color w:val="000000"/>
          <w:sz w:val="24"/>
          <w:szCs w:val="24"/>
          <w:highlight w:val="none"/>
        </w:rPr>
      </w:pPr>
      <w:r/>
      <w:bookmarkStart w:id="27" w:name="_Toc35393796"/>
      <w:r/>
      <w:bookmarkStart w:id="28" w:name="_Toc35393627"/>
      <w:r/>
      <w:bookmarkStart w:id="29" w:name="_Toc28359008"/>
      <w:r/>
      <w:bookmarkStart w:id="30" w:name="_Toc28359085"/>
      <w:r>
        <w:rPr>
          <w:rFonts w:ascii="Times New Roman" w:hAnsi="Times New Roman" w:eastAsia="宋体"/>
          <w:color w:val="000000"/>
          <w:sz w:val="24"/>
          <w:szCs w:val="24"/>
          <w:highlight w:val="none"/>
        </w:rPr>
        <w:t xml:space="preserve">七、对本次招标提出询问，请按以下方式联系。</w:t>
      </w:r>
      <w:bookmarkEnd w:id="27"/>
      <w:r/>
      <w:bookmarkEnd w:id="28"/>
      <w:r/>
      <w:bookmarkEnd w:id="29"/>
      <w:r/>
      <w:bookmarkEnd w:id="30"/>
      <w:r/>
      <w:r/>
    </w:p>
    <w:p>
      <w:pPr>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w:t>
      </w:r>
      <w:r>
        <w:rPr>
          <w:b/>
          <w:color w:val="000000"/>
          <w:sz w:val="24"/>
          <w:highlight w:val="none"/>
        </w:rPr>
        <w:t xml:space="preserve">采购人信息</w:t>
      </w:r>
      <w:r/>
    </w:p>
    <w:p>
      <w:pPr>
        <w:ind w:firstLine="480"/>
        <w:jc w:val="left"/>
        <w:spacing w:line="360" w:lineRule="auto"/>
        <w:rPr>
          <w:color w:val="000000"/>
          <w:sz w:val="24"/>
          <w:highlight w:val="none"/>
        </w:rPr>
      </w:pPr>
      <w:r/>
      <w:bookmarkStart w:id="31" w:name="_Toc28359009"/>
      <w:r/>
      <w:bookmarkStart w:id="32" w:name="_Toc28359086"/>
      <w:r>
        <w:rPr>
          <w:color w:val="000000"/>
          <w:sz w:val="24"/>
          <w:highlight w:val="none"/>
        </w:rPr>
        <w:t xml:space="preserve">名称：</w:t>
      </w:r>
      <w:r>
        <w:rPr>
          <w:rFonts w:hint="eastAsia" w:eastAsia="宋体"/>
          <w:color w:val="000000"/>
          <w:sz w:val="24"/>
          <w:highlight w:val="none"/>
          <w:lang w:eastAsia="zh-CN"/>
        </w:rPr>
        <w:t xml:space="preserve">常州市武进区机关事务管理中心</w:t>
      </w:r>
      <w:r>
        <w:rPr>
          <w:color w:val="000000"/>
          <w:sz w:val="24"/>
          <w:highlight w:val="none"/>
        </w:rPr>
        <w:t xml:space="preserve"> </w:t>
      </w:r>
      <w:r/>
    </w:p>
    <w:p>
      <w:pPr>
        <w:ind w:firstLine="480"/>
        <w:jc w:val="left"/>
        <w:spacing w:line="360" w:lineRule="auto"/>
        <w:rPr>
          <w:color w:val="000000"/>
          <w:sz w:val="24"/>
          <w:highlight w:val="none"/>
        </w:rPr>
      </w:pPr>
      <w:r>
        <w:rPr>
          <w:color w:val="000000"/>
          <w:sz w:val="24"/>
          <w:highlight w:val="none"/>
        </w:rPr>
        <w:t xml:space="preserve">地址：</w:t>
      </w:r>
      <w:r>
        <w:rPr>
          <w:rFonts w:hint="eastAsia"/>
          <w:color w:val="000000"/>
          <w:sz w:val="24"/>
          <w:highlight w:val="none"/>
        </w:rPr>
        <w:t xml:space="preserve">常州市武进区环府路26号  </w:t>
      </w:r>
      <w:r/>
    </w:p>
    <w:p>
      <w:pPr>
        <w:pStyle w:val="1143"/>
        <w:ind w:firstLine="480"/>
        <w:spacing w:line="360" w:lineRule="auto"/>
        <w:rPr>
          <w:rFonts w:hint="eastAsia" w:eastAsia="宋体"/>
          <w:highlight w:val="none"/>
        </w:rPr>
      </w:pPr>
      <w:r>
        <w:rPr>
          <w:rFonts w:hint="eastAsia"/>
          <w:highlight w:val="none"/>
        </w:rPr>
        <w:t xml:space="preserve">联系人：</w:t>
      </w:r>
      <w:r>
        <w:rPr>
          <w:rFonts w:hint="eastAsia"/>
          <w:highlight w:val="none"/>
          <w:lang w:val="en-US" w:eastAsia="zh-CN"/>
        </w:rPr>
        <w:t xml:space="preserve">袁先生</w:t>
      </w:r>
      <w:r/>
    </w:p>
    <w:p>
      <w:pPr>
        <w:ind w:firstLine="480"/>
        <w:jc w:val="left"/>
        <w:spacing w:line="360" w:lineRule="auto"/>
        <w:rPr>
          <w:color w:val="000000"/>
          <w:sz w:val="24"/>
          <w:highlight w:val="none"/>
          <w:u w:val="single"/>
        </w:rPr>
      </w:pPr>
      <w:r>
        <w:rPr>
          <w:color w:val="000000"/>
          <w:sz w:val="24"/>
          <w:highlight w:val="none"/>
        </w:rPr>
        <w:t xml:space="preserve">联系方式：</w:t>
      </w:r>
      <w:r>
        <w:rPr>
          <w:rFonts w:hint="eastAsia" w:ascii="Times New Roman" w:eastAsia="宋体"/>
          <w:color w:val="000000"/>
          <w:sz w:val="24"/>
          <w:highlight w:val="none"/>
          <w:lang w:val="en-US" w:eastAsia="zh-CN"/>
        </w:rPr>
        <w:t xml:space="preserve">0519-</w:t>
      </w:r>
      <w:r>
        <w:rPr>
          <w:rFonts w:hint="eastAsia"/>
          <w:color w:val="000000"/>
          <w:sz w:val="24"/>
          <w:highlight w:val="none"/>
        </w:rPr>
        <w:t xml:space="preserve">86312555</w:t>
      </w:r>
      <w:r/>
    </w:p>
    <w:p>
      <w:pPr>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w:t>
      </w:r>
      <w:r>
        <w:rPr>
          <w:rFonts w:hint="eastAsia"/>
          <w:b/>
          <w:color w:val="000000"/>
          <w:sz w:val="24"/>
          <w:highlight w:val="none"/>
          <w:lang w:eastAsia="zh-CN"/>
        </w:rPr>
        <w:t xml:space="preserve">常州诚誉工程咨询有限公司</w:t>
      </w:r>
      <w:r>
        <w:rPr>
          <w:b/>
          <w:color w:val="000000"/>
          <w:sz w:val="24"/>
          <w:highlight w:val="none"/>
        </w:rPr>
        <w:t xml:space="preserve">信息</w:t>
      </w:r>
      <w:bookmarkEnd w:id="31"/>
      <w:r/>
      <w:bookmarkEnd w:id="32"/>
      <w:r/>
      <w:r/>
    </w:p>
    <w:p>
      <w:pPr>
        <w:ind w:firstLine="480"/>
        <w:jc w:val="left"/>
        <w:spacing w:line="360" w:lineRule="auto"/>
        <w:rPr>
          <w:color w:val="000000"/>
          <w:sz w:val="24"/>
          <w:highlight w:val="none"/>
        </w:rPr>
      </w:pPr>
      <w:r/>
      <w:bookmarkStart w:id="33" w:name="_Toc28359087"/>
      <w:r/>
      <w:bookmarkStart w:id="34" w:name="_Toc28359010"/>
      <w:r>
        <w:rPr>
          <w:rFonts w:hint="eastAsia"/>
          <w:color w:val="000000"/>
          <w:sz w:val="24"/>
          <w:highlight w:val="none"/>
        </w:rPr>
        <w:t xml:space="preserve">地址</w:t>
      </w:r>
      <w:r>
        <w:rPr>
          <w:color w:val="000000"/>
          <w:sz w:val="24"/>
          <w:highlight w:val="none"/>
        </w:rPr>
        <w:t xml:space="preserve">：</w:t>
      </w:r>
      <w:r>
        <w:rPr>
          <w:rFonts w:hint="eastAsia"/>
          <w:color w:val="000000"/>
          <w:sz w:val="24"/>
          <w:highlight w:val="none"/>
        </w:rPr>
        <w:t xml:space="preserve">新北区龙锦路1259号1号楼12层</w:t>
      </w:r>
      <w:r/>
    </w:p>
    <w:p>
      <w:pPr>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lang w:val="en-US" w:eastAsia="zh-CN"/>
        </w:rPr>
        <w:t xml:space="preserve">陆</w:t>
      </w:r>
      <w:r>
        <w:rPr>
          <w:rFonts w:hint="eastAsia"/>
          <w:color w:val="000000"/>
          <w:sz w:val="24"/>
          <w:highlight w:val="none"/>
        </w:rPr>
        <w:t xml:space="preserve">女士</w:t>
      </w:r>
      <w:r/>
    </w:p>
    <w:p>
      <w:pPr>
        <w:ind w:firstLine="482"/>
        <w:jc w:val="left"/>
        <w:spacing w:line="360" w:lineRule="auto"/>
        <w:rPr>
          <w:b/>
          <w:color w:val="000000"/>
          <w:sz w:val="24"/>
          <w:highlight w:val="none"/>
        </w:rPr>
      </w:pPr>
      <w:r>
        <w:rPr>
          <w:b/>
          <w:color w:val="000000"/>
          <w:sz w:val="24"/>
          <w:highlight w:val="none"/>
        </w:rPr>
        <w:t xml:space="preserve">联系方式：</w:t>
      </w:r>
      <w:r>
        <w:rPr>
          <w:rFonts w:hint="eastAsia"/>
          <w:b/>
          <w:color w:val="000000"/>
          <w:sz w:val="24"/>
          <w:highlight w:val="none"/>
        </w:rPr>
        <w:t xml:space="preserve">0519-85195517-8003</w:t>
      </w:r>
      <w:r/>
    </w:p>
    <w:p>
      <w:pPr>
        <w:pStyle w:val="1143"/>
        <w:ind w:firstLine="482"/>
        <w:spacing w:line="360" w:lineRule="auto"/>
        <w:rPr>
          <w:rFonts w:ascii="Times New Roman" w:hAnsi="Times New Roman" w:cs="Times New Roman"/>
          <w:b/>
          <w:highlight w:val="none"/>
        </w:rPr>
      </w:pPr>
      <w:r/>
      <w:bookmarkStart w:id="35" w:name="_Hlk152921742"/>
      <w:r>
        <w:rPr>
          <w:rFonts w:ascii="Times New Roman" w:hAnsi="Times New Roman" w:cs="Times New Roman"/>
          <w:b/>
          <w:highlight w:val="none"/>
        </w:rPr>
        <w:t xml:space="preserve">3</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bookmarkEnd w:id="35"/>
      <w:r/>
      <w:r/>
    </w:p>
    <w:p>
      <w:pPr>
        <w:ind w:firstLine="373"/>
        <w:keepLines/>
        <w:keepNext/>
        <w:spacing w:line="360" w:lineRule="auto"/>
        <w:rPr>
          <w:b/>
          <w:color w:val="000000"/>
          <w:sz w:val="24"/>
          <w:highlight w:val="none"/>
        </w:rPr>
        <w:outlineLvl w:val="2"/>
      </w:pPr>
      <w:r>
        <w:rPr>
          <w:rFonts w:hint="eastAsia"/>
          <w:b/>
          <w:color w:val="000000"/>
          <w:sz w:val="24"/>
          <w:highlight w:val="none"/>
        </w:rPr>
        <w:t xml:space="preserve">八、其他</w:t>
      </w:r>
      <w:r/>
    </w:p>
    <w:p>
      <w:pPr>
        <w:ind w:firstLine="480"/>
        <w:spacing w:line="360" w:lineRule="auto"/>
        <w:tabs>
          <w:tab w:val="left" w:pos="900" w:leader="none"/>
        </w:tabs>
        <w:rPr>
          <w:rFonts w:hint="eastAsia" w:ascii="宋体" w:hAnsi="宋体"/>
          <w:bCs/>
          <w:color w:val="000000"/>
          <w:sz w:val="24"/>
          <w:highlight w:val="none"/>
        </w:rPr>
      </w:pPr>
      <w:r/>
      <w:bookmarkStart w:id="36" w:name="_Hlk150161828"/>
      <w:r>
        <w:rPr>
          <w:rFonts w:ascii="宋体" w:hAnsi="宋体"/>
          <w:color w:val="000000"/>
          <w:sz w:val="24"/>
          <w:szCs w:val="21"/>
          <w:highlight w:val="none"/>
        </w:rPr>
        <w:t xml:space="preserve">1</w:t>
      </w:r>
      <w:r>
        <w:rPr>
          <w:rFonts w:hint="eastAsia" w:ascii="宋体" w:hAnsi="宋体"/>
          <w:bCs/>
          <w:color w:val="000000"/>
          <w:sz w:val="24"/>
          <w:highlight w:val="none"/>
        </w:rPr>
        <w:t xml:space="preserve">、根据江苏省财政厅《关于更换全省政府采购交易系统CA数字证书和电子签章的通知》（苏财购〔2023〕101号），</w:t>
      </w:r>
      <w:r>
        <w:rPr>
          <w:rFonts w:hint="eastAsia" w:ascii="宋体" w:hAnsi="宋体"/>
          <w:color w:val="000000"/>
          <w:sz w:val="24"/>
          <w:highlight w:val="none"/>
        </w:rPr>
        <w:t xml:space="preserve">“苏采云”政府采购交易系统（以下简称苏采云系统）</w:t>
      </w:r>
      <w:r>
        <w:rPr>
          <w:rFonts w:hint="eastAsia" w:ascii="宋体" w:hAnsi="宋体"/>
          <w:bCs/>
          <w:color w:val="000000"/>
          <w:sz w:val="24"/>
          <w:highlight w:val="none"/>
        </w:rPr>
        <w:t xml:space="preserve">的CA数字证书、电子签章已更换为江苏省电子政务证书认证中心CA和方正国际软件（北京）有限公司电子签章。如果投标人通过</w:t>
      </w:r>
      <w:r>
        <w:rPr>
          <w:rFonts w:hint="eastAsia" w:ascii="宋体" w:hAnsi="宋体"/>
          <w:color w:val="000000"/>
          <w:sz w:val="24"/>
          <w:highlight w:val="none"/>
        </w:rPr>
        <w:t xml:space="preserve">苏采云系统</w:t>
      </w:r>
      <w:r>
        <w:rPr>
          <w:rFonts w:hint="eastAsia" w:ascii="宋体" w:hAnsi="宋体"/>
          <w:bCs/>
          <w:color w:val="000000"/>
          <w:sz w:val="24"/>
          <w:highlight w:val="none"/>
        </w:rPr>
        <w:t xml:space="preserve">参与政府采购项目，需要更换CA数字证书和电子签章。</w:t>
      </w:r>
      <w:r/>
    </w:p>
    <w:p>
      <w:pPr>
        <w:pStyle w:val="1143"/>
        <w:ind w:firstLine="480"/>
        <w:spacing w:line="360" w:lineRule="auto"/>
        <w:rPr>
          <w:rFonts w:ascii="宋体" w:hAnsi="宋体" w:cs="Times New Roman"/>
          <w:bCs/>
          <w:highlight w:val="none"/>
        </w:rPr>
      </w:pPr>
      <w:r>
        <w:rPr>
          <w:rFonts w:hint="eastAsia" w:ascii="宋体" w:hAnsi="宋体" w:cs="Times New Roman"/>
          <w:bCs/>
          <w:highlight w:val="none"/>
        </w:rPr>
        <w:t xml:space="preserve">领取CA和办理电子签章请至常州市政务服务中心1-1号四楼大厅CA办理窗口办理，或者登录常州市政府采购网“下载中心”，下载并查阅 “</w:t>
      </w:r>
      <w:r>
        <w:rPr>
          <w:rFonts w:ascii="宋体" w:hAnsi="宋体" w:cs="Times New Roman"/>
          <w:bCs/>
          <w:highlight w:val="none"/>
        </w:rPr>
        <w:fldChar w:fldCharType="begin"/>
      </w:r>
      <w:r>
        <w:rPr>
          <w:rFonts w:ascii="宋体" w:hAnsi="宋体" w:cs="Times New Roman"/>
          <w:bCs/>
          <w:highlight w:val="none"/>
        </w:rPr>
        <w:instrText xml:space="preserve">HYPERLINK "http://zfcg.changzhou.gov.cn/html/ns/down/905782119756819.html" \o "江苏省政府采购数字证书CA及电子签章办理指南"</w:instrText>
      </w:r>
      <w:r>
        <w:rPr>
          <w:rFonts w:ascii="宋体" w:hAnsi="宋体" w:cs="Times New Roman"/>
          <w:bCs/>
          <w:highlight w:val="none"/>
        </w:rPr>
        <w:fldChar w:fldCharType="separate"/>
      </w:r>
      <w:r>
        <w:rPr>
          <w:rFonts w:hint="eastAsia" w:ascii="宋体" w:hAnsi="宋体" w:cs="Times New Roman"/>
          <w:bCs/>
          <w:highlight w:val="none"/>
        </w:rPr>
        <w:t xml:space="preserve">江苏省政府采购数字证书CA及电子签章办理指南</w:t>
      </w:r>
      <w:r>
        <w:rPr>
          <w:rFonts w:ascii="宋体" w:hAnsi="宋体" w:cs="Times New Roman"/>
          <w:bCs/>
          <w:highlight w:val="none"/>
        </w:rPr>
        <w:fldChar w:fldCharType="end"/>
      </w:r>
      <w:r>
        <w:rPr>
          <w:rFonts w:ascii="宋体" w:hAnsi="宋体" w:cs="Times New Roman"/>
          <w:bCs/>
          <w:highlight w:val="none"/>
        </w:rPr>
        <w:fldChar w:fldCharType="begin"/>
      </w:r>
      <w:r>
        <w:rPr>
          <w:rFonts w:ascii="宋体" w:hAnsi="宋体" w:cs="Times New Roman"/>
          <w:bCs/>
          <w:highlight w:val="none"/>
        </w:rPr>
        <w:instrText xml:space="preserve">HYPERLINK "http://zfcg.changzhou.gov.cn/html/ns/down/905782119756819.html" \o "江苏省政府采购数字证书CA及电子签章办理指南"</w:instrText>
      </w:r>
      <w:r>
        <w:rPr>
          <w:rFonts w:ascii="宋体" w:hAnsi="宋体" w:cs="Times New Roman"/>
          <w:bCs/>
          <w:highlight w:val="none"/>
        </w:rPr>
        <w:fldChar w:fldCharType="separate"/>
      </w:r>
      <w:r>
        <w:rPr>
          <w:rFonts w:hint="eastAsia" w:ascii="宋体" w:hAnsi="宋体" w:cs="Times New Roman"/>
          <w:bCs/>
          <w:highlight w:val="none"/>
        </w:rPr>
        <w:t xml:space="preserve">”。具体办理指南和操作手册见常州市政府采购网——《“苏采云”系统供应商操作手册》（以下简称《操作手册》），</w:t>
      </w:r>
      <w:r>
        <w:rPr>
          <w:rFonts w:ascii="宋体" w:hAnsi="宋体" w:cs="Times New Roman"/>
          <w:bCs/>
          <w:highlight w:val="none"/>
        </w:rPr>
        <w:fldChar w:fldCharType="end"/>
      </w:r>
      <w:r>
        <w:rPr>
          <w:rFonts w:ascii="宋体" w:hAnsi="宋体" w:cs="Times New Roman"/>
          <w:bCs/>
          <w:highlight w:val="none"/>
        </w:rPr>
        <w:fldChar w:fldCharType="begin"/>
      </w:r>
      <w:r>
        <w:rPr>
          <w:rFonts w:ascii="宋体" w:hAnsi="宋体" w:cs="Times New Roman"/>
          <w:bCs/>
          <w:highlight w:val="none"/>
        </w:rPr>
        <w:instrText xml:space="preserve">HYPERLINK "http://www.ccgp-jiangsu.gov.cn/jiangsu/zlxz/ee/ee3a4bc5a3454aa2b0d9312230633ce9.html"</w:instrText>
      </w:r>
      <w:r>
        <w:rPr>
          <w:rFonts w:ascii="宋体" w:hAnsi="宋体" w:cs="Times New Roman"/>
          <w:bCs/>
          <w:highlight w:val="none"/>
        </w:rPr>
        <w:fldChar w:fldCharType="separate"/>
      </w:r>
      <w:r>
        <w:rPr>
          <w:rFonts w:ascii="宋体" w:hAnsi="宋体" w:cs="Times New Roman"/>
          <w:bCs/>
          <w:highlight w:val="none"/>
        </w:rPr>
        <w:t xml:space="preserve">请根据办理指南进行注册并按《操作手册》要求制作、上传电子投标文件。 </w:t>
      </w:r>
      <w:r>
        <w:rPr>
          <w:rFonts w:ascii="宋体" w:hAnsi="宋体" w:cs="Times New Roman"/>
          <w:bCs/>
          <w:highlight w:val="none"/>
        </w:rPr>
        <w:fldChar w:fldCharType="end"/>
      </w:r>
      <w:bookmarkEnd w:id="7"/>
      <w:r/>
      <w:bookmarkEnd w:id="33"/>
      <w:r/>
      <w:bookmarkEnd w:id="34"/>
      <w:r/>
      <w:bookmarkEnd w:id="36"/>
      <w:r/>
      <w:bookmarkStart w:id="37" w:name="_Toc150774783"/>
      <w:r/>
      <w:bookmarkStart w:id="38" w:name="_Toc127161488"/>
      <w:r/>
      <w:bookmarkStart w:id="39" w:name="_Toc512937850"/>
      <w:r/>
      <w:bookmarkStart w:id="40" w:name="_Toc99301420"/>
      <w:r/>
      <w:bookmarkStart w:id="41" w:name="_Toc305158928"/>
      <w:r/>
      <w:bookmarkStart w:id="42" w:name="_Toc265228423"/>
      <w:r/>
      <w:bookmarkStart w:id="43" w:name="_Toc195842950"/>
      <w:r/>
      <w:bookmarkStart w:id="44" w:name="_Toc226965856"/>
      <w:r/>
      <w:bookmarkStart w:id="45" w:name="_Toc264969275"/>
      <w:r/>
      <w:bookmarkStart w:id="46" w:name="_Toc127151777"/>
      <w:r/>
      <w:bookmarkStart w:id="47" w:name="_Toc353873938"/>
      <w:r/>
      <w:bookmarkStart w:id="48" w:name="_Toc305158854"/>
      <w:r/>
      <w:bookmarkStart w:id="49" w:name="_Toc353825548"/>
      <w:r/>
      <w:r/>
    </w:p>
    <w:p>
      <w:pPr>
        <w:pStyle w:val="1143"/>
        <w:ind w:firstLine="480"/>
        <w:spacing w:line="360" w:lineRule="auto"/>
        <w:rPr>
          <w:rFonts w:ascii="宋体" w:hAnsi="宋体" w:cs="Times New Roman"/>
          <w:bCs/>
          <w:highlight w:val="none"/>
        </w:rPr>
      </w:pPr>
      <w:r>
        <w:rPr>
          <w:rFonts w:ascii="宋体" w:hAnsi="宋体" w:cs="Times New Roman"/>
          <w:bCs/>
          <w:highlight w:val="none"/>
        </w:rPr>
      </w:r>
      <w:r/>
    </w:p>
    <w:p>
      <w:pPr>
        <w:pStyle w:val="1104"/>
        <w:jc w:val="center"/>
        <w:spacing w:line="360" w:lineRule="auto"/>
        <w:rPr>
          <w:b/>
          <w:color w:val="000000"/>
          <w:sz w:val="36"/>
          <w:szCs w:val="36"/>
          <w:highlight w:val="none"/>
        </w:rPr>
      </w:pPr>
      <w:r>
        <w:rPr>
          <w:b/>
          <w:color w:val="000000"/>
          <w:sz w:val="36"/>
          <w:szCs w:val="36"/>
          <w:highlight w:val="none"/>
        </w:rPr>
      </w:r>
      <w:r/>
    </w:p>
    <w:p>
      <w:pPr>
        <w:pStyle w:val="1104"/>
        <w:jc w:val="center"/>
        <w:spacing w:line="360" w:lineRule="auto"/>
        <w:rPr>
          <w:b/>
          <w:color w:val="000000"/>
          <w:sz w:val="36"/>
          <w:szCs w:val="36"/>
          <w:highlight w:val="none"/>
        </w:rPr>
      </w:pPr>
      <w:r>
        <w:rPr>
          <w:b/>
          <w:color w:val="000000"/>
          <w:sz w:val="36"/>
          <w:szCs w:val="36"/>
          <w:highlight w:val="none"/>
        </w:rPr>
      </w:r>
      <w:r/>
    </w:p>
    <w:p>
      <w:pPr>
        <w:pStyle w:val="1104"/>
        <w:jc w:val="center"/>
        <w:spacing w:line="360" w:lineRule="auto"/>
        <w:rPr>
          <w:b/>
          <w:color w:val="000000"/>
          <w:sz w:val="32"/>
          <w:szCs w:val="32"/>
          <w:highlight w:val="none"/>
        </w:rPr>
      </w:pPr>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1069"/>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0" w:name="_Toc150774724"/>
      <w:r/>
      <w:bookmarkStart w:id="51" w:name="_Toc151190146"/>
      <w:r/>
      <w:bookmarkStart w:id="52" w:name="_Toc151193907"/>
      <w:r/>
      <w:bookmarkStart w:id="53" w:name="_Toc151193761"/>
      <w:r/>
      <w:bookmarkStart w:id="54" w:name="_Toc150774619"/>
      <w:r/>
      <w:bookmarkStart w:id="55" w:name="_Toc127151720"/>
      <w:r/>
      <w:bookmarkStart w:id="56" w:name="_Toc164608633"/>
      <w:r/>
      <w:bookmarkStart w:id="57" w:name="_Toc226337215"/>
      <w:r/>
      <w:bookmarkStart w:id="58" w:name="_Toc142311021"/>
      <w:r/>
      <w:bookmarkStart w:id="59" w:name="_Toc151193617"/>
      <w:r/>
      <w:bookmarkStart w:id="60" w:name="_Toc520356144"/>
      <w:r/>
      <w:bookmarkStart w:id="61" w:name="_Toc164229360"/>
      <w:r/>
      <w:bookmarkStart w:id="62" w:name="_Toc226965792"/>
      <w:r/>
      <w:bookmarkStart w:id="63" w:name="_Toc226965709"/>
      <w:r/>
      <w:bookmarkStart w:id="64" w:name="_Toc149720812"/>
      <w:r/>
      <w:bookmarkStart w:id="65" w:name="_Toc150509270"/>
      <w:r/>
      <w:bookmarkStart w:id="66" w:name="_Toc150480757"/>
      <w:r/>
      <w:bookmarkStart w:id="67" w:name="_Toc164608788"/>
      <w:r/>
      <w:bookmarkStart w:id="68" w:name="_Toc151193689"/>
      <w:r/>
      <w:bookmarkStart w:id="69" w:name="_Toc195842884"/>
      <w:r/>
      <w:bookmarkStart w:id="70" w:name="_Toc127151519"/>
      <w:r/>
      <w:bookmarkStart w:id="71" w:name="_Toc164229214"/>
      <w:r/>
      <w:bookmarkStart w:id="72" w:name="_Toc151193833"/>
      <w:r/>
      <w:bookmarkStart w:id="73" w:name="_Toc164351613"/>
      <w:r/>
      <w:bookmarkStart w:id="74" w:name="_Toc127161433"/>
      <w:r/>
      <w:bookmarkStart w:id="75" w:name="_Toc226309763"/>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p>
    <w:tbl>
      <w:tblPr>
        <w:tblStyle w:val="88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000000"/>
                <w:sz w:val="24"/>
                <w:highlight w:val="none"/>
              </w:rPr>
            </w:pPr>
            <w:r>
              <w:rPr>
                <w:rFonts w:hint="eastAsia"/>
                <w:b/>
                <w:color w:val="000000"/>
                <w:sz w:val="24"/>
                <w:highlight w:val="none"/>
              </w:rPr>
              <w:t xml:space="preserve">序号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540"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jc w:val="center"/>
          <w:trHeight w:val="479"/>
        </w:trPr>
        <w:tc>
          <w:tcPr>
            <w:tcW w:w="988" w:type="dxa"/>
            <w:vAlign w:val="center"/>
            <w:textDirection w:val="lrTb"/>
            <w:noWrap w:val="false"/>
          </w:tcPr>
          <w:p>
            <w:pPr>
              <w:pStyle w:val="110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项目属性</w:t>
            </w:r>
            <w:r/>
          </w:p>
        </w:tc>
        <w:tc>
          <w:tcPr>
            <w:tcW w:w="7540" w:type="dxa"/>
            <w:vAlign w:val="center"/>
            <w:textDirection w:val="lrTb"/>
            <w:noWrap w:val="false"/>
          </w:tcPr>
          <w:p>
            <w:pPr>
              <w:jc w:val="left"/>
              <w:spacing w:line="360" w:lineRule="exact"/>
              <w:rPr>
                <w:color w:val="000000"/>
                <w:sz w:val="24"/>
                <w:highlight w:val="none"/>
                <w:u w:val="single"/>
              </w:rPr>
            </w:pPr>
            <w:r>
              <w:rPr>
                <w:color w:val="000000"/>
                <w:sz w:val="24"/>
                <w:highlight w:val="none"/>
              </w:rPr>
              <w:t xml:space="preserve">项目属性：服务</w:t>
            </w:r>
            <w:r>
              <w:rPr>
                <w:rFonts w:hint="eastAsia"/>
                <w:color w:val="000000"/>
                <w:sz w:val="24"/>
                <w:highlight w:val="none"/>
              </w:rPr>
              <w:t xml:space="preserve"> </w:t>
            </w:r>
            <w:r/>
          </w:p>
        </w:tc>
      </w:tr>
      <w:tr>
        <w:trPr>
          <w:jc w:val="center"/>
          <w:trHeight w:val="401"/>
        </w:trPr>
        <w:tc>
          <w:tcPr>
            <w:tcW w:w="988" w:type="dxa"/>
            <w:vAlign w:val="center"/>
            <w:textDirection w:val="lrTb"/>
            <w:noWrap w:val="false"/>
          </w:tcPr>
          <w:p>
            <w:pPr>
              <w:pStyle w:val="110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科研仪器设备</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110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核心产品</w:t>
            </w:r>
            <w:r/>
          </w:p>
        </w:tc>
        <w:tc>
          <w:tcPr>
            <w:tcW w:w="7540" w:type="dxa"/>
            <w:vAlign w:val="center"/>
            <w:textDirection w:val="lrTb"/>
            <w:noWrap w:val="false"/>
          </w:tcPr>
          <w:p>
            <w:pPr>
              <w:pStyle w:val="1104"/>
              <w:spacing w:line="360" w:lineRule="exact"/>
              <w:rPr>
                <w:color w:val="000000"/>
                <w:sz w:val="24"/>
                <w:highlight w:val="none"/>
              </w:rPr>
            </w:pPr>
            <w:r>
              <w:rPr>
                <w:rFonts w:ascii="Times New Roman" w:hAnsi="Times New Roman"/>
                <w:color w:val="000000"/>
                <w:sz w:val="24"/>
                <w:szCs w:val="24"/>
                <w:highlight w:val="none"/>
              </w:rPr>
              <w:t xml:space="preserve">关于核心产品本项目</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不适用。</w:t>
            </w:r>
            <w:r/>
          </w:p>
        </w:tc>
      </w:tr>
      <w:tr>
        <w:trPr>
          <w:jc w:val="center"/>
          <w:trHeight w:val="20"/>
        </w:trPr>
        <w:tc>
          <w:tcPr>
            <w:tcW w:w="988" w:type="dxa"/>
            <w:vAlign w:val="center"/>
            <w:textDirection w:val="lrTb"/>
            <w:noWrap w:val="false"/>
          </w:tcPr>
          <w:p>
            <w:pPr>
              <w:pStyle w:val="110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现场考察</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不组织</w:t>
            </w:r>
            <w:r/>
          </w:p>
        </w:tc>
      </w:tr>
      <w:tr>
        <w:trPr>
          <w:jc w:val="center"/>
          <w:trHeight w:val="20"/>
        </w:trPr>
        <w:tc>
          <w:tcPr>
            <w:tcW w:w="988" w:type="dxa"/>
            <w:vAlign w:val="center"/>
            <w:textDirection w:val="lrTb"/>
            <w:noWrap w:val="false"/>
          </w:tcPr>
          <w:p>
            <w:pPr>
              <w:pStyle w:val="110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开标前答疑会</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不召开</w:t>
            </w:r>
            <w:r/>
          </w:p>
        </w:tc>
      </w:tr>
      <w:tr>
        <w:trPr>
          <w:jc w:val="center"/>
          <w:trHeight w:val="402"/>
        </w:trPr>
        <w:tc>
          <w:tcPr>
            <w:tcW w:w="988" w:type="dxa"/>
            <w:vAlign w:val="center"/>
            <w:textDirection w:val="lrTb"/>
            <w:noWrap w:val="false"/>
          </w:tcPr>
          <w:p>
            <w:pPr>
              <w:pStyle w:val="110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样品</w:t>
            </w:r>
            <w:r/>
          </w:p>
        </w:tc>
        <w:tc>
          <w:tcPr>
            <w:tcW w:w="7540" w:type="dxa"/>
            <w:vAlign w:val="center"/>
            <w:textDirection w:val="lrTb"/>
            <w:noWrap w:val="false"/>
          </w:tcPr>
          <w:p>
            <w:pPr>
              <w:pStyle w:val="888"/>
              <w:ind w:firstLine="0"/>
              <w:spacing w:line="360" w:lineRule="exact"/>
              <w:rPr>
                <w:rFonts w:hint="eastAsia" w:ascii="Times New Roman" w:hAnsi="Times New Roman"/>
                <w:color w:val="000000"/>
                <w:sz w:val="21"/>
                <w:highlight w:val="none"/>
              </w:rPr>
            </w:pPr>
            <w:r>
              <w:rPr>
                <w:color w:val="000000"/>
                <w:sz w:val="24"/>
                <w:highlight w:val="none"/>
              </w:rPr>
              <w:t xml:space="preserve">投标样品递交：不需要</w:t>
            </w:r>
            <w:r/>
          </w:p>
        </w:tc>
      </w:tr>
      <w:tr>
        <w:trPr>
          <w:jc w:val="center"/>
          <w:trHeight w:val="917"/>
        </w:trPr>
        <w:tc>
          <w:tcPr>
            <w:tcW w:w="988" w:type="dxa"/>
            <w:vAlign w:val="center"/>
            <w:textDirection w:val="lrTb"/>
            <w:noWrap w:val="false"/>
          </w:tcPr>
          <w:p>
            <w:pPr>
              <w:pStyle w:val="110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是否专门面向中小企业</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本项目非专门面向中小企业采购，对于符合规定的小、微企业报价给予</w:t>
            </w:r>
            <w:r>
              <w:rPr>
                <w:rFonts w:hint="eastAsia"/>
                <w:color w:val="000000"/>
                <w:sz w:val="24"/>
                <w:highlight w:val="none"/>
                <w:u w:val="single"/>
                <w:lang w:val="en-US" w:eastAsia="zh-CN"/>
              </w:rPr>
              <w:t xml:space="preserve">10</w:t>
            </w:r>
            <w:r>
              <w:rPr>
                <w:rFonts w:hint="eastAsia"/>
                <w:color w:val="000000"/>
                <w:sz w:val="24"/>
                <w:highlight w:val="none"/>
                <w:u w:val="single"/>
              </w:rPr>
              <w:t xml:space="preserve">%</w:t>
            </w:r>
            <w:r>
              <w:rPr>
                <w:rFonts w:hint="eastAsia"/>
                <w:color w:val="000000"/>
                <w:sz w:val="24"/>
                <w:highlight w:val="none"/>
              </w:rPr>
              <w:t xml:space="preserve">的扣除，用扣除后的价格参与评审。</w:t>
            </w:r>
            <w:r/>
          </w:p>
        </w:tc>
      </w:tr>
      <w:tr>
        <w:trPr>
          <w:jc w:val="center"/>
          <w:trHeight w:val="853"/>
        </w:trPr>
        <w:tc>
          <w:tcPr>
            <w:tcW w:w="988" w:type="dxa"/>
            <w:vAlign w:val="center"/>
            <w:textDirection w:val="lrTb"/>
            <w:noWrap w:val="false"/>
          </w:tcPr>
          <w:p>
            <w:pPr>
              <w:pStyle w:val="132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highlight w:val="none"/>
              </w:rPr>
              <w:t xml:space="preserve">本国产品政策支持</w:t>
            </w:r>
            <w:r/>
          </w:p>
        </w:tc>
        <w:tc>
          <w:tcPr>
            <w:tcW w:w="7540" w:type="dxa"/>
            <w:vAlign w:val="center"/>
            <w:textDirection w:val="lrTb"/>
            <w:noWrap w:val="false"/>
          </w:tcPr>
          <w:p>
            <w:pPr>
              <w:jc w:val="left"/>
              <w:spacing w:after="0"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对采购本国产品给予政策支持，本项目：不适用。</w:t>
            </w:r>
            <w:r/>
          </w:p>
        </w:tc>
      </w:tr>
      <w:tr>
        <w:trPr>
          <w:jc w:val="center"/>
          <w:trHeight w:val="1535"/>
        </w:trPr>
        <w:tc>
          <w:tcPr>
            <w:tcW w:w="988" w:type="dxa"/>
            <w:vAlign w:val="center"/>
            <w:textDirection w:val="lrTb"/>
            <w:noWrap w:val="false"/>
          </w:tcPr>
          <w:p>
            <w:pPr>
              <w:pStyle w:val="1104"/>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标的所属行业</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 </w:t>
            </w:r>
            <w:r>
              <w:rPr>
                <w:rFonts w:hint="eastAsia"/>
                <w:color w:val="000000"/>
                <w:sz w:val="24"/>
                <w:highlight w:val="none"/>
                <w:u w:val="single"/>
                <w:lang w:val="en-US" w:eastAsia="zh-CN"/>
              </w:rPr>
              <w:t xml:space="preserve">服务类</w:t>
            </w:r>
            <w:r>
              <w:rPr>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ascii="宋体" w:hAnsi="宋体"/>
                <w:sz w:val="24"/>
                <w:highlight w:val="none"/>
                <w:u w:val="single"/>
              </w:rPr>
              <w:t xml:space="preserve">其他未列明</w:t>
            </w:r>
            <w:r>
              <w:rPr>
                <w:rFonts w:hint="eastAsia" w:ascii="宋体" w:hAnsi="宋体"/>
                <w:sz w:val="24"/>
                <w:highlight w:val="none"/>
                <w:u w:val="single"/>
                <w:lang w:val="zh-TW"/>
              </w:rPr>
              <w:t xml:space="preserve">行业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738"/>
        </w:trPr>
        <w:tc>
          <w:tcPr>
            <w:tcW w:w="988" w:type="dxa"/>
            <w:vAlign w:val="center"/>
            <w:textDirection w:val="lrTb"/>
            <w:noWrap w:val="false"/>
          </w:tcPr>
          <w:p>
            <w:pPr>
              <w:pStyle w:val="1104"/>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投标有效期</w:t>
            </w:r>
            <w:r/>
          </w:p>
        </w:tc>
        <w:tc>
          <w:tcPr>
            <w:tcW w:w="7540" w:type="dxa"/>
            <w:vAlign w:val="center"/>
            <w:textDirection w:val="lrTb"/>
            <w:noWrap w:val="false"/>
          </w:tcPr>
          <w:p>
            <w:pPr>
              <w:jc w:val="left"/>
              <w:spacing w:line="360" w:lineRule="exact"/>
              <w:rPr>
                <w:rFonts w:hint="eastAsia"/>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p>
        </w:tc>
      </w:tr>
      <w:tr>
        <w:trPr>
          <w:jc w:val="center"/>
          <w:trHeight w:val="703"/>
        </w:trPr>
        <w:tc>
          <w:tcPr>
            <w:tcW w:w="988" w:type="dxa"/>
            <w:vAlign w:val="center"/>
            <w:textDirection w:val="lrTb"/>
            <w:noWrap w:val="false"/>
          </w:tcPr>
          <w:p>
            <w:pPr>
              <w:pStyle w:val="1104"/>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分包</w:t>
            </w:r>
            <w:r/>
          </w:p>
        </w:tc>
        <w:tc>
          <w:tcPr>
            <w:tcW w:w="7540" w:type="dxa"/>
            <w:vAlign w:val="center"/>
            <w:textDirection w:val="lrTb"/>
            <w:noWrap w:val="false"/>
          </w:tcPr>
          <w:p>
            <w:pPr>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本项目的非主体、非关键性工作是否允许分包：允许</w:t>
            </w:r>
            <w:r>
              <w:rPr>
                <w:rFonts w:hint="eastAsia" w:ascii="宋体" w:hAnsi="宋体" w:eastAsia="宋体" w:cs="宋体"/>
                <w:sz w:val="24"/>
                <w:szCs w:val="24"/>
                <w:highlight w:val="none"/>
              </w:rPr>
              <w:t xml:space="preserve">。</w:t>
            </w:r>
            <w:r/>
          </w:p>
        </w:tc>
      </w:tr>
      <w:tr>
        <w:trPr>
          <w:jc w:val="center"/>
          <w:trHeight w:val="703"/>
        </w:trPr>
        <w:tc>
          <w:tcPr>
            <w:tcW w:w="988" w:type="dxa"/>
            <w:vAlign w:val="center"/>
            <w:textDirection w:val="lrTb"/>
            <w:noWrap w:val="false"/>
          </w:tcPr>
          <w:p>
            <w:pPr>
              <w:pStyle w:val="1104"/>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询问</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已登记参加本项目的</w:t>
            </w:r>
            <w:r>
              <w:rPr>
                <w:rFonts w:hint="eastAsia"/>
                <w:color w:val="000000"/>
                <w:sz w:val="24"/>
                <w:highlight w:val="none"/>
                <w:lang w:val="en-US" w:eastAsia="zh-CN"/>
              </w:rPr>
              <w:t xml:space="preserve">投标人</w:t>
            </w:r>
            <w:r>
              <w:rPr>
                <w:rFonts w:hint="eastAsia"/>
                <w:color w:val="000000"/>
                <w:sz w:val="24"/>
                <w:highlight w:val="none"/>
              </w:rPr>
              <w:t xml:space="preserve">对招标文件如有疑问，可于</w:t>
            </w:r>
            <w:r>
              <w:rPr>
                <w:rFonts w:hint="eastAsia"/>
                <w:color w:val="000000"/>
                <w:sz w:val="24"/>
                <w:highlight w:val="none"/>
                <w:u w:val="single"/>
                <w:lang w:val="en-US" w:eastAsia="zh-CN"/>
              </w:rPr>
              <w:t xml:space="preserve">2026</w:t>
            </w:r>
            <w:r>
              <w:rPr>
                <w:color w:val="000000"/>
                <w:sz w:val="24"/>
                <w:highlight w:val="none"/>
                <w:u w:val="single"/>
              </w:rPr>
              <w:t xml:space="preserve">年</w:t>
            </w:r>
            <w:r>
              <w:rPr>
                <w:rFonts w:hint="eastAsia"/>
                <w:color w:val="000000"/>
                <w:sz w:val="24"/>
                <w:highlight w:val="none"/>
                <w:u w:val="single"/>
                <w:lang w:val="en-US" w:eastAsia="zh-CN"/>
              </w:rPr>
              <w:t xml:space="preserve">6</w:t>
            </w:r>
            <w:r>
              <w:rPr>
                <w:color w:val="000000"/>
                <w:sz w:val="24"/>
                <w:highlight w:val="none"/>
                <w:u w:val="single"/>
              </w:rPr>
              <w:t xml:space="preserve">月</w:t>
            </w:r>
            <w:r>
              <w:rPr>
                <w:rFonts w:hint="eastAsia"/>
                <w:color w:val="000000"/>
                <w:sz w:val="24"/>
                <w:highlight w:val="none"/>
                <w:u w:val="single"/>
                <w:lang w:val="en-US" w:eastAsia="zh-CN"/>
              </w:rPr>
              <w:t xml:space="preserve">8</w:t>
            </w:r>
            <w:r>
              <w:rPr>
                <w:color w:val="000000"/>
                <w:sz w:val="24"/>
                <w:highlight w:val="none"/>
                <w:u w:val="single"/>
              </w:rPr>
              <w:t xml:space="preserve">日</w:t>
            </w:r>
            <w:r>
              <w:rPr>
                <w:rFonts w:hint="eastAsia"/>
                <w:color w:val="000000"/>
                <w:sz w:val="24"/>
                <w:highlight w:val="none"/>
                <w:u w:val="single"/>
                <w:lang w:val="en-US" w:eastAsia="zh-CN"/>
              </w:rPr>
              <w:t xml:space="preserve">17</w:t>
            </w:r>
            <w:r>
              <w:rPr>
                <w:rFonts w:hint="eastAsia"/>
                <w:color w:val="000000"/>
                <w:sz w:val="24"/>
                <w:highlight w:val="none"/>
              </w:rPr>
              <w:t xml:space="preserve">时</w:t>
            </w:r>
            <w:r>
              <w:rPr>
                <w:rFonts w:hint="eastAsia"/>
                <w:color w:val="000000"/>
                <w:sz w:val="24"/>
                <w:highlight w:val="none"/>
                <w:u w:val="single"/>
                <w:lang w:val="en-US" w:eastAsia="zh-CN"/>
              </w:rPr>
              <w:t xml:space="preserve">00</w:t>
            </w:r>
            <w:r>
              <w:rPr>
                <w:bCs/>
                <w:color w:val="000000"/>
                <w:sz w:val="24"/>
                <w:highlight w:val="none"/>
              </w:rPr>
              <w:t xml:space="preserve">分</w:t>
            </w:r>
            <w:r>
              <w:rPr>
                <w:rFonts w:hint="eastAsia"/>
                <w:color w:val="000000"/>
                <w:sz w:val="24"/>
                <w:highlight w:val="none"/>
              </w:rPr>
              <w:t xml:space="preserve">前将相关疑问（格式详见招标文件中“关于招标文件的询问内容”）发送至邮箱（</w:t>
            </w:r>
            <w:r>
              <w:rPr>
                <w:rFonts w:hint="eastAsia"/>
                <w:color w:val="000000"/>
                <w:sz w:val="24"/>
                <w:highlight w:val="none"/>
                <w:lang w:val="en-US" w:eastAsia="zh-CN"/>
              </w:rPr>
              <w:t xml:space="preserve">3500342997</w:t>
            </w:r>
            <w:r>
              <w:rPr>
                <w:rFonts w:hint="eastAsia"/>
                <w:color w:val="000000"/>
                <w:sz w:val="24"/>
                <w:highlight w:val="none"/>
              </w:rPr>
              <w:t xml:space="preserve">@</w:t>
            </w:r>
            <w:r>
              <w:rPr>
                <w:rFonts w:hint="eastAsia"/>
                <w:color w:val="000000"/>
                <w:sz w:val="24"/>
                <w:highlight w:val="none"/>
                <w:lang w:val="en-US" w:eastAsia="zh-CN"/>
              </w:rPr>
              <w:t xml:space="preserve">qq</w:t>
            </w:r>
            <w:r>
              <w:rPr>
                <w:rFonts w:hint="eastAsia"/>
                <w:color w:val="000000"/>
                <w:sz w:val="24"/>
                <w:highlight w:val="none"/>
              </w:rPr>
              <w:t xml:space="preserve">.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703"/>
        </w:trPr>
        <w:tc>
          <w:tcPr>
            <w:tcW w:w="988" w:type="dxa"/>
            <w:vAlign w:val="center"/>
            <w:textDirection w:val="lrTb"/>
            <w:noWrap w:val="false"/>
          </w:tcPr>
          <w:p>
            <w:pPr>
              <w:pStyle w:val="1104"/>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联系方式</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p>
          <w:p>
            <w:pPr>
              <w:ind w:firstLine="24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）采购人联系电话、通讯地址详见《第一章投标邀请》。</w:t>
            </w:r>
            <w:r/>
          </w:p>
          <w:p>
            <w:pPr>
              <w:ind w:firstLine="24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（2）代理机构：常州诚誉工程咨询有限公司</w:t>
            </w:r>
            <w:r/>
          </w:p>
          <w:p>
            <w:pPr>
              <w:ind w:firstLine="48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联系部门：常州诚誉工程咨询有限公司招标代理部门；</w:t>
            </w:r>
            <w:r/>
          </w:p>
          <w:p>
            <w:pPr>
              <w:ind w:firstLine="48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联系电话：0519-851955</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7-8003；</w:t>
            </w:r>
            <w:r/>
          </w:p>
          <w:p>
            <w:pPr>
              <w:ind w:firstLine="480"/>
              <w:jc w:val="left"/>
              <w:spacing w:line="360" w:lineRule="exact"/>
              <w:rPr>
                <w:rFonts w:hint="eastAsia"/>
                <w:color w:val="000000"/>
                <w:sz w:val="24"/>
                <w:highlight w:val="none"/>
              </w:rPr>
            </w:pPr>
            <w:r>
              <w:rPr>
                <w:rFonts w:hint="eastAsia" w:ascii="宋体" w:hAnsi="宋体" w:eastAsia="宋体" w:cs="Times New Roman"/>
                <w:sz w:val="24"/>
                <w:highlight w:val="none"/>
              </w:rPr>
              <w:t xml:space="preserve">通讯地址：常州市新北区1259-1号楼12层1207室。</w:t>
            </w:r>
            <w:r/>
          </w:p>
        </w:tc>
      </w:tr>
      <w:tr>
        <w:trPr>
          <w:jc w:val="center"/>
          <w:trHeight w:val="703"/>
        </w:trPr>
        <w:tc>
          <w:tcPr>
            <w:tcW w:w="988" w:type="dxa"/>
            <w:vAlign w:val="center"/>
            <w:textDirection w:val="lrTb"/>
            <w:noWrap w:val="false"/>
          </w:tcPr>
          <w:p>
            <w:pPr>
              <w:pStyle w:val="1104"/>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p>
        </w:tc>
        <w:tc>
          <w:tcPr>
            <w:tcW w:w="7540" w:type="dxa"/>
            <w:vAlign w:val="center"/>
            <w:textDirection w:val="lrTb"/>
            <w:noWrap w:val="false"/>
          </w:tcPr>
          <w:p>
            <w:pPr>
              <w:jc w:val="left"/>
              <w:spacing w:line="360" w:lineRule="exact"/>
              <w:rPr>
                <w:rFonts w:hint="eastAsia" w:ascii="宋体" w:hAnsi="宋体" w:eastAsia="宋体" w:cs="Times New Roman"/>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sz w:val="24"/>
                <w:highlight w:val="none"/>
                <w:lang w:eastAsia="zh-CN"/>
              </w:rPr>
              <w:t xml:space="preserve">常州诚誉工程咨询有限公司</w:t>
            </w:r>
            <w:r>
              <w:rPr>
                <w:rFonts w:hint="eastAsia"/>
                <w:color w:val="000000"/>
                <w:sz w:val="24"/>
                <w:highlight w:val="none"/>
              </w:rPr>
              <w:t xml:space="preserve">和采购人各一份，联系方式见《第一章 投标邀请》）</w:t>
            </w:r>
            <w:r/>
          </w:p>
        </w:tc>
      </w:tr>
      <w:tr>
        <w:trPr>
          <w:jc w:val="center"/>
          <w:trHeight w:val="703"/>
        </w:trPr>
        <w:tc>
          <w:tcPr>
            <w:tcW w:w="988" w:type="dxa"/>
            <w:vAlign w:val="center"/>
            <w:textDirection w:val="lrTb"/>
            <w:noWrap w:val="false"/>
          </w:tcPr>
          <w:p>
            <w:pPr>
              <w:pStyle w:val="897"/>
              <w:jc w:val="center"/>
              <w:spacing w:line="360" w:lineRule="exact"/>
              <w:rPr>
                <w:rFonts w:hint="default" w:ascii="Times New Roman" w:hAnsi="Times New Roman" w:eastAsia="宋体"/>
                <w:color w:val="000000"/>
                <w:sz w:val="24"/>
                <w:szCs w:val="24"/>
                <w:highlight w:val="none"/>
                <w:lang w:val="en-US" w:eastAsia="zh-CN"/>
              </w:rPr>
            </w:pPr>
            <w:r>
              <w:rPr>
                <w:rFonts w:hint="eastAsia" w:hAnsi="宋体" w:cs="宋体"/>
                <w:color w:val="000000"/>
                <w:sz w:val="24"/>
                <w:szCs w:val="24"/>
                <w:highlight w:val="none"/>
                <w:lang w:val="en-US" w:eastAsia="zh-CN"/>
              </w:rPr>
              <w:t xml:space="preserve">15</w:t>
            </w:r>
            <w:r/>
          </w:p>
        </w:tc>
        <w:tc>
          <w:tcPr>
            <w:tcW w:w="1701" w:type="dxa"/>
            <w:vAlign w:val="center"/>
            <w:textDirection w:val="lrTb"/>
            <w:noWrap w:val="false"/>
          </w:tcPr>
          <w:p>
            <w:pPr>
              <w:jc w:val="center"/>
              <w:spacing w:line="360" w:lineRule="exact"/>
              <w:rPr>
                <w:color w:val="000000"/>
                <w:sz w:val="24"/>
                <w:highlight w:val="none"/>
              </w:rPr>
            </w:pPr>
            <w:r>
              <w:rPr>
                <w:rFonts w:hint="eastAsia" w:ascii="宋体" w:hAnsi="宋体" w:cs="宋体"/>
                <w:color w:val="000000"/>
                <w:sz w:val="24"/>
                <w:highlight w:val="none"/>
              </w:rPr>
              <w:t xml:space="preserve">代理服务费用</w:t>
            </w:r>
            <w:r/>
          </w:p>
        </w:tc>
        <w:tc>
          <w:tcPr>
            <w:tcW w:w="7540" w:type="dxa"/>
            <w:vAlign w:val="center"/>
            <w:textDirection w:val="lrTb"/>
            <w:noWrap w:val="false"/>
          </w:tcPr>
          <w:p>
            <w:pPr>
              <w:jc w:val="left"/>
              <w:spacing w:line="360" w:lineRule="exact"/>
              <w:rPr>
                <w:rFonts w:hint="eastAsia"/>
                <w:color w:val="000000"/>
                <w:sz w:val="24"/>
                <w:highlight w:val="non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lang w:val="en-US" w:eastAsia="zh-CN"/>
              </w:rPr>
              <w:t xml:space="preserve">交易服务费由中标单位支付：按221988.00元（大写：贰拾贰万壹仟玖佰捌拾捌元整）包干计取</w:t>
            </w:r>
            <w:r/>
          </w:p>
        </w:tc>
      </w:tr>
    </w:tbl>
    <w:p>
      <w:pPr>
        <w:rPr>
          <w:color w:val="000000"/>
          <w:highlight w:val="none"/>
        </w:rPr>
        <w:sectPr>
          <w:footerReference w:type="default" r:id="rId16"/>
          <w:footnotePr/>
          <w:endnotePr/>
          <w:type w:val="nextPage"/>
          <w:pgSz w:w="11907" w:h="16840" w:orient="portrait"/>
          <w:pgMar w:top="1417" w:right="1134" w:bottom="1417" w:left="1701" w:header="851" w:footer="850" w:gutter="0"/>
          <w:pgNumType w:start="1"/>
          <w:cols w:num="1" w:sep="0" w:space="1701" w:equalWidth="1"/>
          <w:docGrid w:linePitch="360"/>
        </w:sectPr>
      </w:pPr>
      <w:r>
        <w:rPr>
          <w:color w:val="000000"/>
          <w:highlight w:val="none"/>
        </w:rPr>
        <w:br w:type="page" w:clear="all"/>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pStyle w:val="1069"/>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76" w:name="_Toc150774723"/>
      <w:r/>
      <w:bookmarkStart w:id="77" w:name="_Toc142311020"/>
      <w:r/>
      <w:bookmarkStart w:id="78" w:name="_Toc226309762"/>
      <w:r/>
      <w:bookmarkStart w:id="79" w:name="_Toc150480756"/>
      <w:r/>
      <w:bookmarkStart w:id="80" w:name="_Toc150509269"/>
      <w:r/>
      <w:bookmarkStart w:id="81" w:name="_Toc265228356"/>
      <w:r/>
      <w:bookmarkStart w:id="82" w:name="_Toc151193906"/>
      <w:r/>
      <w:bookmarkStart w:id="83" w:name="_Toc151193760"/>
      <w:r/>
      <w:bookmarkStart w:id="84" w:name="_Toc264969208"/>
      <w:r/>
      <w:bookmarkStart w:id="85" w:name="_Toc127151518"/>
      <w:r/>
      <w:bookmarkStart w:id="86" w:name="_Toc151193688"/>
      <w:r/>
      <w:bookmarkStart w:id="87" w:name="_Toc305158860"/>
      <w:r/>
      <w:bookmarkStart w:id="88" w:name="_Toc226965708"/>
      <w:r/>
      <w:bookmarkStart w:id="89" w:name="_Toc151190145"/>
      <w:r/>
      <w:bookmarkStart w:id="90" w:name="_Toc226965791"/>
      <w:r/>
      <w:bookmarkStart w:id="91" w:name="_Toc305158786"/>
      <w:r/>
      <w:bookmarkStart w:id="92" w:name="_Toc195842883"/>
      <w:r/>
      <w:bookmarkStart w:id="93" w:name="_Toc226337214"/>
      <w:r/>
      <w:bookmarkStart w:id="94" w:name="_Toc151193616"/>
      <w:r/>
      <w:bookmarkStart w:id="95" w:name="_Toc520356143"/>
      <w:r/>
      <w:bookmarkStart w:id="96" w:name="_Toc150774618"/>
      <w:r/>
      <w:bookmarkStart w:id="97" w:name="_Toc151193832"/>
      <w:r/>
      <w:bookmarkStart w:id="98" w:name="_Toc99301424"/>
      <w:r/>
      <w:bookmarkStart w:id="99" w:name="_Toc127151555"/>
      <w:r/>
      <w:bookmarkStart w:id="100" w:name="_Toc305158897"/>
      <w:r/>
      <w:bookmarkStart w:id="101" w:name="_Toc150480793"/>
      <w:r/>
      <w:bookmarkStart w:id="102" w:name="_Toc150774760"/>
      <w:r/>
      <w:bookmarkStart w:id="103" w:name="_Toc265228393"/>
      <w:r/>
      <w:bookmarkStart w:id="104" w:name="_Toc264969245"/>
      <w:r/>
      <w:bookmarkStart w:id="105" w:name="_Toc226965828"/>
      <w:r/>
      <w:bookmarkStart w:id="106" w:name="_Toc353873935"/>
      <w:r/>
      <w:bookmarkStart w:id="107" w:name="_Toc142311057"/>
      <w:r/>
      <w:bookmarkStart w:id="108" w:name="_Toc353873665"/>
      <w:r/>
      <w:bookmarkStart w:id="109" w:name="_Toc195842920"/>
      <w:r/>
      <w:bookmarkStart w:id="110" w:name="_Toc226337251"/>
      <w:r/>
      <w:bookmarkStart w:id="111" w:name="_Toc353825545"/>
      <w:r/>
      <w:bookmarkStart w:id="112" w:name="_Toc305158823"/>
      <w:r>
        <w:rPr>
          <w:rFonts w:hint="eastAsia" w:ascii="Times New Roman" w:hAnsi="Times New Roman" w:eastAsia="宋体"/>
          <w:color w:val="000000"/>
          <w:sz w:val="32"/>
          <w:szCs w:val="32"/>
          <w:highlight w:val="none"/>
        </w:rPr>
        <w:t xml:space="preserve">第二节 说明</w:t>
      </w:r>
      <w:r/>
    </w:p>
    <w:p>
      <w:pPr>
        <w:pStyle w:val="1069"/>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13" w:name="_Hlk15292196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Times New Roman" w:hAnsi="Times New Roman" w:eastAsia="宋体"/>
          <w:color w:val="000000"/>
          <w:sz w:val="32"/>
          <w:szCs w:val="32"/>
          <w:highlight w:val="none"/>
        </w:rPr>
        <w:t xml:space="preserve">总则</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14" w:name="_Toc458694821"/>
      <w:r/>
      <w:bookmarkStart w:id="115" w:name="_Toc513029204"/>
      <w:r/>
      <w:bookmarkStart w:id="116" w:name="_Toc16938520"/>
      <w:r/>
      <w:bookmarkStart w:id="117" w:name="_Toc20823276"/>
      <w:r/>
      <w:bookmarkStart w:id="118" w:name="_Toc353873664"/>
      <w:r/>
      <w:bookmarkStart w:id="119" w:name="_Toc353873934"/>
      <w:r/>
      <w:bookmarkStart w:id="120" w:name="_Toc305158822"/>
      <w:r/>
      <w:bookmarkStart w:id="121" w:name="_Toc150480792"/>
      <w:r/>
      <w:bookmarkStart w:id="122" w:name="_Toc305158896"/>
      <w:r/>
      <w:bookmarkStart w:id="123" w:name="_Toc265228392"/>
      <w:r/>
      <w:bookmarkStart w:id="124" w:name="_Toc127151554"/>
      <w:r/>
      <w:bookmarkStart w:id="125" w:name="_Toc142311056"/>
      <w:r/>
      <w:bookmarkStart w:id="126" w:name="_Toc353825544"/>
      <w:r/>
      <w:bookmarkStart w:id="127" w:name="_Toc226337250"/>
      <w:r/>
      <w:bookmarkStart w:id="128" w:name="_Toc264969244"/>
      <w:r/>
      <w:bookmarkStart w:id="129" w:name="_Toc150774759"/>
      <w:r/>
      <w:bookmarkStart w:id="130" w:name="_Toc226965827"/>
      <w:r/>
      <w:bookmarkStart w:id="131" w:name="_Toc99301421"/>
      <w:r>
        <w:rPr>
          <w:rFonts w:hint="eastAsia" w:ascii="Arial" w:hAnsi="Arial" w:eastAsia="黑体" w:cs="Arial"/>
          <w:color w:val="000000"/>
          <w:sz w:val="28"/>
          <w:szCs w:val="28"/>
          <w:highlight w:val="none"/>
        </w:rPr>
        <w:t xml:space="preserve">1</w:t>
      </w:r>
      <w:bookmarkEnd w:id="114"/>
      <w:r>
        <w:rPr>
          <w:rFonts w:hint="eastAsia" w:ascii="Arial" w:hAnsi="Arial" w:eastAsia="黑体" w:cs="Arial"/>
          <w:color w:val="000000"/>
          <w:sz w:val="28"/>
          <w:szCs w:val="28"/>
          <w:highlight w:val="none"/>
        </w:rPr>
        <w:t xml:space="preserve">、采购方式</w:t>
      </w:r>
      <w:bookmarkEnd w:id="115"/>
      <w:r/>
      <w:bookmarkEnd w:id="116"/>
      <w:r/>
      <w:bookmarkEnd w:id="117"/>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32" w:name="_Toc16938521"/>
      <w:r/>
      <w:bookmarkStart w:id="133" w:name="_Toc20823277"/>
      <w:r/>
      <w:bookmarkStart w:id="134" w:name="_Toc513029205"/>
      <w:r>
        <w:rPr>
          <w:rFonts w:hint="eastAsia" w:ascii="Arial" w:hAnsi="Arial" w:eastAsia="黑体" w:cs="Arial"/>
          <w:color w:val="000000"/>
          <w:sz w:val="28"/>
          <w:szCs w:val="28"/>
          <w:highlight w:val="none"/>
        </w:rPr>
        <w:t xml:space="preserve">2、合格的投标人</w:t>
      </w:r>
      <w:bookmarkEnd w:id="132"/>
      <w:r/>
      <w:bookmarkEnd w:id="133"/>
      <w:r/>
      <w:bookmarkEnd w:id="134"/>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35" w:name="_Toc20823278"/>
      <w:r/>
      <w:bookmarkStart w:id="136" w:name="_Toc513029206"/>
      <w:r/>
      <w:bookmarkStart w:id="137" w:name="_Toc16938522"/>
      <w:r>
        <w:rPr>
          <w:rFonts w:hint="eastAsia" w:ascii="Arial" w:hAnsi="Arial" w:eastAsia="黑体" w:cs="Arial"/>
          <w:color w:val="000000"/>
          <w:sz w:val="28"/>
          <w:szCs w:val="28"/>
          <w:highlight w:val="none"/>
        </w:rPr>
        <w:t xml:space="preserve">3、适用法律</w:t>
      </w:r>
      <w:bookmarkEnd w:id="135"/>
      <w:r/>
      <w:bookmarkEnd w:id="136"/>
      <w:r/>
      <w:bookmarkEnd w:id="137"/>
      <w:r/>
      <w:r/>
    </w:p>
    <w:p>
      <w:pPr>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38" w:name="_Toc20823279"/>
      <w:r/>
      <w:bookmarkStart w:id="139" w:name="_Toc462564067"/>
      <w:r/>
      <w:bookmarkStart w:id="140" w:name="_Toc16938523"/>
      <w:r/>
      <w:bookmarkStart w:id="141" w:name="_Toc513029207"/>
      <w:r>
        <w:rPr>
          <w:rFonts w:hint="eastAsia" w:ascii="Arial" w:hAnsi="Arial" w:eastAsia="黑体" w:cs="Arial"/>
          <w:color w:val="000000"/>
          <w:sz w:val="28"/>
          <w:szCs w:val="28"/>
          <w:highlight w:val="none"/>
        </w:rPr>
        <w:t xml:space="preserve">4、投标费用</w:t>
      </w:r>
      <w:bookmarkEnd w:id="138"/>
      <w:r/>
      <w:bookmarkEnd w:id="139"/>
      <w:r/>
      <w:bookmarkEnd w:id="140"/>
      <w:r/>
      <w:bookmarkEnd w:id="141"/>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常州诚誉工程咨询有限公司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）在任何情况下均无义务和责任承担这些费用。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和采购人不收取标书工本费。</w:t>
      </w:r>
      <w:r/>
    </w:p>
    <w:p>
      <w:pPr>
        <w:ind w:firstLine="602"/>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p>
    <w:p>
      <w:pPr>
        <w:ind w:firstLine="321"/>
        <w:keepLines/>
        <w:keepNext/>
        <w:spacing w:line="500" w:lineRule="exact"/>
        <w:rPr>
          <w:rFonts w:hint="eastAsia"/>
          <w:b/>
          <w:bCs/>
          <w:color w:val="000000"/>
          <w:sz w:val="32"/>
          <w:szCs w:val="32"/>
          <w:highlight w:val="none"/>
        </w:rPr>
        <w:outlineLvl w:val="2"/>
      </w:pPr>
      <w:r/>
      <w:bookmarkStart w:id="142" w:name="_Toc513029209"/>
      <w:r/>
      <w:bookmarkStart w:id="143" w:name="_Toc16938525"/>
      <w:r/>
      <w:bookmarkStart w:id="144" w:name="_Toc120614215"/>
      <w:r/>
      <w:bookmarkStart w:id="145" w:name="_Toc20823281"/>
      <w:r>
        <w:rPr>
          <w:rFonts w:hint="eastAsia"/>
          <w:b/>
          <w:bCs/>
          <w:color w:val="000000"/>
          <w:sz w:val="32"/>
          <w:szCs w:val="32"/>
          <w:highlight w:val="none"/>
        </w:rPr>
        <w:t xml:space="preserve">二、招标文件</w:t>
      </w:r>
      <w:bookmarkEnd w:id="142"/>
      <w:r/>
      <w:bookmarkEnd w:id="143"/>
      <w:r/>
      <w:bookmarkEnd w:id="144"/>
      <w:r/>
      <w:bookmarkEnd w:id="145"/>
      <w:r/>
      <w:r/>
    </w:p>
    <w:p>
      <w:pPr>
        <w:ind w:firstLine="420"/>
        <w:keepLines/>
        <w:keepNext/>
        <w:spacing w:line="500" w:lineRule="exact"/>
        <w:rPr>
          <w:rFonts w:hint="eastAsia" w:ascii="Arial" w:hAnsi="Arial" w:eastAsia="黑体" w:cs="Arial"/>
          <w:color w:val="000000"/>
          <w:sz w:val="28"/>
          <w:szCs w:val="28"/>
          <w:highlight w:val="none"/>
        </w:rPr>
        <w:outlineLvl w:val="3"/>
      </w:pPr>
      <w:r/>
      <w:bookmarkStart w:id="146" w:name="_Toc20823282"/>
      <w:r/>
      <w:bookmarkStart w:id="147" w:name="_Toc513029210"/>
      <w:r/>
      <w:bookmarkStart w:id="148" w:name="_Toc16938526"/>
      <w:r>
        <w:rPr>
          <w:rFonts w:hint="eastAsia" w:ascii="Arial" w:hAnsi="Arial" w:eastAsia="黑体" w:cs="Arial"/>
          <w:color w:val="000000"/>
          <w:sz w:val="28"/>
          <w:szCs w:val="28"/>
          <w:highlight w:val="none"/>
        </w:rPr>
        <w:t xml:space="preserve">6、招标文件构成</w:t>
      </w:r>
      <w:bookmarkEnd w:id="146"/>
      <w:r/>
      <w:bookmarkEnd w:id="147"/>
      <w:r/>
      <w:bookmarkEnd w:id="148"/>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p>
    <w:p>
      <w:pPr>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p>
    <w:p>
      <w:pPr>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p>
    <w:p>
      <w:pPr>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color w:val="000000"/>
          <w:sz w:val="28"/>
          <w:szCs w:val="28"/>
          <w:highlight w:val="none"/>
        </w:rPr>
        <w:outlineLvl w:val="3"/>
      </w:pPr>
      <w:r/>
      <w:bookmarkStart w:id="149" w:name="_Toc462564070"/>
      <w:r/>
      <w:bookmarkStart w:id="150" w:name="_Toc20823283"/>
      <w:r/>
      <w:bookmarkStart w:id="151" w:name="_Toc513029211"/>
      <w:r/>
      <w:bookmarkStart w:id="152" w:name="_Toc16938527"/>
      <w:r>
        <w:rPr>
          <w:rFonts w:hint="eastAsia" w:ascii="Arial" w:hAnsi="Arial" w:eastAsia="黑体" w:cs="Arial"/>
          <w:color w:val="000000"/>
          <w:sz w:val="28"/>
          <w:szCs w:val="28"/>
          <w:highlight w:val="none"/>
        </w:rPr>
        <w:t xml:space="preserve">7、招标文件的澄清</w:t>
      </w:r>
      <w:bookmarkEnd w:id="149"/>
      <w:r/>
      <w:bookmarkEnd w:id="150"/>
      <w:r/>
      <w:bookmarkEnd w:id="151"/>
      <w:r/>
      <w:bookmarkEnd w:id="152"/>
      <w:r/>
      <w:r/>
    </w:p>
    <w:p>
      <w:pPr>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53" w:name="_Toc16938528"/>
      <w:r/>
      <w:bookmarkStart w:id="154" w:name="_Toc462564071"/>
      <w:r/>
      <w:bookmarkStart w:id="155" w:name="_Toc20823284"/>
      <w:r/>
      <w:bookmarkStart w:id="156" w:name="_Toc513029212"/>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p>
    <w:p>
      <w:pPr>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53"/>
      <w:r/>
      <w:bookmarkEnd w:id="154"/>
      <w:r/>
      <w:bookmarkEnd w:id="155"/>
      <w:r/>
      <w:bookmarkEnd w:id="156"/>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可以对招标文件进行修改。</w:t>
      </w:r>
      <w:r/>
    </w:p>
    <w:p>
      <w:pPr>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 xml:space="preserve">代理机构</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7" w:name="_Hlk151728132"/>
      <w:r>
        <w:rPr>
          <w:rFonts w:hint="eastAsia" w:ascii="宋体" w:hAnsi="宋体"/>
          <w:color w:val="000000"/>
          <w:sz w:val="24"/>
          <w:szCs w:val="21"/>
          <w:highlight w:val="none"/>
        </w:rPr>
        <w:t xml:space="preserve">“江苏省政府采购网”、“常州市政府采购网”</w:t>
      </w:r>
      <w:bookmarkEnd w:id="157"/>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2"/>
        <w:keepLines/>
        <w:keepNext/>
        <w:spacing w:line="500" w:lineRule="exact"/>
        <w:rPr>
          <w:rFonts w:hint="eastAsia"/>
          <w:b/>
          <w:bCs/>
          <w:color w:val="000000"/>
          <w:sz w:val="32"/>
          <w:szCs w:val="32"/>
          <w:highlight w:val="none"/>
        </w:rPr>
        <w:outlineLvl w:val="2"/>
      </w:pPr>
      <w:r/>
      <w:bookmarkStart w:id="158" w:name="_Toc120614216"/>
      <w:r/>
      <w:bookmarkStart w:id="159" w:name="_Toc462564072"/>
      <w:r/>
      <w:bookmarkStart w:id="160" w:name="_Toc513029213"/>
      <w:r/>
      <w:bookmarkStart w:id="161" w:name="_Toc20823285"/>
      <w:r/>
      <w:bookmarkStart w:id="162" w:name="_Toc16938529"/>
      <w:r>
        <w:rPr>
          <w:rFonts w:hint="eastAsia"/>
          <w:b/>
          <w:bCs/>
          <w:color w:val="000000"/>
          <w:sz w:val="32"/>
          <w:szCs w:val="32"/>
          <w:highlight w:val="none"/>
        </w:rPr>
        <w:t xml:space="preserve">三、投标文件的编制</w:t>
      </w:r>
      <w:bookmarkEnd w:id="158"/>
      <w:r/>
      <w:bookmarkEnd w:id="159"/>
      <w:r/>
      <w:bookmarkEnd w:id="160"/>
      <w:r/>
      <w:bookmarkEnd w:id="161"/>
      <w:r/>
      <w:bookmarkEnd w:id="162"/>
      <w:r/>
      <w:r/>
    </w:p>
    <w:p>
      <w:pPr>
        <w:ind w:firstLine="560"/>
        <w:keepLines/>
        <w:keepNext/>
        <w:spacing w:line="500" w:lineRule="exact"/>
        <w:rPr>
          <w:rFonts w:hint="eastAsia" w:ascii="Arial" w:hAnsi="Arial" w:eastAsia="黑体" w:cs="Arial"/>
          <w:b/>
          <w:color w:val="000000"/>
          <w:sz w:val="28"/>
          <w:szCs w:val="28"/>
          <w:highlight w:val="none"/>
        </w:rPr>
        <w:outlineLvl w:val="3"/>
      </w:pPr>
      <w:r/>
      <w:bookmarkStart w:id="163" w:name="_Toc20823286"/>
      <w:r/>
      <w:bookmarkStart w:id="164" w:name="_Toc513029214"/>
      <w:r/>
      <w:bookmarkStart w:id="165" w:name="_Toc462564073"/>
      <w:r/>
      <w:bookmarkStart w:id="166" w:name="_Toc16938530"/>
      <w:r>
        <w:rPr>
          <w:rFonts w:hint="eastAsia" w:ascii="Arial" w:hAnsi="Arial" w:eastAsia="黑体" w:cs="Arial"/>
          <w:color w:val="000000"/>
          <w:sz w:val="28"/>
          <w:szCs w:val="28"/>
          <w:highlight w:val="none"/>
        </w:rPr>
        <w:t xml:space="preserve">9、投标文件的语言及度量衡单位</w:t>
      </w:r>
      <w:bookmarkEnd w:id="163"/>
      <w:r/>
      <w:bookmarkEnd w:id="164"/>
      <w:r/>
      <w:bookmarkEnd w:id="165"/>
      <w:r/>
      <w:bookmarkEnd w:id="166"/>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67" w:name="_Toc20823287"/>
      <w:r/>
      <w:bookmarkStart w:id="168" w:name="_Toc462564074"/>
      <w:r/>
      <w:bookmarkStart w:id="169" w:name="_Toc513029215"/>
      <w:r/>
      <w:bookmarkStart w:id="170" w:name="_Toc16938531"/>
      <w:r>
        <w:rPr>
          <w:rFonts w:hint="eastAsia" w:ascii="Arial" w:hAnsi="Arial" w:eastAsia="黑体" w:cs="Arial"/>
          <w:color w:val="000000"/>
          <w:sz w:val="28"/>
          <w:szCs w:val="28"/>
          <w:highlight w:val="none"/>
        </w:rPr>
        <w:t xml:space="preserve">10、投标文件构成</w:t>
      </w:r>
      <w:bookmarkEnd w:id="167"/>
      <w:r/>
      <w:bookmarkEnd w:id="168"/>
      <w:r/>
      <w:bookmarkEnd w:id="169"/>
      <w:r/>
      <w:bookmarkEnd w:id="170"/>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71" w:name="_Hlt26670360"/>
      <w:r/>
      <w:bookmarkEnd w:id="171"/>
      <w:r/>
      <w:bookmarkStart w:id="172" w:name="_Hlt26668975"/>
      <w:r/>
      <w:bookmarkEnd w:id="172"/>
      <w:r/>
      <w:bookmarkStart w:id="173" w:name="_Hlt26954838"/>
      <w:r/>
      <w:bookmarkEnd w:id="173"/>
      <w:r/>
      <w:bookmarkStart w:id="174" w:name="_Toc14577357"/>
      <w:r/>
      <w:bookmarkStart w:id="175" w:name="_Toc513029219"/>
      <w:r/>
      <w:bookmarkStart w:id="176" w:name="_Toc49090507"/>
      <w:r/>
      <w:bookmarkStart w:id="177" w:name="_Toc49090509"/>
      <w:r/>
      <w:bookmarkStart w:id="178" w:name="_Toc513029216"/>
      <w:r/>
      <w:bookmarkStart w:id="179" w:name="_Toc14577354"/>
      <w:r/>
      <w:bookmarkStart w:id="180" w:name="_Toc49090508"/>
      <w:r/>
      <w:bookmarkStart w:id="181" w:name="_Toc14577355"/>
      <w:r>
        <w:rPr>
          <w:rFonts w:hint="eastAsia" w:ascii="Arial" w:hAnsi="Arial" w:eastAsia="黑体" w:cs="Arial"/>
          <w:color w:val="000000"/>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spacing w:line="500" w:lineRule="exact"/>
        <w:rPr>
          <w:rFonts w:hint="eastAsia" w:ascii="宋体" w:hAnsi="宋体"/>
          <w:color w:val="000000"/>
          <w:sz w:val="24"/>
          <w:highlight w:val="none"/>
        </w:rPr>
      </w:pPr>
      <w:r>
        <w:rPr>
          <w:rFonts w:hint="eastAsia" w:ascii="宋体" w:hAnsi="宋体"/>
          <w:color w:val="000000"/>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bookmarkEnd w:id="180"/>
      <w:r/>
      <w:bookmarkEnd w:id="181"/>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12、投标报价明细表</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82" w:name="_Hlt26954848"/>
      <w:r/>
      <w:bookmarkEnd w:id="182"/>
      <w:r/>
      <w:bookmarkStart w:id="183" w:name="_Hlt26670486"/>
      <w:r/>
      <w:bookmarkEnd w:id="183"/>
      <w:r/>
      <w:bookmarkStart w:id="184" w:name="_Hlt26954731"/>
      <w:r/>
      <w:bookmarkEnd w:id="184"/>
      <w:r/>
      <w:bookmarkStart w:id="185" w:name="_Hlt26670482"/>
      <w:r/>
      <w:bookmarkEnd w:id="185"/>
      <w:r/>
      <w:bookmarkStart w:id="186" w:name="_Hlt26954846"/>
      <w:r/>
      <w:bookmarkEnd w:id="186"/>
      <w:r>
        <w:rPr>
          <w:rFonts w:hint="eastAsia" w:ascii="Arial" w:hAnsi="Arial" w:eastAsia="黑体" w:cs="Arial"/>
          <w:color w:val="000000"/>
          <w:sz w:val="28"/>
          <w:szCs w:val="28"/>
          <w:highlight w:val="none"/>
        </w:rPr>
        <w:t xml:space="preserve">13、技术要求响应及偏离表、商务要求响应及偏离表</w:t>
      </w:r>
      <w:r/>
    </w:p>
    <w:p>
      <w:pPr>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87" w:name="_Toc14577359"/>
      <w:r/>
      <w:bookmarkStart w:id="188" w:name="_Toc49090510"/>
      <w:r>
        <w:rPr>
          <w:rFonts w:hint="eastAsia" w:ascii="Arial" w:hAnsi="Arial" w:eastAsia="黑体" w:cs="Arial"/>
          <w:color w:val="000000"/>
          <w:sz w:val="28"/>
          <w:szCs w:val="28"/>
          <w:highlight w:val="none"/>
        </w:rPr>
        <w:t xml:space="preserve">15、投标函和开标一览表</w:t>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87"/>
      <w:r/>
      <w:bookmarkEnd w:id="188"/>
      <w:r/>
      <w:r/>
    </w:p>
    <w:p>
      <w:pPr>
        <w:ind w:firstLine="420"/>
        <w:keepLines/>
        <w:keepNext/>
        <w:spacing w:line="500" w:lineRule="exact"/>
        <w:rPr>
          <w:rFonts w:hint="eastAsia" w:ascii="Arial" w:hAnsi="Arial" w:eastAsia="黑体" w:cs="Arial"/>
          <w:color w:val="000000"/>
          <w:sz w:val="28"/>
          <w:szCs w:val="28"/>
          <w:highlight w:val="none"/>
        </w:rPr>
        <w:outlineLvl w:val="3"/>
      </w:pPr>
      <w:r/>
      <w:bookmarkStart w:id="189" w:name="_Toc49090511"/>
      <w:r/>
      <w:bookmarkStart w:id="190" w:name="_Toc14577360"/>
      <w:r>
        <w:rPr>
          <w:rFonts w:hint="eastAsia" w:ascii="Arial" w:hAnsi="Arial" w:eastAsia="黑体" w:cs="Arial"/>
          <w:color w:val="000000"/>
          <w:sz w:val="28"/>
          <w:szCs w:val="28"/>
          <w:highlight w:val="none"/>
        </w:rPr>
        <w:t xml:space="preserve">16、投标有效期</w:t>
      </w:r>
      <w:bookmarkEnd w:id="189"/>
      <w:r/>
      <w:bookmarkEnd w:id="190"/>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ind w:firstLine="643"/>
        <w:keepLines/>
        <w:keepNext/>
        <w:spacing w:line="500" w:lineRule="exact"/>
        <w:rPr>
          <w:rFonts w:hint="eastAsia"/>
          <w:b/>
          <w:bCs/>
          <w:color w:val="000000"/>
          <w:sz w:val="32"/>
          <w:szCs w:val="32"/>
          <w:highlight w:val="none"/>
        </w:rPr>
        <w:outlineLvl w:val="2"/>
      </w:pPr>
      <w:r/>
      <w:bookmarkStart w:id="191" w:name="_Hlt26954852"/>
      <w:r/>
      <w:bookmarkEnd w:id="191"/>
      <w:r/>
      <w:bookmarkStart w:id="192" w:name="_Hlt26954739"/>
      <w:r/>
      <w:bookmarkEnd w:id="192"/>
      <w:r/>
      <w:bookmarkStart w:id="193" w:name="_Toc513029224"/>
      <w:r/>
      <w:bookmarkStart w:id="194" w:name="_Toc16938540"/>
      <w:r/>
      <w:bookmarkStart w:id="195" w:name="_Toc120614217"/>
      <w:r/>
      <w:bookmarkStart w:id="196" w:name="_Toc20823296"/>
      <w:r>
        <w:rPr>
          <w:rFonts w:hint="eastAsia"/>
          <w:b/>
          <w:bCs/>
          <w:color w:val="000000"/>
          <w:sz w:val="32"/>
          <w:szCs w:val="32"/>
          <w:highlight w:val="none"/>
        </w:rPr>
        <w:t xml:space="preserve">四、投标文件的递交</w:t>
      </w:r>
      <w:bookmarkEnd w:id="193"/>
      <w:r/>
      <w:bookmarkEnd w:id="194"/>
      <w:r/>
      <w:bookmarkEnd w:id="195"/>
      <w:r/>
      <w:bookmarkEnd w:id="196"/>
      <w:r/>
      <w:r/>
    </w:p>
    <w:p>
      <w:pPr>
        <w:ind w:firstLine="420"/>
        <w:keepLines/>
        <w:keepNext/>
        <w:spacing w:line="500" w:lineRule="exact"/>
        <w:rPr>
          <w:rFonts w:hint="eastAsia" w:ascii="黑体" w:hAnsi="Arial" w:eastAsia="黑体" w:cs="Arial"/>
          <w:color w:val="000000"/>
          <w:sz w:val="28"/>
          <w:szCs w:val="28"/>
          <w:highlight w:val="none"/>
        </w:rPr>
        <w:outlineLvl w:val="3"/>
      </w:pPr>
      <w:r/>
      <w:bookmarkStart w:id="197" w:name="_Toc16938541"/>
      <w:r/>
      <w:bookmarkStart w:id="198" w:name="_Toc462564084"/>
      <w:r/>
      <w:bookmarkStart w:id="199" w:name="_Toc513029225"/>
      <w:r/>
      <w:bookmarkStart w:id="200"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7"/>
      <w:r/>
      <w:bookmarkEnd w:id="198"/>
      <w:r/>
      <w:bookmarkEnd w:id="199"/>
      <w:r/>
      <w:bookmarkEnd w:id="200"/>
      <w:r>
        <w:rPr>
          <w:rFonts w:hint="eastAsia" w:ascii="黑体" w:hAnsi="Arial" w:eastAsia="黑体" w:cs="Arial"/>
          <w:color w:val="000000"/>
          <w:sz w:val="28"/>
          <w:szCs w:val="28"/>
          <w:highlight w:val="none"/>
        </w:rPr>
        <w:t xml:space="preserve">的递交</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1" w:name="_Toc513029226"/>
      <w:r/>
      <w:bookmarkStart w:id="202" w:name="_Toc16938542"/>
      <w:r/>
      <w:bookmarkStart w:id="203" w:name="_Toc20823298"/>
      <w:r/>
      <w:r/>
    </w:p>
    <w:p>
      <w:pPr>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01"/>
      <w:r/>
      <w:bookmarkEnd w:id="202"/>
      <w:r/>
      <w:bookmarkEnd w:id="203"/>
      <w:r/>
      <w:r/>
    </w:p>
    <w:p>
      <w:pPr>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204" w:name="_Toc513029227"/>
      <w:r/>
      <w:bookmarkStart w:id="205" w:name="_Toc20823299"/>
      <w:r/>
      <w:bookmarkStart w:id="206"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04"/>
      <w:r/>
      <w:bookmarkEnd w:id="205"/>
      <w:r/>
      <w:bookmarkEnd w:id="206"/>
      <w:r>
        <w:rPr>
          <w:rFonts w:hint="eastAsia" w:ascii="Arial" w:hAnsi="Arial" w:eastAsia="黑体" w:cs="Arial"/>
          <w:color w:val="000000"/>
          <w:sz w:val="28"/>
          <w:szCs w:val="28"/>
          <w:highlight w:val="none"/>
        </w:rPr>
        <w:t xml:space="preserve">的拒收</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拒绝接收在其规定的投标截止时间后上传的任何投标文件。</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207" w:name="_Toc513029228"/>
      <w:r/>
      <w:bookmarkStart w:id="208" w:name="_Toc16938544"/>
      <w:r/>
      <w:bookmarkStart w:id="209"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7"/>
      <w:r/>
      <w:bookmarkEnd w:id="208"/>
      <w:r/>
      <w:bookmarkEnd w:id="209"/>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b/>
          <w:bCs/>
          <w:color w:val="000000"/>
          <w:sz w:val="32"/>
          <w:szCs w:val="32"/>
          <w:highlight w:val="none"/>
        </w:rPr>
        <w:outlineLvl w:val="2"/>
      </w:pPr>
      <w:r/>
      <w:bookmarkStart w:id="210" w:name="_Toc120614218"/>
      <w:r/>
      <w:bookmarkStart w:id="211" w:name="_Toc16938545"/>
      <w:r/>
      <w:bookmarkStart w:id="212" w:name="_Toc513029229"/>
      <w:r/>
      <w:bookmarkStart w:id="213" w:name="_Toc20823301"/>
      <w:r>
        <w:rPr>
          <w:rFonts w:hint="eastAsia"/>
          <w:b/>
          <w:bCs/>
          <w:color w:val="000000"/>
          <w:sz w:val="32"/>
          <w:szCs w:val="32"/>
          <w:highlight w:val="none"/>
        </w:rPr>
        <w:t xml:space="preserve">五、开标与评标</w:t>
      </w:r>
      <w:bookmarkEnd w:id="210"/>
      <w:r/>
      <w:bookmarkEnd w:id="211"/>
      <w:r/>
      <w:bookmarkEnd w:id="212"/>
      <w:r/>
      <w:bookmarkEnd w:id="213"/>
      <w:r/>
      <w:r/>
    </w:p>
    <w:p>
      <w:pPr>
        <w:ind w:firstLine="420"/>
        <w:keepLines/>
        <w:keepNext/>
        <w:spacing w:line="500" w:lineRule="exact"/>
        <w:rPr>
          <w:rFonts w:hint="eastAsia" w:ascii="Arial" w:hAnsi="Arial" w:eastAsia="黑体" w:cs="Arial"/>
          <w:color w:val="000000"/>
          <w:sz w:val="28"/>
          <w:szCs w:val="28"/>
          <w:highlight w:val="none"/>
        </w:rPr>
        <w:outlineLvl w:val="3"/>
      </w:pPr>
      <w:r/>
      <w:bookmarkStart w:id="214" w:name="_Toc20823302"/>
      <w:r/>
      <w:bookmarkStart w:id="215" w:name="_Toc513029230"/>
      <w:r/>
      <w:bookmarkStart w:id="216" w:name="_Toc16938546"/>
      <w:r>
        <w:rPr>
          <w:rFonts w:hint="eastAsia" w:ascii="Arial" w:hAnsi="Arial" w:eastAsia="黑体" w:cs="Arial"/>
          <w:color w:val="000000"/>
          <w:sz w:val="28"/>
          <w:szCs w:val="28"/>
          <w:highlight w:val="none"/>
        </w:rPr>
        <w:t xml:space="preserve">22、开标</w:t>
      </w:r>
      <w:bookmarkEnd w:id="214"/>
      <w:r/>
      <w:bookmarkEnd w:id="215"/>
      <w:r/>
      <w:bookmarkEnd w:id="216"/>
      <w:r/>
      <w:r/>
    </w:p>
    <w:p>
      <w:pPr>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p>
    <w:p>
      <w:pPr>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217" w:name="_Toc20823303"/>
      <w:r/>
      <w:bookmarkStart w:id="218" w:name="_Toc16938547"/>
      <w:r/>
      <w:bookmarkStart w:id="219"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p>
    <w:p>
      <w:pPr>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将立即组织评标委员会（以下简称评委会）进行评标。</w:t>
      </w:r>
      <w:r/>
    </w:p>
    <w:p>
      <w:pPr>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p>
    <w:p>
      <w:pPr>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.3评委会独立工作，负责评审所有投标文件并确定中标侯选人。</w:t>
      </w:r>
      <w:r/>
    </w:p>
    <w:p>
      <w:pPr>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17"/>
      <w:r/>
      <w:bookmarkEnd w:id="218"/>
      <w:r/>
      <w:bookmarkEnd w:id="219"/>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均不得向投标人或与评标无关的其他人员透露。</w:t>
      </w:r>
      <w:r/>
    </w:p>
    <w:p>
      <w:pPr>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和评标委员会不向未中标的投标人解释未中标原因，也不公布评标过程中的相关细节。</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220" w:name="_Toc513029232"/>
      <w:r/>
      <w:bookmarkStart w:id="221" w:name="_Toc16938548"/>
      <w:r/>
      <w:bookmarkStart w:id="222"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20"/>
      <w:r/>
      <w:bookmarkEnd w:id="221"/>
      <w:r/>
      <w:bookmarkEnd w:id="222"/>
      <w:r/>
      <w:r/>
    </w:p>
    <w:p>
      <w:pPr>
        <w:ind w:firstLine="480"/>
        <w:spacing w:line="500" w:lineRule="exact"/>
        <w:rPr>
          <w:rFonts w:ascii="宋体" w:hAnsi="宋体"/>
          <w:color w:val="000000"/>
          <w:sz w:val="24"/>
          <w:highlight w:val="none"/>
        </w:rPr>
      </w:pPr>
      <w:r/>
      <w:bookmarkStart w:id="223" w:name="_Toc16938549"/>
      <w:r/>
      <w:bookmarkStart w:id="224" w:name="_Toc513029233"/>
      <w:r/>
      <w:bookmarkStart w:id="225" w:name="_Toc20823305"/>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23"/>
      <w:r/>
      <w:bookmarkEnd w:id="224"/>
      <w:r/>
      <w:bookmarkEnd w:id="225"/>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将不再告知未通过资格审查或符合性审查的原因。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000000"/>
          <w:sz w:val="24"/>
          <w:szCs w:val="21"/>
          <w:highlight w:val="none"/>
        </w:rPr>
      </w:pPr>
      <w:r/>
      <w:bookmarkStart w:id="226" w:name="_Toc20823306"/>
      <w:r/>
      <w:bookmarkStart w:id="227" w:name="_Toc513029234"/>
      <w:r/>
      <w:bookmarkStart w:id="228"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及评标委员会联系。</w:t>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6"/>
      <w:r/>
      <w:bookmarkEnd w:id="227"/>
      <w:r/>
      <w:bookmarkEnd w:id="228"/>
      <w:r>
        <w:rPr>
          <w:rFonts w:hint="eastAsia" w:ascii="Arial" w:hAnsi="Arial" w:eastAsia="黑体" w:cs="Arial"/>
          <w:color w:val="000000"/>
          <w:sz w:val="28"/>
          <w:szCs w:val="28"/>
          <w:highlight w:val="none"/>
        </w:rPr>
        <w:t xml:space="preserve">无效投标条款和废标条款</w:t>
      </w:r>
      <w:r/>
    </w:p>
    <w:p>
      <w:pPr>
        <w:ind w:firstLine="480"/>
        <w:spacing w:line="500" w:lineRule="exact"/>
        <w:rPr>
          <w:rFonts w:hint="eastAsia" w:ascii="宋体" w:hAnsi="宋体"/>
          <w:bCs/>
          <w:color w:val="000000"/>
          <w:sz w:val="24"/>
          <w:szCs w:val="21"/>
          <w:highlight w:val="none"/>
        </w:rPr>
      </w:pPr>
      <w:r/>
      <w:bookmarkStart w:id="229" w:name="_Toc20823307"/>
      <w:r/>
      <w:bookmarkStart w:id="230" w:name="_Toc513029235"/>
      <w:r/>
      <w:bookmarkStart w:id="231"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color w:val="000000"/>
          <w:sz w:val="32"/>
          <w:szCs w:val="32"/>
          <w:highlight w:val="none"/>
        </w:rPr>
        <w:outlineLvl w:val="2"/>
      </w:pPr>
      <w:r/>
      <w:bookmarkStart w:id="232" w:name="_Toc120614219"/>
      <w:r>
        <w:rPr>
          <w:rFonts w:hint="eastAsia"/>
          <w:b/>
          <w:bCs/>
          <w:color w:val="000000"/>
          <w:sz w:val="32"/>
          <w:szCs w:val="32"/>
          <w:highlight w:val="none"/>
        </w:rPr>
        <w:t xml:space="preserve">六、</w:t>
      </w:r>
      <w:bookmarkEnd w:id="229"/>
      <w:r/>
      <w:bookmarkEnd w:id="230"/>
      <w:r/>
      <w:bookmarkEnd w:id="231"/>
      <w:r>
        <w:rPr>
          <w:rFonts w:hint="eastAsia"/>
          <w:b/>
          <w:bCs/>
          <w:color w:val="000000"/>
          <w:sz w:val="32"/>
          <w:szCs w:val="32"/>
          <w:highlight w:val="none"/>
        </w:rPr>
        <w:t xml:space="preserve">定标</w:t>
      </w:r>
      <w:bookmarkEnd w:id="232"/>
      <w:r/>
      <w:r/>
    </w:p>
    <w:p>
      <w:pPr>
        <w:ind w:firstLine="600"/>
        <w:keepLines/>
        <w:keepNext/>
        <w:spacing w:line="500" w:lineRule="exact"/>
        <w:rPr>
          <w:rFonts w:hint="eastAsia" w:ascii="黑体" w:hAnsi="宋体" w:eastAsia="黑体"/>
          <w:bCs/>
          <w:color w:val="000000"/>
          <w:sz w:val="30"/>
          <w:szCs w:val="30"/>
          <w:highlight w:val="none"/>
        </w:rPr>
        <w:outlineLvl w:val="3"/>
      </w:pPr>
      <w:r/>
      <w:bookmarkStart w:id="233" w:name="_Toc513029238"/>
      <w:r/>
      <w:bookmarkStart w:id="234" w:name="_Toc16938554"/>
      <w:r/>
      <w:bookmarkStart w:id="235"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3"/>
      <w:r>
        <w:rPr>
          <w:rFonts w:hint="eastAsia" w:ascii="黑体" w:hAnsi="宋体" w:eastAsia="黑体"/>
          <w:bCs/>
          <w:color w:val="000000"/>
          <w:sz w:val="30"/>
          <w:szCs w:val="30"/>
          <w:highlight w:val="none"/>
        </w:rPr>
        <w:t xml:space="preserve">确定</w:t>
      </w:r>
      <w:bookmarkEnd w:id="234"/>
      <w:r/>
      <w:bookmarkEnd w:id="235"/>
      <w:r>
        <w:rPr>
          <w:rFonts w:hint="eastAsia" w:ascii="黑体" w:hAnsi="宋体" w:eastAsia="黑体"/>
          <w:bCs/>
          <w:color w:val="000000"/>
          <w:sz w:val="30"/>
          <w:szCs w:val="30"/>
          <w:highlight w:val="none"/>
        </w:rPr>
        <w:t xml:space="preserve">中标单位</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行贿或者提供其他不正当利益的。</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p>
    <w:p>
      <w:pPr>
        <w:ind w:firstLine="480"/>
        <w:spacing w:line="500" w:lineRule="exact"/>
        <w:rPr>
          <w:rFonts w:ascii="宋体" w:hAnsi="宋体"/>
          <w:color w:val="000000"/>
          <w:sz w:val="24"/>
          <w:highlight w:val="none"/>
        </w:rPr>
      </w:pPr>
      <w:r/>
      <w:bookmarkStart w:id="236"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6"/>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或采购人提出质疑。上述应知其权益受到损害之日，是指：</w:t>
      </w:r>
      <w:r/>
    </w:p>
    <w:p>
      <w:pPr>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p>
    <w:p>
      <w:pPr>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 xml:space="preserve">代理机构</w:t>
      </w:r>
      <w:r>
        <w:rPr>
          <w:rFonts w:hint="eastAsia" w:hAnsi="宋体" w:cs="宋体"/>
          <w:color w:val="000000"/>
          <w:sz w:val="24"/>
          <w:highlight w:val="none"/>
        </w:rPr>
        <w:t xml:space="preserve">、</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p>
    <w:p>
      <w:pPr>
        <w:ind w:firstLine="480"/>
        <w:spacing w:line="500" w:lineRule="exact"/>
        <w:rPr>
          <w:rFonts w:hint="eastAsia" w:ascii="宋体" w:hAnsi="宋体"/>
          <w:color w:val="000000"/>
          <w:sz w:val="24"/>
          <w:highlight w:val="none"/>
        </w:rPr>
      </w:pPr>
      <w:r/>
      <w:bookmarkStart w:id="237" w:name="_Hlk149903315"/>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只接收以纸质原件形式送达的质疑,建议供应商尽量通过现场递交或邮寄方式提交质疑（采购人和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rPr>
          <w:rFonts w:hint="eastAsia" w:ascii="宋体" w:hAnsi="宋体"/>
          <w:b/>
          <w:bCs/>
          <w:color w:val="000000"/>
          <w:sz w:val="24"/>
          <w:highlight w:val="none"/>
        </w:rPr>
        <w:t xml:space="preserve">因此凡是对招标文件提出质疑的供应商，必须是依法获取招标文件的供应商，请将合法获取招标文件的证明材料(即《投标供应商确认函》)与质疑函一起递交，否则不子受理。</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质疑接收部门为：常州诚誉工程咨询有限公司招标代理部门</w:t>
      </w:r>
      <w:r/>
    </w:p>
    <w:p>
      <w:pPr>
        <w:ind w:firstLine="480"/>
        <w:jc w:val="left"/>
        <w:spacing w:line="500" w:lineRule="exact"/>
        <w:rPr>
          <w:color w:val="000000"/>
          <w:sz w:val="24"/>
          <w:highlight w:val="none"/>
        </w:rPr>
      </w:pPr>
      <w:r>
        <w:rPr>
          <w:rFonts w:hint="eastAsia" w:ascii="宋体" w:hAnsi="宋体" w:eastAsia="宋体" w:cs="Times New Roman"/>
          <w:sz w:val="24"/>
          <w:highlight w:val="none"/>
        </w:rPr>
        <w:t xml:space="preserve">通讯地址：常州市新北区1259-1号楼12层1207室</w:t>
      </w:r>
      <w:r/>
    </w:p>
    <w:p>
      <w:pPr>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0519-851955</w:t>
      </w:r>
      <w:r>
        <w:rPr>
          <w:rFonts w:hint="eastAsia"/>
          <w:color w:val="000000"/>
          <w:sz w:val="24"/>
          <w:highlight w:val="none"/>
          <w:lang w:val="en-US" w:eastAsia="zh-CN"/>
        </w:rPr>
        <w:t xml:space="preserve">1</w:t>
      </w:r>
      <w:r>
        <w:rPr>
          <w:rFonts w:hint="eastAsia"/>
          <w:color w:val="000000"/>
          <w:sz w:val="24"/>
          <w:highlight w:val="none"/>
        </w:rPr>
        <w:t xml:space="preserve">7-8003</w:t>
      </w:r>
      <w:r>
        <w:rPr>
          <w:color w:val="000000"/>
          <w:sz w:val="24"/>
          <w:highlight w:val="none"/>
        </w:rPr>
        <w:t xml:space="preserve">；</w:t>
      </w:r>
      <w:bookmarkEnd w:id="237"/>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p>
    <w:p>
      <w:pPr>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color w:val="000000"/>
          <w:sz w:val="32"/>
          <w:szCs w:val="32"/>
          <w:highlight w:val="none"/>
        </w:rPr>
        <w:outlineLvl w:val="2"/>
      </w:pPr>
      <w:r/>
      <w:bookmarkStart w:id="238" w:name="_Toc20823308"/>
      <w:r/>
      <w:bookmarkStart w:id="239" w:name="_Toc120614220"/>
      <w:r/>
      <w:bookmarkStart w:id="240" w:name="_Toc513029236"/>
      <w:r/>
      <w:bookmarkStart w:id="241" w:name="_Toc16938552"/>
      <w:r>
        <w:rPr>
          <w:rFonts w:hint="eastAsia"/>
          <w:b/>
          <w:bCs/>
          <w:color w:val="000000"/>
          <w:sz w:val="32"/>
          <w:szCs w:val="32"/>
          <w:highlight w:val="none"/>
        </w:rPr>
        <w:t xml:space="preserve">七、授予合同</w:t>
      </w:r>
      <w:bookmarkEnd w:id="238"/>
      <w:r/>
      <w:bookmarkEnd w:id="239"/>
      <w:r/>
      <w:bookmarkEnd w:id="240"/>
      <w:r/>
      <w:bookmarkEnd w:id="241"/>
      <w:r/>
      <w:r/>
    </w:p>
    <w:p>
      <w:pPr>
        <w:ind w:firstLine="600"/>
        <w:keepLines/>
        <w:keepNext/>
        <w:spacing w:line="500" w:lineRule="exact"/>
        <w:rPr>
          <w:rFonts w:hint="eastAsia" w:ascii="黑体" w:hAnsi="宋体" w:eastAsia="黑体"/>
          <w:bCs/>
          <w:color w:val="000000"/>
          <w:sz w:val="30"/>
          <w:szCs w:val="30"/>
          <w:highlight w:val="none"/>
        </w:rPr>
        <w:outlineLvl w:val="3"/>
      </w:pPr>
      <w:r/>
      <w:bookmarkStart w:id="242" w:name="_Toc20823309"/>
      <w:r/>
      <w:bookmarkStart w:id="243" w:name="_Toc513029237"/>
      <w:r/>
      <w:bookmarkStart w:id="244"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p>
    <w:p>
      <w:pPr>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p>
    <w:p>
      <w:pPr>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43"/>
        <w:ind w:firstLine="600"/>
        <w:spacing w:line="500" w:lineRule="exact"/>
        <w:rPr>
          <w:rFonts w:ascii="黑体" w:hAnsi="宋体" w:eastAsia="黑体" w:cs="Times New Roman"/>
          <w:bCs/>
          <w:sz w:val="30"/>
          <w:szCs w:val="30"/>
          <w:highlight w:val="none"/>
        </w:rPr>
      </w:pPr>
      <w:r>
        <w:rPr>
          <w:rFonts w:ascii="黑体" w:hAnsi="宋体" w:eastAsia="黑体" w:cs="Times New Roman"/>
          <w:bCs/>
          <w:sz w:val="30"/>
          <w:szCs w:val="30"/>
          <w:highlight w:val="none"/>
        </w:rPr>
        <w:t xml:space="preserve">33</w:t>
      </w:r>
      <w:r>
        <w:rPr>
          <w:rFonts w:hint="eastAsia" w:ascii="黑体" w:hAnsi="宋体" w:eastAsia="黑体" w:cs="Times New Roman"/>
          <w:bCs/>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Times New Roman" w:hAnsi="Times New Roman" w:eastAsia="宋体" w:cs="Times New Roman"/>
          <w:color w:val="000000"/>
          <w:sz w:val="24"/>
          <w:highlight w:val="none"/>
        </w:rPr>
      </w:pPr>
      <w:r>
        <w:rPr>
          <w:rFonts w:hint="eastAsia" w:ascii="宋体" w:hAnsi="宋体" w:eastAsia="宋体" w:cs="Times New Roman"/>
          <w:b/>
          <w:bCs/>
          <w:color w:val="000000"/>
          <w:sz w:val="24"/>
          <w:highlight w:val="none"/>
        </w:rPr>
        <w:t xml:space="preserve">3</w:t>
      </w:r>
      <w:r>
        <w:rPr>
          <w:rFonts w:ascii="宋体" w:hAnsi="宋体" w:eastAsia="宋体" w:cs="Times New Roman"/>
          <w:b/>
          <w:bCs/>
          <w:color w:val="000000"/>
          <w:sz w:val="24"/>
          <w:highlight w:val="none"/>
        </w:rPr>
        <w:t xml:space="preserve">3.5正版软件</w:t>
      </w:r>
      <w:r>
        <w:rPr>
          <w:rFonts w:hint="eastAsia" w:ascii="宋体" w:hAnsi="宋体" w:eastAsia="宋体" w:cs="Times New Roman"/>
          <w:b/>
          <w:bCs/>
          <w:color w:val="000000"/>
          <w:sz w:val="24"/>
          <w:highlight w:val="none"/>
        </w:rPr>
        <w:t xml:space="preserve">：</w:t>
      </w:r>
      <w:r>
        <w:rPr>
          <w:rFonts w:ascii="Times New Roman" w:hAnsi="Times New Roman" w:eastAsia="宋体" w:cs="Times New Roman"/>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43"/>
        <w:ind w:firstLine="482"/>
        <w:spacing w:line="500" w:lineRule="exact"/>
        <w:rPr>
          <w:rFonts w:ascii="宋体" w:hAnsi="宋体" w:cs="Times New Roman"/>
          <w:b/>
          <w:bCs/>
          <w:highlight w:val="none"/>
        </w:rPr>
      </w:pPr>
      <w:r>
        <w:rPr>
          <w:rFonts w:hint="eastAsia" w:ascii="宋体" w:hAnsi="宋体" w:cs="Times New Roman"/>
          <w:b/>
          <w:bCs/>
          <w:highlight w:val="none"/>
        </w:rPr>
        <w:t xml:space="preserve">3</w:t>
      </w:r>
      <w:r>
        <w:rPr>
          <w:rFonts w:ascii="宋体" w:hAnsi="宋体" w:cs="Times New Roman"/>
          <w:b/>
          <w:bCs/>
          <w:highlight w:val="none"/>
        </w:rPr>
        <w:t xml:space="preserve">3.8</w:t>
      </w:r>
      <w:r>
        <w:rPr>
          <w:rFonts w:hint="eastAsia" w:ascii="宋体" w:hAnsi="宋体" w:cs="Times New Roman"/>
          <w:b/>
          <w:bCs/>
          <w:highlight w:val="none"/>
        </w:rPr>
        <w:t xml:space="preserve">绿色采购政策：</w:t>
      </w:r>
      <w:r/>
    </w:p>
    <w:p>
      <w:pPr>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3.8.1</w:t>
      </w:r>
      <w:r>
        <w:rPr>
          <w:rFonts w:hint="eastAsia" w:ascii="宋体" w:hAnsi="宋体"/>
          <w:b/>
          <w:bCs/>
          <w:color w:val="000000"/>
          <w:sz w:val="24"/>
          <w:highlight w:val="none"/>
        </w:rPr>
        <w:t xml:space="preserve">绿色数据中心政策：</w:t>
      </w:r>
      <w:r>
        <w:rPr>
          <w:rFonts w:hint="eastAsia"/>
          <w:color w:val="000000"/>
          <w:sz w:val="24"/>
          <w:highlight w:val="none"/>
        </w:rPr>
        <w:t xml:space="preserve">依据《绿色数据中心政府采购需求标准（试行）》（财办库〔2023〕7 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3.8.2</w:t>
      </w:r>
      <w:r>
        <w:rPr>
          <w:rFonts w:hint="eastAsia" w:ascii="宋体" w:hAnsi="宋体"/>
          <w:b/>
          <w:bCs/>
          <w:color w:val="000000"/>
          <w:sz w:val="24"/>
          <w:highlight w:val="none"/>
        </w:rPr>
        <w:t xml:space="preserve">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color w:val="000000"/>
          <w:sz w:val="24"/>
          <w:highlight w:val="none"/>
        </w:rPr>
        <w:t xml:space="preserve">）,依据相关需求标准确定采购需求，在采购文件和采购合同中载明具体需求、履约验收条款和违约责任。</w:t>
      </w:r>
      <w:r/>
    </w:p>
    <w:p>
      <w:pPr>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3.8.3</w:t>
      </w:r>
      <w:r>
        <w:rPr>
          <w:rFonts w:hint="eastAsia" w:ascii="宋体" w:hAnsi="宋体"/>
          <w:b/>
          <w:bCs/>
          <w:color w:val="000000"/>
          <w:sz w:val="24"/>
          <w:highlight w:val="none"/>
        </w:rPr>
        <w:t xml:space="preserve">优先使用低挥发性有机化合物产品：</w:t>
      </w:r>
      <w:r>
        <w:rPr>
          <w:rFonts w:hint="eastAsia"/>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42"/>
      <w:r/>
      <w:bookmarkEnd w:id="243"/>
      <w:r/>
      <w:bookmarkEnd w:id="244"/>
      <w:r/>
      <w:bookmarkEnd w:id="113"/>
      <w:r/>
    </w:p>
    <w:p>
      <w:pPr>
        <w:ind w:firstLine="420"/>
        <w:spacing w:line="5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33.9电子履约保函政策</w:t>
      </w:r>
      <w:r/>
    </w:p>
    <w:p>
      <w:pPr>
        <w:ind w:firstLine="480"/>
        <w:spacing w:line="48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rFonts w:ascii="Times New Roman" w:hAnsi="Times New Roman" w:eastAsia="宋体" w:cs="Times New Roman"/>
          <w:color w:val="000000"/>
          <w:sz w:val="24"/>
          <w:highlight w:val="none"/>
        </w:rPr>
        <w:t xml:space="preserve">2023</w:t>
      </w:r>
      <w:r>
        <w:rPr>
          <w:rFonts w:hint="eastAsia" w:ascii="Times New Roman" w:hAnsi="Times New Roman" w:eastAsia="宋体" w:cs="Times New Roman"/>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33.10政府采购中实施本国产品标准及相关政策</w:t>
      </w:r>
      <w:r/>
    </w:p>
    <w:p>
      <w:pPr>
        <w:ind w:firstLine="420"/>
        <w:spacing w:line="480" w:lineRule="exact"/>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ind w:firstLine="420"/>
        <w:rPr>
          <w:rFonts w:hint="eastAsia"/>
          <w:color w:val="000000"/>
          <w:szCs w:val="21"/>
          <w:highlight w:val="none"/>
        </w:rPr>
      </w:pPr>
      <w:r>
        <w:rPr>
          <w:rFonts w:hint="eastAsia"/>
          <w:color w:val="000000"/>
          <w:szCs w:val="21"/>
          <w:highlight w:val="none"/>
        </w:rPr>
      </w:r>
      <w:r/>
    </w:p>
    <w:p>
      <w:pPr>
        <w:jc w:val="center"/>
        <w:spacing w:line="360" w:lineRule="auto"/>
        <w:rPr>
          <w:rFonts w:hint="eastAsia"/>
          <w:b/>
          <w:color w:val="000000"/>
          <w:sz w:val="36"/>
          <w:szCs w:val="36"/>
          <w:highlight w:val="none"/>
        </w:rPr>
        <w:outlineLvl w:val="0"/>
      </w:pPr>
      <w:r>
        <w:rPr>
          <w:b/>
          <w:color w:val="000000"/>
          <w:sz w:val="36"/>
          <w:szCs w:val="36"/>
          <w:highlight w:val="none"/>
        </w:rPr>
        <w:t xml:space="preserve">第三章  </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b/>
          <w:color w:val="000000"/>
          <w:sz w:val="36"/>
          <w:szCs w:val="36"/>
          <w:highlight w:val="none"/>
        </w:rPr>
        <w:t xml:space="preserve">资格审查</w:t>
      </w:r>
      <w:bookmarkEnd w:id="131"/>
      <w:r/>
      <w:bookmarkStart w:id="245" w:name="_Toc487900382"/>
      <w:r/>
      <w:r/>
    </w:p>
    <w:p>
      <w:pPr>
        <w:ind w:firstLine="2891"/>
        <w:spacing w:line="360" w:lineRule="auto"/>
        <w:tabs>
          <w:tab w:val="left" w:pos="360" w:leader="none"/>
          <w:tab w:val="left" w:pos="900" w:leader="none"/>
        </w:tabs>
        <w:rPr>
          <w:b/>
          <w:color w:val="000000"/>
          <w:sz w:val="32"/>
          <w:szCs w:val="32"/>
          <w:highlight w:val="none"/>
        </w:rPr>
        <w:outlineLvl w:val="1"/>
      </w:pPr>
      <w:r/>
      <w:bookmarkStart w:id="24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6"/>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p>
    <w:tbl>
      <w:tblPr>
        <w:tblStyle w:val="88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280"/>
        <w:gridCol w:w="5547"/>
        <w:gridCol w:w="1884"/>
      </w:tblGrid>
      <w:tr>
        <w:trPr>
          <w:cantSplit/>
          <w:trHeight w:val="468"/>
          <w:tblHeader/>
        </w:trPr>
        <w:tc>
          <w:tcPr>
            <w:tcW w:w="455" w:type="dxa"/>
            <w:vAlign w:val="center"/>
            <w:textDirection w:val="lrTb"/>
            <w:noWrap w:val="false"/>
          </w:tcPr>
          <w:p>
            <w:pPr>
              <w:jc w:val="center"/>
              <w:tabs>
                <w:tab w:val="left" w:pos="1080" w:leader="none"/>
              </w:tabs>
              <w:rPr>
                <w:b/>
                <w:color w:val="000000"/>
                <w:sz w:val="24"/>
                <w:highlight w:val="none"/>
              </w:rPr>
            </w:pPr>
            <w:r/>
            <w:bookmarkStart w:id="247" w:name="_Hlt487972895"/>
            <w:r/>
            <w:bookmarkEnd w:id="247"/>
            <w:r>
              <w:rPr>
                <w:b/>
                <w:color w:val="000000"/>
                <w:sz w:val="24"/>
                <w:highlight w:val="none"/>
              </w:rPr>
              <w:t xml:space="preserve">序号</w:t>
            </w:r>
            <w:r/>
          </w:p>
        </w:tc>
        <w:tc>
          <w:tcPr>
            <w:tcW w:w="1066"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审查因素</w:t>
            </w:r>
            <w:r/>
          </w:p>
        </w:tc>
        <w:tc>
          <w:tcPr>
            <w:tcW w:w="2595"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审查内容</w:t>
            </w:r>
            <w:r/>
          </w:p>
        </w:tc>
        <w:tc>
          <w:tcPr>
            <w:tcW w:w="881"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w:t>
            </w:r>
            <w:r/>
          </w:p>
        </w:tc>
        <w:tc>
          <w:tcPr>
            <w:tcW w:w="1066"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p>
        </w:tc>
        <w:tc>
          <w:tcPr>
            <w:tcW w:w="2595" w:type="dxa"/>
            <w:vAlign w:val="center"/>
            <w:textDirection w:val="lrTb"/>
            <w:noWrap w:val="false"/>
          </w:tcPr>
          <w:p>
            <w:pPr>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p>
        </w:tc>
        <w:tc>
          <w:tcPr>
            <w:tcW w:w="881" w:type="dxa"/>
            <w:vAlign w:val="center"/>
            <w:textDirection w:val="lrTb"/>
            <w:noWrap w:val="false"/>
          </w:tcPr>
          <w:p>
            <w:pPr>
              <w:ind w:firstLine="720"/>
              <w:tabs>
                <w:tab w:val="left" w:pos="1080" w:leader="none"/>
              </w:tabs>
              <w:rPr>
                <w:rFonts w:hint="eastAsia"/>
                <w:color w:val="000000"/>
                <w:sz w:val="24"/>
                <w:highlight w:val="none"/>
              </w:rPr>
            </w:pPr>
            <w:r>
              <w:rPr>
                <w:rFonts w:hint="eastAsia"/>
                <w:color w:val="000000"/>
                <w:sz w:val="24"/>
                <w:highlight w:val="none"/>
              </w:rPr>
              <w:t xml:space="preserve">/</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2</w:t>
            </w:r>
            <w:r/>
          </w:p>
        </w:tc>
        <w:tc>
          <w:tcPr>
            <w:tcW w:w="1066" w:type="dxa"/>
            <w:vAlign w:val="center"/>
            <w:textDirection w:val="lrTb"/>
            <w:noWrap w:val="false"/>
          </w:tcPr>
          <w:p>
            <w:pPr>
              <w:tabs>
                <w:tab w:val="left" w:pos="1080" w:leader="none"/>
              </w:tabs>
              <w:rPr>
                <w:color w:val="000000"/>
                <w:sz w:val="24"/>
                <w:highlight w:val="none"/>
              </w:rPr>
            </w:pPr>
            <w:r>
              <w:rPr>
                <w:rFonts w:hint="eastAsia" w:ascii="宋体" w:hAnsi="宋体"/>
                <w:bCs/>
                <w:color w:val="000000"/>
                <w:sz w:val="24"/>
                <w:highlight w:val="none"/>
              </w:rPr>
              <w:t xml:space="preserve">法人授权书</w:t>
            </w:r>
            <w:r/>
          </w:p>
        </w:tc>
        <w:tc>
          <w:tcPr>
            <w:tcW w:w="2595" w:type="dxa"/>
            <w:vAlign w:val="center"/>
            <w:textDirection w:val="lrTb"/>
            <w:noWrap w:val="false"/>
          </w:tcPr>
          <w:p>
            <w:pPr>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3</w:t>
            </w:r>
            <w:r/>
          </w:p>
        </w:tc>
        <w:tc>
          <w:tcPr>
            <w:tcW w:w="1066"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投标人资格声明</w:t>
            </w:r>
            <w:r/>
          </w:p>
        </w:tc>
        <w:tc>
          <w:tcPr>
            <w:tcW w:w="2595" w:type="dxa"/>
            <w:vAlign w:val="center"/>
            <w:textDirection w:val="lrTb"/>
            <w:noWrap w:val="false"/>
          </w:tcPr>
          <w:p>
            <w:pPr>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4</w:t>
            </w:r>
            <w:r/>
          </w:p>
        </w:tc>
        <w:tc>
          <w:tcPr>
            <w:tcW w:w="1066" w:type="dxa"/>
            <w:vAlign w:val="center"/>
            <w:textDirection w:val="lrTb"/>
            <w:noWrap w:val="false"/>
          </w:tcPr>
          <w:p>
            <w:pPr>
              <w:tabs>
                <w:tab w:val="left" w:pos="1080" w:leader="none"/>
              </w:tabs>
              <w:rPr>
                <w:color w:val="000000"/>
                <w:sz w:val="24"/>
                <w:highlight w:val="none"/>
              </w:rPr>
            </w:pPr>
            <w:r>
              <w:rPr>
                <w:color w:val="000000"/>
                <w:sz w:val="24"/>
                <w:highlight w:val="none"/>
              </w:rPr>
              <w:t xml:space="preserve">投标人信用记录</w:t>
            </w:r>
            <w:r/>
          </w:p>
        </w:tc>
        <w:tc>
          <w:tcPr>
            <w:tcW w:w="2595"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p>
          <w:p>
            <w:pPr>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p>
          <w:p>
            <w:pPr>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5</w:t>
            </w:r>
            <w:r/>
          </w:p>
        </w:tc>
        <w:tc>
          <w:tcPr>
            <w:tcW w:w="1066" w:type="dxa"/>
            <w:vAlign w:val="center"/>
            <w:textDirection w:val="lrTb"/>
            <w:noWrap w:val="false"/>
          </w:tcPr>
          <w:p>
            <w:pPr>
              <w:ind w:firstLine="240"/>
              <w:tabs>
                <w:tab w:val="left" w:pos="1080" w:leader="none"/>
              </w:tabs>
              <w:rPr>
                <w:color w:val="000000"/>
                <w:sz w:val="24"/>
                <w:highlight w:val="none"/>
              </w:rPr>
            </w:pPr>
            <w:r>
              <w:rPr>
                <w:rFonts w:hint="eastAsia"/>
                <w:color w:val="000000"/>
                <w:sz w:val="24"/>
                <w:highlight w:val="none"/>
              </w:rPr>
              <w:t xml:space="preserve">信用承诺</w:t>
            </w:r>
            <w:r/>
          </w:p>
        </w:tc>
        <w:tc>
          <w:tcPr>
            <w:tcW w:w="2595" w:type="dxa"/>
            <w:vAlign w:val="center"/>
            <w:textDirection w:val="lrTb"/>
            <w:noWrap w:val="false"/>
          </w:tcPr>
          <w:p>
            <w:pPr>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6</w:t>
            </w:r>
            <w:r/>
          </w:p>
        </w:tc>
        <w:tc>
          <w:tcPr>
            <w:tcW w:w="1066" w:type="dxa"/>
            <w:vAlign w:val="center"/>
            <w:textDirection w:val="lrTb"/>
            <w:noWrap w:val="false"/>
          </w:tcPr>
          <w:p>
            <w:pPr>
              <w:tabs>
                <w:tab w:val="left" w:pos="1080" w:leader="none"/>
              </w:tabs>
              <w:rPr>
                <w:color w:val="000000"/>
                <w:sz w:val="24"/>
                <w:highlight w:val="none"/>
              </w:rPr>
            </w:pPr>
            <w:r>
              <w:rPr>
                <w:color w:val="000000"/>
                <w:sz w:val="24"/>
                <w:highlight w:val="none"/>
              </w:rPr>
              <w:t xml:space="preserve">落实政府采购政策需满足的资格要求</w:t>
            </w:r>
            <w:r/>
          </w:p>
        </w:tc>
        <w:tc>
          <w:tcPr>
            <w:tcW w:w="2595"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p>
        </w:tc>
        <w:tc>
          <w:tcPr>
            <w:tcW w:w="881"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b/>
                <w:color w:val="000000"/>
                <w:sz w:val="24"/>
                <w:highlight w:val="none"/>
              </w:rPr>
            </w:pPr>
            <w:r>
              <w:rPr>
                <w:rFonts w:hint="eastAsia"/>
                <w:b/>
                <w:color w:val="000000"/>
                <w:sz w:val="24"/>
                <w:highlight w:val="none"/>
              </w:rPr>
              <w:t xml:space="preserve">7</w:t>
            </w:r>
            <w:r/>
          </w:p>
        </w:tc>
        <w:tc>
          <w:tcPr>
            <w:tcW w:w="1066" w:type="dxa"/>
            <w:vAlign w:val="center"/>
            <w:textDirection w:val="lrTb"/>
            <w:noWrap w:val="false"/>
          </w:tcPr>
          <w:p>
            <w:pPr>
              <w:tabs>
                <w:tab w:val="left" w:pos="1080" w:leader="none"/>
              </w:tabs>
              <w:rPr>
                <w:b/>
                <w:color w:val="000000"/>
                <w:sz w:val="24"/>
                <w:highlight w:val="none"/>
              </w:rPr>
            </w:pPr>
            <w:r>
              <w:rPr>
                <w:b/>
                <w:color w:val="000000"/>
                <w:sz w:val="24"/>
                <w:highlight w:val="none"/>
              </w:rPr>
              <w:t xml:space="preserve">本项目的特定资格要求</w:t>
            </w:r>
            <w:r/>
          </w:p>
        </w:tc>
        <w:tc>
          <w:tcPr>
            <w:tcW w:w="2595" w:type="dxa"/>
            <w:vAlign w:val="center"/>
            <w:textDirection w:val="lrTb"/>
            <w:noWrap w:val="false"/>
          </w:tcPr>
          <w:p>
            <w:pPr>
              <w:ind w:firstLine="480"/>
              <w:spacing w:line="360" w:lineRule="auto"/>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t xml:space="preserve">①具有机电工程施工总承包三级或以上资质，或电力工程施工总承包三级或以上资质，或建筑机电安装工程专业承包二级或以上资质。</w:t>
            </w:r>
            <w:r/>
          </w:p>
          <w:p>
            <w:pPr>
              <w:ind w:firstLine="480"/>
              <w:spacing w:line="360" w:lineRule="auto"/>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t xml:space="preserve">②具有三级或以上承装类承装（修、试）电力设施许可证。</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454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8</w:t>
            </w:r>
            <w:r/>
          </w:p>
        </w:tc>
        <w:tc>
          <w:tcPr>
            <w:tcW w:w="1066" w:type="dxa"/>
            <w:vAlign w:val="center"/>
            <w:textDirection w:val="lrTb"/>
            <w:noWrap w:val="false"/>
          </w:tcPr>
          <w:p>
            <w:pPr>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p>
        </w:tc>
        <w:tc>
          <w:tcPr>
            <w:tcW w:w="2595" w:type="dxa"/>
            <w:vAlign w:val="center"/>
            <w:textDirection w:val="lrTb"/>
            <w:noWrap w:val="false"/>
          </w:tcPr>
          <w:p>
            <w:pPr>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p>
          <w:p>
            <w:pPr>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p>
          <w:p>
            <w:pPr>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000000"/>
                <w:sz w:val="24"/>
                <w:highlight w:val="none"/>
              </w:rPr>
            </w:pPr>
            <w:r>
              <w:rPr>
                <w:color w:val="000000"/>
                <w:sz w:val="24"/>
                <w:highlight w:val="none"/>
              </w:rPr>
              <w:t xml:space="preserve">6、若联合体中任一成员单位中途退出，则该联合体的投标无效。</w:t>
            </w:r>
            <w:r/>
          </w:p>
          <w:p>
            <w:pPr>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 </w:t>
            </w:r>
            <w:bookmarkEnd w:id="245"/>
            <w:r/>
            <w:r/>
          </w:p>
        </w:tc>
      </w:tr>
    </w:tbl>
    <w:p>
      <w:pPr>
        <w:jc w:val="left"/>
        <w:widowControl/>
        <w:rPr>
          <w:color w:val="000000"/>
          <w:sz w:val="24"/>
          <w:highlight w:val="none"/>
        </w:rPr>
      </w:pPr>
      <w:r/>
      <w:bookmarkStart w:id="248" w:name="_Toc127151779"/>
      <w:r/>
      <w:bookmarkStart w:id="249" w:name="_Toc226965858"/>
      <w:r/>
      <w:bookmarkStart w:id="250" w:name="_Toc127161490"/>
      <w:r/>
      <w:bookmarkStart w:id="251" w:name="_Toc353825550"/>
      <w:r/>
      <w:bookmarkStart w:id="252" w:name="_Toc353873940"/>
      <w:r>
        <w:rPr>
          <w:color w:val="000000"/>
          <w:sz w:val="24"/>
          <w:highlight w:val="none"/>
        </w:rPr>
        <w:br w:type="page" w:clear="all"/>
      </w:r>
      <w:r/>
    </w:p>
    <w:p>
      <w:pPr>
        <w:jc w:val="center"/>
        <w:spacing w:line="360" w:lineRule="auto"/>
        <w:rPr>
          <w:b/>
          <w:color w:val="000000"/>
          <w:sz w:val="36"/>
          <w:szCs w:val="36"/>
          <w:highlight w:val="none"/>
        </w:rPr>
        <w:outlineLvl w:val="0"/>
      </w:pPr>
      <w:r/>
      <w:bookmarkStart w:id="253" w:name="_Toc99301423"/>
      <w:r>
        <w:rPr>
          <w:b/>
          <w:color w:val="000000"/>
          <w:sz w:val="36"/>
          <w:szCs w:val="36"/>
          <w:highlight w:val="none"/>
        </w:rPr>
        <w:t xml:space="preserve">第四章   </w:t>
      </w:r>
      <w:bookmarkEnd w:id="248"/>
      <w:r/>
      <w:bookmarkEnd w:id="249"/>
      <w:r/>
      <w:bookmarkEnd w:id="250"/>
      <w:r/>
      <w:bookmarkEnd w:id="251"/>
      <w:r/>
      <w:bookmarkEnd w:id="252"/>
      <w:r/>
      <w:bookmarkStart w:id="254" w:name="_Hlt164229061"/>
      <w:r/>
      <w:bookmarkEnd w:id="254"/>
      <w:r>
        <w:rPr>
          <w:b/>
          <w:color w:val="000000"/>
          <w:sz w:val="36"/>
          <w:szCs w:val="36"/>
          <w:highlight w:val="none"/>
        </w:rPr>
        <w:t xml:space="preserve">评标程序、评标方法和评标标准</w:t>
      </w:r>
      <w:bookmarkEnd w:id="253"/>
      <w:r/>
      <w:r/>
    </w:p>
    <w:p>
      <w:pPr>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p>
    <w:p>
      <w:pPr>
        <w:ind w:firstLine="480"/>
        <w:spacing w:line="360" w:lineRule="auto"/>
        <w:tabs>
          <w:tab w:val="left" w:pos="360" w:leader="none"/>
        </w:tabs>
        <w:rPr>
          <w:color w:val="000000"/>
          <w:sz w:val="24"/>
          <w:highlight w:val="none"/>
        </w:rPr>
        <w:outlineLvl w:val="1"/>
      </w:pPr>
      <w:r/>
      <w:bookmarkStart w:id="255" w:name="_Toc353873941"/>
      <w:r/>
      <w:bookmarkStart w:id="256" w:name="_Toc35382555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7" w:name="_Toc520356167"/>
      <w:r/>
      <w:r/>
    </w:p>
    <w:p>
      <w:pPr>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的，投标无效。</w:t>
      </w:r>
      <w:r/>
    </w:p>
    <w:p>
      <w:pPr>
        <w:pStyle w:val="1143"/>
        <w:rPr>
          <w:rFonts w:hint="eastAsia"/>
          <w:highlight w:val="none"/>
        </w:rPr>
      </w:pPr>
      <w:r>
        <w:rPr>
          <w:rFonts w:hint="eastAsia"/>
          <w:highlight w:val="none"/>
        </w:rPr>
      </w:r>
      <w:r/>
    </w:p>
    <w:p>
      <w:pPr>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p>
    <w:p>
      <w:pPr>
        <w:ind w:firstLine="602"/>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b/>
          <w:color w:val="000000"/>
          <w:sz w:val="30"/>
          <w:szCs w:val="30"/>
          <w:highlight w:val="none"/>
          <w:lang w:val="en-US" w:eastAsia="zh-CN" w:bidi="ar-SA"/>
        </w:rPr>
        <w:t xml:space="preserve">一、符合性审查要求</w:t>
      </w:r>
      <w:r/>
    </w:p>
    <w:tbl>
      <w:tblPr>
        <w:tblStyle w:val="88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2020"/>
        <w:gridCol w:w="5131"/>
        <w:gridCol w:w="2495"/>
      </w:tblGrid>
      <w:tr>
        <w:trPr>
          <w:jc w:val="center"/>
          <w:trHeight w:val="300"/>
        </w:trPr>
        <w:tc>
          <w:tcPr>
            <w:tcW w:w="481" w:type="dxa"/>
            <w:vAlign w:val="center"/>
            <w:textDirection w:val="lrTb"/>
            <w:noWrap w:val="false"/>
          </w:tcPr>
          <w:p>
            <w:pPr>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序号</w:t>
            </w:r>
            <w:r/>
          </w:p>
        </w:tc>
        <w:tc>
          <w:tcPr>
            <w:tcW w:w="946" w:type="dxa"/>
            <w:vAlign w:val="center"/>
            <w:textDirection w:val="lrTb"/>
            <w:noWrap w:val="false"/>
          </w:tcPr>
          <w:p>
            <w:pPr>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审查因素</w:t>
            </w:r>
            <w:r/>
          </w:p>
        </w:tc>
        <w:tc>
          <w:tcPr>
            <w:tcW w:w="2403" w:type="dxa"/>
            <w:vAlign w:val="center"/>
            <w:textDirection w:val="lrTb"/>
            <w:noWrap w:val="false"/>
          </w:tcPr>
          <w:p>
            <w:pPr>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审查内容</w:t>
            </w:r>
            <w:r/>
          </w:p>
        </w:tc>
        <w:tc>
          <w:tcPr>
            <w:tcW w:w="1168" w:type="dxa"/>
            <w:vAlign w:val="center"/>
            <w:textDirection w:val="lrTb"/>
            <w:noWrap w:val="false"/>
          </w:tcPr>
          <w:p>
            <w:pPr>
              <w:jc w:val="center"/>
              <w:widowControl/>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格式要求</w:t>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投标函</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投标函</w:t>
            </w:r>
            <w:r>
              <w:rPr>
                <w:rFonts w:ascii="Times New Roman" w:hAnsi="Times New Roman" w:eastAsia="宋体" w:cs="Times New Roman"/>
                <w:color w:val="000000"/>
                <w:sz w:val="24"/>
                <w:highlight w:val="none"/>
              </w:rPr>
              <w:t xml:space="preserve">；</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格式见《投标文件格式》</w:t>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投标完整性</w:t>
            </w:r>
            <w:r/>
          </w:p>
        </w:tc>
        <w:tc>
          <w:tcPr>
            <w:tcW w:w="2403" w:type="dxa"/>
            <w:vAlign w:val="center"/>
            <w:textDirection w:val="lrTb"/>
            <w:noWrap w:val="false"/>
          </w:tcPr>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报价明细表未有缺项、漏项；</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格式见《</w:t>
            </w:r>
            <w:r>
              <w:rPr>
                <w:rFonts w:hint="eastAsia" w:ascii="Times New Roman" w:hAnsi="Times New Roman" w:eastAsia="宋体" w:cs="Times New Roman"/>
                <w:color w:val="000000"/>
                <w:sz w:val="24"/>
                <w:highlight w:val="none"/>
              </w:rPr>
              <w:t xml:space="preserve">报价</w:t>
            </w:r>
            <w:r>
              <w:rPr>
                <w:rFonts w:ascii="Times New Roman" w:hAnsi="Times New Roman" w:eastAsia="宋体" w:cs="Times New Roman"/>
                <w:color w:val="000000"/>
                <w:sz w:val="24"/>
                <w:highlight w:val="none"/>
              </w:rPr>
              <w:t xml:space="preserve">明细表》</w:t>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投标报价</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投标报价未超过最高限价（总价最高限价及单价最高限价）或预算价的</w:t>
            </w:r>
            <w:r>
              <w:rPr>
                <w:rFonts w:ascii="Times New Roman" w:hAnsi="Times New Roman" w:eastAsia="宋体" w:cs="Times New Roman"/>
                <w:color w:val="000000"/>
                <w:sz w:val="24"/>
                <w:highlight w:val="none"/>
              </w:rPr>
              <w:t xml:space="preserve">；</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报价唯一性</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w:t>
            </w:r>
            <w:r>
              <w:rPr>
                <w:rFonts w:hint="eastAsia" w:ascii="Times New Roman" w:hAnsi="Times New Roman" w:eastAsia="宋体" w:cs="Times New Roman"/>
                <w:color w:val="000000"/>
                <w:sz w:val="24"/>
                <w:highlight w:val="none"/>
              </w:rPr>
              <w:t xml:space="preserve">未出现可选择性或可调整的报价（招标文件另有规定的除外）</w:t>
            </w:r>
            <w:r>
              <w:rPr>
                <w:rFonts w:ascii="Times New Roman" w:hAnsi="Times New Roman" w:eastAsia="宋体" w:cs="Times New Roman"/>
                <w:color w:val="000000"/>
                <w:sz w:val="24"/>
                <w:highlight w:val="none"/>
              </w:rPr>
              <w:t xml:space="preserve">；</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投标有效期</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投标文件中承诺的投标有效期</w:t>
            </w:r>
            <w:r>
              <w:rPr>
                <w:rFonts w:hint="eastAsia" w:ascii="Times New Roman" w:hAnsi="Times New Roman" w:eastAsia="宋体" w:cs="Times New Roman"/>
                <w:color w:val="000000"/>
                <w:sz w:val="24"/>
                <w:highlight w:val="none"/>
              </w:rPr>
              <w:t xml:space="preserve">满足</w:t>
            </w:r>
            <w:r>
              <w:rPr>
                <w:rFonts w:ascii="Times New Roman" w:hAnsi="Times New Roman" w:eastAsia="宋体" w:cs="Times New Roman"/>
                <w:color w:val="000000"/>
                <w:sz w:val="24"/>
                <w:highlight w:val="none"/>
              </w:rPr>
              <w:t xml:space="preserve">招标文件中载明的投标有效期的；</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签署、加盖公章</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按照招标文件要求签署、加盖公章的；</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7</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实质性格式</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标记为</w:t>
            </w:r>
            <w:r>
              <w:rPr>
                <w:rFonts w:ascii="Times New Roman" w:hAnsi="Times New Roman" w:eastAsia="宋体" w:cs="Times New Roman"/>
                <w:color w:val="000000"/>
                <w:sz w:val="24"/>
                <w:highlight w:val="none"/>
              </w:rPr>
              <w:t xml:space="preserve">“实质性格式”的</w:t>
            </w:r>
            <w:r>
              <w:rPr>
                <w:rFonts w:hint="eastAsia" w:ascii="Times New Roman" w:hAnsi="Times New Roman" w:eastAsia="宋体" w:cs="Times New Roman"/>
                <w:color w:val="000000"/>
                <w:sz w:val="24"/>
                <w:highlight w:val="none"/>
              </w:rPr>
              <w:t xml:space="preserve">文件均按</w:t>
            </w:r>
            <w:r>
              <w:rPr>
                <w:rFonts w:ascii="Times New Roman" w:hAnsi="Times New Roman" w:eastAsia="宋体" w:cs="Times New Roman"/>
                <w:color w:val="000000"/>
                <w:sz w:val="24"/>
                <w:highlight w:val="none"/>
              </w:rPr>
              <w:t xml:space="preserve">招标文件</w:t>
            </w:r>
            <w:r>
              <w:rPr>
                <w:rFonts w:hint="eastAsia" w:ascii="Times New Roman" w:hAnsi="Times New Roman" w:eastAsia="宋体" w:cs="Times New Roman"/>
                <w:color w:val="000000"/>
                <w:sz w:val="24"/>
                <w:highlight w:val="none"/>
              </w:rPr>
              <w:t xml:space="preserve">要求提供；</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8</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Segoe UI Symbol" w:hAnsi="Segoe UI Symbol" w:eastAsia="宋体" w:cs="Segoe UI Symbol"/>
                <w:color w:val="000000"/>
                <w:sz w:val="24"/>
                <w:highlight w:val="none"/>
              </w:rPr>
              <w:t xml:space="preserve">★</w:t>
            </w:r>
            <w:r>
              <w:rPr>
                <w:rFonts w:ascii="Times New Roman" w:hAnsi="Times New Roman" w:eastAsia="宋体" w:cs="Times New Roman"/>
                <w:color w:val="000000"/>
                <w:sz w:val="24"/>
                <w:highlight w:val="none"/>
              </w:rPr>
              <w:t xml:space="preserve">号条款响应</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投标文件满足招标文件第五章《采购需求》中</w:t>
            </w:r>
            <w:r>
              <w:rPr>
                <w:rFonts w:ascii="Segoe UI Symbol" w:hAnsi="Segoe UI Symbol" w:eastAsia="宋体" w:cs="Segoe UI Symbol"/>
                <w:color w:val="000000"/>
                <w:sz w:val="24"/>
                <w:highlight w:val="none"/>
              </w:rPr>
              <w:t xml:space="preserve">★</w:t>
            </w:r>
            <w:r>
              <w:rPr>
                <w:rFonts w:ascii="Times New Roman" w:hAnsi="Times New Roman" w:eastAsia="宋体" w:cs="Times New Roman"/>
                <w:color w:val="000000"/>
                <w:sz w:val="24"/>
                <w:highlight w:val="none"/>
              </w:rPr>
              <w:t xml:space="preserve">号条款要求的；</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9</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分包承担主体资质（如有）</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分包承担主体具备《投标人须知资料表》载明的资质条件</w:t>
            </w:r>
            <w:r>
              <w:rPr>
                <w:rFonts w:hint="eastAsia" w:ascii="Times New Roman" w:hAnsi="Times New Roman" w:eastAsia="宋体" w:cs="Times New Roman"/>
                <w:color w:val="000000"/>
                <w:sz w:val="24"/>
                <w:highlight w:val="none"/>
              </w:rPr>
              <w:t xml:space="preserve">且</w:t>
            </w:r>
            <w:r>
              <w:rPr>
                <w:rFonts w:ascii="Times New Roman" w:hAnsi="Times New Roman" w:eastAsia="宋体" w:cs="Times New Roman"/>
                <w:color w:val="000000"/>
                <w:sz w:val="24"/>
                <w:highlight w:val="none"/>
              </w:rPr>
              <w:t xml:space="preserve">提供</w:t>
            </w:r>
            <w:r>
              <w:rPr>
                <w:rFonts w:hint="eastAsia" w:ascii="Times New Roman" w:hAnsi="Times New Roman" w:eastAsia="宋体" w:cs="Times New Roman"/>
                <w:color w:val="000000"/>
                <w:sz w:val="24"/>
                <w:highlight w:val="none"/>
              </w:rPr>
              <w:t xml:space="preserve">了</w:t>
            </w:r>
            <w:r>
              <w:rPr>
                <w:rFonts w:ascii="Times New Roman" w:hAnsi="Times New Roman" w:eastAsia="宋体" w:cs="Times New Roman"/>
                <w:color w:val="000000"/>
                <w:sz w:val="24"/>
                <w:highlight w:val="none"/>
              </w:rPr>
              <w:t xml:space="preserve">资质证书电子件</w:t>
            </w:r>
            <w:r>
              <w:rPr>
                <w:rFonts w:hint="eastAsia" w:ascii="Times New Roman" w:hAnsi="Times New Roman" w:eastAsia="宋体" w:cs="Times New Roman"/>
                <w:color w:val="000000"/>
                <w:sz w:val="24"/>
                <w:highlight w:val="none"/>
              </w:rPr>
              <w:t xml:space="preserve">（如有）</w:t>
            </w:r>
            <w:r>
              <w:rPr>
                <w:rFonts w:ascii="Times New Roman" w:hAnsi="Times New Roman" w:eastAsia="宋体" w:cs="Times New Roman"/>
                <w:color w:val="000000"/>
                <w:sz w:val="24"/>
                <w:highlight w:val="none"/>
              </w:rPr>
              <w:t xml:space="preserve">；</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10</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分包意向协议（如有）</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按招标文件规定签订并提供分包意向协议原件的电子件的；</w:t>
            </w:r>
            <w:r>
              <w:rPr>
                <w:rFonts w:hint="eastAsia" w:ascii="Times New Roman" w:hAnsi="Times New Roman" w:eastAsia="宋体" w:cs="Times New Roman"/>
                <w:color w:val="000000"/>
                <w:sz w:val="24"/>
                <w:highlight w:val="none"/>
              </w:rPr>
              <w:t xml:space="preserve">（如有）</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11</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报价的修正（如有）</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不涉及报价修正</w:t>
            </w:r>
            <w:r>
              <w:rPr>
                <w:rFonts w:ascii="Times New Roman" w:hAnsi="Times New Roman" w:eastAsia="宋体" w:cs="Times New Roman"/>
                <w:color w:val="000000"/>
                <w:sz w:val="24"/>
                <w:highlight w:val="none"/>
              </w:rPr>
              <w:t xml:space="preserve">，或投标文件报价出现前后不一致</w:t>
            </w:r>
            <w:r>
              <w:rPr>
                <w:rFonts w:hint="eastAsia" w:ascii="Times New Roman" w:hAnsi="Times New Roman" w:eastAsia="宋体" w:cs="Times New Roman"/>
                <w:color w:val="000000"/>
                <w:sz w:val="24"/>
                <w:highlight w:val="none"/>
              </w:rPr>
              <w:t xml:space="preserve">时</w:t>
            </w:r>
            <w:r>
              <w:rPr>
                <w:rFonts w:ascii="Times New Roman" w:hAnsi="Times New Roman" w:eastAsia="宋体" w:cs="Times New Roman"/>
                <w:color w:val="000000"/>
                <w:sz w:val="24"/>
                <w:highlight w:val="none"/>
              </w:rPr>
              <w:t xml:space="preserve">，投标人对修正后的报价予</w:t>
            </w:r>
            <w:r>
              <w:rPr>
                <w:rFonts w:hint="eastAsia" w:ascii="Times New Roman" w:hAnsi="Times New Roman" w:eastAsia="宋体" w:cs="Times New Roman"/>
                <w:color w:val="000000"/>
                <w:sz w:val="24"/>
                <w:highlight w:val="none"/>
              </w:rPr>
              <w:t xml:space="preserve">以</w:t>
            </w:r>
            <w:r>
              <w:rPr>
                <w:rFonts w:ascii="Times New Roman" w:hAnsi="Times New Roman" w:eastAsia="宋体" w:cs="Times New Roman"/>
                <w:color w:val="000000"/>
                <w:sz w:val="24"/>
                <w:highlight w:val="none"/>
              </w:rPr>
              <w:t xml:space="preserve">确认；（如有）</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12</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报价合理性</w:t>
            </w:r>
            <w:r/>
          </w:p>
        </w:tc>
        <w:tc>
          <w:tcPr>
            <w:tcW w:w="2403" w:type="dxa"/>
            <w:vAlign w:val="center"/>
            <w:textDirection w:val="lrTb"/>
            <w:noWrap w:val="false"/>
          </w:tcPr>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1.投标（响应）报价低于全部通过符合性审查供应商投标（响应）报价平均值</w:t>
            </w:r>
            <w:r>
              <w:rPr>
                <w:rFonts w:hint="eastAsia" w:ascii="Times New Roman" w:hAnsi="Times New Roman" w:eastAsia="宋体" w:cs="Times New Roman"/>
                <w:color w:val="000000"/>
                <w:sz w:val="24"/>
                <w:highlight w:val="none"/>
                <w:lang w:val="en-US" w:eastAsia="zh-CN"/>
              </w:rPr>
              <w:t xml:space="preserve">50</w:t>
            </w:r>
            <w:r>
              <w:rPr>
                <w:rFonts w:hint="eastAsia" w:ascii="Times New Roman" w:hAnsi="Times New Roman" w:eastAsia="宋体" w:cs="Times New Roman"/>
                <w:color w:val="000000"/>
                <w:sz w:val="24"/>
                <w:highlight w:val="none"/>
              </w:rPr>
              <w:t xml:space="preserve">%的，即投标（响应）报价&lt;全部通过符合性审查供应商投标（响应）报价平均值×</w:t>
            </w:r>
            <w:r>
              <w:rPr>
                <w:rFonts w:hint="eastAsia" w:ascii="Times New Roman" w:hAnsi="Times New Roman" w:eastAsia="宋体" w:cs="Times New Roman"/>
                <w:color w:val="000000"/>
                <w:sz w:val="24"/>
                <w:highlight w:val="none"/>
                <w:lang w:val="en-US" w:eastAsia="zh-CN"/>
              </w:rPr>
              <w:t xml:space="preserve">50</w:t>
            </w:r>
            <w:r>
              <w:rPr>
                <w:rFonts w:hint="eastAsia" w:ascii="Times New Roman" w:hAnsi="Times New Roman" w:eastAsia="宋体" w:cs="Times New Roman"/>
                <w:color w:val="000000"/>
                <w:sz w:val="24"/>
                <w:highlight w:val="none"/>
              </w:rPr>
              <w:t xml:space="preserve">%；</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2.投标（响应）报价低于通过符合性审查的次低报价供应商投标（响应）报价</w:t>
            </w:r>
            <w:r>
              <w:rPr>
                <w:rFonts w:hint="eastAsia" w:ascii="Times New Roman" w:hAnsi="Times New Roman" w:eastAsia="宋体" w:cs="Times New Roman"/>
                <w:color w:val="000000"/>
                <w:sz w:val="24"/>
                <w:highlight w:val="none"/>
                <w:lang w:val="en-US" w:eastAsia="zh-CN"/>
              </w:rPr>
              <w:t xml:space="preserve">50</w:t>
            </w:r>
            <w:r>
              <w:rPr>
                <w:rFonts w:hint="eastAsia" w:ascii="Times New Roman" w:hAnsi="Times New Roman" w:eastAsia="宋体" w:cs="Times New Roman"/>
                <w:color w:val="000000"/>
                <w:sz w:val="24"/>
                <w:highlight w:val="none"/>
              </w:rPr>
              <w:t xml:space="preserve">%的，即投标（响应）报价&lt;通过符合性审查的次低报价供应商投标（响应）报价×</w:t>
            </w:r>
            <w:r>
              <w:rPr>
                <w:rFonts w:hint="eastAsia" w:ascii="Times New Roman" w:hAnsi="Times New Roman" w:eastAsia="宋体" w:cs="Times New Roman"/>
                <w:color w:val="000000"/>
                <w:sz w:val="24"/>
                <w:highlight w:val="none"/>
                <w:lang w:val="en-US" w:eastAsia="zh-CN"/>
              </w:rPr>
              <w:t xml:space="preserve">50</w:t>
            </w:r>
            <w:r>
              <w:rPr>
                <w:rFonts w:hint="eastAsia" w:ascii="Times New Roman" w:hAnsi="Times New Roman" w:eastAsia="宋体" w:cs="Times New Roman"/>
                <w:color w:val="000000"/>
                <w:sz w:val="24"/>
                <w:highlight w:val="none"/>
              </w:rPr>
              <w:t xml:space="preserve">%；</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3.投标（响应）报价低于采购项目最高限价</w:t>
            </w:r>
            <w:r>
              <w:rPr>
                <w:rFonts w:hint="eastAsia" w:ascii="Times New Roman" w:hAnsi="Times New Roman" w:eastAsia="宋体" w:cs="Times New Roman"/>
                <w:color w:val="000000"/>
                <w:sz w:val="24"/>
                <w:highlight w:val="none"/>
                <w:lang w:val="en-US" w:eastAsia="zh-CN"/>
              </w:rPr>
              <w:t xml:space="preserve">45</w:t>
            </w:r>
            <w:r>
              <w:rPr>
                <w:rFonts w:hint="eastAsia" w:ascii="Times New Roman" w:hAnsi="Times New Roman" w:eastAsia="宋体" w:cs="Times New Roman"/>
                <w:color w:val="000000"/>
                <w:sz w:val="24"/>
                <w:highlight w:val="none"/>
              </w:rPr>
              <w:t xml:space="preserve">%的，即投标（响应）报价&lt;采购项目最高限价×</w:t>
            </w:r>
            <w:r>
              <w:rPr>
                <w:rFonts w:hint="eastAsia" w:ascii="Times New Roman" w:hAnsi="Times New Roman" w:eastAsia="宋体" w:cs="Times New Roman"/>
                <w:color w:val="000000"/>
                <w:sz w:val="24"/>
                <w:highlight w:val="none"/>
                <w:lang w:val="en-US" w:eastAsia="zh-CN"/>
              </w:rPr>
              <w:t xml:space="preserve">45</w:t>
            </w:r>
            <w:r>
              <w:rPr>
                <w:rFonts w:hint="eastAsia" w:ascii="Times New Roman" w:hAnsi="Times New Roman" w:eastAsia="宋体" w:cs="Times New Roman"/>
                <w:color w:val="000000"/>
                <w:sz w:val="24"/>
                <w:highlight w:val="none"/>
              </w:rPr>
              <w:t xml:space="preserve">%；</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4.评审委员会基于专业判断，认为供应商报价过低，有可能影响产品质量或者不能诚信履约的其他情形。</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13</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进口产品</w:t>
            </w:r>
            <w:r/>
          </w:p>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（如有）</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宋体" w:hAnsi="宋体" w:eastAsia="宋体" w:cs="Times New Roman"/>
                <w:color w:val="000000"/>
                <w:sz w:val="24"/>
                <w:highlight w:val="none"/>
              </w:rPr>
              <w:t xml:space="preserve">招标文件</w:t>
            </w:r>
            <w:r>
              <w:rPr>
                <w:rFonts w:ascii="宋体" w:hAnsi="宋体" w:eastAsia="宋体" w:cs="Times New Roman"/>
                <w:color w:val="000000"/>
                <w:sz w:val="24"/>
                <w:highlight w:val="none"/>
              </w:rPr>
              <w:t xml:space="preserve">不接受进口产品投标</w:t>
            </w:r>
            <w:r>
              <w:rPr>
                <w:rFonts w:hint="eastAsia" w:ascii="宋体" w:hAnsi="宋体" w:eastAsia="宋体" w:cs="Times New Roman"/>
                <w:color w:val="000000"/>
                <w:sz w:val="24"/>
                <w:highlight w:val="none"/>
              </w:rPr>
              <w:t xml:space="preserve">的内容时</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投标人所投产品为非进口产品；</w:t>
            </w:r>
            <w:r/>
          </w:p>
        </w:tc>
        <w:tc>
          <w:tcPr>
            <w:tcW w:w="1168" w:type="dxa"/>
            <w:vAlign w:val="center"/>
            <w:textDirection w:val="lrTb"/>
            <w:noWrap w:val="false"/>
          </w:tcPr>
          <w:p>
            <w:pPr>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14</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国家有关部门对投标人的投标产品有强制性规定或要求的</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国家有关部门对投标人的投标产品有强制性规定或要求的，投标人的投标产品</w:t>
            </w:r>
            <w:r>
              <w:rPr>
                <w:rFonts w:hint="eastAsia" w:ascii="Times New Roman" w:hAnsi="Times New Roman" w:eastAsia="宋体" w:cs="Times New Roman"/>
                <w:color w:val="000000"/>
                <w:sz w:val="24"/>
                <w:highlight w:val="none"/>
              </w:rPr>
              <w:t xml:space="preserve">应</w:t>
            </w:r>
            <w:r>
              <w:rPr>
                <w:rFonts w:ascii="Times New Roman" w:hAnsi="Times New Roman" w:eastAsia="宋体" w:cs="Times New Roman"/>
                <w:color w:val="000000"/>
                <w:sz w:val="24"/>
                <w:highlight w:val="none"/>
              </w:rPr>
              <w:t xml:space="preserve">符合相应规定或要求</w:t>
            </w:r>
            <w:r>
              <w:rPr>
                <w:rFonts w:hint="eastAsia" w:ascii="Times New Roman" w:hAnsi="Times New Roman" w:eastAsia="宋体" w:cs="Times New Roman"/>
                <w:color w:val="000000"/>
                <w:sz w:val="24"/>
                <w:highlight w:val="none"/>
              </w:rPr>
              <w:t xml:space="preserve">，并提供证明文件电子件：</w:t>
            </w:r>
            <w:r/>
          </w:p>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15</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公平竞争</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16</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串通投标</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eastAsia="宋体" w:cs="Times New Roman"/>
                <w:color w:val="000000"/>
                <w:sz w:val="24"/>
                <w:highlight w:val="none"/>
              </w:rPr>
              <w:t xml:space="preserve">（包含使用同一MAC地址的计算机制作电子响应文件的情形）</w:t>
            </w:r>
            <w:r>
              <w:rPr>
                <w:rFonts w:hint="eastAsia" w:ascii="Times New Roman" w:hAnsi="Times New Roman" w:eastAsia="宋体" w:cs="Times New Roman"/>
                <w:color w:val="000000"/>
                <w:sz w:val="24"/>
                <w:highlight w:val="none"/>
              </w:rPr>
              <w:t xml:space="preserve">；（二）不同投标人委托同一单位或者个人办理投标事宜</w:t>
            </w:r>
            <w:r>
              <w:rPr>
                <w:rFonts w:hint="eastAsia" w:ascii="宋体" w:hAnsi="宋体" w:eastAsia="宋体" w:cs="Times New Roman"/>
                <w:color w:val="000000"/>
                <w:sz w:val="24"/>
                <w:highlight w:val="none"/>
              </w:rPr>
              <w:t xml:space="preserve">（包含使用同一MAC地址的计算机提交或者解密电子响应文件的情形）</w:t>
            </w:r>
            <w:r>
              <w:rPr>
                <w:rFonts w:hint="eastAsia" w:ascii="Times New Roman" w:hAnsi="Times New Roman" w:eastAsia="宋体" w:cs="Times New Roman"/>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eastAsia="宋体" w:cs="Times New Roman"/>
                <w:color w:val="000000"/>
                <w:sz w:val="24"/>
                <w:highlight w:val="none"/>
              </w:rPr>
              <w:t xml:space="preserve">；</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17</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附加条件</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w:t>
            </w: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含有采购人不能接受的附加条件的；</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8</w:t>
            </w:r>
            <w:r/>
          </w:p>
        </w:tc>
        <w:tc>
          <w:tcPr>
            <w:tcW w:w="946"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其他无效情形</w:t>
            </w:r>
            <w:r/>
          </w:p>
        </w:tc>
        <w:tc>
          <w:tcPr>
            <w:tcW w:w="2403"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投标人、投标文件</w:t>
            </w:r>
            <w:r>
              <w:rPr>
                <w:rFonts w:hint="eastAsia" w:ascii="Times New Roman" w:hAnsi="Times New Roman" w:eastAsia="宋体" w:cs="Times New Roman"/>
                <w:color w:val="000000"/>
                <w:sz w:val="24"/>
                <w:highlight w:val="none"/>
              </w:rPr>
              <w:t xml:space="preserve">不存在</w:t>
            </w:r>
            <w:r>
              <w:rPr>
                <w:rFonts w:ascii="Times New Roman" w:hAnsi="Times New Roman" w:eastAsia="宋体" w:cs="Times New Roman"/>
                <w:color w:val="000000"/>
                <w:sz w:val="24"/>
                <w:highlight w:val="none"/>
              </w:rPr>
              <w:t xml:space="preserve">不符合法律、法规和招标文件规定的其他无效情形。</w:t>
            </w:r>
            <w:r/>
          </w:p>
        </w:tc>
        <w:tc>
          <w:tcPr>
            <w:tcW w:w="1168" w:type="dxa"/>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ind w:firstLine="602"/>
        <w:spacing w:line="360" w:lineRule="auto"/>
        <w:tabs>
          <w:tab w:val="left" w:pos="360" w:leader="none"/>
        </w:tabs>
        <w:rPr>
          <w:rFonts w:ascii="Times New Roman" w:hAnsi="Times New Roman" w:eastAsia="宋体" w:cs="Times New Roman"/>
          <w:b/>
          <w:color w:val="000000"/>
          <w:sz w:val="30"/>
          <w:szCs w:val="30"/>
          <w:highlight w:val="none"/>
        </w:rPr>
        <w:outlineLvl w:val="1"/>
      </w:pPr>
      <w:r>
        <w:rPr>
          <w:rFonts w:hint="eastAsia" w:ascii="Times New Roman" w:hAnsi="Times New Roman" w:eastAsia="宋体" w:cs="Times New Roman"/>
          <w:b/>
          <w:color w:val="000000"/>
          <w:sz w:val="30"/>
          <w:szCs w:val="30"/>
          <w:highlight w:val="none"/>
        </w:rPr>
        <w:t xml:space="preserve">二、</w:t>
      </w:r>
      <w:r>
        <w:rPr>
          <w:rFonts w:ascii="Times New Roman" w:hAnsi="Times New Roman" w:eastAsia="宋体" w:cs="Times New Roman"/>
          <w:b/>
          <w:color w:val="000000"/>
          <w:sz w:val="30"/>
          <w:szCs w:val="30"/>
          <w:highlight w:val="none"/>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（一）</w:t>
      </w:r>
      <w:r>
        <w:rPr>
          <w:rFonts w:ascii="Times New Roman" w:hAnsi="Times New Roman" w:eastAsia="宋体" w:cs="Times New Roman"/>
          <w:color w:val="000000"/>
          <w:sz w:val="24"/>
          <w:highlight w:val="none"/>
        </w:rPr>
        <w:t xml:space="preserve">评标过程中，评标委员会将</w:t>
      </w:r>
      <w:r>
        <w:rPr>
          <w:rFonts w:hint="eastAsia" w:ascii="Times New Roman" w:hAnsi="Times New Roman" w:eastAsia="宋体" w:cs="Times New Roman"/>
          <w:color w:val="000000"/>
          <w:sz w:val="24"/>
          <w:highlight w:val="none"/>
        </w:rPr>
        <w:t xml:space="preserve">通过苏采云系统</w:t>
      </w:r>
      <w:r>
        <w:rPr>
          <w:rFonts w:ascii="Times New Roman" w:hAnsi="Times New Roman" w:eastAsia="宋体" w:cs="Times New Roman"/>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eastAsia="宋体" w:cs="Times New Roman"/>
          <w:color w:val="000000"/>
          <w:sz w:val="24"/>
          <w:highlight w:val="none"/>
        </w:rPr>
        <w:t xml:space="preserve">电子</w:t>
      </w:r>
      <w:r>
        <w:rPr>
          <w:rFonts w:ascii="Times New Roman" w:hAnsi="Times New Roman" w:eastAsia="宋体" w:cs="Times New Roman"/>
          <w:color w:val="000000"/>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（二）</w:t>
      </w:r>
      <w:r>
        <w:rPr>
          <w:rFonts w:ascii="Times New Roman" w:hAnsi="Times New Roman" w:eastAsia="宋体" w:cs="Times New Roman"/>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eastAsia="宋体" w:cs="Times New Roman"/>
          <w:color w:val="000000"/>
          <w:sz w:val="24"/>
          <w:highlight w:val="none"/>
        </w:rPr>
        <w:t xml:space="preserve">规定</w:t>
      </w:r>
      <w:r>
        <w:rPr>
          <w:rFonts w:ascii="Times New Roman" w:hAnsi="Times New Roman" w:eastAsia="宋体" w:cs="Times New Roman"/>
          <w:color w:val="000000"/>
          <w:sz w:val="24"/>
          <w:highlight w:val="none"/>
        </w:rPr>
        <w:t xml:space="preserve">的时间内对此进行书面确认，投标人不确认的，视为将一个采购包中的内容拆开投标，其</w:t>
      </w:r>
      <w:r>
        <w:rPr>
          <w:rFonts w:ascii="Times New Roman" w:hAnsi="Times New Roman" w:eastAsia="宋体" w:cs="Times New Roman"/>
          <w:b/>
          <w:color w:val="000000"/>
          <w:sz w:val="24"/>
          <w:highlight w:val="none"/>
        </w:rPr>
        <w:t xml:space="preserve">投标无效</w:t>
      </w:r>
      <w:r>
        <w:rPr>
          <w:rFonts w:ascii="Times New Roman" w:hAnsi="Times New Roman" w:eastAsia="宋体" w:cs="Times New Roman"/>
          <w:color w:val="000000"/>
          <w:sz w:val="24"/>
          <w:highlight w:val="none"/>
        </w:rPr>
        <w:t xml:space="preserve">。</w:t>
      </w:r>
      <w:r/>
    </w:p>
    <w:p>
      <w:pPr>
        <w:ind w:firstLine="48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w:t>
      </w:r>
      <w:r>
        <w:rPr>
          <w:rFonts w:hint="eastAsia" w:ascii="Symbol" w:hAnsi="Symbol" w:eastAsia="宋体" w:cs="Symbol"/>
          <w:color w:val="000000"/>
          <w:sz w:val="24"/>
          <w:highlight w:val="none"/>
        </w:rPr>
        <w:t xml:space="preserve">三</w:t>
      </w:r>
      <w:r>
        <w:rPr>
          <w:rFonts w:ascii="Symbol" w:hAnsi="Symbol" w:eastAsia="宋体" w:cs="Symbol"/>
          <w:color w:val="000000"/>
          <w:sz w:val="24"/>
          <w:highlight w:val="none"/>
        </w:rPr>
        <w:t xml:space="preserve">）</w:t>
      </w:r>
      <w:r>
        <w:rPr>
          <w:rFonts w:ascii="Times New Roman" w:hAnsi="Times New Roman" w:eastAsia="宋体" w:cs="Times New Roman"/>
          <w:color w:val="000000"/>
          <w:sz w:val="24"/>
          <w:highlight w:val="none"/>
        </w:rPr>
        <w:t xml:space="preserve">投标文件报价出现前后不一致的，按照</w:t>
      </w:r>
      <w:r>
        <w:rPr>
          <w:rFonts w:hint="eastAsia" w:ascii="Times New Roman" w:hAnsi="Times New Roman" w:eastAsia="宋体" w:cs="Times New Roman"/>
          <w:color w:val="000000"/>
          <w:sz w:val="24"/>
          <w:highlight w:val="none"/>
        </w:rPr>
        <w:t xml:space="preserve">第二章2</w:t>
      </w:r>
      <w:r>
        <w:rPr>
          <w:rFonts w:ascii="Times New Roman" w:hAnsi="Times New Roman" w:eastAsia="宋体" w:cs="Times New Roman"/>
          <w:color w:val="000000"/>
          <w:sz w:val="24"/>
          <w:highlight w:val="none"/>
        </w:rPr>
        <w:t xml:space="preserve">6</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4</w:t>
      </w:r>
      <w:r>
        <w:rPr>
          <w:rFonts w:hint="eastAsia" w:ascii="Times New Roman" w:hAnsi="Times New Roman" w:eastAsia="宋体" w:cs="Times New Roman"/>
          <w:color w:val="000000"/>
          <w:sz w:val="24"/>
          <w:highlight w:val="none"/>
        </w:rPr>
        <w:t xml:space="preserve">之</w:t>
      </w:r>
      <w:r>
        <w:rPr>
          <w:rFonts w:ascii="Times New Roman" w:hAnsi="Times New Roman" w:eastAsia="宋体" w:cs="Times New Roman"/>
          <w:color w:val="000000"/>
          <w:sz w:val="24"/>
          <w:highlight w:val="none"/>
        </w:rPr>
        <w:t xml:space="preserve">规定</w:t>
      </w:r>
      <w:r>
        <w:rPr>
          <w:rFonts w:hint="eastAsia" w:ascii="Times New Roman" w:hAnsi="Times New Roman" w:eastAsia="宋体" w:cs="Times New Roman"/>
          <w:color w:val="000000"/>
          <w:sz w:val="24"/>
          <w:highlight w:val="none"/>
        </w:rPr>
        <w:t xml:space="preserve">处理，</w:t>
      </w:r>
      <w:r>
        <w:rPr>
          <w:rFonts w:ascii="Times New Roman" w:hAnsi="Times New Roman" w:eastAsia="宋体" w:cs="Times New Roman"/>
          <w:color w:val="000000"/>
          <w:sz w:val="24"/>
          <w:highlight w:val="none"/>
        </w:rPr>
        <w:t xml:space="preserve">修正后的报价经投标人书面确认后产生约束力，投标人不确认的，其</w:t>
      </w:r>
      <w:r>
        <w:rPr>
          <w:rFonts w:ascii="Times New Roman" w:hAnsi="Times New Roman" w:eastAsia="宋体" w:cs="Times New Roman"/>
          <w:b/>
          <w:color w:val="000000"/>
          <w:sz w:val="24"/>
          <w:highlight w:val="none"/>
        </w:rPr>
        <w:t xml:space="preserve">投标无效</w:t>
      </w:r>
      <w:r>
        <w:rPr>
          <w:rFonts w:ascii="Times New Roman" w:hAnsi="Times New Roman" w:eastAsia="宋体" w:cs="Times New Roman"/>
          <w:color w:val="000000"/>
          <w:sz w:val="24"/>
          <w:highlight w:val="none"/>
        </w:rPr>
        <w:t xml:space="preserve">。</w:t>
      </w:r>
      <w:r/>
    </w:p>
    <w:p>
      <w:pPr>
        <w:ind w:firstLine="48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w:t>
      </w:r>
      <w:r>
        <w:rPr>
          <w:rFonts w:hint="eastAsia" w:ascii="Symbol" w:hAnsi="Symbol" w:eastAsia="宋体" w:cs="Symbol"/>
          <w:color w:val="000000"/>
          <w:sz w:val="24"/>
          <w:highlight w:val="none"/>
        </w:rPr>
        <w:t xml:space="preserve">四</w:t>
      </w:r>
      <w:r>
        <w:rPr>
          <w:rFonts w:ascii="Symbol" w:hAnsi="Symbol" w:eastAsia="宋体" w:cs="Symbol"/>
          <w:color w:val="000000"/>
          <w:sz w:val="24"/>
          <w:highlight w:val="none"/>
        </w:rPr>
        <w:t xml:space="preserve">）</w:t>
      </w:r>
      <w:r>
        <w:rPr>
          <w:rFonts w:ascii="Times New Roman" w:hAnsi="Times New Roman" w:eastAsia="宋体" w:cs="Times New Roman"/>
          <w:color w:val="000000"/>
          <w:sz w:val="24"/>
          <w:highlight w:val="none"/>
        </w:rPr>
        <w:t xml:space="preserve">落实政府采购政策的价格调整</w:t>
      </w:r>
      <w:bookmarkStart w:id="258" w:name="_Hlk149904856"/>
      <w:r>
        <w:rPr>
          <w:rFonts w:hint="eastAsia" w:ascii="Times New Roman" w:hAnsi="Times New Roman" w:eastAsia="宋体" w:cs="Times New Roman"/>
          <w:color w:val="000000"/>
          <w:sz w:val="24"/>
          <w:highlight w:val="none"/>
        </w:rPr>
        <w:t xml:space="preserve">：详见第三节评标办法中的</w:t>
      </w:r>
      <w:r>
        <w:rPr>
          <w:rFonts w:hint="eastAsia" w:ascii="宋体" w:hAnsi="宋体" w:eastAsia="宋体" w:cs="Times New Roman"/>
          <w:b/>
          <w:color w:val="000000"/>
          <w:sz w:val="24"/>
          <w:highlight w:val="none"/>
        </w:rPr>
        <w:t xml:space="preserve">政府采购政策功能落实。</w:t>
      </w:r>
      <w:bookmarkEnd w:id="258"/>
      <w:r/>
      <w:r/>
    </w:p>
    <w:p>
      <w:pPr>
        <w:ind w:firstLine="602"/>
        <w:spacing w:line="360" w:lineRule="auto"/>
        <w:tabs>
          <w:tab w:val="left" w:pos="360" w:leader="none"/>
        </w:tabs>
        <w:rPr>
          <w:rFonts w:ascii="Times New Roman" w:hAnsi="Times New Roman" w:eastAsia="宋体" w:cs="Times New Roman"/>
          <w:b/>
          <w:color w:val="000000"/>
          <w:sz w:val="30"/>
          <w:szCs w:val="30"/>
          <w:highlight w:val="none"/>
        </w:rPr>
        <w:outlineLvl w:val="1"/>
      </w:pPr>
      <w:r>
        <w:rPr>
          <w:rFonts w:hint="eastAsia" w:ascii="Times New Roman" w:hAnsi="Times New Roman" w:eastAsia="宋体" w:cs="Times New Roman"/>
          <w:b/>
          <w:color w:val="000000"/>
          <w:sz w:val="30"/>
          <w:szCs w:val="30"/>
          <w:highlight w:val="none"/>
        </w:rPr>
        <w:t xml:space="preserve">三、</w:t>
      </w:r>
      <w:r>
        <w:rPr>
          <w:rFonts w:ascii="Times New Roman" w:hAnsi="Times New Roman" w:eastAsia="宋体" w:cs="Times New Roman"/>
          <w:b/>
          <w:color w:val="000000"/>
          <w:sz w:val="30"/>
          <w:szCs w:val="30"/>
          <w:highlight w:val="none"/>
        </w:rPr>
        <w:t xml:space="preserve">投标文件的比较和评价</w:t>
      </w:r>
      <w:r/>
    </w:p>
    <w:p>
      <w:pPr>
        <w:ind w:firstLine="48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（一）</w:t>
      </w:r>
      <w:r>
        <w:rPr>
          <w:rFonts w:ascii="Times New Roman" w:hAnsi="Times New Roman" w:eastAsia="宋体" w:cs="Times New Roman"/>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（二）</w:t>
      </w:r>
      <w:r>
        <w:rPr>
          <w:rFonts w:ascii="Times New Roman" w:hAnsi="Times New Roman" w:eastAsia="宋体" w:cs="Times New Roman"/>
          <w:color w:val="000000"/>
          <w:sz w:val="24"/>
          <w:highlight w:val="none"/>
        </w:rPr>
        <w:t xml:space="preserve">评标方法和评标标准</w:t>
      </w:r>
      <w:r/>
    </w:p>
    <w:p>
      <w:pPr>
        <w:ind w:firstLine="480"/>
        <w:jc w:val="left"/>
        <w:spacing w:line="360" w:lineRule="auto"/>
        <w:widowControl/>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本项目采用的评标方法详见《</w:t>
      </w:r>
      <w:r>
        <w:rPr>
          <w:rFonts w:hint="eastAsia" w:ascii="Times New Roman" w:hAnsi="Times New Roman" w:eastAsia="宋体" w:cs="Times New Roman"/>
          <w:color w:val="000000"/>
          <w:sz w:val="24"/>
          <w:highlight w:val="none"/>
        </w:rPr>
        <w:t xml:space="preserve">第三节 评标方法</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本项目采用的评标标准详见《</w:t>
      </w:r>
      <w:r>
        <w:rPr>
          <w:rFonts w:hint="eastAsia" w:ascii="Times New Roman" w:hAnsi="Times New Roman" w:eastAsia="宋体" w:cs="Times New Roman"/>
          <w:color w:val="000000"/>
          <w:sz w:val="24"/>
          <w:highlight w:val="none"/>
        </w:rPr>
        <w:t xml:space="preserve">第四节 评标标准</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w:t>
      </w:r>
      <w:r/>
    </w:p>
    <w:p>
      <w:pPr>
        <w:ind w:firstLine="602"/>
        <w:spacing w:line="360" w:lineRule="auto"/>
        <w:tabs>
          <w:tab w:val="left" w:pos="360" w:leader="none"/>
        </w:tabs>
        <w:rPr>
          <w:rFonts w:ascii="Times New Roman" w:hAnsi="Times New Roman" w:eastAsia="宋体" w:cs="Times New Roman"/>
          <w:b/>
          <w:color w:val="000000"/>
          <w:sz w:val="30"/>
          <w:szCs w:val="30"/>
          <w:highlight w:val="none"/>
        </w:rPr>
        <w:outlineLvl w:val="1"/>
      </w:pPr>
      <w:r>
        <w:rPr>
          <w:rFonts w:hint="eastAsia" w:ascii="Times New Roman" w:hAnsi="Times New Roman" w:eastAsia="宋体" w:cs="Times New Roman"/>
          <w:b/>
          <w:color w:val="000000"/>
          <w:sz w:val="30"/>
          <w:szCs w:val="30"/>
          <w:highlight w:val="none"/>
        </w:rPr>
        <w:t xml:space="preserve">四、</w:t>
      </w:r>
      <w:r>
        <w:rPr>
          <w:rFonts w:ascii="Times New Roman" w:hAnsi="Times New Roman" w:eastAsia="宋体" w:cs="Times New Roman"/>
          <w:b/>
          <w:color w:val="000000"/>
          <w:sz w:val="30"/>
          <w:szCs w:val="30"/>
          <w:highlight w:val="none"/>
        </w:rPr>
        <w:t xml:space="preserve">确定</w:t>
      </w:r>
      <w:bookmarkStart w:id="259" w:name="_Toc195842911"/>
      <w:r/>
      <w:bookmarkStart w:id="260" w:name="_Toc151193716"/>
      <w:r/>
      <w:bookmarkStart w:id="261" w:name="_Toc164229387"/>
      <w:r/>
      <w:bookmarkStart w:id="262" w:name="_Toc305158888"/>
      <w:r/>
      <w:bookmarkStart w:id="263" w:name="_Toc150774751"/>
      <w:r/>
      <w:bookmarkStart w:id="264" w:name="_Toc226337242"/>
      <w:r/>
      <w:bookmarkStart w:id="265" w:name="_Toc151190173"/>
      <w:r/>
      <w:bookmarkStart w:id="266" w:name="_Toc520356170"/>
      <w:r/>
      <w:bookmarkStart w:id="267" w:name="_Toc149720839"/>
      <w:r/>
      <w:bookmarkStart w:id="268" w:name="_Toc151193860"/>
      <w:r/>
      <w:bookmarkStart w:id="269" w:name="_Toc150774646"/>
      <w:r/>
      <w:bookmarkStart w:id="270" w:name="_Toc127161460"/>
      <w:r/>
      <w:bookmarkStart w:id="271" w:name="_Toc264969236"/>
      <w:r/>
      <w:bookmarkStart w:id="272" w:name="_Toc151193934"/>
      <w:r/>
      <w:bookmarkStart w:id="273" w:name="_Toc142311048"/>
      <w:r/>
      <w:bookmarkStart w:id="274" w:name="_Toc150480784"/>
      <w:r/>
      <w:bookmarkStart w:id="275" w:name="_Toc150509297"/>
      <w:r/>
      <w:bookmarkStart w:id="276" w:name="_Toc226965736"/>
      <w:r/>
      <w:bookmarkStart w:id="277" w:name="_Toc226965819"/>
      <w:r/>
      <w:bookmarkStart w:id="278" w:name="_Toc151193788"/>
      <w:r/>
      <w:bookmarkStart w:id="279" w:name="_Toc127151546"/>
      <w:r/>
      <w:bookmarkStart w:id="280" w:name="_Toc305158814"/>
      <w:r/>
      <w:bookmarkStart w:id="281" w:name="_Toc164351640"/>
      <w:r/>
      <w:bookmarkStart w:id="282" w:name="_Toc226309790"/>
      <w:r/>
      <w:bookmarkStart w:id="283" w:name="_Toc127151747"/>
      <w:r/>
      <w:bookmarkStart w:id="284" w:name="_Toc265228384"/>
      <w:r/>
      <w:bookmarkStart w:id="285" w:name="_Toc164608660"/>
      <w:r/>
      <w:bookmarkStart w:id="286" w:name="_Ref467307010"/>
      <w:r/>
      <w:bookmarkStart w:id="287" w:name="_Toc151193644"/>
      <w:r/>
      <w:bookmarkStart w:id="288" w:name="_Toc164608815"/>
      <w:r/>
      <w:bookmarkStart w:id="289" w:name="_Toc164229241"/>
      <w:r>
        <w:rPr>
          <w:rFonts w:ascii="Times New Roman" w:hAnsi="Times New Roman" w:eastAsia="宋体" w:cs="Times New Roman"/>
          <w:b/>
          <w:color w:val="000000"/>
          <w:sz w:val="30"/>
          <w:szCs w:val="30"/>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（一）</w:t>
      </w:r>
      <w:r>
        <w:rPr>
          <w:rFonts w:ascii="Times New Roman" w:hAnsi="Times New Roman" w:eastAsia="宋体" w:cs="Times New Roman"/>
          <w:color w:val="000000"/>
          <w:sz w:val="24"/>
          <w:highlight w:val="none"/>
        </w:rPr>
        <w:t xml:space="preserve">评标委员会要对评分汇总情况进行复核，特别是对排名第一的、报价最低的、投标或</w:t>
      </w:r>
      <w:r>
        <w:rPr>
          <w:rFonts w:hint="eastAsia" w:ascii="Times New Roman" w:hAnsi="Times New Roman" w:eastAsia="宋体" w:cs="Times New Roman"/>
          <w:color w:val="000000"/>
          <w:sz w:val="24"/>
          <w:highlight w:val="none"/>
        </w:rPr>
        <w:t xml:space="preserve">响应</w:t>
      </w:r>
      <w:r>
        <w:rPr>
          <w:rFonts w:ascii="Times New Roman" w:hAnsi="Times New Roman" w:eastAsia="宋体" w:cs="Times New Roman"/>
          <w:color w:val="000000"/>
          <w:sz w:val="24"/>
          <w:highlight w:val="none"/>
        </w:rPr>
        <w:t xml:space="preserve">文件被认定为无效的情形进行重点复核。</w:t>
      </w:r>
      <w:r/>
    </w:p>
    <w:p>
      <w:pPr>
        <w:ind w:firstLine="48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（二）</w:t>
      </w:r>
      <w:r>
        <w:rPr>
          <w:rFonts w:ascii="Times New Roman" w:hAnsi="Times New Roman" w:eastAsia="宋体" w:cs="Times New Roman"/>
          <w:color w:val="000000"/>
          <w:sz w:val="24"/>
          <w:highlight w:val="none"/>
        </w:rPr>
        <w:t xml:space="preserve">评标委员会将根据各投标人的评标排序，依次推荐本项目（</w:t>
      </w:r>
      <w:r>
        <w:rPr>
          <w:rFonts w:hint="eastAsia" w:ascii="Times New Roman" w:hAnsi="Times New Roman" w:eastAsia="宋体" w:cs="Times New Roman"/>
          <w:color w:val="000000"/>
          <w:sz w:val="24"/>
          <w:highlight w:val="none"/>
        </w:rPr>
        <w:t xml:space="preserve">各</w:t>
      </w:r>
      <w:r>
        <w:rPr>
          <w:rFonts w:ascii="Times New Roman" w:hAnsi="Times New Roman" w:eastAsia="宋体" w:cs="Times New Roman"/>
          <w:color w:val="000000"/>
          <w:sz w:val="24"/>
          <w:highlight w:val="none"/>
        </w:rPr>
        <w:t xml:space="preserve">采购包）的中标候选人，起草并签署评标报告。本项目（</w:t>
      </w:r>
      <w:r>
        <w:rPr>
          <w:rFonts w:hint="eastAsia" w:ascii="Times New Roman" w:hAnsi="Times New Roman" w:eastAsia="宋体" w:cs="Times New Roman"/>
          <w:color w:val="000000"/>
          <w:sz w:val="24"/>
          <w:highlight w:val="none"/>
        </w:rPr>
        <w:t xml:space="preserve">各标段或</w:t>
      </w:r>
      <w:r>
        <w:rPr>
          <w:rFonts w:ascii="Times New Roman" w:hAnsi="Times New Roman" w:eastAsia="宋体" w:cs="Times New Roman"/>
          <w:color w:val="000000"/>
          <w:sz w:val="24"/>
          <w:highlight w:val="none"/>
        </w:rPr>
        <w:t xml:space="preserve">采购包）评标委员会共（各）推荐</w:t>
      </w:r>
      <w:r>
        <w:rPr>
          <w:rFonts w:hint="eastAsia" w:ascii="Times New Roman" w:hAnsi="Times New Roman" w:eastAsia="宋体" w:cs="Times New Roman"/>
          <w:color w:val="000000"/>
          <w:sz w:val="24"/>
          <w:highlight w:val="none"/>
        </w:rPr>
        <w:t xml:space="preserve">不少于3</w:t>
      </w:r>
      <w:r>
        <w:rPr>
          <w:rFonts w:ascii="Times New Roman" w:hAnsi="Times New Roman" w:eastAsia="宋体" w:cs="Times New Roman"/>
          <w:color w:val="000000"/>
          <w:sz w:val="24"/>
          <w:highlight w:val="none"/>
        </w:rPr>
        <w:t xml:space="preserve">名中标候选人。</w:t>
      </w:r>
      <w:r/>
    </w:p>
    <w:p>
      <w:pPr>
        <w:ind w:firstLine="602"/>
        <w:spacing w:line="360" w:lineRule="auto"/>
        <w:tabs>
          <w:tab w:val="left" w:pos="360" w:leader="none"/>
        </w:tabs>
        <w:rPr>
          <w:rFonts w:ascii="Times New Roman" w:hAnsi="Times New Roman" w:eastAsia="宋体" w:cs="Times New Roman"/>
          <w:b/>
          <w:color w:val="000000"/>
          <w:sz w:val="30"/>
          <w:szCs w:val="30"/>
          <w:highlight w:val="none"/>
        </w:rPr>
        <w:outlineLvl w:val="1"/>
      </w:pPr>
      <w:r>
        <w:rPr>
          <w:rFonts w:hint="eastAsia" w:ascii="Times New Roman" w:hAnsi="Times New Roman" w:eastAsia="宋体" w:cs="Times New Roman"/>
          <w:b/>
          <w:color w:val="000000"/>
          <w:sz w:val="30"/>
          <w:szCs w:val="30"/>
          <w:highlight w:val="none"/>
        </w:rPr>
        <w:t xml:space="preserve">五、</w:t>
      </w:r>
      <w:r>
        <w:rPr>
          <w:rFonts w:ascii="Times New Roman" w:hAnsi="Times New Roman" w:eastAsia="宋体" w:cs="Times New Roman"/>
          <w:b/>
          <w:color w:val="000000"/>
          <w:sz w:val="30"/>
          <w:szCs w:val="30"/>
          <w:highlight w:val="none"/>
        </w:rPr>
        <w:t xml:space="preserve">报告违法行为</w:t>
      </w:r>
      <w:r/>
    </w:p>
    <w:p>
      <w:pPr>
        <w:ind w:firstLine="480"/>
        <w:spacing w:line="360" w:lineRule="auto"/>
        <w:tabs>
          <w:tab w:val="left" w:pos="1080" w:leader="none"/>
          <w:tab w:val="left" w:pos="1589" w:leader="none"/>
        </w:tabs>
        <w:rPr>
          <w:rFonts w:hint="eastAsia" w:ascii="Times New Roman" w:hAnsi="Times New Roman" w:eastAsia="宋体" w:cs="Times New Roman"/>
          <w:color w:val="000000"/>
          <w:sz w:val="24"/>
          <w:highlight w:val="none"/>
        </w:rPr>
      </w:pPr>
      <w:r>
        <w:rPr>
          <w:rFonts w:ascii="Symbol" w:hAnsi="Symbol" w:eastAsia="宋体" w:cs="Symbol"/>
          <w:color w:val="000000"/>
          <w:sz w:val="24"/>
          <w:highlight w:val="none"/>
        </w:rPr>
        <w:t xml:space="preserve">（一）</w:t>
      </w:r>
      <w:r>
        <w:rPr>
          <w:rFonts w:ascii="Times New Roman" w:hAnsi="Times New Roman" w:eastAsia="宋体" w:cs="Times New Roman"/>
          <w:color w:val="000000"/>
          <w:sz w:val="24"/>
          <w:highlight w:val="none"/>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t xml:space="preserve">第三节 评标方法</w:t>
      </w:r>
      <w:r/>
    </w:p>
    <w:p>
      <w:pPr>
        <w:ind w:firstLine="480"/>
        <w:spacing w:line="360" w:lineRule="auto"/>
        <w:tabs>
          <w:tab w:val="left" w:pos="360" w:leader="none"/>
        </w:tabs>
        <w:rPr>
          <w:rFonts w:ascii="Times New Roman" w:hAnsi="Times New Roman" w:eastAsia="宋体" w:cs="Times New Roman"/>
          <w:color w:val="000000"/>
          <w:sz w:val="24"/>
          <w:highlight w:val="none"/>
        </w:rPr>
        <w:outlineLvl w:val="1"/>
      </w:pPr>
      <w:r>
        <w:rPr>
          <w:rFonts w:hint="eastAsia" w:ascii="Times New Roman" w:hAnsi="Times New Roman" w:eastAsia="宋体" w:cs="Times New Roman"/>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Times New Roman" w:hAnsi="Times New Roman" w:eastAsia="宋体" w:cs="Times New Roman"/>
          <w:color w:val="000000"/>
          <w:sz w:val="24"/>
          <w:highlight w:val="none"/>
        </w:rPr>
        <w:outlineLvl w:val="1"/>
      </w:pPr>
      <w:r>
        <w:rPr>
          <w:rFonts w:hint="eastAsia" w:ascii="Times New Roman" w:hAnsi="Times New Roman" w:eastAsia="宋体" w:cs="Times New Roman"/>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eastAsia="宋体" w:cs="Times New Roman"/>
          <w:color w:val="000000"/>
          <w:sz w:val="24"/>
          <w:highlight w:val="none"/>
        </w:rPr>
        <w:outlineLvl w:val="1"/>
      </w:pPr>
      <w:r>
        <w:rPr>
          <w:rFonts w:hint="eastAsia" w:ascii="Times New Roman" w:hAnsi="Times New Roman" w:eastAsia="宋体" w:cs="Times New Roman"/>
          <w:color w:val="000000"/>
          <w:sz w:val="24"/>
          <w:highlight w:val="none"/>
        </w:rPr>
        <w:t xml:space="preserve">三、每部分的得分保留小数点后两位，合计得分保留小数点后两位</w:t>
      </w:r>
      <w:r>
        <w:rPr>
          <w:rFonts w:ascii="Times New Roman" w:hAnsi="Times New Roman" w:eastAsia="宋体" w:cs="Times New Roman"/>
          <w:color w:val="000000"/>
          <w:sz w:val="24"/>
          <w:highlight w:val="none"/>
        </w:rPr>
        <w:t xml:space="preserve">，第三位四舍五入</w:t>
      </w:r>
      <w:r>
        <w:rPr>
          <w:rFonts w:hint="eastAsia" w:ascii="Times New Roman" w:hAnsi="Times New Roman" w:eastAsia="宋体" w:cs="Times New Roman"/>
          <w:color w:val="000000"/>
          <w:sz w:val="24"/>
          <w:highlight w:val="none"/>
        </w:rPr>
        <w:t xml:space="preserve">。</w:t>
      </w:r>
      <w:r/>
    </w:p>
    <w:p>
      <w:pPr>
        <w:ind w:firstLine="441"/>
        <w:jc w:val="left"/>
        <w:spacing w:line="360" w:lineRule="auto"/>
        <w:rPr>
          <w:rFonts w:hint="eastAsia" w:ascii="宋体" w:hAnsi="宋体" w:eastAsia="宋体" w:cs="Times New Roman"/>
          <w:b/>
          <w:color w:val="000000"/>
          <w:sz w:val="24"/>
          <w:highlight w:val="none"/>
        </w:rPr>
      </w:pPr>
      <w:r/>
      <w:bookmarkStart w:id="290" w:name="_Hlk149904248"/>
      <w:r>
        <w:rPr>
          <w:rFonts w:hint="eastAsia" w:ascii="宋体" w:hAnsi="宋体" w:eastAsia="宋体" w:cs="Times New Roman"/>
          <w:b/>
          <w:color w:val="000000"/>
          <w:sz w:val="24"/>
          <w:highlight w:val="none"/>
        </w:rPr>
        <w:t xml:space="preserve">四、政府采购政策功能落实</w:t>
      </w:r>
      <w:r/>
    </w:p>
    <w:p>
      <w:pPr>
        <w:ind w:firstLine="480"/>
        <w:jc w:val="left"/>
        <w:spacing w:line="360" w:lineRule="auto"/>
        <w:rPr>
          <w:rFonts w:hint="eastAsia" w:ascii="宋体" w:hAnsi="宋体" w:eastAsia="宋体" w:cs="Times New Roman"/>
          <w:color w:val="000000"/>
          <w:sz w:val="24"/>
          <w:highlight w:val="none"/>
        </w:rPr>
      </w:pPr>
      <w:r/>
      <w:bookmarkStart w:id="291" w:name="_Hlk152922042"/>
      <w:r>
        <w:rPr>
          <w:rFonts w:hint="eastAsia" w:ascii="宋体" w:hAnsi="宋体" w:eastAsia="宋体" w:cs="Times New Roman"/>
          <w:color w:val="000000"/>
          <w:sz w:val="24"/>
          <w:highlight w:val="none"/>
        </w:rPr>
        <w:t xml:space="preserve">1、小微型企业价格扣除</w:t>
      </w:r>
      <w:r/>
    </w:p>
    <w:p>
      <w:pPr>
        <w:ind w:firstLine="36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（1）供应商需按照采购文件的要求提供相应的《中小企业声明函》。</w:t>
      </w:r>
      <w:r/>
    </w:p>
    <w:p>
      <w:pPr>
        <w:ind w:firstLine="36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2、残疾人福利单位价格扣除</w:t>
      </w:r>
      <w:r/>
    </w:p>
    <w:p>
      <w:pPr>
        <w:ind w:firstLine="36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（1）残疾人福利性单位视同小型、微型企业。</w:t>
      </w:r>
      <w:r/>
    </w:p>
    <w:p>
      <w:pPr>
        <w:ind w:firstLine="36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3、监狱和戒毒企业价格扣除</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（1）监狱和戒毒企业（简称监狱企业）视同小型、微型企业。</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（3）监狱企业标准请参照《关于政府采购支持监狱企业发展有关问题的通知》（</w:t>
      </w:r>
      <w:r>
        <w:rPr>
          <w:rFonts w:ascii="宋体" w:hAnsi="宋体" w:eastAsia="宋体" w:cs="Times New Roman"/>
          <w:color w:val="000000"/>
          <w:sz w:val="24"/>
          <w:highlight w:val="none"/>
        </w:rPr>
        <w:t xml:space="preserve">财库[2014]68号</w:t>
      </w:r>
      <w:r>
        <w:rPr>
          <w:rFonts w:hint="eastAsia" w:ascii="宋体" w:hAnsi="宋体" w:eastAsia="宋体" w:cs="Times New Roman"/>
          <w:color w:val="000000"/>
          <w:sz w:val="24"/>
          <w:highlight w:val="none"/>
        </w:rPr>
        <w:t xml:space="preserve">）。</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4、残疾人福利单位、监狱企业属于小型、微型企业的，不重复享受政策。</w:t>
      </w:r>
      <w:r/>
    </w:p>
    <w:p>
      <w:pPr>
        <w:ind w:firstLine="480"/>
        <w:jc w:val="left"/>
        <w:spacing w:line="360" w:lineRule="auto"/>
        <w:rPr>
          <w:rFonts w:hint="eastAsia" w:ascii="华文新魏" w:hAnsi="宋体" w:eastAsia="华文新魏" w:cs="Times New Roman"/>
          <w:color w:val="000000"/>
          <w:sz w:val="36"/>
          <w:szCs w:val="36"/>
          <w:highlight w:val="none"/>
        </w:rPr>
      </w:pPr>
      <w:r>
        <w:rPr>
          <w:rFonts w:hint="eastAsia" w:ascii="宋体" w:hAnsi="宋体" w:eastAsia="宋体" w:cs="Times New Roman"/>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Times New Roman"/>
          <w:color w:val="000000"/>
          <w:sz w:val="24"/>
          <w:highlight w:val="none"/>
          <w:u w:val="single"/>
        </w:rPr>
        <w:t xml:space="preserve">4%</w:t>
      </w:r>
      <w:r>
        <w:rPr>
          <w:rFonts w:hint="eastAsia" w:ascii="宋体" w:hAnsi="宋体" w:eastAsia="宋体" w:cs="Times New Roman"/>
          <w:color w:val="000000"/>
          <w:sz w:val="24"/>
          <w:highlight w:val="none"/>
        </w:rPr>
        <w:t xml:space="preserve">的价格扣除，用扣除后的价格参与评审。</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6、联合体各方均为小型、微型企业（残疾人福利单位、监狱企业）的，联合体享受</w:t>
      </w:r>
      <w:r>
        <w:rPr>
          <w:rFonts w:hint="eastAsia" w:ascii="宋体" w:hAnsi="宋体" w:eastAsia="宋体" w:cs="Times New Roman"/>
          <w:color w:val="000000"/>
          <w:sz w:val="24"/>
          <w:highlight w:val="none"/>
          <w:u w:val="single"/>
        </w:rPr>
        <w:t xml:space="preserve">10%</w:t>
      </w:r>
      <w:r>
        <w:rPr>
          <w:rFonts w:hint="eastAsia" w:ascii="宋体" w:hAnsi="宋体" w:eastAsia="宋体" w:cs="Times New Roman"/>
          <w:color w:val="000000"/>
          <w:sz w:val="24"/>
          <w:highlight w:val="none"/>
        </w:rPr>
        <w:t xml:space="preserve">价格扣除，用扣除后的价格参与评审。</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7、政府采购中实施本国产品标准及相关政策：</w:t>
      </w:r>
      <w:bookmarkEnd w:id="290"/>
      <w:r/>
      <w:bookmarkEnd w:id="291"/>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Times New Roman"/>
          <w:color w:val="000000"/>
          <w:sz w:val="24"/>
          <w:highlight w:val="none"/>
          <w:lang w:val="en-US" w:eastAsia="zh-C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highlight w:val="none"/>
        </w:rPr>
      </w:pPr>
      <w:r>
        <w:rPr>
          <w:rFonts w:hint="eastAsia" w:ascii="宋体" w:hAnsi="宋体" w:eastAsia="宋体" w:cs="Times New Roman"/>
          <w:color w:val="000000"/>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143"/>
        <w:ind w:firstLine="2891"/>
        <w:spacing w:after="120"/>
        <w:rPr>
          <w:rFonts w:hint="eastAsia" w:ascii="宋体" w:hAnsi="宋体" w:cs="Times New Roman"/>
          <w:b/>
          <w:bCs/>
          <w:sz w:val="32"/>
          <w:szCs w:val="32"/>
          <w:highlight w:val="none"/>
        </w:rPr>
      </w:pPr>
      <w:r>
        <w:rPr>
          <w:rFonts w:hint="eastAsia" w:ascii="宋体" w:hAnsi="宋体" w:cs="Times New Roman"/>
          <w:b/>
          <w:bCs/>
          <w:sz w:val="32"/>
          <w:szCs w:val="32"/>
          <w:highlight w:val="none"/>
        </w:rPr>
        <w:t xml:space="preserve">第四节 评标标准</w:t>
      </w:r>
      <w:r/>
    </w:p>
    <w:tbl>
      <w:tblPr>
        <w:tblStyle w:val="887"/>
        <w:tblW w:w="10773"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6083"/>
        <w:gridCol w:w="876"/>
        <w:gridCol w:w="2508"/>
      </w:tblGrid>
      <w:tr>
        <w:trPr>
          <w:trHeight w:val="603"/>
        </w:trPr>
        <w:tc>
          <w:tcPr>
            <w:tcW w:w="1306" w:type="dxa"/>
            <w:vAlign w:val="center"/>
            <w:textDirection w:val="lrTb"/>
            <w:noWrap w:val="false"/>
          </w:tcPr>
          <w:p>
            <w:pPr>
              <w:jc w:val="center"/>
              <w:spacing w:line="300" w:lineRule="exact"/>
              <w:widowControl/>
              <w:rPr>
                <w:rFonts w:hint="default" w:ascii="宋体" w:hAnsi="宋体" w:eastAsia="宋体" w:cs="宋体"/>
                <w:b/>
                <w:bCs/>
                <w:color w:val="000000"/>
                <w:sz w:val="24"/>
                <w:highlight w:val="none"/>
              </w:rPr>
            </w:pPr>
            <w:r>
              <w:rPr>
                <w:rFonts w:hint="default" w:ascii="宋体" w:hAnsi="宋体" w:eastAsia="宋体" w:cs="宋体"/>
                <w:b/>
                <w:bCs/>
                <w:color w:val="000000"/>
                <w:sz w:val="24"/>
                <w:highlight w:val="none"/>
              </w:rPr>
              <w:t xml:space="preserve">评审因素</w:t>
            </w:r>
            <w:r/>
          </w:p>
        </w:tc>
        <w:tc>
          <w:tcPr>
            <w:tcW w:w="6083" w:type="dxa"/>
            <w:vAlign w:val="center"/>
            <w:textDirection w:val="lrTb"/>
            <w:noWrap w:val="false"/>
          </w:tcPr>
          <w:p>
            <w:pPr>
              <w:jc w:val="center"/>
              <w:spacing w:line="300" w:lineRule="exact"/>
              <w:widowControl/>
              <w:rPr>
                <w:rFonts w:hint="default" w:ascii="宋体" w:hAnsi="宋体" w:eastAsia="宋体" w:cs="宋体"/>
                <w:b/>
                <w:bCs/>
                <w:color w:val="000000"/>
                <w:sz w:val="24"/>
                <w:highlight w:val="none"/>
              </w:rPr>
            </w:pPr>
            <w:r>
              <w:rPr>
                <w:rFonts w:hint="default" w:ascii="宋体" w:hAnsi="宋体" w:eastAsia="宋体" w:cs="宋体"/>
                <w:b/>
                <w:bCs/>
                <w:color w:val="000000"/>
                <w:sz w:val="24"/>
                <w:highlight w:val="none"/>
              </w:rPr>
              <w:t xml:space="preserve">评分细则</w:t>
            </w:r>
            <w:r/>
          </w:p>
        </w:tc>
        <w:tc>
          <w:tcPr>
            <w:tcW w:w="876" w:type="dxa"/>
            <w:vAlign w:val="center"/>
            <w:textDirection w:val="lrTb"/>
            <w:noWrap w:val="false"/>
          </w:tcPr>
          <w:p>
            <w:pPr>
              <w:jc w:val="center"/>
              <w:spacing w:line="300" w:lineRule="exact"/>
              <w:widowControl/>
              <w:rPr>
                <w:rFonts w:hint="default" w:ascii="宋体" w:hAnsi="宋体" w:eastAsia="宋体" w:cs="宋体"/>
                <w:b/>
                <w:bCs/>
                <w:color w:val="000000"/>
                <w:sz w:val="24"/>
                <w:highlight w:val="none"/>
              </w:rPr>
            </w:pPr>
            <w:r>
              <w:rPr>
                <w:rFonts w:hint="default" w:ascii="宋体" w:hAnsi="宋体" w:eastAsia="宋体" w:cs="宋体"/>
                <w:b/>
                <w:bCs/>
                <w:color w:val="000000"/>
                <w:sz w:val="24"/>
                <w:highlight w:val="none"/>
              </w:rPr>
              <w:t xml:space="preserve">分值（分）</w:t>
            </w:r>
            <w:r/>
          </w:p>
        </w:tc>
        <w:tc>
          <w:tcPr>
            <w:tcW w:w="2508" w:type="dxa"/>
            <w:vAlign w:val="center"/>
            <w:textDirection w:val="lrTb"/>
            <w:noWrap w:val="false"/>
          </w:tcPr>
          <w:p>
            <w:pPr>
              <w:jc w:val="center"/>
              <w:spacing w:line="300" w:lineRule="exact"/>
              <w:widowControl/>
              <w:rPr>
                <w:rFonts w:hint="default"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提供材料要求及备注</w:t>
            </w:r>
            <w:r/>
          </w:p>
        </w:tc>
      </w:tr>
      <w:tr>
        <w:trPr>
          <w:trHeight w:val="1009"/>
        </w:trPr>
        <w:tc>
          <w:tcPr>
            <w:tcW w:w="1306" w:type="dxa"/>
            <w:vAlign w:val="center"/>
            <w:textDirection w:val="lrTb"/>
            <w:noWrap w:val="false"/>
          </w:tcPr>
          <w:p>
            <w:pPr>
              <w:jc w:val="center"/>
              <w:spacing w:line="300" w:lineRule="exact"/>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w:t>
            </w:r>
            <w:r/>
          </w:p>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采用低价优先法计算，即满足招标文件要求且投标报价最低的为评标基准价，其价格分为满分。</w:t>
            </w:r>
            <w:r>
              <w:rPr>
                <w:rFonts w:hint="eastAsia" w:ascii="宋体" w:hAnsi="宋体" w:eastAsia="宋体" w:cs="宋体"/>
                <w:color w:val="000000"/>
                <w:szCs w:val="21"/>
                <w:highlight w:val="none"/>
              </w:rPr>
              <w:t xml:space="preserve">其他投标人的价格分统一按照下列公式计算：投标报价得分＝（评标基准价/投标报价）×分值。</w:t>
            </w:r>
            <w:r/>
          </w:p>
        </w:tc>
        <w:tc>
          <w:tcPr>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15</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321"/>
        </w:trPr>
        <w:tc>
          <w:tcPr>
            <w:tcW w:w="1306" w:type="dxa"/>
            <w:vAlign w:val="center"/>
            <w:vMerge w:val="restart"/>
            <w:textDirection w:val="lrTb"/>
            <w:noWrap w:val="false"/>
          </w:tcPr>
          <w:p>
            <w:pPr>
              <w:jc w:val="center"/>
              <w:spacing w:line="3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主观分</w:t>
            </w:r>
            <w:r/>
          </w:p>
        </w:tc>
        <w:tc>
          <w:tcPr>
            <w:tcW w:w="6083" w:type="dxa"/>
            <w:vAlign w:val="center"/>
            <w:textDirection w:val="lrTb"/>
            <w:noWrap w:val="false"/>
          </w:tcPr>
          <w:p>
            <w:pPr>
              <w:jc w:val="left"/>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2.1能源管理“一张网”平台建设方案：</w:t>
            </w:r>
            <w:r/>
          </w:p>
          <w:p>
            <w:pPr>
              <w:jc w:val="left"/>
              <w:rPr>
                <w:rFonts w:hint="default" w:ascii="宋体" w:hAnsi="宋体" w:eastAsia="宋体" w:cs="宋体"/>
                <w:color w:val="000000"/>
                <w:szCs w:val="21"/>
                <w:highlight w:val="none"/>
              </w:rPr>
            </w:pPr>
            <w:r>
              <w:rPr>
                <w:rFonts w:hint="eastAsia" w:ascii="宋体" w:hAnsi="宋体" w:eastAsia="宋体" w:cs="宋体"/>
                <w:color w:val="000000"/>
                <w:sz w:val="22"/>
                <w:highlight w:val="none"/>
              </w:rPr>
              <w:t xml:space="preserve">对投标人根据采购需求提供的能源管理“一张网”平台建设方案进行比较，提供详细的软件功能描述，包括：系统架构、系统部署、软件功能项实现等。</w:t>
            </w:r>
            <w:r>
              <w:rPr>
                <w:rFonts w:hint="eastAsia" w:ascii="宋体" w:hAnsi="宋体" w:eastAsia="宋体" w:cs="宋体"/>
                <w:color w:val="000000"/>
                <w:sz w:val="22"/>
                <w:highlight w:val="none"/>
              </w:rPr>
              <w:br/>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rPr>
              <w:t xml:space="preserve">功能实用，描述清晰，图文并茂，功能截图能够佐证满足技术要求，完全符合本项目需求的，得</w:t>
            </w:r>
            <w:r>
              <w:rPr>
                <w:rFonts w:hint="eastAsia" w:ascii="宋体" w:hAnsi="宋体" w:cs="宋体"/>
                <w:color w:val="000000"/>
                <w:sz w:val="22"/>
                <w:highlight w:val="none"/>
                <w:lang w:val="en-US" w:eastAsia="zh-CN"/>
              </w:rPr>
              <w:t xml:space="preserve">10</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br/>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rPr>
              <w:t xml:space="preserve">功能较实用，描述较清晰，有部分功能截图，能够符合本项目需求的，得6分；</w:t>
            </w:r>
            <w:r>
              <w:rPr>
                <w:rFonts w:hint="eastAsia" w:ascii="宋体" w:hAnsi="宋体" w:eastAsia="宋体" w:cs="宋体"/>
                <w:color w:val="000000"/>
                <w:sz w:val="22"/>
                <w:highlight w:val="none"/>
              </w:rPr>
              <w:br/>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3</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rPr>
              <w:t xml:space="preserve">功能一般，描述一般，无功能截图，能够基本符合本项目需求的，得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br/>
            </w:r>
            <w:r>
              <w:rPr>
                <w:rFonts w:hint="eastAsia" w:ascii="宋体" w:hAnsi="宋体" w:eastAsia="宋体" w:cs="宋体"/>
                <w:highlight w:val="none"/>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2.2现场能源管理计量与控制系统建设方案</w:t>
            </w:r>
            <w:r>
              <w:rPr>
                <w:rFonts w:hint="eastAsia" w:ascii="宋体" w:hAnsi="宋体" w:eastAsia="宋体" w:cs="宋体"/>
                <w:b/>
                <w:bCs/>
                <w:color w:val="000000"/>
                <w:szCs w:val="21"/>
                <w:highlight w:val="none"/>
                <w:lang w:eastAsia="zh-CN"/>
              </w:rPr>
              <w:t xml:space="preserve">：</w:t>
            </w:r>
            <w:r/>
          </w:p>
          <w:p>
            <w:pPr>
              <w:jc w:val="left"/>
              <w:rPr>
                <w:rFonts w:hint="default" w:ascii="宋体" w:hAnsi="宋体" w:eastAsia="宋体" w:cs="宋体"/>
                <w:color w:val="000000"/>
                <w:szCs w:val="21"/>
                <w:highlight w:val="none"/>
              </w:rPr>
            </w:pPr>
            <w:r>
              <w:rPr>
                <w:rFonts w:hint="eastAsia" w:ascii="宋体" w:hAnsi="宋体" w:eastAsia="宋体" w:cs="宋体"/>
                <w:color w:val="000000"/>
                <w:sz w:val="22"/>
                <w:highlight w:val="none"/>
              </w:rPr>
              <w:t xml:space="preserve">对投标人需根据采购需求提供的现场能源管理计量与控制系统建设的设计原则，以及跟能源管理“一张网”平台无缝融合的技术方案进行比较。</w:t>
            </w:r>
            <w:r>
              <w:rPr>
                <w:rFonts w:hint="eastAsia" w:ascii="宋体" w:hAnsi="宋体" w:eastAsia="宋体" w:cs="宋体"/>
                <w:color w:val="000000"/>
                <w:sz w:val="22"/>
                <w:highlight w:val="none"/>
              </w:rPr>
              <w:br/>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rPr>
              <w:t xml:space="preserve">原则合理科学，技术方案清晰详细，完全符合本项目需求，得3分；</w:t>
            </w:r>
            <w:r>
              <w:rPr>
                <w:rFonts w:hint="eastAsia" w:ascii="宋体" w:hAnsi="宋体" w:eastAsia="宋体" w:cs="宋体"/>
                <w:color w:val="000000"/>
                <w:sz w:val="22"/>
                <w:highlight w:val="none"/>
              </w:rPr>
              <w:br/>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rPr>
              <w:t xml:space="preserve">原则基本合理，技术方案较为清晰详细，能够符合本项目需求，得2分；</w:t>
            </w:r>
            <w:r>
              <w:rPr>
                <w:rFonts w:hint="eastAsia" w:ascii="宋体" w:hAnsi="宋体" w:eastAsia="宋体" w:cs="宋体"/>
                <w:color w:val="000000"/>
                <w:sz w:val="22"/>
                <w:highlight w:val="none"/>
              </w:rPr>
              <w:br/>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3</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rPr>
              <w:t xml:space="preserve">原则合理性一般，技术方案清晰详细程度一般，只能基本符合本项目需求，得1分；</w:t>
            </w:r>
            <w:r>
              <w:rPr>
                <w:rFonts w:hint="eastAsia" w:ascii="宋体" w:hAnsi="宋体" w:eastAsia="宋体" w:cs="宋体"/>
                <w:color w:val="000000"/>
                <w:sz w:val="22"/>
                <w:highlight w:val="none"/>
              </w:rPr>
              <w:br/>
            </w:r>
            <w:r>
              <w:rPr>
                <w:rFonts w:hint="eastAsia" w:ascii="宋体" w:hAnsi="宋体" w:eastAsia="宋体" w:cs="宋体"/>
                <w:highlight w:val="none"/>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2.3节能改造总体方案：</w:t>
            </w:r>
            <w:r/>
          </w:p>
          <w:p>
            <w:pPr>
              <w:jc w:val="left"/>
              <w:rPr>
                <w:rFonts w:hint="default" w:ascii="宋体" w:hAnsi="宋体" w:eastAsia="宋体" w:cs="宋体"/>
                <w:color w:val="000000"/>
                <w:szCs w:val="21"/>
                <w:highlight w:val="none"/>
              </w:rPr>
            </w:pPr>
            <w:r>
              <w:rPr>
                <w:rFonts w:hint="eastAsia" w:ascii="宋体" w:hAnsi="宋体" w:eastAsia="宋体" w:cs="宋体"/>
                <w:highlight w:val="none"/>
              </w:rPr>
              <w:t xml:space="preserve">对投标人根据采购需求提供的节能改造方案进行比较，包括：节能改造总体设计原则、节能改造总体解决方案等。</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原则合理科学，技术方案清晰详细，完全符合本项目需求，得</w:t>
            </w:r>
            <w:r>
              <w:rPr>
                <w:rFonts w:hint="eastAsia" w:ascii="宋体" w:hAnsi="宋体" w:cs="宋体"/>
                <w:highlight w:val="none"/>
                <w:lang w:val="en-US" w:eastAsia="zh-CN"/>
              </w:rPr>
              <w:t xml:space="preserve">8</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原则基本合理，技术方案较为清晰详细，能够符合本项目需求，得</w:t>
            </w:r>
            <w:r>
              <w:rPr>
                <w:rFonts w:hint="eastAsia" w:ascii="宋体" w:hAnsi="宋体" w:cs="宋体"/>
                <w:highlight w:val="none"/>
                <w:lang w:val="en-US" w:eastAsia="zh-CN"/>
              </w:rPr>
              <w:t xml:space="preserve">5</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eastAsia="宋体" w:cs="宋体"/>
                <w:highlight w:val="none"/>
              </w:rPr>
              <w:t xml:space="preserve">原则合理性一般，技术方案清晰详细程度一般，只能基本符合本项目需求，得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eastAsia="宋体" w:cs="宋体"/>
                <w:highlight w:val="none"/>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2.4医院类公共机构节能改造专项方案</w:t>
            </w:r>
            <w:r>
              <w:rPr>
                <w:rFonts w:hint="eastAsia" w:ascii="宋体" w:hAnsi="宋体" w:eastAsia="宋体" w:cs="宋体"/>
                <w:b/>
                <w:bCs/>
                <w:color w:val="000000"/>
                <w:szCs w:val="21"/>
                <w:highlight w:val="none"/>
                <w:lang w:val="en-US" w:eastAsia="zh-CN"/>
              </w:rPr>
              <w:t xml:space="preserve">：</w:t>
            </w:r>
            <w:r/>
          </w:p>
          <w:p>
            <w:pPr>
              <w:jc w:val="left"/>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t xml:space="preserve">对投标人根据采购需求提供的针对医院类公共机构节能改造方案进行比较，包括：现状诊断、节能改造措施、与业主的现场配合、效益测算、主要产品介绍等。</w:t>
            </w:r>
            <w:r>
              <w:rPr>
                <w:rFonts w:hint="default"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（1）</w:t>
            </w:r>
            <w:r>
              <w:rPr>
                <w:rFonts w:hint="default" w:ascii="宋体" w:hAnsi="宋体" w:eastAsia="宋体" w:cs="宋体"/>
                <w:color w:val="000000"/>
                <w:szCs w:val="21"/>
                <w:highlight w:val="none"/>
                <w:lang w:val="en-US" w:eastAsia="zh-CN"/>
              </w:rPr>
              <w:t xml:space="preserve">方案内容详细，诊断分析精准合理，提出具体、有效的节能改造措施，效益测算科学准确，可行性强，优于采购需求的，得</w:t>
            </w:r>
            <w:r>
              <w:rPr>
                <w:rFonts w:hint="eastAsia" w:ascii="宋体" w:hAnsi="宋体" w:cs="宋体"/>
                <w:color w:val="000000"/>
                <w:szCs w:val="21"/>
                <w:highlight w:val="none"/>
                <w:lang w:val="en-US" w:eastAsia="zh-CN"/>
              </w:rPr>
              <w:t xml:space="preserve">8</w:t>
            </w:r>
            <w:r>
              <w:rPr>
                <w:rFonts w:hint="default" w:ascii="宋体" w:hAnsi="宋体" w:eastAsia="宋体" w:cs="宋体"/>
                <w:color w:val="000000"/>
                <w:szCs w:val="21"/>
                <w:highlight w:val="none"/>
                <w:lang w:val="en-US" w:eastAsia="zh-CN"/>
              </w:rPr>
              <w:t xml:space="preserve">分；</w:t>
            </w:r>
            <w:r>
              <w:rPr>
                <w:rFonts w:hint="default"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lang w:val="en-US" w:eastAsia="zh-CN"/>
              </w:rPr>
              <w:t xml:space="preserve">方案内容较详细，诊断分析较精准合理，提出的节能改造措施基本符合项目需求，效益测算较科学准确，具有可行性，基本满足采购需求的，得</w:t>
            </w:r>
            <w:r>
              <w:rPr>
                <w:rFonts w:hint="eastAsia" w:ascii="宋体" w:hAnsi="宋体" w:cs="宋体"/>
                <w:color w:val="000000"/>
                <w:szCs w:val="21"/>
                <w:highlight w:val="none"/>
                <w:lang w:val="en-US" w:eastAsia="zh-CN"/>
              </w:rPr>
              <w:t xml:space="preserve">5</w:t>
            </w:r>
            <w:r>
              <w:rPr>
                <w:rFonts w:hint="default" w:ascii="宋体" w:hAnsi="宋体" w:eastAsia="宋体" w:cs="宋体"/>
                <w:color w:val="000000"/>
                <w:szCs w:val="21"/>
                <w:highlight w:val="none"/>
                <w:lang w:val="en-US" w:eastAsia="zh-CN"/>
              </w:rPr>
              <w:t xml:space="preserve">分；</w:t>
            </w:r>
            <w:r>
              <w:rPr>
                <w:rFonts w:hint="default"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lang w:val="en-US" w:eastAsia="zh-CN"/>
              </w:rPr>
              <w:t xml:space="preserve">内容仅简单提及的，得</w:t>
            </w: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lang w:val="en-US" w:eastAsia="zh-CN"/>
              </w:rPr>
              <w:t xml:space="preserve">分；</w:t>
            </w:r>
            <w:r>
              <w:rPr>
                <w:rFonts w:hint="default" w:ascii="宋体" w:hAnsi="宋体" w:eastAsia="宋体" w:cs="宋体"/>
                <w:color w:val="000000"/>
                <w:szCs w:val="21"/>
                <w:highlight w:val="none"/>
                <w:lang w:val="en-US" w:eastAsia="zh-CN"/>
              </w:rPr>
              <w:br/>
            </w:r>
            <w:r>
              <w:rPr>
                <w:rFonts w:hint="eastAsia" w:ascii="宋体" w:hAnsi="宋体" w:eastAsia="宋体" w:cs="宋体"/>
                <w:highlight w:val="none"/>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2.5政府机关、学校类公共机构节能改造专项方案：</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highlight w:val="none"/>
              </w:rPr>
              <w:t xml:space="preserve">对投标人根据采购需求提供的针对政府机关、学校类公共机构节能改造方案进行比较，包括：现状诊断、节能改造措施、与业主的现场配合、效益测算、主要产品介绍等。</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方案内容详细，诊断分析精准合理，提出具体、有效的节能改造措施，效益测算科学准确，可行性强，优于采购需求的，得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方案内容较详细，诊断分析较精准合理，提出的节能改造措施基本符合项目需求，效益测算较科学准确，具有可行性，基本满足采购需求的，得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eastAsia="宋体" w:cs="宋体"/>
                <w:highlight w:val="none"/>
              </w:rPr>
              <w:t xml:space="preserve">内容仅简单提及的，得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eastAsia="宋体" w:cs="宋体"/>
                <w:highlight w:val="none"/>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2.6管理方案：</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highlight w:val="none"/>
              </w:rPr>
              <w:t xml:space="preserve">对投标人根据采购需求提供的管理方案进行比较，包括但不限于进度管理、质量管理、人员组织管理等内容。</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内容描述详细到位、完整清晰、可操作性强的得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内容描述较详细、较完整清晰、可操作性较强的得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eastAsia="宋体" w:cs="宋体"/>
                <w:highlight w:val="none"/>
              </w:rPr>
              <w:t xml:space="preserve">内容简单提及的得1分；</w:t>
            </w:r>
            <w:r>
              <w:rPr>
                <w:rFonts w:hint="eastAsia" w:ascii="宋体" w:hAnsi="宋体" w:eastAsia="宋体" w:cs="宋体"/>
                <w:highlight w:val="none"/>
              </w:rPr>
              <w:br/>
            </w:r>
            <w:r>
              <w:rPr>
                <w:rFonts w:hint="eastAsia" w:ascii="宋体" w:hAnsi="宋体" w:eastAsia="宋体" w:cs="宋体"/>
                <w:highlight w:val="none"/>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2.7安全文明措施</w:t>
            </w:r>
            <w:r>
              <w:rPr>
                <w:rFonts w:hint="eastAsia" w:ascii="宋体" w:hAnsi="宋体" w:eastAsia="宋体" w:cs="宋体"/>
                <w:b/>
                <w:bCs/>
                <w:color w:val="000000"/>
                <w:szCs w:val="21"/>
                <w:highlight w:val="none"/>
                <w:lang w:eastAsia="zh-CN"/>
              </w:rPr>
              <w:t xml:space="preserve">：</w:t>
            </w:r>
            <w:r/>
          </w:p>
          <w:p>
            <w:pPr>
              <w:jc w:val="left"/>
              <w:rPr>
                <w:rFonts w:hint="eastAsia" w:ascii="宋体" w:hAnsi="宋体" w:eastAsia="宋体" w:cs="宋体"/>
                <w:color w:val="000000"/>
                <w:szCs w:val="21"/>
                <w:highlight w:val="none"/>
              </w:rPr>
            </w:pPr>
            <w:r>
              <w:rPr>
                <w:rFonts w:hint="eastAsia" w:ascii="宋体" w:hAnsi="宋体" w:eastAsia="宋体" w:cs="宋体"/>
                <w:highlight w:val="none"/>
              </w:rPr>
              <w:t xml:space="preserve">对投标人根据采购需求提供的安全文明措施进行比较，包括但不限于安全文明体系、应急预案等内容。</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内容描述详细到位、完整清晰、可操作性强的得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内容描述较详细、较完整清晰、可操作性较强的得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eastAsia="宋体" w:cs="宋体"/>
                <w:highlight w:val="none"/>
              </w:rPr>
              <w:t xml:space="preserve">内容简单提及的得1分；</w:t>
            </w:r>
            <w:r>
              <w:rPr>
                <w:rFonts w:hint="eastAsia" w:ascii="宋体" w:hAnsi="宋体" w:eastAsia="宋体" w:cs="宋体"/>
                <w:highlight w:val="none"/>
              </w:rPr>
              <w:br/>
            </w:r>
            <w:r>
              <w:rPr>
                <w:rFonts w:hint="eastAsia" w:ascii="宋体" w:hAnsi="宋体" w:eastAsia="宋体" w:cs="宋体"/>
                <w:highlight w:val="none"/>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2.8精细化运营服务方案：</w:t>
            </w:r>
            <w:r/>
          </w:p>
          <w:p>
            <w:pPr>
              <w:jc w:val="left"/>
              <w:rPr>
                <w:rFonts w:hint="eastAsia" w:ascii="宋体" w:hAnsi="宋体" w:eastAsia="宋体" w:cs="宋体"/>
                <w:highlight w:val="none"/>
              </w:rPr>
            </w:pPr>
            <w:r>
              <w:rPr>
                <w:rFonts w:hint="eastAsia" w:ascii="宋体" w:hAnsi="宋体" w:eastAsia="宋体" w:cs="宋体"/>
                <w:highlight w:val="none"/>
              </w:rPr>
              <w:t xml:space="preserve">对投标人根据采购需求提供的精细化运营服务方案进行比较，包括但不限于能源托管精细化运营管理、技术培训等内容。</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内容描述详细到位、完整清晰、可操作性强的得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内容描述较详细、较完整清晰、可操作性较强的得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highlight w:val="none"/>
              </w:rPr>
              <w:br/>
            </w: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eastAsia="宋体" w:cs="宋体"/>
                <w:highlight w:val="none"/>
              </w:rPr>
              <w:t xml:space="preserve">内容简单提及的得1分；</w:t>
            </w:r>
            <w:r/>
          </w:p>
          <w:p>
            <w:pPr>
              <w:jc w:val="left"/>
              <w:rPr>
                <w:rFonts w:hint="default" w:ascii="宋体" w:hAnsi="宋体" w:eastAsia="宋体" w:cs="宋体"/>
                <w:highlight w:val="none"/>
                <w:lang w:val="en-US" w:eastAsia="zh-CN"/>
              </w:rPr>
            </w:pPr>
            <w:r>
              <w:rPr>
                <w:rFonts w:hint="eastAsia" w:ascii="宋体" w:hAnsi="宋体" w:eastAsia="宋体" w:cs="宋体"/>
                <w:highlight w:val="none"/>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2.9设施设备运维服务方案：</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对投标人根据采购需求提供的本次项目改造建设的信息化系统及节能改造设施设备运维服务方案进行比较，包括但不限于信息化系统运维、设施设备运维、服务响应等内容。</w:t>
            </w:r>
            <w:r>
              <w:rPr>
                <w:rFonts w:hint="eastAsia"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内容描述详细到位、完整清晰、可操作性强的</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内容描述较详细、较完整清晰、可操作性较强的得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内容简单提及的得1分；</w:t>
            </w:r>
            <w:r/>
          </w:p>
          <w:p>
            <w:pPr>
              <w:jc w:val="left"/>
              <w:rPr>
                <w:rFonts w:hint="default" w:ascii="Times New Roman" w:hAnsi="Times New Roman" w:eastAsia="宋体" w:cs="Times New Roman"/>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2.10用能分析报告模板：</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对投标人提供的按季出具“用能分析报告”的模板进行比较。</w:t>
            </w:r>
            <w:r>
              <w:rPr>
                <w:rFonts w:hint="eastAsia" w:ascii="宋体" w:hAnsi="宋体" w:eastAsia="宋体" w:cs="宋体"/>
                <w:color w:val="000000"/>
                <w:szCs w:val="21"/>
                <w:highlight w:val="none"/>
                <w:lang w:val="en-US" w:eastAsia="zh-CN"/>
              </w:rPr>
              <w:br/>
            </w:r>
            <w:r>
              <w:rPr>
                <w:rFonts w:hint="eastAsia" w:ascii="宋体" w:hAnsi="宋体" w:eastAsia="宋体" w:cs="宋体"/>
                <w:color w:val="000000"/>
                <w:szCs w:val="21"/>
                <w:highlight w:val="none"/>
                <w:lang w:val="en-US" w:eastAsia="zh-CN"/>
              </w:rPr>
              <w:t xml:space="preserve">（1）模板内容详细到位、完整清晰的，实用性强的得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br/>
            </w:r>
            <w:r>
              <w:rPr>
                <w:rFonts w:hint="eastAsia" w:ascii="宋体" w:hAnsi="宋体" w:eastAsia="宋体" w:cs="宋体"/>
                <w:color w:val="000000"/>
                <w:szCs w:val="21"/>
                <w:highlight w:val="none"/>
                <w:lang w:val="en-US" w:eastAsia="zh-CN"/>
              </w:rPr>
              <w:t xml:space="preserve">（2）模板内容较详细、较完整清晰，报告模板实用性较强的得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br/>
            </w:r>
            <w:r>
              <w:rPr>
                <w:rFonts w:hint="eastAsia" w:ascii="宋体" w:hAnsi="宋体" w:eastAsia="宋体" w:cs="宋体"/>
                <w:color w:val="000000"/>
                <w:szCs w:val="21"/>
                <w:highlight w:val="none"/>
                <w:lang w:val="en-US" w:eastAsia="zh-CN"/>
              </w:rPr>
              <w:t xml:space="preserve">（3）模板内容简单提及、报告模板实用性较差的得1分；</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cs="宋体"/>
                <w:color w:val="000000"/>
                <w:szCs w:val="21"/>
                <w:highlight w:val="none"/>
                <w:lang w:val="en-US"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2.11数据保密及信息安全方案：</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对投标人根据采购需求提供的数据保密方案进行比较。</w:t>
            </w:r>
            <w:r>
              <w:rPr>
                <w:rFonts w:hint="eastAsia"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内容描述详细到位、完整清晰、可操作性强的得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内容描述较详细、较完整清晰、可操作性较强的得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内容简单提及的得1分；</w:t>
            </w:r>
            <w:r>
              <w:rPr>
                <w:rFonts w:hint="eastAsia"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（4）未提供不得分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92"/>
        </w:trPr>
        <w:tc>
          <w:tcPr>
            <w:tcBorders>
              <w:left w:val="single" w:color="000000" w:sz="4" w:space="0"/>
              <w:bottom w:val="single" w:color="000000" w:sz="4" w:space="0"/>
            </w:tcBorders>
            <w:tcW w:w="1306" w:type="dxa"/>
            <w:vAlign w:val="center"/>
            <w:vMerge w:val="restart"/>
            <w:textDirection w:val="lrTb"/>
            <w:noWrap w:val="false"/>
          </w:tcPr>
          <w:p>
            <w:pPr>
              <w:jc w:val="center"/>
              <w:spacing w:line="3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客观分</w:t>
            </w:r>
            <w:r/>
          </w:p>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Borders>
              <w:bottom w:val="single" w:color="000000" w:sz="4" w:space="0"/>
            </w:tcBorders>
            <w:tcW w:w="6083" w:type="dxa"/>
            <w:vAlign w:val="top"/>
            <w:textDirection w:val="lrTb"/>
            <w:noWrap w:val="false"/>
          </w:tcPr>
          <w:p>
            <w:pPr>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3.1类似业绩：</w:t>
            </w:r>
            <w:r/>
          </w:p>
          <w:p>
            <w:pPr>
              <w:numPr>
                <w:ilvl w:val="0"/>
                <w:numId w:val="9"/>
              </w:numPr>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投标人自2023年1月1日至今（以合同签订时间为准），具有与本项目类似项目案例</w:t>
            </w:r>
            <w:r>
              <w:rPr>
                <w:rFonts w:hint="eastAsia" w:ascii="宋体" w:hAnsi="宋体" w:cs="宋体"/>
                <w:color w:val="000000"/>
                <w:szCs w:val="21"/>
                <w:highlight w:val="none"/>
                <w:lang w:val="en-US" w:eastAsia="zh-CN"/>
              </w:rPr>
              <w:t xml:space="preserve">的</w:t>
            </w:r>
            <w:r>
              <w:rPr>
                <w:rFonts w:hint="default" w:ascii="宋体" w:hAnsi="宋体" w:eastAsia="宋体" w:cs="宋体"/>
                <w:color w:val="000000"/>
                <w:szCs w:val="21"/>
                <w:highlight w:val="none"/>
              </w:rPr>
              <w:t xml:space="preserve">（公共机构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类型不限</w:t>
            </w:r>
            <w:r>
              <w:rPr>
                <w:rFonts w:hint="eastAsia" w:ascii="宋体" w:hAnsi="宋体" w:cs="宋体"/>
                <w:color w:val="000000"/>
                <w:szCs w:val="21"/>
                <w:highlight w:val="none"/>
                <w:lang w:eastAsia="zh-CN"/>
              </w:rPr>
              <w:t xml:space="preserve">）</w:t>
            </w:r>
            <w:r>
              <w:rPr>
                <w:rFonts w:hint="default" w:ascii="宋体" w:hAnsi="宋体" w:eastAsia="宋体" w:cs="宋体"/>
                <w:color w:val="000000"/>
                <w:szCs w:val="21"/>
                <w:highlight w:val="none"/>
              </w:rPr>
              <w:t xml:space="preserve">能源费用托管类</w:t>
            </w:r>
            <w:r>
              <w:rPr>
                <w:rFonts w:hint="eastAsia" w:ascii="宋体" w:hAnsi="宋体" w:cs="宋体"/>
                <w:color w:val="000000"/>
                <w:szCs w:val="21"/>
                <w:highlight w:val="none"/>
                <w:lang w:val="en-US" w:eastAsia="zh-CN"/>
              </w:rPr>
              <w:t xml:space="preserve">且项目服务范围包含电、水、燃气两类及以上综合能源托管内容的</w:t>
            </w:r>
            <w:r>
              <w:rPr>
                <w:rFonts w:hint="default" w:ascii="宋体" w:hAnsi="宋体" w:eastAsia="宋体" w:cs="宋体"/>
                <w:color w:val="000000"/>
                <w:szCs w:val="21"/>
                <w:highlight w:val="none"/>
              </w:rPr>
              <w:t xml:space="preserve">），每有一个得</w:t>
            </w: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4</w:t>
            </w:r>
            <w:r>
              <w:rPr>
                <w:rFonts w:hint="default" w:ascii="宋体" w:hAnsi="宋体" w:eastAsia="宋体" w:cs="宋体"/>
                <w:color w:val="000000"/>
                <w:szCs w:val="21"/>
                <w:highlight w:val="none"/>
              </w:rPr>
              <w:t xml:space="preserve">分。</w:t>
            </w:r>
            <w:r/>
          </w:p>
          <w:p>
            <w:pPr>
              <w:numPr>
                <w:ilvl w:val="0"/>
                <w:numId w:val="9"/>
              </w:numPr>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投标人自2023年1月1日至今（以合同签订时间为准），具有与本项目类似项目案例的（公共机构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医院类</w:t>
            </w:r>
            <w:r>
              <w:rPr>
                <w:rFonts w:hint="eastAsia" w:ascii="宋体" w:hAnsi="宋体" w:eastAsia="宋体" w:cs="宋体"/>
                <w:color w:val="000000"/>
                <w:szCs w:val="21"/>
                <w:highlight w:val="none"/>
                <w:lang w:eastAsia="zh-CN"/>
              </w:rPr>
              <w:t xml:space="preserve">）</w:t>
            </w:r>
            <w:r>
              <w:rPr>
                <w:rFonts w:hint="default" w:ascii="宋体" w:hAnsi="宋体" w:eastAsia="宋体" w:cs="宋体"/>
                <w:color w:val="000000"/>
                <w:szCs w:val="21"/>
                <w:highlight w:val="none"/>
              </w:rPr>
              <w:t xml:space="preserve">能源费用托管类</w:t>
            </w:r>
            <w:r>
              <w:rPr>
                <w:rFonts w:hint="eastAsia" w:ascii="宋体" w:hAnsi="宋体" w:eastAsia="宋体" w:cs="宋体"/>
                <w:color w:val="000000"/>
                <w:szCs w:val="21"/>
                <w:highlight w:val="none"/>
                <w:lang w:val="en-US" w:eastAsia="zh-CN"/>
              </w:rPr>
              <w:t xml:space="preserve">且</w:t>
            </w:r>
            <w:r>
              <w:rPr>
                <w:rFonts w:hint="eastAsia" w:ascii="宋体" w:hAnsi="宋体" w:cs="宋体"/>
                <w:color w:val="000000"/>
                <w:szCs w:val="21"/>
                <w:highlight w:val="none"/>
                <w:lang w:val="en-US" w:eastAsia="zh-CN"/>
              </w:rPr>
              <w:t xml:space="preserve">项目服务范围包含电、水、燃气两类及以上综合能源托管内容的</w:t>
            </w:r>
            <w:r>
              <w:rPr>
                <w:rFonts w:hint="default" w:ascii="宋体" w:hAnsi="宋体" w:eastAsia="宋体" w:cs="宋体"/>
                <w:color w:val="000000"/>
                <w:szCs w:val="21"/>
                <w:highlight w:val="none"/>
              </w:rPr>
              <w:t xml:space="preserve">），每有一个得</w:t>
            </w:r>
            <w:r>
              <w:rPr>
                <w:rFonts w:hint="eastAsia" w:ascii="宋体" w:hAnsi="宋体" w:eastAsia="宋体" w:cs="宋体"/>
                <w:color w:val="000000"/>
                <w:szCs w:val="21"/>
                <w:highlight w:val="none"/>
                <w:lang w:val="en-US" w:eastAsia="zh-CN"/>
              </w:rPr>
              <w:t xml:space="preserve">2</w:t>
            </w:r>
            <w:r>
              <w:rPr>
                <w:rFonts w:hint="default" w:ascii="宋体" w:hAnsi="宋体" w:eastAsia="宋体" w:cs="宋体"/>
                <w:color w:val="000000"/>
                <w:szCs w:val="21"/>
                <w:highlight w:val="none"/>
              </w:rPr>
              <w:t xml:space="preserve">分，最高得</w:t>
            </w:r>
            <w:r>
              <w:rPr>
                <w:rFonts w:hint="eastAsia" w:ascii="宋体" w:hAnsi="宋体" w:eastAsia="宋体" w:cs="宋体"/>
                <w:color w:val="000000"/>
                <w:szCs w:val="21"/>
                <w:highlight w:val="none"/>
                <w:lang w:val="en-US" w:eastAsia="zh-CN"/>
              </w:rPr>
              <w:t xml:space="preserve">4</w:t>
            </w:r>
            <w:r>
              <w:rPr>
                <w:rFonts w:hint="default" w:ascii="宋体" w:hAnsi="宋体" w:eastAsia="宋体" w:cs="宋体"/>
                <w:color w:val="000000"/>
                <w:szCs w:val="21"/>
                <w:highlight w:val="none"/>
              </w:rPr>
              <w:t xml:space="preserve">分。</w:t>
            </w:r>
            <w:r/>
          </w:p>
          <w:p>
            <w:pPr>
              <w:numPr>
                <w:ilvl w:val="0"/>
                <w:numId w:val="0"/>
              </w:numPr>
              <w:rPr>
                <w:rFonts w:hint="default" w:ascii="宋体" w:hAnsi="宋体" w:eastAsia="宋体" w:cs="宋体"/>
                <w:color w:val="000000"/>
                <w:szCs w:val="21"/>
                <w:highlight w:val="none"/>
              </w:rPr>
            </w:pPr>
            <w:r>
              <w:rPr>
                <w:rFonts w:hint="default" w:ascii="宋体" w:hAnsi="宋体" w:eastAsia="宋体" w:cs="宋体"/>
                <w:color w:val="000000"/>
                <w:szCs w:val="21"/>
                <w:highlight w:val="none"/>
                <w:lang w:val="en-US" w:eastAsia="zh-CN"/>
              </w:rPr>
              <w:t xml:space="preserve">本项最高得</w:t>
            </w:r>
            <w:r>
              <w:rPr>
                <w:rFonts w:hint="eastAsia" w:ascii="宋体" w:hAnsi="宋体" w:cs="宋体"/>
                <w:color w:val="000000"/>
                <w:szCs w:val="21"/>
                <w:highlight w:val="none"/>
                <w:lang w:val="en-US" w:eastAsia="zh-CN"/>
              </w:rPr>
              <w:t xml:space="preserve">8</w:t>
            </w:r>
            <w:r>
              <w:rPr>
                <w:rFonts w:hint="default" w:ascii="宋体" w:hAnsi="宋体" w:eastAsia="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t xml:space="preserve">相同合同</w:t>
            </w:r>
            <w:r>
              <w:rPr>
                <w:rFonts w:hint="default" w:ascii="宋体" w:hAnsi="宋体" w:eastAsia="宋体" w:cs="宋体"/>
                <w:color w:val="000000"/>
                <w:szCs w:val="21"/>
                <w:highlight w:val="none"/>
                <w:lang w:val="en-US" w:eastAsia="zh-CN"/>
              </w:rPr>
              <w:t xml:space="preserve">不重复得分。</w:t>
            </w:r>
            <w:r/>
          </w:p>
        </w:tc>
        <w:tc>
          <w:tcPr>
            <w:tcBorders>
              <w:bottom w:val="single" w:color="000000" w:sz="4" w:space="0"/>
            </w:tcBorders>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p>
        </w:tc>
        <w:tc>
          <w:tcPr>
            <w:tcBorders>
              <w:bottom w:val="single" w:color="000000" w:sz="4" w:space="0"/>
            </w:tcBorders>
            <w:tcW w:w="2508" w:type="dxa"/>
            <w:vAlign w:val="center"/>
            <w:textDirection w:val="lrTb"/>
            <w:noWrap w:val="false"/>
          </w:tcPr>
          <w:p>
            <w:pPr>
              <w:jc w:val="left"/>
              <w:spacing w:line="30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注：投标时须提供相应合同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与合同对应的任意一笔付款发票或中标通知书）</w:t>
            </w:r>
            <w:r>
              <w:rPr>
                <w:rFonts w:hint="eastAsia" w:ascii="宋体" w:hAnsi="宋体" w:eastAsia="宋体" w:cs="宋体"/>
                <w:color w:val="000000"/>
                <w:szCs w:val="21"/>
                <w:highlight w:val="none"/>
              </w:rPr>
              <w:t xml:space="preserve">，未提供的不得分。（若为联合体，提供联合体任何一方或联合体各方）</w:t>
            </w:r>
            <w:r/>
          </w:p>
        </w:tc>
      </w:tr>
      <w:tr>
        <w:trPr>
          <w:trHeight w:val="2335"/>
        </w:trPr>
        <w:tc>
          <w:tcPr>
            <w:tcBorders>
              <w:top w:val="single" w:color="000000" w:sz="4" w:space="0"/>
              <w:left w:val="single" w:color="000000" w:sz="4" w:space="0"/>
              <w:bottom w:val="single" w:color="000000" w:sz="4" w:space="0"/>
            </w:tcBorders>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Borders>
              <w:top w:val="single" w:color="000000" w:sz="4" w:space="0"/>
              <w:bottom w:val="single" w:color="000000" w:sz="4" w:space="0"/>
            </w:tcBorders>
            <w:tcW w:w="6083" w:type="dxa"/>
            <w:vAlign w:val="top"/>
            <w:textDirection w:val="lrTb"/>
            <w:noWrap w:val="false"/>
          </w:tcPr>
          <w:p>
            <w:pPr>
              <w:rPr>
                <w:rFonts w:hint="default"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3.2体系认证</w:t>
            </w:r>
            <w:r>
              <w:rPr>
                <w:rFonts w:hint="eastAsia" w:ascii="宋体" w:hAnsi="宋体" w:eastAsia="宋体" w:cs="宋体"/>
                <w:b/>
                <w:bCs/>
                <w:color w:val="000000"/>
                <w:szCs w:val="21"/>
                <w:highlight w:val="none"/>
                <w:lang w:val="zh-CN"/>
              </w:rPr>
              <w:t xml:space="preserve">：</w:t>
            </w:r>
            <w:r/>
          </w:p>
          <w:p>
            <w:pP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default" w:ascii="宋体" w:hAnsi="宋体" w:eastAsia="宋体" w:cs="宋体"/>
                <w:color w:val="000000"/>
                <w:szCs w:val="21"/>
                <w:highlight w:val="none"/>
                <w:lang w:val="en-US" w:eastAsia="zh-CN"/>
              </w:rPr>
              <w:t xml:space="preserve">投标人具有有效期内质量管理体系认证证书的，得1分；</w:t>
            </w:r>
            <w:r>
              <w:rPr>
                <w:rFonts w:hint="default"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lang w:val="en-US" w:eastAsia="zh-CN"/>
              </w:rPr>
              <w:t xml:space="preserve">投标人具有有效期内环境管理体系认证证书的，得1分；</w:t>
            </w:r>
            <w:r>
              <w:rPr>
                <w:rFonts w:hint="default"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lang w:val="en-US" w:eastAsia="zh-CN"/>
              </w:rPr>
              <w:t xml:space="preserve">投标人具有有效期内职业健康安全管理体系认证证书的，得1分；</w:t>
            </w:r>
            <w:r>
              <w:rPr>
                <w:rFonts w:hint="default" w:ascii="宋体" w:hAnsi="宋体" w:eastAsia="宋体" w:cs="宋体"/>
                <w:color w:val="000000"/>
                <w:szCs w:val="21"/>
                <w:highlight w:val="none"/>
                <w:lang w:val="en-US" w:eastAsia="zh-CN"/>
              </w:rPr>
              <w:br/>
            </w:r>
            <w:r>
              <w:rPr>
                <w:rFonts w:hint="eastAsia" w:ascii="宋体" w:hAnsi="宋体" w:cs="宋体"/>
                <w:color w:val="000000"/>
                <w:szCs w:val="21"/>
                <w:highlight w:val="none"/>
                <w:lang w:val="en-US" w:eastAsia="zh-CN"/>
              </w:rPr>
              <w:t xml:space="preserve">4.</w:t>
            </w:r>
            <w:r>
              <w:rPr>
                <w:rFonts w:hint="default" w:ascii="宋体" w:hAnsi="宋体" w:eastAsia="宋体" w:cs="宋体"/>
                <w:color w:val="000000"/>
                <w:szCs w:val="21"/>
                <w:highlight w:val="none"/>
                <w:lang w:val="en-US" w:eastAsia="zh-CN"/>
              </w:rPr>
              <w:t xml:space="preserve">投标人具有有效期内信息安全管理体系认证证书的，得1分。</w:t>
            </w:r>
            <w:r>
              <w:rPr>
                <w:rFonts w:hint="default" w:ascii="宋体" w:hAnsi="宋体" w:eastAsia="宋体" w:cs="宋体"/>
                <w:color w:val="000000"/>
                <w:szCs w:val="21"/>
                <w:highlight w:val="none"/>
                <w:lang w:val="en-US" w:eastAsia="zh-CN"/>
              </w:rPr>
              <w:br/>
            </w:r>
            <w:r>
              <w:rPr>
                <w:rFonts w:hint="default" w:ascii="宋体" w:hAnsi="宋体" w:eastAsia="宋体" w:cs="宋体"/>
                <w:color w:val="000000"/>
                <w:szCs w:val="21"/>
                <w:highlight w:val="none"/>
                <w:lang w:val="en-US" w:eastAsia="zh-CN"/>
              </w:rPr>
              <w:t xml:space="preserve">本项最高得4分。</w:t>
            </w:r>
            <w:r/>
          </w:p>
        </w:tc>
        <w:tc>
          <w:tcPr>
            <w:tcBorders>
              <w:top w:val="single" w:color="000000" w:sz="4" w:space="0"/>
              <w:bottom w:val="single" w:color="000000" w:sz="4" w:space="0"/>
            </w:tcBorders>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c>
          <w:tcPr>
            <w:tcBorders>
              <w:top w:val="single" w:color="000000" w:sz="4" w:space="0"/>
              <w:bottom w:val="single" w:color="000000" w:sz="4" w:space="0"/>
            </w:tcBorders>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注：投标时须提供相应有效认证证书，同时还须提供该证书在“国家市场监督管理总局-全国认证认可信息公共服务平台”网站查询到的有效认证截图，未提供的不得分。（若为联合体，提供联合体任何一方或联合体各方）</w:t>
            </w:r>
            <w:r/>
          </w:p>
        </w:tc>
      </w:tr>
      <w:tr>
        <w:trPr>
          <w:trHeight w:val="1147"/>
        </w:trPr>
        <w:tc>
          <w:tcPr>
            <w:tcBorders>
              <w:top w:val="single" w:color="000000" w:sz="4" w:space="0"/>
              <w:left w:val="single" w:color="000000" w:sz="4" w:space="0"/>
              <w:bottom w:val="single" w:color="000000" w:sz="4" w:space="0"/>
            </w:tcBorders>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Borders>
              <w:top w:val="single" w:color="000000" w:sz="4" w:space="0"/>
              <w:bottom w:val="single" w:color="000000" w:sz="4" w:space="0"/>
            </w:tcBorders>
            <w:tcW w:w="6083" w:type="dxa"/>
            <w:vAlign w:val="top"/>
            <w:textDirection w:val="lrTb"/>
            <w:noWrap w:val="false"/>
          </w:tcPr>
          <w:p>
            <w:pPr>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3.3合同能源管理服务认证：</w:t>
            </w:r>
            <w:r/>
          </w:p>
          <w:p>
            <w:pPr>
              <w:rPr>
                <w:rFonts w:hint="eastAsia" w:ascii="仿宋" w:hAnsi="仿宋" w:eastAsia="宋体" w:cs="Times New Roman"/>
                <w:highlight w:val="none"/>
                <w:lang w:eastAsia="zh-CN"/>
              </w:rPr>
            </w:pPr>
            <w:r>
              <w:rPr>
                <w:rFonts w:hint="eastAsia" w:ascii="仿宋" w:hAnsi="仿宋" w:eastAsia="宋体" w:cs="Times New Roman"/>
                <w:highlight w:val="none"/>
                <w:lang w:eastAsia="zh-CN"/>
              </w:rPr>
              <w:t xml:space="preserve">投标人具有有效期内的合同能源管理服务认证</w:t>
            </w:r>
            <w:r>
              <w:rPr>
                <w:rFonts w:hint="eastAsia" w:ascii="宋体" w:hAnsi="宋体" w:eastAsia="宋体" w:cs="宋体"/>
                <w:highlight w:val="none"/>
                <w:lang w:eastAsia="zh-CN"/>
              </w:rPr>
              <w:t xml:space="preserve">5A级证书、节能技术服务认证5A级证书、综合能源服务认证5A级证书，每具备一项得</w:t>
            </w:r>
            <w:r>
              <w:rPr>
                <w:rFonts w:hint="eastAsia" w:ascii="宋体" w:hAnsi="宋体" w:cs="宋体"/>
                <w:highlight w:val="none"/>
                <w:lang w:val="en-US" w:eastAsia="zh-CN"/>
              </w:rPr>
              <w:t xml:space="preserve">3</w:t>
            </w:r>
            <w:r>
              <w:rPr>
                <w:rFonts w:hint="eastAsia" w:ascii="宋体" w:hAnsi="宋体" w:eastAsia="宋体" w:cs="宋体"/>
                <w:highlight w:val="none"/>
                <w:lang w:eastAsia="zh-CN"/>
              </w:rPr>
              <w:t xml:space="preserve">分，满分</w:t>
            </w:r>
            <w:r>
              <w:rPr>
                <w:rFonts w:hint="eastAsia" w:ascii="宋体" w:hAnsi="宋体" w:cs="宋体"/>
                <w:highlight w:val="none"/>
                <w:lang w:val="en-US" w:eastAsia="zh-CN"/>
              </w:rPr>
              <w:t xml:space="preserve">9</w:t>
            </w:r>
            <w:r>
              <w:rPr>
                <w:rFonts w:hint="eastAsia" w:ascii="宋体" w:hAnsi="宋体" w:eastAsia="宋体" w:cs="宋体"/>
                <w:highlight w:val="none"/>
                <w:lang w:eastAsia="zh-CN"/>
              </w:rPr>
              <w:t xml:space="preserve">分。</w:t>
            </w:r>
            <w:r/>
          </w:p>
        </w:tc>
        <w:tc>
          <w:tcPr>
            <w:tcBorders>
              <w:top w:val="single" w:color="000000" w:sz="4" w:space="0"/>
              <w:bottom w:val="single" w:color="000000" w:sz="4" w:space="0"/>
            </w:tcBorders>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p>
        </w:tc>
        <w:tc>
          <w:tcPr>
            <w:tcBorders>
              <w:top w:val="single" w:color="000000" w:sz="4" w:space="0"/>
              <w:bottom w:val="single" w:color="000000" w:sz="4" w:space="0"/>
              <w:right w:val="single" w:color="000000" w:sz="4" w:space="0"/>
            </w:tcBorders>
            <w:tcW w:w="2508" w:type="dxa"/>
            <w:vAlign w:val="center"/>
            <w:textDirection w:val="lrTb"/>
            <w:noWrap w:val="false"/>
          </w:tcPr>
          <w:p>
            <w:pPr>
              <w:jc w:val="left"/>
              <w:spacing w:line="300" w:lineRule="exact"/>
              <w:widowControl/>
              <w:rPr>
                <w:rFonts w:hint="default" w:ascii="仿宋" w:hAnsi="仿宋" w:eastAsia="仿宋" w:cs="仿宋"/>
                <w:spacing w:val="-9"/>
                <w:szCs w:val="21"/>
                <w:highlight w:val="none"/>
              </w:rPr>
            </w:pPr>
            <w:r>
              <w:rPr>
                <w:rFonts w:hint="eastAsia" w:ascii="宋体" w:hAnsi="宋体" w:eastAsia="宋体" w:cs="宋体"/>
                <w:color w:val="000000"/>
                <w:szCs w:val="21"/>
                <w:highlight w:val="none"/>
              </w:rPr>
              <w:t xml:space="preserve">注：投标时须提供有效认证证书，同时还须提供该证书在“国家市场监督管理总局-全国认证认可信息公共服务平台”网站查询到的有效认证截图，未提供的不得分。（若为联合体，提供联合体任何一方或联合体各方）</w:t>
            </w:r>
            <w:r/>
          </w:p>
        </w:tc>
      </w:tr>
      <w:tr>
        <w:trPr>
          <w:trHeight w:val="1201"/>
        </w:trPr>
        <w:tc>
          <w:tcPr>
            <w:tcBorders>
              <w:top w:val="single" w:color="000000" w:sz="4" w:space="0"/>
              <w:left w:val="single" w:color="000000" w:sz="4" w:space="0"/>
              <w:bottom w:val="single" w:color="000000" w:sz="4" w:space="0"/>
            </w:tcBorders>
            <w:tcW w:w="1306" w:type="dxa"/>
            <w:vAlign w:val="center"/>
            <w:vMerge w:val="continue"/>
            <w:textDirection w:val="lrTb"/>
            <w:noWrap w:val="false"/>
          </w:tcPr>
          <w:p>
            <w:pP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bottom w:val="single" w:color="000000" w:sz="4" w:space="0"/>
            </w:tcBorders>
            <w:tcW w:w="6083" w:type="dxa"/>
            <w:vAlign w:val="top"/>
            <w:textDirection w:val="lrTb"/>
            <w:noWrap w:val="false"/>
          </w:tcPr>
          <w:p>
            <w:pP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3.4项目负责人：</w:t>
            </w:r>
            <w:r/>
          </w:p>
          <w:p>
            <w:pPr>
              <w:numPr>
                <w:ilvl w:val="0"/>
                <w:numId w:val="10"/>
              </w:numPr>
              <w:rPr>
                <w:rFonts w:hint="default" w:ascii="宋体" w:hAnsi="宋体" w:eastAsia="宋体" w:cs="宋体"/>
                <w:b w:val="0"/>
                <w:bCs w:val="0"/>
                <w:color w:val="000000"/>
                <w:szCs w:val="21"/>
                <w:highlight w:val="none"/>
                <w:lang w:val="en-US" w:eastAsia="zh-CN"/>
              </w:rPr>
            </w:pPr>
            <w:r>
              <w:rPr>
                <w:rFonts w:hint="default" w:ascii="宋体" w:hAnsi="宋体" w:eastAsia="宋体" w:cs="宋体"/>
                <w:b w:val="0"/>
                <w:bCs w:val="0"/>
                <w:color w:val="000000"/>
                <w:szCs w:val="21"/>
                <w:highlight w:val="none"/>
                <w:lang w:val="en-US" w:eastAsia="zh-CN"/>
              </w:rPr>
              <w:t xml:space="preserve">投标人拟派的项目负责人具有一级注册建造工程师（机电工程专业）且具有相应的安全生产知识考核合格证书得2分；不提供不得分。</w:t>
            </w:r>
            <w:r/>
          </w:p>
          <w:p>
            <w:pPr>
              <w:numPr>
                <w:ilvl w:val="0"/>
                <w:numId w:val="10"/>
              </w:numPr>
              <w:rPr>
                <w:rFonts w:hint="default" w:ascii="宋体" w:hAnsi="宋体" w:eastAsia="宋体" w:cs="宋体"/>
                <w:b w:val="0"/>
                <w:bCs w:val="0"/>
                <w:color w:val="000000"/>
                <w:szCs w:val="21"/>
                <w:highlight w:val="none"/>
                <w:lang w:val="en-US" w:eastAsia="zh-CN"/>
              </w:rPr>
            </w:pPr>
            <w:r>
              <w:rPr>
                <w:rFonts w:hint="eastAsia" w:ascii="宋体" w:hAnsi="宋体" w:eastAsia="宋体" w:cs="宋体"/>
                <w:color w:val="000000"/>
                <w:sz w:val="22"/>
                <w:highlight w:val="none"/>
              </w:rPr>
              <w:t xml:space="preserve">投标人拟派的项目负责人具有高级工程师职称的得2分；具有工程师职称的得1分；不提供不得分。</w:t>
            </w:r>
            <w:r/>
          </w:p>
        </w:tc>
        <w:tc>
          <w:tcPr>
            <w:tcBorders>
              <w:top w:val="single" w:color="000000" w:sz="4" w:space="0"/>
              <w:bottom w:val="single" w:color="000000" w:sz="4" w:space="0"/>
            </w:tcBorders>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c>
          <w:tcPr>
            <w:tcBorders>
              <w:top w:val="single" w:color="000000" w:sz="4" w:space="0"/>
              <w:bottom w:val="single" w:color="000000" w:sz="4" w:space="0"/>
              <w:right w:val="single" w:color="000000" w:sz="4" w:space="0"/>
            </w:tcBorders>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w:t>
            </w:r>
            <w:r>
              <w:rPr>
                <w:rFonts w:hint="eastAsia" w:ascii="宋体" w:hAnsi="宋体" w:cs="宋体"/>
                <w:color w:val="000000"/>
                <w:szCs w:val="21"/>
                <w:highlight w:val="none"/>
                <w:lang w:val="en-US" w:eastAsia="zh-CN"/>
              </w:rPr>
              <w:t xml:space="preserve">需</w:t>
            </w:r>
            <w:r>
              <w:rPr>
                <w:rFonts w:hint="eastAsia" w:ascii="宋体" w:hAnsi="宋体" w:eastAsia="宋体" w:cs="宋体"/>
                <w:color w:val="000000"/>
                <w:szCs w:val="21"/>
                <w:highlight w:val="none"/>
                <w:lang w:val="en-US" w:eastAsia="zh-CN"/>
              </w:rPr>
              <w:t xml:space="preserve">提供人员相关</w:t>
            </w:r>
            <w:r>
              <w:rPr>
                <w:rFonts w:hint="eastAsia" w:ascii="宋体" w:hAnsi="宋体" w:cs="宋体"/>
                <w:color w:val="000000"/>
                <w:szCs w:val="21"/>
                <w:highlight w:val="none"/>
                <w:lang w:val="en-US" w:eastAsia="zh-CN"/>
              </w:rPr>
              <w:t xml:space="preserve">证书</w:t>
            </w:r>
            <w:r>
              <w:rPr>
                <w:rFonts w:hint="eastAsia" w:ascii="宋体" w:hAnsi="宋体" w:eastAsia="宋体" w:cs="宋体"/>
                <w:color w:val="000000"/>
                <w:szCs w:val="21"/>
                <w:highlight w:val="none"/>
                <w:lang w:val="en-US" w:eastAsia="zh-CN"/>
              </w:rPr>
              <w:t xml:space="preserve">及由社保机构出具的为其缴纳的开标前连续</w:t>
            </w:r>
            <w:r>
              <w:rPr>
                <w:rFonts w:hint="eastAsia" w:ascii="宋体" w:hAnsi="宋体" w:eastAsia="宋体" w:cs="宋体"/>
                <w:color w:val="000000"/>
                <w:szCs w:val="21"/>
                <w:highlight w:val="none"/>
                <w:lang w:val="en-US" w:eastAsia="zh-CN"/>
              </w:rPr>
              <w:t xml:space="preserve">三个月</w:t>
            </w:r>
            <w:r>
              <w:rPr>
                <w:rFonts w:hint="eastAsia" w:ascii="宋体" w:hAnsi="宋体" w:cs="宋体"/>
                <w:color w:val="000000"/>
                <w:szCs w:val="21"/>
                <w:highlight w:val="none"/>
                <w:lang w:val="en-US" w:eastAsia="zh-CN"/>
              </w:rPr>
              <w:t xml:space="preserve">（2026.3-2026.5）</w:t>
            </w:r>
            <w:r>
              <w:rPr>
                <w:rFonts w:hint="eastAsia" w:ascii="宋体" w:hAnsi="宋体" w:eastAsia="宋体" w:cs="宋体"/>
                <w:color w:val="000000"/>
                <w:szCs w:val="21"/>
                <w:highlight w:val="none"/>
                <w:lang w:val="en-US" w:eastAsia="zh-CN"/>
              </w:rPr>
              <w:t xml:space="preserve">社保缴费记录</w:t>
            </w:r>
            <w:r>
              <w:rPr>
                <w:rFonts w:hint="eastAsia" w:ascii="宋体" w:hAnsi="宋体" w:cs="宋体"/>
                <w:color w:val="000000"/>
                <w:szCs w:val="21"/>
                <w:highlight w:val="none"/>
                <w:lang w:val="en-US" w:eastAsia="zh-CN"/>
              </w:rPr>
              <w:t xml:space="preserve">或相关证明材料。</w:t>
            </w:r>
            <w:r>
              <w:rPr>
                <w:rFonts w:hint="eastAsia" w:ascii="宋体" w:hAnsi="宋体" w:eastAsia="宋体" w:cs="宋体"/>
                <w:color w:val="000000"/>
                <w:sz w:val="22"/>
                <w:highlight w:val="none"/>
              </w:rPr>
              <w:t xml:space="preserve">（若为联合体，提供联合体任何一方或联合体各方）</w:t>
            </w:r>
            <w:r/>
          </w:p>
        </w:tc>
      </w:tr>
      <w:tr>
        <w:trPr>
          <w:trHeight w:val="1201"/>
        </w:trPr>
        <w:tc>
          <w:tcPr>
            <w:tcBorders>
              <w:top w:val="single" w:color="000000" w:sz="4" w:space="0"/>
              <w:left w:val="single" w:color="000000" w:sz="4" w:space="0"/>
              <w:bottom w:val="single" w:color="000000" w:sz="4" w:space="0"/>
            </w:tcBorders>
            <w:tcW w:w="1306" w:type="dxa"/>
            <w:vAlign w:val="center"/>
            <w:vMerge w:val="continue"/>
            <w:textDirection w:val="lrTb"/>
            <w:noWrap w:val="false"/>
          </w:tcPr>
          <w:p>
            <w:pP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bottom w:val="single" w:color="000000" w:sz="4" w:space="0"/>
            </w:tcBorders>
            <w:tcW w:w="6083" w:type="dxa"/>
            <w:vAlign w:val="top"/>
            <w:textDirection w:val="lrTb"/>
            <w:noWrap w:val="false"/>
          </w:tcPr>
          <w:p>
            <w:pPr>
              <w:rPr>
                <w:rFonts w:hint="default"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3.5拟派的技术负责人（除项目负责人外）：</w:t>
            </w:r>
            <w:r/>
          </w:p>
          <w:p>
            <w:pPr>
              <w:rPr>
                <w:rFonts w:hint="default" w:ascii="Times New Roman" w:hAnsi="Times New Roman" w:eastAsia="宋体" w:cs="Times New Roman"/>
                <w:highlight w:val="none"/>
                <w:lang w:val="en-US" w:eastAsia="zh-CN"/>
              </w:rPr>
            </w:pPr>
            <w:r>
              <w:rPr>
                <w:rFonts w:hint="eastAsia" w:ascii="宋体" w:hAnsi="宋体" w:eastAsia="宋体" w:cs="宋体"/>
                <w:color w:val="000000"/>
                <w:sz w:val="22"/>
                <w:highlight w:val="none"/>
              </w:rPr>
              <w:t xml:space="preserve">投标人拟派的技术负责人（除项目负责人外）具有高级工程师职称的得2分；具有工程师职称的得1分；不提供不得分。</w:t>
            </w:r>
            <w:r/>
          </w:p>
        </w:tc>
        <w:tc>
          <w:tcPr>
            <w:tcBorders>
              <w:top w:val="single" w:color="000000" w:sz="4" w:space="0"/>
              <w:bottom w:val="single" w:color="000000" w:sz="4" w:space="0"/>
            </w:tcBorders>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p>
        </w:tc>
        <w:tc>
          <w:tcPr>
            <w:tcBorders>
              <w:top w:val="single" w:color="000000" w:sz="4" w:space="0"/>
              <w:bottom w:val="single" w:color="000000" w:sz="4" w:space="0"/>
              <w:right w:val="single" w:color="000000" w:sz="4" w:space="0"/>
            </w:tcBorders>
            <w:tcW w:w="2508" w:type="dxa"/>
            <w:vAlign w:val="center"/>
            <w:textDirection w:val="lrTb"/>
            <w:noWrap w:val="false"/>
          </w:tcPr>
          <w:p>
            <w:pPr>
              <w:jc w:val="left"/>
              <w:spacing w:line="30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w:t>
            </w:r>
            <w:r>
              <w:rPr>
                <w:rFonts w:hint="eastAsia" w:ascii="宋体" w:hAnsi="宋体" w:cs="宋体"/>
                <w:color w:val="000000"/>
                <w:szCs w:val="21"/>
                <w:highlight w:val="none"/>
                <w:lang w:val="en-US" w:eastAsia="zh-CN"/>
              </w:rPr>
              <w:t xml:space="preserve">：需</w:t>
            </w:r>
            <w:r>
              <w:rPr>
                <w:rFonts w:hint="eastAsia" w:ascii="宋体" w:hAnsi="宋体" w:eastAsia="宋体" w:cs="宋体"/>
                <w:color w:val="000000"/>
                <w:szCs w:val="21"/>
                <w:highlight w:val="none"/>
                <w:lang w:val="en-US" w:eastAsia="zh-CN"/>
              </w:rPr>
              <w:t xml:space="preserve">提供人员相关</w:t>
            </w:r>
            <w:r>
              <w:rPr>
                <w:rFonts w:hint="eastAsia" w:ascii="宋体" w:hAnsi="宋体" w:cs="宋体"/>
                <w:color w:val="000000"/>
                <w:szCs w:val="21"/>
                <w:highlight w:val="none"/>
                <w:lang w:val="en-US" w:eastAsia="zh-CN"/>
              </w:rPr>
              <w:t xml:space="preserve">证书</w:t>
            </w:r>
            <w:r>
              <w:rPr>
                <w:rFonts w:hint="eastAsia" w:ascii="宋体" w:hAnsi="宋体" w:eastAsia="宋体" w:cs="宋体"/>
                <w:color w:val="000000"/>
                <w:szCs w:val="21"/>
                <w:highlight w:val="none"/>
                <w:lang w:val="en-US" w:eastAsia="zh-CN"/>
              </w:rPr>
              <w:t xml:space="preserve">及由社保机构出具的为其缴纳的开标前连续</w:t>
            </w:r>
            <w:r>
              <w:rPr>
                <w:rFonts w:hint="eastAsia" w:ascii="宋体" w:hAnsi="宋体" w:eastAsia="宋体" w:cs="宋体"/>
                <w:color w:val="000000"/>
                <w:szCs w:val="21"/>
                <w:highlight w:val="none"/>
                <w:lang w:val="en-US" w:eastAsia="zh-CN"/>
              </w:rPr>
              <w:t xml:space="preserve">三个月</w:t>
            </w:r>
            <w:r>
              <w:rPr>
                <w:rFonts w:hint="eastAsia" w:ascii="宋体" w:hAnsi="宋体" w:cs="宋体"/>
                <w:color w:val="000000"/>
                <w:szCs w:val="21"/>
                <w:highlight w:val="none"/>
                <w:lang w:val="en-US" w:eastAsia="zh-CN"/>
              </w:rPr>
              <w:t xml:space="preserve">（2026.3-2026.5）</w:t>
            </w:r>
            <w:r>
              <w:rPr>
                <w:rFonts w:hint="eastAsia" w:ascii="宋体" w:hAnsi="宋体" w:eastAsia="宋体" w:cs="宋体"/>
                <w:color w:val="000000"/>
                <w:szCs w:val="21"/>
                <w:highlight w:val="none"/>
                <w:lang w:val="en-US" w:eastAsia="zh-CN"/>
              </w:rPr>
              <w:t xml:space="preserve">社保缴费记录</w:t>
            </w:r>
            <w:r>
              <w:rPr>
                <w:rFonts w:hint="eastAsia" w:ascii="宋体" w:hAnsi="宋体" w:cs="宋体"/>
                <w:color w:val="000000"/>
                <w:szCs w:val="21"/>
                <w:highlight w:val="none"/>
                <w:lang w:val="en-US" w:eastAsia="zh-CN"/>
              </w:rPr>
              <w:t xml:space="preserve">或相关证明材料。</w:t>
            </w:r>
            <w:r>
              <w:rPr>
                <w:rFonts w:hint="eastAsia" w:ascii="宋体" w:hAnsi="宋体" w:eastAsia="宋体" w:cs="宋体"/>
                <w:color w:val="000000"/>
                <w:sz w:val="22"/>
                <w:highlight w:val="none"/>
              </w:rPr>
              <w:t xml:space="preserve">（若为联合体，提供联合体任何一方或联合体各方）</w:t>
            </w:r>
            <w:r/>
          </w:p>
        </w:tc>
      </w:tr>
      <w:tr>
        <w:trPr>
          <w:trHeight w:val="1201"/>
        </w:trPr>
        <w:tc>
          <w:tcPr>
            <w:tcBorders>
              <w:top w:val="single" w:color="000000" w:sz="4" w:space="0"/>
              <w:left w:val="single" w:color="000000" w:sz="4" w:space="0"/>
            </w:tcBorders>
            <w:tcW w:w="1306" w:type="dxa"/>
            <w:vAlign w:val="center"/>
            <w:vMerge w:val="continue"/>
            <w:textDirection w:val="lrTb"/>
            <w:noWrap w:val="false"/>
          </w:tcPr>
          <w:p>
            <w:pP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tcBorders>
            <w:tcW w:w="6083" w:type="dxa"/>
            <w:vAlign w:val="top"/>
            <w:textDirection w:val="lrTb"/>
            <w:noWrap w:val="false"/>
          </w:tcPr>
          <w:p>
            <w:pP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3.6团队成员（除项目负责人、技术负责人外）：</w:t>
            </w:r>
            <w:r/>
          </w:p>
          <w:p>
            <w:pPr>
              <w:rPr>
                <w:rFonts w:hint="eastAsia" w:ascii="宋体" w:hAnsi="宋体" w:eastAsia="宋体" w:cs="宋体"/>
                <w:b w:val="0"/>
                <w:bCs w:val="0"/>
                <w:color w:val="000000"/>
                <w:szCs w:val="21"/>
                <w:highlight w:val="none"/>
                <w:lang w:val="en-US" w:eastAsia="zh-CN"/>
              </w:rPr>
            </w:pPr>
            <w:r>
              <w:rPr>
                <w:rFonts w:hint="eastAsia" w:ascii="宋体" w:hAnsi="宋体" w:eastAsia="宋体" w:cs="宋体"/>
                <w:color w:val="000000"/>
                <w:sz w:val="22"/>
                <w:highlight w:val="none"/>
              </w:rPr>
              <w:t xml:space="preserve">投标人拟派的其他团队成员（除项目负责人、技术负责人外）持有包括电工作业、制冷与空调作业、高处作业、焊接与热切割作业</w:t>
            </w:r>
            <w:r>
              <w:rPr>
                <w:rFonts w:hint="eastAsia" w:ascii="宋体" w:hAnsi="宋体" w:cs="宋体"/>
                <w:color w:val="000000"/>
                <w:sz w:val="22"/>
                <w:highlight w:val="none"/>
                <w:lang w:val="en-US" w:eastAsia="zh-CN"/>
              </w:rPr>
              <w:t xml:space="preserve">的</w:t>
            </w:r>
            <w:r>
              <w:rPr>
                <w:rFonts w:hint="eastAsia" w:ascii="宋体" w:hAnsi="宋体" w:eastAsia="宋体" w:cs="宋体"/>
                <w:color w:val="000000"/>
                <w:sz w:val="22"/>
                <w:highlight w:val="none"/>
              </w:rPr>
              <w:t xml:space="preserve">特种作业操作证的，每提供一类得1分，满分4分</w:t>
            </w:r>
            <w:r>
              <w:rPr>
                <w:rFonts w:hint="eastAsia" w:ascii="宋体" w:hAnsi="宋体" w:cs="宋体"/>
                <w:color w:val="000000"/>
                <w:sz w:val="22"/>
                <w:highlight w:val="none"/>
                <w:lang w:eastAsia="zh-CN"/>
              </w:rPr>
              <w:t xml:space="preserve">。</w:t>
            </w:r>
            <w:r/>
          </w:p>
        </w:tc>
        <w:tc>
          <w:tcPr>
            <w:tcBorders>
              <w:top w:val="single" w:color="000000" w:sz="4" w:space="0"/>
            </w:tcBorders>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c>
          <w:tcPr>
            <w:tcBorders>
              <w:top w:val="single" w:color="000000" w:sz="4" w:space="0"/>
            </w:tcBorders>
            <w:tcW w:w="2508" w:type="dxa"/>
            <w:vAlign w:val="center"/>
            <w:textDirection w:val="lrTb"/>
            <w:noWrap w:val="false"/>
          </w:tcPr>
          <w:p>
            <w:pPr>
              <w:jc w:val="left"/>
              <w:spacing w:line="30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注：</w:t>
            </w:r>
            <w:r>
              <w:rPr>
                <w:rFonts w:hint="eastAsia" w:ascii="宋体" w:hAnsi="宋体" w:cs="宋体"/>
                <w:color w:val="000000"/>
                <w:szCs w:val="21"/>
                <w:highlight w:val="none"/>
                <w:lang w:val="en-US" w:eastAsia="zh-CN"/>
              </w:rPr>
              <w:t xml:space="preserve">需</w:t>
            </w:r>
            <w:r>
              <w:rPr>
                <w:rFonts w:hint="eastAsia" w:ascii="宋体" w:hAnsi="宋体" w:eastAsia="宋体" w:cs="宋体"/>
                <w:color w:val="000000"/>
                <w:szCs w:val="21"/>
                <w:highlight w:val="none"/>
                <w:lang w:val="en-US" w:eastAsia="zh-CN"/>
              </w:rPr>
              <w:t xml:space="preserve">提供人员相关</w:t>
            </w:r>
            <w:r>
              <w:rPr>
                <w:rFonts w:hint="eastAsia" w:ascii="宋体" w:hAnsi="宋体" w:cs="宋体"/>
                <w:color w:val="000000"/>
                <w:szCs w:val="21"/>
                <w:highlight w:val="none"/>
                <w:lang w:val="en-US" w:eastAsia="zh-CN"/>
              </w:rPr>
              <w:t xml:space="preserve">证书</w:t>
            </w:r>
            <w:r>
              <w:rPr>
                <w:rFonts w:hint="eastAsia" w:ascii="宋体" w:hAnsi="宋体" w:eastAsia="宋体" w:cs="宋体"/>
                <w:color w:val="000000"/>
                <w:szCs w:val="21"/>
                <w:highlight w:val="none"/>
                <w:lang w:val="en-US" w:eastAsia="zh-CN"/>
              </w:rPr>
              <w:t xml:space="preserve">及由社保机构出具的为其缴纳的开标前连续</w:t>
            </w:r>
            <w:r>
              <w:rPr>
                <w:rFonts w:hint="eastAsia" w:ascii="宋体" w:hAnsi="宋体" w:eastAsia="宋体" w:cs="宋体"/>
                <w:color w:val="000000"/>
                <w:szCs w:val="21"/>
                <w:highlight w:val="none"/>
                <w:lang w:val="en-US" w:eastAsia="zh-CN"/>
              </w:rPr>
              <w:t xml:space="preserve">三个月</w:t>
            </w:r>
            <w:r>
              <w:rPr>
                <w:rFonts w:hint="eastAsia" w:ascii="宋体" w:hAnsi="宋体" w:cs="宋体"/>
                <w:color w:val="000000"/>
                <w:szCs w:val="21"/>
                <w:highlight w:val="none"/>
                <w:lang w:val="en-US" w:eastAsia="zh-CN"/>
              </w:rPr>
              <w:t xml:space="preserve">（2026.3-2026.5）</w:t>
            </w:r>
            <w:r>
              <w:rPr>
                <w:rFonts w:hint="eastAsia" w:ascii="宋体" w:hAnsi="宋体" w:eastAsia="宋体" w:cs="宋体"/>
                <w:color w:val="000000"/>
                <w:szCs w:val="21"/>
                <w:highlight w:val="none"/>
                <w:lang w:val="en-US" w:eastAsia="zh-CN"/>
              </w:rPr>
              <w:t xml:space="preserve">社保缴费记录</w:t>
            </w:r>
            <w:r>
              <w:rPr>
                <w:rFonts w:hint="eastAsia" w:ascii="宋体" w:hAnsi="宋体" w:cs="宋体"/>
                <w:color w:val="000000"/>
                <w:szCs w:val="21"/>
                <w:highlight w:val="none"/>
                <w:lang w:val="en-US" w:eastAsia="zh-CN"/>
              </w:rPr>
              <w:t xml:space="preserve">或相关证明材料。</w:t>
            </w:r>
            <w:r>
              <w:rPr>
                <w:rFonts w:hint="eastAsia" w:ascii="宋体" w:hAnsi="宋体" w:eastAsia="宋体" w:cs="宋体"/>
                <w:color w:val="000000"/>
                <w:sz w:val="22"/>
                <w:highlight w:val="none"/>
              </w:rPr>
              <w:t xml:space="preserve">（若为联合体，提供联合体任何一方或联合体各方）</w:t>
            </w:r>
            <w:r/>
          </w:p>
        </w:tc>
      </w:tr>
    </w:tbl>
    <w:p>
      <w:pPr>
        <w:pStyle w:val="1143"/>
        <w:rPr>
          <w:highlight w:val="none"/>
        </w:rPr>
      </w:pPr>
      <w:r>
        <w:rPr>
          <w:highlight w:val="none"/>
        </w:rPr>
      </w:r>
      <w:r/>
    </w:p>
    <w:p>
      <w:pPr>
        <w:ind w:firstLine="482"/>
        <w:spacing w:before="120" w:line="360" w:lineRule="auto"/>
        <w:tabs>
          <w:tab w:val="left" w:pos="360" w:leader="none"/>
        </w:tabs>
        <w:rPr>
          <w:rFonts w:hint="eastAsia"/>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5"/>
      <w:r/>
      <w:bookmarkEnd w:id="256"/>
      <w:r/>
      <w:r/>
    </w:p>
    <w:p>
      <w:pPr>
        <w:jc w:val="center"/>
        <w:spacing w:line="360" w:lineRule="auto"/>
        <w:rPr>
          <w:color w:val="000000"/>
          <w:sz w:val="24"/>
          <w:highlight w:val="none"/>
        </w:rPr>
        <w:outlineLvl w:val="0"/>
      </w:pPr>
      <w:r>
        <w:rPr>
          <w:b/>
          <w:color w:val="000000"/>
          <w:sz w:val="36"/>
          <w:szCs w:val="36"/>
          <w:highlight w:val="none"/>
        </w:rPr>
        <w:br w:type="page" w:clear="all"/>
      </w:r>
      <w:r>
        <w:rPr>
          <w:b/>
          <w:color w:val="000000"/>
          <w:sz w:val="36"/>
          <w:szCs w:val="36"/>
          <w:highlight w:val="none"/>
        </w:rPr>
        <w:t xml:space="preserve">第五章   采购需求</w:t>
      </w:r>
      <w:bookmarkEnd w:id="98"/>
      <w:r/>
      <w:r/>
    </w:p>
    <w:p>
      <w:pPr>
        <w:ind w:firstLine="0"/>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1.项目基本情况</w:t>
      </w:r>
      <w:r/>
    </w:p>
    <w:p>
      <w:pPr>
        <w:ind w:firstLine="482"/>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
          <w:bCs/>
          <w:sz w:val="24"/>
          <w:szCs w:val="24"/>
          <w:highlight w:val="none"/>
        </w:rPr>
        <w:t xml:space="preserve">1.1项目名称：</w:t>
      </w:r>
      <w:r>
        <w:rPr>
          <w:rFonts w:hint="eastAsia" w:ascii="宋体" w:hAnsi="宋体" w:cs="宋体"/>
          <w:sz w:val="24"/>
          <w:szCs w:val="24"/>
          <w:highlight w:val="none"/>
          <w:lang w:eastAsia="zh-CN"/>
        </w:rPr>
        <w:t xml:space="preserve">武进区公共机构能源费用托管项目</w:t>
      </w:r>
      <w:r/>
    </w:p>
    <w:p>
      <w:pPr>
        <w:ind w:firstLine="482"/>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b/>
          <w:bCs/>
          <w:sz w:val="24"/>
          <w:szCs w:val="24"/>
          <w:highlight w:val="none"/>
        </w:rPr>
        <w:t xml:space="preserve">1.2项目概况：</w:t>
      </w:r>
      <w:r>
        <w:rPr>
          <w:rFonts w:hint="eastAsia" w:ascii="宋体" w:hAnsi="宋体" w:eastAsia="宋体" w:cs="宋体"/>
          <w:sz w:val="24"/>
          <w:szCs w:val="24"/>
          <w:highlight w:val="none"/>
        </w:rPr>
        <w:t xml:space="preserve">为贯彻落实党中央、国务院“双碳”战略目标，国家机关事务管理局、国家发展和改革委员会、财政部联合印发《关于鼓励和支持公共机构采用能源费用托管服务的意见》。根据省机关事务管理局、省发改委等11个部门联合印发的《2025年度全省公共机构绿色低碳引领行动目标任务》（苏事管〔2025〕13号），将我区列为整县（市、区）公共机构能源费用托管试点。</w:t>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cs="宋体"/>
          <w:sz w:val="24"/>
          <w:szCs w:val="24"/>
          <w:highlight w:val="none"/>
        </w:rPr>
        <w:t xml:space="preserve">我区共有各类公共机构289家，考虑合署办公情况后，共计点位21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个</w:t>
      </w:r>
      <w:r>
        <w:rPr>
          <w:rFonts w:hint="eastAsia" w:ascii="宋体" w:hAnsi="宋体" w:eastAsia="宋体" w:cs="宋体"/>
          <w:sz w:val="24"/>
          <w:szCs w:val="24"/>
          <w:highlight w:val="none"/>
        </w:rPr>
        <w:t xml:space="preserve">（详见“附件一 公共机构能源托管清单”），数量多分布广，且各公共机构年能源消耗量差异较大，拟通过开展整区能源费用托管服务，依靠专业公司通过科学的管理运行和节能技术应用等一揽子综合节能减碳措施达到节约能源资源的目的，有效遏制能源费用增长，推动我区公共机构整体绿色低碳转型，并率先实现“碳达峰”，打造公共机构绿色低碳发展示范样板。</w:t>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经能源审计和专家论证，我</w:t>
      </w:r>
      <w:r>
        <w:rPr>
          <w:rFonts w:hint="eastAsia" w:ascii="宋体" w:hAnsi="宋体" w:cs="宋体"/>
          <w:sz w:val="24"/>
          <w:szCs w:val="24"/>
          <w:highlight w:val="none"/>
          <w:lang w:val="en-US" w:eastAsia="zh-CN"/>
        </w:rPr>
        <w:t xml:space="preserve">区</w:t>
      </w:r>
      <w:r>
        <w:rPr>
          <w:rFonts w:hint="eastAsia" w:ascii="宋体" w:hAnsi="宋体" w:eastAsia="宋体" w:cs="宋体"/>
          <w:sz w:val="24"/>
          <w:szCs w:val="24"/>
          <w:highlight w:val="none"/>
        </w:rPr>
        <w:t xml:space="preserve">公共机构能源资源托管费用基准值为13892.3206万元/年，10年总费用为138923.206万元。</w:t>
      </w:r>
      <w:r/>
    </w:p>
    <w:p>
      <w:pPr>
        <w:ind w:firstLine="0"/>
        <w:pageBreakBefore w:val="0"/>
        <w:spacing w:line="360" w:lineRule="auto"/>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1.3采购需求一览表</w:t>
      </w:r>
      <w:r/>
    </w:p>
    <w:tbl>
      <w:tblPr>
        <w:tblStyle w:val="887"/>
        <w:tblW w:w="4888" w:type="pct"/>
        <w:tblInd w:w="73"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779"/>
        <w:gridCol w:w="831"/>
        <w:gridCol w:w="934"/>
        <w:gridCol w:w="2364"/>
        <w:gridCol w:w="4293"/>
      </w:tblGrid>
      <w:tr>
        <w:trPr/>
        <w:tc>
          <w:tcPr>
            <w:shd w:val="clear" w:color="auto" w:fill="eeece1"/>
            <w:tcBorders>
              <w:top w:val="single" w:color="000000" w:sz="8" w:space="0"/>
              <w:left w:val="single" w:color="000000" w:sz="8" w:space="0"/>
              <w:bottom w:val="single" w:color="000000" w:sz="4" w:space="0"/>
              <w:right w:val="single" w:color="000000" w:sz="4" w:space="0"/>
            </w:tcBorders>
            <w:tcMar>
              <w:left w:w="105" w:type="dxa"/>
              <w:top w:w="0" w:type="dxa"/>
              <w:right w:w="105" w:type="dxa"/>
              <w:bottom w:w="0" w:type="dxa"/>
            </w:tcMar>
            <w:tcW w:w="592" w:type="pct"/>
            <w:vAlign w:val="center"/>
            <w:textDirection w:val="lrTb"/>
            <w:noWrap w:val="false"/>
          </w:tcPr>
          <w:p>
            <w:pPr>
              <w:ind w:firstLine="0"/>
              <w:jc w:val="center"/>
              <w:pageBreakBefore w:val="0"/>
              <w:spacing w:line="360" w:lineRule="auto"/>
              <w:rPr>
                <w:rFonts w:hint="default" w:ascii="宋体" w:hAnsi="宋体" w:eastAsia="宋体" w:cs="宋体"/>
                <w:b/>
                <w:color w:val="auto"/>
                <w:sz w:val="24"/>
                <w:highlight w:val="none"/>
                <w:lang w:val="en-US" w:eastAsia="zh-Hans" w:bidi="ar-SA"/>
              </w:rPr>
            </w:pPr>
            <w:r>
              <w:rPr>
                <w:rFonts w:hint="eastAsia" w:ascii="宋体" w:hAnsi="宋体" w:eastAsia="宋体" w:cs="宋体"/>
                <w:b/>
                <w:color w:val="auto"/>
                <w:sz w:val="24"/>
                <w:highlight w:val="none"/>
                <w:lang w:val="en-US" w:eastAsia="zh-Hans" w:bidi="ar-SA"/>
              </w:rPr>
              <w:t xml:space="preserve">采购</w:t>
            </w:r>
            <w:r/>
          </w:p>
          <w:p>
            <w:pPr>
              <w:ind w:firstLine="0"/>
              <w:jc w:val="center"/>
              <w:pageBreakBefore w:val="0"/>
              <w:spacing w:line="360" w:lineRule="auto"/>
              <w:rPr>
                <w:rFonts w:hint="default" w:ascii="宋体" w:hAnsi="宋体" w:eastAsia="宋体" w:cs="宋体"/>
                <w:color w:val="auto"/>
                <w:highlight w:val="none"/>
                <w:lang w:val="en-US" w:eastAsia="zh-CN" w:bidi="ar-SA"/>
              </w:rPr>
            </w:pPr>
            <w:r>
              <w:rPr>
                <w:rFonts w:hint="eastAsia" w:ascii="宋体" w:hAnsi="宋体" w:eastAsia="宋体" w:cs="宋体"/>
                <w:b/>
                <w:color w:val="auto"/>
                <w:sz w:val="24"/>
                <w:highlight w:val="none"/>
                <w:lang w:val="en-US" w:eastAsia="zh-CN" w:bidi="ar-SA"/>
              </w:rPr>
              <w:t xml:space="preserve">内容</w:t>
            </w:r>
            <w:r/>
          </w:p>
        </w:tc>
        <w:tc>
          <w:tcPr>
            <w:shd w:val="clear" w:color="auto" w:fill="eeece1"/>
            <w:tcBorders>
              <w:top w:val="single" w:color="000000" w:sz="8" w:space="0"/>
              <w:left w:val="single" w:color="000000" w:sz="4" w:space="0"/>
              <w:bottom w:val="single" w:color="000000" w:sz="4" w:space="0"/>
              <w:right w:val="single" w:color="000000" w:sz="4" w:space="0"/>
            </w:tcBorders>
            <w:tcMar>
              <w:left w:w="105" w:type="dxa"/>
              <w:top w:w="0" w:type="dxa"/>
              <w:right w:w="105" w:type="dxa"/>
              <w:bottom w:w="0" w:type="dxa"/>
            </w:tcMar>
            <w:tcW w:w="373"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b/>
                <w:color w:val="auto"/>
                <w:sz w:val="24"/>
                <w:highlight w:val="none"/>
                <w:lang w:val="en-US" w:eastAsia="zh-Hans" w:bidi="ar-SA"/>
              </w:rPr>
              <w:t xml:space="preserve">数量</w:t>
            </w:r>
            <w:r/>
          </w:p>
        </w:tc>
        <w:tc>
          <w:tcPr>
            <w:shd w:val="clear" w:color="auto" w:fill="eeece1"/>
            <w:tcBorders>
              <w:top w:val="single" w:color="000000" w:sz="8" w:space="0"/>
              <w:left w:val="single" w:color="000000" w:sz="4" w:space="0"/>
              <w:bottom w:val="single" w:color="000000" w:sz="4" w:space="0"/>
              <w:right w:val="single" w:color="000000" w:sz="4" w:space="0"/>
            </w:tcBorders>
            <w:tcMar>
              <w:left w:w="105" w:type="dxa"/>
              <w:top w:w="0" w:type="dxa"/>
              <w:right w:w="105" w:type="dxa"/>
              <w:bottom w:w="0" w:type="dxa"/>
            </w:tcMar>
            <w:tcW w:w="398"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b/>
                <w:color w:val="auto"/>
                <w:sz w:val="24"/>
                <w:highlight w:val="none"/>
                <w:lang w:val="en-US" w:eastAsia="zh-Hans" w:bidi="ar-SA"/>
              </w:rPr>
              <w:t xml:space="preserve">改造期限</w:t>
            </w:r>
            <w:r/>
          </w:p>
        </w:tc>
        <w:tc>
          <w:tcPr>
            <w:shd w:val="clear" w:color="auto" w:fill="eeece1"/>
            <w:tcBorders>
              <w:top w:val="single" w:color="000000" w:sz="8" w:space="0"/>
              <w:left w:val="single" w:color="000000" w:sz="4" w:space="0"/>
              <w:bottom w:val="single" w:color="000000" w:sz="4" w:space="0"/>
              <w:right w:val="single" w:color="000000" w:sz="4" w:space="0"/>
            </w:tcBorders>
            <w:tcMar>
              <w:left w:w="105" w:type="dxa"/>
              <w:top w:w="0" w:type="dxa"/>
              <w:right w:w="105" w:type="dxa"/>
              <w:bottom w:w="0" w:type="dxa"/>
            </w:tcMar>
            <w:tcW w:w="447"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b/>
                <w:color w:val="auto"/>
                <w:sz w:val="24"/>
                <w:highlight w:val="none"/>
                <w:lang w:val="en-US" w:eastAsia="zh-Hans" w:bidi="ar-SA"/>
              </w:rPr>
              <w:t xml:space="preserve">托管期限</w:t>
            </w:r>
            <w:r/>
          </w:p>
        </w:tc>
        <w:tc>
          <w:tcPr>
            <w:shd w:val="clear" w:color="auto" w:fill="eeece1"/>
            <w:tcBorders>
              <w:top w:val="single" w:color="000000" w:sz="8" w:space="0"/>
              <w:left w:val="single" w:color="000000" w:sz="4" w:space="0"/>
              <w:bottom w:val="single" w:color="000000" w:sz="4" w:space="0"/>
              <w:right w:val="single" w:color="000000" w:sz="4" w:space="0"/>
            </w:tcBorders>
            <w:tcMar>
              <w:left w:w="105" w:type="dxa"/>
              <w:top w:w="0" w:type="dxa"/>
              <w:right w:w="105" w:type="dxa"/>
              <w:bottom w:w="0" w:type="dxa"/>
            </w:tcMar>
            <w:tcW w:w="1132"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b/>
                <w:color w:val="auto"/>
                <w:sz w:val="24"/>
                <w:highlight w:val="none"/>
                <w:lang w:val="en-US" w:eastAsia="zh-Hans" w:bidi="ar-SA"/>
              </w:rPr>
              <w:t xml:space="preserve">能源托管费用最高限价</w:t>
            </w:r>
            <w:r/>
          </w:p>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b/>
                <w:color w:val="auto"/>
                <w:sz w:val="24"/>
                <w:highlight w:val="none"/>
                <w:lang w:val="en-US" w:eastAsia="zh-Hans" w:bidi="ar-SA"/>
              </w:rPr>
              <w:t xml:space="preserve">（人民币</w:t>
            </w:r>
            <w:r>
              <w:rPr>
                <w:rFonts w:hint="eastAsia" w:ascii="宋体" w:hAnsi="宋体" w:eastAsia="宋体" w:cs="宋体"/>
                <w:b/>
                <w:color w:val="auto"/>
                <w:sz w:val="24"/>
                <w:highlight w:val="none"/>
                <w:lang w:val="en-US" w:eastAsia="zh-CN" w:bidi="ar-SA"/>
              </w:rPr>
              <w:t xml:space="preserve">万</w:t>
            </w:r>
            <w:r>
              <w:rPr>
                <w:rFonts w:hint="eastAsia" w:ascii="宋体" w:hAnsi="宋体" w:eastAsia="宋体" w:cs="宋体"/>
                <w:b/>
                <w:color w:val="auto"/>
                <w:sz w:val="24"/>
                <w:highlight w:val="none"/>
                <w:lang w:val="en-US" w:eastAsia="zh-Hans" w:bidi="ar-SA"/>
              </w:rPr>
              <w:t xml:space="preserve">元/年）</w:t>
            </w:r>
            <w:r/>
          </w:p>
        </w:tc>
        <w:tc>
          <w:tcPr>
            <w:shd w:val="clear" w:color="auto" w:fill="eeece1"/>
            <w:tcBorders>
              <w:top w:val="single" w:color="000000" w:sz="8" w:space="0"/>
              <w:left w:val="single" w:color="000000" w:sz="4" w:space="0"/>
              <w:bottom w:val="single" w:color="000000" w:sz="4" w:space="0"/>
              <w:right w:val="single" w:color="000000" w:sz="8" w:space="0"/>
            </w:tcBorders>
            <w:tcMar>
              <w:left w:w="105" w:type="dxa"/>
              <w:top w:w="0" w:type="dxa"/>
              <w:right w:w="105" w:type="dxa"/>
              <w:bottom w:w="0" w:type="dxa"/>
            </w:tcMar>
            <w:tcW w:w="2055"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b/>
                <w:color w:val="auto"/>
                <w:sz w:val="24"/>
                <w:highlight w:val="none"/>
                <w:lang w:val="en-US" w:eastAsia="zh-Hans" w:bidi="ar-SA"/>
              </w:rPr>
              <w:t xml:space="preserve">能源托管基准量</w:t>
            </w:r>
            <w:r/>
          </w:p>
        </w:tc>
      </w:tr>
      <w:tr>
        <w:trPr/>
        <w:tc>
          <w:tcPr>
            <w:tcBorders>
              <w:top w:val="single" w:color="000000" w:sz="4" w:space="0"/>
              <w:left w:val="single" w:color="000000" w:sz="8" w:space="0"/>
              <w:bottom w:val="single" w:color="000000" w:sz="8" w:space="0"/>
              <w:right w:val="single" w:color="000000" w:sz="4" w:space="0"/>
            </w:tcBorders>
            <w:tcMar>
              <w:left w:w="105" w:type="dxa"/>
              <w:top w:w="0" w:type="dxa"/>
              <w:right w:w="105" w:type="dxa"/>
              <w:bottom w:w="0" w:type="dxa"/>
            </w:tcMar>
            <w:tcW w:w="592"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CN" w:bidi="ar-SA"/>
              </w:rPr>
            </w:pPr>
            <w:r>
              <w:rPr>
                <w:rFonts w:hint="eastAsia" w:ascii="宋体" w:hAnsi="宋体" w:cs="宋体"/>
                <w:color w:val="auto"/>
                <w:sz w:val="24"/>
                <w:szCs w:val="24"/>
                <w:highlight w:val="none"/>
                <w:lang w:val="en-US" w:eastAsia="zh-CN" w:bidi="ar-SA"/>
              </w:rPr>
              <w:t xml:space="preserve">武进区公共机构能源费用托管项目</w:t>
            </w:r>
            <w:r/>
          </w:p>
        </w:tc>
        <w:tc>
          <w:tcPr>
            <w:tcBorders>
              <w:top w:val="single" w:color="000000" w:sz="4" w:space="0"/>
              <w:left w:val="single" w:color="000000" w:sz="4" w:space="0"/>
              <w:bottom w:val="single" w:color="000000" w:sz="8" w:space="0"/>
              <w:right w:val="single" w:color="000000" w:sz="4" w:space="0"/>
            </w:tcBorders>
            <w:tcMar>
              <w:left w:w="105" w:type="dxa"/>
              <w:top w:w="0" w:type="dxa"/>
              <w:right w:w="105" w:type="dxa"/>
              <w:bottom w:w="0" w:type="dxa"/>
            </w:tcMar>
            <w:tcW w:w="373"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color w:val="auto"/>
                <w:sz w:val="24"/>
                <w:highlight w:val="none"/>
                <w:lang w:val="en-US" w:eastAsia="zh-Hans" w:bidi="ar-SA"/>
              </w:rPr>
              <w:t xml:space="preserve">1项</w:t>
            </w:r>
            <w:r/>
          </w:p>
        </w:tc>
        <w:tc>
          <w:tcPr>
            <w:tcBorders>
              <w:top w:val="single" w:color="000000" w:sz="4" w:space="0"/>
              <w:left w:val="single" w:color="000000" w:sz="4" w:space="0"/>
              <w:bottom w:val="single" w:color="000000" w:sz="8" w:space="0"/>
              <w:right w:val="single" w:color="000000" w:sz="4" w:space="0"/>
            </w:tcBorders>
            <w:tcMar>
              <w:left w:w="105" w:type="dxa"/>
              <w:top w:w="0" w:type="dxa"/>
              <w:right w:w="105" w:type="dxa"/>
              <w:bottom w:w="0" w:type="dxa"/>
            </w:tcMar>
            <w:tcW w:w="398"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color w:val="auto"/>
                <w:sz w:val="24"/>
                <w:highlight w:val="none"/>
                <w:lang w:val="en-US" w:eastAsia="zh-CN" w:bidi="ar-SA"/>
              </w:rPr>
              <w:t xml:space="preserve">1</w:t>
            </w:r>
            <w:r>
              <w:rPr>
                <w:rFonts w:hint="eastAsia" w:ascii="宋体" w:hAnsi="宋体" w:eastAsia="宋体" w:cs="宋体"/>
                <w:color w:val="auto"/>
                <w:sz w:val="24"/>
                <w:highlight w:val="none"/>
                <w:lang w:val="en-US" w:eastAsia="zh-Hans" w:bidi="ar-SA"/>
              </w:rPr>
              <w:t xml:space="preserve">年</w:t>
            </w:r>
            <w:r/>
          </w:p>
        </w:tc>
        <w:tc>
          <w:tcPr>
            <w:tcBorders>
              <w:top w:val="single" w:color="000000" w:sz="4" w:space="0"/>
              <w:left w:val="single" w:color="000000" w:sz="4" w:space="0"/>
              <w:bottom w:val="single" w:color="000000" w:sz="8" w:space="0"/>
              <w:right w:val="single" w:color="000000" w:sz="4" w:space="0"/>
            </w:tcBorders>
            <w:tcMar>
              <w:left w:w="105" w:type="dxa"/>
              <w:top w:w="0" w:type="dxa"/>
              <w:right w:w="105" w:type="dxa"/>
              <w:bottom w:w="0" w:type="dxa"/>
            </w:tcMar>
            <w:tcW w:w="447" w:type="pct"/>
            <w:vAlign w:val="center"/>
            <w:textDirection w:val="lrTb"/>
            <w:noWrap w:val="false"/>
          </w:tcPr>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color w:val="auto"/>
                <w:sz w:val="24"/>
                <w:highlight w:val="none"/>
                <w:lang w:val="en-US" w:eastAsia="zh-Hans" w:bidi="ar-SA"/>
              </w:rPr>
              <w:t xml:space="preserve">10年</w:t>
            </w:r>
            <w:r/>
          </w:p>
        </w:tc>
        <w:tc>
          <w:tcPr>
            <w:tcBorders>
              <w:top w:val="single" w:color="000000" w:sz="4" w:space="0"/>
              <w:left w:val="single" w:color="000000" w:sz="4" w:space="0"/>
              <w:bottom w:val="single" w:color="000000" w:sz="8" w:space="0"/>
              <w:right w:val="single" w:color="000000" w:sz="4" w:space="0"/>
            </w:tcBorders>
            <w:tcMar>
              <w:left w:w="105" w:type="dxa"/>
              <w:top w:w="0" w:type="dxa"/>
              <w:right w:w="105" w:type="dxa"/>
              <w:bottom w:w="0" w:type="dxa"/>
            </w:tcMar>
            <w:tcW w:w="1132" w:type="pct"/>
            <w:vAlign w:val="center"/>
            <w:textDirection w:val="lrTb"/>
            <w:noWrap w:val="false"/>
          </w:tcPr>
          <w:p>
            <w:pPr>
              <w:ind w:firstLine="0"/>
              <w:jc w:val="center"/>
              <w:pageBreakBefore w:val="0"/>
              <w:spacing w:line="360" w:lineRule="auto"/>
              <w:rPr>
                <w:rFonts w:hint="default" w:ascii="宋体" w:hAnsi="宋体" w:eastAsia="宋体" w:cs="宋体"/>
                <w:color w:val="auto"/>
                <w:sz w:val="32"/>
                <w:szCs w:val="32"/>
                <w:highlight w:val="none"/>
                <w:lang w:val="en-US" w:eastAsia="zh-CN" w:bidi="ar-SA"/>
              </w:rPr>
            </w:pPr>
            <w:r>
              <w:rPr>
                <w:rFonts w:hint="eastAsia" w:ascii="宋体" w:hAnsi="宋体" w:eastAsia="宋体" w:cs="Times New Roman"/>
                <w:color w:val="auto"/>
                <w:sz w:val="24"/>
                <w:szCs w:val="18"/>
                <w:highlight w:val="none"/>
                <w:lang w:val="en-US" w:eastAsia="zh-Hans" w:bidi="ar"/>
              </w:rPr>
              <w:t xml:space="preserve">13892.3206</w:t>
            </w:r>
            <w:r/>
          </w:p>
        </w:tc>
        <w:tc>
          <w:tcPr>
            <w:tcBorders>
              <w:top w:val="single" w:color="000000" w:sz="4" w:space="0"/>
              <w:left w:val="single" w:color="000000" w:sz="4" w:space="0"/>
              <w:bottom w:val="single" w:color="000000" w:sz="8" w:space="0"/>
              <w:right w:val="single" w:color="000000" w:sz="8" w:space="0"/>
            </w:tcBorders>
            <w:tcMar>
              <w:left w:w="105" w:type="dxa"/>
              <w:top w:w="0" w:type="dxa"/>
              <w:right w:w="105" w:type="dxa"/>
              <w:bottom w:w="0" w:type="dxa"/>
            </w:tcMar>
            <w:tcW w:w="2055" w:type="pct"/>
            <w:vAlign w:val="center"/>
            <w:textDirection w:val="lrTb"/>
            <w:noWrap w:val="false"/>
          </w:tcPr>
          <w:p>
            <w:pPr>
              <w:ind w:firstLine="0"/>
              <w:jc w:val="center"/>
              <w:pageBreakBefore w:val="0"/>
              <w:spacing w:line="360" w:lineRule="auto"/>
              <w:rPr>
                <w:rFonts w:hint="default" w:ascii="宋体" w:hAnsi="宋体" w:eastAsia="宋体" w:cs="宋体"/>
                <w:color w:val="auto"/>
                <w:sz w:val="24"/>
                <w:highlight w:val="none"/>
                <w:lang w:val="en-US" w:eastAsia="zh-Hans" w:bidi="ar-SA"/>
              </w:rPr>
            </w:pPr>
            <w:r>
              <w:rPr>
                <w:rFonts w:hint="eastAsia" w:ascii="宋体" w:hAnsi="宋体" w:eastAsia="宋体" w:cs="宋体"/>
                <w:color w:val="auto"/>
                <w:sz w:val="24"/>
                <w:highlight w:val="none"/>
                <w:lang w:val="en-US" w:eastAsia="zh-Hans" w:bidi="ar-SA"/>
              </w:rPr>
              <w:t xml:space="preserve">能源托管基准</w:t>
            </w:r>
            <w:r>
              <w:rPr>
                <w:rFonts w:hint="eastAsia" w:ascii="宋体" w:hAnsi="宋体" w:eastAsia="宋体" w:cs="宋体"/>
                <w:b/>
                <w:color w:val="auto"/>
                <w:sz w:val="24"/>
                <w:highlight w:val="none"/>
                <w:lang w:val="en-US" w:eastAsia="zh-Hans" w:bidi="ar-SA"/>
              </w:rPr>
              <w:t xml:space="preserve">量</w:t>
            </w:r>
            <w:r>
              <w:rPr>
                <w:rFonts w:hint="eastAsia" w:ascii="宋体" w:hAnsi="宋体" w:eastAsia="宋体" w:cs="宋体"/>
                <w:color w:val="auto"/>
                <w:sz w:val="24"/>
                <w:highlight w:val="none"/>
                <w:lang w:val="en-US" w:eastAsia="zh-Hans" w:bidi="ar-SA"/>
              </w:rPr>
              <w:t xml:space="preserve">：</w:t>
            </w:r>
            <w:r/>
          </w:p>
          <w:p>
            <w:pPr>
              <w:ind w:firstLine="0"/>
              <w:jc w:val="center"/>
              <w:pageBreakBefore w:val="0"/>
              <w:spacing w:line="360" w:lineRule="auto"/>
              <w:rPr>
                <w:rFonts w:hint="default" w:ascii="宋体" w:hAnsi="宋体" w:eastAsia="宋体" w:cs="宋体"/>
                <w:color w:val="auto"/>
                <w:sz w:val="24"/>
                <w:highlight w:val="none"/>
                <w:lang w:val="en-US" w:eastAsia="zh-Hans" w:bidi="ar-SA"/>
              </w:rPr>
            </w:pPr>
            <w:r>
              <w:rPr>
                <w:rFonts w:hint="eastAsia" w:ascii="宋体" w:hAnsi="宋体" w:eastAsia="宋体" w:cs="宋体"/>
                <w:color w:val="auto"/>
                <w:sz w:val="24"/>
                <w:highlight w:val="none"/>
                <w:lang w:val="en-US" w:eastAsia="zh-CN" w:bidi="ar-SA"/>
              </w:rPr>
              <w:t xml:space="preserve">电：164219043</w:t>
            </w:r>
            <w:r>
              <w:rPr>
                <w:rFonts w:hint="eastAsia" w:ascii="宋体" w:hAnsi="宋体" w:eastAsia="宋体" w:cs="宋体"/>
                <w:color w:val="auto"/>
                <w:sz w:val="24"/>
                <w:highlight w:val="none"/>
                <w:lang w:val="en-US" w:eastAsia="zh-Hans" w:bidi="ar-SA"/>
              </w:rPr>
              <w:t xml:space="preserve">千瓦时/年；</w:t>
            </w:r>
            <w:r/>
          </w:p>
          <w:p>
            <w:pPr>
              <w:ind w:firstLine="0"/>
              <w:jc w:val="center"/>
              <w:pageBreakBefore w:val="0"/>
              <w:spacing w:line="360" w:lineRule="auto"/>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水：4058500m³/年</w:t>
            </w:r>
            <w:r>
              <w:rPr>
                <w:rFonts w:hint="eastAsia" w:ascii="宋体" w:hAnsi="宋体" w:eastAsia="宋体" w:cs="宋体"/>
                <w:color w:val="auto"/>
                <w:sz w:val="24"/>
                <w:highlight w:val="none"/>
                <w:lang w:val="en-US" w:eastAsia="zh-Hans" w:bidi="ar-SA"/>
              </w:rPr>
              <w:t xml:space="preserve">；</w:t>
            </w:r>
            <w:r/>
          </w:p>
          <w:p>
            <w:pPr>
              <w:ind w:firstLine="0"/>
              <w:jc w:val="center"/>
              <w:pageBreakBefore w:val="0"/>
              <w:spacing w:line="360" w:lineRule="auto"/>
              <w:rPr>
                <w:rFonts w:hint="default" w:ascii="宋体" w:hAnsi="宋体" w:eastAsia="宋体" w:cs="宋体"/>
                <w:color w:val="auto"/>
                <w:highlight w:val="none"/>
                <w:lang w:val="en-US" w:eastAsia="zh-Hans" w:bidi="ar-SA"/>
              </w:rPr>
            </w:pPr>
            <w:r>
              <w:rPr>
                <w:rFonts w:hint="eastAsia" w:ascii="宋体" w:hAnsi="宋体" w:eastAsia="宋体" w:cs="宋体"/>
                <w:color w:val="auto"/>
                <w:sz w:val="24"/>
                <w:highlight w:val="none"/>
                <w:lang w:val="en-US" w:eastAsia="zh-CN" w:bidi="ar-SA"/>
              </w:rPr>
              <w:t xml:space="preserve">气：4048947m³/年</w:t>
            </w:r>
            <w:r>
              <w:rPr>
                <w:rFonts w:hint="eastAsia" w:ascii="宋体" w:hAnsi="宋体" w:eastAsia="宋体" w:cs="宋体"/>
                <w:color w:val="auto"/>
                <w:sz w:val="24"/>
                <w:highlight w:val="none"/>
                <w:lang w:val="en-US" w:eastAsia="zh-Hans" w:bidi="ar-SA"/>
              </w:rPr>
              <w:t xml:space="preserve">；</w:t>
            </w:r>
            <w:r/>
          </w:p>
        </w:tc>
      </w:tr>
    </w:tbl>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服务期内容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托管服务范围包含：水电气能源费用托收、能源管理一张网软件平台建设、综合节能改造（含计量控制、设备更新改造、分布式光伏等）、运行维护管理、市场化购电服务、碳资产管理等。</w:t>
      </w:r>
      <w:r/>
    </w:p>
    <w:p>
      <w:pPr>
        <w:ind w:firstLine="0"/>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2.服务内容要求</w:t>
      </w:r>
      <w:r/>
    </w:p>
    <w:p>
      <w:pPr>
        <w:ind w:left="259" w:hanging="41"/>
        <w:keepLines w:val="0"/>
        <w:keepNext w:val="0"/>
        <w:pageBreakBefore w:val="0"/>
        <w:spacing w:line="360" w:lineRule="auto"/>
        <w:widowControl w:val="off"/>
        <w:rPr>
          <w:rFonts w:hint="default" w:ascii="宋体" w:hAnsi="宋体" w:eastAsia="宋体" w:cs="宋体"/>
          <w:b/>
          <w:sz w:val="24"/>
          <w:szCs w:val="24"/>
          <w:highlight w:val="none"/>
        </w:rPr>
      </w:pPr>
      <w:r>
        <w:rPr>
          <w:rFonts w:hint="eastAsia" w:ascii="宋体" w:hAnsi="宋体" w:eastAsia="宋体" w:cs="宋体"/>
          <w:b/>
          <w:bCs/>
          <w:sz w:val="24"/>
          <w:szCs w:val="24"/>
          <w:highlight w:val="none"/>
        </w:rPr>
        <w:t xml:space="preserve">2.1</w:t>
      </w:r>
      <w:r>
        <w:rPr>
          <w:rFonts w:hint="eastAsia" w:ascii="宋体" w:hAnsi="宋体" w:eastAsia="宋体" w:cs="宋体"/>
          <w:b/>
          <w:sz w:val="24"/>
          <w:szCs w:val="24"/>
          <w:highlight w:val="none"/>
        </w:rPr>
        <w:t xml:space="preserve">水电气能源费用缴纳</w:t>
      </w:r>
      <w:r/>
    </w:p>
    <w:p>
      <w:pPr>
        <w:ind w:left="482"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cs="宋体"/>
          <w:sz w:val="24"/>
          <w:szCs w:val="24"/>
          <w:highlight w:val="none"/>
          <w:lang w:val="en-US" w:eastAsia="zh-CN"/>
        </w:rPr>
        <w:t xml:space="preserve">216</w:t>
      </w:r>
      <w:r>
        <w:rPr>
          <w:rFonts w:hint="eastAsia" w:ascii="宋体" w:hAnsi="宋体" w:eastAsia="宋体" w:cs="宋体"/>
          <w:sz w:val="24"/>
          <w:szCs w:val="24"/>
          <w:highlight w:val="none"/>
        </w:rPr>
        <w:t xml:space="preserve">家公共机构按月支付能源托管费用（按照中标价除以12）给中标单位，中标单位负责</w:t>
      </w:r>
      <w:r>
        <w:rPr>
          <w:rFonts w:hint="eastAsia" w:ascii="宋体" w:hAnsi="宋体" w:cs="宋体"/>
          <w:sz w:val="24"/>
          <w:szCs w:val="24"/>
          <w:highlight w:val="none"/>
          <w:lang w:val="en-US" w:eastAsia="zh-CN"/>
        </w:rPr>
        <w:t xml:space="preserve">216</w:t>
      </w:r>
      <w:r>
        <w:rPr>
          <w:rFonts w:hint="eastAsia" w:ascii="宋体" w:hAnsi="宋体" w:eastAsia="宋体" w:cs="宋体"/>
          <w:sz w:val="24"/>
          <w:szCs w:val="24"/>
          <w:highlight w:val="none"/>
        </w:rPr>
        <w:t xml:space="preserve">家公共机构的水电气费用的按时缴纳（每月一次）。</w:t>
      </w:r>
      <w:r/>
    </w:p>
    <w:p>
      <w:pPr>
        <w:ind w:left="59" w:firstLine="159"/>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2.2能源管理“一张网”软件平台建设</w:t>
      </w:r>
      <w:r/>
    </w:p>
    <w:p>
      <w:pPr>
        <w:ind w:left="482" w:firstLine="480"/>
        <w:keepLines w:val="0"/>
        <w:keepNext w:val="0"/>
        <w:pageBreakBefore w:val="0"/>
        <w:spacing w:line="360" w:lineRule="auto"/>
        <w:widowControl w:val="off"/>
        <w:rPr>
          <w:rFonts w:hint="default" w:ascii="宋体" w:hAnsi="宋体" w:eastAsia="宋体" w:cs="宋体"/>
          <w:sz w:val="24"/>
          <w:szCs w:val="32"/>
          <w:highlight w:val="none"/>
        </w:rPr>
      </w:pPr>
      <w:r>
        <w:rPr>
          <w:rFonts w:hint="eastAsia" w:ascii="宋体" w:hAnsi="宋体" w:eastAsia="宋体" w:cs="宋体"/>
          <w:sz w:val="24"/>
          <w:szCs w:val="32"/>
          <w:highlight w:val="none"/>
        </w:rPr>
        <w:t xml:space="preserve">利用物联网、大数据、人工智能技术，通过构建公共机构节能管理信息化“一张网”平台，实时采集公共机构能耗数据、设备设施运行数据、能源消费行为数据，并对采集的数据进行分析、评估、建模，通过AI算法优化控制设备的运行，确保在满足正常办公需求的前提下，减少或避免能源浪费，最高效使用能源。通过“一张网”平台将能耗统计、绩效评优等工作由线下转至线上，由系统实时采集数据完成能耗统计工作，对统计数据进行分析辅助主管部门开展节约型公共机构等示范评选评优工作。一张网平台建设具体要求参见技术要求部分。</w:t>
      </w:r>
      <w:r/>
    </w:p>
    <w:p>
      <w:pPr>
        <w:ind w:left="59" w:firstLine="159"/>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2.3</w:t>
      </w:r>
      <w:r>
        <w:rPr>
          <w:rFonts w:hint="eastAsia" w:ascii="宋体" w:hAnsi="宋体" w:eastAsia="宋体" w:cs="宋体"/>
          <w:b/>
          <w:sz w:val="24"/>
          <w:szCs w:val="24"/>
          <w:highlight w:val="none"/>
        </w:rPr>
        <w:t xml:space="preserve">综合节能改造</w:t>
      </w:r>
      <w:r/>
    </w:p>
    <w:p>
      <w:pPr>
        <w:ind w:left="482"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2.3.1计量和控制</w:t>
      </w:r>
      <w:r/>
    </w:p>
    <w:p>
      <w:pPr>
        <w:ind w:left="482"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投标人在公共机构现场安装能源计量和控制设备，实现用电计量、用水计量、公共照明回路控制、开水器控制、空调末端控制、冷热源机房控制等内容，具体计量和控制颗粒度要求参见技术要求章节。</w:t>
      </w:r>
      <w:r/>
    </w:p>
    <w:p>
      <w:pPr>
        <w:ind w:left="482"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2.3.2设备更新改造</w:t>
      </w:r>
      <w:r/>
    </w:p>
    <w:p>
      <w:pPr>
        <w:ind w:left="482"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投标人需根据各公共机构供能系统和用能系统实际情况，实施包括：绿色照明替换、暖通空调设备更新、分布式光伏、空气源热水替代等一系列综合节能改造，降低整体能源消耗。中标人需紧跟市场相关节能设备和技术的迭代更新，选择技术先进、稳定可靠的主流节能技术产品，促进各公共机构持续保持高能效水平。</w:t>
      </w:r>
      <w:r/>
    </w:p>
    <w:p>
      <w:pPr>
        <w:ind w:left="482"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2.3.3分布式光伏建设</w:t>
      </w:r>
      <w:r/>
    </w:p>
    <w:p>
      <w:pPr>
        <w:ind w:left="482"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投标人根据各公共机构空闲屋顶资源及绿电消纳情况，建设分布式光伏系统。光伏合同周期为25年，托管期结束后的后15年，光伏发电量按当期国网代购电价9折卖给各公共机构。</w:t>
      </w:r>
      <w:r/>
    </w:p>
    <w:p>
      <w:pPr>
        <w:ind w:left="482" w:firstLine="480"/>
        <w:keepLines w:val="0"/>
        <w:keepNext w:val="0"/>
        <w:pageBreakBefore w:val="0"/>
        <w:spacing w:line="360" w:lineRule="auto"/>
        <w:widowControl w:val="off"/>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注：如果涉及到</w:t>
      </w:r>
      <w:r>
        <w:rPr>
          <w:rFonts w:hint="eastAsia" w:ascii="宋体" w:hAnsi="宋体" w:eastAsia="宋体" w:cs="宋体"/>
          <w:bCs/>
          <w:sz w:val="24"/>
          <w:szCs w:val="24"/>
          <w:highlight w:val="none"/>
        </w:rPr>
        <w:t xml:space="preserve">各公共机构空闲屋顶资源</w:t>
      </w:r>
      <w:r>
        <w:rPr>
          <w:rFonts w:hint="eastAsia" w:ascii="宋体" w:hAnsi="宋体" w:cs="宋体"/>
          <w:bCs/>
          <w:sz w:val="24"/>
          <w:szCs w:val="24"/>
          <w:highlight w:val="none"/>
          <w:lang w:val="en-US" w:eastAsia="zh-CN"/>
        </w:rPr>
        <w:t xml:space="preserve">甲方不承诺无偿使用。</w:t>
      </w:r>
      <w:r/>
    </w:p>
    <w:p>
      <w:pPr>
        <w:ind w:left="482"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ascii="Segoe UI Symbol" w:hAnsi="Segoe UI Symbol" w:cs="Segoe UI Symbol"/>
          <w:color w:val="000000"/>
          <w:sz w:val="24"/>
          <w:highlight w:val="none"/>
        </w:rPr>
        <w:t xml:space="preserve">★</w:t>
      </w:r>
      <w:r>
        <w:rPr>
          <w:rFonts w:hint="eastAsia" w:ascii="宋体" w:hAnsi="宋体" w:eastAsia="宋体" w:cs="宋体"/>
          <w:b/>
          <w:bCs/>
          <w:sz w:val="24"/>
          <w:szCs w:val="24"/>
          <w:highlight w:val="none"/>
          <w:lang w:val="en-US" w:eastAsia="zh-CN"/>
        </w:rPr>
        <w:t xml:space="preserve">2.3.4节能改造经费要求</w:t>
      </w:r>
      <w:r/>
    </w:p>
    <w:p>
      <w:pPr>
        <w:ind w:left="482" w:firstLine="480"/>
        <w:keepLines w:val="0"/>
        <w:keepNext w:val="0"/>
        <w:pageBreakBefore w:val="0"/>
        <w:spacing w:line="360" w:lineRule="auto"/>
        <w:widowControl w:val="off"/>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投标人须承诺在本项目节能改造部分，</w:t>
      </w:r>
      <w:r>
        <w:rPr>
          <w:rFonts w:hint="eastAsia" w:ascii="宋体" w:hAnsi="宋体" w:eastAsia="宋体" w:cs="宋体"/>
          <w:bCs/>
          <w:sz w:val="24"/>
          <w:szCs w:val="24"/>
          <w:highlight w:val="none"/>
          <w:lang w:val="en-US" w:eastAsia="zh-CN"/>
        </w:rPr>
        <w:t xml:space="preserve">节能改造费用不得低于5000万元</w:t>
      </w:r>
      <w:r>
        <w:rPr>
          <w:rFonts w:hint="eastAsia" w:ascii="宋体" w:hAnsi="宋体" w:cs="宋体"/>
          <w:bCs/>
          <w:sz w:val="24"/>
          <w:szCs w:val="24"/>
          <w:highlight w:val="none"/>
          <w:lang w:val="en-US" w:eastAsia="zh-CN"/>
        </w:rPr>
        <w:t xml:space="preserve">。后续改造费用使用须经第三方审计核查。（提供承诺函，格式自拟）</w:t>
      </w:r>
      <w:r/>
    </w:p>
    <w:p>
      <w:pPr>
        <w:ind w:left="419" w:hanging="60"/>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2.4</w:t>
      </w:r>
      <w:r>
        <w:rPr>
          <w:rFonts w:hint="eastAsia" w:ascii="宋体" w:hAnsi="宋体" w:eastAsia="宋体" w:cs="宋体"/>
          <w:b/>
          <w:sz w:val="24"/>
          <w:szCs w:val="24"/>
          <w:highlight w:val="none"/>
        </w:rPr>
        <w:t xml:space="preserve">运行维护管理</w:t>
      </w:r>
      <w:bookmarkStart w:id="1204" w:name="_GoBack"/>
      <w:r/>
      <w:bookmarkEnd w:id="1204"/>
      <w:r/>
      <w:r/>
    </w:p>
    <w:p>
      <w:pPr>
        <w:ind w:left="482"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中标人应在武进区组建本地化服务团队通过聚合资源、统筹规划，制定完备的用能管理制度和运营服务制度，开展精细化能源管理。中标人须承诺安排不少于8名专业能效管家驻场开展管理工作。对投入改造的软硬件产品进行维护，确保能源管理“一张网”平台安全、可靠运行，并优化运行管控策略，按季度提供运行分析报告。</w:t>
      </w:r>
      <w:r/>
    </w:p>
    <w:p>
      <w:pPr>
        <w:ind w:left="0"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2.5市场化售电服务</w:t>
      </w:r>
      <w:r/>
    </w:p>
    <w:p>
      <w:pPr>
        <w:ind w:left="0"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投标人需建立专业的电力交易服务团队，及时跟踪电力市场政策变化及价格波动，为采购人及下属单位提供电价走势分析、交易策略建议等服务；在电力供应紧张或市场异常时，需提前预警并制定应对方案，确保供电稳定。</w:t>
      </w:r>
      <w:r/>
    </w:p>
    <w:p>
      <w:pPr>
        <w:ind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2.6碳资产管理</w:t>
      </w:r>
      <w:r/>
    </w:p>
    <w:p>
      <w:pPr>
        <w:ind w:left="0"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中标人在合同期内，将碳资产管理作为能源托管核心组成部分，与节能改造、运维、能源管理系统深度融合，实现“节能降碳一体化”，支撑招标人绿色低碳评级与碳履约合规。主要工作内容包括：按年出具碳排放核查报告，每年对碳资产进行价值评估，制定碳资产交易、质押、抵消等价值实现方案，并根据采购人的要求参与CCER等。</w:t>
      </w:r>
      <w:r/>
    </w:p>
    <w:p>
      <w:pPr>
        <w:ind w:left="0"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2.7完成省级示范项目验收</w:t>
      </w:r>
      <w:r/>
    </w:p>
    <w:p>
      <w:pPr>
        <w:ind w:left="0"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中标人应按照合同约定完成所有建设内容，并协助主管部门完成省级示范项目验收的所有技术支撑工作。</w:t>
      </w:r>
      <w:r/>
    </w:p>
    <w:p>
      <w:pPr>
        <w:ind w:firstLine="0"/>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3.主要技术要求</w:t>
      </w:r>
      <w:r/>
    </w:p>
    <w:p>
      <w:pPr>
        <w:ind w:firstLine="643"/>
        <w:jc w:val="both"/>
        <w:keepLines/>
        <w:keepNext/>
        <w:pageBreakBefore w:val="0"/>
        <w:spacing w:before="0" w:after="0" w:line="360" w:lineRule="auto"/>
        <w:widowControl w:val="off"/>
        <w:rPr>
          <w:rFonts w:ascii="Calibri" w:hAnsi="Calibri" w:eastAsia="宋体" w:cs="Times New Roman"/>
          <w:b/>
          <w:bCs/>
          <w:sz w:val="32"/>
          <w:szCs w:val="32"/>
          <w:highlight w:val="none"/>
          <w:lang w:val="en-US" w:eastAsia="zh-CN" w:bidi="ar-SA"/>
        </w:rPr>
        <w:outlineLvl w:val="2"/>
      </w:pPr>
      <w:r>
        <w:rPr>
          <w:rFonts w:hint="eastAsia" w:ascii="Calibri" w:hAnsi="Calibri" w:eastAsia="宋体" w:cs="Times New Roman"/>
          <w:b/>
          <w:bCs/>
          <w:sz w:val="32"/>
          <w:szCs w:val="32"/>
          <w:highlight w:val="none"/>
          <w:lang w:val="en-US" w:eastAsia="zh-CN" w:bidi="ar-SA"/>
        </w:rPr>
        <w:t xml:space="preserve">3.1.能源管理“一张网”软件平台技术要求</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3.1.1.平台总体要求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1）平台应采用云技术、分布式、集群架构设计，确保平台的并发性、扩展性和适应性。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2）平台应支持平台管理者、运营服务者、区域管理者、行业管理者、公共机构管理者等多租户、多用户设计。</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3）平台应采用MQTT标准协议（基于发布/订阅模式的轻量级物联网通信协议），确保系统的兼容性、扩展性和可维护性。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4）平台标准协议中间件服务并发连接数应不低于5W，支持设备单控和批量集控。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5）平台设计应支持安全认证以及分租户、分用户权限访问控制。</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3.1.2.平台架构要求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平台总体架构可以按照“端、边、云”进行分层架构设计，各层定位如下：</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端：狭义的包括各类仪表、传感器、控制器等，负责对现场用能设备进行感知或控制的装置；广义的包括主站、网关或采集器等，负责与感知或控制装置进行通讯，实现总线信号到网络信号的转换。</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边：包括集成柜、控制柜、边缘节点等，以机房或楼宇为单位，南向负责集成汇聚各类端，北向负责与云侧进行交互，同时具有支持协调控制、边缘计算、负载均衡和第三方对接能力，因此边侧具备的能力包括：①兼容各类通讯服务；②逻辑存储服务；③逻辑执行服务；④触发回调机制；⑤一定的数据处理、存储服务。</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云：基于互联网，采用分布式、高并发，面向“多租户”提供统一的一张网平台宏观管理和节能运营服务。南向负责集成汇聚各类边侧，北向负责支撑各类云服务应用。</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3.1.3.平台设计要求</w:t>
      </w:r>
      <w:r/>
    </w:p>
    <w:p>
      <w:pPr>
        <w:ind w:firstLine="482"/>
        <w:pageBreakBefore w:val="0"/>
        <w:spacing w:line="360" w:lineRule="auto"/>
        <w:widowControl w:val="off"/>
        <w:rPr>
          <w:rFonts w:hint="default" w:ascii="宋体" w:hAnsi="宋体" w:eastAsia="宋体"/>
          <w:b/>
          <w:sz w:val="24"/>
          <w:szCs w:val="24"/>
          <w:highlight w:val="none"/>
        </w:rPr>
      </w:pPr>
      <w:r>
        <w:rPr>
          <w:rFonts w:hint="eastAsia" w:ascii="宋体" w:hAnsi="宋体" w:eastAsia="宋体"/>
          <w:b/>
          <w:sz w:val="24"/>
          <w:szCs w:val="24"/>
          <w:highlight w:val="none"/>
        </w:rPr>
        <w:t xml:space="preserve">1）总体设计要求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①数字化底座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全方位数字传感技术的应用是一张网平台的数据底座，通过将计量场景、末端场景、BA场景等各类传感设备集成互联，实现数字孪生，构建可计量、可监测、可控制的数字化物联网底座。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②能耗计量</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能耗数据是节能成效核查和确认的依据，能耗精准计量一方面要及时的捕捉用能变化，另一方面可以对增量数据进行量化。</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③设备管控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能耗设备的管控是节能的重要抓手，设备管控需要在符合法律法规前提下，满足用户基本用能需求基础上实现节能，因此需要具备精准化、智能化的管控能力，一方面避免用能浪费，另一方面实现按需、个性的用能精细管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④AI智控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人工智能新技术在整县制能源费用托管场景的赋能应用，将成为公共机构实现碳达峰、碳中双碳目标的核心推动力。基于云边端协同神经网络架构，通过运用AI自控新技术，对控制链路进行分层设计和协同设计，建立用能数据、运行数据和用户行为的捕捉，形成数据分析、学习迭代、模型建立的能力，通过下发边、端控制的执行，构建完整的AI学习控制链路闭环。以“数据驱动”实现精准数字化能源管理的AI赋能，实现大规模用能设施的管控，提升能源管理运营服务水平。</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⑤开放性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平台应具备开放性能力和对接要求，以实现数据共享和价值利用，具体要求包括：</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（1）南向支持MQTT标准设备接入</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（2）北向支持MQTT标准数据对接</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（3）支持应用集成和二次开发能力</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（4）支持与省平台数据传输对接功能</w:t>
      </w:r>
      <w:r/>
    </w:p>
    <w:p>
      <w:pPr>
        <w:ind w:firstLine="482"/>
        <w:pageBreakBefore w:val="0"/>
        <w:spacing w:line="360" w:lineRule="auto"/>
        <w:widowControl w:val="off"/>
        <w:rPr>
          <w:rFonts w:hint="default" w:ascii="宋体" w:hAnsi="宋体" w:eastAsia="宋体"/>
          <w:b/>
          <w:sz w:val="24"/>
          <w:szCs w:val="24"/>
          <w:highlight w:val="none"/>
        </w:rPr>
      </w:pPr>
      <w:r>
        <w:rPr>
          <w:rFonts w:hint="eastAsia" w:ascii="宋体" w:hAnsi="宋体" w:eastAsia="宋体"/>
          <w:b/>
          <w:sz w:val="24"/>
          <w:szCs w:val="24"/>
          <w:highlight w:val="none"/>
        </w:rPr>
        <w:t xml:space="preserve">2）用户设计要求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平台应采用多租户，多用户体系设计，用户、项目和数据能按租户进行隔离独立管理。</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用户角色应支持整区主管者角色（主管部门单位）、行业主管者角色（行业主管单位）、项目管理者角色（机构单位）和平台管理者角色（托管运营单位）。</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子系统和系统功能按照不同角色需求进行设计。</w:t>
      </w:r>
      <w:r/>
    </w:p>
    <w:p>
      <w:pPr>
        <w:ind w:firstLine="482"/>
        <w:pageBreakBefore w:val="0"/>
        <w:spacing w:line="360" w:lineRule="auto"/>
        <w:widowControl w:val="off"/>
        <w:rPr>
          <w:rFonts w:hint="default" w:ascii="宋体" w:hAnsi="宋体" w:eastAsia="宋体"/>
          <w:b/>
          <w:sz w:val="24"/>
          <w:szCs w:val="24"/>
          <w:highlight w:val="none"/>
        </w:rPr>
      </w:pPr>
      <w:r>
        <w:rPr>
          <w:rFonts w:hint="eastAsia" w:ascii="宋体" w:hAnsi="宋体" w:eastAsia="宋体"/>
          <w:b/>
          <w:sz w:val="24"/>
          <w:szCs w:val="24"/>
          <w:highlight w:val="none"/>
        </w:rPr>
        <w:t xml:space="preserve">3）接入设计要求</w:t>
      </w:r>
      <w:r/>
    </w:p>
    <w:p>
      <w:pPr>
        <w:ind w:firstLine="480"/>
        <w:pageBreakBefore w:val="0"/>
        <w:spacing w:line="360" w:lineRule="auto"/>
        <w:widowControl w:val="off"/>
        <w:rPr>
          <w:rFonts w:hint="default" w:ascii="宋体" w:hAnsi="宋体" w:eastAsia="宋体"/>
          <w:sz w:val="24"/>
          <w:szCs w:val="24"/>
          <w:highlight w:val="none"/>
          <w:lang w:val="en-US" w:eastAsia="zh-CN"/>
        </w:rPr>
      </w:pPr>
      <w:r>
        <w:rPr>
          <w:rFonts w:hint="eastAsia" w:ascii="宋体" w:hAnsi="宋体" w:eastAsia="宋体"/>
          <w:sz w:val="24"/>
          <w:szCs w:val="24"/>
          <w:highlight w:val="none"/>
        </w:rPr>
        <w:t xml:space="preserve">平台支持基于MQTT标准开放协议，设计各类场景、设备类型、测点参数等接入通讯格式和接口标准，作为平台内容进行开放发布。系统须全面满足国家信创要求，完成服务端与客户端的国产化平台适配。</w:t>
      </w:r>
      <w:r>
        <w:rPr>
          <w:rFonts w:hint="eastAsia" w:ascii="宋体" w:hAnsi="宋体"/>
          <w:color w:val="auto"/>
          <w:sz w:val="24"/>
          <w:szCs w:val="24"/>
          <w:highlight w:val="none"/>
          <w:lang w:val="en-US" w:eastAsia="zh-CN"/>
        </w:rPr>
        <w:t xml:space="preserve">中标方在中标后需承诺无偿对接省市数据平台。</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3.1.4.平台系统及功能要求</w:t>
      </w:r>
      <w:r/>
    </w:p>
    <w:p>
      <w:pPr>
        <w:ind w:firstLine="482"/>
        <w:pageBreakBefore w:val="0"/>
        <w:spacing w:line="360" w:lineRule="auto"/>
        <w:widowControl w:val="off"/>
        <w:rPr>
          <w:rFonts w:hint="default" w:ascii="宋体" w:hAnsi="宋体" w:eastAsia="宋体"/>
          <w:b/>
          <w:sz w:val="24"/>
          <w:szCs w:val="24"/>
          <w:highlight w:val="none"/>
        </w:rPr>
      </w:pPr>
      <w:r>
        <w:rPr>
          <w:rFonts w:hint="eastAsia" w:ascii="宋体" w:hAnsi="宋体" w:eastAsia="宋体"/>
          <w:b/>
          <w:sz w:val="24"/>
          <w:szCs w:val="24"/>
          <w:highlight w:val="none"/>
        </w:rPr>
        <w:t xml:space="preserve">1）平台系统要求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①驾驶舱</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以区域全景、行业系统、单体项目等角色，提供全域公共机构基本信息、定额指标信息、双控指标信息、能耗用量信息等总览指标，同时地图标注各版块各分类机构的总体数量、接入情况，可以查看具体接入项目主体信息，可以进入项目主体进行运营管控管理操作。</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②能耗统计</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依据《公共机构能源资源消耗统计制度》，按照《江苏省公共机构节能管理平台》对能耗统计数据上报要求，对区域内所有托管公共机构的账单数据进行处理、汇总和查询。</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③节能评价</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依据《公共机构日常节能管理规程》，建立公共机构节约能源资源工作评价体系，可以对区域内所有公共机构的用能指标、日常用能行为等进行实时在线评价，对公共机构节约能源资源工作管理提供科学的评判依据。</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④AI智控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可以对区域内已纳入AI智控的项目总数和列表信息进行查看和管控。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⑤碳排管理</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可以对区域内所有接入的公共机构碳资产、碳排放情况进行汇总统计。</w:t>
      </w:r>
      <w:r/>
    </w:p>
    <w:p>
      <w:pPr>
        <w:ind w:firstLine="482"/>
        <w:pageBreakBefore w:val="0"/>
        <w:spacing w:line="360" w:lineRule="auto"/>
        <w:widowControl w:val="off"/>
        <w:rPr>
          <w:rFonts w:hint="default" w:ascii="宋体" w:hAnsi="宋体" w:eastAsia="宋体"/>
          <w:b/>
          <w:sz w:val="24"/>
          <w:szCs w:val="24"/>
          <w:highlight w:val="none"/>
        </w:rPr>
      </w:pPr>
      <w:r>
        <w:rPr>
          <w:rFonts w:hint="eastAsia" w:ascii="宋体" w:hAnsi="宋体" w:eastAsia="宋体"/>
          <w:b/>
          <w:sz w:val="24"/>
          <w:szCs w:val="24"/>
          <w:highlight w:val="none"/>
        </w:rPr>
        <w:t xml:space="preserve">2）系统功能要求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①运营管控系统</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项目看板：查看当前项目的实时运行指标，包括能耗总量信息、能耗强度信息、定额对标信息、用能结构信息、碳排放总量信息、碳排放强度信息等。</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用能账单：可配置托管周期、能耗账单管理以及托管节能情况分析。</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用能监测：可配置用能场景，监测每日能耗及72小时能耗，分析同比环比详情。</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设备控制：可对用能系统基于传统的人机结合的策略管理或选择采用AI智控技术实现无人化专家级管理。</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②能耗统计系统</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月度统计台账：按办公区、年度对逐月统计数据进行核定，支持同步月度账单数据，台账包含电消费量、数据机房、充电桩、食堂、光伏、其他、电总费用，水消费量、水总费用、燃气消费量、燃气总费用、蒸汽消费量、蒸汽总费用、汽油消费量、汽油总费用、柴油总消费量、柴油总费用等，可以对数据进行更新核定。</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主体机构配置：可以查看当前办公区下的公共机构，对代报主体进行设置，独立办公区无需设置，集中办公区设置一个代报主体。</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③评价考核系统</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评价管理：按年度查询当前办公区下的公共机构考核情况，包括考核年度、机构名称、得分、星级、同类排名、状态、考核结果等。</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考核提交：以年度为单位，按照区域主管者发布的年度考核日期，依据《江苏省公共机构日常节能管理规程》进行对标自评，上传考核材料，完成自评提交。</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④碳资产系统</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该模块应包括不限于碳排放、碳资产、碳交易、碳履约等功能。</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碳排放：对直接、间接碳排放源各类能源的年度活动数据、碳排放因子、碳排放量、同比变化进行查看，可查看每个月的活动数据、碳排放量和同比变化图表。</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碳资产：对碳配额进行配置下发，显示碳配额、交易碳配额、交易CCER指标信息。</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碳交易：可以添加配置配额交易记录，包括年份、交易编号、交易类型、交易配额、交易平台、交易总价等信息。</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碳履约：包括碳排放指标、碳权量指标、清缴指标等。</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⑤AI智控系统</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基于神经网络模型，通过实时采集公共机构能耗数据、设备设施运行数据、能源消费行为数据，并对采集的数据进行分析、评估、建模，建立场景化AI模型，与边缘端智能体结合实现无人化专家级预测和管控。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⑥基础管理平台</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该模块应包括不限于登录管理、用户管理、租户管理、系统管理、项目管理、角色管理、用户审核、用户授权等功能。</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⑦机构管理系统</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该模块应包括不限于机构信息管理、机构台账管理、项目机构关系等功能。</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机构信息管理：对机构信息进行导入维护管理，模板信息包括机构名称、统一社会信用代码、行政区划编码、机构类型、办公类型、空调形式、建筑面积、用能人数等。</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机构台账管理：按年份对机构台账进入导入维护管理，模板信息包括机构名称、电消费量、电费用、水消费量、水费用、燃气消费量、燃气费用、数据中心用电、食堂用电、综合能耗、总费用等。</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项目机构关系：按项目办公区对入驻的公共机构信息进行关联绑定。</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3.1.5.平台通讯要求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系统应根据传输设备技术性能要求优先采用4G物联网的传输方式，或多者混合传输方式。</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3.1.6.系统安全要求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系统应保障公共机构用户隐私安全、运行安全和数据资产；</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安全控制层保护对象应包括：采集终端、边缘设备、通信链路、网络边界、数据存储、系统服务、数据接口、应用与用户鉴权等。</w:t>
      </w:r>
      <w:r/>
    </w:p>
    <w:p>
      <w:pPr>
        <w:ind w:firstLine="48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安全防护措施应包括但不限于硬件防护、设备认证、专网和信道加密、南向接口鉴权、数据存储加密、北向应用鉴权、用户隐私保护、应用接口控制、用户访问控制等。</w:t>
      </w:r>
      <w:r/>
    </w:p>
    <w:p>
      <w:pPr>
        <w:ind w:firstLine="480"/>
        <w:pageBreakBefore w:val="0"/>
        <w:spacing w:line="360" w:lineRule="auto"/>
        <w:widowControl w:val="off"/>
        <w:rPr>
          <w:rFonts w:hint="default" w:ascii="宋体" w:hAnsi="宋体" w:eastAsia="宋体"/>
          <w:sz w:val="24"/>
          <w:szCs w:val="24"/>
          <w:highlight w:val="none"/>
        </w:rPr>
      </w:pPr>
      <w:r>
        <w:rPr>
          <w:rFonts w:hint="default" w:ascii="宋体" w:hAnsi="宋体" w:eastAsia="宋体"/>
          <w:sz w:val="24"/>
          <w:szCs w:val="24"/>
          <w:highlight w:val="none"/>
        </w:rPr>
        <w:t xml:space="preserve">系统建设必须满足网络安全、数据安全、密码管理、工控安全等相关法律法规要求，提供符合要求的安全测评报告，配备必要的边界防护及安全审计设备，落实网络和数据安全保护措施。</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3.1.7.知识产权要求</w:t>
      </w:r>
      <w:r/>
    </w:p>
    <w:p>
      <w:pPr>
        <w:ind w:firstLine="480"/>
        <w:pageBreakBefore w:val="0"/>
        <w:spacing w:line="360" w:lineRule="auto"/>
        <w:widowControl w:val="off"/>
        <w:rPr>
          <w:rFonts w:hint="default" w:ascii="宋体" w:hAnsi="宋体" w:eastAsia="宋体"/>
          <w:sz w:val="24"/>
          <w:szCs w:val="24"/>
          <w:highlight w:val="none"/>
        </w:rPr>
      </w:pPr>
      <w:r>
        <w:rPr>
          <w:rFonts w:hint="eastAsia" w:ascii="宋体" w:hAnsi="宋体" w:eastAsia="宋体"/>
          <w:sz w:val="24"/>
          <w:szCs w:val="24"/>
          <w:highlight w:val="none"/>
        </w:rPr>
        <w:t xml:space="preserve">中标方应保证其提供的服务不受任何供应商提出的侵犯其著作权、商标权、专利权等知识产权方面的起诉；如果任何供应商提出侵权指控，那么中标方须与该供应商交涉并承担由此发生的一切责任、费用和赔偿。</w:t>
      </w:r>
      <w:r/>
    </w:p>
    <w:p>
      <w:pPr>
        <w:ind w:firstLine="0"/>
        <w:jc w:val="both"/>
        <w:keepLines/>
        <w:keepNext/>
        <w:pageBreakBefore w:val="0"/>
        <w:spacing w:before="0" w:after="0" w:line="360" w:lineRule="auto"/>
        <w:widowControl w:val="off"/>
        <w:rPr>
          <w:rFonts w:ascii="Calibri" w:hAnsi="Calibri" w:eastAsia="宋体" w:cs="Times New Roman"/>
          <w:b/>
          <w:bCs/>
          <w:sz w:val="32"/>
          <w:szCs w:val="32"/>
          <w:highlight w:val="none"/>
          <w:lang w:val="en-US" w:eastAsia="zh-CN" w:bidi="ar-SA"/>
        </w:rPr>
        <w:outlineLvl w:val="2"/>
      </w:pPr>
      <w:r>
        <w:rPr>
          <w:rFonts w:hint="eastAsia" w:ascii="Calibri" w:hAnsi="Calibri" w:eastAsia="宋体" w:cs="Times New Roman"/>
          <w:b/>
          <w:bCs/>
          <w:sz w:val="32"/>
          <w:szCs w:val="32"/>
          <w:highlight w:val="none"/>
          <w:lang w:val="en-US" w:eastAsia="zh-CN" w:bidi="ar-SA"/>
        </w:rPr>
        <w:t xml:space="preserve">3.2.综合节能改造技术要求</w:t>
      </w:r>
      <w:r/>
    </w:p>
    <w:p>
      <w:pPr>
        <w:ind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3.2.1计量与控制技术要求</w:t>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投标人需根据能源管理“一张网”平台的技术要求，在具体项目现场安装能源计量和控制设备，实现本地化能源管理数字化基础设施的部署和安装。本地化能源管理数字化基础设施的建设内容包括但不限于：</w:t>
      </w:r>
      <w:r/>
    </w:p>
    <w:tbl>
      <w:tblPr>
        <w:tblStyle w:val="887"/>
        <w:tblW w:w="4717" w:type="pct"/>
        <w:tblInd w:w="284" w:type="dxa"/>
        <w:tblLayout w:type="autofit"/>
        <w:tblCellMar>
          <w:left w:w="108" w:type="dxa"/>
          <w:top w:w="0" w:type="dxa"/>
          <w:right w:w="108" w:type="dxa"/>
          <w:bottom w:w="0" w:type="dxa"/>
        </w:tblCellMar>
        <w:tblLook w:val="04A0" w:firstRow="1" w:lastRow="0" w:firstColumn="1" w:lastColumn="0" w:noHBand="0" w:noVBand="1"/>
      </w:tblPr>
      <w:tblGrid>
        <w:gridCol w:w="1810"/>
        <w:gridCol w:w="5330"/>
        <w:gridCol w:w="2937"/>
      </w:tblGrid>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ind w:firstLine="0"/>
              <w:jc w:val="center"/>
              <w:pageBreakBefore w:val="0"/>
              <w:spacing w:line="360" w:lineRule="auto"/>
              <w:widowControl/>
              <w:rPr>
                <w:rFonts w:hint="default" w:ascii="宋体" w:hAnsi="宋体" w:eastAsia="宋体" w:cs="宋体"/>
                <w:b/>
                <w:bCs/>
                <w:color w:val="000000"/>
                <w:sz w:val="24"/>
                <w:szCs w:val="24"/>
                <w:highlight w:val="none"/>
              </w:rPr>
            </w:pPr>
            <w:r/>
            <w:bookmarkStart w:id="292" w:name="_Toc178526144"/>
            <w:r/>
            <w:bookmarkStart w:id="293" w:name="_Toc68695416"/>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ind w:firstLine="0"/>
              <w:jc w:val="center"/>
              <w:pageBreakBefore w:val="0"/>
              <w:spacing w:line="360" w:lineRule="auto"/>
              <w:widowControl/>
              <w:rPr>
                <w:rFonts w:hint="default"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建设内容</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ind w:firstLine="0"/>
              <w:jc w:val="center"/>
              <w:pageBreakBefore w:val="0"/>
              <w:spacing w:line="360" w:lineRule="auto"/>
              <w:widowControl/>
              <w:rPr>
                <w:rFonts w:hint="default"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用电分项计量（变电所出线回路）</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所有公共机构</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总用水计量（市政总进水回路）</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所有公共机构</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公共照明（走廊过道、地下车库、泛光照明等）回路控制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重点用能单位</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通用设备（开水器、小厨宝等）电气回路控制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重点用能单位</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空调末端（分体空调、VRV空调、风机盘管、组合式空调机组等）系统控制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重点用能单位</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集中冷源系统智能控制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所有公共机构</w:t>
            </w:r>
            <w:r/>
          </w:p>
        </w:tc>
      </w:tr>
      <w:tr>
        <w:trPr>
          <w:trHeight w:val="397"/>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auto" w:sz="4" w:space="0"/>
            </w:tcBorders>
            <w:tcW w:w="264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集中热源系统智能控制</w:t>
            </w:r>
            <w:r/>
          </w:p>
        </w:tc>
        <w:tc>
          <w:tcPr>
            <w:tcBorders>
              <w:top w:val="single" w:color="000000" w:sz="4" w:space="0"/>
              <w:left w:val="single" w:color="auto" w:sz="4" w:space="0"/>
              <w:bottom w:val="single" w:color="000000" w:sz="4" w:space="0"/>
              <w:right w:val="single" w:color="000000" w:sz="4" w:space="0"/>
            </w:tcBorders>
            <w:tcW w:w="145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所有公共机构</w:t>
            </w:r>
            <w:bookmarkEnd w:id="292"/>
            <w:bookmarkEnd w:id="293"/>
            <w:r/>
          </w:p>
        </w:tc>
      </w:tr>
    </w:tbl>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投标人需针对上述建设内容要求，提供各项建设内容的设计原则和标准，以及跟能源管理“一张网”平台无缝融合的技术方案。</w:t>
      </w:r>
      <w:r/>
    </w:p>
    <w:p>
      <w:pPr>
        <w:ind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3.2.2分布式光伏技术要求</w:t>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在各公共机构场地内，充分利用太阳能资源，因地制宜建设屋顶分布式光伏系统，提高绿电使用比例。具体可实施内容双方根据实际需求协商确定。</w:t>
      </w:r>
      <w:r/>
    </w:p>
    <w:p>
      <w:pPr>
        <w:ind w:firstLine="482"/>
        <w:keepLines w:val="0"/>
        <w:keepNext w:val="0"/>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3.2.3设备更新改造技术要求</w:t>
      </w:r>
      <w:r/>
    </w:p>
    <w:tbl>
      <w:tblPr>
        <w:tblStyle w:val="887"/>
        <w:tblW w:w="4707" w:type="pct"/>
        <w:tblInd w:w="285" w:type="dxa"/>
        <w:tblLayout w:type="autofit"/>
        <w:tblCellMar>
          <w:left w:w="108" w:type="dxa"/>
          <w:top w:w="0" w:type="dxa"/>
          <w:right w:w="108" w:type="dxa"/>
          <w:bottom w:w="0" w:type="dxa"/>
        </w:tblCellMar>
        <w:tblLook w:val="04A0" w:firstRow="1" w:lastRow="0" w:firstColumn="1" w:lastColumn="0" w:noHBand="0" w:noVBand="1"/>
      </w:tblPr>
      <w:tblGrid>
        <w:gridCol w:w="1324"/>
        <w:gridCol w:w="3112"/>
        <w:gridCol w:w="5620"/>
      </w:tblGrid>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ind w:firstLine="0"/>
              <w:jc w:val="center"/>
              <w:pageBreakBefore w:val="0"/>
              <w:spacing w:line="360" w:lineRule="auto"/>
              <w:widowControl/>
              <w:rPr>
                <w:rFonts w:hint="default"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47" w:type="pct"/>
            <w:vAlign w:val="center"/>
            <w:textDirection w:val="lrTb"/>
            <w:noWrap w:val="false"/>
          </w:tcPr>
          <w:p>
            <w:pPr>
              <w:ind w:firstLine="0"/>
              <w:jc w:val="center"/>
              <w:pageBreakBefore w:val="0"/>
              <w:spacing w:line="360" w:lineRule="auto"/>
              <w:widowControl/>
              <w:rPr>
                <w:rFonts w:hint="default"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改造项</w:t>
            </w:r>
            <w:r/>
          </w:p>
        </w:tc>
        <w:tc>
          <w:tcPr>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ind w:firstLine="0"/>
              <w:jc w:val="center"/>
              <w:pageBreakBefore w:val="0"/>
              <w:spacing w:line="360" w:lineRule="auto"/>
              <w:widowControl/>
              <w:tabs>
                <w:tab w:val="left" w:pos="840" w:leader="none"/>
              </w:tabs>
              <w:rPr>
                <w:rFonts w:hint="default" w:ascii="宋体" w:hAnsi="宋体" w:eastAsia="宋体" w:cs="宋体"/>
                <w:b/>
                <w:bCs/>
                <w:color w:val="000000"/>
                <w:sz w:val="22"/>
                <w:szCs w:val="22"/>
                <w:highlight w:val="none"/>
                <w:lang w:bidi="ar"/>
              </w:rPr>
            </w:pPr>
            <w:r>
              <w:rPr>
                <w:rFonts w:hint="eastAsia" w:ascii="宋体" w:hAnsi="宋体" w:eastAsia="宋体" w:cs="宋体"/>
                <w:b/>
                <w:bCs/>
                <w:color w:val="000000"/>
                <w:sz w:val="22"/>
                <w:szCs w:val="22"/>
                <w:highlight w:val="none"/>
                <w:lang w:bidi="ar"/>
              </w:rPr>
              <w:t xml:space="preserve">改造要求</w:t>
            </w:r>
            <w:r/>
          </w:p>
        </w:tc>
      </w:tr>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4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绿色照明</w:t>
            </w:r>
            <w:r/>
          </w:p>
        </w:tc>
        <w:tc>
          <w:tcPr>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rPr>
              <w:t xml:space="preserve">对所有公共机构（学校除外）进行LED照明灯具的改造。</w:t>
            </w:r>
            <w:r/>
          </w:p>
        </w:tc>
      </w:tr>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4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生活热水</w:t>
            </w:r>
            <w:r/>
          </w:p>
        </w:tc>
        <w:tc>
          <w:tcPr>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rPr>
              <w:t xml:space="preserve">通过空气源热泵、水源热泵对重点用能单位的厨房用水和浴室用水等较为集中用热水的场景进行替代改造。</w:t>
            </w:r>
            <w:r/>
          </w:p>
        </w:tc>
      </w:tr>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47"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分体空调</w:t>
            </w:r>
            <w:r/>
          </w:p>
        </w:tc>
        <w:tc>
          <w:tcPr>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rPr>
              <w:t xml:space="preserve">对重点用能单位运行超过15年以上的低能效分体空调进行替代更换。</w:t>
            </w:r>
            <w:r/>
          </w:p>
        </w:tc>
      </w:tr>
      <w:tr>
        <w:trPr>
          <w:trHeight w:val="397"/>
        </w:trPr>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ind w:firstLine="0"/>
              <w:jc w:val="center"/>
              <w:pageBreakBefore w:val="0"/>
              <w:spacing w:line="360" w:lineRule="auto"/>
              <w:widowControl/>
              <w:rPr>
                <w:rFonts w:hint="default"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集中冷(热)源系统</w:t>
            </w:r>
            <w:r/>
          </w:p>
        </w:tc>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firstLine="0"/>
              <w:jc w:val="left"/>
              <w:pageBreakBefore w:val="0"/>
              <w:spacing w:line="360" w:lineRule="auto"/>
              <w:widowControl/>
              <w:rPr>
                <w:rFonts w:hint="default"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rPr>
              <w:t xml:space="preserve">采用磁悬浮冷水机组、冷凝低氮锅炉、空气源热泵机组、高能效水泵等多种组合替代原效率低下的</w:t>
            </w:r>
            <w:r>
              <w:rPr>
                <w:rFonts w:hint="eastAsia" w:ascii="宋体" w:hAnsi="宋体" w:eastAsia="宋体" w:cs="宋体"/>
                <w:color w:val="000000"/>
                <w:sz w:val="22"/>
                <w:szCs w:val="22"/>
                <w:highlight w:val="none"/>
                <w:lang w:bidi="ar"/>
              </w:rPr>
              <w:t xml:space="preserve">集中冷(热)源系统，</w:t>
            </w:r>
            <w:r>
              <w:rPr>
                <w:rFonts w:hint="eastAsia" w:ascii="宋体" w:hAnsi="宋体" w:eastAsia="宋体" w:cs="宋体"/>
                <w:color w:val="000000"/>
                <w:sz w:val="22"/>
                <w:szCs w:val="22"/>
                <w:highlight w:val="none"/>
              </w:rPr>
              <w:t xml:space="preserve">提高用能效率。</w:t>
            </w:r>
            <w:r/>
          </w:p>
        </w:tc>
      </w:tr>
    </w:tbl>
    <w:p>
      <w:pPr>
        <w:ind w:firstLine="480"/>
        <w:keepLines w:val="0"/>
        <w:keepNext w:val="0"/>
        <w:pageBreakBefore w:val="0"/>
        <w:spacing w:line="360" w:lineRule="auto"/>
        <w:widowControl w:val="off"/>
        <w:rPr>
          <w:rFonts w:hint="default" w:ascii="宋体" w:hAnsi="宋体" w:eastAsia="宋体" w:cs="宋体"/>
          <w:color w:val="ff0000"/>
          <w:sz w:val="24"/>
          <w:szCs w:val="24"/>
          <w:highlight w:val="none"/>
        </w:rPr>
      </w:pPr>
      <w:r>
        <w:rPr>
          <w:rFonts w:hint="eastAsia" w:ascii="宋体" w:hAnsi="宋体" w:eastAsia="宋体" w:cs="宋体"/>
          <w:bCs/>
          <w:sz w:val="24"/>
          <w:szCs w:val="24"/>
          <w:highlight w:val="none"/>
        </w:rPr>
        <w:t xml:space="preserve">投标人需针对上述建设内容要求，提供各项建设内容的设计原则和总体解决方案。并选择1家医院类公共机构、1家政府机关类公共机构、1家学校类公共机构，进行详细的现场勘查，根据业主实际情况和需求，提供完整的节能改造解决方案（至少包括现状诊断、节能改造措施、效益测算、主要产品介绍等内容）。</w:t>
      </w:r>
      <w:r/>
    </w:p>
    <w:p>
      <w:pPr>
        <w:ind w:firstLine="482"/>
        <w:keepLines w:val="0"/>
        <w:keepNext w:val="0"/>
        <w:pageBreakBefore w:val="0"/>
        <w:spacing w:line="360" w:lineRule="auto"/>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3.2.4主要设施设备技术要求</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1）三相四线互感式电能表</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准</w:t>
      </w:r>
      <w:r>
        <w:rPr>
          <w:rFonts w:hint="eastAsia" w:ascii="宋体" w:hAnsi="宋体" w:eastAsia="宋体" w:cs="宋体"/>
          <w:sz w:val="24"/>
          <w:szCs w:val="24"/>
          <w:highlight w:val="none"/>
        </w:rPr>
        <w:t xml:space="preserve">精</w:t>
      </w:r>
      <w:r>
        <w:rPr>
          <w:rFonts w:hint="eastAsia" w:ascii="宋体" w:hAnsi="宋体" w:eastAsia="宋体" w:cs="___WRD_EMBED_SUB_45"/>
          <w:sz w:val="24"/>
          <w:szCs w:val="24"/>
          <w:highlight w:val="none"/>
        </w:rPr>
        <w:t xml:space="preserve">度等级：有</w:t>
      </w:r>
      <w:r>
        <w:rPr>
          <w:rFonts w:hint="eastAsia" w:ascii="宋体" w:hAnsi="宋体" w:eastAsia="宋体" w:cs="宋体"/>
          <w:sz w:val="24"/>
          <w:szCs w:val="24"/>
          <w:highlight w:val="none"/>
        </w:rPr>
        <w:t xml:space="preserve">功</w:t>
      </w:r>
      <w:r>
        <w:rPr>
          <w:rFonts w:hint="eastAsia" w:ascii="宋体" w:hAnsi="宋体" w:eastAsia="宋体"/>
          <w:sz w:val="24"/>
          <w:szCs w:val="24"/>
          <w:highlight w:val="none"/>
        </w:rPr>
        <w:t xml:space="preserve">0.5级，无</w:t>
      </w:r>
      <w:r>
        <w:rPr>
          <w:rFonts w:hint="eastAsia" w:ascii="宋体" w:hAnsi="宋体" w:eastAsia="宋体" w:cs="宋体"/>
          <w:sz w:val="24"/>
          <w:szCs w:val="24"/>
          <w:highlight w:val="none"/>
        </w:rPr>
        <w:t xml:space="preserve">功</w:t>
      </w:r>
      <w:r>
        <w:rPr>
          <w:rFonts w:hint="eastAsia" w:ascii="宋体" w:hAnsi="宋体" w:eastAsia="宋体"/>
          <w:sz w:val="24"/>
          <w:szCs w:val="24"/>
          <w:highlight w:val="none"/>
        </w:rPr>
        <w:t xml:space="preserve">2.0级</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额定电</w:t>
      </w:r>
      <w:r>
        <w:rPr>
          <w:rFonts w:hint="eastAsia" w:ascii="宋体" w:hAnsi="宋体" w:eastAsia="宋体" w:cs="宋体"/>
          <w:sz w:val="24"/>
          <w:szCs w:val="24"/>
          <w:highlight w:val="none"/>
        </w:rPr>
        <w:t xml:space="preserve">压</w:t>
      </w:r>
      <w:r>
        <w:rPr>
          <w:rFonts w:hint="eastAsia" w:ascii="宋体" w:hAnsi="宋体" w:eastAsia="宋体" w:cs="___WRD_EMBED_SUB_45"/>
          <w:sz w:val="24"/>
          <w:szCs w:val="24"/>
          <w:highlight w:val="none"/>
        </w:rPr>
        <w:t xml:space="preserve">：</w:t>
      </w:r>
      <w:r>
        <w:rPr>
          <w:rFonts w:hint="eastAsia" w:ascii="宋体" w:hAnsi="宋体" w:eastAsia="宋体"/>
          <w:sz w:val="24"/>
          <w:szCs w:val="24"/>
          <w:highlight w:val="none"/>
        </w:rPr>
        <w:t xml:space="preserve">3×380/220V</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额定电</w:t>
      </w:r>
      <w:r>
        <w:rPr>
          <w:rFonts w:hint="eastAsia" w:ascii="宋体" w:hAnsi="宋体" w:eastAsia="宋体" w:cs="宋体"/>
          <w:sz w:val="24"/>
          <w:szCs w:val="24"/>
          <w:highlight w:val="none"/>
        </w:rPr>
        <w:t xml:space="preserve">流</w:t>
      </w:r>
      <w:r>
        <w:rPr>
          <w:rFonts w:hint="eastAsia" w:ascii="宋体" w:hAnsi="宋体" w:eastAsia="宋体" w:cs="___WRD_EMBED_SUB_45"/>
          <w:sz w:val="24"/>
          <w:szCs w:val="24"/>
          <w:highlight w:val="none"/>
        </w:rPr>
        <w:t xml:space="preserve">：</w:t>
      </w:r>
      <w:r>
        <w:rPr>
          <w:rFonts w:hint="eastAsia" w:ascii="宋体" w:hAnsi="宋体" w:eastAsia="宋体"/>
          <w:sz w:val="24"/>
          <w:szCs w:val="24"/>
          <w:highlight w:val="none"/>
        </w:rPr>
        <w:t xml:space="preserve">1.5(6)A</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2）三相四线直接式电能表</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准精度等级：有功1.0级，无功2.0级</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额定电压：3×380/220V</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额定电流：5(80)A</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3）网络多功能电力仪表</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接线：三相四线</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频率：45- 65Hz</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电压额定值：AC 100V.400V</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电流额定值: AC 1A.5A</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通讯：RS485接口、Modbus- RTU协议</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显示：LED、LCD</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开关量输入：2路或4路无源干接点输入方式</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开关量输出：2路继电器常开触点输出</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精度等级：频率0.05Hz、无功电能2级、其它0.5级</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安装方式：面板式嵌入式。</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4）智能数据网关</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default" w:ascii="宋体" w:hAnsi="宋体" w:eastAsia="宋体" w:cs="宋体"/>
          <w:sz w:val="24"/>
          <w:szCs w:val="24"/>
          <w:highlight w:val="none"/>
        </w:rPr>
        <w:t xml:space="preserve">功能</w:t>
      </w:r>
      <w:r>
        <w:rPr>
          <w:rFonts w:hint="eastAsia" w:ascii="宋体" w:hAnsi="宋体" w:eastAsia="宋体" w:cs="宋体"/>
          <w:sz w:val="24"/>
          <w:szCs w:val="24"/>
          <w:highlight w:val="none"/>
        </w:rPr>
        <w:t xml:space="preserve">要求</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支持DL/T 645-1997、DL/T 645-2007、CJ/T 188-2004、ModbusRTU、ModbusTCP等多种标准通信协议；</w:t>
      </w:r>
      <w:r>
        <w:rPr>
          <w:rFonts w:hint="eastAsia" w:ascii="宋体" w:hAnsi="宋体" w:eastAsia="宋体" w:cs="宋体"/>
          <w:sz w:val="24"/>
          <w:szCs w:val="24"/>
          <w:highlight w:val="none"/>
        </w:rPr>
        <w:t xml:space="preserve">支持</w:t>
      </w:r>
      <w:r>
        <w:rPr>
          <w:rFonts w:hint="default" w:ascii="宋体" w:hAnsi="宋体" w:eastAsia="宋体" w:cs="宋体"/>
          <w:sz w:val="24"/>
          <w:szCs w:val="24"/>
          <w:highlight w:val="none"/>
        </w:rPr>
        <w:t xml:space="preserve">边缘采集、实时更新</w:t>
      </w:r>
      <w:r>
        <w:rPr>
          <w:rFonts w:hint="eastAsia" w:ascii="宋体" w:hAnsi="宋体" w:eastAsia="宋体" w:cs="宋体"/>
          <w:sz w:val="24"/>
          <w:szCs w:val="24"/>
          <w:highlight w:val="none"/>
        </w:rPr>
        <w:t xml:space="preserve">；支持包括</w:t>
      </w:r>
      <w:r>
        <w:rPr>
          <w:rFonts w:hint="default" w:ascii="宋体" w:hAnsi="宋体" w:eastAsia="宋体" w:cs="宋体"/>
          <w:sz w:val="24"/>
          <w:szCs w:val="24"/>
          <w:highlight w:val="none"/>
        </w:rPr>
        <w:t xml:space="preserve">周期上报、变化上报</w:t>
      </w:r>
      <w:r>
        <w:rPr>
          <w:rFonts w:hint="eastAsia" w:ascii="宋体" w:hAnsi="宋体" w:eastAsia="宋体" w:cs="宋体"/>
          <w:sz w:val="24"/>
          <w:szCs w:val="24"/>
          <w:highlight w:val="none"/>
        </w:rPr>
        <w:t xml:space="preserve">等多种形式的</w:t>
      </w:r>
      <w:r>
        <w:rPr>
          <w:rFonts w:hint="default" w:ascii="宋体" w:hAnsi="宋体" w:eastAsia="宋体" w:cs="宋体"/>
          <w:sz w:val="24"/>
          <w:szCs w:val="24"/>
          <w:highlight w:val="none"/>
        </w:rPr>
        <w:t xml:space="preserve">数据上报、命令下发；</w:t>
      </w:r>
      <w:r>
        <w:rPr>
          <w:rFonts w:hint="eastAsia" w:ascii="宋体" w:hAnsi="宋体" w:eastAsia="宋体" w:cs="宋体"/>
          <w:sz w:val="24"/>
          <w:szCs w:val="24"/>
          <w:highlight w:val="none"/>
        </w:rPr>
        <w:t xml:space="preserve">支持</w:t>
      </w:r>
      <w:r>
        <w:rPr>
          <w:rFonts w:hint="default" w:ascii="宋体" w:hAnsi="宋体" w:eastAsia="宋体" w:cs="宋体"/>
          <w:sz w:val="24"/>
          <w:szCs w:val="24"/>
          <w:highlight w:val="none"/>
        </w:rPr>
        <w:t xml:space="preserve">Web配置、远程运维</w:t>
      </w:r>
      <w:r>
        <w:rPr>
          <w:rFonts w:hint="eastAsia" w:ascii="宋体" w:hAnsi="宋体" w:eastAsia="宋体" w:cs="宋体"/>
          <w:sz w:val="24"/>
          <w:szCs w:val="24"/>
          <w:highlight w:val="none"/>
        </w:rPr>
        <w:t xml:space="preserve">；支持</w:t>
      </w:r>
      <w:r>
        <w:rPr>
          <w:rFonts w:hint="default" w:ascii="宋体" w:hAnsi="宋体" w:eastAsia="宋体" w:cs="宋体"/>
          <w:sz w:val="24"/>
          <w:szCs w:val="24"/>
          <w:highlight w:val="none"/>
        </w:rPr>
        <w:t xml:space="preserve">脚本开发</w:t>
      </w:r>
      <w:r>
        <w:rPr>
          <w:rFonts w:hint="eastAsia" w:ascii="宋体" w:hAnsi="宋体" w:eastAsia="宋体" w:cs="宋体"/>
          <w:sz w:val="24"/>
          <w:szCs w:val="24"/>
          <w:highlight w:val="none"/>
        </w:rPr>
        <w:t xml:space="preserve">；</w:t>
      </w:r>
      <w:r>
        <w:rPr>
          <w:rFonts w:hint="default" w:ascii="宋体" w:hAnsi="宋体" w:eastAsia="宋体" w:cs="宋体"/>
          <w:sz w:val="24"/>
          <w:szCs w:val="24"/>
          <w:highlight w:val="none"/>
        </w:rPr>
        <w:t xml:space="preserve">运行稳定</w:t>
      </w:r>
      <w:r>
        <w:rPr>
          <w:rFonts w:hint="eastAsia" w:ascii="宋体" w:hAnsi="宋体" w:eastAsia="宋体" w:cs="宋体"/>
          <w:sz w:val="24"/>
          <w:szCs w:val="24"/>
          <w:highlight w:val="none"/>
        </w:rPr>
        <w:t xml:space="preserve">，</w:t>
      </w:r>
      <w:r>
        <w:rPr>
          <w:rFonts w:hint="default" w:ascii="宋体" w:hAnsi="宋体" w:eastAsia="宋体" w:cs="宋体"/>
          <w:sz w:val="24"/>
          <w:szCs w:val="24"/>
          <w:highlight w:val="none"/>
        </w:rPr>
        <w:t xml:space="preserve">支持365天不间断工作</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default" w:ascii="宋体" w:hAnsi="宋体" w:eastAsia="宋体" w:cs="宋体"/>
          <w:sz w:val="24"/>
          <w:szCs w:val="24"/>
          <w:highlight w:val="none"/>
        </w:rPr>
        <w:t xml:space="preserve">性能指标</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电源输入：AC220V</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待机功耗：&lt;2W</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以太网接口：2路10/100M自适应</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4G接口：4G CAT1 全网通模块</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RS485接口：6路</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工作温度：-10~85°C</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（3）电磁兼容（EMC）要求</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符合GB/T17626.2-2018 电兼容试验和测量技术静电放电抗扰度要求</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符合GB/T17626.3-2023 电兼容试验和测量技术射频电磁场辐射抗扰度要求</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符合GB/T17626.4-2018 电兼容试验和测量技术电快速瞬变脉冲群抗扰度要求</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符合GB/T17626.5-2019 电兼容试验和测量技术浪涌(冲击)抗扰度要求</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符合GB/T17626.6-2017 电磁兼容试验和测量技术射频场感应的传导骚扰抗扰度要求</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符合GB/T17626.11-2023 电磁兼容 试验和测量技术 电压暂降、短时中断和电压变化的抗扰度要求</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5）超声波水表</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准确度等级：2级</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防护等级：IP68（外供电IP65）</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供电电源：3.6V锂电池</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电池寿命：6年</w:t>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数据通讯：支持移动、联通、电信各种NB-IoT网络及云平台</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6）柜式分体空调控制器</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（1）内置空调红外码库，支持市面上主流分体空调，支持负荷监测、集中管控、空调软关机、数据上报等功能。</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（2）性能指标：</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额定电压：220VAC(380VAC)</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额定电流：5(60)A</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上行通信：4G(CAT</w:t>
      </w:r>
      <w:r>
        <w:rPr>
          <w:rFonts w:hint="eastAsia" w:ascii="宋体" w:hAnsi="宋体" w:eastAsia="宋体"/>
          <w:sz w:val="24"/>
          <w:szCs w:val="24"/>
          <w:highlight w:val="none"/>
        </w:rPr>
        <w:t xml:space="preserve">.</w:t>
      </w:r>
      <w:r>
        <w:rPr>
          <w:rFonts w:hint="default" w:ascii="宋体" w:hAnsi="宋体" w:eastAsia="宋体"/>
          <w:sz w:val="24"/>
          <w:szCs w:val="24"/>
          <w:highlight w:val="none"/>
        </w:rPr>
        <w:t xml:space="preserve">1)</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计量精度：2级</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工作温度：-10~60°C</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7）壁挂式分体空调控制器</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（1）内置空调红外码库，支持市面上主流分体空调，支持负荷监测、集中管控、空调软关机、数据上报等功能。</w:t>
      </w:r>
      <w:r/>
    </w:p>
    <w:p>
      <w:pPr>
        <w:ind w:firstLine="480"/>
        <w:keepLines w:val="0"/>
        <w:keepNext w:val="0"/>
        <w:pageBreakBefore w:val="0"/>
        <w:spacing w:line="360" w:lineRule="auto"/>
        <w:rPr>
          <w:rFonts w:hint="default" w:ascii="宋体" w:hAnsi="宋体" w:eastAsia="宋体"/>
          <w:sz w:val="24"/>
          <w:szCs w:val="24"/>
          <w:highlight w:val="none"/>
        </w:rPr>
      </w:pPr>
      <w:r>
        <w:rPr>
          <w:rFonts w:hint="eastAsia" w:ascii="宋体" w:hAnsi="宋体" w:eastAsia="宋体"/>
          <w:sz w:val="24"/>
          <w:szCs w:val="24"/>
          <w:highlight w:val="none"/>
        </w:rPr>
        <w:t xml:space="preserve">（2）性能指标：</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额定电压：220VAC</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额定电流：5(16)A</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上行通信：4G(CAT</w:t>
      </w:r>
      <w:r>
        <w:rPr>
          <w:rFonts w:hint="eastAsia" w:ascii="宋体" w:hAnsi="宋体" w:eastAsia="宋体"/>
          <w:sz w:val="24"/>
          <w:szCs w:val="24"/>
          <w:highlight w:val="none"/>
        </w:rPr>
        <w:t xml:space="preserve">.</w:t>
      </w:r>
      <w:r>
        <w:rPr>
          <w:rFonts w:hint="default" w:ascii="宋体" w:hAnsi="宋体" w:eastAsia="宋体"/>
          <w:sz w:val="24"/>
          <w:szCs w:val="24"/>
          <w:highlight w:val="none"/>
        </w:rPr>
        <w:t xml:space="preserve">1)</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计量精度：2级</w:t>
      </w:r>
      <w:r/>
    </w:p>
    <w:p>
      <w:pPr>
        <w:ind w:firstLine="480"/>
        <w:keepLines w:val="0"/>
        <w:keepNext w:val="0"/>
        <w:pageBreakBefore w:val="0"/>
        <w:spacing w:line="360" w:lineRule="auto"/>
        <w:rPr>
          <w:rFonts w:hint="default" w:ascii="宋体" w:hAnsi="宋体" w:eastAsia="宋体"/>
          <w:sz w:val="24"/>
          <w:szCs w:val="24"/>
          <w:highlight w:val="none"/>
        </w:rPr>
      </w:pPr>
      <w:r>
        <w:rPr>
          <w:rFonts w:hint="default" w:ascii="宋体" w:hAnsi="宋体" w:eastAsia="宋体"/>
          <w:sz w:val="24"/>
          <w:szCs w:val="24"/>
          <w:highlight w:val="none"/>
        </w:rPr>
        <w:t xml:space="preserve">工作温度：-10~60°C</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8）风机盘管末端控制器</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（1）支持实时监测室内温度及运行状态、集中化批量管控、定制策略管理、运行统计和智能锁定等功能。</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（2）性能指标：</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电源输入：AC220V，50Hz</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待机功耗：≤2W</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通信接口：内置4G CAT.1模块；</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工作温度：-10~60°C</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负载电流：≤2A(阻性负载) 或≤1A(感性负载)</w:t>
      </w:r>
      <w:r/>
    </w:p>
    <w:p>
      <w:pPr>
        <w:ind w:firstLine="480"/>
        <w:jc w:val="left"/>
        <w:keepLines w:val="0"/>
        <w:keepNext w:val="0"/>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温度传感器：数字型传感器</w:t>
      </w:r>
      <w:r/>
    </w:p>
    <w:p>
      <w:pPr>
        <w:ind w:firstLine="482"/>
        <w:keepLines w:val="0"/>
        <w:keepNext w:val="0"/>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9）变风量控制箱</w:t>
      </w:r>
      <w:r/>
    </w:p>
    <w:tbl>
      <w:tblPr>
        <w:tblStyle w:val="887"/>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2309"/>
        <w:gridCol w:w="6993"/>
      </w:tblGrid>
      <w:tr>
        <w:trPr>
          <w:trHeight w:val="20"/>
        </w:trPr>
        <w:tc>
          <w:tcPr>
            <w:gridSpan w:val="2"/>
            <w:shd w:val="clear" w:color="000000" w:fill="ffffff"/>
            <w:tcW w:w="1727" w:type="pct"/>
            <w:vAlign w:val="center"/>
            <w:textDirection w:val="lrTb"/>
            <w:noWrap w:val="false"/>
          </w:tcPr>
          <w:p>
            <w:pPr>
              <w:ind w:firstLine="0"/>
              <w:jc w:val="center"/>
              <w:pageBreakBefore w:val="0"/>
              <w:spacing w:line="360" w:lineRule="auto"/>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技术参数</w:t>
            </w:r>
            <w:r/>
          </w:p>
        </w:tc>
        <w:tc>
          <w:tcPr>
            <w:shd w:val="clear" w:color="000000" w:fill="ffffff"/>
            <w:tcW w:w="3273" w:type="pct"/>
            <w:vAlign w:val="center"/>
            <w:textDirection w:val="lrTb"/>
            <w:noWrap w:val="false"/>
          </w:tcPr>
          <w:p>
            <w:pPr>
              <w:ind w:firstLine="0"/>
              <w:jc w:val="center"/>
              <w:pageBreakBefore w:val="0"/>
              <w:spacing w:line="360" w:lineRule="auto"/>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指标</w:t>
            </w:r>
            <w:r/>
          </w:p>
        </w:tc>
      </w:tr>
      <w:tr>
        <w:trPr>
          <w:trHeight w:val="20"/>
        </w:trPr>
        <w:tc>
          <w:tcPr>
            <w:shd w:val="clear" w:color="auto" w:fill="auto"/>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接口</w:t>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网络接口</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支持ProfiNet/MODBUS-TCP</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RS485接口</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1主1从，主站最多可带32个仪表</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传输</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接收/输出的RS485信号、MODBUS-RTU标准信号，</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通讯波特率</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接收信号时：1200—115200bps（可选）   输出信号时：9600bps(不可选)</w:t>
            </w:r>
            <w:r/>
          </w:p>
        </w:tc>
      </w:tr>
      <w:tr>
        <w:trPr>
          <w:trHeight w:val="20"/>
        </w:trPr>
        <w:tc>
          <w:tcPr>
            <w:shd w:val="clear" w:color="auto" w:fill="auto"/>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电压</w:t>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额定值</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AC 220V</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功耗</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﹤800W</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频率</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50Hz</w:t>
            </w:r>
            <w:r/>
          </w:p>
        </w:tc>
      </w:tr>
      <w:tr>
        <w:trPr>
          <w:trHeight w:val="20"/>
        </w:trPr>
        <w:tc>
          <w:tcPr>
            <w:shd w:val="clear" w:color="auto" w:fill="auto"/>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数据采集</w:t>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模式</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4-20MA电流信号、0-10V电压信号、RS-485现场总线</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周期</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1秒～1天</w:t>
            </w:r>
            <w:r/>
          </w:p>
        </w:tc>
      </w:tr>
      <w:tr>
        <w:trPr>
          <w:trHeight w:val="20"/>
        </w:trPr>
        <w:tc>
          <w:tcPr>
            <w:shd w:val="clear" w:color="000000" w:fill="ffffff"/>
            <w:tcW w:w="646"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抗干扰性能</w:t>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标准</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符合国标相关标准</w:t>
            </w:r>
            <w:r/>
          </w:p>
        </w:tc>
      </w:tr>
      <w:tr>
        <w:trPr>
          <w:trHeight w:val="20"/>
        </w:trPr>
        <w:tc>
          <w:tcPr>
            <w:shd w:val="clear" w:color="auto" w:fill="auto"/>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环境</w:t>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温度</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-10℃～+40℃（极限温度：-20℃～+60℃）</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湿度</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≤75％（极限湿度：≤85%）</w:t>
            </w:r>
            <w:r/>
          </w:p>
        </w:tc>
      </w:tr>
      <w:tr>
        <w:trPr>
          <w:trHeight w:val="20"/>
        </w:trPr>
        <w:tc>
          <w:tcPr>
            <w:shd w:val="clear" w:color="auto" w:fill="auto"/>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功能</w:t>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运行控制</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对风机进行启停控制</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数据采集</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采集现场空调机组各设备运行参数</w:t>
            </w:r>
            <w:r/>
          </w:p>
        </w:tc>
      </w:tr>
      <w:tr>
        <w:trPr>
          <w:trHeight w:val="20"/>
        </w:trPr>
        <w:tc>
          <w:tcPr>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重点数据上传</w:t>
            </w:r>
            <w:r/>
          </w:p>
        </w:tc>
        <w:tc>
          <w:tcPr>
            <w:shd w:val="clear" w:color="000000" w:fill="ffffff"/>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将所有重要数据及设备运行数据实时上传节能监管平台</w:t>
            </w:r>
            <w:r/>
          </w:p>
        </w:tc>
      </w:tr>
    </w:tbl>
    <w:p>
      <w:pPr>
        <w:ind w:firstLine="0"/>
        <w:pageBreakBefore w:val="0"/>
        <w:spacing w:line="360" w:lineRule="auto"/>
        <w:rPr>
          <w:rFonts w:hint="default" w:ascii="宋体" w:hAnsi="宋体" w:eastAsia="宋体"/>
          <w:szCs w:val="22"/>
          <w:highlight w:val="none"/>
        </w:rPr>
      </w:pPr>
      <w:r>
        <w:rPr>
          <w:rFonts w:hint="default" w:ascii="宋体" w:hAnsi="宋体" w:eastAsia="宋体"/>
          <w:szCs w:val="22"/>
          <w:highlight w:val="none"/>
        </w:rPr>
      </w:r>
      <w:r/>
    </w:p>
    <w:p>
      <w:pPr>
        <w:ind w:firstLine="482"/>
        <w:keepLines w:val="0"/>
        <w:keepNext w:val="0"/>
        <w:pageBreakBefore w:val="0"/>
        <w:spacing w:line="360" w:lineRule="auto"/>
        <w:widowControl w:val="off"/>
        <w:rPr>
          <w:rFonts w:hint="default" w:ascii="宋体" w:hAnsi="宋体" w:eastAsia="宋体"/>
          <w:b/>
          <w:sz w:val="24"/>
          <w:szCs w:val="24"/>
          <w:highlight w:val="none"/>
        </w:rPr>
      </w:pPr>
      <w:r>
        <w:rPr>
          <w:rFonts w:hint="eastAsia" w:ascii="宋体" w:hAnsi="宋体" w:eastAsia="宋体"/>
          <w:b/>
          <w:sz w:val="24"/>
          <w:szCs w:val="24"/>
          <w:highlight w:val="none"/>
        </w:rPr>
        <w:t xml:space="preserve">10）循环泵变频柜</w:t>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2312"/>
        <w:gridCol w:w="6992"/>
      </w:tblGrid>
      <w:tr>
        <w:trPr>
          <w:trHeight w:val="20"/>
        </w:trPr>
        <w:tc>
          <w:tcPr>
            <w:gridSpan w:val="2"/>
            <w:shd w:val="clear" w:color="auto" w:fill="auto"/>
            <w:tcW w:w="1727" w:type="pct"/>
            <w:vAlign w:val="center"/>
            <w:textDirection w:val="lrTb"/>
            <w:noWrap w:val="false"/>
          </w:tcPr>
          <w:p>
            <w:pPr>
              <w:ind w:firstLine="0"/>
              <w:jc w:val="center"/>
              <w:pageBreakBefore w:val="0"/>
              <w:spacing w:line="360" w:lineRule="auto"/>
              <w:rPr>
                <w:rFonts w:hint="default" w:ascii="宋体" w:hAnsi="宋体" w:eastAsia="宋体" w:cs="宋体"/>
                <w:b/>
                <w:color w:val="000000"/>
                <w:szCs w:val="21"/>
                <w:highlight w:val="none"/>
              </w:rPr>
            </w:pPr>
            <w:r>
              <w:rPr>
                <w:rFonts w:hint="eastAsia" w:ascii="宋体" w:hAnsi="宋体" w:eastAsia="宋体" w:cs="宋体"/>
                <w:b/>
                <w:color w:val="000000"/>
                <w:szCs w:val="21"/>
                <w:highlight w:val="none"/>
              </w:rPr>
              <w:t xml:space="preserve">指标项</w:t>
            </w:r>
            <w:r/>
          </w:p>
        </w:tc>
        <w:tc>
          <w:tcPr>
            <w:shd w:val="clear" w:color="auto" w:fill="auto"/>
            <w:tcW w:w="3273" w:type="pct"/>
            <w:vAlign w:val="center"/>
            <w:textDirection w:val="lrTb"/>
            <w:noWrap w:val="false"/>
          </w:tcPr>
          <w:p>
            <w:pPr>
              <w:ind w:firstLine="0"/>
              <w:jc w:val="center"/>
              <w:pageBreakBefore w:val="0"/>
              <w:spacing w:line="360" w:lineRule="auto"/>
              <w:rPr>
                <w:rFonts w:hint="default" w:ascii="宋体" w:hAnsi="宋体" w:eastAsia="宋体" w:cs="宋体"/>
                <w:b/>
                <w:color w:val="000000"/>
                <w:szCs w:val="21"/>
                <w:highlight w:val="none"/>
              </w:rPr>
            </w:pPr>
            <w:r>
              <w:rPr>
                <w:rFonts w:hint="eastAsia" w:ascii="宋体" w:hAnsi="宋体" w:eastAsia="宋体" w:cs="宋体"/>
                <w:b/>
                <w:color w:val="000000"/>
                <w:szCs w:val="21"/>
                <w:highlight w:val="none"/>
              </w:rPr>
              <w:t xml:space="preserve">技术要求</w:t>
            </w:r>
            <w:r/>
          </w:p>
        </w:tc>
      </w:tr>
      <w:tr>
        <w:trPr>
          <w:trHeight w:val="20"/>
        </w:trPr>
        <w:tc>
          <w:tcPr>
            <w:shd w:val="clear" w:color="auto" w:fill="auto"/>
            <w:tcW w:w="645"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电压范围</w:t>
            </w:r>
            <w:r/>
          </w:p>
        </w:tc>
        <w:tc>
          <w:tcPr>
            <w:shd w:val="clear" w:color="auto" w:fill="auto"/>
            <w:tcW w:w="1082"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输入</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额定电压：380V~440V；</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频率：50HZ/60HZ；</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允许电压工作范围：330V~480V；</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电压失衡率：＜3%；</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频率：±5%</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输出</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额定电压：0~输入电压；</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频率：0HZ~500HZ；</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支持自动电压调整；支持自动限流功能；</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过载能力110%额定电流1分钟；150%额定电流1秒；</w:t>
            </w:r>
            <w:r/>
          </w:p>
        </w:tc>
      </w:tr>
      <w:tr>
        <w:trPr>
          <w:trHeight w:val="20"/>
        </w:trPr>
        <w:tc>
          <w:tcPr>
            <w:shd w:val="clear" w:color="auto" w:fill="auto"/>
            <w:tcW w:w="645"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主要变频器性能</w:t>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起动转矩</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0.50HZ时150%额定转矩</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运行转速稳态精度</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≤±0.5%额定同步转速</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频率精度</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数字设定：最高频率×±0.01%；</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模拟设定：最高频率×±0.2%</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数字分辨率</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数字设定：0.01HZ；</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模拟设定：最高频率×0.1%</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转矩提升</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自动转矩提升，手动转矩提升</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多段速运行</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支持通过内置PLC或控制端子实现多段速运行；</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控制系统</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内置PI/PID构成闭环控制系统；</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V/F曲线</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支持线性、平方、自定义等；</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可编程控制链接</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支持数字量输入输出，模拟量输入输出</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通讯</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支持RS485通讯</w:t>
            </w:r>
            <w:r/>
          </w:p>
        </w:tc>
      </w:tr>
      <w:tr>
        <w:trPr>
          <w:trHeight w:val="20"/>
        </w:trPr>
        <w:tc>
          <w:tcPr>
            <w:shd w:val="clear" w:color="auto" w:fill="auto"/>
            <w:tcW w:w="645"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环境参数</w:t>
            </w:r>
            <w:r/>
          </w:p>
        </w:tc>
        <w:tc>
          <w:tcPr>
            <w:shd w:val="clear" w:color="auto" w:fill="auto"/>
            <w:tcW w:w="1082"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环境温湿度</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-15~40℃；40~50℃需降额使用；</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相对湿度：小于95%（无冷凝）</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防护等级</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IP21或IP54</w:t>
            </w:r>
            <w:r/>
          </w:p>
        </w:tc>
      </w:tr>
      <w:tr>
        <w:trPr>
          <w:trHeight w:val="20"/>
        </w:trPr>
        <w:tc>
          <w:tcPr>
            <w:shd w:val="clear" w:color="auto" w:fill="auto"/>
            <w:tcW w:w="645"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控制模式</w:t>
            </w:r>
            <w:r/>
          </w:p>
        </w:tc>
        <w:tc>
          <w:tcPr>
            <w:shd w:val="clear" w:color="auto" w:fill="auto"/>
            <w:tcW w:w="1082"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手动控制</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支持现场变频调速、工频运行</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1082"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远程控制</w:t>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支持远程系统变频调速、自整定运行</w:t>
            </w:r>
            <w:r/>
          </w:p>
        </w:tc>
      </w:tr>
      <w:tr>
        <w:trPr>
          <w:trHeight w:val="20"/>
        </w:trPr>
        <w:tc>
          <w:tcPr>
            <w:tcW w:w="645"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1082"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auto" w:fill="auto"/>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支持恒压力或恒压差调节控制</w:t>
            </w:r>
            <w:r/>
          </w:p>
        </w:tc>
      </w:tr>
    </w:tbl>
    <w:p>
      <w:pPr>
        <w:ind w:firstLine="0"/>
        <w:pageBreakBefore w:val="0"/>
        <w:spacing w:line="360" w:lineRule="auto"/>
        <w:rPr>
          <w:rFonts w:hint="default" w:ascii="宋体" w:hAnsi="宋体" w:eastAsia="宋体"/>
          <w:szCs w:val="22"/>
          <w:highlight w:val="none"/>
        </w:rPr>
      </w:pPr>
      <w:r>
        <w:rPr>
          <w:rFonts w:hint="default" w:ascii="宋体" w:hAnsi="宋体" w:eastAsia="宋体"/>
          <w:szCs w:val="22"/>
          <w:highlight w:val="none"/>
        </w:rPr>
      </w:r>
      <w:r/>
    </w:p>
    <w:p>
      <w:pPr>
        <w:ind w:firstLine="482"/>
        <w:keepLines w:val="0"/>
        <w:keepNext w:val="0"/>
        <w:pageBreakBefore w:val="0"/>
        <w:spacing w:line="360" w:lineRule="auto"/>
        <w:widowControl w:val="off"/>
        <w:rPr>
          <w:rFonts w:hint="default" w:ascii="宋体" w:hAnsi="宋体" w:eastAsia="宋体"/>
          <w:b/>
          <w:sz w:val="24"/>
          <w:szCs w:val="24"/>
          <w:highlight w:val="none"/>
        </w:rPr>
      </w:pPr>
      <w:r>
        <w:rPr>
          <w:rFonts w:hint="eastAsia" w:ascii="宋体" w:hAnsi="宋体" w:eastAsia="宋体"/>
          <w:b/>
          <w:sz w:val="24"/>
          <w:szCs w:val="24"/>
          <w:highlight w:val="none"/>
        </w:rPr>
        <w:t xml:space="preserve">11）循环泵控制箱</w:t>
      </w:r>
      <w:r/>
    </w:p>
    <w:tbl>
      <w:tblPr>
        <w:tblStyle w:val="88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80"/>
        <w:gridCol w:w="2309"/>
        <w:gridCol w:w="6993"/>
      </w:tblGrid>
      <w:tr>
        <w:trPr>
          <w:trHeight w:val="20"/>
        </w:trPr>
        <w:tc>
          <w:tcPr>
            <w:gridSpan w:val="2"/>
            <w:shd w:val="clear" w:color="000000" w:fill="ffffff"/>
            <w:tcBorders>
              <w:top w:val="single" w:color="auto" w:sz="4" w:space="0"/>
              <w:left w:val="single" w:color="auto" w:sz="4" w:space="0"/>
              <w:bottom w:val="single" w:color="auto" w:sz="4" w:space="0"/>
              <w:right w:val="single" w:color="auto" w:sz="4" w:space="0"/>
            </w:tcBorders>
            <w:tcW w:w="1727" w:type="pct"/>
            <w:vAlign w:val="center"/>
            <w:textDirection w:val="lrTb"/>
            <w:noWrap w:val="false"/>
          </w:tcPr>
          <w:p>
            <w:pPr>
              <w:ind w:firstLine="0"/>
              <w:jc w:val="center"/>
              <w:pageBreakBefore w:val="0"/>
              <w:spacing w:line="360" w:lineRule="auto"/>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技术参数</w:t>
            </w:r>
            <w:r/>
          </w:p>
        </w:tc>
        <w:tc>
          <w:tcPr>
            <w:shd w:val="clear" w:color="000000" w:fill="ffffff"/>
            <w:tcBorders>
              <w:top w:val="single" w:color="auto" w:sz="4" w:space="0"/>
              <w:left w:val="none" w:color="000000" w:sz="4" w:space="0"/>
              <w:bottom w:val="single" w:color="auto" w:sz="4" w:space="0"/>
              <w:right w:val="single" w:color="auto" w:sz="4" w:space="0"/>
            </w:tcBorders>
            <w:tcW w:w="3273" w:type="pct"/>
            <w:vAlign w:val="center"/>
            <w:textDirection w:val="lrTb"/>
            <w:noWrap w:val="false"/>
          </w:tcPr>
          <w:p>
            <w:pPr>
              <w:ind w:firstLine="0"/>
              <w:jc w:val="center"/>
              <w:pageBreakBefore w:val="0"/>
              <w:spacing w:line="360" w:lineRule="auto"/>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指标</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接口</w:t>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网络接口</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 x 10/100 Base-T RJ-45</w:t>
            </w:r>
            <w:r/>
          </w:p>
        </w:tc>
      </w:tr>
      <w:tr>
        <w:trPr>
          <w:trHeight w:val="20"/>
        </w:trPr>
        <w:tc>
          <w:tcPr>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RS485接口</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 x RS485</w:t>
            </w:r>
            <w:r/>
          </w:p>
        </w:tc>
      </w:tr>
      <w:tr>
        <w:trPr>
          <w:trHeight w:val="20"/>
        </w:trPr>
        <w:tc>
          <w:tcPr>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传输</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通过ProfiNet 数据传送到中央协调控制箱</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电压</w:t>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额定值</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AC  220V</w:t>
            </w:r>
            <w:r/>
          </w:p>
        </w:tc>
      </w:tr>
      <w:tr>
        <w:trPr>
          <w:trHeight w:val="20"/>
        </w:trPr>
        <w:tc>
          <w:tcPr>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功耗</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﹤100W</w:t>
            </w:r>
            <w:r/>
          </w:p>
        </w:tc>
      </w:tr>
      <w:tr>
        <w:trPr>
          <w:trHeight w:val="20"/>
        </w:trPr>
        <w:tc>
          <w:tcPr>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频率</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50Hz</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环境</w:t>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温度</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-10℃～+40℃（极限温度：-20℃～+60℃）</w:t>
            </w:r>
            <w:r/>
          </w:p>
        </w:tc>
      </w:tr>
      <w:tr>
        <w:trPr>
          <w:trHeight w:val="20"/>
        </w:trPr>
        <w:tc>
          <w:tcPr>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081" w:type="pct"/>
            <w:vAlign w:val="center"/>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湿度</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≤75％（极限湿度：≤85%）</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646"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功能</w:t>
            </w:r>
            <w:r/>
          </w:p>
        </w:tc>
        <w:tc>
          <w:tcPr>
            <w:shd w:val="clear" w:color="000000" w:fill="ffffff"/>
            <w:tcBorders>
              <w:top w:val="none" w:color="000000" w:sz="4" w:space="0"/>
              <w:left w:val="single" w:color="auto" w:sz="4" w:space="0"/>
              <w:bottom w:val="single" w:color="auto" w:sz="4" w:space="0"/>
              <w:right w:val="single" w:color="auto" w:sz="4" w:space="0"/>
            </w:tcBorders>
            <w:tcW w:w="1081"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设备运行监控</w:t>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 对循环泵运行状态、故障报警等重要参数进行监视</w:t>
            </w:r>
            <w:r/>
          </w:p>
        </w:tc>
      </w:tr>
      <w:tr>
        <w:trPr>
          <w:trHeight w:val="20"/>
        </w:trPr>
        <w:tc>
          <w:tcPr>
            <w:tcBorders>
              <w:top w:val="none" w:color="000000" w:sz="4" w:space="0"/>
              <w:left w:val="single" w:color="auto" w:sz="4" w:space="0"/>
              <w:bottom w:val="single" w:color="auto" w:sz="4" w:space="0"/>
              <w:right w:val="single" w:color="auto" w:sz="4" w:space="0"/>
            </w:tcBorders>
            <w:tcW w:w="646"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Borders>
              <w:top w:val="none" w:color="000000" w:sz="4" w:space="0"/>
              <w:left w:val="single" w:color="auto" w:sz="4" w:space="0"/>
              <w:bottom w:val="single" w:color="auto" w:sz="4" w:space="0"/>
              <w:right w:val="single" w:color="auto" w:sz="4" w:space="0"/>
            </w:tcBorders>
            <w:tcW w:w="1081" w:type="pct"/>
            <w:vAlign w:val="center"/>
            <w:vMerge w:val="continue"/>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273" w:type="pct"/>
            <w:vAlign w:val="center"/>
            <w:textDirection w:val="lrTb"/>
            <w:noWrap w:val="false"/>
          </w:tcPr>
          <w:p>
            <w:pPr>
              <w:ind w:firstLine="0"/>
              <w:pageBreakBefore w:val="0"/>
              <w:spacing w:line="360" w:lineRule="auto"/>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2、通过控制策略控制循环泵的启停</w:t>
            </w:r>
            <w:r/>
          </w:p>
        </w:tc>
      </w:tr>
    </w:tbl>
    <w:p>
      <w:pPr>
        <w:ind w:firstLine="0"/>
        <w:pageBreakBefore w:val="0"/>
        <w:spacing w:line="360" w:lineRule="auto"/>
        <w:rPr>
          <w:rFonts w:hint="default" w:ascii="宋体" w:hAnsi="宋体" w:eastAsia="宋体"/>
          <w:szCs w:val="22"/>
          <w:highlight w:val="none"/>
        </w:rPr>
      </w:pPr>
      <w:r>
        <w:rPr>
          <w:rFonts w:hint="default" w:ascii="宋体" w:hAnsi="宋体" w:eastAsia="宋体"/>
          <w:szCs w:val="22"/>
          <w:highlight w:val="none"/>
        </w:rPr>
      </w:r>
      <w:r/>
    </w:p>
    <w:p>
      <w:pPr>
        <w:ind w:firstLine="482"/>
        <w:keepLines w:val="0"/>
        <w:keepNext w:val="0"/>
        <w:pageBreakBefore w:val="0"/>
        <w:spacing w:line="360" w:lineRule="auto"/>
        <w:widowControl w:val="off"/>
        <w:rPr>
          <w:rFonts w:hint="default" w:ascii="宋体" w:hAnsi="宋体" w:eastAsia="宋体"/>
          <w:b/>
          <w:sz w:val="24"/>
          <w:szCs w:val="24"/>
          <w:highlight w:val="none"/>
        </w:rPr>
      </w:pPr>
      <w:r>
        <w:rPr>
          <w:rFonts w:hint="eastAsia" w:ascii="宋体" w:hAnsi="宋体" w:eastAsia="宋体"/>
          <w:b/>
          <w:sz w:val="24"/>
          <w:szCs w:val="24"/>
          <w:highlight w:val="none"/>
        </w:rPr>
        <w:t xml:space="preserve">12）风冷热泵控制箱</w:t>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2412"/>
        <w:gridCol w:w="6958"/>
      </w:tblGrid>
      <w:tr>
        <w:trPr>
          <w:trHeight w:val="20"/>
        </w:trPr>
        <w:tc>
          <w:tcPr>
            <w:gridSpan w:val="2"/>
            <w:shd w:val="clear" w:color="000000" w:fill="ffffff"/>
            <w:tcW w:w="1743" w:type="pct"/>
            <w:vAlign w:val="center"/>
            <w:textDirection w:val="lrTb"/>
            <w:noWrap w:val="false"/>
          </w:tcPr>
          <w:p>
            <w:pPr>
              <w:ind w:firstLine="0"/>
              <w:jc w:val="center"/>
              <w:pageBreakBefore w:val="0"/>
              <w:spacing w:line="360" w:lineRule="auto"/>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技术参数</w:t>
            </w:r>
            <w:r/>
          </w:p>
        </w:tc>
        <w:tc>
          <w:tcPr>
            <w:shd w:val="clear" w:color="000000" w:fill="ffffff"/>
            <w:tcW w:w="3257" w:type="pct"/>
            <w:vAlign w:val="center"/>
            <w:textDirection w:val="lrTb"/>
            <w:noWrap w:val="false"/>
          </w:tcPr>
          <w:p>
            <w:pPr>
              <w:ind w:firstLine="0"/>
              <w:jc w:val="center"/>
              <w:pageBreakBefore w:val="0"/>
              <w:spacing w:line="360" w:lineRule="auto"/>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指标</w:t>
            </w:r>
            <w:r/>
          </w:p>
        </w:tc>
      </w:tr>
      <w:tr>
        <w:trPr>
          <w:trHeight w:val="20"/>
        </w:trPr>
        <w:tc>
          <w:tcPr>
            <w:shd w:val="clear" w:color="auto" w:fill="auto"/>
            <w:tcW w:w="614"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接口</w:t>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网络接口</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支持ProfiNet/MODBUS-TCP</w:t>
            </w:r>
            <w:r/>
          </w:p>
        </w:tc>
      </w:tr>
      <w:tr>
        <w:trPr>
          <w:trHeight w:val="20"/>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RS485接口</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1主1从，主站最多可带32个仪表</w:t>
            </w:r>
            <w:r/>
          </w:p>
        </w:tc>
      </w:tr>
      <w:tr>
        <w:trPr>
          <w:trHeight w:val="20"/>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传输</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接收/输出的RS485信号、MODBUS-RTU标准信号，ProfiNet信号，支持4G，上传云平台</w:t>
            </w:r>
            <w:r/>
          </w:p>
        </w:tc>
      </w:tr>
      <w:tr>
        <w:trPr>
          <w:trHeight w:val="20"/>
        </w:trPr>
        <w:tc>
          <w:tcPr>
            <w:shd w:val="clear" w:color="auto" w:fill="auto"/>
            <w:tcW w:w="614"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电压</w:t>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额定值</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AC  220V</w:t>
            </w:r>
            <w:r/>
          </w:p>
        </w:tc>
      </w:tr>
      <w:tr>
        <w:trPr>
          <w:trHeight w:val="20"/>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功耗</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w:t>
            </w:r>
            <w:r/>
          </w:p>
        </w:tc>
      </w:tr>
      <w:tr>
        <w:trPr>
          <w:trHeight w:val="20"/>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频率</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50Hz</w:t>
            </w:r>
            <w:r/>
          </w:p>
        </w:tc>
      </w:tr>
      <w:tr>
        <w:trPr>
          <w:trHeight w:val="20"/>
        </w:trPr>
        <w:tc>
          <w:tcPr>
            <w:shd w:val="clear" w:color="auto" w:fill="auto"/>
            <w:tcW w:w="614"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中央处理控制器</w:t>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工业级处理器</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位处理速度不低于60纳秒</w:t>
            </w:r>
            <w:r/>
          </w:p>
        </w:tc>
      </w:tr>
      <w:tr>
        <w:trPr>
          <w:trHeight w:val="20"/>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内存</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内存明确区分程序区和用户数据区，保证内存的最大使用效率及程序的可维护性；</w:t>
            </w:r>
            <w:r/>
          </w:p>
        </w:tc>
      </w:tr>
      <w:tr>
        <w:trPr>
          <w:trHeight w:val="312"/>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1129"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自诊断功能</w:t>
            </w:r>
            <w:r/>
          </w:p>
        </w:tc>
        <w:tc>
          <w:tcPr>
            <w:shd w:val="clear" w:color="000000" w:fill="ffffff"/>
            <w:tcW w:w="3257" w:type="pct"/>
            <w:vAlign w:val="center"/>
            <w:vMerge w:val="restart"/>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可监视各模块及对应通道的实时系统诊断信息，即使处于停止状态也可进行系统诊断，系统诊断不占CPU程序资源</w:t>
            </w:r>
            <w:r/>
          </w:p>
        </w:tc>
      </w:tr>
      <w:tr>
        <w:trPr>
          <w:trHeight w:val="20"/>
        </w:trPr>
        <w:tc>
          <w:tcPr>
            <w:shd w:val="clear" w:color="auto" w:fill="auto"/>
            <w:tcW w:w="614"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w:t>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温度</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-10℃～+40℃（极限温度：-20℃～+60℃）</w:t>
            </w:r>
            <w:r/>
          </w:p>
        </w:tc>
      </w:tr>
      <w:tr>
        <w:trPr>
          <w:trHeight w:val="20"/>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1129" w:type="pct"/>
            <w:vAlign w:val="center"/>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湿度</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≤75％（极限湿度：≤85%）</w:t>
            </w:r>
            <w:r/>
          </w:p>
        </w:tc>
      </w:tr>
      <w:tr>
        <w:trPr>
          <w:trHeight w:val="20"/>
        </w:trPr>
        <w:tc>
          <w:tcPr>
            <w:shd w:val="clear" w:color="auto" w:fill="auto"/>
            <w:tcW w:w="614"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w:t>
            </w:r>
            <w:r/>
          </w:p>
        </w:tc>
        <w:tc>
          <w:tcPr>
            <w:shd w:val="clear" w:color="000000" w:fill="ffffff"/>
            <w:tcW w:w="1129" w:type="pct"/>
            <w:vAlign w:val="center"/>
            <w:vMerge w:val="restart"/>
            <w:textDirection w:val="lrTb"/>
            <w:noWrap w:val="false"/>
          </w:tcPr>
          <w:p>
            <w:pPr>
              <w:ind w:firstLine="0"/>
              <w:jc w:val="center"/>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设备运行监控</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对风冷热泵主机运行状态、工作性能、故障报警、进出水温度等重要参数进行监视</w:t>
            </w:r>
            <w:r/>
          </w:p>
        </w:tc>
      </w:tr>
      <w:tr>
        <w:trPr>
          <w:trHeight w:val="20"/>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tcW w:w="1129"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2、通过控制策略控制风冷热泵主机的启停以及循环泵的开启</w:t>
            </w:r>
            <w:r/>
          </w:p>
        </w:tc>
      </w:tr>
      <w:tr>
        <w:trPr>
          <w:trHeight w:val="20"/>
        </w:trPr>
        <w:tc>
          <w:tcPr>
            <w:tcW w:w="614" w:type="pct"/>
            <w:vAlign w:val="center"/>
            <w:vMerge w:val="continue"/>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tc>
        <w:tc>
          <w:tcPr>
            <w:shd w:val="clear" w:color="000000" w:fill="ffffff"/>
            <w:tcW w:w="1129"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风冷热泵能源数据上报</w:t>
            </w:r>
            <w:r/>
          </w:p>
        </w:tc>
        <w:tc>
          <w:tcPr>
            <w:shd w:val="clear" w:color="000000" w:fill="ffffff"/>
            <w:tcW w:w="3257" w:type="pct"/>
            <w:vAlign w:val="center"/>
            <w:textDirection w:val="lrTb"/>
            <w:noWrap w:val="false"/>
          </w:tcPr>
          <w:p>
            <w:pPr>
              <w:ind w:firstLine="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将所有能源能耗数据及设备运行数据实时上传节能监管平台</w:t>
            </w:r>
            <w:r/>
          </w:p>
        </w:tc>
      </w:tr>
    </w:tbl>
    <w:p>
      <w:pPr>
        <w:ind w:left="0" w:firstLine="422"/>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13）多联机空调网关</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（1）支持市面上主流多联机空调系统，支持数据采集、数据上报、集中管控等功能。</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（2）性能指标：</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电源输入：DC12V</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待机功耗：&lt;2W</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以太网接口：1路10/100M以太网</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4G接口：内置4G CAT.1通信模块</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工作温度：-10~60°C</w:t>
      </w:r>
      <w:r/>
    </w:p>
    <w:p>
      <w:pPr>
        <w:ind w:firstLine="482"/>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14）电计量控制器（大功率型）</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①支持电能监测、集中管控、数据上报等功能。</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②性能指标：</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额定电压：220VAC(380VAC)</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额定电流：3*5(60)A</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继电器触点负载(阻性)：80A 250VAC</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上行通信：4G(CAT1)、1路RS485</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计量精度：2级</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工作温度：-10~60°C</w:t>
      </w:r>
      <w:r/>
    </w:p>
    <w:p>
      <w:pPr>
        <w:ind w:firstLine="482"/>
        <w:pageBreakBefore w:val="0"/>
        <w:spacing w:line="360" w:lineRule="auto"/>
        <w:rPr>
          <w:rFonts w:hint="default" w:ascii="宋体" w:hAnsi="宋体" w:eastAsia="宋体"/>
          <w:b/>
          <w:sz w:val="24"/>
          <w:szCs w:val="24"/>
          <w:highlight w:val="none"/>
        </w:rPr>
      </w:pPr>
      <w:r>
        <w:rPr>
          <w:rFonts w:hint="eastAsia" w:ascii="宋体" w:hAnsi="宋体" w:eastAsia="宋体"/>
          <w:b/>
          <w:sz w:val="24"/>
          <w:szCs w:val="24"/>
          <w:highlight w:val="none"/>
        </w:rPr>
        <w:t xml:space="preserve">15）电计量控制器（小功率插座型）</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①支持电能监测、集中管控、数据上报等功能。</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②性能指标：</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额定电压：220VAC</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额定电流：5(16)A</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继电器触点负载(阻性)：16A 250VAC</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上行通信：4G(CAT1)</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计量精度：2级</w:t>
      </w:r>
      <w:r/>
    </w:p>
    <w:p>
      <w:pPr>
        <w:ind w:firstLine="480"/>
        <w:jc w:val="left"/>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工作温度：-10~60°C</w:t>
      </w:r>
      <w:r/>
    </w:p>
    <w:p>
      <w:pPr>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4.实施周期要求</w:t>
      </w:r>
      <w:r/>
    </w:p>
    <w:p>
      <w:pPr>
        <w:ind w:firstLine="480"/>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本项目整体实施</w:t>
      </w:r>
      <w:r>
        <w:rPr>
          <w:rFonts w:hint="eastAsia" w:ascii="宋体" w:hAnsi="宋体" w:cs="宋体"/>
          <w:bCs/>
          <w:sz w:val="24"/>
          <w:szCs w:val="24"/>
          <w:highlight w:val="none"/>
          <w:lang w:val="en-US" w:eastAsia="zh-CN"/>
        </w:rPr>
        <w:t xml:space="preserve">改造</w:t>
      </w:r>
      <w:r>
        <w:rPr>
          <w:rFonts w:hint="eastAsia" w:ascii="宋体" w:hAnsi="宋体" w:eastAsia="宋体" w:cs="宋体"/>
          <w:bCs/>
          <w:sz w:val="24"/>
          <w:szCs w:val="24"/>
          <w:highlight w:val="none"/>
        </w:rPr>
        <w:t xml:space="preserve">周期要求在中标后两年内完成，分为三个阶段：</w:t>
      </w:r>
      <w:r/>
    </w:p>
    <w:p>
      <w:pPr>
        <w:ind w:firstLine="480"/>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第一阶段：2026年12月31日前完成“2.2能源管理“一张网”软件平台建设”以及“2.3.1计量和控制”，并通过甲方验收。2027年1月1日，项目正式进入托管期，由中标方开展</w:t>
      </w:r>
      <w:r>
        <w:rPr>
          <w:rFonts w:hint="eastAsia" w:ascii="宋体" w:hAnsi="宋体" w:eastAsia="宋体" w:cs="宋体"/>
          <w:sz w:val="24"/>
          <w:szCs w:val="24"/>
          <w:highlight w:val="none"/>
        </w:rPr>
        <w:t xml:space="preserve">水电气能源费用缴纳工作（2026年11月份需完成</w:t>
      </w:r>
      <w:r>
        <w:rPr>
          <w:rFonts w:hint="eastAsia" w:ascii="宋体" w:hAnsi="宋体" w:eastAsia="宋体" w:cs="宋体"/>
          <w:bCs/>
          <w:sz w:val="24"/>
          <w:szCs w:val="24"/>
          <w:highlight w:val="none"/>
        </w:rPr>
        <w:t xml:space="preserve">缴费户名变更及未入市公共机构市场化售电相关工作）</w:t>
      </w:r>
      <w:r>
        <w:rPr>
          <w:rFonts w:hint="eastAsia" w:ascii="宋体" w:hAnsi="宋体" w:eastAsia="宋体" w:cs="宋体"/>
          <w:sz w:val="24"/>
          <w:szCs w:val="24"/>
          <w:highlight w:val="none"/>
        </w:rPr>
        <w:t xml:space="preserve">。同时需完成“</w:t>
      </w:r>
      <w:r>
        <w:rPr>
          <w:rFonts w:hint="eastAsia" w:ascii="宋体" w:hAnsi="宋体" w:eastAsia="宋体" w:cs="宋体"/>
          <w:bCs/>
          <w:sz w:val="24"/>
          <w:szCs w:val="24"/>
          <w:highlight w:val="none"/>
        </w:rPr>
        <w:t xml:space="preserve">2.3.2设备更新改造</w:t>
      </w:r>
      <w:r>
        <w:rPr>
          <w:rFonts w:hint="eastAsia" w:ascii="宋体" w:hAnsi="宋体" w:eastAsia="宋体" w:cs="宋体"/>
          <w:sz w:val="24"/>
          <w:szCs w:val="24"/>
          <w:highlight w:val="none"/>
        </w:rPr>
        <w:t xml:space="preserve">”和“</w:t>
      </w:r>
      <w:r>
        <w:rPr>
          <w:rFonts w:hint="eastAsia" w:ascii="宋体" w:hAnsi="宋体" w:eastAsia="宋体" w:cs="宋体"/>
          <w:bCs/>
          <w:sz w:val="24"/>
          <w:szCs w:val="24"/>
          <w:highlight w:val="none"/>
        </w:rPr>
        <w:t xml:space="preserve">2.3.3分布式光伏建设</w:t>
      </w:r>
      <w:r>
        <w:rPr>
          <w:rFonts w:hint="eastAsia" w:ascii="宋体" w:hAnsi="宋体" w:eastAsia="宋体" w:cs="宋体"/>
          <w:sz w:val="24"/>
          <w:szCs w:val="24"/>
          <w:highlight w:val="none"/>
        </w:rPr>
        <w:t xml:space="preserve">”所有前期准备工作（方案编制、专家论证等）。</w:t>
      </w:r>
      <w:r/>
    </w:p>
    <w:p>
      <w:pPr>
        <w:ind w:firstLine="480"/>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第二阶段：2027年6月30日前完成</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2.3.2设备更新改造</w:t>
      </w:r>
      <w:r>
        <w:rPr>
          <w:rFonts w:hint="eastAsia" w:ascii="宋体" w:hAnsi="宋体" w:eastAsia="宋体" w:cs="宋体"/>
          <w:sz w:val="24"/>
          <w:szCs w:val="24"/>
          <w:highlight w:val="none"/>
        </w:rPr>
        <w:t xml:space="preserve">”和“</w:t>
      </w:r>
      <w:r>
        <w:rPr>
          <w:rFonts w:hint="eastAsia" w:ascii="宋体" w:hAnsi="宋体" w:eastAsia="宋体" w:cs="宋体"/>
          <w:bCs/>
          <w:sz w:val="24"/>
          <w:szCs w:val="24"/>
          <w:highlight w:val="none"/>
        </w:rPr>
        <w:t xml:space="preserve">2.3.3分布式光伏建设</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。2027年8月份，招标方组织对整体项目进行初步验收，中标单位根据初步验收结论进行项目整改优化，做好省市主管部门验收的所有准备工作。</w:t>
      </w:r>
      <w:r/>
    </w:p>
    <w:p>
      <w:pPr>
        <w:ind w:firstLine="480"/>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第三阶段：2027年12月31日前，完成试点项目整体验收。</w:t>
      </w:r>
      <w:r/>
    </w:p>
    <w:p>
      <w:pPr>
        <w:numPr>
          <w:ilvl w:val="0"/>
          <w:numId w:val="11"/>
        </w:numPr>
        <w:ind w:firstLine="0"/>
        <w:jc w:val="both"/>
        <w:keepLines/>
        <w:keepNext/>
        <w:pageBreakBefore w:val="0"/>
        <w:spacing w:before="0" w:after="0" w:line="360" w:lineRule="auto"/>
        <w:widowControl w:val="off"/>
        <w:rPr>
          <w:rFonts w:hint="eastAsia"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费用支付方式</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支付方式：</w:t>
      </w:r>
      <w:r>
        <w:rPr>
          <w:rFonts w:hint="eastAsia" w:ascii="宋体" w:hAnsi="宋体" w:eastAsia="宋体" w:cs="宋体"/>
          <w:bCs/>
          <w:sz w:val="24"/>
          <w:szCs w:val="24"/>
          <w:highlight w:val="none"/>
        </w:rPr>
        <w:t xml:space="preserve">各公共机构进入托管期后，支付</w:t>
      </w:r>
      <w:r>
        <w:rPr>
          <w:rFonts w:hint="eastAsia" w:ascii="宋体" w:hAnsi="宋体" w:cs="宋体"/>
          <w:bCs/>
          <w:sz w:val="24"/>
          <w:szCs w:val="24"/>
          <w:highlight w:val="none"/>
          <w:lang w:val="en-US" w:eastAsia="zh-CN"/>
        </w:rPr>
        <w:t xml:space="preserve">年限</w:t>
      </w:r>
      <w:r>
        <w:rPr>
          <w:rFonts w:hint="eastAsia" w:ascii="宋体" w:hAnsi="宋体" w:eastAsia="宋体" w:cs="宋体"/>
          <w:bCs/>
          <w:sz w:val="24"/>
          <w:szCs w:val="24"/>
          <w:highlight w:val="none"/>
        </w:rPr>
        <w:t xml:space="preserve">为10年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每年支付12次，每月支付金额：月度基准价</w:t>
      </w:r>
      <w:r>
        <w:rPr>
          <w:rFonts w:hint="default" w:ascii="Arial" w:hAnsi="Arial" w:cs="Arial"/>
          <w:bCs/>
          <w:sz w:val="24"/>
          <w:szCs w:val="24"/>
          <w:highlight w:val="none"/>
          <w:lang w:val="en-US" w:eastAsia="zh-CN"/>
        </w:rPr>
        <w:t xml:space="preserve">×</w:t>
      </w:r>
      <w:r>
        <w:rPr>
          <w:rFonts w:hint="eastAsia" w:ascii="Arial" w:hAnsi="Arial" w:cs="Arial"/>
          <w:bCs/>
          <w:sz w:val="24"/>
          <w:szCs w:val="24"/>
          <w:highlight w:val="none"/>
          <w:lang w:val="en-US" w:eastAsia="zh-CN"/>
        </w:rPr>
        <w:t xml:space="preserve">下浮系数</w:t>
      </w:r>
      <w:r>
        <w:rPr>
          <w:rFonts w:hint="eastAsia" w:ascii="宋体" w:hAnsi="宋体" w:eastAsia="宋体" w:cs="宋体"/>
          <w:bCs/>
          <w:sz w:val="24"/>
          <w:szCs w:val="24"/>
          <w:highlight w:val="none"/>
        </w:rPr>
        <w:t xml:space="preserve">。托管期内若发生设备增减等用能边界变化，双方依据《公共机构能源费用托管实施规程》（JS/T301-2024），聘请第三方能源审计单位进行核定，出具用能边界变化核定报告，双方据实调整结算。</w:t>
      </w:r>
      <w:r/>
    </w:p>
    <w:p>
      <w:pPr>
        <w:pStyle w:val="903"/>
        <w:ind w:firstLine="480"/>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注：月度基准价=能源审计报告核定的月度基准量</w:t>
      </w:r>
      <w:r>
        <w:rPr>
          <w:rFonts w:hint="default" w:ascii="Arial" w:hAnsi="Arial" w:cs="Arial"/>
          <w:bCs/>
          <w:sz w:val="24"/>
          <w:szCs w:val="24"/>
          <w:highlight w:val="none"/>
          <w:lang w:val="en-US" w:eastAsia="zh-CN"/>
        </w:rPr>
        <w:t xml:space="preserve">×</w:t>
      </w:r>
      <w:r>
        <w:rPr>
          <w:rFonts w:hint="eastAsia" w:ascii="宋体" w:hAnsi="宋体" w:cs="宋体"/>
          <w:bCs/>
          <w:sz w:val="24"/>
          <w:szCs w:val="24"/>
          <w:highlight w:val="none"/>
          <w:lang w:val="en-US" w:eastAsia="zh-CN"/>
        </w:rPr>
        <w:t xml:space="preserve">能源审计报告核定的基准单价；</w:t>
      </w:r>
      <w:r/>
    </w:p>
    <w:p>
      <w:pPr>
        <w:pStyle w:val="903"/>
        <w:ind w:firstLine="960"/>
        <w:rPr>
          <w:rFonts w:hint="default" w:eastAsia="宋体"/>
          <w:highlight w:val="none"/>
          <w:lang w:val="en-US" w:eastAsia="zh-CN"/>
        </w:rPr>
      </w:pPr>
      <w:r>
        <w:rPr>
          <w:rFonts w:hint="eastAsia" w:ascii="Arial" w:hAnsi="Arial" w:cs="Arial"/>
          <w:bCs/>
          <w:sz w:val="24"/>
          <w:szCs w:val="24"/>
          <w:highlight w:val="none"/>
          <w:lang w:val="en-US" w:eastAsia="zh-CN"/>
        </w:rPr>
        <w:t xml:space="preserve">下浮系数</w:t>
      </w:r>
      <w:r>
        <w:rPr>
          <w:rFonts w:hint="eastAsia" w:ascii="宋体" w:hAnsi="宋体" w:cs="宋体"/>
          <w:bCs/>
          <w:sz w:val="24"/>
          <w:szCs w:val="24"/>
          <w:highlight w:val="none"/>
          <w:lang w:val="en-US" w:eastAsia="zh-CN"/>
        </w:rPr>
        <w:t xml:space="preserve">=投标价</w:t>
      </w:r>
      <w:r>
        <w:rPr>
          <w:rFonts w:hint="default" w:ascii="Arial" w:hAnsi="Arial" w:cs="Arial"/>
          <w:bCs/>
          <w:sz w:val="24"/>
          <w:szCs w:val="24"/>
          <w:highlight w:val="none"/>
          <w:lang w:val="en-US" w:eastAsia="zh-CN"/>
        </w:rPr>
        <w:t xml:space="preserve">÷</w:t>
      </w:r>
      <w:r>
        <w:rPr>
          <w:rFonts w:hint="eastAsia" w:ascii="Arial" w:hAnsi="Arial" w:cs="Arial"/>
          <w:bCs/>
          <w:sz w:val="24"/>
          <w:szCs w:val="24"/>
          <w:highlight w:val="none"/>
          <w:lang w:val="en-US" w:eastAsia="zh-CN"/>
        </w:rPr>
        <w:t xml:space="preserve">项目最高限价，保留小数点后四位，不进行四舍五入。</w:t>
      </w:r>
      <w:r/>
    </w:p>
    <w:p>
      <w:pPr>
        <w:ind w:firstLine="0"/>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6.施工组织要求</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6.1人员组织</w:t>
      </w:r>
      <w:r/>
    </w:p>
    <w:p>
      <w:pPr>
        <w:ind w:firstLine="480"/>
        <w:pageBreakBefore w:val="0"/>
        <w:spacing w:line="36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p>
    <w:p>
      <w:pPr>
        <w:ind w:firstLine="48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供应商应配备专业技术团队为本项目提供专业技术支持服务，同时专业技术团队应对采购人指派的操作人员进行适当的培训，以使其能承担相应的操作和设施维护要求。合同期内供应商应当确保其工作人员或者其聘请的第三方在项目实施、运行的整个过程中遵守采购人的相关规章制度。</w:t>
      </w:r>
      <w:r/>
    </w:p>
    <w:p>
      <w:pPr>
        <w:ind w:firstLine="480"/>
        <w:pageBreakBefore w:val="0"/>
        <w:spacing w:line="360" w:lineRule="auto"/>
        <w:widowControl w:val="off"/>
        <w:rPr>
          <w:rFonts w:hint="default" w:ascii="宋体" w:hAnsi="宋体" w:eastAsia="宋体" w:cs="Times New Roman"/>
          <w:bCs/>
          <w:sz w:val="24"/>
          <w:szCs w:val="24"/>
          <w:highlight w:val="none"/>
          <w:lang w:val="en-US"/>
        </w:rPr>
      </w:pPr>
      <w:r>
        <w:rPr>
          <w:rFonts w:ascii="Segoe UI Symbol" w:hAnsi="Segoe UI Symbol" w:cs="Segoe UI Symbol"/>
          <w:color w:val="000000"/>
          <w:sz w:val="24"/>
          <w:highlight w:val="none"/>
        </w:rPr>
        <w:t xml:space="preserve">★</w:t>
      </w:r>
      <w:r>
        <w:rPr>
          <w:rFonts w:hint="default" w:ascii="宋体" w:hAnsi="宋体" w:eastAsia="宋体" w:cs="Times New Roman"/>
          <w:bCs/>
          <w:sz w:val="24"/>
          <w:szCs w:val="24"/>
          <w:highlight w:val="none"/>
          <w:lang w:val="en-US" w:eastAsia="zh-CN"/>
        </w:rPr>
        <w:t xml:space="preserve">拟选派项目负责人应为注册机电工程专业二级（及以上）建造师及安全生产考核合格证书（B证）</w:t>
      </w:r>
      <w:r>
        <w:rPr>
          <w:rFonts w:hint="eastAsia" w:ascii="宋体" w:hAnsi="宋体" w:cs="Times New Roman"/>
          <w:bCs/>
          <w:sz w:val="24"/>
          <w:szCs w:val="24"/>
          <w:highlight w:val="none"/>
          <w:lang w:val="en-US" w:eastAsia="zh-CN"/>
        </w:rPr>
        <w:t xml:space="preserve">。（提供相关证明材料）</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6.2进度管理</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规定时间内完成具体项目的方案设计、建设及验收。</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6.3风险管理</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6.4服务质量</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6.5安全、文明及环保措施</w:t>
      </w:r>
      <w:r/>
    </w:p>
    <w:p>
      <w:pPr>
        <w:ind w:firstLine="480"/>
        <w:pageBreakBefore w:val="0"/>
        <w:spacing w:line="360" w:lineRule="auto"/>
        <w:widowControl w:val="off"/>
        <w:rPr>
          <w:rFonts w:hint="default" w:ascii="宋体" w:hAnsi="宋体" w:eastAsia="宋体"/>
          <w:bCs/>
          <w:sz w:val="24"/>
          <w:szCs w:val="24"/>
          <w:highlight w:val="none"/>
        </w:rPr>
      </w:pPr>
      <w:r/>
      <w:bookmarkStart w:id="294" w:name="_Toc308513313"/>
      <w:r/>
      <w:bookmarkStart w:id="295" w:name="_Toc308032008"/>
      <w:r/>
      <w:bookmarkStart w:id="296" w:name="_Toc448424458"/>
      <w:r>
        <w:rPr>
          <w:rFonts w:hint="eastAsia" w:ascii="宋体" w:hAnsi="宋体" w:eastAsia="宋体"/>
          <w:bCs/>
          <w:sz w:val="24"/>
          <w:szCs w:val="24"/>
          <w:highlight w:val="none"/>
        </w:rPr>
        <w:t xml:space="preserve">①安全文明目标</w:t>
      </w:r>
      <w:bookmarkEnd w:id="294"/>
      <w:r/>
      <w:bookmarkEnd w:id="295"/>
      <w:r/>
      <w:bookmarkEnd w:id="296"/>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安全文明施工达到国家和地方有关安全生产的法律、法规、规范、标准和规程等的要求，施工现场不发生安全事故。</w:t>
      </w:r>
      <w:r/>
    </w:p>
    <w:p>
      <w:pPr>
        <w:ind w:firstLine="480"/>
        <w:pageBreakBefore w:val="0"/>
        <w:spacing w:line="360" w:lineRule="auto"/>
        <w:widowControl w:val="off"/>
        <w:rPr>
          <w:rFonts w:hint="default" w:ascii="宋体" w:hAnsi="宋体" w:eastAsia="宋体"/>
          <w:bCs/>
          <w:sz w:val="24"/>
          <w:szCs w:val="24"/>
          <w:highlight w:val="none"/>
        </w:rPr>
      </w:pPr>
      <w:r/>
      <w:bookmarkStart w:id="297" w:name="_Toc448424460"/>
      <w:r>
        <w:rPr>
          <w:rFonts w:hint="eastAsia" w:ascii="宋体" w:hAnsi="宋体" w:eastAsia="宋体"/>
          <w:bCs/>
          <w:sz w:val="24"/>
          <w:szCs w:val="24"/>
          <w:highlight w:val="none"/>
        </w:rPr>
        <w:t xml:space="preserve">②安全文明管理</w:t>
      </w:r>
      <w:bookmarkEnd w:id="297"/>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投标人须认真贯彻国家、地方政府和上级劳动保护、安全生产主管部门等颁发的有关安全生产、消防工作的法规、制度、方针、政策，严格执行有关劳动保护法规、条例、规定。</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安全管</w:t>
      </w:r>
      <w:r>
        <w:rPr>
          <w:rFonts w:hint="eastAsia" w:ascii="宋体" w:hAnsi="宋体" w:eastAsia="宋体"/>
          <w:bCs/>
          <w:sz w:val="24"/>
          <w:szCs w:val="24"/>
          <w:highlight w:val="none"/>
        </w:rPr>
        <w:t xml:space="preserve">理采用投标人负责制，投标人对施工现场和生活区的安全全面负责，施工期间投标人须负责参与工程施工的所有工作人员安全管理。投标人应时刻关注和采取适当措施保障所有在场工作人员的安全，保证工程施工安全，现场施工应当保持有条不紊，并建立应急预案；负责已完工部分工程的保护工作；应做好防雷电、防火等的安全防护工作；应负责提供照明、警卫、警告标志等安全防护措施，承担施工现场和施工人员的治安、环境卫生、防疫、外来人员暂住手续等管理工作和相关费用；若发生任何事故，均由投标人全部负责，与采购人无关，如因此造成采购人损失还应予赔偿。</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③文明环保</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投标人须遵守环保规范性文件，履行环保社会责任，采取合理的环境保护管理措施。</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6.6文档要求</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供应商应依照要求提供服务周期内的各类文档，除特别要求的文档，可采用电子文档的形式；供应商应按照采购人规定的文档格式、文档要求、提交周期准时提交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r/>
    </w:p>
    <w:p>
      <w:pPr>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7.项目验收要求</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双方按照如下标准和方式进行综合能源服务项目的验收： </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1.验收标准：符合国家或行业相关产品、设计、施工安装和验收规范、标准和要求，并提供相关符合国家规范要求的产品验收报告。</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2.验收模式：合同签订后，中标人按项目要求开展进行实施，</w:t>
      </w:r>
      <w:r>
        <w:rPr>
          <w:rFonts w:hint="eastAsia" w:ascii="宋体" w:hAnsi="宋体"/>
          <w:bCs/>
          <w:sz w:val="24"/>
          <w:szCs w:val="24"/>
          <w:highlight w:val="none"/>
          <w:lang w:val="en-US" w:eastAsia="zh-CN"/>
        </w:rPr>
        <w:t xml:space="preserve">需组织第三方</w:t>
      </w:r>
      <w:r>
        <w:rPr>
          <w:rFonts w:hint="eastAsia" w:ascii="宋体" w:hAnsi="宋体" w:eastAsia="宋体"/>
          <w:bCs/>
          <w:sz w:val="24"/>
          <w:szCs w:val="24"/>
          <w:highlight w:val="none"/>
        </w:rPr>
        <w:t xml:space="preserve">监理单位负责质量监督、问题处理和日常协调，并分批次共同对完成情况进行验收。项目整体验收前，由第三方能源审计服务机构进行节能效果评估并出具评估报告。</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3.验收期限：中标人按照项目实施周期要求按期完成相应工作后分批次提请验收，自提请验收之日起15日内，由监理单位、第三方能源审计服务机构等共同进行验收。</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4.如验收结果达不到规定的验收标准的，中标人应负责整改并再次提请验收。采购人收到验收申请后，</w:t>
      </w:r>
      <w:r>
        <w:rPr>
          <w:rFonts w:hint="eastAsia" w:ascii="宋体" w:hAnsi="宋体"/>
          <w:bCs/>
          <w:sz w:val="24"/>
          <w:szCs w:val="24"/>
          <w:highlight w:val="none"/>
          <w:lang w:val="en-US" w:eastAsia="zh-CN"/>
        </w:rPr>
        <w:t xml:space="preserve">会同用能单位</w:t>
      </w:r>
      <w:r>
        <w:rPr>
          <w:rFonts w:hint="eastAsia" w:ascii="宋体" w:hAnsi="宋体" w:eastAsia="宋体"/>
          <w:bCs/>
          <w:sz w:val="24"/>
          <w:szCs w:val="24"/>
          <w:highlight w:val="none"/>
        </w:rPr>
        <w:t xml:space="preserve">按照本条前款规定的标准、模式、期限再次组织验收。</w:t>
      </w:r>
      <w:r/>
    </w:p>
    <w:p>
      <w:pPr>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8.运行管理要求</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运行管理的基本要求为：</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（1）通过专业化服务，助力客户实现可持续性绿色发展；</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（2）通过高品质运维实现既定管理节能收益；</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（3）响应及时，保证能源管理“一张网”平台和节能改造设备完好；</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（4）充分利用AI等技术实现弹性管控，不能以牺牲业主基本用能需求为代价实现节能；</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（5）行使好能源管家职能，与业主良性互动，定期提交各类用能报告。</w:t>
      </w:r>
      <w:r/>
    </w:p>
    <w:p>
      <w:pPr>
        <w:ind w:firstLine="480"/>
        <w:pageBreakBefore w:val="0"/>
        <w:spacing w:line="360" w:lineRule="auto"/>
        <w:widowControl w:val="off"/>
        <w:rPr>
          <w:rFonts w:hint="default" w:ascii="宋体" w:hAnsi="宋体" w:eastAsia="宋体"/>
          <w:bCs/>
          <w:sz w:val="24"/>
          <w:szCs w:val="24"/>
          <w:highlight w:val="none"/>
        </w:rPr>
      </w:pPr>
      <w:r>
        <w:rPr>
          <w:rFonts w:hint="eastAsia" w:ascii="宋体" w:hAnsi="宋体" w:eastAsia="宋体"/>
          <w:bCs/>
          <w:sz w:val="24"/>
          <w:szCs w:val="24"/>
          <w:highlight w:val="none"/>
        </w:rPr>
        <w:t xml:space="preserve">投标方应根据上述基本要求并结合业主实际情况编制《能源托管服务项目运维管理标准》。运维管理标准的执行需与能源管理“一张网”平台的系统功能对应。通过标准化和信息化融合的技术体系实现高品质运维管理。</w:t>
      </w:r>
      <w:r/>
    </w:p>
    <w:p>
      <w:pPr>
        <w:ind w:firstLine="482"/>
        <w:pageBreakBefore w:val="0"/>
        <w:spacing w:line="360" w:lineRule="auto"/>
        <w:widowControl w:val="off"/>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8.1.基础服务内容及范围</w:t>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2166"/>
        <w:gridCol w:w="2168"/>
        <w:gridCol w:w="5325"/>
      </w:tblGrid>
      <w:tr>
        <w:trPr>
          <w:trHeight w:val="20"/>
        </w:trPr>
        <w:tc>
          <w:tcPr>
            <w:shd w:val="clear" w:color="auto" w:fill="auto"/>
            <w:tcW w:w="479"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shd w:val="clear" w:color="auto" w:fill="auto"/>
            <w:tcW w:w="101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类型</w:t>
            </w:r>
            <w:r/>
          </w:p>
        </w:tc>
        <w:tc>
          <w:tcPr>
            <w:shd w:val="clear" w:color="auto" w:fill="auto"/>
            <w:tcW w:w="1015"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服务范围</w:t>
            </w:r>
            <w:r/>
          </w:p>
        </w:tc>
        <w:tc>
          <w:tcPr>
            <w:shd w:val="clear" w:color="auto" w:fill="auto"/>
            <w:tcW w:w="2492"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采购人服务要求</w:t>
            </w:r>
            <w:r/>
          </w:p>
        </w:tc>
      </w:tr>
      <w:tr>
        <w:trPr>
          <w:trHeight w:val="20"/>
        </w:trPr>
        <w:tc>
          <w:tcPr>
            <w:shd w:val="clear" w:color="auto" w:fill="auto"/>
            <w:tcW w:w="479"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shd w:val="clear" w:color="auto" w:fill="auto"/>
            <w:tcW w:w="101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日常用能精细化管理</w:t>
            </w:r>
            <w:r/>
          </w:p>
        </w:tc>
        <w:tc>
          <w:tcPr>
            <w:shd w:val="clear" w:color="auto" w:fill="auto"/>
            <w:tcW w:w="1015"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人员保证</w:t>
            </w:r>
            <w:r/>
          </w:p>
        </w:tc>
        <w:tc>
          <w:tcPr>
            <w:shd w:val="clear" w:color="auto" w:fill="auto"/>
            <w:tcW w:w="2492"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派驻能效管家，持续开展客户低碳及节能管理规范要求的日常工作</w:t>
            </w:r>
            <w:r/>
          </w:p>
        </w:tc>
      </w:tr>
      <w:tr>
        <w:trPr>
          <w:trHeight w:val="20"/>
        </w:trPr>
        <w:tc>
          <w:tcPr>
            <w:shd w:val="clear" w:color="auto" w:fill="auto"/>
            <w:tcW w:w="479"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shd w:val="clear" w:color="auto" w:fill="auto"/>
            <w:tcW w:w="101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能源综合监管平台</w:t>
            </w:r>
            <w:r/>
          </w:p>
        </w:tc>
        <w:tc>
          <w:tcPr>
            <w:shd w:val="clear" w:color="auto" w:fill="auto"/>
            <w:tcW w:w="1015"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软件系统及服务器</w:t>
            </w:r>
            <w:r/>
          </w:p>
        </w:tc>
        <w:tc>
          <w:tcPr>
            <w:shd w:val="clear" w:color="auto" w:fill="auto"/>
            <w:tcW w:w="2492"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构成此智能化系统的所有服务器、网络、应用软件等的维护、维修、更换故障设备和产品升级</w:t>
            </w:r>
            <w:r/>
          </w:p>
        </w:tc>
      </w:tr>
      <w:tr>
        <w:trPr>
          <w:trHeight w:val="20"/>
        </w:trPr>
        <w:tc>
          <w:tcPr>
            <w:shd w:val="clear" w:color="auto" w:fill="auto"/>
            <w:tcW w:w="479"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shd w:val="clear" w:color="auto" w:fill="auto"/>
            <w:tcW w:w="101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网络链路</w:t>
            </w:r>
            <w:r/>
          </w:p>
        </w:tc>
        <w:tc>
          <w:tcPr>
            <w:shd w:val="clear" w:color="auto" w:fill="auto"/>
            <w:tcW w:w="1015"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能源综合监管平台及相应硬件、通讯设施</w:t>
            </w:r>
            <w:r/>
          </w:p>
        </w:tc>
        <w:tc>
          <w:tcPr>
            <w:shd w:val="clear" w:color="auto" w:fill="auto"/>
            <w:tcW w:w="2492"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保障设备设施实时在线，网络链路不间断。</w:t>
            </w:r>
            <w:r/>
          </w:p>
        </w:tc>
      </w:tr>
      <w:tr>
        <w:trPr>
          <w:trHeight w:val="20"/>
        </w:trPr>
        <w:tc>
          <w:tcPr>
            <w:shd w:val="clear" w:color="auto" w:fill="auto"/>
            <w:tcW w:w="479"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shd w:val="clear" w:color="auto" w:fill="auto"/>
            <w:tcW w:w="101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设施设备</w:t>
            </w:r>
            <w:r/>
          </w:p>
        </w:tc>
        <w:tc>
          <w:tcPr>
            <w:shd w:val="clear" w:color="auto" w:fill="auto"/>
            <w:tcW w:w="1015"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本项目更换的灯具、计量监测、自动化控制等设施设备</w:t>
            </w:r>
            <w:r/>
          </w:p>
        </w:tc>
        <w:tc>
          <w:tcPr>
            <w:shd w:val="clear" w:color="auto" w:fill="auto"/>
            <w:tcW w:w="2492"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1、定期巡检维护保养</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2、及时提供损坏设备的备品备件并进行维修</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3、及时进行设备接入系统平台的调试工作</w:t>
            </w:r>
            <w:r/>
          </w:p>
        </w:tc>
      </w:tr>
      <w:tr>
        <w:trPr>
          <w:trHeight w:val="20"/>
        </w:trPr>
        <w:tc>
          <w:tcPr>
            <w:shd w:val="clear" w:color="auto" w:fill="auto"/>
            <w:tcW w:w="479"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shd w:val="clear" w:color="auto" w:fill="auto"/>
            <w:tcW w:w="101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大型机电设备</w:t>
            </w:r>
            <w:r/>
          </w:p>
        </w:tc>
        <w:tc>
          <w:tcPr>
            <w:shd w:val="clear" w:color="auto" w:fill="auto"/>
            <w:tcW w:w="1015"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本项目加装或更换的大型机电设备</w:t>
            </w:r>
            <w:r/>
          </w:p>
        </w:tc>
        <w:tc>
          <w:tcPr>
            <w:shd w:val="clear" w:color="auto" w:fill="auto"/>
            <w:tcW w:w="2492"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1、定期巡检维护保养</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2、及时对异常、故障、损坏设备进行维修维护</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3、必要时及时邀请生产厂家或专业第三方机构进行维修维护保养。</w:t>
            </w:r>
            <w:r/>
          </w:p>
        </w:tc>
      </w:tr>
      <w:tr>
        <w:trPr>
          <w:trHeight w:val="20"/>
        </w:trPr>
        <w:tc>
          <w:tcPr>
            <w:shd w:val="clear" w:color="auto" w:fill="auto"/>
            <w:tcW w:w="479"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shd w:val="clear" w:color="auto" w:fill="auto"/>
            <w:tcW w:w="1014"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配变电系统</w:t>
            </w:r>
            <w:r/>
          </w:p>
        </w:tc>
        <w:tc>
          <w:tcPr>
            <w:shd w:val="clear" w:color="auto" w:fill="auto"/>
            <w:tcW w:w="1015"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本项目加装或更换的配电变系统</w:t>
            </w:r>
            <w:r/>
          </w:p>
        </w:tc>
        <w:tc>
          <w:tcPr>
            <w:shd w:val="clear" w:color="auto" w:fill="auto"/>
            <w:tcW w:w="2492"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1、定期巡检维护保养</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2、及时对异常、故障、损坏设备进行维修维护</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3、必要时及时邀请生产厂家或专业第三方机构进行维修维护保养。</w:t>
            </w:r>
            <w:r/>
          </w:p>
        </w:tc>
      </w:tr>
    </w:tbl>
    <w:p>
      <w:pPr>
        <w:ind w:firstLine="482"/>
        <w:pageBreakBefore w:val="0"/>
        <w:spacing w:line="360" w:lineRule="auto"/>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8.2.能源管理服务内容</w:t>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2171"/>
        <w:gridCol w:w="7131"/>
      </w:tblGrid>
      <w:tr>
        <w:trPr>
          <w:trHeight w:val="20"/>
        </w:trPr>
        <w:tc>
          <w:tcPr>
            <w:shd w:val="clear" w:color="auto" w:fill="auto"/>
            <w:tcW w:w="64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shd w:val="clear" w:color="auto" w:fill="auto"/>
            <w:tcW w:w="101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类别</w:t>
            </w:r>
            <w:r/>
          </w:p>
        </w:tc>
        <w:tc>
          <w:tcPr>
            <w:shd w:val="clear" w:color="auto" w:fill="auto"/>
            <w:tcW w:w="3338"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p>
        </w:tc>
      </w:tr>
      <w:tr>
        <w:trPr>
          <w:trHeight w:val="20"/>
        </w:trPr>
        <w:tc>
          <w:tcPr>
            <w:shd w:val="clear" w:color="auto" w:fill="auto"/>
            <w:tcW w:w="64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shd w:val="clear" w:color="auto" w:fill="auto"/>
            <w:tcW w:w="101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能源分析服务</w:t>
            </w:r>
            <w:r/>
          </w:p>
        </w:tc>
        <w:tc>
          <w:tcPr>
            <w:shd w:val="clear" w:color="auto" w:fill="auto"/>
            <w:tcW w:w="3338"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根据能源综合监管平台</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1、对客户进行用能设备能耗分析、区域用能分析</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2、形成能源分析报告，并汇报给主管部门</w:t>
            </w:r>
            <w:r/>
          </w:p>
        </w:tc>
      </w:tr>
      <w:tr>
        <w:trPr>
          <w:trHeight w:val="20"/>
        </w:trPr>
        <w:tc>
          <w:tcPr>
            <w:shd w:val="clear" w:color="auto" w:fill="auto"/>
            <w:tcW w:w="64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shd w:val="clear" w:color="auto" w:fill="auto"/>
            <w:tcW w:w="101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系统维护服务</w:t>
            </w:r>
            <w:r/>
          </w:p>
        </w:tc>
        <w:tc>
          <w:tcPr>
            <w:shd w:val="clear" w:color="auto" w:fill="auto"/>
            <w:tcW w:w="3338"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保障能源综合监管平台系统正常运行，设备在线率95%以上，重点计量设备全部在线</w:t>
            </w:r>
            <w:r/>
          </w:p>
        </w:tc>
      </w:tr>
      <w:tr>
        <w:trPr>
          <w:trHeight w:val="20"/>
        </w:trPr>
        <w:tc>
          <w:tcPr>
            <w:shd w:val="clear" w:color="auto" w:fill="auto"/>
            <w:tcW w:w="64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shd w:val="clear" w:color="auto" w:fill="auto"/>
            <w:tcW w:w="101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设备运行优化服务</w:t>
            </w:r>
            <w:r/>
          </w:p>
        </w:tc>
        <w:tc>
          <w:tcPr>
            <w:shd w:val="clear" w:color="auto" w:fill="auto"/>
            <w:tcW w:w="3338"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1、根据设备或区域用能分析，在满足客户正常用能需求情况下，提供专业节能技术建议及意见，关闭或优化相应用能设备运行，保障设备高效率运行</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2、积极响应低碳生活，办公区域空调夏季室内温度不低于26℃、冬季室内温度不高于20℃</w:t>
            </w:r>
            <w:r/>
          </w:p>
        </w:tc>
      </w:tr>
      <w:tr>
        <w:trPr>
          <w:trHeight w:val="20"/>
        </w:trPr>
        <w:tc>
          <w:tcPr>
            <w:shd w:val="clear" w:color="auto" w:fill="auto"/>
            <w:tcW w:w="64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shd w:val="clear" w:color="auto" w:fill="auto"/>
            <w:tcW w:w="101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违禁设备管理服务</w:t>
            </w:r>
            <w:r/>
          </w:p>
        </w:tc>
        <w:tc>
          <w:tcPr>
            <w:shd w:val="clear" w:color="auto" w:fill="auto"/>
            <w:tcW w:w="3338"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根据相应安全管理条例，严禁办公区域的小太阳、取暖器、电磁炉等有安全隐患的设备使用</w:t>
            </w:r>
            <w:r/>
          </w:p>
        </w:tc>
      </w:tr>
      <w:tr>
        <w:trPr>
          <w:trHeight w:val="20"/>
        </w:trPr>
        <w:tc>
          <w:tcPr>
            <w:shd w:val="clear" w:color="auto" w:fill="auto"/>
            <w:tcW w:w="64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shd w:val="clear" w:color="auto" w:fill="auto"/>
            <w:tcW w:w="101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巡检服务</w:t>
            </w:r>
            <w:r/>
          </w:p>
        </w:tc>
        <w:tc>
          <w:tcPr>
            <w:shd w:val="clear" w:color="auto" w:fill="auto"/>
            <w:tcW w:w="3338"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1、非必要浪费，可随手关闭情况，则与管理部门沟通确认后，物业单位进行关闭操作</w:t>
            </w:r>
            <w:r/>
          </w:p>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2、及时发现设备损坏、故障或有安全隐患设备的情况，并上报管理部门进行维修作</w:t>
            </w:r>
            <w:r/>
          </w:p>
        </w:tc>
      </w:tr>
      <w:tr>
        <w:trPr>
          <w:trHeight w:val="20"/>
        </w:trPr>
        <w:tc>
          <w:tcPr>
            <w:shd w:val="clear" w:color="auto" w:fill="auto"/>
            <w:tcW w:w="64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shd w:val="clear" w:color="auto" w:fill="auto"/>
            <w:tcW w:w="101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节能宣传管理服务</w:t>
            </w:r>
            <w:r/>
          </w:p>
        </w:tc>
        <w:tc>
          <w:tcPr>
            <w:shd w:val="clear" w:color="auto" w:fill="auto"/>
            <w:tcW w:w="3338"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积极配合管理部门各类节能管理及节能宣传工作，低碳生活，从我做起</w:t>
            </w:r>
            <w:r/>
          </w:p>
        </w:tc>
      </w:tr>
      <w:tr>
        <w:trPr>
          <w:trHeight w:val="20"/>
        </w:trPr>
        <w:tc>
          <w:tcPr>
            <w:shd w:val="clear" w:color="auto" w:fill="auto"/>
            <w:tcW w:w="64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shd w:val="clear" w:color="auto" w:fill="auto"/>
            <w:tcW w:w="1016" w:type="pct"/>
            <w:vAlign w:val="center"/>
            <w:textDirection w:val="lrTb"/>
            <w:noWrap w:val="false"/>
          </w:tcPr>
          <w:p>
            <w:pPr>
              <w:ind w:firstLine="0"/>
              <w:jc w:val="center"/>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其他服务</w:t>
            </w:r>
            <w:r/>
          </w:p>
        </w:tc>
        <w:tc>
          <w:tcPr>
            <w:shd w:val="clear" w:color="auto" w:fill="auto"/>
            <w:tcW w:w="3338" w:type="pct"/>
            <w:vAlign w:val="center"/>
            <w:textDirection w:val="lrTb"/>
            <w:noWrap w:val="false"/>
          </w:tcPr>
          <w:p>
            <w:pPr>
              <w:ind w:firstLine="0"/>
              <w:jc w:val="left"/>
              <w:pageBreakBefore w:val="0"/>
              <w:spacing w:line="360" w:lineRule="auto"/>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根据客户节能管理制度，积极配合节能管理服务工作</w:t>
            </w:r>
            <w:r/>
          </w:p>
        </w:tc>
      </w:tr>
    </w:tbl>
    <w:p>
      <w:pPr>
        <w:ind w:firstLine="0"/>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9.管理考核要求</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服务人员：驻场人员数量不少于</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采购人处需配备一名驻场人员）</w:t>
      </w:r>
      <w:r>
        <w:rPr>
          <w:rFonts w:hint="eastAsia" w:ascii="宋体" w:hAnsi="宋体" w:eastAsia="宋体" w:cs="宋体"/>
          <w:bCs/>
          <w:sz w:val="24"/>
          <w:szCs w:val="24"/>
          <w:highlight w:val="none"/>
        </w:rPr>
        <w:t xml:space="preserve">。</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服务指标：项目服务满意率</w:t>
      </w:r>
      <w:r>
        <w:rPr>
          <w:rFonts w:hint="eastAsia" w:ascii="宋体" w:hAnsi="宋体" w:cs="宋体"/>
          <w:bCs/>
          <w:sz w:val="24"/>
          <w:szCs w:val="24"/>
          <w:highlight w:val="none"/>
          <w:lang w:val="en-US" w:eastAsia="zh-CN"/>
        </w:rPr>
        <w:t xml:space="preserve">95</w:t>
      </w:r>
      <w:r>
        <w:rPr>
          <w:rFonts w:hint="eastAsia" w:ascii="宋体" w:hAnsi="宋体" w:eastAsia="宋体" w:cs="宋体"/>
          <w:bCs/>
          <w:sz w:val="24"/>
          <w:szCs w:val="24"/>
          <w:highlight w:val="none"/>
        </w:rPr>
        <w:t xml:space="preserve">%以上；能源消耗量、能源费用、峰谷电比等核心数据维持较好应用水平，并呈现持续改进态势。</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服务时间：提供365天*24小时的不间断运维服务指导，为用户提供最灵活的用能体验。</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故障响应时间：设备发生故障应立即予以响应，2小时到达现场，8小时内修复，因特殊零配件原因48小时内修复，并持续协助故障的最终解答或解决。</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项目保障：建立健全项目相关组织构架、设备、系统、记录、创新、奖惩等各环节、多维度的规章制度，并执行到位。</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供暖、供冷质量：根据《江苏省公共机构节能管理办法》、等规定，除有特殊温度要求的区域外，室内空调温度的设置，夏季不得低于二十六摄氏度，冬季不得高于二十摄氏度。</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供暖、供冷周期：</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空调集中供冷条件如下：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a） 供冷开始条件：室外最高气温连续 3 天&gt;28 ℃或当天&gt;31 ℃；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b） 供冷结束条件：室外最高气温连续 3 天&lt;27 ℃或当天&lt;24 ℃；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c） 供冷时，室内温度范围 26 ℃±2 ℃。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空调集中供暖条件如下：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a） 供暖开始条件：室外最低气温连续 3 天&lt;13 ℃或当天&lt;10 ℃；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b） 供暖结束条件：室外最低气温连续 3 天&gt;17 ℃或当天&gt;20 ℃；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c） 供暖时，室内温度范围 18 ℃±2 ℃。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如采购人另行规定，则以采购人需求为准。质量要求：符合国家相关技术规范和要求。</w:t>
      </w:r>
      <w:r/>
    </w:p>
    <w:p>
      <w:pPr>
        <w:ind w:firstLine="480"/>
        <w:keepLines w:val="0"/>
        <w:keepNext w:val="0"/>
        <w:pageBreakBefore w:val="0"/>
        <w:spacing w:line="360" w:lineRule="auto"/>
        <w:widowControl w:val="off"/>
        <w:rPr>
          <w:rFonts w:hint="default" w:ascii="宋体" w:hAnsi="宋体" w:eastAsia="宋体" w:cs="宋体"/>
          <w:bCs/>
          <w:sz w:val="24"/>
          <w:szCs w:val="24"/>
          <w:highlight w:val="none"/>
          <w:lang w:val="en-US" w:eastAsia="zh-CN"/>
        </w:rPr>
      </w:pPr>
      <w:r>
        <w:rPr>
          <w:rFonts w:ascii="Segoe UI Symbol" w:hAnsi="Segoe UI Symbol" w:cs="Segoe UI Symbol"/>
          <w:color w:val="000000"/>
          <w:sz w:val="24"/>
          <w:highlight w:val="none"/>
        </w:rPr>
        <w:t xml:space="preserve">★</w:t>
      </w:r>
      <w:r>
        <w:rPr>
          <w:rFonts w:hint="eastAsia" w:ascii="Segoe UI Symbol" w:hAnsi="Segoe UI Symbol" w:cs="Segoe UI Symbol"/>
          <w:color w:val="000000"/>
          <w:sz w:val="24"/>
          <w:highlight w:val="none"/>
        </w:rPr>
        <w:t xml:space="preserve">在能源费用托管实施周期内，</w:t>
      </w:r>
      <w:r>
        <w:rPr>
          <w:rFonts w:hint="eastAsia" w:ascii="Segoe UI Symbol" w:hAnsi="Segoe UI Symbol" w:cs="Segoe UI Symbol"/>
          <w:color w:val="000000"/>
          <w:sz w:val="24"/>
          <w:highlight w:val="none"/>
          <w:lang w:val="en-US" w:eastAsia="zh-CN"/>
        </w:rPr>
        <w:t xml:space="preserve">投标人须满足国家、省、市对我区公共机构的节能降碳及能耗下降指标</w:t>
      </w:r>
      <w:r>
        <w:rPr>
          <w:rFonts w:hint="eastAsia" w:ascii="Segoe UI Symbol" w:hAnsi="Segoe UI Symbol" w:cs="Segoe UI Symbol"/>
          <w:color w:val="000000"/>
          <w:sz w:val="24"/>
          <w:highlight w:val="none"/>
        </w:rPr>
        <w:t xml:space="preserve">。</w:t>
      </w:r>
      <w:r>
        <w:rPr>
          <w:rFonts w:hint="eastAsia" w:ascii="Segoe UI Symbol" w:hAnsi="Segoe UI Symbol" w:cs="Segoe UI Symbol"/>
          <w:color w:val="000000"/>
          <w:sz w:val="24"/>
          <w:highlight w:val="none"/>
          <w:lang w:val="en-US" w:eastAsia="zh-CN"/>
        </w:rPr>
        <w:t xml:space="preserve">（提供承诺函，格式自拟）</w:t>
      </w:r>
      <w:r/>
    </w:p>
    <w:p>
      <w:pPr>
        <w:ind w:firstLine="0"/>
        <w:jc w:val="both"/>
        <w:keepLines/>
        <w:keepNext/>
        <w:pageBreakBefore w:val="0"/>
        <w:spacing w:before="0" w:after="0" w:line="360" w:lineRule="auto"/>
        <w:widowControl w:val="off"/>
        <w:rPr>
          <w:rFonts w:ascii="Arial" w:hAnsi="Arial" w:eastAsia="宋体" w:cs="Times New Roman"/>
          <w:b/>
          <w:sz w:val="32"/>
          <w:szCs w:val="22"/>
          <w:highlight w:val="none"/>
          <w:lang w:val="en-US" w:eastAsia="zh-CN" w:bidi="ar-SA"/>
        </w:rPr>
        <w:outlineLvl w:val="1"/>
      </w:pPr>
      <w:r>
        <w:rPr>
          <w:rFonts w:hint="eastAsia" w:ascii="Arial" w:hAnsi="Arial" w:eastAsia="宋体" w:cs="Times New Roman"/>
          <w:b/>
          <w:sz w:val="32"/>
          <w:szCs w:val="22"/>
          <w:highlight w:val="none"/>
          <w:lang w:val="en-US" w:eastAsia="zh-CN" w:bidi="ar-SA"/>
        </w:rPr>
        <w:t xml:space="preserve">10.其他要求</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10.1在合同期限内，采购人、中标人所有能源系统设备其日常运营管理、维护保养及产生的费用是由采购人投资的均由采购人承担；中标人投资改造设备的日常操作、维护、保养工作由中标人承担。</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10.2合同期满后，</w:t>
      </w:r>
      <w:r>
        <w:rPr>
          <w:rFonts w:hint="eastAsia" w:ascii="宋体" w:hAnsi="宋体" w:eastAsia="宋体" w:cs="宋体"/>
          <w:sz w:val="24"/>
          <w:szCs w:val="22"/>
          <w:highlight w:val="none"/>
        </w:rPr>
        <w:t xml:space="preserve">中标人应将其投资形成的有形资产无偿向采购人移交，同时需移交投资、验收、运行等相关的全部文件资料。有形资产移交之前由中标人主导，采购人参与，双方共同对用能系统进行一次全面检修。合同内改造项目检修费用由中标人承担。</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10.3中标人应为本项目配备经验丰富的项目团队，团队骨干成员应有能源系统管理、公共建筑节能改造、空调系统运维等相关经验。中标人应保证项目团队的主要人员的稳定性，在未经过采购人同意的情况下，中标人不得随意更换人员。采购人或中标人认为需要更换项目经理或项目团队成员时，均应提早两周向对方申明原因，中标人应同时提出新的符合合同要求的项目经理或项目团队成员人选，经采购人同意并办理交接手续后方可更换。</w:t>
      </w:r>
      <w:r/>
    </w:p>
    <w:p>
      <w:pPr>
        <w:ind w:firstLine="480"/>
        <w:keepLines w:val="0"/>
        <w:keepNext w:val="0"/>
        <w:pageBreakBefore w:val="0"/>
        <w:spacing w:line="36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10.4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10.5中标人必须严格遵守采购人信息安全方面的要求。对于参与项目的人员均需要签订统一的信息保密协议。中标人应对以下信息进行保密，具体包括：项目信息：如业务流程、技术方案、业务数据（静态数据、动态数据、历史数据）、报表指标、技术指标、计算机软件、数据库、操作手册、技术资料等。保密信息既包括书面认定为保密或专有的，又包括口头给予，随即被书面确认为保密或专有的信息。保密信息存储介质包括但不限于纸质文档、电子文档、光盘、U盘、服务器等文档。</w:t>
      </w:r>
      <w:r/>
    </w:p>
    <w:p>
      <w:pPr>
        <w:ind w:firstLine="480"/>
        <w:keepLines w:val="0"/>
        <w:keepNext w:val="0"/>
        <w:pageBreakBefore w:val="0"/>
        <w:spacing w:line="360" w:lineRule="auto"/>
        <w:widowControl w:val="off"/>
        <w:rPr>
          <w:rFonts w:hint="eastAsia" w:ascii="宋体" w:hAnsi="宋体" w:cs="宋体"/>
          <w:bCs/>
          <w:sz w:val="24"/>
          <w:szCs w:val="24"/>
          <w:highlight w:val="none"/>
          <w:lang w:eastAsia="zh-CN"/>
        </w:rPr>
      </w:pPr>
      <w:r>
        <w:rPr>
          <w:rFonts w:hint="eastAsia" w:ascii="宋体" w:hAnsi="宋体" w:cs="宋体"/>
          <w:bCs/>
          <w:sz w:val="24"/>
          <w:szCs w:val="24"/>
          <w:highlight w:val="none"/>
          <w:lang w:val="en-US" w:eastAsia="zh-CN"/>
        </w:rPr>
        <w:t xml:space="preserve">10.6</w:t>
      </w:r>
      <w:r>
        <w:rPr>
          <w:rFonts w:hint="default" w:ascii="宋体" w:hAnsi="宋体" w:eastAsia="宋体" w:cs="宋体"/>
          <w:bCs/>
          <w:sz w:val="24"/>
          <w:szCs w:val="24"/>
          <w:highlight w:val="none"/>
        </w:rPr>
        <w:t xml:space="preserve">本项目为整区公共机构能源托管服务项目，服务费预算作为本次招标控制价</w:t>
      </w:r>
      <w:r>
        <w:rPr>
          <w:rFonts w:hint="eastAsia" w:ascii="宋体" w:hAnsi="宋体" w:cs="宋体"/>
          <w:bCs/>
          <w:sz w:val="24"/>
          <w:szCs w:val="24"/>
          <w:highlight w:val="none"/>
          <w:lang w:eastAsia="zh-CN"/>
        </w:rPr>
        <w:t xml:space="preserve">。</w:t>
      </w:r>
      <w:r>
        <w:rPr>
          <w:rFonts w:hint="default" w:ascii="宋体" w:hAnsi="宋体" w:eastAsia="宋体" w:cs="宋体"/>
          <w:bCs/>
          <w:sz w:val="24"/>
          <w:szCs w:val="24"/>
          <w:highlight w:val="none"/>
        </w:rPr>
        <w:t xml:space="preserve">项目实施阶段，中标人需与各公共机构分别签订服务合同，最终服务费金额以第三方专业机构出具的能源审计报告核定金额为准据实结算</w:t>
      </w:r>
      <w:r>
        <w:rPr>
          <w:rFonts w:hint="eastAsia" w:ascii="宋体" w:hAnsi="宋体" w:cs="宋体"/>
          <w:bCs/>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10.7采购需求中</w:t>
      </w:r>
      <w:r>
        <w:rPr>
          <w:rFonts w:hint="eastAsia" w:ascii="宋体" w:hAnsi="宋体" w:cs="宋体"/>
          <w:bCs/>
          <w:sz w:val="24"/>
          <w:szCs w:val="24"/>
          <w:highlight w:val="none"/>
          <w:lang w:val="en-US" w:eastAsia="zh-CN"/>
        </w:rPr>
        <w:t xml:space="preserve">需</w:t>
      </w:r>
      <w:r>
        <w:rPr>
          <w:rFonts w:hint="eastAsia" w:ascii="宋体" w:hAnsi="宋体" w:cs="宋体"/>
          <w:bCs/>
          <w:sz w:val="24"/>
          <w:szCs w:val="24"/>
          <w:highlight w:val="none"/>
          <w:lang w:val="en-US" w:eastAsia="zh-CN"/>
        </w:rPr>
        <w:t xml:space="preserve">提供承诺函或相关证明材料的，通过系统上传至“符合条件”--“投标（响应）文件有效性”的投标文件中，不提供或不符合要求按符合性审查不通过处理。</w:t>
      </w:r>
      <w:r/>
    </w:p>
    <w:p>
      <w:pPr>
        <w:ind w:firstLine="0"/>
        <w:jc w:val="both"/>
        <w:keepLines/>
        <w:keepNext/>
        <w:pageBreakBefore w:val="0"/>
        <w:spacing w:before="0" w:after="0" w:line="360" w:lineRule="auto"/>
        <w:widowControl w:val="off"/>
        <w:rPr>
          <w:rFonts w:hint="eastAsia" w:ascii="Arial" w:hAnsi="Arial" w:eastAsia="宋体" w:cs="Times New Roman"/>
          <w:b/>
          <w:sz w:val="32"/>
          <w:szCs w:val="22"/>
          <w:highlight w:val="none"/>
          <w:lang w:val="en-US" w:eastAsia="zh-CN" w:bidi="ar-SA"/>
        </w:rPr>
        <w:outlineLvl w:val="1"/>
      </w:pPr>
      <w:r>
        <w:rPr>
          <w:rFonts w:hint="eastAsia" w:ascii="Arial" w:hAnsi="Arial" w:cs="Times New Roman"/>
          <w:b/>
          <w:sz w:val="32"/>
          <w:szCs w:val="22"/>
          <w:highlight w:val="none"/>
          <w:lang w:val="en-US" w:eastAsia="zh-CN" w:bidi="ar-SA"/>
        </w:rPr>
        <w:t xml:space="preserve">11.</w:t>
      </w:r>
      <w:r>
        <w:rPr>
          <w:rFonts w:hint="eastAsia" w:ascii="Arial" w:hAnsi="Arial" w:eastAsia="宋体" w:cs="Times New Roman"/>
          <w:b/>
          <w:sz w:val="32"/>
          <w:szCs w:val="22"/>
          <w:highlight w:val="none"/>
          <w:lang w:val="en-US" w:eastAsia="zh-CN" w:bidi="ar-SA"/>
        </w:rPr>
        <w:t xml:space="preserve">报价方式</w:t>
      </w:r>
      <w:r/>
    </w:p>
    <w:p>
      <w:pPr>
        <w:ind w:firstLine="480"/>
        <w:keepLines w:val="0"/>
        <w:keepNext w:val="0"/>
        <w:pageBreakBefore w:val="0"/>
        <w:spacing w:line="360" w:lineRule="auto"/>
        <w:widowControl w:val="off"/>
        <w:rPr>
          <w:rFonts w:hint="eastAsia" w:ascii="宋体" w:hAnsi="宋体" w:cs="宋体"/>
          <w:bCs/>
          <w:sz w:val="24"/>
          <w:szCs w:val="24"/>
          <w:highlight w:val="none"/>
          <w:lang w:val="en-US" w:eastAsia="zh-CN"/>
        </w:rPr>
        <w:sectPr>
          <w:footnotePr/>
          <w:endnotePr/>
          <w:type w:val="nextPage"/>
          <w:pgSz w:w="11906" w:h="16838" w:orient="portrait"/>
          <w:pgMar w:top="720" w:right="720" w:bottom="720" w:left="720" w:header="851" w:footer="992" w:gutter="0"/>
          <w:cols w:num="1" w:sep="0" w:space="425" w:equalWidth="1"/>
          <w:docGrid w:linePitch="360"/>
        </w:sectPr>
      </w:pPr>
      <w:r>
        <w:rPr>
          <w:rFonts w:hint="eastAsia" w:ascii="宋体" w:hAnsi="宋体" w:cs="宋体"/>
          <w:bCs/>
          <w:sz w:val="24"/>
          <w:szCs w:val="24"/>
          <w:highlight w:val="none"/>
          <w:lang w:val="en-US" w:eastAsia="zh-CN"/>
        </w:rPr>
        <w:t xml:space="preserve">本项目报价为总价报价，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报价货币为人民币，评审时以人民币为准。</w:t>
      </w:r>
      <w:r/>
    </w:p>
    <w:p>
      <w:pPr>
        <w:pStyle w:val="903"/>
        <w:rPr>
          <w:rFonts w:hint="eastAsia"/>
          <w:highlight w:val="none"/>
          <w:lang w:val="en-US" w:eastAsia="zh-CN"/>
        </w:rPr>
      </w:pPr>
      <w:r>
        <w:rPr>
          <w:rFonts w:hint="eastAsia"/>
          <w:highlight w:val="none"/>
          <w:lang w:val="en-US" w:eastAsia="zh-CN"/>
        </w:rPr>
      </w:r>
      <w:r/>
    </w:p>
    <w:p>
      <w:pPr>
        <w:rPr>
          <w:rFonts w:ascii="楷体_GB2312" w:hAnsi="Times New Roman" w:eastAsia="宋体" w:cs="Times New Roman"/>
          <w:b/>
          <w:sz w:val="44"/>
          <w:szCs w:val="20"/>
          <w:highlight w:val="none"/>
          <w:lang w:val="en-US" w:eastAsia="zh-CN" w:bidi="ar-SA"/>
        </w:rPr>
      </w:pPr>
      <w:r>
        <w:rPr>
          <w:rFonts w:hint="eastAsia" w:ascii="楷体_GB2312" w:hAnsi="Times New Roman" w:eastAsia="宋体" w:cs="Times New Roman"/>
          <w:b/>
          <w:sz w:val="44"/>
          <w:szCs w:val="20"/>
          <w:highlight w:val="none"/>
          <w:lang w:val="en-US" w:eastAsia="zh-CN" w:bidi="ar-SA"/>
        </w:rPr>
        <w:t xml:space="preserve">附件一 公共机构能源托管清单</w:t>
      </w:r>
      <w:r/>
    </w:p>
    <w:tbl>
      <w:tblPr>
        <w:tblStyle w:val="887"/>
        <w:tblW w:w="149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7"/>
        <w:gridCol w:w="4449"/>
        <w:gridCol w:w="2385"/>
        <w:gridCol w:w="1206"/>
        <w:gridCol w:w="1080"/>
        <w:gridCol w:w="960"/>
        <w:gridCol w:w="1635"/>
        <w:gridCol w:w="2400"/>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建筑面积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电基准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气基准</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水基准</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基准费用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常州市公安局武进分局湖塘派出所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4883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529116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5110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4073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444132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常州市公安局武进分局南夏墅派出所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5900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869454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5129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3306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668364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常州市武进区牛塘镇人民政府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18535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665478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9412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12226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575176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常州市公安局武进分局前黄派出所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2955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109958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1439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90323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常州市公安局武进分局寨桥派出所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3698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480210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3294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377905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常州市公安局武进分局交通警察大队雪堰中队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181307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1049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143040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常州市公安局武进分局滆湖派出所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514203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4974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4419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413029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常州市武进区行政中心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113000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6352493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206007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68375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5570388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32063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5499808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23216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25296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4223587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常州市武进区融媒体中心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39619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4176587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9023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4898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3115978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Style w:val="1325"/>
                <w:highlight w:val="none"/>
                <w:lang w:val="en-US" w:eastAsia="zh-CN" w:bidi="ar"/>
              </w:rPr>
              <w:t xml:space="preserve">常州市武进区财政局</w:t>
            </w:r>
            <w:r>
              <w:rPr>
                <w:rStyle w:val="1326"/>
                <w:rFonts w:eastAsia="宋体"/>
                <w:highlight w:val="none"/>
                <w:lang w:val="en-US" w:eastAsia="zh-CN" w:bidi="ar"/>
              </w:rPr>
              <w:t xml:space="preserve">\</w:t>
            </w:r>
            <w:r>
              <w:rPr>
                <w:rStyle w:val="1325"/>
                <w:highlight w:val="none"/>
                <w:lang w:val="en-US" w:eastAsia="zh-CN" w:bidi="ar"/>
              </w:rPr>
              <w:t xml:space="preserve">税务局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44558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2561335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14585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21322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2018638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常州市武进区人民法院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19735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2166600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6907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38606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1766651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常州市公安局交通管理支队武进大队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10897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1870746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14972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1430845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常州市武进区数据局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16586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1302955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4232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1250060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常州市武进区社会保障服务中心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21000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1346023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6607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13772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1063411 </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常州市自然资源和规划局武进分局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22675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1151414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8314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10148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917597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常州市武进区人民检察院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24926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1015503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3416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14486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814827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常州市武进区住房和城乡建设局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16812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724308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4050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10325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587382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常州市武进生态环境局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8972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573311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3309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7703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464002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中国共产党常州市武进区纪律检查委员会</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7326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582547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6231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441184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常州市武进区城市管理局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7549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405198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2854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2927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319914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常州市武进区交通运输局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10659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324397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1350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2375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260356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常州市武进区司法局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5534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319343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2702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3624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259072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常州市武进区残疾人联合会</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4434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324774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1073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177776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常州市武进区农业综合管理服务中心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3851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294195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1637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222360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常州市武进区退役军人事务局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6575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293502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1820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221409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常州市武进区应急管理局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4327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272500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3994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211978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常州市公安局交通管理支队武进大队车辆管理所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249041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3796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198381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常州市武进区人力资源培训考试中心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6372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239744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1353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3015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192931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常州市公安局武进分局交通警察大队高新区中队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2090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222380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1553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180517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常州市武进区公路事业发展中心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2733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168447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1135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1790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135122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常州市武进区交通运输综合行政执法大队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5935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176824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1361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134430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江苏（武进）水稻研究所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129948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8952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2284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132206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常州市公安局交通管理支队武进大队前黄中队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1948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163111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1404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131113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常州市公安局交通管理支队武进大队湟里中队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1654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132521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1096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106348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常州市武进区农业综合行政执法大队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120036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1138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94433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中国共产党常州市武进区委员会政法委员会</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1528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86385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69288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常州市武进区运输事业发展中心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2770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84231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1775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68667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常州市武进区老干部活动中心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2545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73007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58558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常州市林业工作站武进分站</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24372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17553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9364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609453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12513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24362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593034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常州市公安局武进分局鸣凰派出所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7132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634510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4293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480064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常州市公安局武进分局马杭派出所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4059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445221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2756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336911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常州市武进区湟里镇人民政府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12097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678504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5042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7099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564083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常州市公安局武进分局湟里派出所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4358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297882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2479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1825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246581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常州市公安局武进分局东安派出所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2433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209539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1904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1682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175666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常州市武进区嘉泽镇人民政府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4434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601782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4392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11031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519035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常州市公安局武进分局嘉泽派出所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1019459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8522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6415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806377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常州市武进区礼嘉镇人民政府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10321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489144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5282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16181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457290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礼嘉镇综合行政执法和安全生产监督管理办公室</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992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161335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125530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常州市公安局武进分局礼嘉派出所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3078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371590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2297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2932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305928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常州市武进区洛阳镇人民政府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8548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265813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17241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1874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282225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常州市武进区洛阳镇综合行政执法和安全生产监督管理办公室</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75019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4289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57989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常州市公安局武进分局洛阳派出所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5146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336576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2361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5492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286311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常州市公安局武进分局交通警察大队洛阳中队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2302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158919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2260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131482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常州市武进区南夏墅街道办事处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5803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390837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4530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4331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328495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常州市武进区城市管理行政执法大队南夏墅中队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91923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1271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73937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常州市公安局交通管理支队武进大队牛塘中队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250241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5609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4816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232266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常州市公安局武进分局牛塘派出所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2658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422889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2567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334825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常州市武进区牛塘镇综合行政执法和安全生产监督管理办公室（本部）</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84898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67607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常州市武进区前黄镇人民政府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22089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830674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20626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695965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62</w:t>
            </w:r>
            <w:r/>
          </w:p>
        </w:tc>
        <w:tc>
          <w:tcPr>
            <w:shd w:val="clear" w:color="auto" w:fill="auto"/>
            <w:tcBorders>
              <w:top w:val="non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武进国家高新技术产业开发区管理委员会</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20202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1951874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22539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51025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1692153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武进国家高新区综合保税区管理局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24544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1688323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3248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21534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1302460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武进囯家高新技术产业开发区北区工作组</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14853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1075080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9246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8688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837237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常州西太湖科技产业园管理委员会</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20500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826571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18627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8241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824905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常州市武进区西湖街道办事处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7000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394603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4203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2407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353960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常州市公安局交通管理支队武进大队经发区中队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3168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330271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3432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2110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263393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雪堰镇人民政府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11035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313756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8497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8756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305812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常州市公安局武进分局雪堰派出所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2655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182877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1599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149649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常州市公安局武进分局潘家派出所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2278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237550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1416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187576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none" w:color="000000" w:sz="4" w:space="0"/>
              <w:bottom w:val="non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常州市公安局武进分局漕桥派出所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2499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156451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1797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887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130644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常州市武进人民医院（北院）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103119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16606845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1124020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383850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17966997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常州市武进人民医院（南院）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164792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13302400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499543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148473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12158500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常州市武进中医医院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98911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10334462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440847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142770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9838716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常州市武进国家高新区人民医院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25319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2246804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45178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1819645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常州市武进区疾病预防控制中心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15997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1363640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13275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1050355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常州市武进第四人民医院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28550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1567712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18620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910335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常州市武进第五人民医院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20350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1310235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37989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843721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常州市武进第三人民医院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13270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1232664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23006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746191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常州市武进区雪堰镇中心卫生院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19234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1081612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22646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681722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常州市武进区西湖街道社区卫生服务中心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13362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1082680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5412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597255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常州市武进区嘉泽镇卫生院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12783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886950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2674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539131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常州市武进区雪堰镇漕桥卫生院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22751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750953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2359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28337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521951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常州市武进区湖塘镇鸣凰社区卫生服务中心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10058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757460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3878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452269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常州市武进第六人民医院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16564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675518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14095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421524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常州市武进区礼嘉镇坂上卫生院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8883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738698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6350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419721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常州市武进区湖塘镇马杭社区卫生服务中心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633330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3541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376181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常州市武进区礼嘉镇卫生院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7113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557591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10520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340928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常州市武进区前黄寨桥卫生院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10183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574262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7770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340638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常州市武进区嘉泽镇成章卫生院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5629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272932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4029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161034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常州市武进区牛塘镇卫生院</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13295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374035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4569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216943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常州市高级职业技术学校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222629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5796823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109502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286053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4631416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江苏省前黄高级中学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106403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3096967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109657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148657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2596322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江苏省武进高级中学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108899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2407732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94083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74744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1887276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常州市武进区湟里高级中学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33028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1545848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69236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77771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1357975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常州市武进区礼嘉高级中学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55391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1556970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29760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102572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1330700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常州市武进区洛阳高级中学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1423109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33670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56049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1100199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常州市武进区淹城初级中学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60296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1194960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46320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62434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1035001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常州市武进区西太湖外国语学校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103473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1361100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32256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21403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915667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28663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1027647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36592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51200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869558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常州市武进区鸣凰中学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32519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1061772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67412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827668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常州市武进区江理工附属牛塘实验学校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64746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1402400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19657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820524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常州市武进区人民路初级中学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44068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991398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40775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37117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808655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常州市武进区洛阳初级中学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36845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655560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38437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61900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719579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中国共产党常州市武进区委员会党校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20180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662637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11630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42166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698152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常州市武进区湖塘桥实验小学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47121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802740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17368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50540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683569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常州市武进区实验小学（广电校区）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43333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853414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29991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25753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671905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常州市武进区实验小学（古方路校区）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43899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679308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18540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434594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常州市武进区实验小学（何留校区）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80099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4467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61474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常州市武进区西园实验小学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66238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1042658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22543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646310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常州市武进区星河实验小学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33368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964583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19923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611132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常州市武进区星河实验小学分校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50571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761367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16806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460207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常州大学附属小学（原锦绣小学）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22885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335080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10353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16269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275798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常州市科教城初级中学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35635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471047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8196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366654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常州市科教城小学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35328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443298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3905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254728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常州市武进高新区海湖实验学校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24343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393263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6179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232713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常州市武进区坂上初级中学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18316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376864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16993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24780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353370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常州市武进区坂上小学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13554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285581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9781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190368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常州市武进区采菱小学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28448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442995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15501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20900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368233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120</w:t>
            </w:r>
            <w:r/>
          </w:p>
        </w:tc>
        <w:tc>
          <w:tcPr>
            <w:shd w:val="clear" w:color="auto" w:fill="auto"/>
            <w:tcBorders>
              <w:top w:val="non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常州市武进区漕桥初级中学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7453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105962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10169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96389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常州市武进区漕桥小学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19148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199948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13366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159001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常州市武进区成章初级中学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6734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75814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3582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1276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58440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常州市武进区成章小学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5811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91388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1444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2374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64373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常州市武进区城东小学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6579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71259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5905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8574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91821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常州市武进区村前小学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6333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86485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4039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1149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65304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常州市武进区村前幼儿园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2369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14590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688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12625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常州市武进区戴溪小学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12620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155293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6396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8637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139128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常州市武进区东安实验学校（小学和初中）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28202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314231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11335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16123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268336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常州市武进区东安幼儿园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40545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1095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8423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59027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常州市武进区东龙实验初级中学、常州市武进区东龙实验小学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64222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965200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14286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567700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常州市武进区滆湖科技幼儿园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10220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303010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3549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8147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204360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常州市武进区厚余小学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8527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103527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3877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4425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87163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133</w:t>
            </w:r>
            <w:r/>
          </w:p>
        </w:tc>
        <w:tc>
          <w:tcPr>
            <w:shd w:val="clear" w:color="auto" w:fill="auto"/>
            <w:tcBorders>
              <w:top w:val="single" w:color="000000" w:sz="4" w:space="0"/>
              <w:left w:val="none" w:color="000000" w:sz="4" w:space="0"/>
              <w:bottom w:val="non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常州市武进区湖塘桥第二实验小学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16950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561722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32389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26589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510819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常州市武进区湖塘桥第三实验小学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36322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631440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30163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21834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520310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常州市武进区湖塘桥实验幼儿园白金汉宫园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6237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153936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5104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10164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140318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常州市武进区湖塘桥实验幼儿园春秋园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12069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171616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2991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3905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116632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常州市武进区湖塘桥实验幼儿园弘阳园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10385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157820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2905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4874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112920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常州市武进区湖塘桥实验幼儿园融创园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13289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241890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6253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9113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185318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常州市武进区湖塘桥实验幼儿园四季园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2856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62358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2018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2934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52401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常州市武进区湖塘桥实验幼儿园徐湖园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8165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156360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2401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94574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常州市武进区湖塘镇成人教育中心校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10700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142970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6735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102594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常州市武进区湟里初级中学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12069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265217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10281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10470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215742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常州市武进区湟里中心小学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15132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257548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15198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16539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252937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常州市武进区机关幼儿园天禄园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124659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9233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9418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133955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常州市武进区机关幼儿园星河分园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10822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247784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7434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9796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200526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常州市武进区机关幼儿园星河南园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9172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257136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7504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9152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197731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常州市武进区机关幼儿园御城园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10132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241199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9126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10552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201514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常州市武进区嘉泽初级中学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8522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177086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6252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4723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133111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常州市武进区嘉泽中心小学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12705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163036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2522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5553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117493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常州市武进区礼河实验学校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31068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610889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13119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14304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424937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常州市武进区礼河幼儿园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15381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269090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3724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11782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201247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常州市武进区礼嘉中心小学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15011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231543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17468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25430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281056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常州市武进区李公朴小学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21890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352360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20041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11403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298781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常州市武进区刘海粟小学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35635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581084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35483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34287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561624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常州市武进区刘海粟幼儿园本部花东园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214473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6525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139850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常州市武进区刘海粟幼儿园常发分园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7873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175155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5151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113513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常州市武进区刘海粟幼儿园阳湖名城分园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4083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60005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4245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2544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56290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常州市武进区刘海粟幼儿园长安分园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94304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6358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7314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100147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常州市武进区卢家巷实验学校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42660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893520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25106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572232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常州市武进区洛阳中心小学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28678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425954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16255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54050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493041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常州市武进区马杭初级中学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16855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359004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21772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17112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330482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常州市武进区马杭中心小学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26212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421389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22928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26259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403479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常州市武进区庙桥初级中学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25319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233255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9735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161884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常州市武进区庙桥小学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12363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177695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15801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11018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189780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常州市武进区鸣凰中心小学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32706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603750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23319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411631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常州市武进区南夏墅初级中学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13500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160306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6147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109121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常州市武进区南夏墅中心小学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36519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400281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17934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18627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344713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常州市武进区南夏墅中心小学新知校区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7733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149904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3740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94147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常州市武进区南宅实验学校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9393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175479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4589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113197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常州市武进区牛塘中心小学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27716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378285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22926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16359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340667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常州市武进区潘家初级中学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16320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267126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8389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12206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222363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常州市武进区潘家小学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17419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265182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12422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8720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216596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常州市武进区前黄初级中学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38471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405568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23514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25595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393371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常州市武进区前黄中心小学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11085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171910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11029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6725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154048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常州市武进区人民路小学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33827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505830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30598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29940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492092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常州市武进区实验小学分校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34746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692786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25992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471057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常州市武进区特殊教育学校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9496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129813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4718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87343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常州市武进区夏溪初级中学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11081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244914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7703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160077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常州市武进区星湖实验幼儿园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14439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219960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2623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7120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153243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常州市武进区学府小学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28418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447638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14122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18537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357549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常州市武进区雪堰初级中学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13338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205942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9132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8574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175605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常州市武进区雪堰中心小学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15992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379587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23084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21319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364027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常州市武进区淹城实验小学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30388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340500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2793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191441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常州市武进区运村实验学校</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13870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258944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13810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194103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常州市武进区寨桥初级中学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14647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146333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8984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7212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131547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常州市武进区寨桥小学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11095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147791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8053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6898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132094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187</w:t>
            </w:r>
            <w:r/>
          </w:p>
        </w:tc>
        <w:tc>
          <w:tcPr>
            <w:shd w:val="clear" w:color="auto" w:fill="auto"/>
            <w:tcBorders>
              <w:top w:val="none" w:color="000000" w:sz="4" w:space="0"/>
              <w:left w:val="none" w:color="000000" w:sz="4" w:space="0"/>
              <w:bottom w:val="single" w:color="000000" w:sz="4" w:space="0"/>
              <w:right w:val="none" w:color="000000" w:sz="4" w:space="0"/>
            </w:tcBorders>
            <w:tcW w:w="44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常州市武进区政平小学</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11146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232880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9214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160220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常州市武进区鸣凰实验幼儿园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8968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187997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9771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18321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205679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常州市武进区嘉泽中心幼儿园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10261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89988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1254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6635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79162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常州市武进区成章幼儿园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2802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32207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723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20500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常州市武进区礼嘉中心幼儿园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13215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195730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9046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9125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207684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常州市武进区政平幼儿园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8274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118978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2760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74203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常州市武进区坂上幼儿园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3546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80296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3160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56437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常州市武进区洛阳中心幼儿园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18900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85953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6110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6315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92101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常州市武进区马杭幼儿园（本部）</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7418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110640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7122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92791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196</w:t>
            </w:r>
            <w:r/>
          </w:p>
        </w:tc>
        <w:tc>
          <w:tcPr>
            <w:shd w:val="clear" w:color="auto" w:fill="auto"/>
            <w:tcBorders>
              <w:top w:val="single" w:color="000000" w:sz="4" w:space="0"/>
              <w:left w:val="none" w:color="000000" w:sz="4" w:space="0"/>
              <w:bottom w:val="non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常州市武进区马杭幼儿园（南田分园）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23400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214476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4587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132235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常州市武进国家高新区学府幼儿园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14169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355180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1997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27302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302152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常州市武进区南夏墅中心幼儿园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233318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13518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176784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常州市武进区庙桥幼儿园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117055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13070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113404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常州市武进高新区滨湖幼儿园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13937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127548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2134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3465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89370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常州市武进高新区新知幼儿园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9700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119467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2641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73697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常州市武进区卢家巷幼儿园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10788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275606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12131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194435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常州市武进区牛塘中心幼儿园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8692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159880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3594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6023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120703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常州市武进区前黄中心幼儿园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8915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232384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8899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158137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常州市武进区寨桥幼儿园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4717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114744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3592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76078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206</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常州市武进高新区龚家幼儿园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16327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300720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13287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9184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239455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207</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常州市武进区李公朴幼儿园古方园区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7836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186101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9606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8108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162294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208</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常州市武进区李公朴幼儿园十里园区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3796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76671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2922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4939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90419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209</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常州市武进区李公朴幼儿园贺北园区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2973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85946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2864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55031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210</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常州市武进区漕桥幼儿园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12005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139492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19312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150399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211</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常州市武进区雪堰中心幼儿园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8045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184283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7024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125735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212</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常州市武进区潘家幼儿园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5868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139070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5775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98113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213</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常州市武进区南宅幼儿园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3950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53365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1397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34750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214</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常州市武进区博物馆</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场馆</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8728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736140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743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3090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555212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215</w:t>
            </w:r>
            <w:r/>
          </w:p>
        </w:tc>
        <w:tc>
          <w:tcPr>
            <w:shd w:val="clear" w:color="auto" w:fill="auto"/>
            <w:tcBorders>
              <w:top w:val="single" w:color="000000" w:sz="4" w:space="0"/>
              <w:left w:val="none" w:color="000000" w:sz="4" w:space="0"/>
              <w:bottom w:val="single" w:color="000000" w:sz="4" w:space="0"/>
              <w:right w:val="non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江苏省武进曲棍球训练基地</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场馆</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4961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466653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19601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418965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常州市武进区文化馆</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场馆</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6675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117432 </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default" w:ascii="Times New Roman" w:hAnsi="Times New Roman" w:cs="Times New Roman"/>
                <w:i w:val="0"/>
                <w:iCs w:val="0"/>
                <w:color w:val="000000"/>
                <w:sz w:val="20"/>
                <w:szCs w:val="20"/>
                <w:highlight w:val="none"/>
                <w:u w:val="none"/>
              </w:rPr>
            </w:pPr>
            <w:r>
              <w:rPr>
                <w:rFonts w:hint="default" w:ascii="Times New Roman" w:hAnsi="Times New Roman" w:cs="Times New Roman"/>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2003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default" w:ascii="Times New Roman" w:hAnsi="Times New Roman"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101944 </w:t>
            </w:r>
            <w:r/>
          </w:p>
        </w:tc>
      </w:tr>
    </w:tbl>
    <w:p>
      <w:pPr>
        <w:ind w:firstLine="480"/>
        <w:spacing w:line="360" w:lineRule="auto"/>
        <w:rPr>
          <w:rFonts w:hint="default" w:ascii="宋体" w:hAnsi="宋体" w:eastAsia="宋体"/>
          <w:sz w:val="24"/>
          <w:szCs w:val="22"/>
          <w:highlight w:val="none"/>
        </w:rPr>
      </w:pPr>
      <w:r>
        <w:rPr>
          <w:rFonts w:hint="eastAsia" w:ascii="宋体" w:hAnsi="宋体" w:eastAsia="宋体"/>
          <w:sz w:val="24"/>
          <w:szCs w:val="22"/>
          <w:highlight w:val="none"/>
        </w:rPr>
        <w:t xml:space="preserve">（1）托管电基准费用=电基准量×电基准单价。</w:t>
      </w:r>
      <w:r/>
    </w:p>
    <w:p>
      <w:pPr>
        <w:ind w:firstLine="480"/>
        <w:spacing w:line="360" w:lineRule="auto"/>
        <w:rPr>
          <w:rFonts w:hint="default" w:ascii="宋体" w:hAnsi="宋体" w:eastAsia="宋体"/>
          <w:sz w:val="24"/>
          <w:szCs w:val="22"/>
          <w:highlight w:val="none"/>
        </w:rPr>
      </w:pPr>
      <w:r>
        <w:rPr>
          <w:rFonts w:hint="eastAsia" w:ascii="宋体" w:hAnsi="宋体" w:eastAsia="宋体"/>
          <w:sz w:val="24"/>
          <w:szCs w:val="22"/>
          <w:highlight w:val="none"/>
        </w:rPr>
        <w:t xml:space="preserve">（2）托管燃气基准费用=燃气基准量×燃气基准单价。</w:t>
      </w:r>
      <w:r/>
    </w:p>
    <w:p>
      <w:pPr>
        <w:ind w:firstLine="480"/>
        <w:spacing w:line="360" w:lineRule="auto"/>
        <w:rPr>
          <w:color w:val="000000"/>
          <w:highlight w:val="none"/>
        </w:rPr>
      </w:pPr>
      <w:r>
        <w:rPr>
          <w:rFonts w:hint="eastAsia" w:ascii="宋体" w:hAnsi="宋体" w:eastAsia="宋体"/>
          <w:sz w:val="24"/>
          <w:szCs w:val="22"/>
          <w:highlight w:val="none"/>
        </w:rPr>
        <w:t xml:space="preserve">（3）托管水基准费用=水基准量×水基准单价。</w:t>
      </w:r>
      <w:r/>
    </w:p>
    <w:p>
      <w:pPr>
        <w:rPr>
          <w:highlight w:val="none"/>
        </w:rPr>
        <w:sectPr>
          <w:footnotePr/>
          <w:endnotePr/>
          <w:type w:val="nextPage"/>
          <w:pgSz w:w="16838" w:h="11906" w:orient="landscape"/>
          <w:pgMar w:top="720" w:right="720" w:bottom="720" w:left="720" w:header="851" w:footer="992" w:gutter="0"/>
          <w:cols w:num="1" w:sep="0" w:space="425" w:equalWidth="1"/>
          <w:docGrid w:linePitch="360"/>
        </w:sectPr>
      </w:pPr>
      <w:r>
        <w:rPr>
          <w:highlight w:val="none"/>
        </w:rPr>
      </w:r>
      <w:r/>
    </w:p>
    <w:p>
      <w:pPr>
        <w:jc w:val="center"/>
        <w:spacing w:line="360" w:lineRule="auto"/>
        <w:rPr>
          <w:b/>
          <w:color w:val="000000"/>
          <w:sz w:val="36"/>
          <w:szCs w:val="36"/>
          <w:highlight w:val="none"/>
        </w:rPr>
        <w:outlineLvl w:val="0"/>
      </w:pPr>
      <w:r/>
      <w:bookmarkStart w:id="298" w:name="_Toc99301425"/>
      <w:r>
        <w:rPr>
          <w:b/>
          <w:color w:val="000000"/>
          <w:sz w:val="36"/>
          <w:szCs w:val="36"/>
          <w:highlight w:val="none"/>
        </w:rPr>
        <w:t xml:space="preserve">第六章   拟签订的合同文本</w:t>
      </w:r>
      <w:bookmarkEnd w:id="298"/>
      <w:r/>
      <w:r/>
    </w:p>
    <w:p>
      <w:pPr>
        <w:ind w:firstLine="0"/>
        <w:jc w:val="lef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注：上述格式及内容仅供参考，具体以甲乙双方签订合同时内容为准。以上合同内容若与《中华人民国机关事务行业标准》（公共机构能源费用托管实施规程）中内容不符，以标准为准。</w:t>
      </w:r>
      <w:r/>
    </w:p>
    <w:p>
      <w:pPr>
        <w:ind w:firstLine="0"/>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第一部分 合同书</w:t>
      </w:r>
      <w:r/>
    </w:p>
    <w:p>
      <w:pPr>
        <w:ind w:firstLine="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0"/>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before="120" w:line="22" w:lineRule="atLeast"/>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960"/>
        <w:spacing w:before="120" w:line="22" w:lineRule="atLeas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项目名称：</w:t>
      </w:r>
      <w:r>
        <w:rPr>
          <w:rFonts w:hint="eastAsia" w:ascii="宋体" w:hAnsi="宋体" w:eastAsia="宋体" w:cs="宋体"/>
          <w:sz w:val="24"/>
          <w:szCs w:val="20"/>
          <w:highlight w:val="none"/>
          <w:u w:val="single"/>
        </w:rPr>
        <w:t xml:space="preserve">                                   </w:t>
      </w:r>
      <w:r/>
    </w:p>
    <w:p>
      <w:pPr>
        <w:jc w:val="both"/>
        <w:spacing w:before="120" w:line="22"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2"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0"/>
          <w:highlight w:val="none"/>
          <w:lang w:val="en-US" w:eastAsia="zh-CN" w:bidi="ar-SA"/>
        </w:rPr>
        <w:t xml:space="preserve">        项目编号：</w:t>
      </w:r>
      <w:r>
        <w:rPr>
          <w:rFonts w:hint="eastAsia" w:ascii="宋体" w:hAnsi="宋体" w:eastAsia="宋体" w:cs="宋体"/>
          <w:bCs/>
          <w:sz w:val="24"/>
          <w:szCs w:val="20"/>
          <w:highlight w:val="none"/>
          <w:u w:val="single"/>
          <w:lang w:val="en-US" w:eastAsia="zh-CN" w:bidi="ar-SA"/>
        </w:rPr>
        <w:t xml:space="preserve">                            </w:t>
      </w:r>
      <w:r>
        <w:rPr>
          <w:rFonts w:hint="eastAsia" w:ascii="宋体" w:hAnsi="宋体" w:eastAsia="宋体" w:cs="宋体"/>
          <w:bCs/>
          <w:sz w:val="24"/>
          <w:szCs w:val="20"/>
          <w:highlight w:val="none"/>
          <w:lang w:val="en-US" w:eastAsia="zh-CN" w:bidi="ar-SA"/>
        </w:rPr>
        <w:t xml:space="preserve">      </w:t>
      </w:r>
      <w:r/>
    </w:p>
    <w:p>
      <w:pPr>
        <w:rPr>
          <w:rFonts w:hint="eastAsia" w:ascii="宋体" w:hAnsi="宋体" w:eastAsia="宋体" w:cs="宋体"/>
          <w:szCs w:val="20"/>
          <w:highlight w:val="none"/>
        </w:rPr>
      </w:pPr>
      <w:r>
        <w:rPr>
          <w:rFonts w:hint="eastAsia" w:ascii="宋体" w:hAnsi="宋体" w:eastAsia="宋体" w:cs="宋体"/>
          <w:szCs w:val="20"/>
          <w:highlight w:val="none"/>
        </w:rPr>
      </w:r>
      <w:r/>
    </w:p>
    <w:p>
      <w:pPr>
        <w:ind w:left="960"/>
        <w:spacing w:before="120" w:line="22" w:lineRule="atLeas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甲方：</w:t>
      </w:r>
      <w:r>
        <w:rPr>
          <w:rFonts w:hint="eastAsia" w:ascii="宋体" w:hAnsi="宋体" w:eastAsia="宋体" w:cs="宋体"/>
          <w:sz w:val="24"/>
          <w:szCs w:val="20"/>
          <w:highlight w:val="none"/>
          <w:u w:val="single"/>
        </w:rPr>
        <w:t xml:space="preserve">                                       </w:t>
      </w:r>
      <w:r/>
    </w:p>
    <w:p>
      <w:pPr>
        <w:spacing w:before="120" w:line="22" w:lineRule="atLeast"/>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960"/>
        <w:spacing w:before="120" w:line="22" w:lineRule="atLeas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乙方：</w:t>
      </w:r>
      <w:r>
        <w:rPr>
          <w:rFonts w:hint="eastAsia" w:ascii="宋体" w:hAnsi="宋体" w:eastAsia="宋体" w:cs="宋体"/>
          <w:sz w:val="24"/>
          <w:szCs w:val="20"/>
          <w:highlight w:val="none"/>
          <w:u w:val="single"/>
        </w:rPr>
        <w:t xml:space="preserve">                                       </w:t>
      </w:r>
      <w:r/>
    </w:p>
    <w:p>
      <w:pPr>
        <w:spacing w:before="120" w:line="22" w:lineRule="atLeast"/>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960"/>
        <w:spacing w:before="120" w:line="22" w:lineRule="atLeas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签订地：</w:t>
      </w:r>
      <w:r>
        <w:rPr>
          <w:rFonts w:hint="eastAsia" w:ascii="宋体" w:hAnsi="宋体" w:eastAsia="宋体" w:cs="宋体"/>
          <w:sz w:val="24"/>
          <w:szCs w:val="20"/>
          <w:highlight w:val="none"/>
          <w:u w:val="single"/>
        </w:rPr>
        <w:t xml:space="preserve">                                     </w:t>
      </w:r>
      <w:r/>
    </w:p>
    <w:p>
      <w:pPr>
        <w:spacing w:before="120" w:line="22" w:lineRule="atLeast"/>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960"/>
        <w:spacing w:before="120" w:line="22" w:lineRule="atLeas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签订日期：</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w:t>
      </w:r>
      <w:r/>
    </w:p>
    <w:p>
      <w:pPr>
        <w:ind w:firstLine="640"/>
        <w:jc w:val="center"/>
        <w:spacing w:line="600" w:lineRule="exact"/>
        <w:rPr>
          <w:rFonts w:hint="eastAsia" w:ascii="宋体" w:hAnsi="宋体" w:cs="宋体"/>
          <w:sz w:val="24"/>
          <w:highlight w:val="none"/>
        </w:rPr>
        <w:sectPr>
          <w:footerReference w:type="default" r:id="rId17"/>
          <w:footnotePr/>
          <w:endnotePr/>
          <w:type w:val="nextPage"/>
          <w:pgSz w:w="11907" w:h="16840" w:orient="portrait"/>
          <w:pgMar w:top="1134" w:right="1134" w:bottom="1134" w:left="1134" w:header="851" w:footer="850" w:gutter="0"/>
          <w:cols w:num="1" w:sep="0" w:space="720" w:equalWidth="1"/>
          <w:docGrid w:linePitch="360"/>
        </w:sectPr>
      </w:pPr>
      <w:r>
        <w:rPr>
          <w:rFonts w:hint="eastAsia" w:ascii="宋体" w:hAnsi="宋体" w:cs="宋体"/>
          <w:sz w:val="24"/>
          <w:highlight w:val="none"/>
        </w:rPr>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u w:val="single"/>
          <w:lang w:val="zh-CN"/>
        </w:rPr>
        <w:t xml:space="preserve">        </w:t>
      </w:r>
      <w:r>
        <w:rPr>
          <w:rFonts w:hint="eastAsia" w:ascii="宋体" w:hAnsi="宋体" w:eastAsia="宋体" w:cs="宋体"/>
          <w:sz w:val="24"/>
          <w:szCs w:val="20"/>
          <w:highlight w:val="none"/>
          <w:lang w:val="zh-CN"/>
        </w:rPr>
        <w:t xml:space="preserve">年</w:t>
      </w:r>
      <w:r>
        <w:rPr>
          <w:rFonts w:hint="eastAsia" w:ascii="宋体" w:hAnsi="宋体" w:eastAsia="宋体" w:cs="宋体"/>
          <w:sz w:val="24"/>
          <w:szCs w:val="20"/>
          <w:highlight w:val="none"/>
          <w:u w:val="single"/>
          <w:lang w:val="zh-CN"/>
        </w:rPr>
        <w:t xml:space="preserve">    </w:t>
      </w:r>
      <w:r>
        <w:rPr>
          <w:rFonts w:hint="eastAsia" w:ascii="宋体" w:hAnsi="宋体" w:eastAsia="宋体" w:cs="宋体"/>
          <w:sz w:val="24"/>
          <w:szCs w:val="20"/>
          <w:highlight w:val="none"/>
          <w:lang w:val="zh-CN"/>
        </w:rPr>
        <w:t xml:space="preserve">月</w:t>
      </w:r>
      <w:r>
        <w:rPr>
          <w:rFonts w:hint="eastAsia" w:ascii="宋体" w:hAnsi="宋体" w:eastAsia="宋体" w:cs="宋体"/>
          <w:sz w:val="24"/>
          <w:szCs w:val="20"/>
          <w:highlight w:val="none"/>
          <w:u w:val="single"/>
          <w:lang w:val="zh-CN"/>
        </w:rPr>
        <w:t xml:space="preserve">    </w:t>
      </w:r>
      <w:r>
        <w:rPr>
          <w:rFonts w:hint="eastAsia" w:ascii="宋体" w:hAnsi="宋体" w:eastAsia="宋体" w:cs="宋体"/>
          <w:sz w:val="24"/>
          <w:szCs w:val="20"/>
          <w:highlight w:val="none"/>
          <w:lang w:val="zh-CN"/>
        </w:rPr>
        <w:t xml:space="preserve">日</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lang w:eastAsia="zh-CN"/>
        </w:rPr>
        <w:t xml:space="preserve">常州市武进区机关事务管理中心</w:t>
      </w:r>
      <w:r>
        <w:rPr>
          <w:rFonts w:hint="eastAsia" w:ascii="宋体" w:hAnsi="宋体" w:eastAsia="宋体" w:cs="宋体"/>
          <w:sz w:val="24"/>
          <w:szCs w:val="20"/>
          <w:highlight w:val="none"/>
        </w:rPr>
        <w:t xml:space="preserve">以</w:t>
      </w:r>
      <w:r>
        <w:rPr>
          <w:rFonts w:hint="eastAsia" w:ascii="宋体" w:hAnsi="宋体" w:eastAsia="宋体" w:cs="宋体"/>
          <w:sz w:val="24"/>
          <w:szCs w:val="20"/>
          <w:highlight w:val="none"/>
          <w:u w:val="single"/>
        </w:rPr>
        <w:t xml:space="preserve">公开招标采购方式 </w:t>
      </w:r>
      <w:r>
        <w:rPr>
          <w:rFonts w:hint="eastAsia" w:ascii="宋体" w:hAnsi="宋体" w:eastAsia="宋体" w:cs="宋体"/>
          <w:sz w:val="24"/>
          <w:szCs w:val="20"/>
          <w:highlight w:val="none"/>
        </w:rPr>
        <w:t xml:space="preserve">对</w:t>
      </w:r>
      <w:r>
        <w:rPr>
          <w:rFonts w:hint="eastAsia" w:ascii="宋体" w:hAnsi="宋体" w:eastAsia="宋体" w:cs="宋体"/>
          <w:sz w:val="24"/>
          <w:szCs w:val="20"/>
          <w:highlight w:val="none"/>
          <w:u w:val="single"/>
        </w:rPr>
        <w:t xml:space="preserve"> </w:t>
      </w:r>
      <w:r>
        <w:rPr>
          <w:rFonts w:hint="eastAsia" w:ascii="宋体" w:hAnsi="宋体" w:cs="宋体"/>
          <w:sz w:val="24"/>
          <w:szCs w:val="20"/>
          <w:highlight w:val="none"/>
          <w:u w:val="single"/>
          <w:lang w:eastAsia="zh-CN"/>
        </w:rPr>
        <w:t xml:space="preserve">武进区公共机构能源费用托管项目</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进行了采购。经</w:t>
      </w:r>
      <w:r>
        <w:rPr>
          <w:rFonts w:hint="eastAsia" w:ascii="宋体" w:hAnsi="宋体" w:eastAsia="宋体" w:cs="Times New Roman"/>
          <w:bCs/>
          <w:sz w:val="24"/>
          <w:szCs w:val="24"/>
          <w:highlight w:val="none"/>
          <w:lang w:val="zh-CN"/>
        </w:rPr>
        <w:t xml:space="preserve">评标委员会</w:t>
      </w:r>
      <w:r>
        <w:rPr>
          <w:rFonts w:hint="eastAsia" w:ascii="宋体" w:hAnsi="宋体" w:eastAsia="宋体" w:cs="宋体"/>
          <w:sz w:val="24"/>
          <w:szCs w:val="20"/>
          <w:highlight w:val="none"/>
        </w:rPr>
        <w:t xml:space="preserve">评审，</w:t>
      </w:r>
      <w:r>
        <w:rPr>
          <w:rFonts w:hint="eastAsia" w:ascii="宋体" w:hAnsi="宋体" w:eastAsia="宋体" w:cs="宋体"/>
          <w:sz w:val="24"/>
          <w:szCs w:val="20"/>
          <w:highlight w:val="none"/>
          <w:lang w:eastAsia="zh-CN"/>
        </w:rPr>
        <w:t xml:space="preserve">常州市武进区机关事务管理中心</w:t>
      </w:r>
      <w:r>
        <w:rPr>
          <w:rFonts w:hint="eastAsia" w:ascii="宋体" w:hAnsi="宋体" w:eastAsia="宋体" w:cs="宋体"/>
          <w:sz w:val="24"/>
          <w:szCs w:val="20"/>
          <w:highlight w:val="none"/>
        </w:rPr>
        <w:t xml:space="preserve">确定 </w:t>
      </w:r>
      <w:r>
        <w:rPr>
          <w:rFonts w:hint="eastAsia" w:ascii="宋体" w:hAnsi="宋体" w:eastAsia="宋体" w:cs="宋体"/>
          <w:sz w:val="24"/>
          <w:szCs w:val="20"/>
          <w:highlight w:val="none"/>
          <w:u w:val="single"/>
        </w:rPr>
        <w:t xml:space="preserve">（中标供应商名称）</w:t>
      </w:r>
      <w:r>
        <w:rPr>
          <w:rFonts w:hint="eastAsia" w:ascii="宋体" w:hAnsi="宋体" w:eastAsia="宋体" w:cs="宋体"/>
          <w:sz w:val="24"/>
          <w:szCs w:val="20"/>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lang w:eastAsia="zh-CN"/>
        </w:rPr>
        <w:t xml:space="preserve">常州市武进区机关事务管理中心</w:t>
      </w:r>
      <w:r>
        <w:rPr>
          <w:rFonts w:hint="eastAsia" w:ascii="宋体" w:hAnsi="宋体" w:eastAsia="宋体" w:cs="宋体"/>
          <w:sz w:val="24"/>
          <w:szCs w:val="20"/>
          <w:highlight w:val="none"/>
          <w:lang w:val="zh-CN"/>
        </w:rPr>
        <w:t xml:space="preserve">(以下简称：甲方)和</w:t>
      </w:r>
      <w:r>
        <w:rPr>
          <w:rFonts w:hint="eastAsia" w:ascii="宋体" w:hAnsi="宋体" w:eastAsia="宋体" w:cs="宋体"/>
          <w:sz w:val="24"/>
          <w:szCs w:val="20"/>
          <w:highlight w:val="none"/>
          <w:u w:val="single"/>
        </w:rPr>
        <w:t xml:space="preserve"> （中标供应商名称）</w:t>
      </w:r>
      <w:r>
        <w:rPr>
          <w:rFonts w:hint="eastAsia" w:ascii="宋体" w:hAnsi="宋体" w:eastAsia="宋体" w:cs="宋体"/>
          <w:sz w:val="24"/>
          <w:szCs w:val="20"/>
          <w:highlight w:val="none"/>
          <w:lang w:val="zh-CN"/>
        </w:rPr>
        <w:t xml:space="preserve">(以下简称：乙方)协商一致，约定以下合同</w:t>
      </w:r>
      <w:r>
        <w:rPr>
          <w:rFonts w:hint="eastAsia" w:ascii="宋体" w:hAnsi="宋体" w:eastAsia="宋体" w:cs="宋体"/>
          <w:sz w:val="24"/>
          <w:szCs w:val="20"/>
          <w:highlight w:val="none"/>
        </w:rPr>
        <w:t xml:space="preserve">条款，以兹共同遵守、全面履行。</w:t>
      </w:r>
      <w:r/>
    </w:p>
    <w:p>
      <w:pPr>
        <w:ind w:firstLine="482"/>
        <w:spacing w:line="560" w:lineRule="exact"/>
        <w:rPr>
          <w:rFonts w:hint="default" w:ascii="宋体" w:hAnsi="宋体" w:eastAsia="宋体" w:cs="宋体"/>
          <w:color w:val="000000"/>
          <w:sz w:val="24"/>
          <w:szCs w:val="24"/>
          <w:highlight w:val="none"/>
        </w:rPr>
      </w:pPr>
      <w:r/>
      <w:bookmarkStart w:id="299" w:name="_Toc20421"/>
      <w:r/>
      <w:bookmarkStart w:id="300" w:name="_Toc19273"/>
      <w:r/>
      <w:bookmarkStart w:id="301" w:name="_Toc15367"/>
      <w:r/>
      <w:bookmarkStart w:id="302" w:name="_Toc22967"/>
      <w:r/>
      <w:bookmarkStart w:id="303" w:name="_Toc28855"/>
      <w:r>
        <w:rPr>
          <w:rFonts w:hint="eastAsia" w:ascii="宋体" w:hAnsi="宋体" w:eastAsia="宋体" w:cs="宋体"/>
          <w:b/>
          <w:color w:val="000000"/>
          <w:sz w:val="24"/>
          <w:szCs w:val="24"/>
          <w:highlight w:val="none"/>
        </w:rPr>
        <w:t xml:space="preserve">1.1 合同组成部分</w:t>
      </w:r>
      <w:bookmarkEnd w:id="299"/>
      <w:r/>
      <w:bookmarkEnd w:id="300"/>
      <w:r/>
      <w:bookmarkEnd w:id="301"/>
      <w:r/>
      <w:bookmarkEnd w:id="302"/>
      <w:r/>
      <w:bookmarkEnd w:id="303"/>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hint="default" w:ascii="宋体" w:hAnsi="宋体" w:eastAsia="宋体" w:cs="宋体"/>
          <w:b/>
          <w:color w:val="000000"/>
          <w:sz w:val="24"/>
          <w:szCs w:val="24"/>
          <w:highlight w:val="none"/>
        </w:rPr>
      </w:pPr>
      <w:r/>
      <w:bookmarkStart w:id="304" w:name="_Toc18585"/>
      <w:r/>
      <w:bookmarkStart w:id="305" w:name="_Toc6773"/>
      <w:r/>
      <w:bookmarkStart w:id="306" w:name="_Toc22185"/>
      <w:r/>
      <w:bookmarkStart w:id="307" w:name="_Toc2918"/>
      <w:r/>
      <w:bookmarkStart w:id="308" w:name="_Toc6311"/>
      <w:r>
        <w:rPr>
          <w:rFonts w:hint="eastAsia" w:ascii="宋体" w:hAnsi="宋体" w:eastAsia="宋体" w:cs="宋体"/>
          <w:b/>
          <w:color w:val="000000"/>
          <w:sz w:val="24"/>
          <w:szCs w:val="24"/>
          <w:highlight w:val="none"/>
        </w:rPr>
        <w:t xml:space="preserve">1.2 标的</w:t>
      </w:r>
      <w:bookmarkEnd w:id="304"/>
      <w:r/>
      <w:bookmarkEnd w:id="305"/>
      <w:r/>
      <w:bookmarkEnd w:id="306"/>
      <w:r/>
      <w:bookmarkEnd w:id="307"/>
      <w:r/>
      <w:bookmarkEnd w:id="308"/>
      <w:r/>
      <w:r/>
    </w:p>
    <w:p>
      <w:pPr>
        <w:ind w:firstLine="480"/>
        <w:spacing w:line="560" w:lineRule="exact"/>
        <w:rPr>
          <w:rFonts w:hint="default"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hint="default"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hint="default" w:ascii="宋体" w:hAnsi="宋体" w:eastAsia="宋体" w:cs="宋体"/>
          <w:b/>
          <w:color w:val="000000"/>
          <w:sz w:val="24"/>
          <w:szCs w:val="24"/>
          <w:highlight w:val="none"/>
        </w:rPr>
      </w:pPr>
      <w:r/>
      <w:bookmarkStart w:id="309" w:name="_Toc13918"/>
      <w:r/>
      <w:bookmarkStart w:id="310" w:name="_Toc5635"/>
      <w:r/>
      <w:bookmarkStart w:id="311" w:name="_Toc21124"/>
      <w:r/>
      <w:bookmarkStart w:id="312" w:name="_Toc1386"/>
      <w:r/>
      <w:bookmarkStart w:id="313" w:name="_Toc4929"/>
      <w:r>
        <w:rPr>
          <w:rFonts w:hint="eastAsia" w:ascii="宋体" w:hAnsi="宋体" w:eastAsia="宋体" w:cs="宋体"/>
          <w:b/>
          <w:color w:val="000000"/>
          <w:sz w:val="24"/>
          <w:szCs w:val="24"/>
          <w:highlight w:val="none"/>
        </w:rPr>
        <w:t xml:space="preserve">1.3 价款</w:t>
      </w:r>
      <w:bookmarkEnd w:id="309"/>
      <w:r/>
      <w:bookmarkEnd w:id="310"/>
      <w:r/>
      <w:bookmarkEnd w:id="311"/>
      <w:r/>
      <w:bookmarkEnd w:id="312"/>
      <w:r/>
      <w:bookmarkEnd w:id="313"/>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0"/>
        <w:spacing w:line="560" w:lineRule="exact"/>
        <w:rPr>
          <w:rFonts w:hint="eastAsia" w:ascii="宋体" w:hAnsi="宋体" w:eastAsia="宋体" w:cs="宋体"/>
          <w:color w:val="000000"/>
          <w:sz w:val="24"/>
          <w:szCs w:val="24"/>
          <w:highlight w:val="none"/>
        </w:rPr>
      </w:pPr>
      <w:r/>
      <w:bookmarkStart w:id="314" w:name="_Toc26916"/>
      <w:r/>
      <w:bookmarkStart w:id="315" w:name="_Toc14993"/>
      <w:r/>
      <w:bookmarkStart w:id="316" w:name="_Toc30158"/>
      <w:r/>
      <w:bookmarkStart w:id="317" w:name="_Toc30506"/>
      <w:r/>
      <w:bookmarkStart w:id="318" w:name="_Toc3654"/>
      <w:r>
        <w:rPr>
          <w:rFonts w:hint="eastAsia" w:ascii="宋体" w:hAnsi="宋体" w:eastAsia="宋体" w:cs="宋体"/>
          <w:color w:val="000000"/>
          <w:sz w:val="24"/>
          <w:szCs w:val="24"/>
          <w:highlight w:val="none"/>
        </w:rPr>
        <w:t xml:space="preserve">分项价格：</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jc w:val="center"/>
              <w:spacing w:line="56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340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分项名称</w:t>
            </w:r>
            <w:r/>
          </w:p>
        </w:tc>
        <w:tc>
          <w:tcPr>
            <w:tcW w:w="2552" w:type="dxa"/>
            <w:vAlign w:val="center"/>
            <w:textDirection w:val="lrTb"/>
            <w:noWrap w:val="false"/>
          </w:tcPr>
          <w:p>
            <w:pPr>
              <w:jc w:val="center"/>
              <w:spacing w:line="56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分项价格</w:t>
            </w:r>
            <w:r/>
          </w:p>
        </w:tc>
      </w:tr>
      <w:tr>
        <w:trPr>
          <w:jc w:val="center"/>
          <w:trHeight w:val="369"/>
        </w:trPr>
        <w:tc>
          <w:tcPr>
            <w:tcW w:w="1201"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340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255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jc w:val="center"/>
          <w:trHeight w:val="369"/>
        </w:trPr>
        <w:tc>
          <w:tcPr>
            <w:tcW w:w="1201"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340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255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jc w:val="center"/>
          <w:trHeight w:val="369"/>
        </w:trPr>
        <w:tc>
          <w:tcPr>
            <w:tcW w:w="1201"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340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255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jc w:val="center"/>
          <w:trHeight w:val="369"/>
        </w:trPr>
        <w:tc>
          <w:tcPr>
            <w:tcW w:w="1201"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340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255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jc w:val="center"/>
          <w:trHeight w:val="369"/>
        </w:trPr>
        <w:tc>
          <w:tcPr>
            <w:gridSpan w:val="2"/>
            <w:tcW w:w="4603"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w:t>
            </w:r>
            <w:r/>
          </w:p>
        </w:tc>
        <w:tc>
          <w:tcPr>
            <w:tcW w:w="2552" w:type="dxa"/>
            <w:vAlign w:val="center"/>
            <w:textDirection w:val="lrTb"/>
            <w:noWrap w:val="false"/>
          </w:tcPr>
          <w:p>
            <w:pPr>
              <w:ind w:firstLine="200"/>
              <w:jc w:val="center"/>
              <w:spacing w:line="560" w:lineRule="exact"/>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bl>
    <w:p>
      <w:pPr>
        <w:ind w:firstLine="482"/>
        <w:spacing w:line="560" w:lineRule="exact"/>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付款方式和发票开具方式</w:t>
      </w:r>
      <w:bookmarkEnd w:id="314"/>
      <w:r/>
      <w:bookmarkEnd w:id="315"/>
      <w:r/>
      <w:bookmarkEnd w:id="316"/>
      <w:r/>
      <w:bookmarkEnd w:id="317"/>
      <w:r/>
      <w:bookmarkEnd w:id="318"/>
      <w:r/>
      <w:r/>
    </w:p>
    <w:p>
      <w:pPr>
        <w:ind w:firstLine="48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各公共机构进入托管期后，支付</w:t>
      </w:r>
      <w:r>
        <w:rPr>
          <w:rFonts w:hint="eastAsia" w:ascii="宋体" w:hAnsi="宋体" w:eastAsia="宋体" w:cs="宋体"/>
          <w:color w:val="000000"/>
          <w:sz w:val="24"/>
          <w:szCs w:val="24"/>
          <w:highlight w:val="none"/>
          <w:u w:val="single"/>
          <w:lang w:val="en-US" w:eastAsia="zh-CN"/>
        </w:rPr>
        <w:t xml:space="preserve">年限</w:t>
      </w:r>
      <w:r>
        <w:rPr>
          <w:rFonts w:hint="eastAsia" w:ascii="宋体" w:hAnsi="宋体" w:eastAsia="宋体" w:cs="宋体"/>
          <w:color w:val="000000"/>
          <w:sz w:val="24"/>
          <w:szCs w:val="24"/>
          <w:highlight w:val="none"/>
          <w:u w:val="single"/>
        </w:rPr>
        <w:t xml:space="preserve">为10年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每年支付12次，每月支付金额：月度基准价×下浮系数</w:t>
      </w:r>
      <w:r>
        <w:rPr>
          <w:rFonts w:hint="eastAsia" w:ascii="宋体" w:hAnsi="宋体" w:eastAsia="宋体" w:cs="宋体"/>
          <w:color w:val="000000"/>
          <w:sz w:val="24"/>
          <w:szCs w:val="24"/>
          <w:highlight w:val="none"/>
          <w:u w:val="single"/>
        </w:rPr>
        <w:t xml:space="preserve">。托管期内若发生设备增减等用能边界变化，双方依据《公共机构能源费用托管实施规程》（JS/T301-2024），聘请第三方能源审计单位进行核定，出具用能边界变化核定报告，双方据实调整结算。</w:t>
      </w:r>
      <w:r/>
    </w:p>
    <w:p>
      <w:pPr>
        <w:ind w:firstLine="480"/>
        <w:spacing w:line="56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注：月度基准价=能源审计报告核定的月度基准量×能源审计报告核定的基准单价；</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下浮系数=投标价÷项目最高限价，保留小数点后四位，不进行四舍五入。</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hint="default" w:ascii="宋体" w:hAnsi="宋体" w:eastAsia="宋体" w:cs="宋体"/>
          <w:b/>
          <w:color w:val="000000"/>
          <w:sz w:val="24"/>
          <w:szCs w:val="24"/>
          <w:highlight w:val="none"/>
        </w:rPr>
      </w:pPr>
      <w:r/>
      <w:bookmarkStart w:id="319" w:name="_Toc11108"/>
      <w:r/>
      <w:bookmarkStart w:id="320" w:name="_Toc4760"/>
      <w:r/>
      <w:bookmarkStart w:id="321" w:name="_Toc3625"/>
      <w:r/>
      <w:bookmarkStart w:id="322" w:name="_Toc8772"/>
      <w:r/>
      <w:bookmarkStart w:id="323" w:name="_Toc31421"/>
      <w:r>
        <w:rPr>
          <w:rFonts w:hint="eastAsia" w:ascii="宋体" w:hAnsi="宋体" w:eastAsia="宋体" w:cs="宋体"/>
          <w:b/>
          <w:color w:val="000000"/>
          <w:sz w:val="24"/>
          <w:szCs w:val="24"/>
          <w:highlight w:val="none"/>
        </w:rPr>
        <w:t xml:space="preserve">1.5 履行期限、地点和方式</w:t>
      </w:r>
      <w:bookmarkEnd w:id="319"/>
      <w:r/>
      <w:bookmarkEnd w:id="320"/>
      <w:r/>
      <w:bookmarkEnd w:id="321"/>
      <w:r/>
      <w:bookmarkEnd w:id="322"/>
      <w:r/>
      <w:bookmarkEnd w:id="323"/>
      <w:r/>
      <w:r/>
    </w:p>
    <w:p>
      <w:pPr>
        <w:ind w:firstLine="480"/>
        <w:spacing w:line="560" w:lineRule="exact"/>
        <w:rPr>
          <w:rFonts w:hint="default"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hint="default" w:ascii="宋体" w:hAnsi="宋体" w:eastAsia="宋体" w:cs="宋体"/>
          <w:color w:val="000000"/>
          <w:sz w:val="24"/>
          <w:szCs w:val="24"/>
          <w:highlight w:val="none"/>
          <w:u w:val="single"/>
        </w:rPr>
      </w:pPr>
      <w:r/>
      <w:bookmarkStart w:id="324" w:name="_Toc8586"/>
      <w:r/>
      <w:bookmarkStart w:id="325" w:name="_Toc24662"/>
      <w:r/>
      <w:bookmarkStart w:id="326" w:name="_Toc2375"/>
      <w:r/>
      <w:bookmarkStart w:id="327" w:name="_Toc5698"/>
      <w:r/>
      <w:bookmarkStart w:id="328" w:name="_Toc3079"/>
      <w:r>
        <w:rPr>
          <w:rFonts w:hint="eastAsia" w:ascii="宋体" w:hAnsi="宋体" w:eastAsia="宋体" w:cs="宋体"/>
          <w:b/>
          <w:color w:val="000000"/>
          <w:sz w:val="24"/>
          <w:szCs w:val="24"/>
          <w:highlight w:val="none"/>
        </w:rPr>
        <w:t xml:space="preserve">1.6 违约责任</w:t>
      </w:r>
      <w:bookmarkEnd w:id="324"/>
      <w:r/>
      <w:bookmarkEnd w:id="325"/>
      <w:r/>
      <w:bookmarkEnd w:id="326"/>
      <w:r/>
      <w:bookmarkEnd w:id="327"/>
      <w:r/>
      <w:bookmarkEnd w:id="328"/>
      <w:r/>
      <w:r/>
    </w:p>
    <w:p>
      <w:pPr>
        <w:ind w:firstLine="480"/>
        <w:spacing w:line="560" w:lineRule="exact"/>
        <w:rPr>
          <w:rFonts w:hint="default" w:ascii="宋体" w:hAnsi="宋体" w:eastAsia="宋体" w:cs="宋体"/>
          <w:sz w:val="24"/>
          <w:szCs w:val="24"/>
          <w:highlight w:val="none"/>
        </w:rPr>
      </w:pPr>
      <w:r/>
      <w:bookmarkStart w:id="329" w:name="_Toc18683"/>
      <w:r/>
      <w:bookmarkStart w:id="330" w:name="_Toc26807"/>
      <w:r/>
      <w:bookmarkStart w:id="331" w:name="_Toc32454"/>
      <w:r/>
      <w:bookmarkStart w:id="332" w:name="_Toc30329"/>
      <w:r/>
      <w:bookmarkStart w:id="333" w:name="_Toc9497"/>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default"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default"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default"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highlight w:val="none"/>
          <w:u w:val="single"/>
        </w:rPr>
        <w:t xml:space="preserve">   </w:t>
      </w:r>
      <w:r>
        <w:rPr>
          <w:rFonts w:hint="default"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default"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default"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0"/>
        <w:spacing w:line="56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1.6.8</w:t>
      </w:r>
      <w:r>
        <w:rPr>
          <w:rFonts w:hint="eastAsia" w:ascii="宋体" w:hAnsi="宋体" w:cs="宋体"/>
          <w:sz w:val="24"/>
          <w:szCs w:val="24"/>
          <w:highlight w:val="none"/>
          <w:lang w:val="en-US" w:eastAsia="zh-CN"/>
        </w:rPr>
        <w:t xml:space="preserve">甲方每年对中标单位节能降碳及能耗进行考核，中标单位须满足国家、省、市对我区公共机构的下降指标，每年未达到指标的扣除中标单位50万元。</w:t>
      </w:r>
      <w:r/>
    </w:p>
    <w:p>
      <w:pPr>
        <w:ind w:firstLine="482"/>
        <w:spacing w:line="560" w:lineRule="exact"/>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329"/>
      <w:r/>
      <w:bookmarkEnd w:id="330"/>
      <w:r/>
      <w:bookmarkEnd w:id="331"/>
      <w:r/>
      <w:bookmarkEnd w:id="332"/>
      <w:r/>
      <w:bookmarkEnd w:id="333"/>
      <w:r/>
      <w:r/>
    </w:p>
    <w:p>
      <w:pPr>
        <w:ind w:firstLine="480"/>
        <w:spacing w:line="560" w:lineRule="exact"/>
        <w:rPr>
          <w:rFonts w:hint="eastAsia" w:ascii="宋体" w:hAnsi="宋体" w:eastAsia="宋体" w:cs="宋体"/>
          <w:sz w:val="24"/>
          <w:szCs w:val="24"/>
          <w:highlight w:val="none"/>
        </w:rPr>
      </w:pPr>
      <w:r/>
      <w:bookmarkStart w:id="334" w:name="_Toc26227"/>
      <w:r/>
      <w:bookmarkStart w:id="335" w:name="_Toc15827"/>
      <w:r/>
      <w:bookmarkStart w:id="336" w:name="_Toc23784"/>
      <w:r/>
      <w:bookmarkStart w:id="337" w:name="_Toc12273"/>
      <w:r/>
      <w:bookmarkStart w:id="338" w:name="_Toc1641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eastAsia="宋体" w:cs="宋体"/>
          <w:sz w:val="24"/>
          <w:szCs w:val="24"/>
          <w:highlight w:val="none"/>
          <w:u w:val="single"/>
        </w:rPr>
        <w:t xml:space="preserve"> ②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w:t>
      </w:r>
      <w:r>
        <w:rPr>
          <w:rFonts w:hint="eastAsia" w:ascii="宋体" w:hAnsi="宋体" w:eastAsia="宋体" w:cs="宋体"/>
          <w:sz w:val="24"/>
          <w:szCs w:val="24"/>
          <w:highlight w:val="none"/>
          <w:lang w:eastAsia="zh-CN"/>
        </w:rPr>
        <w:t xml:space="preserve">XX</w:t>
      </w:r>
      <w:r>
        <w:rPr>
          <w:rFonts w:hint="eastAsia" w:ascii="宋体" w:hAnsi="宋体" w:eastAsia="宋体" w:cs="宋体"/>
          <w:sz w:val="24"/>
          <w:szCs w:val="24"/>
          <w:highlight w:val="none"/>
        </w:rPr>
        <w:t xml:space="preserve">）仲裁委员会依申请仲裁时其现行有效的仲裁规则裁决；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w:t>
      </w:r>
      <w:r>
        <w:rPr>
          <w:rFonts w:hint="eastAsia" w:ascii="宋体" w:hAnsi="宋体" w:eastAsia="宋体" w:cs="宋体"/>
          <w:sz w:val="24"/>
          <w:szCs w:val="24"/>
          <w:highlight w:val="none"/>
          <w:lang w:eastAsia="zh-CN"/>
        </w:rPr>
        <w:t xml:space="preserve">XX</w:t>
      </w:r>
      <w:r>
        <w:rPr>
          <w:rFonts w:hint="eastAsia" w:ascii="宋体" w:hAnsi="宋体" w:eastAsia="宋体" w:cs="宋体"/>
          <w:sz w:val="24"/>
          <w:szCs w:val="24"/>
          <w:highlight w:val="none"/>
        </w:rPr>
        <w:t xml:space="preserve">）人民法院起诉。</w:t>
      </w:r>
      <w:r/>
    </w:p>
    <w:p>
      <w:pPr>
        <w:ind w:firstLine="482"/>
        <w:spacing w:line="560" w:lineRule="exact"/>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334"/>
      <w:r/>
      <w:bookmarkEnd w:id="335"/>
      <w:r/>
      <w:bookmarkEnd w:id="336"/>
      <w:r/>
      <w:bookmarkEnd w:id="337"/>
      <w:r/>
      <w:bookmarkEnd w:id="338"/>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1063"/>
        <w:spacing w:line="560" w:lineRule="exact"/>
        <w:rPr>
          <w:rFonts w:hint="eastAsia" w:ascii="宋体" w:hAnsi="宋体" w:eastAsia="宋体" w:cs="宋体"/>
          <w:b/>
          <w:sz w:val="24"/>
          <w:szCs w:val="24"/>
          <w:highlight w:val="none"/>
          <w:lang w:val="zh-CN"/>
        </w:rPr>
      </w:pPr>
      <w:r/>
      <w:bookmarkStart w:id="339" w:name="_Toc331685783"/>
      <w:r/>
      <w:r/>
    </w:p>
    <w:p>
      <w:pPr>
        <w:ind w:firstLine="1063"/>
        <w:spacing w:line="56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ind w:firstLine="1063"/>
        <w:spacing w:line="560" w:lineRule="exact"/>
        <w:rPr>
          <w:rFonts w:hint="eastAsia" w:ascii="宋体" w:hAnsi="宋体" w:eastAsia="宋体" w:cs="宋体"/>
          <w:sz w:val="24"/>
          <w:szCs w:val="24"/>
          <w:highlight w:val="none"/>
          <w:lang w:val="zh-CN"/>
        </w:rPr>
      </w:pPr>
      <w:r>
        <w:rPr>
          <w:rFonts w:hint="eastAsia" w:ascii="宋体" w:hAnsi="宋体" w:eastAsia="宋体" w:cs="宋体"/>
          <w:b/>
          <w:sz w:val="24"/>
          <w:szCs w:val="24"/>
          <w:highlight w:val="none"/>
          <w:lang w:val="zh-CN"/>
        </w:rPr>
        <w:t xml:space="preserve">甲方</w:t>
      </w:r>
      <w:r>
        <w:rPr>
          <w:rFonts w:hint="eastAsia" w:ascii="宋体" w:hAnsi="宋体" w:eastAsia="宋体" w:cs="宋体"/>
          <w:sz w:val="24"/>
          <w:szCs w:val="24"/>
          <w:highlight w:val="none"/>
          <w:lang w:val="zh-CN"/>
        </w:rPr>
        <w:t xml:space="preserve">：                             </w:t>
      </w:r>
      <w:r>
        <w:rPr>
          <w:rFonts w:hint="eastAsia" w:ascii="宋体" w:hAnsi="宋体" w:eastAsia="宋体" w:cs="宋体"/>
          <w:b/>
          <w:sz w:val="24"/>
          <w:szCs w:val="24"/>
          <w:highlight w:val="none"/>
          <w:lang w:val="zh-CN"/>
        </w:rPr>
        <w:t xml:space="preserve">      乙方</w:t>
      </w:r>
      <w:r>
        <w:rPr>
          <w:rFonts w:hint="eastAsia" w:ascii="宋体" w:hAnsi="宋体" w:eastAsia="宋体" w:cs="宋体"/>
          <w:sz w:val="24"/>
          <w:szCs w:val="24"/>
          <w:highlight w:val="none"/>
          <w:lang w:val="zh-CN"/>
        </w:rPr>
        <w:t xml:space="preserve">：</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统一社会信用代码：                        统一社会信用代码或身份证号码：</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住所：                                   住所：</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法定代表人或                             法定代表人</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或授权代表（签字）: </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联系人：                                 联系人：</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约定送达地址：                           约定送达地址：</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邮政编码：                               邮政编码：</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电话:                                    电话: </w:t>
      </w:r>
      <w:r/>
    </w:p>
    <w:p>
      <w:pPr>
        <w:ind w:firstLine="1058"/>
        <w:spacing w:line="5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传真:                                    传真:</w:t>
      </w:r>
      <w:r/>
    </w:p>
    <w:p>
      <w:pPr>
        <w:ind w:firstLine="1058"/>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电子邮箱：                               电子邮箱：</w:t>
      </w:r>
      <w:r/>
    </w:p>
    <w:p>
      <w:pPr>
        <w:ind w:firstLine="1058"/>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 </w:t>
      </w:r>
      <w:r/>
    </w:p>
    <w:p>
      <w:pPr>
        <w:ind w:firstLine="1058"/>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开户名称：                               开户名称： </w:t>
      </w:r>
      <w:r/>
    </w:p>
    <w:p>
      <w:pPr>
        <w:ind w:firstLine="1058"/>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开户账号：</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开户账号：</w:t>
      </w:r>
      <w:r/>
    </w:p>
    <w:p>
      <w:pPr>
        <w:ind w:left="1058" w:hanging="2"/>
        <w:jc w:val="center"/>
        <w:spacing w:line="5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firstLine="200"/>
        <w:jc w:val="center"/>
        <w:spacing w:line="5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firstLine="200"/>
        <w:jc w:val="center"/>
        <w:spacing w:line="5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03"/>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highlight w:val="none"/>
          <w:lang w:val="en-US" w:eastAsia="zh-CN"/>
        </w:rPr>
      </w:pPr>
      <w:r>
        <w:rPr>
          <w:rFonts w:hint="eastAsia"/>
          <w:highlight w:val="none"/>
          <w:lang w:val="en-US" w:eastAsia="zh-CN"/>
        </w:rPr>
      </w:r>
      <w:bookmarkEnd w:id="339"/>
      <w:r/>
    </w:p>
    <w:p>
      <w:pPr>
        <w:jc w:val="center"/>
        <w:spacing w:line="560" w:lineRule="exact"/>
        <w:widowControl w:val="off"/>
        <w:rPr>
          <w:rFonts w:ascii="宋体" w:hAnsi="宋体" w:eastAsia="宋体" w:cs="宋体"/>
          <w:b/>
          <w:sz w:val="24"/>
          <w:szCs w:val="24"/>
          <w:highlight w:val="none"/>
          <w:lang w:val="en-US" w:eastAsia="zh-CN" w:bidi="ar-SA"/>
        </w:rPr>
      </w:pPr>
      <w:r/>
      <w:bookmarkStart w:id="340" w:name="_Toc16673"/>
      <w:r/>
      <w:bookmarkStart w:id="341" w:name="_Toc12004"/>
      <w:r/>
      <w:bookmarkStart w:id="342" w:name="_Toc3148"/>
      <w:r/>
      <w:bookmarkStart w:id="343" w:name="_Toc259093693"/>
      <w:r/>
      <w:bookmarkStart w:id="344" w:name="_Toc279701264"/>
      <w:r>
        <w:rPr>
          <w:rFonts w:hint="eastAsia" w:ascii="宋体" w:hAnsi="宋体" w:eastAsia="宋体" w:cs="宋体"/>
          <w:b/>
          <w:sz w:val="24"/>
          <w:szCs w:val="24"/>
          <w:highlight w:val="none"/>
          <w:lang w:val="en-US" w:eastAsia="zh-CN" w:bidi="ar-SA"/>
        </w:rPr>
        <w:t xml:space="preserve">第二部分 合同条款</w:t>
      </w:r>
      <w:bookmarkEnd w:id="340"/>
      <w:bookmarkEnd w:id="341"/>
      <w:bookmarkEnd w:id="342"/>
      <w:bookmarkEnd w:id="343"/>
      <w:bookmarkEnd w:id="344"/>
      <w:r/>
    </w:p>
    <w:p>
      <w:pPr>
        <w:ind w:firstLine="482"/>
        <w:spacing w:line="560" w:lineRule="exact"/>
        <w:rPr>
          <w:rFonts w:hint="default" w:ascii="宋体" w:hAnsi="宋体" w:eastAsia="宋体" w:cs="宋体"/>
          <w:b/>
          <w:color w:val="000000"/>
          <w:sz w:val="24"/>
          <w:szCs w:val="24"/>
          <w:highlight w:val="none"/>
        </w:rPr>
      </w:pPr>
      <w:r/>
      <w:bookmarkStart w:id="345" w:name="_Ref467379225"/>
      <w:r/>
      <w:bookmarkStart w:id="346" w:name="_Ref467378404"/>
      <w:r/>
      <w:bookmarkStart w:id="347" w:name="_Ref467379109"/>
      <w:r/>
      <w:bookmarkStart w:id="348" w:name="_Toc25079"/>
      <w:r/>
      <w:bookmarkStart w:id="349" w:name="_Ref467378463"/>
      <w:r/>
      <w:bookmarkStart w:id="350" w:name="_Toc487900349"/>
      <w:r/>
      <w:bookmarkStart w:id="351" w:name="_Toc31297"/>
      <w:r/>
      <w:bookmarkStart w:id="352" w:name="_Toc279701240"/>
      <w:r/>
      <w:bookmarkStart w:id="353" w:name="_Toc14021"/>
      <w:r/>
      <w:bookmarkStart w:id="354" w:name="_Ref467379205"/>
      <w:r/>
      <w:bookmarkStart w:id="355" w:name="_Ref467379101"/>
      <w:r/>
      <w:bookmarkStart w:id="356" w:name="_Toc19680"/>
      <w:r/>
      <w:bookmarkStart w:id="357" w:name="_Ref467379195"/>
      <w:r/>
      <w:bookmarkStart w:id="358" w:name="_Ref467378499"/>
      <w:r/>
      <w:bookmarkStart w:id="359" w:name="_Toc5228"/>
      <w:r/>
      <w:bookmarkStart w:id="360" w:name="_Ref467379214"/>
      <w:r/>
      <w:bookmarkStart w:id="361" w:name="_Toc259093669"/>
      <w:r/>
      <w:bookmarkStart w:id="362" w:name="_Ref467379094"/>
      <w:r>
        <w:rPr>
          <w:rFonts w:hint="eastAsia" w:ascii="宋体" w:hAnsi="宋体" w:eastAsia="宋体" w:cs="宋体"/>
          <w:b/>
          <w:color w:val="000000"/>
          <w:sz w:val="24"/>
          <w:szCs w:val="24"/>
          <w:highlight w:val="none"/>
        </w:rPr>
        <w:t xml:space="preserve">2.1 定义</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default" w:ascii="宋体" w:hAnsi="宋体" w:eastAsia="宋体" w:cs="宋体"/>
          <w:color w:val="000000"/>
          <w:sz w:val="24"/>
          <w:szCs w:val="24"/>
          <w:highlight w:val="none"/>
        </w:rPr>
      </w:pPr>
      <w:r/>
      <w:bookmarkStart w:id="363" w:name="_Ref467378840"/>
      <w:r>
        <w:rPr>
          <w:rFonts w:hint="eastAsia" w:ascii="宋体" w:hAnsi="宋体" w:eastAsia="宋体" w:cs="宋体"/>
          <w:color w:val="000000"/>
          <w:sz w:val="24"/>
          <w:szCs w:val="24"/>
          <w:highlight w:val="none"/>
        </w:rPr>
        <w:t xml:space="preserve">2.1.4 “甲方”系指与中标供应商签署合同的采购人</w:t>
      </w:r>
      <w:bookmarkEnd w:id="363"/>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hint="default" w:ascii="宋体" w:hAnsi="宋体" w:eastAsia="宋体" w:cs="宋体"/>
          <w:color w:val="000000"/>
          <w:sz w:val="24"/>
          <w:szCs w:val="24"/>
          <w:highlight w:val="none"/>
        </w:rPr>
      </w:pPr>
      <w:r/>
      <w:bookmarkStart w:id="364" w:name="_Ref467379400"/>
      <w:r>
        <w:rPr>
          <w:rFonts w:hint="eastAsia" w:ascii="宋体" w:hAnsi="宋体" w:eastAsia="宋体" w:cs="宋体"/>
          <w:color w:val="000000"/>
          <w:sz w:val="24"/>
          <w:szCs w:val="24"/>
          <w:highlight w:val="none"/>
        </w:rPr>
        <w:t xml:space="preserve">2.1.5 “乙方”系指根据合同约定提供服务的中标供应商</w:t>
      </w:r>
      <w:bookmarkEnd w:id="364"/>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default" w:ascii="宋体" w:hAnsi="宋体" w:eastAsia="宋体" w:cs="宋体"/>
          <w:color w:val="000000"/>
          <w:sz w:val="24"/>
          <w:szCs w:val="24"/>
          <w:highlight w:val="none"/>
        </w:rPr>
      </w:pPr>
      <w:r/>
      <w:bookmarkStart w:id="365" w:name="_Ref467379436"/>
      <w:r>
        <w:rPr>
          <w:rFonts w:hint="eastAsia" w:ascii="宋体" w:hAnsi="宋体" w:eastAsia="宋体" w:cs="宋体"/>
          <w:color w:val="000000"/>
          <w:sz w:val="24"/>
          <w:szCs w:val="24"/>
          <w:highlight w:val="none"/>
        </w:rPr>
        <w:t xml:space="preserve">2.1.6 “现场”系指合同约定提供服务的地点。</w:t>
      </w:r>
      <w:bookmarkEnd w:id="365"/>
      <w:r/>
      <w:r/>
    </w:p>
    <w:p>
      <w:pPr>
        <w:ind w:firstLine="482"/>
        <w:spacing w:line="560" w:lineRule="exact"/>
        <w:rPr>
          <w:rFonts w:hint="default" w:ascii="宋体" w:hAnsi="宋体" w:eastAsia="宋体" w:cs="宋体"/>
          <w:b/>
          <w:color w:val="000000"/>
          <w:sz w:val="24"/>
          <w:szCs w:val="24"/>
          <w:highlight w:val="none"/>
        </w:rPr>
      </w:pPr>
      <w:r/>
      <w:bookmarkStart w:id="366" w:name="_Toc31402"/>
      <w:r/>
      <w:bookmarkStart w:id="367" w:name="_Toc16752"/>
      <w:r/>
      <w:bookmarkStart w:id="368" w:name="_Toc3769"/>
      <w:r/>
      <w:bookmarkStart w:id="369" w:name="_Toc279701241"/>
      <w:r/>
      <w:bookmarkStart w:id="370" w:name="_Toc19539"/>
      <w:r/>
      <w:bookmarkStart w:id="371" w:name="_Toc259093670"/>
      <w:r/>
      <w:bookmarkStart w:id="372" w:name="_Toc23289"/>
      <w:r/>
      <w:bookmarkStart w:id="373" w:name="_Toc487900350"/>
      <w:r>
        <w:rPr>
          <w:rFonts w:hint="eastAsia" w:ascii="宋体" w:hAnsi="宋体" w:eastAsia="宋体" w:cs="宋体"/>
          <w:b/>
          <w:color w:val="000000"/>
          <w:sz w:val="24"/>
          <w:szCs w:val="24"/>
          <w:highlight w:val="none"/>
        </w:rPr>
        <w:t xml:space="preserve">2.2 技术规范</w:t>
      </w:r>
      <w:bookmarkEnd w:id="366"/>
      <w:r/>
      <w:bookmarkEnd w:id="367"/>
      <w:r/>
      <w:bookmarkEnd w:id="368"/>
      <w:r/>
      <w:bookmarkEnd w:id="369"/>
      <w:r/>
      <w:bookmarkEnd w:id="370"/>
      <w:r/>
      <w:bookmarkEnd w:id="371"/>
      <w:r/>
      <w:bookmarkEnd w:id="372"/>
      <w:r/>
      <w:bookmarkEnd w:id="373"/>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default" w:ascii="宋体" w:hAnsi="宋体" w:eastAsia="宋体" w:cs="宋体"/>
          <w:b/>
          <w:color w:val="000000"/>
          <w:sz w:val="24"/>
          <w:szCs w:val="24"/>
          <w:highlight w:val="none"/>
        </w:rPr>
      </w:pPr>
      <w:r/>
      <w:bookmarkStart w:id="374" w:name="_Toc12412"/>
      <w:r/>
      <w:bookmarkStart w:id="375" w:name="_Toc279701242"/>
      <w:r/>
      <w:bookmarkStart w:id="376" w:name="_Toc487900351"/>
      <w:r/>
      <w:bookmarkStart w:id="377" w:name="_Toc259093671"/>
      <w:r/>
      <w:bookmarkStart w:id="378" w:name="_Toc9161"/>
      <w:r/>
      <w:bookmarkStart w:id="379" w:name="_Toc13673"/>
      <w:r/>
      <w:bookmarkStart w:id="380" w:name="_Toc27945"/>
      <w:r/>
      <w:bookmarkStart w:id="381" w:name="_Toc4133"/>
      <w:r>
        <w:rPr>
          <w:rFonts w:hint="eastAsia" w:ascii="宋体" w:hAnsi="宋体" w:eastAsia="宋体" w:cs="宋体"/>
          <w:b/>
          <w:color w:val="000000"/>
          <w:sz w:val="24"/>
          <w:szCs w:val="24"/>
          <w:highlight w:val="none"/>
        </w:rPr>
        <w:t xml:space="preserve">2.3 知识产权</w:t>
      </w:r>
      <w:bookmarkEnd w:id="374"/>
      <w:r/>
      <w:bookmarkEnd w:id="375"/>
      <w:r/>
      <w:bookmarkEnd w:id="376"/>
      <w:r/>
      <w:bookmarkEnd w:id="377"/>
      <w:r/>
      <w:bookmarkEnd w:id="378"/>
      <w:r/>
      <w:bookmarkEnd w:id="379"/>
      <w:r/>
      <w:bookmarkEnd w:id="380"/>
      <w:r/>
      <w:bookmarkEnd w:id="381"/>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hint="default" w:ascii="宋体" w:hAnsi="宋体" w:eastAsia="宋体" w:cs="宋体"/>
          <w:color w:val="000000"/>
          <w:sz w:val="24"/>
          <w:szCs w:val="24"/>
          <w:highlight w:val="none"/>
        </w:rPr>
      </w:pPr>
      <w:r/>
      <w:bookmarkStart w:id="382" w:name="_Ref467379657"/>
      <w:r>
        <w:rPr>
          <w:rFonts w:hint="eastAsia" w:ascii="宋体" w:hAnsi="宋体" w:eastAsia="宋体" w:cs="宋体"/>
          <w:color w:val="000000"/>
          <w:sz w:val="24"/>
          <w:szCs w:val="24"/>
          <w:highlight w:val="none"/>
        </w:rPr>
        <w:t xml:space="preserve">2.4.1</w:t>
      </w:r>
      <w:bookmarkEnd w:id="382"/>
      <w:r/>
      <w:bookmarkStart w:id="383" w:name="_Toc186431854"/>
      <w:r/>
      <w:bookmarkStart w:id="384" w:name="_Ref467379793"/>
      <w:r/>
      <w:bookmarkStart w:id="385" w:name="_Toc279701247"/>
      <w:r/>
      <w:bookmarkStart w:id="386" w:name="_Toc487900357"/>
      <w:r/>
      <w:bookmarkStart w:id="387" w:name="_Ref467379807"/>
      <w:r/>
      <w:bookmarkStart w:id="388" w:name="_Toc259093676"/>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383"/>
      <w:r/>
      <w:bookmarkStart w:id="389" w:name="_Toc186431855"/>
      <w:r>
        <w:rPr>
          <w:rFonts w:hint="eastAsia" w:ascii="宋体" w:hAnsi="宋体" w:eastAsia="宋体" w:cs="宋体"/>
          <w:color w:val="000000"/>
          <w:sz w:val="24"/>
          <w:szCs w:val="24"/>
          <w:highlight w:val="none"/>
        </w:rPr>
        <w:t xml:space="preserve">。</w:t>
      </w:r>
      <w:bookmarkEnd w:id="384"/>
      <w:bookmarkEnd w:id="385"/>
      <w:bookmarkEnd w:id="386"/>
      <w:bookmarkEnd w:id="387"/>
      <w:bookmarkEnd w:id="388"/>
      <w:bookmarkEnd w:id="389"/>
      <w:r/>
    </w:p>
    <w:p>
      <w:pPr>
        <w:ind w:firstLine="482"/>
        <w:spacing w:line="560" w:lineRule="exact"/>
        <w:rPr>
          <w:rFonts w:hint="default" w:ascii="宋体" w:hAnsi="宋体" w:eastAsia="宋体" w:cs="宋体"/>
          <w:b/>
          <w:color w:val="000000"/>
          <w:sz w:val="24"/>
          <w:szCs w:val="24"/>
          <w:highlight w:val="none"/>
        </w:rPr>
      </w:pPr>
      <w:r/>
      <w:bookmarkStart w:id="390" w:name="_Toc487900358"/>
      <w:r/>
      <w:bookmarkStart w:id="391" w:name="_Ref467379863"/>
      <w:r/>
      <w:bookmarkStart w:id="392" w:name="_Toc259093677"/>
      <w:r/>
      <w:bookmarkStart w:id="393" w:name="_Toc279701248"/>
      <w:r/>
      <w:bookmarkStart w:id="394" w:name="_Ref467379852"/>
      <w:r/>
      <w:bookmarkStart w:id="395" w:name="_Ref467379923"/>
      <w:r/>
      <w:bookmarkStart w:id="396" w:name="_Toc13467"/>
      <w:r/>
      <w:bookmarkStart w:id="397" w:name="_Toc30507"/>
      <w:r/>
      <w:bookmarkStart w:id="398" w:name="_Toc16163"/>
      <w:r/>
      <w:bookmarkStart w:id="399" w:name="_Toc13154"/>
      <w:r/>
      <w:bookmarkStart w:id="400" w:name="_Toc18990"/>
      <w:r>
        <w:rPr>
          <w:rFonts w:hint="eastAsia" w:ascii="宋体" w:hAnsi="宋体" w:eastAsia="宋体" w:cs="宋体"/>
          <w:b/>
          <w:color w:val="000000"/>
          <w:sz w:val="24"/>
          <w:szCs w:val="24"/>
          <w:highlight w:val="none"/>
        </w:rPr>
        <w:t xml:space="preserve">2.5 技术资料</w:t>
      </w:r>
      <w:bookmarkEnd w:id="390"/>
      <w:r/>
      <w:bookmarkEnd w:id="391"/>
      <w:r/>
      <w:bookmarkEnd w:id="392"/>
      <w:r/>
      <w:bookmarkEnd w:id="393"/>
      <w:r/>
      <w:bookmarkEnd w:id="394"/>
      <w:r/>
      <w:bookmarkEnd w:id="395"/>
      <w:r>
        <w:rPr>
          <w:rFonts w:hint="eastAsia" w:ascii="宋体" w:hAnsi="宋体" w:eastAsia="宋体" w:cs="宋体"/>
          <w:b/>
          <w:color w:val="000000"/>
          <w:sz w:val="24"/>
          <w:szCs w:val="24"/>
          <w:highlight w:val="none"/>
        </w:rPr>
        <w:t xml:space="preserve">和保密义务</w:t>
      </w:r>
      <w:bookmarkEnd w:id="396"/>
      <w:r/>
      <w:bookmarkEnd w:id="397"/>
      <w:r/>
      <w:bookmarkEnd w:id="398"/>
      <w:r/>
      <w:bookmarkEnd w:id="399"/>
      <w:r/>
      <w:bookmarkEnd w:id="400"/>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default" w:ascii="宋体" w:hAnsi="宋体" w:eastAsia="宋体" w:cs="宋体"/>
          <w:b/>
          <w:color w:val="000000"/>
          <w:sz w:val="24"/>
          <w:szCs w:val="24"/>
          <w:highlight w:val="none"/>
        </w:rPr>
      </w:pPr>
      <w:r/>
      <w:bookmarkStart w:id="401" w:name="_Toc19069"/>
      <w:r/>
      <w:bookmarkStart w:id="402" w:name="_Toc259093681"/>
      <w:r/>
      <w:bookmarkStart w:id="403" w:name="_Toc279701252"/>
      <w:r/>
      <w:bookmarkStart w:id="404" w:name="_Toc487900362"/>
      <w:r>
        <w:rPr>
          <w:rFonts w:hint="eastAsia" w:ascii="宋体" w:hAnsi="宋体" w:eastAsia="宋体" w:cs="宋体"/>
          <w:b/>
          <w:color w:val="000000"/>
          <w:sz w:val="24"/>
          <w:szCs w:val="24"/>
          <w:highlight w:val="none"/>
        </w:rPr>
        <w:t xml:space="preserve">2.6 质量保证</w:t>
      </w:r>
      <w:bookmarkEnd w:id="401"/>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default" w:ascii="宋体" w:hAnsi="宋体" w:eastAsia="宋体" w:cs="宋体"/>
          <w:b/>
          <w:color w:val="000000"/>
          <w:sz w:val="24"/>
          <w:szCs w:val="24"/>
          <w:highlight w:val="none"/>
        </w:rPr>
      </w:pPr>
      <w:r/>
      <w:bookmarkStart w:id="405" w:name="_Toc22267"/>
      <w:r>
        <w:rPr>
          <w:rFonts w:hint="eastAsia" w:ascii="宋体" w:hAnsi="宋体" w:eastAsia="宋体" w:cs="宋体"/>
          <w:b/>
          <w:color w:val="000000"/>
          <w:sz w:val="24"/>
          <w:szCs w:val="24"/>
          <w:highlight w:val="none"/>
        </w:rPr>
        <w:t xml:space="preserve">2.7 延迟</w:t>
      </w:r>
      <w:bookmarkEnd w:id="402"/>
      <w:r/>
      <w:bookmarkEnd w:id="403"/>
      <w:r/>
      <w:bookmarkEnd w:id="404"/>
      <w:r>
        <w:rPr>
          <w:rFonts w:hint="eastAsia" w:ascii="宋体" w:hAnsi="宋体" w:eastAsia="宋体" w:cs="宋体"/>
          <w:b/>
          <w:color w:val="000000"/>
          <w:sz w:val="24"/>
          <w:szCs w:val="24"/>
          <w:highlight w:val="none"/>
        </w:rPr>
        <w:t xml:space="preserve">履行</w:t>
      </w:r>
      <w:bookmarkEnd w:id="405"/>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default" w:ascii="宋体" w:hAnsi="宋体" w:eastAsia="宋体" w:cs="宋体"/>
          <w:b/>
          <w:color w:val="000000"/>
          <w:sz w:val="24"/>
          <w:szCs w:val="24"/>
          <w:highlight w:val="none"/>
        </w:rPr>
      </w:pPr>
      <w:r/>
      <w:bookmarkStart w:id="406" w:name="_Toc10611"/>
      <w:r/>
      <w:bookmarkStart w:id="407" w:name="_Toc487900364"/>
      <w:r/>
      <w:bookmarkStart w:id="408" w:name="_Ref467378121"/>
      <w:r/>
      <w:bookmarkStart w:id="409" w:name="_Toc279701254"/>
      <w:r/>
      <w:bookmarkStart w:id="410" w:name="_Toc259093683"/>
      <w:r>
        <w:rPr>
          <w:rFonts w:hint="eastAsia" w:ascii="宋体" w:hAnsi="宋体" w:eastAsia="宋体" w:cs="宋体"/>
          <w:b/>
          <w:color w:val="000000"/>
          <w:sz w:val="24"/>
          <w:szCs w:val="24"/>
          <w:highlight w:val="none"/>
        </w:rPr>
        <w:t xml:space="preserve">2.8 合同变更</w:t>
      </w:r>
      <w:bookmarkEnd w:id="406"/>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411" w:name="_Toc487900369"/>
      <w:r/>
      <w:bookmarkStart w:id="412" w:name="_Toc279701259"/>
      <w:r/>
      <w:bookmarkStart w:id="413" w:name="_Toc259093688"/>
      <w:r/>
      <w:r/>
    </w:p>
    <w:p>
      <w:pPr>
        <w:ind w:firstLine="482"/>
        <w:spacing w:line="560" w:lineRule="exact"/>
        <w:rPr>
          <w:rFonts w:hint="default" w:ascii="宋体" w:hAnsi="宋体" w:eastAsia="宋体" w:cs="宋体"/>
          <w:b/>
          <w:color w:val="000000"/>
          <w:sz w:val="24"/>
          <w:szCs w:val="24"/>
          <w:highlight w:val="none"/>
        </w:rPr>
      </w:pPr>
      <w:r/>
      <w:bookmarkStart w:id="414" w:name="_Toc23368"/>
      <w:r/>
      <w:bookmarkStart w:id="415" w:name="_Toc26689"/>
      <w:r/>
      <w:bookmarkStart w:id="416" w:name="_Toc42"/>
      <w:r/>
      <w:bookmarkStart w:id="417" w:name="_Toc10663"/>
      <w:r/>
      <w:bookmarkStart w:id="418" w:name="_Toc21830"/>
      <w:r>
        <w:rPr>
          <w:rFonts w:hint="eastAsia" w:ascii="宋体" w:hAnsi="宋体" w:eastAsia="宋体" w:cs="宋体"/>
          <w:b/>
          <w:color w:val="000000"/>
          <w:sz w:val="24"/>
          <w:szCs w:val="24"/>
          <w:highlight w:val="none"/>
        </w:rPr>
        <w:t xml:space="preserve">2.9 合同转让</w:t>
      </w:r>
      <w:bookmarkEnd w:id="411"/>
      <w:r/>
      <w:bookmarkEnd w:id="412"/>
      <w:r/>
      <w:bookmarkEnd w:id="413"/>
      <w:r>
        <w:rPr>
          <w:rFonts w:hint="eastAsia" w:ascii="宋体" w:hAnsi="宋体" w:eastAsia="宋体" w:cs="宋体"/>
          <w:b/>
          <w:color w:val="000000"/>
          <w:sz w:val="24"/>
          <w:szCs w:val="24"/>
          <w:highlight w:val="none"/>
        </w:rPr>
        <w:t xml:space="preserve">和分包</w:t>
      </w:r>
      <w:bookmarkEnd w:id="414"/>
      <w:r/>
      <w:bookmarkEnd w:id="415"/>
      <w:r/>
      <w:bookmarkEnd w:id="416"/>
      <w:r/>
      <w:bookmarkEnd w:id="417"/>
      <w:r/>
      <w:bookmarkEnd w:id="418"/>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default" w:ascii="宋体" w:hAnsi="宋体" w:eastAsia="宋体" w:cs="宋体"/>
          <w:b/>
          <w:color w:val="000000"/>
          <w:sz w:val="24"/>
          <w:szCs w:val="24"/>
          <w:highlight w:val="none"/>
        </w:rPr>
      </w:pPr>
      <w:r/>
      <w:bookmarkStart w:id="419" w:name="_Toc14371"/>
      <w:r/>
      <w:bookmarkStart w:id="420" w:name="_Toc32494"/>
      <w:r/>
      <w:bookmarkStart w:id="421" w:name="_Toc25571"/>
      <w:r/>
      <w:bookmarkStart w:id="422" w:name="_Toc4720"/>
      <w:r/>
      <w:bookmarkStart w:id="423" w:name="_Toc26633"/>
      <w:r>
        <w:rPr>
          <w:rFonts w:hint="eastAsia" w:ascii="宋体" w:hAnsi="宋体" w:eastAsia="宋体" w:cs="宋体"/>
          <w:b/>
          <w:color w:val="000000"/>
          <w:sz w:val="24"/>
          <w:szCs w:val="24"/>
          <w:highlight w:val="none"/>
        </w:rPr>
        <w:t xml:space="preserve">2.10 不可抗力</w:t>
      </w:r>
      <w:bookmarkEnd w:id="419"/>
      <w:r/>
      <w:bookmarkEnd w:id="420"/>
      <w:r/>
      <w:bookmarkEnd w:id="421"/>
      <w:r/>
      <w:bookmarkEnd w:id="422"/>
      <w:r/>
      <w:bookmarkEnd w:id="423"/>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hint="default"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default" w:ascii="宋体" w:hAnsi="宋体" w:eastAsia="宋体" w:cs="宋体"/>
          <w:b/>
          <w:color w:val="000000"/>
          <w:sz w:val="24"/>
          <w:szCs w:val="24"/>
          <w:highlight w:val="none"/>
        </w:rPr>
      </w:pPr>
      <w:r/>
      <w:bookmarkStart w:id="424" w:name="_Toc23854"/>
      <w:r/>
      <w:bookmarkStart w:id="425" w:name="_Toc3638"/>
      <w:r/>
      <w:bookmarkStart w:id="426" w:name="_Toc25783"/>
      <w:r/>
      <w:bookmarkStart w:id="427" w:name="_Toc14115"/>
      <w:r/>
      <w:bookmarkStart w:id="428" w:name="_Toc24465"/>
      <w:r/>
      <w:bookmarkStart w:id="429" w:name="_Toc279701255"/>
      <w:r/>
      <w:bookmarkStart w:id="430" w:name="_Toc487900365"/>
      <w:r/>
      <w:bookmarkStart w:id="431" w:name="_Toc259093684"/>
      <w:r>
        <w:rPr>
          <w:rFonts w:hint="eastAsia" w:ascii="宋体" w:hAnsi="宋体" w:eastAsia="宋体" w:cs="宋体"/>
          <w:b/>
          <w:color w:val="000000"/>
          <w:sz w:val="24"/>
          <w:szCs w:val="24"/>
          <w:highlight w:val="none"/>
        </w:rPr>
        <w:t xml:space="preserve">2.11 税费</w:t>
      </w:r>
      <w:bookmarkEnd w:id="424"/>
      <w:r/>
      <w:bookmarkEnd w:id="425"/>
      <w:r/>
      <w:bookmarkEnd w:id="426"/>
      <w:r/>
      <w:bookmarkEnd w:id="427"/>
      <w:r/>
      <w:bookmarkEnd w:id="428"/>
      <w:r/>
      <w:bookmarkEnd w:id="429"/>
      <w:r/>
      <w:bookmarkEnd w:id="430"/>
      <w:r/>
      <w:bookmarkEnd w:id="431"/>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hint="default" w:ascii="宋体" w:hAnsi="宋体" w:eastAsia="宋体" w:cs="宋体"/>
          <w:b/>
          <w:color w:val="000000"/>
          <w:sz w:val="24"/>
          <w:szCs w:val="24"/>
          <w:highlight w:val="none"/>
        </w:rPr>
      </w:pPr>
      <w:r/>
      <w:bookmarkStart w:id="432" w:name="_Toc25525"/>
      <w:r/>
      <w:bookmarkStart w:id="433" w:name="_Toc26883"/>
      <w:r/>
      <w:bookmarkStart w:id="434" w:name="_Toc30105"/>
      <w:r/>
      <w:bookmarkStart w:id="435" w:name="_Toc259093687"/>
      <w:r/>
      <w:bookmarkStart w:id="436" w:name="_Toc7315"/>
      <w:r/>
      <w:bookmarkStart w:id="437" w:name="_Toc487900368"/>
      <w:r/>
      <w:bookmarkStart w:id="438" w:name="_Toc14814"/>
      <w:r/>
      <w:bookmarkStart w:id="439" w:name="_Toc279701258"/>
      <w:r>
        <w:rPr>
          <w:rFonts w:hint="eastAsia" w:ascii="宋体" w:hAnsi="宋体" w:eastAsia="宋体" w:cs="宋体"/>
          <w:b/>
          <w:color w:val="000000"/>
          <w:sz w:val="24"/>
          <w:szCs w:val="24"/>
          <w:highlight w:val="none"/>
        </w:rPr>
        <w:t xml:space="preserve">2.12 乙方破产</w:t>
      </w:r>
      <w:bookmarkEnd w:id="432"/>
      <w:r/>
      <w:bookmarkEnd w:id="433"/>
      <w:r/>
      <w:bookmarkEnd w:id="434"/>
      <w:r/>
      <w:bookmarkEnd w:id="435"/>
      <w:r/>
      <w:bookmarkEnd w:id="436"/>
      <w:r/>
      <w:bookmarkEnd w:id="437"/>
      <w:r/>
      <w:bookmarkEnd w:id="438"/>
      <w:r/>
      <w:bookmarkEnd w:id="439"/>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default" w:ascii="宋体" w:hAnsi="宋体" w:eastAsia="宋体" w:cs="宋体"/>
          <w:b/>
          <w:color w:val="000000"/>
          <w:sz w:val="24"/>
          <w:szCs w:val="24"/>
          <w:highlight w:val="none"/>
        </w:rPr>
      </w:pPr>
      <w:r/>
      <w:bookmarkStart w:id="440" w:name="_Toc2016"/>
      <w:r/>
      <w:bookmarkStart w:id="441" w:name="_Toc23323"/>
      <w:r/>
      <w:bookmarkStart w:id="442" w:name="_Toc1123"/>
      <w:r>
        <w:rPr>
          <w:rFonts w:hint="eastAsia" w:ascii="宋体" w:hAnsi="宋体" w:eastAsia="宋体" w:cs="宋体"/>
          <w:b/>
          <w:color w:val="000000"/>
          <w:sz w:val="24"/>
          <w:szCs w:val="24"/>
          <w:highlight w:val="none"/>
        </w:rPr>
        <w:t xml:space="preserve">2.13 合同中止、终止</w:t>
      </w:r>
      <w:bookmarkEnd w:id="440"/>
      <w:r/>
      <w:bookmarkEnd w:id="441"/>
      <w:r/>
      <w:bookmarkEnd w:id="442"/>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default" w:ascii="宋体" w:hAnsi="宋体" w:eastAsia="宋体" w:cs="宋体"/>
          <w:b/>
          <w:color w:val="000000"/>
          <w:sz w:val="24"/>
          <w:szCs w:val="24"/>
          <w:highlight w:val="none"/>
        </w:rPr>
      </w:pPr>
      <w:r/>
      <w:bookmarkStart w:id="443" w:name="_Toc1969"/>
      <w:r/>
      <w:bookmarkStart w:id="444" w:name="_Toc17363"/>
      <w:r/>
      <w:bookmarkStart w:id="445" w:name="_Toc14525"/>
      <w:r>
        <w:rPr>
          <w:rFonts w:hint="eastAsia" w:ascii="宋体" w:hAnsi="宋体" w:eastAsia="宋体" w:cs="宋体"/>
          <w:b/>
          <w:color w:val="000000"/>
          <w:sz w:val="24"/>
          <w:szCs w:val="24"/>
          <w:highlight w:val="none"/>
        </w:rPr>
        <w:t xml:space="preserve">2.14 检验和验收</w:t>
      </w:r>
      <w:bookmarkEnd w:id="443"/>
      <w:r/>
      <w:bookmarkEnd w:id="444"/>
      <w:r/>
      <w:bookmarkEnd w:id="445"/>
      <w:r/>
      <w:r/>
    </w:p>
    <w:p>
      <w:pPr>
        <w:ind w:firstLine="480"/>
        <w:spacing w:line="560" w:lineRule="exact"/>
        <w:tabs>
          <w:tab w:val="left" w:pos="360" w:leader="none"/>
          <w:tab w:val="left" w:pos="540" w:leader="none"/>
          <w:tab w:val="left" w:pos="1080" w:leader="none"/>
        </w:tabs>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407"/>
      <w:bookmarkEnd w:id="408"/>
      <w:bookmarkEnd w:id="409"/>
      <w:bookmarkEnd w:id="410"/>
      <w:r/>
    </w:p>
    <w:p>
      <w:pPr>
        <w:ind w:firstLine="482"/>
        <w:spacing w:line="560" w:lineRule="exact"/>
        <w:rPr>
          <w:rFonts w:hint="default" w:ascii="宋体" w:hAnsi="宋体" w:eastAsia="宋体" w:cs="宋体"/>
          <w:b/>
          <w:color w:val="000000"/>
          <w:sz w:val="24"/>
          <w:szCs w:val="24"/>
          <w:highlight w:val="none"/>
        </w:rPr>
      </w:pPr>
      <w:r/>
      <w:bookmarkStart w:id="446" w:name="_Toc487900371"/>
      <w:r/>
      <w:bookmarkStart w:id="447" w:name="_Toc259093690"/>
      <w:r/>
      <w:bookmarkStart w:id="448" w:name="_Toc279701261"/>
      <w:r/>
      <w:bookmarkStart w:id="449" w:name="_Toc12666"/>
      <w:r/>
      <w:bookmarkStart w:id="450" w:name="_Toc2308"/>
      <w:r/>
      <w:bookmarkStart w:id="451" w:name="_Toc9808"/>
      <w:r/>
      <w:bookmarkStart w:id="452" w:name="_Toc25198"/>
      <w:r/>
      <w:bookmarkStart w:id="453" w:name="_Toc31892"/>
      <w:r>
        <w:rPr>
          <w:rFonts w:hint="eastAsia" w:ascii="宋体" w:hAnsi="宋体" w:eastAsia="宋体" w:cs="宋体"/>
          <w:b/>
          <w:color w:val="000000"/>
          <w:sz w:val="24"/>
          <w:szCs w:val="24"/>
          <w:highlight w:val="none"/>
        </w:rPr>
        <w:t xml:space="preserve">2.15 通知</w:t>
      </w:r>
      <w:bookmarkEnd w:id="446"/>
      <w:r/>
      <w:bookmarkEnd w:id="447"/>
      <w:r/>
      <w:bookmarkEnd w:id="448"/>
      <w:r>
        <w:rPr>
          <w:rFonts w:hint="eastAsia" w:ascii="宋体" w:hAnsi="宋体" w:eastAsia="宋体" w:cs="宋体"/>
          <w:b/>
          <w:color w:val="000000"/>
          <w:sz w:val="24"/>
          <w:szCs w:val="24"/>
          <w:highlight w:val="none"/>
        </w:rPr>
        <w:t xml:space="preserve">和送达</w:t>
      </w:r>
      <w:bookmarkEnd w:id="449"/>
      <w:r/>
      <w:bookmarkEnd w:id="450"/>
      <w:r/>
      <w:bookmarkEnd w:id="451"/>
      <w:r/>
      <w:bookmarkEnd w:id="452"/>
      <w:r/>
      <w:bookmarkEnd w:id="453"/>
      <w:r/>
      <w:r/>
    </w:p>
    <w:p>
      <w:pPr>
        <w:ind w:firstLine="480"/>
        <w:spacing w:line="560" w:lineRule="exact"/>
        <w:rPr>
          <w:rFonts w:hint="default" w:ascii="宋体" w:hAnsi="宋体" w:eastAsia="宋体" w:cs="宋体"/>
          <w:color w:val="000000"/>
          <w:sz w:val="24"/>
          <w:szCs w:val="24"/>
          <w:highlight w:val="none"/>
        </w:rPr>
      </w:pPr>
      <w:r/>
      <w:bookmarkStart w:id="454" w:name="_Toc29220"/>
      <w:r/>
      <w:bookmarkStart w:id="455" w:name="_Toc7073"/>
      <w:r/>
      <w:bookmarkStart w:id="456" w:name="_Toc259093691"/>
      <w:r/>
      <w:bookmarkStart w:id="457" w:name="_Toc487900372"/>
      <w:r/>
      <w:bookmarkStart w:id="458" w:name="_Toc27970126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454"/>
      <w:r/>
      <w:bookmarkEnd w:id="455"/>
      <w:r/>
      <w:r/>
    </w:p>
    <w:p>
      <w:pPr>
        <w:ind w:firstLine="480"/>
        <w:spacing w:line="560" w:lineRule="exact"/>
        <w:rPr>
          <w:rFonts w:hint="default" w:ascii="宋体" w:hAnsi="宋体" w:eastAsia="宋体" w:cs="宋体"/>
          <w:color w:val="000000"/>
          <w:sz w:val="24"/>
          <w:szCs w:val="24"/>
          <w:highlight w:val="none"/>
        </w:rPr>
      </w:pPr>
      <w:r/>
      <w:bookmarkStart w:id="459" w:name="_Toc18401"/>
      <w:r/>
      <w:bookmarkStart w:id="460" w:name="_Toc27674"/>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459"/>
      <w:r/>
      <w:bookmarkEnd w:id="460"/>
      <w:r/>
      <w:bookmarkEnd w:id="456"/>
      <w:bookmarkEnd w:id="457"/>
      <w:bookmarkEnd w:id="458"/>
      <w:r/>
    </w:p>
    <w:p>
      <w:pPr>
        <w:ind w:firstLine="482"/>
        <w:spacing w:line="560" w:lineRule="exact"/>
        <w:rPr>
          <w:rFonts w:hint="default" w:ascii="宋体" w:hAnsi="宋体" w:eastAsia="宋体" w:cs="宋体"/>
          <w:b/>
          <w:color w:val="000000"/>
          <w:sz w:val="24"/>
          <w:szCs w:val="24"/>
          <w:highlight w:val="none"/>
        </w:rPr>
      </w:pPr>
      <w:r/>
      <w:bookmarkStart w:id="461" w:name="_Toc5063"/>
      <w:r/>
      <w:bookmarkStart w:id="462" w:name="_Toc259093692"/>
      <w:r/>
      <w:bookmarkStart w:id="463" w:name="_Toc279701263"/>
      <w:r/>
      <w:bookmarkStart w:id="464" w:name="_Toc27644"/>
      <w:r/>
      <w:bookmarkStart w:id="465" w:name="_Toc12254"/>
      <w:r/>
      <w:bookmarkStart w:id="466" w:name="_Toc487900373"/>
      <w:r/>
      <w:bookmarkStart w:id="467" w:name="_Toc20808"/>
      <w:r/>
      <w:bookmarkStart w:id="468" w:name="_Toc28906"/>
      <w:r>
        <w:rPr>
          <w:rFonts w:hint="eastAsia" w:ascii="宋体" w:hAnsi="宋体" w:eastAsia="宋体" w:cs="宋体"/>
          <w:b/>
          <w:color w:val="000000"/>
          <w:sz w:val="24"/>
          <w:szCs w:val="24"/>
          <w:highlight w:val="none"/>
        </w:rPr>
        <w:t xml:space="preserve">2.16 合同使用的文字和适用的法律</w:t>
      </w:r>
      <w:bookmarkEnd w:id="461"/>
      <w:r/>
      <w:bookmarkEnd w:id="462"/>
      <w:r/>
      <w:bookmarkEnd w:id="463"/>
      <w:r/>
      <w:bookmarkEnd w:id="464"/>
      <w:r/>
      <w:bookmarkEnd w:id="465"/>
      <w:r/>
      <w:bookmarkEnd w:id="466"/>
      <w:r/>
      <w:bookmarkEnd w:id="467"/>
      <w:r/>
      <w:bookmarkEnd w:id="468"/>
      <w:r/>
      <w:r/>
    </w:p>
    <w:p>
      <w:pPr>
        <w:ind w:firstLine="480"/>
        <w:spacing w:line="560" w:lineRule="exac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pStyle w:val="918"/>
        <w:rPr>
          <w:highlight w:val="none"/>
        </w:rPr>
      </w:pPr>
      <w:r>
        <w:rPr>
          <w:rFonts w:hint="eastAsia" w:ascii="宋体" w:hAnsi="宋体" w:eastAsia="宋体" w:cs="宋体"/>
          <w:color w:val="000000"/>
          <w:sz w:val="24"/>
          <w:szCs w:val="24"/>
          <w:highlight w:val="none"/>
        </w:rPr>
        <w:t xml:space="preserve">2.16.2 合同适用中华人民共和国法律。</w:t>
      </w:r>
      <w:r/>
    </w:p>
    <w:p>
      <w:pPr>
        <w:pStyle w:val="918"/>
        <w:rPr>
          <w:highlight w:val="none"/>
        </w:rPr>
      </w:pPr>
      <w:r>
        <w:rPr>
          <w:highlight w:val="none"/>
        </w:rPr>
      </w:r>
      <w:r/>
    </w:p>
    <w:p>
      <w:pPr>
        <w:ind w:firstLine="482"/>
        <w:jc w:val="center"/>
        <w:spacing w:after="0" w:line="300" w:lineRule="auto"/>
        <w:widowControl w:val="off"/>
        <w:rPr>
          <w:rFonts w:ascii="Times New Roman" w:hAnsi="Times New Roman" w:eastAsia="宋体" w:cs="Times New Roman"/>
          <w:b/>
          <w:bCs/>
          <w:spacing w:val="-1"/>
          <w:position w:val="27"/>
          <w:sz w:val="32"/>
          <w:szCs w:val="32"/>
          <w:highlight w:val="none"/>
          <w:lang w:val="en-US" w:eastAsia="zh-CN" w:bidi="ar-SA"/>
        </w:rPr>
      </w:pPr>
      <w:r>
        <w:rPr>
          <w:rFonts w:ascii="Times New Roman" w:hAnsi="Times New Roman" w:eastAsia="宋体" w:cs="Times New Roman"/>
          <w:b/>
          <w:bCs/>
          <w:spacing w:val="-1"/>
          <w:position w:val="27"/>
          <w:sz w:val="32"/>
          <w:szCs w:val="32"/>
          <w:highlight w:val="none"/>
          <w:lang w:val="en-US" w:eastAsia="zh-CN" w:bidi="ar-SA"/>
        </w:rPr>
      </w:r>
      <w:r/>
    </w:p>
    <w:p>
      <w:pPr>
        <w:ind w:firstLine="482"/>
        <w:jc w:val="center"/>
        <w:spacing w:after="0" w:line="300" w:lineRule="auto"/>
        <w:widowControl w:val="off"/>
        <w:rPr>
          <w:rFonts w:ascii="Times New Roman" w:hAnsi="Times New Roman" w:eastAsia="宋体" w:cs="Times New Roman"/>
          <w:b/>
          <w:bCs/>
          <w:spacing w:val="-1"/>
          <w:position w:val="27"/>
          <w:sz w:val="32"/>
          <w:szCs w:val="32"/>
          <w:highlight w:val="none"/>
          <w:lang w:val="en-US" w:eastAsia="zh-CN" w:bidi="ar-SA"/>
        </w:rPr>
      </w:pPr>
      <w:r>
        <w:rPr>
          <w:rFonts w:hint="eastAsia" w:cs="Times New Roman"/>
          <w:b/>
          <w:bCs/>
          <w:spacing w:val="-1"/>
          <w:position w:val="27"/>
          <w:sz w:val="32"/>
          <w:szCs w:val="32"/>
          <w:highlight w:val="none"/>
          <w:lang w:val="en-US" w:eastAsia="zh-CN" w:bidi="ar-SA"/>
        </w:rPr>
        <w:t xml:space="preserve">公共</w:t>
      </w:r>
      <w:r>
        <w:rPr>
          <w:rFonts w:ascii="Times New Roman" w:hAnsi="Times New Roman" w:eastAsia="宋体" w:cs="Times New Roman"/>
          <w:b/>
          <w:bCs/>
          <w:spacing w:val="-1"/>
          <w:position w:val="27"/>
          <w:sz w:val="32"/>
          <w:szCs w:val="32"/>
          <w:highlight w:val="none"/>
          <w:lang w:val="en-US" w:eastAsia="zh-CN" w:bidi="ar-SA"/>
        </w:rPr>
        <w:t xml:space="preserve">机构能源托管项目</w:t>
      </w:r>
      <w:r>
        <w:rPr>
          <w:rFonts w:hint="eastAsia" w:ascii="Times New Roman" w:hAnsi="Times New Roman" w:eastAsia="宋体" w:cs="Times New Roman"/>
          <w:b/>
          <w:bCs/>
          <w:spacing w:val="-1"/>
          <w:position w:val="27"/>
          <w:sz w:val="32"/>
          <w:szCs w:val="32"/>
          <w:highlight w:val="none"/>
          <w:lang w:val="en-US" w:eastAsia="zh-CN" w:bidi="ar-SA"/>
        </w:rPr>
        <w:t xml:space="preserve"> </w:t>
      </w:r>
      <w:r>
        <w:rPr>
          <w:rFonts w:ascii="Times New Roman" w:hAnsi="Times New Roman" w:eastAsia="宋体" w:cs="Times New Roman"/>
          <w:b/>
          <w:bCs/>
          <w:spacing w:val="-1"/>
          <w:position w:val="27"/>
          <w:sz w:val="32"/>
          <w:szCs w:val="32"/>
          <w:highlight w:val="none"/>
          <w:lang w:val="en-US" w:eastAsia="zh-CN" w:bidi="ar-SA"/>
        </w:rPr>
        <w:t xml:space="preserve">参考合同</w:t>
      </w:r>
      <w:r/>
    </w:p>
    <w:p>
      <w:pPr>
        <w:ind w:firstLine="482"/>
        <w:jc w:val="center"/>
        <w:spacing w:after="0" w:line="300" w:lineRule="auto"/>
        <w:widowControl w:val="off"/>
        <w:rPr>
          <w:rFonts w:hint="default" w:ascii="Times New Roman" w:hAnsi="Times New Roman" w:eastAsia="宋体" w:cs="Times New Roman"/>
          <w:b/>
          <w:bCs/>
          <w:spacing w:val="-1"/>
          <w:position w:val="27"/>
          <w:sz w:val="21"/>
          <w:szCs w:val="21"/>
          <w:highlight w:val="none"/>
          <w:lang w:val="en-US" w:eastAsia="zh-CN" w:bidi="ar-SA"/>
        </w:rPr>
      </w:pPr>
      <w:r>
        <w:rPr>
          <w:rFonts w:hint="eastAsia" w:ascii="Times New Roman" w:hAnsi="Times New Roman" w:eastAsia="宋体" w:cs="Times New Roman"/>
          <w:b/>
          <w:bCs/>
          <w:spacing w:val="-1"/>
          <w:position w:val="27"/>
          <w:sz w:val="21"/>
          <w:szCs w:val="21"/>
          <w:highlight w:val="none"/>
          <w:lang w:val="en-US" w:eastAsia="zh-CN" w:bidi="ar-SA"/>
        </w:rPr>
        <w:t xml:space="preserve">（此合同为三方合同：能源托管单位、能源服务公司、机关事务管理单位）</w:t>
      </w:r>
      <w:r/>
    </w:p>
    <w:p>
      <w:pPr>
        <w:jc w:val="left"/>
        <w:spacing w:line="300" w:lineRule="auto"/>
        <w:rPr>
          <w:rFonts w:hint="default" w:ascii="Times New Roman" w:hAnsi="Times New Roman" w:eastAsia="宋体" w:cs="宋体"/>
          <w:spacing w:val="-1"/>
          <w:position w:val="9"/>
          <w:sz w:val="13"/>
          <w:szCs w:val="13"/>
          <w:highlight w:val="none"/>
        </w:rPr>
      </w:pPr>
      <w:r>
        <w:rPr>
          <w:rFonts w:hint="default" w:ascii="Times New Roman" w:hAnsi="Times New Roman" w:eastAsia="宋体" w:cs="宋体"/>
          <w:spacing w:val="-1"/>
          <w:position w:val="9"/>
          <w:sz w:val="13"/>
          <w:szCs w:val="13"/>
          <w:highlight w:val="none"/>
        </w:rPr>
      </w:r>
      <w:r/>
    </w:p>
    <w:p>
      <w:pPr>
        <w:jc w:val="left"/>
        <w:spacing w:line="300" w:lineRule="auto"/>
        <w:rPr>
          <w:rFonts w:hint="default" w:ascii="Times New Roman" w:hAnsi="Times New Roman" w:eastAsia="宋体" w:cs="宋体"/>
          <w:sz w:val="18"/>
          <w:szCs w:val="18"/>
          <w:highlight w:val="none"/>
        </w:rPr>
      </w:pPr>
      <w:r>
        <w:rPr>
          <w:rFonts w:hint="default" w:ascii="Times New Roman" w:hAnsi="Times New Roman" w:eastAsia="宋体" w:cs="宋体"/>
          <w:spacing w:val="-1"/>
          <w:sz w:val="18"/>
          <w:szCs w:val="18"/>
          <w:highlight w:val="none"/>
        </w:rPr>
        <w:t xml:space="preserve">本参考合同专为能源托管项目使用。可根据项目的具体情况，对第</w:t>
      </w:r>
      <w:r>
        <w:rPr>
          <w:rFonts w:hint="eastAsia" w:ascii="Times New Roman" w:hAnsi="Times New Roman" w:eastAsia="宋体" w:cs="宋体"/>
          <w:spacing w:val="-25"/>
          <w:sz w:val="18"/>
          <w:szCs w:val="18"/>
          <w:highlight w:val="none"/>
        </w:rPr>
        <w:t xml:space="preserve">二 </w:t>
      </w:r>
      <w:r>
        <w:rPr>
          <w:rFonts w:hint="default" w:ascii="Times New Roman" w:hAnsi="Times New Roman" w:eastAsia="宋体" w:cs="宋体"/>
          <w:spacing w:val="-34"/>
          <w:sz w:val="18"/>
          <w:szCs w:val="18"/>
          <w:highlight w:val="none"/>
        </w:rPr>
        <w:t xml:space="preserve"> </w:t>
      </w:r>
      <w:r>
        <w:rPr>
          <w:rFonts w:hint="default" w:ascii="Times New Roman" w:hAnsi="Times New Roman" w:eastAsia="宋体" w:cs="宋体"/>
          <w:spacing w:val="-1"/>
          <w:sz w:val="18"/>
          <w:szCs w:val="18"/>
          <w:highlight w:val="none"/>
        </w:rPr>
        <w:t xml:space="preserve">条至第</w:t>
      </w:r>
      <w:r>
        <w:rPr>
          <w:rFonts w:hint="default" w:ascii="Times New Roman" w:hAnsi="Times New Roman" w:eastAsia="宋体" w:cs="宋体"/>
          <w:spacing w:val="-42"/>
          <w:sz w:val="18"/>
          <w:szCs w:val="18"/>
          <w:highlight w:val="none"/>
        </w:rPr>
        <w:t xml:space="preserve"> </w:t>
      </w:r>
      <w:r>
        <w:rPr>
          <w:rFonts w:hint="eastAsia" w:ascii="Times New Roman" w:hAnsi="Times New Roman" w:eastAsia="宋体" w:cs="宋体"/>
          <w:spacing w:val="-1"/>
          <w:sz w:val="18"/>
          <w:szCs w:val="18"/>
          <w:highlight w:val="none"/>
        </w:rPr>
        <w:t xml:space="preserve">十</w:t>
      </w:r>
      <w:r>
        <w:rPr>
          <w:rFonts w:hint="eastAsia" w:ascii="Times New Roman" w:hAnsi="Times New Roman" w:eastAsia="宋体" w:cs="宋体"/>
          <w:spacing w:val="-35"/>
          <w:sz w:val="18"/>
          <w:szCs w:val="18"/>
          <w:highlight w:val="none"/>
        </w:rPr>
        <w:t xml:space="preserve">八   </w:t>
      </w:r>
      <w:r>
        <w:rPr>
          <w:rFonts w:hint="eastAsia" w:ascii="Times New Roman" w:hAnsi="Times New Roman" w:eastAsia="宋体" w:cs="宋体"/>
          <w:spacing w:val="-1"/>
          <w:sz w:val="18"/>
          <w:szCs w:val="18"/>
          <w:highlight w:val="none"/>
        </w:rPr>
        <w:t xml:space="preserve"> </w:t>
      </w:r>
      <w:r>
        <w:rPr>
          <w:rFonts w:hint="default" w:ascii="Times New Roman" w:hAnsi="Times New Roman" w:eastAsia="宋体" w:cs="宋体"/>
          <w:spacing w:val="-1"/>
          <w:sz w:val="18"/>
          <w:szCs w:val="18"/>
          <w:highlight w:val="none"/>
        </w:rPr>
        <w:t xml:space="preserve">条的内容由合同三方具体约定并</w:t>
      </w:r>
      <w:r>
        <w:rPr>
          <w:rFonts w:hint="default" w:ascii="Times New Roman" w:hAnsi="Times New Roman" w:eastAsia="宋体" w:cs="宋体"/>
          <w:sz w:val="18"/>
          <w:szCs w:val="18"/>
          <w:highlight w:val="none"/>
        </w:rPr>
        <w:t xml:space="preserve">进行必要的增减</w:t>
      </w:r>
      <w:r>
        <w:rPr>
          <w:rFonts w:hint="eastAsia" w:ascii="Times New Roman" w:hAnsi="Times New Roman" w:eastAsia="宋体" w:cs="宋体"/>
          <w:sz w:val="18"/>
          <w:szCs w:val="18"/>
          <w:highlight w:val="none"/>
        </w:rPr>
        <w:t xml:space="preserve">。</w:t>
      </w:r>
      <w:r>
        <w:rPr>
          <w:rFonts w:hint="default" w:ascii="Times New Roman" w:hAnsi="Times New Roman" w:eastAsia="宋体" w:cs="宋体"/>
          <w:sz w:val="18"/>
          <w:szCs w:val="18"/>
          <w:highlight w:val="none"/>
        </w:rPr>
        <w:t xml:space="preserve">凡是本合同没有涉及的内容应当以补充条款的</w:t>
      </w:r>
      <w:r>
        <w:rPr>
          <w:rFonts w:hint="default" w:ascii="Times New Roman" w:hAnsi="Times New Roman" w:eastAsia="宋体" w:cs="宋体"/>
          <w:spacing w:val="-1"/>
          <w:sz w:val="18"/>
          <w:szCs w:val="18"/>
          <w:highlight w:val="none"/>
        </w:rPr>
        <w:t xml:space="preserve">形式加以补充。附件由</w:t>
      </w:r>
      <w:r>
        <w:rPr>
          <w:rFonts w:hint="eastAsia" w:ascii="Times New Roman" w:hAnsi="Times New Roman" w:eastAsia="宋体" w:cs="宋体"/>
          <w:spacing w:val="-1"/>
          <w:sz w:val="18"/>
          <w:szCs w:val="18"/>
          <w:highlight w:val="none"/>
        </w:rPr>
        <w:t xml:space="preserve">三方</w:t>
      </w:r>
      <w:r>
        <w:rPr>
          <w:rFonts w:hint="default" w:ascii="Times New Roman" w:hAnsi="Times New Roman" w:eastAsia="宋体" w:cs="宋体"/>
          <w:spacing w:val="-1"/>
          <w:sz w:val="18"/>
          <w:szCs w:val="18"/>
          <w:highlight w:val="none"/>
        </w:rPr>
        <w:t xml:space="preserve">具体</w:t>
      </w:r>
      <w:r>
        <w:rPr>
          <w:rFonts w:hint="default" w:ascii="Times New Roman" w:hAnsi="Times New Roman" w:eastAsia="宋体" w:cs="宋体"/>
          <w:spacing w:val="-8"/>
          <w:sz w:val="18"/>
          <w:szCs w:val="18"/>
          <w:highlight w:val="none"/>
        </w:rPr>
        <w:t xml:space="preserve">约定</w:t>
      </w:r>
      <w:r>
        <w:rPr>
          <w:rFonts w:hint="eastAsia" w:ascii="Times New Roman" w:hAnsi="Times New Roman" w:eastAsia="宋体" w:cs="宋体"/>
          <w:spacing w:val="-8"/>
          <w:sz w:val="18"/>
          <w:szCs w:val="18"/>
          <w:highlight w:val="none"/>
        </w:rPr>
        <w:t xml:space="preserve">。</w:t>
      </w:r>
      <w:r/>
    </w:p>
    <w:p>
      <w:pPr>
        <w:ind w:firstLine="482"/>
        <w:jc w:val="left"/>
        <w:spacing w:line="300" w:lineRule="auto"/>
        <w:rPr>
          <w:rFonts w:ascii="Times New Roman" w:hAnsi="Times New Roman" w:cs="宋体"/>
          <w:szCs w:val="18"/>
          <w:highlight w:val="none"/>
        </w:rPr>
        <w:sectPr>
          <w:headerReference w:type="default" r:id="rId11"/>
          <w:footerReference w:type="default" r:id="rId18"/>
          <w:footnotePr/>
          <w:endnotePr/>
          <w:type w:val="nextPage"/>
          <w:pgSz w:w="11907" w:h="16839" w:orient="portrait"/>
          <w:pgMar w:top="1405" w:right="1020" w:bottom="1309" w:left="1306" w:header="1077" w:footer="964" w:gutter="0"/>
          <w:cols w:num="1" w:sep="0" w:space="720" w:equalWidth="1"/>
          <w:docGrid w:linePitch="360"/>
        </w:sectPr>
      </w:pPr>
      <w:r>
        <w:rPr>
          <w:rFonts w:ascii="Times New Roman" w:hAnsi="Times New Roman" w:cs="宋体"/>
          <w:szCs w:val="18"/>
          <w:highlight w:val="none"/>
        </w:rPr>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宋体"/>
          <w:spacing w:val="-1"/>
          <w:sz w:val="24"/>
          <w:szCs w:val="21"/>
          <w:highlight w:val="none"/>
        </w:rPr>
        <w:t xml:space="preserve">托管单位</w:t>
      </w:r>
      <w:r>
        <w:rPr>
          <w:rFonts w:hint="eastAsia" w:ascii="Times New Roman" w:hAnsi="Times New Roman" w:eastAsia="宋体" w:cs="宋体"/>
          <w:spacing w:val="-1"/>
          <w:sz w:val="24"/>
          <w:szCs w:val="21"/>
          <w:highlight w:val="none"/>
          <w:u w:val="single"/>
        </w:rPr>
        <w:t xml:space="preserve">         </w:t>
      </w:r>
      <w:r>
        <w:rPr>
          <w:rFonts w:hint="eastAsia" w:ascii="Times New Roman" w:hAnsi="Times New Roman" w:eastAsia="宋体" w:cs="宋体"/>
          <w:spacing w:val="-1"/>
          <w:sz w:val="24"/>
          <w:szCs w:val="21"/>
          <w:highlight w:val="none"/>
        </w:rPr>
        <w:t xml:space="preserve">（以下简称甲方</w:t>
      </w:r>
      <w:r>
        <w:rPr>
          <w:rFonts w:hint="default" w:ascii="Times New Roman" w:hAnsi="Times New Roman" w:eastAsia="宋体" w:cs="宋体"/>
          <w:spacing w:val="-1"/>
          <w:sz w:val="24"/>
          <w:szCs w:val="21"/>
          <w:highlight w:val="none"/>
        </w:rPr>
        <w:t xml:space="preserve">）与节能服务公司</w:t>
      </w:r>
      <w:r>
        <w:rPr>
          <w:rFonts w:hint="default" w:ascii="Times New Roman" w:hAnsi="Times New Roman" w:eastAsia="宋体" w:cs="宋体"/>
          <w:spacing w:val="-104"/>
          <w:sz w:val="24"/>
          <w:szCs w:val="21"/>
          <w:highlight w:val="none"/>
        </w:rPr>
        <w:t xml:space="preserve"> </w:t>
      </w:r>
      <w:r>
        <w:rPr>
          <w:rFonts w:hint="default" w:ascii="Times New Roman" w:hAnsi="Times New Roman" w:eastAsia="宋体" w:cs="宋体"/>
          <w:spacing w:val="-2"/>
          <w:sz w:val="24"/>
          <w:szCs w:val="21"/>
          <w:highlight w:val="none"/>
          <w:u w:val="single"/>
        </w:rPr>
        <w:t xml:space="preserve"> </w:t>
      </w:r>
      <w:r>
        <w:rPr>
          <w:rFonts w:hint="eastAsia" w:ascii="Times New Roman" w:hAnsi="Times New Roman" w:eastAsia="宋体" w:cs="宋体"/>
          <w:spacing w:val="-2"/>
          <w:sz w:val="24"/>
          <w:szCs w:val="21"/>
          <w:highlight w:val="none"/>
          <w:u w:val="single"/>
          <w:lang w:val="en-US" w:eastAsia="zh-CN"/>
        </w:rPr>
        <w:t xml:space="preserve">           </w:t>
      </w:r>
      <w:r>
        <w:rPr>
          <w:rFonts w:hint="default" w:ascii="Times New Roman" w:hAnsi="Times New Roman" w:eastAsia="宋体" w:cs="宋体"/>
          <w:spacing w:val="-2"/>
          <w:sz w:val="24"/>
          <w:szCs w:val="21"/>
          <w:highlight w:val="none"/>
        </w:rPr>
        <w:t xml:space="preserve">（以下简称乙方</w:t>
      </w:r>
      <w:r>
        <w:rPr>
          <w:rFonts w:hint="default" w:ascii="Times New Roman" w:hAnsi="Times New Roman" w:eastAsia="宋体" w:cs="宋体"/>
          <w:spacing w:val="-8"/>
          <w:sz w:val="24"/>
          <w:szCs w:val="21"/>
          <w:highlight w:val="none"/>
        </w:rPr>
        <w:t xml:space="preserve">），</w:t>
      </w:r>
      <w:r>
        <w:rPr>
          <w:rFonts w:hint="eastAsia" w:ascii="Times New Roman" w:hAnsi="Times New Roman" w:eastAsia="宋体" w:cs="宋体"/>
          <w:spacing w:val="-8"/>
          <w:sz w:val="24"/>
          <w:szCs w:val="21"/>
          <w:highlight w:val="none"/>
        </w:rPr>
        <w:t xml:space="preserve">管理协调单位</w:t>
      </w:r>
      <w:r>
        <w:rPr>
          <w:rFonts w:hint="default" w:ascii="Times New Roman" w:hAnsi="Times New Roman" w:eastAsia="宋体" w:cs="宋体"/>
          <w:spacing w:val="-104"/>
          <w:sz w:val="24"/>
          <w:szCs w:val="21"/>
          <w:highlight w:val="none"/>
        </w:rPr>
        <w:t xml:space="preserve"> </w:t>
      </w:r>
      <w:r>
        <w:rPr>
          <w:rFonts w:hint="default" w:ascii="Times New Roman" w:hAnsi="Times New Roman" w:eastAsia="宋体" w:cs="宋体"/>
          <w:spacing w:val="-2"/>
          <w:sz w:val="24"/>
          <w:szCs w:val="21"/>
          <w:highlight w:val="none"/>
          <w:u w:val="single"/>
        </w:rPr>
        <w:t xml:space="preserve"> </w:t>
      </w:r>
      <w:r>
        <w:rPr>
          <w:rFonts w:hint="default" w:ascii="Times New Roman" w:hAnsi="Times New Roman" w:eastAsia="宋体" w:cs="宋体"/>
          <w:spacing w:val="-2"/>
          <w:sz w:val="24"/>
          <w:szCs w:val="21"/>
          <w:highlight w:val="none"/>
          <w:u w:val="single"/>
          <w:lang w:eastAsia="zh-CN"/>
        </w:rPr>
        <w:t xml:space="preserve">常州市武进区机关事务管理中心</w:t>
      </w:r>
      <w:r>
        <w:rPr>
          <w:rFonts w:hint="eastAsia" w:ascii="Times New Roman" w:hAnsi="Times New Roman" w:eastAsia="宋体" w:cs="宋体"/>
          <w:spacing w:val="-2"/>
          <w:sz w:val="24"/>
          <w:szCs w:val="21"/>
          <w:highlight w:val="none"/>
          <w:u w:val="single"/>
        </w:rPr>
        <w:t xml:space="preserve">（以下简称丙方）</w:t>
      </w:r>
      <w:r>
        <w:rPr>
          <w:rFonts w:hint="default" w:ascii="Times New Roman" w:hAnsi="Times New Roman" w:eastAsia="宋体" w:cs="宋体"/>
          <w:spacing w:val="-104"/>
          <w:sz w:val="24"/>
          <w:szCs w:val="21"/>
          <w:highlight w:val="none"/>
        </w:rPr>
        <w:t xml:space="preserve"> </w:t>
      </w:r>
      <w:r>
        <w:rPr>
          <w:rFonts w:hint="eastAsia" w:ascii="Times New Roman" w:hAnsi="Times New Roman" w:eastAsia="宋体" w:cs="宋体"/>
          <w:spacing w:val="-2"/>
          <w:sz w:val="24"/>
          <w:szCs w:val="21"/>
          <w:highlight w:val="none"/>
        </w:rPr>
        <w:t xml:space="preserve">，</w:t>
      </w:r>
      <w:r>
        <w:rPr>
          <w:rFonts w:hint="default" w:ascii="Times New Roman" w:hAnsi="Times New Roman" w:eastAsia="宋体" w:cs="宋体"/>
          <w:spacing w:val="-2"/>
          <w:sz w:val="24"/>
          <w:szCs w:val="21"/>
          <w:highlight w:val="none"/>
        </w:rPr>
        <w:t xml:space="preserve">根据《中华人</w:t>
      </w:r>
      <w:r>
        <w:rPr>
          <w:rFonts w:hint="default" w:ascii="Times New Roman" w:hAnsi="Times New Roman" w:eastAsia="宋体" w:cs="宋体"/>
          <w:spacing w:val="-5"/>
          <w:sz w:val="24"/>
          <w:szCs w:val="21"/>
          <w:highlight w:val="none"/>
        </w:rPr>
        <w:t xml:space="preserve">民共和国</w:t>
      </w:r>
      <w:r>
        <w:rPr>
          <w:rFonts w:hint="eastAsia" w:ascii="Times New Roman" w:hAnsi="Times New Roman" w:eastAsia="宋体" w:cs="宋体"/>
          <w:spacing w:val="-5"/>
          <w:sz w:val="24"/>
          <w:szCs w:val="21"/>
          <w:highlight w:val="none"/>
        </w:rPr>
        <w:t xml:space="preserve">民法典</w:t>
      </w:r>
      <w:r>
        <w:rPr>
          <w:rFonts w:hint="default" w:ascii="Times New Roman" w:hAnsi="Times New Roman" w:eastAsia="宋体" w:cs="宋体"/>
          <w:spacing w:val="-5"/>
          <w:sz w:val="24"/>
          <w:szCs w:val="21"/>
          <w:highlight w:val="none"/>
        </w:rPr>
        <w:t xml:space="preserve">》《</w:t>
      </w:r>
      <w:r>
        <w:rPr>
          <w:rFonts w:hint="eastAsia" w:ascii="Times New Roman" w:hAnsi="Times New Roman" w:eastAsia="宋体" w:cs="宋体"/>
          <w:spacing w:val="-5"/>
          <w:sz w:val="24"/>
          <w:szCs w:val="21"/>
          <w:highlight w:val="none"/>
        </w:rPr>
        <w:t xml:space="preserve">中华人民共和国政府采购法</w:t>
      </w:r>
      <w:r>
        <w:rPr>
          <w:rFonts w:hint="default" w:ascii="Times New Roman" w:hAnsi="Times New Roman" w:eastAsia="宋体" w:cs="宋体"/>
          <w:spacing w:val="-5"/>
          <w:sz w:val="24"/>
          <w:szCs w:val="21"/>
          <w:highlight w:val="none"/>
        </w:rPr>
        <w:t xml:space="preserve">》《招投标法》《公共机构节能条例》及有关节能、环保、</w:t>
      </w:r>
      <w:r>
        <w:rPr>
          <w:rFonts w:hint="default" w:ascii="Times New Roman" w:hAnsi="Times New Roman" w:eastAsia="宋体" w:cs="宋体"/>
          <w:spacing w:val="-6"/>
          <w:sz w:val="24"/>
          <w:szCs w:val="21"/>
          <w:highlight w:val="none"/>
        </w:rPr>
        <w:t xml:space="preserve">供热、供电、</w:t>
      </w:r>
      <w:r>
        <w:rPr>
          <w:rFonts w:hint="default" w:ascii="Times New Roman" w:hAnsi="Times New Roman" w:eastAsia="宋体" w:cs="宋体"/>
          <w:spacing w:val="-5"/>
          <w:sz w:val="24"/>
          <w:szCs w:val="21"/>
          <w:highlight w:val="none"/>
        </w:rPr>
        <w:t xml:space="preserve">供水等</w:t>
      </w:r>
      <w:r>
        <w:rPr>
          <w:rFonts w:hint="eastAsia" w:ascii="Times New Roman" w:hAnsi="Times New Roman" w:eastAsia="宋体" w:cs="宋体"/>
          <w:spacing w:val="-5"/>
          <w:sz w:val="24"/>
          <w:szCs w:val="21"/>
          <w:highlight w:val="none"/>
        </w:rPr>
        <w:t xml:space="preserve">法律法规</w:t>
      </w:r>
      <w:r>
        <w:rPr>
          <w:rFonts w:hint="default" w:ascii="Times New Roman" w:hAnsi="Times New Roman" w:eastAsia="宋体" w:cs="宋体"/>
          <w:spacing w:val="-5"/>
          <w:sz w:val="24"/>
          <w:szCs w:val="21"/>
          <w:highlight w:val="none"/>
        </w:rPr>
        <w:t xml:space="preserve">，本着平等、自愿的原则，就甲方的能源费用及其相应的能源供</w:t>
      </w:r>
      <w:r>
        <w:rPr>
          <w:rFonts w:hint="default" w:ascii="Times New Roman" w:hAnsi="Times New Roman" w:eastAsia="宋体" w:cs="宋体"/>
          <w:spacing w:val="-6"/>
          <w:sz w:val="24"/>
          <w:szCs w:val="21"/>
          <w:highlight w:val="none"/>
        </w:rPr>
        <w:t xml:space="preserve">用系统（以下简称托</w:t>
      </w:r>
      <w:r>
        <w:rPr>
          <w:rFonts w:hint="default" w:ascii="Times New Roman" w:hAnsi="Times New Roman" w:eastAsia="宋体" w:cs="宋体"/>
          <w:spacing w:val="-3"/>
          <w:sz w:val="24"/>
          <w:szCs w:val="21"/>
          <w:highlight w:val="none"/>
        </w:rPr>
        <w:t xml:space="preserve">管项目）按</w:t>
      </w:r>
      <w:r>
        <w:rPr>
          <w:rFonts w:hint="eastAsia" w:ascii="Times New Roman" w:hAnsi="Times New Roman" w:eastAsia="宋体" w:cs="Times New Roman"/>
          <w:spacing w:val="-3"/>
          <w:sz w:val="24"/>
          <w:szCs w:val="21"/>
          <w:highlight w:val="none"/>
        </w:rPr>
        <w:t xml:space="preserve">“</w:t>
      </w:r>
      <w:r>
        <w:rPr>
          <w:rFonts w:hint="default" w:ascii="Times New Roman" w:hAnsi="Times New Roman" w:eastAsia="宋体" w:cs="宋体"/>
          <w:spacing w:val="-3"/>
          <w:sz w:val="24"/>
          <w:szCs w:val="21"/>
          <w:highlight w:val="none"/>
        </w:rPr>
        <w:t xml:space="preserve">能源费用托管型合同能源管理</w:t>
      </w:r>
      <w:r>
        <w:rPr>
          <w:rFonts w:hint="eastAsia" w:ascii="Times New Roman" w:hAnsi="Times New Roman" w:eastAsia="宋体" w:cs="Times New Roman"/>
          <w:spacing w:val="-3"/>
          <w:sz w:val="24"/>
          <w:szCs w:val="21"/>
          <w:highlight w:val="none"/>
        </w:rPr>
        <w:t xml:space="preserve">”</w:t>
      </w:r>
      <w:r>
        <w:rPr>
          <w:rFonts w:hint="default" w:ascii="Times New Roman" w:hAnsi="Times New Roman" w:eastAsia="宋体" w:cs="宋体"/>
          <w:spacing w:val="-3"/>
          <w:sz w:val="24"/>
          <w:szCs w:val="21"/>
          <w:highlight w:val="none"/>
        </w:rPr>
        <w:t xml:space="preserve">模式进行托管的事宜，经</w:t>
      </w:r>
      <w:r>
        <w:rPr>
          <w:rFonts w:hint="eastAsia" w:ascii="Times New Roman" w:hAnsi="Times New Roman" w:eastAsia="宋体" w:cs="宋体"/>
          <w:spacing w:val="-3"/>
          <w:sz w:val="24"/>
          <w:szCs w:val="21"/>
          <w:highlight w:val="none"/>
        </w:rPr>
        <w:t xml:space="preserve">三</w:t>
      </w:r>
      <w:r>
        <w:rPr>
          <w:rFonts w:hint="default" w:ascii="Times New Roman" w:hAnsi="Times New Roman" w:eastAsia="宋体" w:cs="宋体"/>
          <w:spacing w:val="-3"/>
          <w:sz w:val="24"/>
          <w:szCs w:val="21"/>
          <w:highlight w:val="none"/>
        </w:rPr>
        <w:t xml:space="preserve">方协商一致，签订</w:t>
      </w:r>
      <w:r>
        <w:rPr>
          <w:rFonts w:hint="default" w:ascii="Times New Roman" w:hAnsi="Times New Roman" w:eastAsia="宋体" w:cs="宋体"/>
          <w:spacing w:val="-4"/>
          <w:sz w:val="24"/>
          <w:szCs w:val="21"/>
          <w:highlight w:val="none"/>
        </w:rPr>
        <w:t xml:space="preserve">本合同</w:t>
      </w:r>
      <w:r>
        <w:rPr>
          <w:rFonts w:hint="eastAsia" w:ascii="Times New Roman" w:hAnsi="Times New Roman" w:eastAsia="宋体" w:cs="宋体"/>
          <w:spacing w:val="-4"/>
          <w:sz w:val="24"/>
          <w:szCs w:val="21"/>
          <w:highlight w:val="none"/>
        </w:rPr>
        <w:t xml:space="preserve">（</w:t>
      </w:r>
      <w:r>
        <w:rPr>
          <w:rFonts w:hint="default" w:ascii="Times New Roman" w:hAnsi="Times New Roman" w:eastAsia="宋体" w:cs="宋体"/>
          <w:spacing w:val="-4"/>
          <w:sz w:val="24"/>
          <w:szCs w:val="21"/>
          <w:highlight w:val="none"/>
        </w:rPr>
        <w:t xml:space="preserve">以下</w:t>
      </w:r>
      <w:r>
        <w:rPr>
          <w:rFonts w:hint="default" w:ascii="Times New Roman" w:hAnsi="Times New Roman" w:eastAsia="宋体" w:cs="宋体"/>
          <w:spacing w:val="-9"/>
          <w:sz w:val="24"/>
          <w:szCs w:val="21"/>
          <w:highlight w:val="none"/>
        </w:rPr>
        <w:t xml:space="preserve">简称</w:t>
      </w:r>
      <w:r>
        <w:rPr>
          <w:rFonts w:hint="eastAsia" w:ascii="Times New Roman" w:hAnsi="Times New Roman" w:eastAsia="宋体" w:cs="宋体"/>
          <w:spacing w:val="-9"/>
          <w:sz w:val="24"/>
          <w:szCs w:val="21"/>
          <w:highlight w:val="none"/>
        </w:rPr>
        <w:t xml:space="preserve">“</w:t>
      </w:r>
      <w:r>
        <w:rPr>
          <w:rFonts w:hint="default" w:ascii="Times New Roman" w:hAnsi="Times New Roman" w:eastAsia="宋体" w:cs="宋体"/>
          <w:spacing w:val="-9"/>
          <w:sz w:val="24"/>
          <w:szCs w:val="21"/>
          <w:highlight w:val="none"/>
        </w:rPr>
        <w:t xml:space="preserve">项目合同</w:t>
      </w:r>
      <w:r>
        <w:rPr>
          <w:rFonts w:hint="eastAsia" w:ascii="Times New Roman" w:hAnsi="Times New Roman" w:eastAsia="宋体" w:cs="宋体"/>
          <w:spacing w:val="-9"/>
          <w:sz w:val="24"/>
          <w:szCs w:val="21"/>
          <w:highlight w:val="none"/>
        </w:rPr>
        <w:t xml:space="preserve">”）</w:t>
      </w:r>
      <w:r>
        <w:rPr>
          <w:rFonts w:hint="default" w:ascii="Times New Roman" w:hAnsi="Times New Roman" w:eastAsia="宋体" w:cs="宋体"/>
          <w:spacing w:val="-9"/>
          <w:sz w:val="24"/>
          <w:szCs w:val="21"/>
          <w:highlight w:val="none"/>
        </w:rPr>
        <w:t xml:space="preserve">。</w:t>
      </w:r>
      <w:r/>
    </w:p>
    <w:p>
      <w:pPr>
        <w:spacing w:before="100" w:after="100"/>
        <w:rPr>
          <w:rFonts w:hint="default" w:ascii="Times New Roman" w:hAnsi="Times New Roman" w:eastAsia="黑体" w:cs="宋体"/>
          <w:sz w:val="28"/>
          <w:szCs w:val="21"/>
          <w:highlight w:val="none"/>
        </w:rPr>
        <w:outlineLvl w:val="0"/>
      </w:pPr>
      <w:r>
        <w:rPr>
          <w:rFonts w:hint="default" w:ascii="Times New Roman" w:hAnsi="Times New Roman" w:eastAsia="黑体" w:cs="宋体"/>
          <w:bCs/>
          <w:spacing w:val="-2"/>
          <w:sz w:val="28"/>
          <w:szCs w:val="21"/>
          <w:highlight w:val="none"/>
        </w:rPr>
        <w:t xml:space="preserve">第一条</w:t>
      </w:r>
      <w:r>
        <w:rPr>
          <w:rFonts w:hint="default" w:ascii="Times New Roman" w:hAnsi="Times New Roman" w:eastAsia="黑体" w:cs="宋体"/>
          <w:spacing w:val="-2"/>
          <w:sz w:val="28"/>
          <w:szCs w:val="21"/>
          <w:highlight w:val="none"/>
        </w:rPr>
        <w:t xml:space="preserve"> </w:t>
      </w:r>
      <w:r>
        <w:rPr>
          <w:rFonts w:hint="default" w:ascii="Times New Roman" w:hAnsi="Times New Roman" w:eastAsia="黑体" w:cs="宋体"/>
          <w:bCs/>
          <w:spacing w:val="-2"/>
          <w:sz w:val="28"/>
          <w:szCs w:val="21"/>
          <w:highlight w:val="none"/>
        </w:rPr>
        <w:t xml:space="preserve">名词解释</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2"/>
          <w:sz w:val="24"/>
          <w:szCs w:val="21"/>
          <w:highlight w:val="none"/>
        </w:rPr>
        <w:t xml:space="preserve">1.1  </w:t>
      </w:r>
      <w:r>
        <w:rPr>
          <w:rFonts w:hint="default" w:ascii="Times New Roman" w:hAnsi="Times New Roman" w:eastAsia="宋体" w:cs="宋体"/>
          <w:spacing w:val="-2"/>
          <w:sz w:val="24"/>
          <w:szCs w:val="21"/>
          <w:highlight w:val="none"/>
        </w:rPr>
        <w:t xml:space="preserve">合同能源管理</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宋体"/>
          <w:spacing w:val="-2"/>
          <w:sz w:val="24"/>
          <w:szCs w:val="21"/>
          <w:highlight w:val="none"/>
        </w:rPr>
        <w:t xml:space="preserve">节能服务公司与公共机构以契约形式约定节能项目的节能目标，</w:t>
      </w:r>
      <w:r>
        <w:rPr>
          <w:rFonts w:hint="default" w:ascii="Times New Roman" w:hAnsi="Times New Roman" w:eastAsia="宋体" w:cs="宋体"/>
          <w:spacing w:val="-3"/>
          <w:sz w:val="24"/>
          <w:szCs w:val="21"/>
          <w:highlight w:val="none"/>
        </w:rPr>
        <w:t xml:space="preserve">节能服务公司为实现节能目标向公</w:t>
      </w:r>
      <w:r>
        <w:rPr>
          <w:rFonts w:hint="default" w:ascii="Times New Roman" w:hAnsi="Times New Roman" w:eastAsia="宋体" w:cs="宋体"/>
          <w:spacing w:val="-2"/>
          <w:sz w:val="24"/>
          <w:szCs w:val="21"/>
          <w:highlight w:val="none"/>
        </w:rPr>
        <w:t xml:space="preserve">共机构提供必要的服务，公共机构以节能效益、节能服务费或能源托管费支付</w:t>
      </w:r>
      <w:r>
        <w:rPr>
          <w:rFonts w:hint="default" w:ascii="Times New Roman" w:hAnsi="Times New Roman" w:eastAsia="宋体" w:cs="宋体"/>
          <w:spacing w:val="-3"/>
          <w:sz w:val="24"/>
          <w:szCs w:val="21"/>
          <w:highlight w:val="none"/>
        </w:rPr>
        <w:t xml:space="preserve">节能服务公司的投入及其</w:t>
      </w:r>
      <w:r>
        <w:rPr>
          <w:rFonts w:hint="default" w:ascii="Times New Roman" w:hAnsi="Times New Roman" w:eastAsia="宋体" w:cs="宋体"/>
          <w:spacing w:val="-1"/>
          <w:sz w:val="24"/>
          <w:szCs w:val="21"/>
          <w:highlight w:val="none"/>
        </w:rPr>
        <w:t xml:space="preserve">合理利润的节能服务机制。</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6"/>
          <w:sz w:val="24"/>
          <w:szCs w:val="21"/>
          <w:highlight w:val="none"/>
        </w:rPr>
        <w:t xml:space="preserve">1.2</w:t>
      </w:r>
      <w:r>
        <w:rPr>
          <w:rFonts w:hint="default" w:ascii="Times New Roman" w:hAnsi="Times New Roman" w:eastAsia="宋体" w:cs="Times New Roman"/>
          <w:spacing w:val="9"/>
          <w:sz w:val="24"/>
          <w:szCs w:val="21"/>
          <w:highlight w:val="none"/>
        </w:rPr>
        <w:t xml:space="preserve">  </w:t>
      </w:r>
      <w:r>
        <w:rPr>
          <w:rFonts w:hint="default" w:ascii="Times New Roman" w:hAnsi="Times New Roman" w:eastAsia="宋体" w:cs="宋体"/>
          <w:spacing w:val="-6"/>
          <w:sz w:val="24"/>
          <w:szCs w:val="21"/>
          <w:highlight w:val="none"/>
        </w:rPr>
        <w:t xml:space="preserve">能源托管</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宋体"/>
          <w:spacing w:val="-2"/>
          <w:sz w:val="24"/>
          <w:szCs w:val="21"/>
          <w:highlight w:val="none"/>
        </w:rPr>
        <w:t xml:space="preserve">合同能源管理的一种形式。由公共机构委托能够提供用能诊断</w:t>
      </w:r>
      <w:r>
        <w:rPr>
          <w:rFonts w:hint="default" w:ascii="Times New Roman" w:hAnsi="Times New Roman" w:eastAsia="宋体" w:cs="宋体"/>
          <w:spacing w:val="-3"/>
          <w:sz w:val="24"/>
          <w:szCs w:val="21"/>
          <w:highlight w:val="none"/>
        </w:rPr>
        <w:t xml:space="preserve">、节能改造、运行管理等服务的专业</w:t>
      </w:r>
      <w:r>
        <w:rPr>
          <w:rFonts w:hint="default" w:ascii="Times New Roman" w:hAnsi="Times New Roman" w:eastAsia="宋体" w:cs="宋体"/>
          <w:spacing w:val="-2"/>
          <w:sz w:val="24"/>
          <w:szCs w:val="21"/>
          <w:highlight w:val="none"/>
        </w:rPr>
        <w:t xml:space="preserve">化节能服务公司，进行电、气、煤、油、市政热力、水等能源资源系统的运</w:t>
      </w:r>
      <w:r>
        <w:rPr>
          <w:rFonts w:hint="default" w:ascii="Times New Roman" w:hAnsi="Times New Roman" w:eastAsia="宋体" w:cs="宋体"/>
          <w:spacing w:val="-3"/>
          <w:sz w:val="24"/>
          <w:szCs w:val="21"/>
          <w:highlight w:val="none"/>
        </w:rPr>
        <w:t xml:space="preserve">行、管理、维护和改造，公</w:t>
      </w:r>
      <w:r>
        <w:rPr>
          <w:rFonts w:hint="default" w:ascii="Times New Roman" w:hAnsi="Times New Roman" w:eastAsia="宋体" w:cs="宋体"/>
          <w:spacing w:val="-2"/>
          <w:sz w:val="24"/>
          <w:szCs w:val="21"/>
          <w:highlight w:val="none"/>
        </w:rPr>
        <w:t xml:space="preserve">共机构将根据能源基准确定的费用支付给节能服务公司作为托管费用，节能服务</w:t>
      </w:r>
      <w:r>
        <w:rPr>
          <w:rFonts w:hint="default" w:ascii="Times New Roman" w:hAnsi="Times New Roman" w:eastAsia="宋体" w:cs="宋体"/>
          <w:spacing w:val="-3"/>
          <w:sz w:val="24"/>
          <w:szCs w:val="21"/>
          <w:highlight w:val="none"/>
        </w:rPr>
        <w:t xml:space="preserve">公司</w:t>
      </w:r>
      <w:r>
        <w:rPr>
          <w:rFonts w:hint="eastAsia" w:ascii="Times New Roman" w:hAnsi="Times New Roman" w:eastAsia="宋体" w:cs="宋体"/>
          <w:spacing w:val="-3"/>
          <w:sz w:val="24"/>
          <w:szCs w:val="21"/>
          <w:highlight w:val="none"/>
        </w:rPr>
        <w:t xml:space="preserve">通过科学地</w:t>
      </w:r>
      <w:r>
        <w:rPr>
          <w:rFonts w:hint="default" w:ascii="Times New Roman" w:hAnsi="Times New Roman" w:eastAsia="宋体" w:cs="宋体"/>
          <w:spacing w:val="-3"/>
          <w:sz w:val="24"/>
          <w:szCs w:val="21"/>
          <w:highlight w:val="none"/>
        </w:rPr>
        <w:t xml:space="preserve">管理运</w:t>
      </w:r>
      <w:r>
        <w:rPr>
          <w:rFonts w:hint="default" w:ascii="Times New Roman" w:hAnsi="Times New Roman" w:eastAsia="宋体" w:cs="宋体"/>
          <w:spacing w:val="-1"/>
          <w:sz w:val="24"/>
          <w:szCs w:val="21"/>
          <w:highlight w:val="none"/>
        </w:rPr>
        <w:t xml:space="preserve">行和节能技术的应用达到节约能源资源、减少费用支出等目的，获取合理的利润。</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6"/>
          <w:sz w:val="24"/>
          <w:szCs w:val="21"/>
          <w:highlight w:val="none"/>
        </w:rPr>
        <w:t xml:space="preserve">1.3</w:t>
      </w:r>
      <w:r>
        <w:rPr>
          <w:rFonts w:hint="default" w:ascii="Times New Roman" w:hAnsi="Times New Roman" w:eastAsia="宋体" w:cs="Times New Roman"/>
          <w:spacing w:val="9"/>
          <w:sz w:val="24"/>
          <w:szCs w:val="21"/>
          <w:highlight w:val="none"/>
        </w:rPr>
        <w:t xml:space="preserve">  </w:t>
      </w:r>
      <w:r>
        <w:rPr>
          <w:rFonts w:hint="default" w:ascii="Times New Roman" w:hAnsi="Times New Roman" w:eastAsia="宋体" w:cs="宋体"/>
          <w:spacing w:val="-6"/>
          <w:sz w:val="24"/>
          <w:szCs w:val="21"/>
          <w:highlight w:val="none"/>
        </w:rPr>
        <w:t xml:space="preserve">能源基准</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宋体"/>
          <w:spacing w:val="-2"/>
          <w:sz w:val="24"/>
          <w:szCs w:val="21"/>
          <w:highlight w:val="none"/>
        </w:rPr>
        <w:t xml:space="preserve">用作比较能源绩效的定量参考依据。</w:t>
      </w:r>
      <w:r/>
    </w:p>
    <w:p>
      <w:pPr>
        <w:ind w:firstLine="482"/>
        <w:spacing w:line="360" w:lineRule="auto"/>
        <w:rPr>
          <w:rFonts w:hint="default" w:ascii="Times New Roman" w:hAnsi="Times New Roman" w:eastAsia="宋体" w:cs="宋体"/>
          <w:sz w:val="24"/>
          <w:szCs w:val="19"/>
          <w:highlight w:val="none"/>
        </w:rPr>
      </w:pPr>
      <w:r>
        <w:rPr>
          <w:rFonts w:hint="default" w:ascii="Times New Roman" w:hAnsi="Times New Roman" w:eastAsia="宋体" w:cs="宋体"/>
          <w:spacing w:val="7"/>
          <w:sz w:val="24"/>
          <w:szCs w:val="19"/>
          <w:highlight w:val="none"/>
        </w:rPr>
        <w:t xml:space="preserve">注</w:t>
      </w:r>
      <w:r>
        <w:rPr>
          <w:rFonts w:hint="default" w:ascii="Times New Roman" w:hAnsi="Times New Roman" w:eastAsia="宋体" w:cs="Times New Roman"/>
          <w:spacing w:val="7"/>
          <w:sz w:val="24"/>
          <w:szCs w:val="19"/>
          <w:highlight w:val="none"/>
        </w:rPr>
        <w:t xml:space="preserve">1</w:t>
      </w:r>
      <w:r>
        <w:rPr>
          <w:rFonts w:hint="default" w:ascii="Times New Roman" w:hAnsi="Times New Roman" w:eastAsia="宋体" w:cs="宋体"/>
          <w:spacing w:val="7"/>
          <w:sz w:val="24"/>
          <w:szCs w:val="19"/>
          <w:highlight w:val="none"/>
        </w:rPr>
        <w:t xml:space="preserve">：能源基准反映的是特定时间段的能源利用状况。</w:t>
      </w:r>
      <w:r/>
    </w:p>
    <w:p>
      <w:pPr>
        <w:ind w:firstLine="482"/>
        <w:spacing w:line="360" w:lineRule="auto"/>
        <w:rPr>
          <w:rFonts w:hint="default" w:ascii="Times New Roman" w:hAnsi="Times New Roman" w:eastAsia="宋体" w:cs="宋体"/>
          <w:spacing w:val="7"/>
          <w:sz w:val="24"/>
          <w:szCs w:val="19"/>
          <w:highlight w:val="none"/>
        </w:rPr>
      </w:pPr>
      <w:r>
        <w:rPr>
          <w:rFonts w:hint="default" w:ascii="Times New Roman" w:hAnsi="Times New Roman" w:eastAsia="宋体" w:cs="宋体"/>
          <w:spacing w:val="7"/>
          <w:sz w:val="24"/>
          <w:szCs w:val="19"/>
          <w:highlight w:val="none"/>
        </w:rPr>
        <w:t xml:space="preserve">注2：能源基准可采用建筑能源审计所确定的基准期内、项目边界内建筑或各用能设备（系统）的能源消耗量作为能源绩效参数。</w:t>
      </w:r>
      <w:r/>
    </w:p>
    <w:p>
      <w:pPr>
        <w:ind w:firstLine="482"/>
        <w:spacing w:line="360" w:lineRule="auto"/>
        <w:rPr>
          <w:rFonts w:hint="default" w:ascii="Times New Roman" w:hAnsi="Times New Roman" w:eastAsia="宋体" w:cs="宋体"/>
          <w:sz w:val="24"/>
          <w:szCs w:val="19"/>
          <w:highlight w:val="none"/>
        </w:rPr>
      </w:pPr>
      <w:r>
        <w:rPr>
          <w:rFonts w:hint="default" w:ascii="Times New Roman" w:hAnsi="Times New Roman" w:eastAsia="宋体" w:cs="宋体"/>
          <w:spacing w:val="8"/>
          <w:sz w:val="24"/>
          <w:szCs w:val="19"/>
          <w:highlight w:val="none"/>
        </w:rPr>
        <w:t xml:space="preserve">注</w:t>
      </w:r>
      <w:r>
        <w:rPr>
          <w:rFonts w:hint="default" w:ascii="Times New Roman" w:hAnsi="Times New Roman" w:eastAsia="宋体" w:cs="Times New Roman"/>
          <w:spacing w:val="8"/>
          <w:sz w:val="24"/>
          <w:szCs w:val="19"/>
          <w:highlight w:val="none"/>
        </w:rPr>
        <w:t xml:space="preserve">3</w:t>
      </w:r>
      <w:r>
        <w:rPr>
          <w:rFonts w:hint="default" w:ascii="Times New Roman" w:hAnsi="Times New Roman" w:eastAsia="宋体" w:cs="宋体"/>
          <w:spacing w:val="8"/>
          <w:sz w:val="24"/>
          <w:szCs w:val="19"/>
          <w:highlight w:val="none"/>
        </w:rPr>
        <w:t xml:space="preserve">：能源基准也可作为能源绩效改进措施实施前后的参照来计算节能量。</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2"/>
          <w:sz w:val="24"/>
          <w:szCs w:val="21"/>
          <w:highlight w:val="none"/>
        </w:rPr>
        <w:t xml:space="preserve">1.4  </w:t>
      </w:r>
      <w:r>
        <w:rPr>
          <w:rFonts w:hint="default" w:ascii="Times New Roman" w:hAnsi="Times New Roman" w:eastAsia="宋体" w:cs="宋体"/>
          <w:spacing w:val="-2"/>
          <w:sz w:val="24"/>
          <w:szCs w:val="21"/>
          <w:highlight w:val="none"/>
        </w:rPr>
        <w:t xml:space="preserve">建筑能源审计</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宋体"/>
          <w:spacing w:val="-2"/>
          <w:sz w:val="24"/>
          <w:szCs w:val="21"/>
          <w:highlight w:val="none"/>
        </w:rPr>
        <w:t xml:space="preserve">通过对建筑能源资源使用情况进行文件审查和现场调研、测试，</w:t>
      </w:r>
      <w:r>
        <w:rPr>
          <w:rFonts w:hint="default" w:ascii="Times New Roman" w:hAnsi="Times New Roman" w:eastAsia="宋体" w:cs="宋体"/>
          <w:spacing w:val="-3"/>
          <w:sz w:val="24"/>
          <w:szCs w:val="21"/>
          <w:highlight w:val="none"/>
        </w:rPr>
        <w:t xml:space="preserve">对被审计建筑能源利用状况相关指</w:t>
      </w:r>
      <w:r>
        <w:rPr>
          <w:rFonts w:hint="default" w:ascii="Times New Roman" w:hAnsi="Times New Roman" w:eastAsia="宋体" w:cs="宋体"/>
          <w:spacing w:val="-2"/>
          <w:sz w:val="24"/>
          <w:szCs w:val="21"/>
          <w:highlight w:val="none"/>
        </w:rPr>
        <w:t xml:space="preserve">标进行定量分析，对建筑能源利用效率、设备能效水平、运行经济效益</w:t>
      </w:r>
      <w:r>
        <w:rPr>
          <w:rFonts w:hint="default" w:ascii="Times New Roman" w:hAnsi="Times New Roman" w:eastAsia="宋体" w:cs="宋体"/>
          <w:spacing w:val="-3"/>
          <w:sz w:val="24"/>
          <w:szCs w:val="21"/>
          <w:highlight w:val="none"/>
        </w:rPr>
        <w:t xml:space="preserve">和环境效果进行诊断和评价，从</w:t>
      </w:r>
      <w:r>
        <w:rPr>
          <w:rFonts w:hint="default" w:ascii="Times New Roman" w:hAnsi="Times New Roman" w:eastAsia="宋体" w:cs="宋体"/>
          <w:spacing w:val="-1"/>
          <w:sz w:val="24"/>
          <w:szCs w:val="21"/>
          <w:highlight w:val="none"/>
        </w:rPr>
        <w:t xml:space="preserve">而发现建筑节能潜力，提出节能运行调适和改造建议。</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5"/>
          <w:sz w:val="24"/>
          <w:szCs w:val="21"/>
          <w:highlight w:val="none"/>
        </w:rPr>
        <w:t xml:space="preserve">1.5</w:t>
      </w:r>
      <w:r>
        <w:rPr>
          <w:rFonts w:hint="default" w:ascii="Times New Roman" w:hAnsi="Times New Roman" w:eastAsia="宋体" w:cs="Times New Roman"/>
          <w:spacing w:val="6"/>
          <w:sz w:val="24"/>
          <w:szCs w:val="21"/>
          <w:highlight w:val="none"/>
        </w:rPr>
        <w:t xml:space="preserve">  </w:t>
      </w:r>
      <w:r>
        <w:rPr>
          <w:rFonts w:hint="default" w:ascii="Times New Roman" w:hAnsi="Times New Roman" w:eastAsia="宋体" w:cs="宋体"/>
          <w:spacing w:val="-5"/>
          <w:sz w:val="24"/>
          <w:szCs w:val="21"/>
          <w:highlight w:val="none"/>
        </w:rPr>
        <w:t xml:space="preserve">项目边界</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t xml:space="preserve">实施节能改造措施所影响的建筑或用能设备（系统）的运行时间、范围和</w:t>
      </w:r>
      <w:r>
        <w:rPr>
          <w:rFonts w:hint="default" w:ascii="Times New Roman" w:hAnsi="Times New Roman" w:eastAsia="宋体" w:cs="宋体"/>
          <w:spacing w:val="-1"/>
          <w:sz w:val="24"/>
          <w:szCs w:val="21"/>
          <w:highlight w:val="none"/>
        </w:rPr>
        <w:t xml:space="preserve">地理位置界线。</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6"/>
          <w:sz w:val="24"/>
          <w:szCs w:val="21"/>
          <w:highlight w:val="none"/>
        </w:rPr>
        <w:t xml:space="preserve">1.6</w:t>
      </w:r>
      <w:r>
        <w:rPr>
          <w:rFonts w:hint="default" w:ascii="Times New Roman" w:hAnsi="Times New Roman" w:eastAsia="宋体" w:cs="Times New Roman"/>
          <w:spacing w:val="6"/>
          <w:sz w:val="24"/>
          <w:szCs w:val="21"/>
          <w:highlight w:val="none"/>
        </w:rPr>
        <w:t xml:space="preserve">  </w:t>
      </w:r>
      <w:r>
        <w:rPr>
          <w:rFonts w:hint="default" w:ascii="Times New Roman" w:hAnsi="Times New Roman" w:eastAsia="宋体" w:cs="宋体"/>
          <w:spacing w:val="-6"/>
          <w:sz w:val="24"/>
          <w:szCs w:val="21"/>
          <w:highlight w:val="none"/>
        </w:rPr>
        <w:t xml:space="preserve">基准期</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t xml:space="preserve">在建筑合同能源管理项目实施前，能够代表项目边界内</w:t>
      </w:r>
      <w:r>
        <w:rPr>
          <w:rFonts w:hint="default" w:ascii="Times New Roman" w:hAnsi="Times New Roman" w:eastAsia="宋体" w:cs="宋体"/>
          <w:spacing w:val="-1"/>
          <w:sz w:val="24"/>
          <w:szCs w:val="21"/>
          <w:highlight w:val="none"/>
        </w:rPr>
        <w:t xml:space="preserve">用能设备和系统运行规律的时间段。</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4"/>
          <w:sz w:val="24"/>
          <w:szCs w:val="21"/>
          <w:highlight w:val="none"/>
        </w:rPr>
        <w:t xml:space="preserve">1.7</w:t>
      </w:r>
      <w:r>
        <w:rPr>
          <w:rFonts w:hint="default" w:ascii="Times New Roman" w:hAnsi="Times New Roman" w:eastAsia="宋体" w:cs="Times New Roman"/>
          <w:spacing w:val="10"/>
          <w:sz w:val="24"/>
          <w:szCs w:val="21"/>
          <w:highlight w:val="none"/>
        </w:rPr>
        <w:t xml:space="preserve">  </w:t>
      </w:r>
      <w:r>
        <w:rPr>
          <w:rFonts w:hint="default" w:ascii="Times New Roman" w:hAnsi="Times New Roman" w:eastAsia="宋体" w:cs="宋体"/>
          <w:spacing w:val="-4"/>
          <w:sz w:val="24"/>
          <w:szCs w:val="21"/>
          <w:highlight w:val="none"/>
        </w:rPr>
        <w:t xml:space="preserve">能源托管费用基数</w:t>
      </w:r>
      <w:r/>
    </w:p>
    <w:p>
      <w:pPr>
        <w:ind w:firstLine="482"/>
        <w:spacing w:line="360" w:lineRule="auto"/>
        <w:rPr>
          <w:rFonts w:hint="default" w:ascii="Times New Roman" w:hAnsi="Times New Roman" w:eastAsia="宋体" w:cs="宋体"/>
          <w:spacing w:val="-1"/>
          <w:sz w:val="24"/>
          <w:szCs w:val="21"/>
          <w:highlight w:val="none"/>
        </w:rPr>
      </w:pPr>
      <w:r>
        <w:rPr>
          <w:rFonts w:hint="default" w:ascii="Times New Roman" w:hAnsi="Times New Roman" w:eastAsia="宋体" w:cs="宋体"/>
          <w:spacing w:val="-2"/>
          <w:sz w:val="24"/>
          <w:szCs w:val="21"/>
          <w:highlight w:val="none"/>
        </w:rPr>
        <w:t xml:space="preserve">能源托管项目根据能源基准和项目服务范围确</w:t>
      </w:r>
      <w:r>
        <w:rPr>
          <w:rFonts w:hint="default" w:ascii="Times New Roman" w:hAnsi="Times New Roman" w:eastAsia="宋体" w:cs="宋体"/>
          <w:spacing w:val="-3"/>
          <w:sz w:val="24"/>
          <w:szCs w:val="21"/>
          <w:highlight w:val="none"/>
        </w:rPr>
        <w:t xml:space="preserve">定的年度能源托管费用，可包括能源费用基数和运行</w:t>
      </w:r>
      <w:r>
        <w:rPr>
          <w:rFonts w:hint="default" w:ascii="Times New Roman" w:hAnsi="Times New Roman" w:eastAsia="宋体" w:cs="宋体"/>
          <w:spacing w:val="-2"/>
          <w:sz w:val="24"/>
          <w:szCs w:val="21"/>
          <w:highlight w:val="none"/>
        </w:rPr>
        <w:t xml:space="preserve">管理及维护费用基数等。其中，能源费用基数是指公共机构在基</w:t>
      </w:r>
      <w:r>
        <w:rPr>
          <w:rFonts w:hint="default" w:ascii="Times New Roman" w:hAnsi="Times New Roman" w:eastAsia="宋体" w:cs="宋体"/>
          <w:spacing w:val="-3"/>
          <w:sz w:val="24"/>
          <w:szCs w:val="21"/>
          <w:highlight w:val="none"/>
        </w:rPr>
        <w:t xml:space="preserve">准期所花费的能源费用；运行管理及维</w:t>
      </w:r>
      <w:r>
        <w:rPr>
          <w:rFonts w:hint="default" w:ascii="Times New Roman" w:hAnsi="Times New Roman" w:eastAsia="宋体" w:cs="宋体"/>
          <w:sz w:val="24"/>
          <w:szCs w:val="21"/>
          <w:highlight w:val="none"/>
        </w:rPr>
        <w:t xml:space="preserve">护费用基数是根据能源托管范围中所包含的能源系统运行、管理、维护维修范围确定的年度费</w:t>
      </w:r>
      <w:r>
        <w:rPr>
          <w:rFonts w:hint="default" w:ascii="Times New Roman" w:hAnsi="Times New Roman" w:eastAsia="宋体" w:cs="宋体"/>
          <w:spacing w:val="-1"/>
          <w:sz w:val="24"/>
          <w:szCs w:val="21"/>
          <w:highlight w:val="none"/>
        </w:rPr>
        <w:t xml:space="preserve">用</w:t>
      </w:r>
      <w:r>
        <w:rPr>
          <w:rFonts w:hint="eastAsia" w:ascii="Times New Roman" w:hAnsi="Times New Roman" w:eastAsia="宋体" w:cs="宋体"/>
          <w:spacing w:val="-1"/>
          <w:sz w:val="24"/>
          <w:szCs w:val="21"/>
          <w:highlight w:val="none"/>
        </w:rPr>
        <w:t xml:space="preserve">。</w:t>
      </w:r>
      <w:r/>
    </w:p>
    <w:p>
      <w:pPr>
        <w:spacing w:before="100" w:after="100"/>
        <w:rPr>
          <w:rFonts w:hint="default" w:ascii="Times New Roman" w:hAnsi="Times New Roman" w:eastAsia="黑体" w:cs="宋体"/>
          <w:sz w:val="28"/>
          <w:szCs w:val="21"/>
          <w:highlight w:val="none"/>
        </w:rPr>
        <w:outlineLvl w:val="0"/>
      </w:pPr>
      <w:r>
        <w:rPr>
          <w:rFonts w:hint="default" w:ascii="Times New Roman" w:hAnsi="Times New Roman" w:eastAsia="黑体" w:cs="宋体"/>
          <w:bCs/>
          <w:spacing w:val="-2"/>
          <w:sz w:val="28"/>
          <w:szCs w:val="21"/>
          <w:highlight w:val="none"/>
        </w:rPr>
        <w:t xml:space="preserve">第二条</w:t>
      </w:r>
      <w:r>
        <w:rPr>
          <w:rFonts w:hint="default" w:ascii="Times New Roman" w:hAnsi="Times New Roman" w:eastAsia="黑体" w:cs="宋体"/>
          <w:spacing w:val="-2"/>
          <w:sz w:val="28"/>
          <w:szCs w:val="21"/>
          <w:highlight w:val="none"/>
        </w:rPr>
        <w:t xml:space="preserve"> </w:t>
      </w:r>
      <w:r>
        <w:rPr>
          <w:rFonts w:hint="default" w:ascii="Times New Roman" w:hAnsi="Times New Roman" w:eastAsia="黑体" w:cs="宋体"/>
          <w:bCs/>
          <w:spacing w:val="-2"/>
          <w:sz w:val="28"/>
          <w:szCs w:val="21"/>
          <w:highlight w:val="none"/>
        </w:rPr>
        <w:t xml:space="preserve">托管项目基本情况</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2"/>
          <w:sz w:val="24"/>
          <w:szCs w:val="21"/>
          <w:highlight w:val="none"/>
        </w:rPr>
        <w:t xml:space="preserve">2.1  </w:t>
      </w:r>
      <w:r>
        <w:rPr>
          <w:rFonts w:hint="default" w:ascii="Times New Roman" w:hAnsi="Times New Roman" w:eastAsia="宋体" w:cs="宋体"/>
          <w:spacing w:val="-2"/>
          <w:sz w:val="24"/>
          <w:szCs w:val="21"/>
          <w:highlight w:val="none"/>
        </w:rPr>
        <w:t xml:space="preserve">托管项目的房屋建筑设施系甲方的经营办公场所，</w:t>
      </w:r>
      <w:r>
        <w:rPr>
          <w:rFonts w:hint="default" w:ascii="Times New Roman" w:hAnsi="Times New Roman" w:eastAsia="宋体" w:cs="宋体"/>
          <w:spacing w:val="-37"/>
          <w:sz w:val="24"/>
          <w:szCs w:val="21"/>
          <w:highlight w:val="none"/>
        </w:rPr>
        <w:t xml:space="preserve"> </w:t>
      </w:r>
      <w:r>
        <w:rPr>
          <w:rFonts w:hint="default" w:ascii="Times New Roman" w:hAnsi="Times New Roman" w:eastAsia="宋体" w:cs="宋体"/>
          <w:spacing w:val="-2"/>
          <w:sz w:val="24"/>
          <w:szCs w:val="21"/>
          <w:highlight w:val="none"/>
        </w:rPr>
        <w:t xml:space="preserve">位于</w:t>
      </w:r>
      <w:r>
        <w:rPr>
          <w:rFonts w:hint="default" w:ascii="Times New Roman" w:hAnsi="Times New Roman" w:eastAsia="宋体" w:cs="宋体"/>
          <w:spacing w:val="-105"/>
          <w:sz w:val="24"/>
          <w:szCs w:val="21"/>
          <w:highlight w:val="none"/>
        </w:rPr>
        <w:t xml:space="preserve"> </w:t>
      </w:r>
      <w:r>
        <w:rPr>
          <w:rFonts w:hint="default" w:ascii="Times New Roman" w:hAnsi="Times New Roman" w:eastAsia="宋体" w:cs="宋体"/>
          <w:spacing w:val="-2"/>
          <w:sz w:val="24"/>
          <w:szCs w:val="21"/>
          <w:highlight w:val="none"/>
          <w:u w:val="single"/>
        </w:rPr>
        <w:t xml:space="preserve"> </w:t>
      </w:r>
      <w:r>
        <w:rPr>
          <w:rFonts w:hint="eastAsia" w:ascii="Times New Roman" w:hAnsi="Times New Roman" w:eastAsia="宋体" w:cs="宋体"/>
          <w:spacing w:val="-2"/>
          <w:sz w:val="24"/>
          <w:szCs w:val="21"/>
          <w:highlight w:val="none"/>
          <w:u w:val="single"/>
        </w:rPr>
        <w:t xml:space="preserve"> </w:t>
      </w:r>
      <w:r>
        <w:rPr>
          <w:rFonts w:hint="eastAsia" w:ascii="Times New Roman" w:hAnsi="Times New Roman" w:eastAsia="宋体" w:cs="Times New Roman"/>
          <w:sz w:val="24"/>
          <w:szCs w:val="22"/>
          <w:highlight w:val="none"/>
          <w:u w:val="single"/>
        </w:rPr>
        <w:t xml:space="preserve">          </w:t>
      </w:r>
      <w:r>
        <w:rPr>
          <w:rFonts w:hint="default" w:ascii="Times New Roman" w:hAnsi="Times New Roman" w:eastAsia="宋体" w:cs="宋体"/>
          <w:spacing w:val="-2"/>
          <w:sz w:val="24"/>
          <w:szCs w:val="21"/>
          <w:highlight w:val="none"/>
        </w:rPr>
        <w:t xml:space="preserve">，</w:t>
      </w:r>
      <w:r>
        <w:rPr>
          <w:rFonts w:hint="default" w:ascii="Times New Roman" w:hAnsi="Times New Roman" w:eastAsia="宋体" w:cs="宋体"/>
          <w:spacing w:val="-3"/>
          <w:sz w:val="24"/>
          <w:szCs w:val="21"/>
          <w:highlight w:val="none"/>
        </w:rPr>
        <w:t xml:space="preserve">相关建设、运营等手续合</w:t>
      </w:r>
      <w:r>
        <w:rPr>
          <w:rFonts w:hint="default" w:ascii="Times New Roman" w:hAnsi="Times New Roman" w:eastAsia="宋体" w:cs="宋体"/>
          <w:spacing w:val="-5"/>
          <w:sz w:val="24"/>
          <w:szCs w:val="21"/>
          <w:highlight w:val="none"/>
        </w:rPr>
        <w:t xml:space="preserve">法、有效。托管项目区域内的供暖及制冷系统各项</w:t>
      </w:r>
      <w:r>
        <w:rPr>
          <w:rFonts w:hint="default" w:ascii="Times New Roman" w:hAnsi="Times New Roman" w:eastAsia="宋体" w:cs="宋体"/>
          <w:spacing w:val="-6"/>
          <w:sz w:val="24"/>
          <w:szCs w:val="21"/>
          <w:highlight w:val="none"/>
        </w:rPr>
        <w:t xml:space="preserve">申报、批准、验收手续齐全。如果上述手续尚不齐备，</w:t>
      </w:r>
      <w:r>
        <w:rPr>
          <w:rFonts w:hint="default" w:ascii="Times New Roman" w:hAnsi="Times New Roman" w:eastAsia="宋体" w:cs="宋体"/>
          <w:spacing w:val="-4"/>
          <w:sz w:val="24"/>
          <w:szCs w:val="21"/>
          <w:highlight w:val="none"/>
        </w:rPr>
        <w:t xml:space="preserve">由甲方负责完善。</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2"/>
          <w:sz w:val="24"/>
          <w:szCs w:val="21"/>
          <w:highlight w:val="none"/>
        </w:rPr>
        <w:t xml:space="preserve">2.2  </w:t>
      </w:r>
      <w:r>
        <w:rPr>
          <w:rFonts w:hint="default" w:ascii="Times New Roman" w:hAnsi="Times New Roman" w:eastAsia="宋体" w:cs="宋体"/>
          <w:spacing w:val="-2"/>
          <w:sz w:val="24"/>
          <w:szCs w:val="21"/>
          <w:highlight w:val="none"/>
        </w:rPr>
        <w:t xml:space="preserve">托管项目的用能建筑情况：本项目建筑主要有</w:t>
      </w:r>
      <w:r>
        <w:rPr>
          <w:rFonts w:hint="default" w:ascii="Times New Roman" w:hAnsi="Times New Roman" w:eastAsia="宋体" w:cs="宋体"/>
          <w:spacing w:val="-101"/>
          <w:sz w:val="24"/>
          <w:szCs w:val="21"/>
          <w:highlight w:val="none"/>
        </w:rPr>
        <w:t xml:space="preserve"> </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pacing w:val="-90"/>
          <w:sz w:val="24"/>
          <w:szCs w:val="21"/>
          <w:highlight w:val="none"/>
        </w:rPr>
        <w:t xml:space="preserve"> </w:t>
      </w:r>
      <w:r>
        <w:rPr>
          <w:rFonts w:hint="default" w:ascii="Times New Roman" w:hAnsi="Times New Roman" w:eastAsia="宋体" w:cs="宋体"/>
          <w:spacing w:val="-2"/>
          <w:sz w:val="24"/>
          <w:szCs w:val="21"/>
          <w:highlight w:val="none"/>
        </w:rPr>
        <w:t xml:space="preserve">栋</w:t>
      </w:r>
      <w:r>
        <w:rPr>
          <w:rFonts w:hint="eastAsia" w:ascii="Times New Roman" w:hAnsi="Times New Roman" w:eastAsia="宋体" w:cs="宋体"/>
          <w:spacing w:val="-2"/>
          <w:sz w:val="24"/>
          <w:szCs w:val="21"/>
          <w:highlight w:val="none"/>
        </w:rPr>
        <w:t xml:space="preserve">，</w:t>
      </w:r>
      <w:r>
        <w:rPr>
          <w:rFonts w:hint="default" w:ascii="Times New Roman" w:hAnsi="Times New Roman" w:eastAsia="宋体" w:cs="宋体"/>
          <w:spacing w:val="-3"/>
          <w:sz w:val="24"/>
          <w:szCs w:val="21"/>
          <w:highlight w:val="none"/>
        </w:rPr>
        <w:t xml:space="preserve">项</w:t>
      </w:r>
      <w:r>
        <w:rPr>
          <w:rFonts w:hint="eastAsia" w:ascii="Times New Roman" w:hAnsi="Times New Roman" w:eastAsia="宋体" w:cs="宋体"/>
          <w:spacing w:val="-3"/>
          <w:sz w:val="24"/>
          <w:szCs w:val="21"/>
          <w:highlight w:val="none"/>
        </w:rPr>
        <w:t xml:space="preserve">目</w:t>
      </w:r>
      <w:r>
        <w:rPr>
          <w:rFonts w:hint="default" w:ascii="Times New Roman" w:hAnsi="Times New Roman" w:eastAsia="宋体" w:cs="宋体"/>
          <w:spacing w:val="-3"/>
          <w:sz w:val="24"/>
          <w:szCs w:val="21"/>
          <w:highlight w:val="none"/>
        </w:rPr>
        <w:t xml:space="preserve">总建筑面积为</w:t>
      </w:r>
      <w:r>
        <w:rPr>
          <w:rFonts w:hint="default" w:ascii="Times New Roman" w:hAnsi="Times New Roman" w:eastAsia="宋体" w:cs="宋体"/>
          <w:spacing w:val="-3"/>
          <w:sz w:val="24"/>
          <w:szCs w:val="21"/>
          <w:highlight w:val="none"/>
          <w:u w:val="single"/>
        </w:rPr>
        <w:t xml:space="preserve"> </w:t>
      </w:r>
      <w:r>
        <w:rPr>
          <w:rFonts w:hint="eastAsia" w:ascii="Times New Roman" w:hAnsi="Times New Roman" w:eastAsia="宋体" w:cs="Times New Roman"/>
          <w:sz w:val="24"/>
          <w:szCs w:val="22"/>
          <w:highlight w:val="none"/>
          <w:u w:val="single"/>
        </w:rPr>
        <w:t xml:space="preserve">   </w:t>
      </w:r>
      <w:r>
        <w:rPr>
          <w:rFonts w:hint="default" w:ascii="Times New Roman" w:hAnsi="Times New Roman" w:eastAsia="宋体" w:cs="宋体"/>
          <w:spacing w:val="-3"/>
          <w:sz w:val="24"/>
          <w:szCs w:val="21"/>
          <w:highlight w:val="none"/>
          <w:u w:val="single"/>
        </w:rPr>
        <w:t xml:space="preserve"> </w:t>
      </w:r>
      <w:r>
        <w:rPr>
          <w:rFonts w:hint="default" w:ascii="Times New Roman" w:hAnsi="Times New Roman" w:eastAsia="宋体" w:cs="宋体"/>
          <w:spacing w:val="-88"/>
          <w:sz w:val="24"/>
          <w:szCs w:val="21"/>
          <w:highlight w:val="none"/>
        </w:rPr>
        <w:t xml:space="preserve"> </w:t>
      </w:r>
      <w:r>
        <w:rPr>
          <w:rFonts w:hint="default" w:ascii="Times New Roman" w:hAnsi="Times New Roman" w:eastAsia="宋体" w:cs="宋体"/>
          <w:spacing w:val="-3"/>
          <w:sz w:val="24"/>
          <w:szCs w:val="21"/>
          <w:highlight w:val="none"/>
        </w:rPr>
        <w:t xml:space="preserve">㎡。</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1"/>
          <w:sz w:val="24"/>
          <w:szCs w:val="21"/>
          <w:highlight w:val="none"/>
        </w:rPr>
        <w:t xml:space="preserve">2.3  </w:t>
      </w:r>
      <w:r>
        <w:rPr>
          <w:rFonts w:hint="default" w:ascii="Times New Roman" w:hAnsi="Times New Roman" w:eastAsia="宋体" w:cs="宋体"/>
          <w:spacing w:val="-1"/>
          <w:sz w:val="24"/>
          <w:szCs w:val="21"/>
          <w:highlight w:val="none"/>
        </w:rPr>
        <w:t xml:space="preserve">托管项目的能源种类范围：本项目能源托管的范围包括政</w:t>
      </w:r>
      <w:r>
        <w:rPr>
          <w:rFonts w:hint="default" w:ascii="Times New Roman" w:hAnsi="Times New Roman" w:eastAsia="宋体" w:cs="宋体"/>
          <w:spacing w:val="-2"/>
          <w:sz w:val="24"/>
          <w:szCs w:val="21"/>
          <w:highlight w:val="none"/>
        </w:rPr>
        <w:t xml:space="preserve">府自行缴纳费用的</w:t>
      </w:r>
      <w:r>
        <w:rPr>
          <w:rFonts w:hint="default" w:ascii="Times New Roman" w:hAnsi="Times New Roman" w:eastAsia="宋体" w:cs="宋体"/>
          <w:spacing w:val="-104"/>
          <w:sz w:val="24"/>
          <w:szCs w:val="21"/>
          <w:highlight w:val="none"/>
        </w:rPr>
        <w:t xml:space="preserve"> </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电、水、天然气</w:t>
      </w:r>
      <w:r>
        <w:rPr>
          <w:rFonts w:hint="default" w:ascii="Times New Roman" w:hAnsi="Times New Roman" w:eastAsia="宋体" w:cs="宋体"/>
          <w:spacing w:val="-2"/>
          <w:sz w:val="24"/>
          <w:szCs w:val="21"/>
          <w:highlight w:val="none"/>
        </w:rPr>
        <w:t xml:space="preserve">等</w:t>
      </w:r>
      <w:r>
        <w:rPr>
          <w:rFonts w:hint="eastAsia" w:ascii="Times New Roman" w:hAnsi="Times New Roman" w:eastAsia="宋体" w:cs="宋体"/>
          <w:spacing w:val="-2"/>
          <w:sz w:val="24"/>
          <w:szCs w:val="21"/>
          <w:highlight w:val="none"/>
        </w:rPr>
        <w:t xml:space="preserve">能源</w:t>
      </w:r>
      <w:r>
        <w:rPr>
          <w:rFonts w:hint="default" w:ascii="Times New Roman" w:hAnsi="Times New Roman" w:eastAsia="宋体" w:cs="宋体"/>
          <w:spacing w:val="-1"/>
          <w:sz w:val="24"/>
          <w:szCs w:val="21"/>
          <w:highlight w:val="none"/>
        </w:rPr>
        <w:t xml:space="preserve">形式，政府其他能源费用不在本次托管范围内。</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5"/>
          <w:sz w:val="24"/>
          <w:szCs w:val="21"/>
          <w:highlight w:val="none"/>
        </w:rPr>
        <w:t xml:space="preserve">2.4  </w:t>
      </w:r>
      <w:r>
        <w:rPr>
          <w:rFonts w:hint="default" w:ascii="Times New Roman" w:hAnsi="Times New Roman" w:eastAsia="宋体" w:cs="宋体"/>
          <w:spacing w:val="-5"/>
          <w:sz w:val="24"/>
          <w:szCs w:val="21"/>
          <w:highlight w:val="none"/>
        </w:rPr>
        <w:t xml:space="preserve">托管项目的能源系统设备设施：供能设备包括供暖设备、制冷设</w:t>
      </w:r>
      <w:r>
        <w:rPr>
          <w:rFonts w:hint="default" w:ascii="Times New Roman" w:hAnsi="Times New Roman" w:eastAsia="宋体" w:cs="宋体"/>
          <w:spacing w:val="-6"/>
          <w:sz w:val="24"/>
          <w:szCs w:val="21"/>
          <w:highlight w:val="none"/>
        </w:rPr>
        <w:t xml:space="preserve">备、配电室设备。</w:t>
      </w:r>
      <w:r>
        <w:rPr>
          <w:rFonts w:hint="default" w:ascii="Times New Roman" w:hAnsi="Times New Roman" w:eastAsia="宋体" w:cs="宋体"/>
          <w:spacing w:val="-3"/>
          <w:sz w:val="24"/>
          <w:szCs w:val="21"/>
          <w:highlight w:val="none"/>
        </w:rPr>
        <w:t xml:space="preserve">用能设备包括冬季取暖供热、夏季空调供冷的建筑设施，生活、生产、工作用电等设施。</w:t>
      </w:r>
      <w:r/>
    </w:p>
    <w:p>
      <w:pPr>
        <w:ind w:firstLine="482"/>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1"/>
          <w:highlight w:val="none"/>
        </w:rPr>
        <w:t xml:space="preserve">2.5  </w:t>
      </w:r>
      <w:r>
        <w:rPr>
          <w:rFonts w:hint="default" w:ascii="Times New Roman" w:hAnsi="Times New Roman" w:eastAsia="宋体" w:cs="宋体"/>
          <w:sz w:val="24"/>
          <w:szCs w:val="21"/>
          <w:highlight w:val="none"/>
        </w:rPr>
        <w:t xml:space="preserve">托管项目的用能时间及要求</w:t>
      </w:r>
      <w:r/>
    </w:p>
    <w:tbl>
      <w:tblPr>
        <w:tblStyle w:val="887"/>
        <w:tblW w:w="8393"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8"/>
        <w:gridCol w:w="1704"/>
        <w:gridCol w:w="1674"/>
        <w:gridCol w:w="1659"/>
        <w:gridCol w:w="1778"/>
      </w:tblGrid>
      <w:tr>
        <w:trPr>
          <w:trHeight w:val="352"/>
        </w:trPr>
        <w:tc>
          <w:tcPr>
            <w:tcW w:w="1578" w:type="dxa"/>
            <w:vAlign w:val="center"/>
            <w:textDirection w:val="lrTb"/>
            <w:noWrap w:val="false"/>
          </w:tcPr>
          <w:p>
            <w:pPr>
              <w:pStyle w:val="1323"/>
              <w:jc w:val="center"/>
              <w:spacing w:before="32" w:line="207" w:lineRule="auto"/>
              <w:rPr>
                <w:rFonts w:hint="default" w:ascii="Times New Roman" w:hAnsi="Times New Roman" w:eastAsia="宋体"/>
                <w:highlight w:val="none"/>
              </w:rPr>
            </w:pPr>
            <w:r>
              <w:rPr>
                <w:rFonts w:hint="eastAsia" w:ascii="Times New Roman" w:hAnsi="Times New Roman" w:eastAsia="宋体"/>
                <w:spacing w:val="-2"/>
                <w:highlight w:val="none"/>
              </w:rPr>
              <w:t xml:space="preserve">供冷</w:t>
            </w:r>
            <w:r>
              <w:rPr>
                <w:rFonts w:hint="eastAsia" w:ascii="Times New Roman" w:hAnsi="Times New Roman"/>
                <w:spacing w:val="-2"/>
                <w:highlight w:val="none"/>
                <w:lang w:val="en-US" w:eastAsia="zh-CN"/>
              </w:rPr>
              <w:t xml:space="preserve">开始</w:t>
            </w:r>
            <w:r>
              <w:rPr>
                <w:rFonts w:hint="eastAsia" w:ascii="Times New Roman" w:hAnsi="Times New Roman" w:eastAsia="宋体"/>
                <w:spacing w:val="-2"/>
                <w:highlight w:val="none"/>
              </w:rPr>
              <w:t xml:space="preserve">条件</w:t>
            </w:r>
            <w:r/>
          </w:p>
        </w:tc>
        <w:tc>
          <w:tcPr>
            <w:gridSpan w:val="4"/>
            <w:tcW w:w="6815" w:type="dxa"/>
            <w:vAlign w:val="center"/>
            <w:textDirection w:val="lrTb"/>
            <w:noWrap w:val="false"/>
          </w:tcPr>
          <w:p>
            <w:pPr>
              <w:jc w:val="center"/>
              <w:spacing w:line="234" w:lineRule="exact"/>
              <w:rPr>
                <w:rFonts w:hint="default" w:ascii="Times New Roman" w:hAnsi="Times New Roman" w:eastAsia="宋体" w:cs="宋体"/>
                <w:sz w:val="20"/>
                <w:szCs w:val="22"/>
                <w:highlight w:val="none"/>
              </w:rPr>
            </w:pPr>
            <w:r>
              <w:rPr>
                <w:rFonts w:hint="default" w:ascii="Times New Roman" w:hAnsi="Times New Roman" w:eastAsia="宋体" w:cs="宋体"/>
                <w:sz w:val="19"/>
                <w:szCs w:val="22"/>
                <w:highlight w:val="none"/>
                <w:lang w:val="en-US" w:eastAsia="zh-CN"/>
              </w:rPr>
              <w:t xml:space="preserve">室外最高气温连续 3 天&gt;28 ℃或当天&gt;31 ℃</w:t>
            </w:r>
            <w:r/>
          </w:p>
        </w:tc>
      </w:tr>
      <w:tr>
        <w:trPr>
          <w:trHeight w:val="338"/>
        </w:trPr>
        <w:tc>
          <w:tcPr>
            <w:tcW w:w="1578" w:type="dxa"/>
            <w:vAlign w:val="center"/>
            <w:textDirection w:val="lrTb"/>
            <w:noWrap w:val="false"/>
          </w:tcPr>
          <w:p>
            <w:pPr>
              <w:pStyle w:val="1323"/>
              <w:jc w:val="center"/>
              <w:spacing w:before="26" w:line="206" w:lineRule="auto"/>
              <w:rPr>
                <w:rFonts w:hint="default" w:ascii="Times New Roman" w:hAnsi="Times New Roman" w:eastAsia="宋体"/>
                <w:highlight w:val="none"/>
              </w:rPr>
            </w:pPr>
            <w:r>
              <w:rPr>
                <w:rFonts w:hint="default" w:ascii="Times New Roman" w:hAnsi="Times New Roman" w:eastAsia="宋体"/>
                <w:highlight w:val="none"/>
                <w:lang w:val="en-US" w:eastAsia="zh-CN"/>
              </w:rPr>
              <w:t xml:space="preserve">供冷结束条件</w:t>
            </w:r>
            <w:r/>
          </w:p>
        </w:tc>
        <w:tc>
          <w:tcPr>
            <w:gridSpan w:val="4"/>
            <w:tcW w:w="6815" w:type="dxa"/>
            <w:vAlign w:val="center"/>
            <w:textDirection w:val="lrTb"/>
            <w:noWrap w:val="false"/>
          </w:tcPr>
          <w:p>
            <w:pPr>
              <w:jc w:val="center"/>
              <w:spacing w:line="227" w:lineRule="exact"/>
              <w:rPr>
                <w:rFonts w:hint="default" w:ascii="Times New Roman" w:hAnsi="Times New Roman" w:eastAsia="宋体" w:cs="宋体"/>
                <w:sz w:val="19"/>
                <w:szCs w:val="22"/>
                <w:highlight w:val="none"/>
              </w:rPr>
            </w:pPr>
            <w:r>
              <w:rPr>
                <w:rFonts w:hint="default" w:ascii="Times New Roman" w:hAnsi="Times New Roman" w:eastAsia="宋体" w:cs="宋体"/>
                <w:sz w:val="20"/>
                <w:szCs w:val="22"/>
                <w:highlight w:val="none"/>
                <w:lang w:val="en-US" w:eastAsia="zh-CN"/>
              </w:rPr>
              <w:t xml:space="preserve">室外最高气温连续 3 天&lt;27 ℃或当天&lt;24 ℃</w:t>
            </w:r>
            <w:r/>
          </w:p>
        </w:tc>
      </w:tr>
      <w:tr>
        <w:trPr>
          <w:trHeight w:val="352"/>
        </w:trPr>
        <w:tc>
          <w:tcPr>
            <w:tcW w:w="1578" w:type="dxa"/>
            <w:vAlign w:val="center"/>
            <w:textDirection w:val="lrTb"/>
            <w:noWrap w:val="false"/>
          </w:tcPr>
          <w:p>
            <w:pPr>
              <w:pStyle w:val="1323"/>
              <w:jc w:val="center"/>
              <w:spacing w:before="26" w:line="208" w:lineRule="auto"/>
              <w:rPr>
                <w:rFonts w:hint="default" w:ascii="Times New Roman" w:hAnsi="Times New Roman" w:eastAsia="宋体"/>
                <w:highlight w:val="none"/>
              </w:rPr>
            </w:pPr>
            <w:r>
              <w:rPr>
                <w:rFonts w:hint="default" w:ascii="Times New Roman" w:hAnsi="Times New Roman" w:eastAsia="宋体"/>
                <w:highlight w:val="none"/>
                <w:lang w:val="en-US" w:eastAsia="zh-CN"/>
              </w:rPr>
              <w:t xml:space="preserve">供暖开始条件</w:t>
            </w:r>
            <w:r/>
          </w:p>
        </w:tc>
        <w:tc>
          <w:tcPr>
            <w:gridSpan w:val="4"/>
            <w:tcW w:w="6815" w:type="dxa"/>
            <w:vAlign w:val="center"/>
            <w:textDirection w:val="lrTb"/>
            <w:noWrap w:val="false"/>
          </w:tcPr>
          <w:p>
            <w:pPr>
              <w:jc w:val="center"/>
              <w:spacing w:line="229" w:lineRule="exact"/>
              <w:rPr>
                <w:rFonts w:hint="default" w:ascii="Times New Roman" w:hAnsi="Times New Roman" w:eastAsia="宋体" w:cs="宋体"/>
                <w:sz w:val="19"/>
                <w:szCs w:val="22"/>
                <w:highlight w:val="none"/>
              </w:rPr>
            </w:pPr>
            <w:r>
              <w:rPr>
                <w:rFonts w:hint="default" w:ascii="Times New Roman" w:hAnsi="Times New Roman" w:eastAsia="宋体" w:cs="宋体"/>
                <w:sz w:val="19"/>
                <w:szCs w:val="22"/>
                <w:highlight w:val="none"/>
                <w:lang w:val="en-US" w:eastAsia="zh-CN"/>
              </w:rPr>
              <w:t xml:space="preserve">室外最低气温连续 3 天&lt;13 ℃或当天&lt;10 ℃</w:t>
            </w:r>
            <w:r/>
          </w:p>
        </w:tc>
      </w:tr>
      <w:tr>
        <w:trPr>
          <w:trHeight w:val="352"/>
        </w:trPr>
        <w:tc>
          <w:tcPr>
            <w:tcW w:w="1578" w:type="dxa"/>
            <w:vAlign w:val="center"/>
            <w:textDirection w:val="lrTb"/>
            <w:noWrap w:val="false"/>
          </w:tcPr>
          <w:p>
            <w:pPr>
              <w:pStyle w:val="1323"/>
              <w:jc w:val="center"/>
              <w:spacing w:before="27" w:line="205" w:lineRule="auto"/>
              <w:rPr>
                <w:rFonts w:hint="default" w:ascii="Times New Roman" w:hAnsi="Times New Roman" w:eastAsia="宋体"/>
                <w:highlight w:val="none"/>
              </w:rPr>
            </w:pPr>
            <w:r>
              <w:rPr>
                <w:rFonts w:hint="default" w:ascii="Times New Roman" w:hAnsi="Times New Roman" w:eastAsia="宋体"/>
                <w:highlight w:val="none"/>
                <w:lang w:val="en-US" w:eastAsia="zh-CN"/>
              </w:rPr>
              <w:t xml:space="preserve">供暖结束条件</w:t>
            </w:r>
            <w:r/>
          </w:p>
        </w:tc>
        <w:tc>
          <w:tcPr>
            <w:gridSpan w:val="4"/>
            <w:tcW w:w="6815" w:type="dxa"/>
            <w:vAlign w:val="center"/>
            <w:textDirection w:val="lrTb"/>
            <w:noWrap w:val="false"/>
          </w:tcPr>
          <w:p>
            <w:pPr>
              <w:jc w:val="center"/>
              <w:spacing w:line="227" w:lineRule="exact"/>
              <w:rPr>
                <w:rFonts w:hint="default" w:ascii="Times New Roman" w:hAnsi="Times New Roman" w:eastAsia="宋体" w:cs="宋体"/>
                <w:sz w:val="19"/>
                <w:szCs w:val="22"/>
                <w:highlight w:val="none"/>
              </w:rPr>
            </w:pPr>
            <w:r>
              <w:rPr>
                <w:rFonts w:hint="default" w:ascii="Times New Roman" w:hAnsi="Times New Roman" w:eastAsia="宋体" w:cs="宋体"/>
                <w:sz w:val="19"/>
                <w:szCs w:val="22"/>
                <w:highlight w:val="none"/>
                <w:lang w:val="en-US" w:eastAsia="zh-CN"/>
              </w:rPr>
              <w:t xml:space="preserve">室外最低气温连续 3 天&gt;17 ℃或当天&gt;20 ℃</w:t>
            </w:r>
            <w:r/>
          </w:p>
        </w:tc>
      </w:tr>
      <w:tr>
        <w:trPr>
          <w:trHeight w:val="384"/>
        </w:trPr>
        <w:tc>
          <w:tcPr>
            <w:tcW w:w="1578" w:type="dxa"/>
            <w:vAlign w:val="center"/>
            <w:textDirection w:val="lrTb"/>
            <w:noWrap w:val="false"/>
          </w:tcPr>
          <w:p>
            <w:pPr>
              <w:pStyle w:val="1323"/>
              <w:jc w:val="center"/>
              <w:spacing w:before="27" w:line="207" w:lineRule="auto"/>
              <w:rPr>
                <w:rFonts w:hint="default" w:ascii="Times New Roman" w:hAnsi="Times New Roman" w:eastAsia="宋体"/>
                <w:highlight w:val="none"/>
              </w:rPr>
            </w:pPr>
            <w:r>
              <w:rPr>
                <w:rFonts w:hint="eastAsia" w:ascii="Times New Roman" w:hAnsi="Times New Roman" w:eastAsia="宋体"/>
                <w:spacing w:val="-3"/>
                <w:highlight w:val="none"/>
              </w:rPr>
              <w:t xml:space="preserve">空调标准</w:t>
            </w:r>
            <w:r/>
          </w:p>
        </w:tc>
        <w:tc>
          <w:tcPr>
            <w:gridSpan w:val="4"/>
            <w:tcW w:w="6815" w:type="dxa"/>
            <w:vAlign w:val="center"/>
            <w:textDirection w:val="lrTb"/>
            <w:noWrap w:val="false"/>
          </w:tcPr>
          <w:p>
            <w:pPr>
              <w:jc w:val="center"/>
              <w:spacing w:line="229" w:lineRule="exact"/>
              <w:rPr>
                <w:rFonts w:hint="eastAsia" w:ascii="Times New Roman" w:hAnsi="Times New Roman" w:eastAsia="宋体" w:cs="宋体"/>
                <w:sz w:val="18"/>
                <w:szCs w:val="18"/>
                <w:highlight w:val="none"/>
              </w:rPr>
            </w:pPr>
            <w:r>
              <w:rPr>
                <w:rFonts w:hint="eastAsia" w:cs="宋体"/>
                <w:sz w:val="18"/>
                <w:szCs w:val="18"/>
                <w:highlight w:val="none"/>
                <w:lang w:val="en-US" w:eastAsia="zh-CN"/>
              </w:rPr>
              <w:t xml:space="preserve">供冷时，</w:t>
            </w:r>
            <w:r>
              <w:rPr>
                <w:rFonts w:hint="eastAsia" w:ascii="Times New Roman" w:hAnsi="Times New Roman" w:eastAsia="宋体" w:cs="宋体"/>
                <w:sz w:val="18"/>
                <w:szCs w:val="18"/>
                <w:highlight w:val="none"/>
                <w:lang w:val="en-US" w:eastAsia="zh-CN"/>
              </w:rPr>
              <w:t xml:space="preserve">室内温度范围 26 ℃±2 ℃</w:t>
            </w:r>
            <w:r/>
          </w:p>
          <w:p>
            <w:pPr>
              <w:jc w:val="center"/>
              <w:spacing w:line="229" w:lineRule="exact"/>
              <w:rPr>
                <w:rFonts w:hint="default" w:ascii="Times New Roman" w:hAnsi="Times New Roman" w:eastAsia="宋体" w:cs="宋体"/>
                <w:sz w:val="19"/>
                <w:szCs w:val="22"/>
                <w:highlight w:val="none"/>
              </w:rPr>
            </w:pPr>
            <w:r>
              <w:rPr>
                <w:rFonts w:hint="default" w:ascii="Times New Roman" w:hAnsi="Times New Roman" w:eastAsia="宋体" w:cs="宋体"/>
                <w:sz w:val="19"/>
                <w:szCs w:val="22"/>
                <w:highlight w:val="none"/>
                <w:lang w:val="en-US" w:eastAsia="zh-CN"/>
              </w:rPr>
              <w:t xml:space="preserve">供暖时，室内温度范围 18 ℃±2 ℃</w:t>
            </w:r>
            <w:r/>
          </w:p>
        </w:tc>
      </w:tr>
      <w:tr>
        <w:trPr>
          <w:trHeight w:val="420"/>
        </w:trPr>
        <w:tc>
          <w:tcPr>
            <w:tcW w:w="1578" w:type="dxa"/>
            <w:vAlign w:val="center"/>
            <w:textDirection w:val="lrTb"/>
            <w:noWrap w:val="false"/>
          </w:tcPr>
          <w:p>
            <w:pPr>
              <w:pStyle w:val="1323"/>
              <w:jc w:val="center"/>
              <w:spacing w:before="28" w:line="204" w:lineRule="auto"/>
              <w:rPr>
                <w:rFonts w:hint="default" w:ascii="Times New Roman" w:hAnsi="Times New Roman" w:eastAsia="宋体"/>
                <w:highlight w:val="none"/>
              </w:rPr>
            </w:pPr>
            <w:r>
              <w:rPr>
                <w:rFonts w:hint="eastAsia" w:ascii="Times New Roman" w:hAnsi="Times New Roman" w:eastAsia="宋体"/>
                <w:spacing w:val="-2"/>
                <w:highlight w:val="none"/>
              </w:rPr>
              <w:t xml:space="preserve">卫生热水标准</w:t>
            </w:r>
            <w:r/>
          </w:p>
        </w:tc>
        <w:tc>
          <w:tcPr>
            <w:gridSpan w:val="4"/>
            <w:tcW w:w="6815" w:type="dxa"/>
            <w:vAlign w:val="center"/>
            <w:textDirection w:val="lrTb"/>
            <w:noWrap w:val="false"/>
          </w:tcPr>
          <w:p>
            <w:pPr>
              <w:jc w:val="center"/>
              <w:spacing w:line="227" w:lineRule="exact"/>
              <w:rPr>
                <w:rFonts w:hint="default" w:ascii="Times New Roman" w:hAnsi="Times New Roman" w:eastAsia="宋体" w:cs="宋体"/>
                <w:sz w:val="19"/>
                <w:szCs w:val="22"/>
                <w:highlight w:val="none"/>
              </w:rPr>
            </w:pPr>
            <w:r>
              <w:rPr>
                <w:rFonts w:hint="eastAsia" w:ascii="Times New Roman" w:hAnsi="Times New Roman" w:eastAsia="宋体" w:cs="宋体"/>
                <w:sz w:val="19"/>
                <w:szCs w:val="22"/>
                <w:highlight w:val="none"/>
              </w:rPr>
              <w:t xml:space="preserve">夏季温度范围45度±5度，冬季温度范围50度±5度</w:t>
            </w:r>
            <w:r/>
          </w:p>
        </w:tc>
      </w:tr>
      <w:tr>
        <w:trPr>
          <w:trHeight w:val="367"/>
        </w:trPr>
        <w:tc>
          <w:tcPr>
            <w:tcW w:w="1578" w:type="dxa"/>
            <w:vAlign w:val="center"/>
            <w:textDirection w:val="lrTb"/>
            <w:noWrap w:val="false"/>
          </w:tcPr>
          <w:p>
            <w:pPr>
              <w:pStyle w:val="1323"/>
              <w:jc w:val="center"/>
              <w:spacing w:before="28" w:line="204" w:lineRule="auto"/>
              <w:rPr>
                <w:rFonts w:hint="default" w:ascii="Times New Roman" w:hAnsi="Times New Roman" w:eastAsia="宋体"/>
                <w:highlight w:val="none"/>
              </w:rPr>
            </w:pPr>
            <w:r>
              <w:rPr>
                <w:rFonts w:hint="eastAsia" w:ascii="Times New Roman" w:hAnsi="Times New Roman" w:eastAsia="宋体"/>
                <w:spacing w:val="-2"/>
                <w:highlight w:val="none"/>
              </w:rPr>
              <w:t xml:space="preserve">蒸汽标准</w:t>
            </w:r>
            <w:r/>
          </w:p>
        </w:tc>
        <w:tc>
          <w:tcPr>
            <w:gridSpan w:val="4"/>
            <w:tcW w:w="6815" w:type="dxa"/>
            <w:vAlign w:val="center"/>
            <w:textDirection w:val="lrTb"/>
            <w:noWrap w:val="false"/>
          </w:tcPr>
          <w:p>
            <w:pPr>
              <w:jc w:val="center"/>
              <w:spacing w:line="227" w:lineRule="exact"/>
              <w:rPr>
                <w:rFonts w:hint="default" w:ascii="Times New Roman" w:hAnsi="Times New Roman" w:eastAsia="宋体" w:cs="宋体"/>
                <w:sz w:val="19"/>
                <w:szCs w:val="22"/>
                <w:highlight w:val="none"/>
              </w:rPr>
            </w:pPr>
            <w:r>
              <w:rPr>
                <w:rFonts w:hint="eastAsia" w:ascii="Times New Roman" w:hAnsi="Times New Roman" w:eastAsia="宋体" w:cs="宋体"/>
                <w:sz w:val="19"/>
                <w:szCs w:val="22"/>
                <w:highlight w:val="none"/>
              </w:rPr>
              <w:t xml:space="preserve"> /</w:t>
            </w:r>
            <w:r/>
          </w:p>
        </w:tc>
      </w:tr>
      <w:tr>
        <w:trPr>
          <w:trHeight w:val="352"/>
        </w:trPr>
        <w:tc>
          <w:tcPr>
            <w:tcBorders>
              <w:bottom w:val="none" w:color="000000" w:sz="4" w:space="0"/>
            </w:tcBorders>
            <w:tcW w:w="1578" w:type="dxa"/>
            <w:vAlign w:val="center"/>
            <w:vMerge w:val="restart"/>
            <w:textDirection w:val="lrTb"/>
            <w:noWrap w:val="false"/>
          </w:tcPr>
          <w:p>
            <w:pPr>
              <w:pStyle w:val="1323"/>
              <w:jc w:val="center"/>
              <w:spacing w:before="139" w:line="219" w:lineRule="auto"/>
              <w:rPr>
                <w:rFonts w:hint="default" w:ascii="Times New Roman" w:hAnsi="Times New Roman" w:eastAsia="宋体"/>
                <w:highlight w:val="none"/>
              </w:rPr>
            </w:pPr>
            <w:r>
              <w:rPr>
                <w:rFonts w:hint="eastAsia" w:ascii="Times New Roman" w:hAnsi="Times New Roman" w:eastAsia="宋体"/>
                <w:spacing w:val="-8"/>
                <w:highlight w:val="none"/>
              </w:rPr>
              <w:t xml:space="preserve">日供时段</w:t>
            </w:r>
            <w:r/>
          </w:p>
        </w:tc>
        <w:tc>
          <w:tcPr>
            <w:tcW w:w="1704" w:type="dxa"/>
            <w:vAlign w:val="center"/>
            <w:textDirection w:val="lrTb"/>
            <w:noWrap w:val="false"/>
          </w:tcPr>
          <w:p>
            <w:pPr>
              <w:pStyle w:val="1323"/>
              <w:ind w:left="675"/>
              <w:jc w:val="both"/>
              <w:spacing w:before="31" w:line="203" w:lineRule="auto"/>
              <w:rPr>
                <w:rFonts w:hint="default" w:ascii="Times New Roman" w:hAnsi="Times New Roman" w:eastAsia="宋体"/>
                <w:highlight w:val="none"/>
              </w:rPr>
            </w:pPr>
            <w:r>
              <w:rPr>
                <w:rFonts w:hint="eastAsia" w:ascii="Times New Roman" w:hAnsi="Times New Roman" w:eastAsia="宋体"/>
                <w:spacing w:val="-2"/>
                <w:highlight w:val="none"/>
              </w:rPr>
              <w:t xml:space="preserve">供冷</w:t>
            </w:r>
            <w:r/>
          </w:p>
        </w:tc>
        <w:tc>
          <w:tcPr>
            <w:tcW w:w="1674" w:type="dxa"/>
            <w:vAlign w:val="center"/>
            <w:textDirection w:val="lrTb"/>
            <w:noWrap w:val="false"/>
          </w:tcPr>
          <w:p>
            <w:pPr>
              <w:pStyle w:val="1323"/>
              <w:ind w:left="661"/>
              <w:jc w:val="both"/>
              <w:spacing w:before="31" w:line="203" w:lineRule="auto"/>
              <w:rPr>
                <w:rFonts w:hint="default" w:ascii="Times New Roman" w:hAnsi="Times New Roman" w:eastAsia="宋体"/>
                <w:highlight w:val="none"/>
              </w:rPr>
            </w:pPr>
            <w:r>
              <w:rPr>
                <w:rFonts w:hint="eastAsia" w:ascii="Times New Roman" w:hAnsi="Times New Roman" w:eastAsia="宋体"/>
                <w:spacing w:val="-2"/>
                <w:highlight w:val="none"/>
              </w:rPr>
              <w:t xml:space="preserve">供热</w:t>
            </w:r>
            <w:r/>
          </w:p>
        </w:tc>
        <w:tc>
          <w:tcPr>
            <w:tcW w:w="1659" w:type="dxa"/>
            <w:vAlign w:val="center"/>
            <w:textDirection w:val="lrTb"/>
            <w:noWrap w:val="false"/>
          </w:tcPr>
          <w:p>
            <w:pPr>
              <w:pStyle w:val="1323"/>
              <w:jc w:val="center"/>
              <w:spacing w:before="31" w:line="203" w:lineRule="auto"/>
              <w:rPr>
                <w:rFonts w:hint="default" w:ascii="Times New Roman" w:hAnsi="Times New Roman" w:eastAsia="宋体"/>
                <w:highlight w:val="none"/>
              </w:rPr>
            </w:pPr>
            <w:r>
              <w:rPr>
                <w:rFonts w:hint="eastAsia" w:ascii="Times New Roman" w:hAnsi="Times New Roman" w:eastAsia="宋体"/>
                <w:spacing w:val="-2"/>
                <w:highlight w:val="none"/>
              </w:rPr>
              <w:t xml:space="preserve">卫生热水</w:t>
            </w:r>
            <w:r/>
          </w:p>
        </w:tc>
        <w:tc>
          <w:tcPr>
            <w:tcW w:w="1778" w:type="dxa"/>
            <w:vAlign w:val="center"/>
            <w:textDirection w:val="lrTb"/>
            <w:noWrap w:val="false"/>
          </w:tcPr>
          <w:p>
            <w:pPr>
              <w:pStyle w:val="1323"/>
              <w:jc w:val="center"/>
              <w:spacing w:before="31" w:line="203" w:lineRule="auto"/>
              <w:rPr>
                <w:rFonts w:hint="default" w:ascii="Times New Roman" w:hAnsi="Times New Roman" w:eastAsia="宋体"/>
                <w:highlight w:val="none"/>
              </w:rPr>
            </w:pPr>
            <w:r>
              <w:rPr>
                <w:rFonts w:hint="eastAsia" w:ascii="Times New Roman" w:hAnsi="Times New Roman" w:eastAsia="宋体"/>
                <w:spacing w:val="-3"/>
                <w:highlight w:val="none"/>
              </w:rPr>
              <w:t xml:space="preserve">蒸汽</w:t>
            </w:r>
            <w:r/>
          </w:p>
        </w:tc>
      </w:tr>
      <w:tr>
        <w:trPr>
          <w:trHeight w:val="352"/>
        </w:trPr>
        <w:tc>
          <w:tcPr>
            <w:tcBorders>
              <w:top w:val="none" w:color="000000" w:sz="4" w:space="0"/>
            </w:tcBorders>
            <w:tcW w:w="1578" w:type="dxa"/>
            <w:vAlign w:val="center"/>
            <w:vMerge w:val="continue"/>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1704" w:type="dxa"/>
            <w:vAlign w:val="center"/>
            <w:textDirection w:val="lrTb"/>
            <w:noWrap w:val="false"/>
          </w:tcPr>
          <w:p>
            <w:pPr>
              <w:jc w:val="center"/>
              <w:spacing w:line="200" w:lineRule="exact"/>
              <w:rPr>
                <w:rFonts w:hint="default" w:ascii="Times New Roman" w:hAnsi="Times New Roman" w:eastAsia="宋体" w:cs="宋体"/>
                <w:sz w:val="17"/>
                <w:szCs w:val="22"/>
                <w:highlight w:val="none"/>
              </w:rPr>
            </w:pPr>
            <w:r>
              <w:rPr>
                <w:rFonts w:hint="eastAsia" w:ascii="Times New Roman" w:hAnsi="Times New Roman" w:eastAsia="宋体" w:cs="宋体"/>
                <w:sz w:val="18"/>
                <w:szCs w:val="18"/>
                <w:highlight w:val="none"/>
              </w:rPr>
              <w:t xml:space="preserve">8:00 至 18:10</w:t>
            </w:r>
            <w:r/>
          </w:p>
        </w:tc>
        <w:tc>
          <w:tcPr>
            <w:tcW w:w="1674" w:type="dxa"/>
            <w:vAlign w:val="center"/>
            <w:textDirection w:val="lrTb"/>
            <w:noWrap w:val="false"/>
          </w:tcPr>
          <w:p>
            <w:pPr>
              <w:jc w:val="center"/>
              <w:spacing w:line="200" w:lineRule="exact"/>
              <w:rPr>
                <w:rFonts w:hint="default" w:ascii="Times New Roman" w:hAnsi="Times New Roman" w:eastAsia="宋体" w:cs="宋体"/>
                <w:sz w:val="17"/>
                <w:szCs w:val="22"/>
                <w:highlight w:val="none"/>
              </w:rPr>
            </w:pPr>
            <w:r>
              <w:rPr>
                <w:rFonts w:hint="eastAsia" w:ascii="Times New Roman" w:hAnsi="Times New Roman" w:eastAsia="宋体" w:cs="宋体"/>
                <w:sz w:val="18"/>
                <w:szCs w:val="18"/>
                <w:highlight w:val="none"/>
              </w:rPr>
              <w:t xml:space="preserve">8:00至 18:10</w:t>
            </w:r>
            <w:r/>
          </w:p>
        </w:tc>
        <w:tc>
          <w:tcPr>
            <w:tcW w:w="1659" w:type="dxa"/>
            <w:vAlign w:val="center"/>
            <w:textDirection w:val="lrTb"/>
            <w:noWrap w:val="false"/>
          </w:tcPr>
          <w:p>
            <w:pPr>
              <w:jc w:val="center"/>
              <w:spacing w:line="200" w:lineRule="exact"/>
              <w:rPr>
                <w:rFonts w:hint="default" w:ascii="Times New Roman" w:hAnsi="Times New Roman" w:eastAsia="宋体" w:cs="宋体"/>
                <w:sz w:val="17"/>
                <w:szCs w:val="22"/>
                <w:highlight w:val="none"/>
              </w:rPr>
            </w:pPr>
            <w:r>
              <w:rPr>
                <w:rFonts w:hint="eastAsia" w:ascii="Times New Roman" w:hAnsi="Times New Roman" w:eastAsia="宋体" w:cs="宋体"/>
                <w:sz w:val="18"/>
                <w:szCs w:val="18"/>
                <w:highlight w:val="none"/>
              </w:rPr>
              <w:t xml:space="preserve">8:00至 18:10</w:t>
            </w:r>
            <w:r/>
          </w:p>
        </w:tc>
        <w:tc>
          <w:tcPr>
            <w:tcW w:w="1778" w:type="dxa"/>
            <w:vAlign w:val="center"/>
            <w:textDirection w:val="lrTb"/>
            <w:noWrap w:val="false"/>
          </w:tcPr>
          <w:p>
            <w:pPr>
              <w:jc w:val="center"/>
              <w:spacing w:line="200" w:lineRule="exact"/>
              <w:rPr>
                <w:rFonts w:hint="default" w:ascii="Times New Roman" w:hAnsi="Times New Roman" w:eastAsia="宋体" w:cs="宋体"/>
                <w:sz w:val="17"/>
                <w:szCs w:val="22"/>
                <w:highlight w:val="none"/>
              </w:rPr>
            </w:pPr>
            <w:r>
              <w:rPr>
                <w:rFonts w:hint="eastAsia" w:ascii="Times New Roman" w:hAnsi="Times New Roman" w:eastAsia="宋体" w:cs="宋体"/>
                <w:sz w:val="18"/>
                <w:szCs w:val="18"/>
                <w:highlight w:val="none"/>
              </w:rPr>
              <w:t xml:space="preserve">/</w:t>
            </w:r>
            <w:r/>
          </w:p>
        </w:tc>
      </w:tr>
      <w:tr>
        <w:trPr>
          <w:trHeight w:val="352"/>
        </w:trPr>
        <w:tc>
          <w:tcPr>
            <w:tcW w:w="1578" w:type="dxa"/>
            <w:vAlign w:val="center"/>
            <w:textDirection w:val="lrTb"/>
            <w:noWrap w:val="false"/>
          </w:tcPr>
          <w:p>
            <w:pPr>
              <w:pStyle w:val="1323"/>
              <w:jc w:val="center"/>
              <w:spacing w:before="30" w:line="209" w:lineRule="auto"/>
              <w:rPr>
                <w:rFonts w:hint="default" w:ascii="Times New Roman" w:hAnsi="Times New Roman" w:eastAsia="宋体"/>
                <w:highlight w:val="none"/>
              </w:rPr>
            </w:pPr>
            <w:r>
              <w:rPr>
                <w:rFonts w:hint="eastAsia" w:ascii="Times New Roman" w:hAnsi="Times New Roman" w:eastAsia="宋体"/>
                <w:spacing w:val="-3"/>
                <w:highlight w:val="none"/>
              </w:rPr>
              <w:t xml:space="preserve">照明标准</w:t>
            </w:r>
            <w:r/>
          </w:p>
        </w:tc>
        <w:tc>
          <w:tcPr>
            <w:gridSpan w:val="4"/>
            <w:tcW w:w="6815" w:type="dxa"/>
            <w:vAlign w:val="center"/>
            <w:textDirection w:val="lrTb"/>
            <w:noWrap w:val="false"/>
          </w:tcPr>
          <w:p>
            <w:pPr>
              <w:jc w:val="center"/>
              <w:spacing w:line="234" w:lineRule="exact"/>
              <w:rPr>
                <w:rFonts w:hint="default" w:ascii="Times New Roman" w:hAnsi="Times New Roman" w:eastAsia="宋体" w:cs="宋体"/>
                <w:sz w:val="20"/>
                <w:szCs w:val="22"/>
                <w:highlight w:val="none"/>
              </w:rPr>
            </w:pPr>
            <w:r>
              <w:rPr>
                <w:rFonts w:hint="eastAsia" w:ascii="Times New Roman" w:hAnsi="Times New Roman" w:eastAsia="宋体" w:cs="宋体"/>
                <w:sz w:val="20"/>
                <w:szCs w:val="22"/>
                <w:highlight w:val="none"/>
              </w:rPr>
              <w:t xml:space="preserve">/ </w:t>
            </w:r>
            <w:r/>
          </w:p>
        </w:tc>
      </w:tr>
    </w:tbl>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2"/>
          <w:sz w:val="24"/>
          <w:szCs w:val="21"/>
          <w:highlight w:val="none"/>
        </w:rPr>
        <w:t xml:space="preserve">2.6  </w:t>
      </w:r>
      <w:r>
        <w:rPr>
          <w:rFonts w:hint="default" w:ascii="Times New Roman" w:hAnsi="Times New Roman" w:eastAsia="宋体" w:cs="宋体"/>
          <w:spacing w:val="-2"/>
          <w:sz w:val="24"/>
          <w:szCs w:val="21"/>
          <w:highlight w:val="none"/>
        </w:rPr>
        <w:t xml:space="preserve">托管项目的运维管理情况</w:t>
      </w:r>
      <w:r>
        <w:rPr>
          <w:rFonts w:hint="eastAsia" w:ascii="Times New Roman" w:hAnsi="Times New Roman" w:eastAsia="宋体" w:cs="宋体"/>
          <w:spacing w:val="-2"/>
          <w:sz w:val="24"/>
          <w:szCs w:val="21"/>
          <w:highlight w:val="none"/>
        </w:rPr>
        <w:t xml:space="preserve">：</w:t>
      </w:r>
      <w:r>
        <w:rPr>
          <w:rFonts w:hint="default" w:ascii="Times New Roman" w:hAnsi="Times New Roman" w:eastAsia="宋体" w:cs="宋体"/>
          <w:spacing w:val="-2"/>
          <w:sz w:val="24"/>
          <w:szCs w:val="21"/>
          <w:highlight w:val="none"/>
        </w:rPr>
        <w:t xml:space="preserve">甲方委托乙方对本项目</w:t>
      </w:r>
      <w:r>
        <w:rPr>
          <w:rFonts w:hint="default" w:ascii="Times New Roman" w:hAnsi="Times New Roman" w:eastAsia="宋体" w:cs="宋体"/>
          <w:spacing w:val="-95"/>
          <w:sz w:val="24"/>
          <w:szCs w:val="21"/>
          <w:highlight w:val="none"/>
        </w:rPr>
        <w:t xml:space="preserve"> </w:t>
      </w:r>
      <w:r>
        <w:rPr>
          <w:rFonts w:hint="default" w:ascii="Times New Roman" w:hAnsi="Times New Roman" w:eastAsia="宋体" w:cs="宋体"/>
          <w:spacing w:val="20"/>
          <w:sz w:val="24"/>
          <w:szCs w:val="21"/>
          <w:highlight w:val="none"/>
          <w:u w:val="single"/>
        </w:rPr>
        <w:t xml:space="preserve"> </w:t>
      </w:r>
      <w:r>
        <w:rPr>
          <w:rFonts w:hint="eastAsia" w:ascii="Times New Roman" w:hAnsi="Times New Roman" w:eastAsia="宋体" w:cs="宋体"/>
          <w:spacing w:val="20"/>
          <w:sz w:val="24"/>
          <w:szCs w:val="21"/>
          <w:highlight w:val="none"/>
          <w:u w:val="single"/>
        </w:rPr>
        <w:t xml:space="preserve">电、水、天然气</w:t>
      </w:r>
      <w:r>
        <w:rPr>
          <w:rFonts w:hint="default" w:ascii="Times New Roman" w:hAnsi="Times New Roman" w:eastAsia="宋体" w:cs="宋体"/>
          <w:spacing w:val="-67"/>
          <w:sz w:val="24"/>
          <w:szCs w:val="21"/>
          <w:highlight w:val="none"/>
        </w:rPr>
        <w:t xml:space="preserve"> </w:t>
      </w:r>
      <w:r>
        <w:rPr>
          <w:rFonts w:hint="default" w:ascii="Times New Roman" w:hAnsi="Times New Roman" w:eastAsia="宋体" w:cs="宋体"/>
          <w:spacing w:val="-2"/>
          <w:sz w:val="24"/>
          <w:szCs w:val="21"/>
          <w:highlight w:val="none"/>
        </w:rPr>
        <w:t xml:space="preserve">（用能系统）的设备及系统进行管理运营，设备开关及控制由</w:t>
      </w:r>
      <w:r>
        <w:rPr>
          <w:rFonts w:hint="default" w:ascii="Times New Roman" w:hAnsi="Times New Roman" w:eastAsia="宋体" w:cs="宋体"/>
          <w:spacing w:val="-2"/>
          <w:sz w:val="24"/>
          <w:szCs w:val="21"/>
          <w:highlight w:val="none"/>
          <w:u w:val="single"/>
        </w:rPr>
        <w:t xml:space="preserve"> </w:t>
      </w:r>
      <w:r>
        <w:rPr>
          <w:rFonts w:hint="eastAsia" w:ascii="Times New Roman" w:hAnsi="Times New Roman" w:eastAsia="宋体" w:cs="宋体"/>
          <w:spacing w:val="-2"/>
          <w:sz w:val="24"/>
          <w:szCs w:val="21"/>
          <w:highlight w:val="none"/>
          <w:u w:val="single"/>
        </w:rPr>
        <w:t xml:space="preserve">乙方 </w:t>
      </w:r>
      <w:r>
        <w:rPr>
          <w:rFonts w:hint="default" w:ascii="Times New Roman" w:hAnsi="Times New Roman" w:eastAsia="宋体" w:cs="宋体"/>
          <w:spacing w:val="-2"/>
          <w:sz w:val="24"/>
          <w:szCs w:val="21"/>
          <w:highlight w:val="none"/>
        </w:rPr>
        <w:t xml:space="preserve">负责</w:t>
      </w:r>
      <w:r>
        <w:rPr>
          <w:rFonts w:hint="default" w:ascii="Times New Roman" w:hAnsi="Times New Roman" w:eastAsia="宋体" w:cs="宋体"/>
          <w:spacing w:val="-3"/>
          <w:sz w:val="24"/>
          <w:szCs w:val="21"/>
          <w:highlight w:val="none"/>
        </w:rPr>
        <w:t xml:space="preserve">。</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2"/>
          <w:sz w:val="24"/>
          <w:szCs w:val="21"/>
          <w:highlight w:val="none"/>
        </w:rPr>
        <w:t xml:space="preserve">2.7  </w:t>
      </w:r>
      <w:r>
        <w:rPr>
          <w:rFonts w:hint="default" w:ascii="Times New Roman" w:hAnsi="Times New Roman" w:eastAsia="宋体" w:cs="宋体"/>
          <w:spacing w:val="-2"/>
          <w:sz w:val="24"/>
          <w:szCs w:val="21"/>
          <w:highlight w:val="none"/>
        </w:rPr>
        <w:t xml:space="preserve">托管项目区域内的用能建筑情况（2.2）和能源系统设备设施（2.</w:t>
      </w:r>
      <w:r>
        <w:rPr>
          <w:rFonts w:hint="eastAsia" w:ascii="Times New Roman" w:hAnsi="Times New Roman" w:eastAsia="宋体" w:cs="宋体"/>
          <w:spacing w:val="-2"/>
          <w:sz w:val="24"/>
          <w:szCs w:val="21"/>
          <w:highlight w:val="none"/>
        </w:rPr>
        <w:t xml:space="preserve">4）、</w:t>
      </w:r>
      <w:r>
        <w:rPr>
          <w:rFonts w:hint="default" w:ascii="Times New Roman" w:hAnsi="Times New Roman" w:eastAsia="宋体" w:cs="宋体"/>
          <w:spacing w:val="-2"/>
          <w:sz w:val="24"/>
          <w:szCs w:val="21"/>
          <w:highlight w:val="none"/>
        </w:rPr>
        <w:t xml:space="preserve">项目运维管理情况（2.6）</w:t>
      </w:r>
      <w:r>
        <w:rPr>
          <w:rFonts w:hint="eastAsia" w:ascii="Times New Roman" w:hAnsi="Times New Roman" w:eastAsia="宋体" w:cs="宋体"/>
          <w:spacing w:val="-2"/>
          <w:sz w:val="24"/>
          <w:szCs w:val="21"/>
          <w:highlight w:val="none"/>
        </w:rPr>
        <w:t xml:space="preserve">，</w:t>
      </w:r>
      <w:r>
        <w:rPr>
          <w:rFonts w:hint="default" w:ascii="Times New Roman" w:hAnsi="Times New Roman" w:eastAsia="宋体" w:cs="宋体"/>
          <w:spacing w:val="-2"/>
          <w:sz w:val="24"/>
          <w:szCs w:val="21"/>
          <w:highlight w:val="none"/>
        </w:rPr>
        <w:t xml:space="preserve">由三方进行逐一登记造册，形成</w:t>
      </w:r>
      <w:r>
        <w:rPr>
          <w:rFonts w:hint="eastAsia" w:ascii="Times New Roman" w:hAnsi="Times New Roman" w:eastAsia="宋体" w:cs="宋体"/>
          <w:spacing w:val="-2"/>
          <w:sz w:val="24"/>
          <w:szCs w:val="21"/>
          <w:highlight w:val="none"/>
        </w:rPr>
        <w:t xml:space="preserve">“</w:t>
      </w:r>
      <w:r>
        <w:rPr>
          <w:rFonts w:hint="default" w:ascii="Times New Roman" w:hAnsi="Times New Roman" w:eastAsia="宋体" w:cs="宋体"/>
          <w:spacing w:val="-2"/>
          <w:sz w:val="24"/>
          <w:szCs w:val="21"/>
          <w:highlight w:val="none"/>
        </w:rPr>
        <w:t xml:space="preserve">项目现有用能情况</w:t>
      </w:r>
      <w:r>
        <w:rPr>
          <w:rFonts w:hint="eastAsia" w:ascii="Times New Roman" w:hAnsi="Times New Roman" w:eastAsia="宋体" w:cs="宋体"/>
          <w:spacing w:val="-2"/>
          <w:sz w:val="24"/>
          <w:szCs w:val="21"/>
          <w:highlight w:val="none"/>
        </w:rPr>
        <w:t xml:space="preserve">”</w:t>
      </w:r>
      <w:r>
        <w:rPr>
          <w:rFonts w:hint="default" w:ascii="Times New Roman" w:hAnsi="Times New Roman" w:eastAsia="宋体" w:cs="宋体"/>
          <w:spacing w:val="-2"/>
          <w:sz w:val="24"/>
          <w:szCs w:val="21"/>
          <w:highlight w:val="none"/>
        </w:rPr>
        <w:t xml:space="preserve">作为本合同附件</w:t>
      </w:r>
      <w:r>
        <w:rPr>
          <w:rFonts w:hint="eastAsia" w:cs="宋体"/>
          <w:spacing w:val="-2"/>
          <w:sz w:val="24"/>
          <w:szCs w:val="21"/>
          <w:highlight w:val="none"/>
          <w:lang w:val="en-US" w:eastAsia="zh-CN"/>
        </w:rPr>
        <w:t xml:space="preserve">之一</w:t>
      </w:r>
      <w:r>
        <w:rPr>
          <w:rFonts w:hint="default" w:ascii="Times New Roman" w:hAnsi="Times New Roman" w:eastAsia="宋体" w:cs="宋体"/>
          <w:spacing w:val="-2"/>
          <w:sz w:val="24"/>
          <w:szCs w:val="21"/>
          <w:highlight w:val="none"/>
        </w:rPr>
        <w:t xml:space="preserve">。</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z w:val="24"/>
          <w:szCs w:val="21"/>
          <w:highlight w:val="none"/>
        </w:rPr>
        <w:t xml:space="preserve">2.8  </w:t>
      </w:r>
      <w:r>
        <w:rPr>
          <w:rFonts w:hint="default" w:ascii="Times New Roman" w:hAnsi="Times New Roman" w:eastAsia="宋体" w:cs="宋体"/>
          <w:sz w:val="24"/>
          <w:szCs w:val="21"/>
          <w:highlight w:val="none"/>
        </w:rPr>
        <w:t xml:space="preserve">项目托管服务范围包括：</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电、水、天然气</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w:t>
      </w:r>
      <w:r/>
    </w:p>
    <w:p>
      <w:pPr>
        <w:spacing w:before="100" w:after="100"/>
        <w:rPr>
          <w:rFonts w:hint="default" w:ascii="Times New Roman" w:hAnsi="Times New Roman" w:eastAsia="黑体" w:cs="宋体"/>
          <w:sz w:val="28"/>
          <w:szCs w:val="21"/>
          <w:highlight w:val="none"/>
        </w:rPr>
        <w:outlineLvl w:val="0"/>
      </w:pPr>
      <w:r>
        <w:rPr>
          <w:rFonts w:hint="default" w:ascii="Times New Roman" w:hAnsi="Times New Roman" w:eastAsia="黑体" w:cs="宋体"/>
          <w:bCs/>
          <w:spacing w:val="-2"/>
          <w:sz w:val="28"/>
          <w:szCs w:val="21"/>
          <w:highlight w:val="none"/>
        </w:rPr>
        <w:t xml:space="preserve">第三条</w:t>
      </w:r>
      <w:r>
        <w:rPr>
          <w:rFonts w:hint="default" w:ascii="Times New Roman" w:hAnsi="Times New Roman" w:eastAsia="黑体" w:cs="宋体"/>
          <w:spacing w:val="-2"/>
          <w:sz w:val="28"/>
          <w:szCs w:val="21"/>
          <w:highlight w:val="none"/>
        </w:rPr>
        <w:t xml:space="preserve"> </w:t>
      </w:r>
      <w:r>
        <w:rPr>
          <w:rFonts w:hint="default" w:ascii="Times New Roman" w:hAnsi="Times New Roman" w:eastAsia="黑体" w:cs="宋体"/>
          <w:bCs/>
          <w:spacing w:val="-2"/>
          <w:sz w:val="28"/>
          <w:szCs w:val="21"/>
          <w:highlight w:val="none"/>
        </w:rPr>
        <w:t xml:space="preserve">能源审计和能源基准</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z w:val="24"/>
          <w:szCs w:val="21"/>
          <w:highlight w:val="none"/>
        </w:rPr>
        <w:t xml:space="preserve">3.1  </w:t>
      </w:r>
      <w:r>
        <w:rPr>
          <w:rFonts w:hint="default" w:ascii="Times New Roman" w:hAnsi="Times New Roman" w:eastAsia="宋体" w:cs="宋体"/>
          <w:sz w:val="24"/>
          <w:szCs w:val="21"/>
          <w:highlight w:val="none"/>
        </w:rPr>
        <w:t xml:space="preserve">能源审计是甲方能源系统能源消耗状况的依据</w:t>
      </w:r>
      <w:r>
        <w:rPr>
          <w:rFonts w:hint="default" w:ascii="Times New Roman" w:hAnsi="Times New Roman" w:eastAsia="宋体" w:cs="宋体"/>
          <w:spacing w:val="-1"/>
          <w:sz w:val="24"/>
          <w:szCs w:val="21"/>
          <w:highlight w:val="none"/>
        </w:rPr>
        <w:t xml:space="preserve">，能源审计费用由</w:t>
      </w:r>
      <w:r>
        <w:rPr>
          <w:rFonts w:hint="default" w:ascii="Times New Roman" w:hAnsi="Times New Roman" w:eastAsia="宋体" w:cs="宋体"/>
          <w:spacing w:val="-105"/>
          <w:sz w:val="24"/>
          <w:szCs w:val="21"/>
          <w:highlight w:val="none"/>
        </w:rPr>
        <w:t xml:space="preserve"> </w:t>
      </w:r>
      <w:r>
        <w:rPr>
          <w:rFonts w:hint="default" w:ascii="Times New Roman" w:hAnsi="Times New Roman" w:eastAsia="宋体" w:cs="宋体"/>
          <w:spacing w:val="14"/>
          <w:sz w:val="24"/>
          <w:szCs w:val="21"/>
          <w:highlight w:val="none"/>
          <w:u w:val="single"/>
        </w:rPr>
        <w:t xml:space="preserve"> </w:t>
      </w:r>
      <w:r>
        <w:rPr>
          <w:rFonts w:hint="eastAsia" w:ascii="Times New Roman" w:hAnsi="Times New Roman" w:eastAsia="宋体" w:cs="宋体"/>
          <w:spacing w:val="14"/>
          <w:sz w:val="24"/>
          <w:szCs w:val="21"/>
          <w:highlight w:val="none"/>
          <w:u w:val="single"/>
        </w:rPr>
        <w:t xml:space="preserve">丙方</w:t>
      </w:r>
      <w:r>
        <w:rPr>
          <w:rFonts w:hint="default" w:ascii="Times New Roman" w:hAnsi="Times New Roman" w:eastAsia="宋体" w:cs="宋体"/>
          <w:spacing w:val="14"/>
          <w:sz w:val="24"/>
          <w:szCs w:val="21"/>
          <w:highlight w:val="none"/>
          <w:u w:val="single"/>
        </w:rPr>
        <w:t xml:space="preserve"> </w:t>
      </w:r>
      <w:r>
        <w:rPr>
          <w:rFonts w:hint="default" w:ascii="Times New Roman" w:hAnsi="Times New Roman" w:eastAsia="宋体" w:cs="宋体"/>
          <w:spacing w:val="-91"/>
          <w:sz w:val="24"/>
          <w:szCs w:val="21"/>
          <w:highlight w:val="none"/>
        </w:rPr>
        <w:t xml:space="preserve"> </w:t>
      </w:r>
      <w:r>
        <w:rPr>
          <w:rFonts w:hint="default" w:ascii="Times New Roman" w:hAnsi="Times New Roman" w:eastAsia="宋体" w:cs="宋体"/>
          <w:spacing w:val="-1"/>
          <w:sz w:val="24"/>
          <w:szCs w:val="21"/>
          <w:highlight w:val="none"/>
        </w:rPr>
        <w:t xml:space="preserve">承担。</w:t>
      </w:r>
      <w:r/>
    </w:p>
    <w:p>
      <w:pPr>
        <w:ind w:firstLine="482"/>
        <w:spacing w:line="360" w:lineRule="auto"/>
        <w:rPr>
          <w:rFonts w:hint="default" w:ascii="Times New Roman" w:hAnsi="Times New Roman" w:eastAsia="宋体" w:cs="Times New Roman"/>
          <w:sz w:val="24"/>
          <w:szCs w:val="22"/>
          <w:highlight w:val="none"/>
        </w:rPr>
      </w:pPr>
      <w:r>
        <w:rPr>
          <w:rFonts w:hint="default" w:ascii="Times New Roman" w:hAnsi="Times New Roman" w:eastAsia="宋体" w:cs="宋体"/>
          <w:sz w:val="24"/>
          <w:szCs w:val="21"/>
          <w:highlight w:val="none"/>
        </w:rPr>
        <w:t xml:space="preserve">3.2  经过能源审计确定托管项目的能源基准：确定本项目在实施能源托管前，代表项目边界内用能设备和系统运行规律的基准期为</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lang w:val="en-US" w:eastAsia="zh-CN"/>
        </w:rPr>
        <w:t xml:space="preserve">  </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年</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lang w:val="en-US" w:eastAsia="zh-CN"/>
        </w:rPr>
        <w:t xml:space="preserve">   </w:t>
      </w:r>
      <w:r>
        <w:rPr>
          <w:rFonts w:hint="default" w:ascii="Times New Roman" w:hAnsi="Times New Roman" w:eastAsia="宋体" w:cs="宋体"/>
          <w:sz w:val="24"/>
          <w:szCs w:val="21"/>
          <w:highlight w:val="none"/>
        </w:rPr>
        <w:t xml:space="preserve">月</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lang w:val="en-US" w:eastAsia="zh-CN"/>
        </w:rPr>
        <w:t xml:space="preserve">    </w:t>
      </w:r>
      <w:r>
        <w:rPr>
          <w:rFonts w:hint="default" w:ascii="Times New Roman" w:hAnsi="Times New Roman" w:eastAsia="宋体" w:cs="宋体"/>
          <w:sz w:val="24"/>
          <w:szCs w:val="21"/>
          <w:highlight w:val="none"/>
        </w:rPr>
        <w:t xml:space="preserve">日至</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lang w:val="en-US" w:eastAsia="zh-CN"/>
        </w:rPr>
        <w:t xml:space="preserve">   </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年</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lang w:val="en-US" w:eastAsia="zh-CN"/>
        </w:rPr>
        <w:t xml:space="preserve">   </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月</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lang w:val="en-US" w:eastAsia="zh-CN"/>
        </w:rPr>
        <w:t xml:space="preserve">   </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日；能源基准如下所示：</w:t>
      </w:r>
      <w:r/>
    </w:p>
    <w:tbl>
      <w:tblPr>
        <w:tblStyle w:val="887"/>
        <w:tblW w:w="840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80"/>
        <w:gridCol w:w="1680"/>
        <w:gridCol w:w="1680"/>
        <w:gridCol w:w="1680"/>
        <w:gridCol w:w="1684"/>
      </w:tblGrid>
      <w:tr>
        <w:trPr>
          <w:trHeight w:val="624"/>
        </w:trPr>
        <w:tc>
          <w:tcPr>
            <w:tcW w:w="1680" w:type="dxa"/>
            <w:vAlign w:val="center"/>
            <w:textDirection w:val="lrTb"/>
            <w:noWrap w:val="false"/>
          </w:tcPr>
          <w:p>
            <w:pPr>
              <w:pStyle w:val="1323"/>
              <w:jc w:val="center"/>
              <w:spacing w:before="67" w:line="220" w:lineRule="auto"/>
              <w:rPr>
                <w:rFonts w:hint="default" w:ascii="Times New Roman" w:hAnsi="Times New Roman" w:eastAsia="Times New Roman"/>
                <w:highlight w:val="none"/>
              </w:rPr>
            </w:pPr>
            <w:r>
              <w:rPr>
                <w:rFonts w:hint="default" w:ascii="Times New Roman" w:hAnsi="Times New Roman" w:eastAsia="Times New Roman"/>
                <w:spacing w:val="-1"/>
                <w:highlight w:val="none"/>
              </w:rPr>
              <w:t xml:space="preserve">托管能源类型</w:t>
            </w:r>
            <w:r/>
          </w:p>
        </w:tc>
        <w:tc>
          <w:tcPr>
            <w:tcW w:w="1680" w:type="dxa"/>
            <w:vAlign w:val="center"/>
            <w:textDirection w:val="lrTb"/>
            <w:noWrap w:val="false"/>
          </w:tcPr>
          <w:p>
            <w:pPr>
              <w:pStyle w:val="1323"/>
              <w:jc w:val="center"/>
              <w:spacing w:before="67" w:line="220" w:lineRule="auto"/>
              <w:rPr>
                <w:rFonts w:hint="default" w:ascii="Times New Roman" w:hAnsi="Times New Roman" w:eastAsia="Times New Roman"/>
                <w:highlight w:val="none"/>
              </w:rPr>
            </w:pPr>
            <w:r>
              <w:rPr>
                <w:rFonts w:hint="default" w:ascii="Times New Roman" w:hAnsi="Times New Roman" w:eastAsia="Times New Roman"/>
                <w:spacing w:val="-2"/>
                <w:highlight w:val="none"/>
              </w:rPr>
              <w:t xml:space="preserve">能源缴费户号</w:t>
            </w:r>
            <w:r/>
          </w:p>
        </w:tc>
        <w:tc>
          <w:tcPr>
            <w:tcW w:w="1680" w:type="dxa"/>
            <w:vAlign w:val="center"/>
            <w:textDirection w:val="lrTb"/>
            <w:noWrap w:val="false"/>
          </w:tcPr>
          <w:p>
            <w:pPr>
              <w:pStyle w:val="1323"/>
              <w:jc w:val="center"/>
              <w:spacing w:before="68" w:line="220" w:lineRule="auto"/>
              <w:rPr>
                <w:rFonts w:hint="default" w:ascii="Times New Roman" w:hAnsi="Times New Roman" w:eastAsia="Times New Roman"/>
                <w:highlight w:val="none"/>
              </w:rPr>
            </w:pPr>
            <w:r>
              <w:rPr>
                <w:rFonts w:hint="default" w:ascii="Times New Roman" w:hAnsi="Times New Roman" w:eastAsia="Times New Roman"/>
                <w:spacing w:val="-1"/>
                <w:highlight w:val="none"/>
              </w:rPr>
              <w:t xml:space="preserve">基准期能源用量</w:t>
            </w:r>
            <w:r/>
          </w:p>
        </w:tc>
        <w:tc>
          <w:tcPr>
            <w:tcW w:w="1680" w:type="dxa"/>
            <w:vAlign w:val="center"/>
            <w:textDirection w:val="lrTb"/>
            <w:noWrap w:val="false"/>
          </w:tcPr>
          <w:p>
            <w:pPr>
              <w:pStyle w:val="1323"/>
              <w:jc w:val="center"/>
              <w:spacing w:before="68" w:line="218" w:lineRule="auto"/>
              <w:rPr>
                <w:rFonts w:hint="default" w:ascii="Times New Roman" w:hAnsi="Times New Roman" w:eastAsia="Times New Roman"/>
                <w:highlight w:val="none"/>
              </w:rPr>
            </w:pPr>
            <w:r>
              <w:rPr>
                <w:rFonts w:hint="default" w:ascii="Times New Roman" w:hAnsi="Times New Roman" w:eastAsia="Times New Roman"/>
                <w:spacing w:val="-2"/>
                <w:highlight w:val="none"/>
              </w:rPr>
              <w:t xml:space="preserve">基准期能源单价（元）</w:t>
            </w:r>
            <w:r/>
          </w:p>
        </w:tc>
        <w:tc>
          <w:tcPr>
            <w:tcW w:w="1684" w:type="dxa"/>
            <w:vAlign w:val="center"/>
            <w:textDirection w:val="lrTb"/>
            <w:noWrap w:val="false"/>
          </w:tcPr>
          <w:p>
            <w:pPr>
              <w:pStyle w:val="1323"/>
              <w:jc w:val="center"/>
              <w:spacing w:before="68" w:line="221" w:lineRule="auto"/>
              <w:rPr>
                <w:rFonts w:hint="default" w:ascii="Times New Roman" w:hAnsi="Times New Roman" w:eastAsia="Times New Roman"/>
                <w:highlight w:val="none"/>
              </w:rPr>
            </w:pPr>
            <w:r>
              <w:rPr>
                <w:rFonts w:hint="default" w:ascii="Times New Roman" w:hAnsi="Times New Roman" w:eastAsia="Times New Roman"/>
                <w:spacing w:val="-3"/>
                <w:highlight w:val="none"/>
              </w:rPr>
              <w:t xml:space="preserve">备注</w:t>
            </w:r>
            <w:r/>
          </w:p>
        </w:tc>
      </w:tr>
      <w:tr>
        <w:trPr>
          <w:trHeight w:val="624"/>
        </w:trPr>
        <w:tc>
          <w:tcPr>
            <w:tcW w:w="1680" w:type="dxa"/>
            <w:vAlign w:val="center"/>
            <w:textDirection w:val="lrTb"/>
            <w:noWrap w:val="false"/>
          </w:tcPr>
          <w:p>
            <w:pPr>
              <w:pStyle w:val="1323"/>
              <w:jc w:val="center"/>
              <w:spacing w:before="65" w:line="225" w:lineRule="auto"/>
              <w:rPr>
                <w:rFonts w:hint="default" w:ascii="Times New Roman" w:hAnsi="Times New Roman" w:eastAsia="Times New Roman"/>
                <w:highlight w:val="none"/>
              </w:rPr>
            </w:pPr>
            <w:r>
              <w:rPr>
                <w:rFonts w:hint="default" w:ascii="Times New Roman" w:hAnsi="Times New Roman" w:eastAsia="Times New Roman"/>
                <w:highlight w:val="none"/>
              </w:rPr>
              <w:t xml:space="preserve">电</w:t>
            </w:r>
            <w:r/>
          </w:p>
        </w:tc>
        <w:tc>
          <w:tcPr>
            <w:tcW w:w="1680" w:type="dxa"/>
            <w:vAlign w:val="center"/>
            <w:textDirection w:val="lrTb"/>
            <w:noWrap w:val="false"/>
          </w:tcPr>
          <w:p>
            <w:pPr>
              <w:jc w:val="center"/>
              <w:rPr>
                <w:rFonts w:hint="default" w:ascii="Times New Roman" w:hAnsi="Times New Roman" w:eastAsia="等线" w:cs="Times New Roman"/>
                <w:sz w:val="24"/>
                <w:szCs w:val="22"/>
                <w:highlight w:val="none"/>
              </w:rPr>
            </w:pPr>
            <w:r>
              <w:rPr>
                <w:rFonts w:hint="default" w:ascii="Times New Roman" w:hAnsi="Times New Roman" w:eastAsia="等线" w:cs="Times New Roman"/>
                <w:sz w:val="24"/>
                <w:szCs w:val="22"/>
                <w:highlight w:val="none"/>
              </w:rPr>
            </w:r>
            <w:r/>
          </w:p>
        </w:tc>
        <w:tc>
          <w:tcPr>
            <w:tcW w:w="1680" w:type="dxa"/>
            <w:vAlign w:val="center"/>
            <w:textDirection w:val="lrTb"/>
            <w:noWrap w:val="false"/>
          </w:tcPr>
          <w:p>
            <w:pPr>
              <w:ind w:right="28"/>
              <w:jc w:val="right"/>
              <w:spacing w:before="95" w:line="232" w:lineRule="auto"/>
              <w:rPr>
                <w:rFonts w:hint="default" w:ascii="Times New Roman" w:hAnsi="Times New Roman" w:eastAsia="Times New Roman" w:cs="Times New Roman"/>
                <w:sz w:val="18"/>
                <w:szCs w:val="18"/>
                <w:highlight w:val="none"/>
              </w:rPr>
            </w:pPr>
            <w:r>
              <w:rPr>
                <w:rFonts w:hint="default" w:ascii="Times New Roman" w:hAnsi="Times New Roman" w:eastAsia="Times New Roman" w:cs="Times New Roman"/>
                <w:sz w:val="18"/>
                <w:szCs w:val="18"/>
                <w:highlight w:val="none"/>
              </w:rPr>
            </w:r>
            <w:r/>
          </w:p>
        </w:tc>
        <w:tc>
          <w:tcPr>
            <w:tcW w:w="1680"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c>
          <w:tcPr>
            <w:tcW w:w="1684"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r>
      <w:tr>
        <w:trPr>
          <w:trHeight w:val="624"/>
        </w:trPr>
        <w:tc>
          <w:tcPr>
            <w:tcW w:w="1680" w:type="dxa"/>
            <w:vAlign w:val="center"/>
            <w:textDirection w:val="lrTb"/>
            <w:noWrap w:val="false"/>
          </w:tcPr>
          <w:p>
            <w:pPr>
              <w:pStyle w:val="1323"/>
              <w:jc w:val="center"/>
              <w:spacing w:before="68" w:line="220" w:lineRule="auto"/>
              <w:rPr>
                <w:rFonts w:hint="default" w:ascii="Times New Roman" w:hAnsi="Times New Roman" w:eastAsia="Times New Roman"/>
                <w:highlight w:val="none"/>
              </w:rPr>
            </w:pPr>
            <w:r>
              <w:rPr>
                <w:rFonts w:hint="default" w:ascii="Times New Roman" w:hAnsi="Times New Roman" w:eastAsia="Times New Roman"/>
                <w:highlight w:val="none"/>
              </w:rPr>
              <w:t xml:space="preserve">水</w:t>
            </w:r>
            <w:r/>
          </w:p>
        </w:tc>
        <w:tc>
          <w:tcPr>
            <w:tcW w:w="1680" w:type="dxa"/>
            <w:vAlign w:val="center"/>
            <w:textDirection w:val="lrTb"/>
            <w:noWrap w:val="false"/>
          </w:tcPr>
          <w:p>
            <w:pPr>
              <w:jc w:val="center"/>
              <w:rPr>
                <w:rFonts w:hint="default" w:ascii="Times New Roman" w:hAnsi="Times New Roman" w:eastAsia="等线" w:cs="Times New Roman"/>
                <w:color w:val="ff0000"/>
                <w:sz w:val="24"/>
                <w:szCs w:val="22"/>
                <w:highlight w:val="none"/>
              </w:rPr>
            </w:pPr>
            <w:r>
              <w:rPr>
                <w:rFonts w:hint="default" w:ascii="Times New Roman" w:hAnsi="Times New Roman" w:eastAsia="等线" w:cs="Times New Roman"/>
                <w:color w:val="ff0000"/>
                <w:sz w:val="24"/>
                <w:szCs w:val="22"/>
                <w:highlight w:val="none"/>
              </w:rPr>
            </w:r>
            <w:r/>
          </w:p>
        </w:tc>
        <w:tc>
          <w:tcPr>
            <w:tcW w:w="1680" w:type="dxa"/>
            <w:vAlign w:val="center"/>
            <w:textDirection w:val="lrTb"/>
            <w:noWrap w:val="false"/>
          </w:tcPr>
          <w:p>
            <w:pPr>
              <w:ind w:right="19"/>
              <w:jc w:val="right"/>
              <w:spacing w:before="101" w:line="186" w:lineRule="auto"/>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r>
            <w:r/>
          </w:p>
        </w:tc>
        <w:tc>
          <w:tcPr>
            <w:tcW w:w="1680"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c>
          <w:tcPr>
            <w:tcW w:w="1684"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r>
      <w:tr>
        <w:trPr>
          <w:trHeight w:val="624"/>
        </w:trPr>
        <w:tc>
          <w:tcPr>
            <w:tcW w:w="1680" w:type="dxa"/>
            <w:vAlign w:val="center"/>
            <w:textDirection w:val="lrTb"/>
            <w:noWrap w:val="false"/>
          </w:tcPr>
          <w:p>
            <w:pPr>
              <w:pStyle w:val="1323"/>
              <w:jc w:val="center"/>
              <w:spacing w:before="67" w:line="220" w:lineRule="auto"/>
              <w:rPr>
                <w:rFonts w:hint="default" w:ascii="Times New Roman" w:hAnsi="Times New Roman" w:eastAsia="Times New Roman"/>
                <w:highlight w:val="none"/>
              </w:rPr>
            </w:pPr>
            <w:r>
              <w:rPr>
                <w:rFonts w:hint="default" w:ascii="Times New Roman" w:hAnsi="Times New Roman" w:eastAsia="Times New Roman"/>
                <w:spacing w:val="-3"/>
                <w:highlight w:val="none"/>
              </w:rPr>
              <w:t xml:space="preserve">天然气</w:t>
            </w:r>
            <w:r/>
          </w:p>
        </w:tc>
        <w:tc>
          <w:tcPr>
            <w:tcW w:w="1680" w:type="dxa"/>
            <w:vAlign w:val="center"/>
            <w:textDirection w:val="lrTb"/>
            <w:noWrap w:val="false"/>
          </w:tcPr>
          <w:p>
            <w:pPr>
              <w:jc w:val="center"/>
              <w:rPr>
                <w:rFonts w:hint="default" w:ascii="Times New Roman" w:hAnsi="Times New Roman" w:eastAsia="等线" w:cs="Times New Roman"/>
                <w:color w:val="ff0000"/>
                <w:sz w:val="24"/>
                <w:szCs w:val="22"/>
                <w:highlight w:val="none"/>
              </w:rPr>
            </w:pPr>
            <w:r>
              <w:rPr>
                <w:rFonts w:hint="default" w:ascii="Times New Roman" w:hAnsi="Times New Roman" w:eastAsia="等线" w:cs="Times New Roman"/>
                <w:color w:val="ff0000"/>
                <w:sz w:val="24"/>
                <w:szCs w:val="22"/>
                <w:highlight w:val="none"/>
              </w:rPr>
            </w:r>
            <w:r/>
          </w:p>
        </w:tc>
        <w:tc>
          <w:tcPr>
            <w:tcW w:w="1680" w:type="dxa"/>
            <w:vAlign w:val="center"/>
            <w:textDirection w:val="lrTb"/>
            <w:noWrap w:val="false"/>
          </w:tcPr>
          <w:p>
            <w:pPr>
              <w:ind w:right="19"/>
              <w:jc w:val="right"/>
              <w:spacing w:before="100" w:line="186" w:lineRule="auto"/>
              <w:rPr>
                <w:rFonts w:hint="default" w:ascii="Times New Roman" w:hAnsi="Times New Roman" w:eastAsia="等线" w:cs="Times New Roman"/>
                <w:sz w:val="18"/>
                <w:szCs w:val="18"/>
                <w:highlight w:val="none"/>
              </w:rPr>
            </w:pPr>
            <w:r>
              <w:rPr>
                <w:rFonts w:hint="default" w:ascii="Times New Roman" w:hAnsi="Times New Roman" w:eastAsia="等线" w:cs="Times New Roman"/>
                <w:sz w:val="18"/>
                <w:szCs w:val="18"/>
                <w:highlight w:val="none"/>
              </w:rPr>
            </w:r>
            <w:r/>
          </w:p>
        </w:tc>
        <w:tc>
          <w:tcPr>
            <w:tcW w:w="1680" w:type="dxa"/>
            <w:vAlign w:val="center"/>
            <w:textDirection w:val="lrTb"/>
            <w:noWrap w:val="false"/>
          </w:tcPr>
          <w:p>
            <w:pP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c>
          <w:tcPr>
            <w:tcW w:w="1684"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r>
      <w:tr>
        <w:trPr>
          <w:trHeight w:val="624"/>
        </w:trPr>
        <w:tc>
          <w:tcPr>
            <w:tcW w:w="1680" w:type="dxa"/>
            <w:vAlign w:val="center"/>
            <w:textDirection w:val="lrTb"/>
            <w:noWrap w:val="false"/>
          </w:tcPr>
          <w:p>
            <w:pPr>
              <w:pStyle w:val="1323"/>
              <w:jc w:val="center"/>
              <w:spacing w:before="68" w:line="221" w:lineRule="auto"/>
              <w:rPr>
                <w:rFonts w:hint="default" w:ascii="Times New Roman" w:hAnsi="Times New Roman" w:eastAsia="Times New Roman"/>
                <w:highlight w:val="none"/>
              </w:rPr>
            </w:pPr>
            <w:r>
              <w:rPr>
                <w:rFonts w:hint="default" w:ascii="Times New Roman" w:hAnsi="Times New Roman" w:eastAsia="Times New Roman"/>
                <w:spacing w:val="-2"/>
                <w:highlight w:val="none"/>
              </w:rPr>
              <w:t xml:space="preserve">合计</w:t>
            </w:r>
            <w:r/>
          </w:p>
        </w:tc>
        <w:tc>
          <w:tcPr>
            <w:tcW w:w="1680"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c>
          <w:tcPr>
            <w:tcW w:w="1680"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c>
          <w:tcPr>
            <w:tcW w:w="1680"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c>
          <w:tcPr>
            <w:tcW w:w="1684" w:type="dxa"/>
            <w:vAlign w:val="center"/>
            <w:textDirection w:val="lrTb"/>
            <w:noWrap w:val="false"/>
          </w:tcPr>
          <w:p>
            <w:pPr>
              <w:jc w:val="center"/>
              <w:rPr>
                <w:rFonts w:hint="default" w:ascii="Times New Roman" w:hAnsi="Times New Roman" w:eastAsia="Times New Roman" w:cs="Times New Roman"/>
                <w:sz w:val="24"/>
                <w:szCs w:val="22"/>
                <w:highlight w:val="none"/>
              </w:rPr>
            </w:pPr>
            <w:r>
              <w:rPr>
                <w:rFonts w:hint="default" w:ascii="Times New Roman" w:hAnsi="Times New Roman" w:eastAsia="Times New Roman" w:cs="Times New Roman"/>
                <w:sz w:val="24"/>
                <w:szCs w:val="22"/>
                <w:highlight w:val="none"/>
              </w:rPr>
            </w:r>
            <w:r/>
          </w:p>
        </w:tc>
      </w:tr>
    </w:tbl>
    <w:p>
      <w:pPr>
        <w:jc w:val="left"/>
        <w:spacing w:before="100" w:after="100"/>
        <w:rPr>
          <w:rFonts w:hint="default" w:ascii="Times New Roman" w:hAnsi="Times New Roman" w:eastAsia="黑体" w:cs="宋体"/>
          <w:sz w:val="28"/>
          <w:szCs w:val="21"/>
          <w:highlight w:val="none"/>
        </w:rPr>
        <w:outlineLvl w:val="0"/>
      </w:pPr>
      <w:r>
        <w:rPr>
          <w:rFonts w:hint="default" w:ascii="Times New Roman" w:hAnsi="Times New Roman" w:eastAsia="黑体" w:cs="宋体"/>
          <w:bCs/>
          <w:spacing w:val="-3"/>
          <w:sz w:val="28"/>
          <w:szCs w:val="21"/>
          <w:highlight w:val="none"/>
        </w:rPr>
        <w:t xml:space="preserve">第</w:t>
      </w:r>
      <w:r>
        <w:rPr>
          <w:rFonts w:hint="eastAsia" w:ascii="Times New Roman" w:hAnsi="Times New Roman" w:eastAsia="黑体" w:cs="宋体"/>
          <w:bCs/>
          <w:spacing w:val="-3"/>
          <w:sz w:val="28"/>
          <w:szCs w:val="21"/>
          <w:highlight w:val="none"/>
        </w:rPr>
        <w:t xml:space="preserve">四</w:t>
      </w:r>
      <w:r>
        <w:rPr>
          <w:rFonts w:hint="default" w:ascii="Times New Roman" w:hAnsi="Times New Roman" w:eastAsia="黑体" w:cs="宋体"/>
          <w:bCs/>
          <w:spacing w:val="-3"/>
          <w:sz w:val="28"/>
          <w:szCs w:val="21"/>
          <w:highlight w:val="none"/>
        </w:rPr>
        <w:t xml:space="preserve">条</w:t>
      </w:r>
      <w:r>
        <w:rPr>
          <w:rFonts w:hint="default" w:ascii="Times New Roman" w:hAnsi="Times New Roman" w:eastAsia="黑体" w:cs="宋体"/>
          <w:spacing w:val="-3"/>
          <w:sz w:val="28"/>
          <w:szCs w:val="21"/>
          <w:highlight w:val="none"/>
        </w:rPr>
        <w:t xml:space="preserve"> </w:t>
      </w:r>
      <w:r>
        <w:rPr>
          <w:rFonts w:hint="default" w:ascii="Times New Roman" w:hAnsi="Times New Roman" w:eastAsia="黑体" w:cs="宋体"/>
          <w:bCs/>
          <w:spacing w:val="-3"/>
          <w:sz w:val="28"/>
          <w:szCs w:val="21"/>
          <w:highlight w:val="none"/>
        </w:rPr>
        <w:t xml:space="preserve">托管期限</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Times New Roman"/>
          <w:sz w:val="24"/>
          <w:szCs w:val="21"/>
          <w:highlight w:val="none"/>
        </w:rPr>
        <w:t xml:space="preserve">4</w:t>
      </w:r>
      <w:r>
        <w:rPr>
          <w:rFonts w:hint="default" w:ascii="Times New Roman" w:hAnsi="Times New Roman" w:eastAsia="宋体" w:cs="Times New Roman"/>
          <w:sz w:val="24"/>
          <w:szCs w:val="21"/>
          <w:highlight w:val="none"/>
        </w:rPr>
        <w:t xml:space="preserve">.1  </w:t>
      </w:r>
      <w:r>
        <w:rPr>
          <w:rFonts w:hint="default" w:ascii="Times New Roman" w:hAnsi="Times New Roman" w:eastAsia="宋体" w:cs="宋体"/>
          <w:sz w:val="24"/>
          <w:szCs w:val="21"/>
          <w:highlight w:val="none"/>
        </w:rPr>
        <w:t xml:space="preserve">托管期限为</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10</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年，</w:t>
      </w:r>
      <w:r>
        <w:rPr>
          <w:rFonts w:hint="default" w:ascii="Times New Roman" w:hAnsi="Times New Roman" w:eastAsia="宋体" w:cs="宋体"/>
          <w:sz w:val="24"/>
          <w:szCs w:val="21"/>
          <w:highlight w:val="none"/>
        </w:rPr>
        <w:t xml:space="preserve">自</w:t>
      </w:r>
      <w:r>
        <w:rPr>
          <w:rFonts w:hint="eastAsia" w:ascii="Times New Roman" w:hAnsi="Times New Roman" w:eastAsia="宋体" w:cs="宋体"/>
          <w:sz w:val="24"/>
          <w:szCs w:val="21"/>
          <w:highlight w:val="none"/>
        </w:rPr>
        <w:t xml:space="preserve">乙方能源管理“一张网”软件平台建设以及计量和控制项目完成且缴费账户变更完成之日</w:t>
      </w:r>
      <w:r>
        <w:rPr>
          <w:rFonts w:hint="default" w:ascii="Times New Roman" w:hAnsi="Times New Roman" w:eastAsia="宋体" w:cs="宋体"/>
          <w:sz w:val="24"/>
          <w:szCs w:val="21"/>
          <w:highlight w:val="none"/>
        </w:rPr>
        <w:t xml:space="preserve">起至托管期限届满（即</w:t>
      </w:r>
      <w:r>
        <w:rPr>
          <w:rFonts w:hint="default" w:ascii="Times New Roman" w:hAnsi="Times New Roman" w:eastAsia="宋体" w:cs="宋体"/>
          <w:sz w:val="24"/>
          <w:szCs w:val="21"/>
          <w:highlight w:val="none"/>
          <w:u w:val="single"/>
        </w:rPr>
        <w:t xml:space="preserve"> </w:t>
      </w:r>
      <w:r>
        <w:rPr>
          <w:rFonts w:hint="eastAsia" w:cs="宋体"/>
          <w:sz w:val="24"/>
          <w:szCs w:val="21"/>
          <w:highlight w:val="none"/>
          <w:u w:val="single"/>
          <w:lang w:val="en-US" w:eastAsia="zh-CN"/>
        </w:rPr>
        <w:t xml:space="preserve">2027</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年</w:t>
      </w:r>
      <w:r>
        <w:rPr>
          <w:rFonts w:hint="default" w:ascii="Times New Roman" w:hAnsi="Times New Roman" w:eastAsia="宋体" w:cs="宋体"/>
          <w:sz w:val="24"/>
          <w:szCs w:val="21"/>
          <w:highlight w:val="none"/>
          <w:u w:val="single"/>
        </w:rPr>
        <w:t xml:space="preserve"> </w:t>
      </w:r>
      <w:r>
        <w:rPr>
          <w:rFonts w:hint="eastAsia" w:cs="宋体"/>
          <w:sz w:val="24"/>
          <w:szCs w:val="21"/>
          <w:highlight w:val="none"/>
          <w:u w:val="single"/>
          <w:lang w:val="en-US" w:eastAsia="zh-CN"/>
        </w:rPr>
        <w:t xml:space="preserve">1</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月</w:t>
      </w:r>
      <w:r>
        <w:rPr>
          <w:rFonts w:hint="default" w:ascii="Times New Roman" w:hAnsi="Times New Roman" w:eastAsia="宋体" w:cs="宋体"/>
          <w:sz w:val="24"/>
          <w:szCs w:val="21"/>
          <w:highlight w:val="none"/>
          <w:u w:val="single"/>
        </w:rPr>
        <w:t xml:space="preserve"> </w:t>
      </w:r>
      <w:r>
        <w:rPr>
          <w:rFonts w:hint="eastAsia" w:cs="宋体"/>
          <w:sz w:val="24"/>
          <w:szCs w:val="21"/>
          <w:highlight w:val="none"/>
          <w:u w:val="single"/>
          <w:lang w:val="en-US" w:eastAsia="zh-CN"/>
        </w:rPr>
        <w:t xml:space="preserve">1</w:t>
      </w:r>
      <w:r>
        <w:rPr>
          <w:rFonts w:hint="eastAsia"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日开始，至</w:t>
      </w:r>
      <w:r>
        <w:rPr>
          <w:rFonts w:hint="default" w:ascii="Times New Roman" w:hAnsi="Times New Roman" w:eastAsia="宋体" w:cs="宋体"/>
          <w:sz w:val="24"/>
          <w:szCs w:val="21"/>
          <w:highlight w:val="none"/>
          <w:u w:val="single"/>
        </w:rPr>
        <w:t xml:space="preserve"> </w:t>
      </w:r>
      <w:r>
        <w:rPr>
          <w:rFonts w:hint="eastAsia" w:cs="宋体"/>
          <w:sz w:val="24"/>
          <w:szCs w:val="21"/>
          <w:highlight w:val="none"/>
          <w:u w:val="single"/>
          <w:lang w:val="en-US" w:eastAsia="zh-CN"/>
        </w:rPr>
        <w:t xml:space="preserve">2036</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年</w:t>
      </w:r>
      <w:r>
        <w:rPr>
          <w:rFonts w:hint="default" w:ascii="Times New Roman" w:hAnsi="Times New Roman" w:eastAsia="宋体" w:cs="宋体"/>
          <w:sz w:val="24"/>
          <w:szCs w:val="21"/>
          <w:highlight w:val="none"/>
          <w:u w:val="single"/>
        </w:rPr>
        <w:t xml:space="preserve"> </w:t>
      </w:r>
      <w:r>
        <w:rPr>
          <w:rFonts w:hint="eastAsia" w:cs="宋体"/>
          <w:sz w:val="24"/>
          <w:szCs w:val="21"/>
          <w:highlight w:val="none"/>
          <w:u w:val="single"/>
          <w:lang w:val="en-US" w:eastAsia="zh-CN"/>
        </w:rPr>
        <w:t xml:space="preserve">12</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月</w:t>
      </w:r>
      <w:r>
        <w:rPr>
          <w:rFonts w:hint="eastAsia" w:cs="宋体"/>
          <w:sz w:val="24"/>
          <w:szCs w:val="21"/>
          <w:highlight w:val="none"/>
          <w:u w:val="single"/>
          <w:lang w:val="en-US" w:eastAsia="zh-CN"/>
        </w:rPr>
        <w:t xml:space="preserve"> 31</w:t>
      </w:r>
      <w:r>
        <w:rPr>
          <w:rFonts w:hint="default" w:ascii="Times New Roman" w:hAnsi="Times New Roman" w:eastAsia="宋体" w:cs="宋体"/>
          <w:sz w:val="24"/>
          <w:szCs w:val="21"/>
          <w:highlight w:val="none"/>
        </w:rPr>
        <w:t xml:space="preserve">日为止）。</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Times New Roman"/>
          <w:spacing w:val="-3"/>
          <w:sz w:val="24"/>
          <w:szCs w:val="21"/>
          <w:highlight w:val="none"/>
        </w:rPr>
        <w:t xml:space="preserve">4</w:t>
      </w:r>
      <w:r>
        <w:rPr>
          <w:rFonts w:hint="default" w:ascii="Times New Roman" w:hAnsi="Times New Roman" w:eastAsia="宋体" w:cs="Times New Roman"/>
          <w:spacing w:val="-3"/>
          <w:sz w:val="24"/>
          <w:szCs w:val="21"/>
          <w:highlight w:val="none"/>
        </w:rPr>
        <w:t xml:space="preserve">.2  </w:t>
      </w:r>
      <w:r>
        <w:rPr>
          <w:rFonts w:hint="default" w:ascii="Times New Roman" w:hAnsi="Times New Roman" w:eastAsia="宋体" w:cs="宋体"/>
          <w:spacing w:val="-3"/>
          <w:sz w:val="24"/>
          <w:szCs w:val="21"/>
          <w:highlight w:val="none"/>
        </w:rPr>
        <w:t xml:space="preserve">托管期限届满，乙方将托管的能源系统设备、设施移交给甲方或甲方指定的单位。</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4</w:t>
      </w:r>
      <w:r>
        <w:rPr>
          <w:rFonts w:hint="default" w:ascii="Times New Roman" w:hAnsi="Times New Roman" w:eastAsia="宋体" w:cs="宋体"/>
          <w:sz w:val="24"/>
          <w:szCs w:val="21"/>
          <w:highlight w:val="none"/>
        </w:rPr>
        <w:t xml:space="preserve">.3  本合同期限届满，乙方如约完成节能目标并且达到本合同约定的服务标准，如果甲方继续采用能源费用托管的形式进行能源系统的管理，在同等条件下，乙方享有优先续约的权利。</w:t>
      </w:r>
      <w:r/>
    </w:p>
    <w:p>
      <w:pPr>
        <w:spacing w:before="100" w:after="100" w:line="300" w:lineRule="auto"/>
        <w:rPr>
          <w:rFonts w:hint="default" w:ascii="Times New Roman" w:hAnsi="Times New Roman" w:eastAsia="黑体" w:cs="宋体"/>
          <w:sz w:val="28"/>
          <w:szCs w:val="21"/>
          <w:highlight w:val="none"/>
        </w:rPr>
        <w:outlineLvl w:val="0"/>
      </w:pPr>
      <w:r>
        <w:rPr>
          <w:rFonts w:hint="default" w:ascii="Times New Roman" w:hAnsi="Times New Roman" w:eastAsia="黑体" w:cs="宋体"/>
          <w:bCs/>
          <w:spacing w:val="-5"/>
          <w:sz w:val="28"/>
          <w:szCs w:val="21"/>
          <w:highlight w:val="none"/>
        </w:rPr>
        <w:t xml:space="preserve">第</w:t>
      </w:r>
      <w:r>
        <w:rPr>
          <w:rFonts w:hint="eastAsia" w:ascii="Times New Roman" w:hAnsi="Times New Roman" w:eastAsia="黑体" w:cs="宋体"/>
          <w:bCs/>
          <w:spacing w:val="-5"/>
          <w:sz w:val="28"/>
          <w:szCs w:val="21"/>
          <w:highlight w:val="none"/>
        </w:rPr>
        <w:t xml:space="preserve">五</w:t>
      </w:r>
      <w:r>
        <w:rPr>
          <w:rFonts w:hint="default" w:ascii="Times New Roman" w:hAnsi="Times New Roman" w:eastAsia="黑体" w:cs="宋体"/>
          <w:bCs/>
          <w:spacing w:val="-5"/>
          <w:sz w:val="28"/>
          <w:szCs w:val="21"/>
          <w:highlight w:val="none"/>
        </w:rPr>
        <w:t xml:space="preserve">条</w:t>
      </w:r>
      <w:r>
        <w:rPr>
          <w:rFonts w:hint="default" w:ascii="Times New Roman" w:hAnsi="Times New Roman" w:eastAsia="黑体" w:cs="宋体"/>
          <w:spacing w:val="38"/>
          <w:sz w:val="28"/>
          <w:szCs w:val="21"/>
          <w:highlight w:val="none"/>
        </w:rPr>
        <w:t xml:space="preserve"> </w:t>
      </w:r>
      <w:r>
        <w:rPr>
          <w:rFonts w:hint="default" w:ascii="Times New Roman" w:hAnsi="Times New Roman" w:eastAsia="黑体" w:cs="宋体"/>
          <w:bCs/>
          <w:spacing w:val="-5"/>
          <w:sz w:val="28"/>
          <w:szCs w:val="21"/>
          <w:highlight w:val="none"/>
        </w:rPr>
        <w:t xml:space="preserve">乙方的管理和服务标准</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5</w:t>
      </w:r>
      <w:r>
        <w:rPr>
          <w:rFonts w:hint="default" w:ascii="Times New Roman" w:hAnsi="Times New Roman" w:eastAsia="宋体" w:cs="宋体"/>
          <w:sz w:val="24"/>
          <w:szCs w:val="21"/>
          <w:highlight w:val="none"/>
        </w:rPr>
        <w:t xml:space="preserve">.1  托管期限内，托管区域内的供暖（冷）、用电、用水、用气等系统的经营及管理权归</w:t>
      </w:r>
      <w:r>
        <w:rPr>
          <w:rFonts w:hint="eastAsia" w:ascii="Times New Roman" w:hAnsi="Times New Roman" w:eastAsia="宋体" w:cs="宋体"/>
          <w:sz w:val="24"/>
          <w:szCs w:val="21"/>
          <w:highlight w:val="none"/>
        </w:rPr>
        <w:t xml:space="preserve">乙方。</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5</w:t>
      </w:r>
      <w:r>
        <w:rPr>
          <w:rFonts w:hint="default" w:ascii="Times New Roman" w:hAnsi="Times New Roman" w:eastAsia="宋体" w:cs="宋体"/>
          <w:sz w:val="24"/>
          <w:szCs w:val="21"/>
          <w:highlight w:val="none"/>
        </w:rPr>
        <w:t xml:space="preserve">.2  乙方在本项目设有专门的能源管理人员负责托管事宜，并建立专业的管理团队提供服务。</w:t>
      </w:r>
      <w:r/>
    </w:p>
    <w:p>
      <w:pPr>
        <w:ind w:firstLine="482"/>
        <w:spacing w:line="360" w:lineRule="auto"/>
        <w:rPr>
          <w:rFonts w:hint="default" w:ascii="Times New Roman" w:hAnsi="Times New Roman" w:eastAsia="宋体" w:cs="宋体"/>
          <w:sz w:val="18"/>
          <w:szCs w:val="18"/>
          <w:highlight w:val="none"/>
        </w:rPr>
      </w:pPr>
      <w:r>
        <w:rPr>
          <w:rFonts w:hint="eastAsia" w:ascii="Times New Roman" w:hAnsi="Times New Roman" w:eastAsia="宋体" w:cs="宋体"/>
          <w:sz w:val="24"/>
          <w:szCs w:val="21"/>
          <w:highlight w:val="none"/>
        </w:rPr>
        <w:t xml:space="preserve">5</w:t>
      </w:r>
      <w:r>
        <w:rPr>
          <w:rFonts w:hint="default" w:ascii="Times New Roman" w:hAnsi="Times New Roman" w:eastAsia="宋体" w:cs="宋体"/>
          <w:sz w:val="24"/>
          <w:szCs w:val="21"/>
          <w:highlight w:val="none"/>
        </w:rPr>
        <w:t xml:space="preserve">.3  乙方提供的服务范围和项目包括：用电、供暖、供冷、燃气、用水系统。</w:t>
      </w:r>
      <w:r>
        <w:rPr>
          <w:rFonts w:hint="default" w:ascii="Times New Roman" w:hAnsi="Times New Roman" w:eastAsia="宋体" w:cs="宋体"/>
          <w:sz w:val="18"/>
          <w:szCs w:val="18"/>
          <w:highlight w:val="none"/>
        </w:rPr>
        <w:t xml:space="preserve">（注：服务范围和内容应当具体全面。）</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Times New Roman"/>
          <w:sz w:val="24"/>
          <w:szCs w:val="21"/>
          <w:highlight w:val="none"/>
        </w:rPr>
        <w:t xml:space="preserve">5</w:t>
      </w:r>
      <w:r>
        <w:rPr>
          <w:rFonts w:hint="default" w:ascii="Times New Roman" w:hAnsi="Times New Roman" w:eastAsia="宋体" w:cs="Times New Roman"/>
          <w:sz w:val="24"/>
          <w:szCs w:val="21"/>
          <w:highlight w:val="none"/>
        </w:rPr>
        <w:t xml:space="preserve">.4  </w:t>
      </w:r>
      <w:r>
        <w:rPr>
          <w:rFonts w:hint="default" w:ascii="Times New Roman" w:hAnsi="Times New Roman" w:eastAsia="宋体" w:cs="宋体"/>
          <w:sz w:val="24"/>
          <w:szCs w:val="21"/>
          <w:highlight w:val="none"/>
        </w:rPr>
        <w:t xml:space="preserve">乙方的服务标准</w:t>
      </w:r>
      <w:r/>
    </w:p>
    <w:p>
      <w:pPr>
        <w:ind w:firstLine="482"/>
        <w:spacing w:line="360" w:lineRule="auto"/>
        <w:rPr>
          <w:rFonts w:hint="default" w:ascii="Times New Roman" w:hAnsi="Times New Roman" w:eastAsia="宋体" w:cs="宋体"/>
          <w:sz w:val="24"/>
          <w:szCs w:val="18"/>
          <w:highlight w:val="none"/>
        </w:rPr>
      </w:pPr>
      <w:r>
        <w:rPr>
          <w:rFonts w:hint="eastAsia" w:ascii="Times New Roman" w:hAnsi="Times New Roman" w:eastAsia="宋体" w:cs="Times New Roman"/>
          <w:sz w:val="24"/>
          <w:szCs w:val="21"/>
          <w:highlight w:val="none"/>
        </w:rPr>
        <w:t xml:space="preserve">5</w:t>
      </w:r>
      <w:r>
        <w:rPr>
          <w:rFonts w:hint="default" w:ascii="Times New Roman" w:hAnsi="Times New Roman" w:eastAsia="宋体" w:cs="Times New Roman"/>
          <w:sz w:val="24"/>
          <w:szCs w:val="21"/>
          <w:highlight w:val="none"/>
        </w:rPr>
        <w:t xml:space="preserve">.4.1 </w:t>
      </w:r>
      <w:r>
        <w:rPr>
          <w:rFonts w:hint="default" w:ascii="Times New Roman" w:hAnsi="Times New Roman" w:eastAsia="宋体" w:cs="Times New Roman"/>
          <w:sz w:val="24"/>
          <w:szCs w:val="21"/>
          <w:highlight w:val="none"/>
        </w:rPr>
        <w:t xml:space="preserve"> </w:t>
      </w:r>
      <w:r>
        <w:rPr>
          <w:rFonts w:hint="default" w:ascii="Times New Roman" w:hAnsi="Times New Roman" w:eastAsia="宋体" w:cs="宋体"/>
          <w:sz w:val="24"/>
          <w:szCs w:val="21"/>
          <w:highlight w:val="none"/>
        </w:rPr>
        <w:t xml:space="preserve">供暖期间的室内温度标准</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≤20度</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，供冷期间的室内温度标准</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≥26度</w:t>
      </w:r>
      <w:r>
        <w:rPr>
          <w:rFonts w:hint="default" w:ascii="Times New Roman" w:hAnsi="Times New Roman" w:eastAsia="宋体" w:cs="宋体"/>
          <w:sz w:val="24"/>
          <w:szCs w:val="21"/>
          <w:highlight w:val="none"/>
        </w:rPr>
        <w:t xml:space="preserve">。</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Times New Roman"/>
          <w:sz w:val="24"/>
          <w:szCs w:val="21"/>
          <w:highlight w:val="none"/>
        </w:rPr>
        <w:t xml:space="preserve">5</w:t>
      </w:r>
      <w:r>
        <w:rPr>
          <w:rFonts w:hint="default" w:ascii="Times New Roman" w:hAnsi="Times New Roman" w:eastAsia="宋体" w:cs="Times New Roman"/>
          <w:sz w:val="24"/>
          <w:szCs w:val="21"/>
          <w:highlight w:val="none"/>
        </w:rPr>
        <w:t xml:space="preserve">.4.2  </w:t>
      </w:r>
      <w:r>
        <w:rPr>
          <w:rFonts w:hint="default" w:ascii="Times New Roman" w:hAnsi="Times New Roman" w:eastAsia="宋体" w:cs="宋体"/>
          <w:sz w:val="24"/>
          <w:szCs w:val="21"/>
          <w:highlight w:val="none"/>
        </w:rPr>
        <w:t xml:space="preserve">托管期间，</w:t>
      </w:r>
      <w:r>
        <w:rPr>
          <w:rFonts w:hint="eastAsia" w:ascii="Times New Roman" w:hAnsi="Times New Roman" w:eastAsia="宋体" w:cs="宋体"/>
          <w:sz w:val="24"/>
          <w:szCs w:val="21"/>
          <w:highlight w:val="none"/>
          <w:u w:val="single"/>
        </w:rPr>
        <w:t xml:space="preserve">乙方投入</w:t>
      </w:r>
      <w:r>
        <w:rPr>
          <w:rFonts w:hint="default" w:ascii="Times New Roman" w:hAnsi="Times New Roman" w:eastAsia="宋体" w:cs="宋体"/>
          <w:sz w:val="24"/>
          <w:szCs w:val="21"/>
          <w:highlight w:val="none"/>
        </w:rPr>
        <w:t xml:space="preserve">设备的维护、保养由乙方负责，维护保养频次为</w:t>
      </w:r>
      <w:r>
        <w:rPr>
          <w:rFonts w:hint="eastAsia" w:ascii="Times New Roman" w:hAnsi="Times New Roman" w:eastAsia="宋体" w:cs="宋体"/>
          <w:sz w:val="24"/>
          <w:szCs w:val="21"/>
          <w:highlight w:val="none"/>
          <w:u w:val="single"/>
        </w:rPr>
        <w:t xml:space="preserve">每年</w:t>
      </w:r>
      <w:r>
        <w:rPr>
          <w:rFonts w:hint="eastAsia" w:cs="宋体"/>
          <w:sz w:val="24"/>
          <w:szCs w:val="21"/>
          <w:highlight w:val="none"/>
          <w:u w:val="single"/>
          <w:lang w:val="en-US" w:eastAsia="zh-CN"/>
        </w:rPr>
        <w:t xml:space="preserve">至少</w:t>
      </w:r>
      <w:r>
        <w:rPr>
          <w:rFonts w:hint="eastAsia" w:ascii="Times New Roman" w:hAnsi="Times New Roman" w:eastAsia="宋体" w:cs="宋体"/>
          <w:sz w:val="24"/>
          <w:szCs w:val="21"/>
          <w:highlight w:val="none"/>
          <w:u w:val="single"/>
        </w:rPr>
        <w:t xml:space="preserve">一次</w:t>
      </w:r>
      <w:r>
        <w:rPr>
          <w:rFonts w:hint="default" w:ascii="Times New Roman" w:hAnsi="Times New Roman" w:eastAsia="宋体" w:cs="宋体"/>
          <w:sz w:val="24"/>
          <w:szCs w:val="21"/>
          <w:highlight w:val="none"/>
        </w:rPr>
        <w:t xml:space="preserve">。</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Times New Roman"/>
          <w:sz w:val="24"/>
          <w:szCs w:val="21"/>
          <w:highlight w:val="none"/>
        </w:rPr>
        <w:t xml:space="preserve">5</w:t>
      </w:r>
      <w:r>
        <w:rPr>
          <w:rFonts w:hint="default" w:ascii="Times New Roman" w:hAnsi="Times New Roman" w:eastAsia="宋体" w:cs="Times New Roman"/>
          <w:sz w:val="24"/>
          <w:szCs w:val="21"/>
          <w:highlight w:val="none"/>
        </w:rPr>
        <w:t xml:space="preserve">.4.3  </w:t>
      </w:r>
      <w:r>
        <w:rPr>
          <w:rFonts w:hint="default" w:ascii="Times New Roman" w:hAnsi="Times New Roman" w:eastAsia="宋体" w:cs="宋体"/>
          <w:sz w:val="24"/>
          <w:szCs w:val="21"/>
          <w:highlight w:val="none"/>
        </w:rPr>
        <w:t xml:space="preserve">托管期间，</w:t>
      </w:r>
      <w:r>
        <w:rPr>
          <w:rFonts w:hint="eastAsia" w:ascii="Times New Roman" w:hAnsi="Times New Roman" w:eastAsia="宋体" w:cs="宋体"/>
          <w:sz w:val="24"/>
          <w:szCs w:val="21"/>
          <w:highlight w:val="none"/>
          <w:u w:val="single"/>
        </w:rPr>
        <w:t xml:space="preserve">乙方投入</w:t>
      </w:r>
      <w:r>
        <w:rPr>
          <w:rFonts w:hint="default" w:ascii="Times New Roman" w:hAnsi="Times New Roman" w:eastAsia="宋体" w:cs="宋体"/>
          <w:sz w:val="24"/>
          <w:szCs w:val="21"/>
          <w:highlight w:val="none"/>
        </w:rPr>
        <w:t xml:space="preserve">设备的维修由乙方负责，报修方式为</w:t>
      </w:r>
      <w:r>
        <w:rPr>
          <w:rFonts w:hint="eastAsia" w:ascii="Times New Roman" w:hAnsi="Times New Roman" w:eastAsia="宋体" w:cs="宋体"/>
          <w:sz w:val="24"/>
          <w:szCs w:val="21"/>
          <w:highlight w:val="none"/>
          <w:u w:val="single"/>
        </w:rPr>
        <w:t xml:space="preserve">电话、短信、微信、信函等</w:t>
      </w:r>
      <w:r>
        <w:rPr>
          <w:rFonts w:hint="default" w:ascii="Times New Roman" w:hAnsi="Times New Roman" w:eastAsia="宋体" w:cs="宋体"/>
          <w:sz w:val="24"/>
          <w:szCs w:val="21"/>
          <w:highlight w:val="none"/>
        </w:rPr>
        <w:t xml:space="preserve">。设备检修服务的时限为接到通知后</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24</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小时内到场，</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48</w:t>
      </w:r>
      <w:r>
        <w:rPr>
          <w:rFonts w:hint="default" w:ascii="Times New Roman" w:hAnsi="Times New Roman" w:eastAsia="宋体" w:cs="宋体"/>
          <w:sz w:val="24"/>
          <w:szCs w:val="21"/>
          <w:highlight w:val="none"/>
        </w:rPr>
        <w:t xml:space="preserve"> 小时内处理完毕。设备抢修服务的时限为接到通知后</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2 </w:t>
      </w:r>
      <w:r>
        <w:rPr>
          <w:rFonts w:hint="default" w:ascii="Times New Roman" w:hAnsi="Times New Roman" w:eastAsia="宋体" w:cs="宋体"/>
          <w:sz w:val="24"/>
          <w:szCs w:val="21"/>
          <w:highlight w:val="none"/>
        </w:rPr>
        <w:t xml:space="preserve">小时到场，</w:t>
      </w:r>
      <w:r>
        <w:rPr>
          <w:rFonts w:hint="default" w:ascii="Times New Roman" w:hAnsi="Times New Roman" w:eastAsia="宋体" w:cs="宋体"/>
          <w:sz w:val="24"/>
          <w:szCs w:val="21"/>
          <w:highlight w:val="none"/>
          <w:u w:val="single"/>
        </w:rPr>
        <w:t xml:space="preserve"> </w:t>
      </w:r>
      <w:r>
        <w:rPr>
          <w:rFonts w:hint="eastAsia" w:ascii="Times New Roman" w:hAnsi="Times New Roman" w:eastAsia="宋体" w:cs="宋体"/>
          <w:sz w:val="24"/>
          <w:szCs w:val="21"/>
          <w:highlight w:val="none"/>
          <w:u w:val="single"/>
        </w:rPr>
        <w:t xml:space="preserve">8</w:t>
      </w:r>
      <w:r>
        <w:rPr>
          <w:rFonts w:hint="default" w:ascii="Times New Roman" w:hAnsi="Times New Roman" w:eastAsia="宋体" w:cs="宋体"/>
          <w:sz w:val="24"/>
          <w:szCs w:val="21"/>
          <w:highlight w:val="none"/>
          <w:u w:val="single"/>
        </w:rPr>
        <w:t xml:space="preserve"> </w:t>
      </w:r>
      <w:r>
        <w:rPr>
          <w:rFonts w:hint="default" w:ascii="Times New Roman" w:hAnsi="Times New Roman" w:eastAsia="宋体" w:cs="宋体"/>
          <w:sz w:val="24"/>
          <w:szCs w:val="21"/>
          <w:highlight w:val="none"/>
        </w:rPr>
        <w:t xml:space="preserve">小时内处理完毕。</w:t>
      </w:r>
      <w:r/>
    </w:p>
    <w:p>
      <w:pPr>
        <w:ind w:firstLine="482"/>
        <w:spacing w:line="360" w:lineRule="auto"/>
        <w:rPr>
          <w:rFonts w:hint="default" w:ascii="Times New Roman" w:hAnsi="Times New Roman" w:eastAsia="宋体" w:cs="Times New Roman"/>
          <w:position w:val="19"/>
          <w:sz w:val="24"/>
          <w:szCs w:val="21"/>
          <w:highlight w:val="none"/>
        </w:rPr>
      </w:pPr>
      <w:r>
        <w:rPr>
          <w:rFonts w:hint="eastAsia" w:ascii="Times New Roman" w:hAnsi="Times New Roman" w:eastAsia="宋体" w:cs="Times New Roman"/>
          <w:position w:val="19"/>
          <w:sz w:val="24"/>
          <w:szCs w:val="21"/>
          <w:highlight w:val="none"/>
        </w:rPr>
        <w:t xml:space="preserve">5.4.4  托管期间，</w:t>
      </w:r>
      <w:r>
        <w:rPr>
          <w:rFonts w:hint="eastAsia" w:ascii="Times New Roman" w:hAnsi="Times New Roman" w:eastAsia="宋体" w:cs="Times New Roman"/>
          <w:position w:val="19"/>
          <w:sz w:val="24"/>
          <w:szCs w:val="21"/>
          <w:highlight w:val="none"/>
          <w:u w:val="single"/>
        </w:rPr>
        <w:t xml:space="preserve"> 项目涉及的 </w:t>
      </w:r>
      <w:r>
        <w:rPr>
          <w:rFonts w:hint="eastAsia" w:ascii="Times New Roman" w:hAnsi="Times New Roman" w:eastAsia="宋体" w:cs="Times New Roman"/>
          <w:position w:val="19"/>
          <w:sz w:val="24"/>
          <w:szCs w:val="21"/>
          <w:highlight w:val="none"/>
        </w:rPr>
        <w:t xml:space="preserve">（用能系统）设备开关由</w:t>
      </w:r>
      <w:r>
        <w:rPr>
          <w:rFonts w:hint="eastAsia" w:ascii="Times New Roman" w:hAnsi="Times New Roman" w:eastAsia="宋体" w:cs="Times New Roman"/>
          <w:position w:val="19"/>
          <w:sz w:val="24"/>
          <w:szCs w:val="21"/>
          <w:highlight w:val="none"/>
          <w:u w:val="single"/>
        </w:rPr>
        <w:t xml:space="preserve"> 乙方 </w:t>
      </w:r>
      <w:r>
        <w:rPr>
          <w:rFonts w:hint="eastAsia" w:ascii="Times New Roman" w:hAnsi="Times New Roman" w:eastAsia="宋体" w:cs="Times New Roman"/>
          <w:position w:val="19"/>
          <w:sz w:val="24"/>
          <w:szCs w:val="21"/>
          <w:highlight w:val="none"/>
        </w:rPr>
        <w:t xml:space="preserve">负责执行，设备开关及控制策略由乙方制定后报业主方审核确认。</w:t>
      </w:r>
      <w:r/>
    </w:p>
    <w:p>
      <w:pPr>
        <w:ind w:firstLine="482"/>
        <w:spacing w:line="360" w:lineRule="auto"/>
        <w:rPr>
          <w:rFonts w:hint="default" w:ascii="Times New Roman" w:hAnsi="Times New Roman" w:eastAsia="宋体" w:cs="Times New Roman"/>
          <w:position w:val="19"/>
          <w:sz w:val="24"/>
          <w:szCs w:val="21"/>
          <w:highlight w:val="none"/>
        </w:rPr>
      </w:pPr>
      <w:r>
        <w:rPr>
          <w:rFonts w:hint="eastAsia" w:ascii="Times New Roman" w:hAnsi="Times New Roman" w:eastAsia="宋体" w:cs="Times New Roman"/>
          <w:position w:val="19"/>
          <w:sz w:val="24"/>
          <w:szCs w:val="21"/>
          <w:highlight w:val="none"/>
        </w:rPr>
        <w:t xml:space="preserve">5.5  乙方的服务标准应当体现文明、高效、及时、优质的服务。</w:t>
      </w:r>
      <w:r/>
    </w:p>
    <w:p>
      <w:pPr>
        <w:spacing w:line="360" w:lineRule="auto"/>
        <w:rPr>
          <w:rFonts w:hint="default" w:ascii="Times New Roman" w:hAnsi="Times New Roman" w:eastAsia="黑体" w:cs="宋体"/>
          <w:bCs/>
          <w:spacing w:val="-5"/>
          <w:sz w:val="28"/>
          <w:szCs w:val="21"/>
          <w:highlight w:val="none"/>
        </w:rPr>
        <w:outlineLvl w:val="0"/>
      </w:pPr>
      <w:r>
        <w:rPr>
          <w:rFonts w:hint="default" w:ascii="Times New Roman" w:hAnsi="Times New Roman" w:eastAsia="黑体" w:cs="宋体"/>
          <w:bCs/>
          <w:spacing w:val="-5"/>
          <w:sz w:val="28"/>
          <w:szCs w:val="21"/>
          <w:highlight w:val="none"/>
        </w:rPr>
        <w:t xml:space="preserve">第</w:t>
      </w:r>
      <w:r>
        <w:rPr>
          <w:rFonts w:hint="eastAsia" w:ascii="Times New Roman" w:hAnsi="Times New Roman" w:eastAsia="黑体" w:cs="宋体"/>
          <w:bCs/>
          <w:spacing w:val="-5"/>
          <w:sz w:val="28"/>
          <w:szCs w:val="21"/>
          <w:highlight w:val="none"/>
        </w:rPr>
        <w:t xml:space="preserve">六</w:t>
      </w:r>
      <w:r>
        <w:rPr>
          <w:rFonts w:hint="default" w:ascii="Times New Roman" w:hAnsi="Times New Roman" w:eastAsia="黑体" w:cs="宋体"/>
          <w:bCs/>
          <w:spacing w:val="-5"/>
          <w:sz w:val="28"/>
          <w:szCs w:val="21"/>
          <w:highlight w:val="none"/>
        </w:rPr>
        <w:t xml:space="preserve">条 </w:t>
      </w:r>
      <w:r>
        <w:rPr>
          <w:rFonts w:hint="eastAsia" w:ascii="Times New Roman" w:hAnsi="Times New Roman" w:eastAsia="黑体" w:cs="宋体"/>
          <w:bCs/>
          <w:spacing w:val="-5"/>
          <w:sz w:val="28"/>
          <w:szCs w:val="21"/>
          <w:highlight w:val="none"/>
        </w:rPr>
        <w:t xml:space="preserve">三方</w:t>
      </w:r>
      <w:r>
        <w:rPr>
          <w:rFonts w:hint="default" w:ascii="Times New Roman" w:hAnsi="Times New Roman" w:eastAsia="黑体" w:cs="宋体"/>
          <w:bCs/>
          <w:spacing w:val="-5"/>
          <w:sz w:val="28"/>
          <w:szCs w:val="21"/>
          <w:highlight w:val="none"/>
        </w:rPr>
        <w:t xml:space="preserve">责任</w:t>
      </w:r>
      <w:r/>
    </w:p>
    <w:p>
      <w:pPr>
        <w:ind w:firstLine="482"/>
        <w:spacing w:line="360" w:lineRule="auto"/>
        <w:rPr>
          <w:rFonts w:hint="default" w:ascii="Times New Roman" w:hAnsi="Times New Roman" w:eastAsia="宋体" w:cs="Times New Roman"/>
          <w:spacing w:val="-6"/>
          <w:position w:val="19"/>
          <w:sz w:val="24"/>
          <w:szCs w:val="21"/>
          <w:highlight w:val="none"/>
        </w:rPr>
      </w:pPr>
      <w:r>
        <w:rPr>
          <w:rFonts w:hint="eastAsia" w:ascii="Times New Roman" w:hAnsi="Times New Roman" w:eastAsia="宋体" w:cs="Times New Roman"/>
          <w:spacing w:val="-6"/>
          <w:position w:val="19"/>
          <w:sz w:val="24"/>
          <w:szCs w:val="21"/>
          <w:highlight w:val="none"/>
        </w:rPr>
        <w:t xml:space="preserve">6.1  甲、乙、丙三方应当建立健全能源管理使用制度，各方人员应当切实遵守。相关的能源管理使用制度应当由三方签字确认。</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6.2  甲、乙、丙三方应当建立能源托管日常工作协调机制，定期组织三方现场管理人员召开工作例会；每年度进行一次综合分析评估，协商解决因客观情况变化而产生的利益分配等问题。</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6.3  甲方义务</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甲方应协助乙方办理甲方燃气和电费、水费分割手续，实际每月产生的燃气费、电费、水费由乙方承担并直接支付给燃气公司、电力公司、水务集团，发票抬头为乙方。为了便于管理及核算项目节能量，能源过户时三方应确定各计量仪表的过户数量、覆盖范围、计量底数及仪表编码等。</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（2）甲方应当与乙方共同协商做好原设备操作人员工作安排，由甲乙丙三方共同管理相关人员。</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（3）甲方应当提供必要的资料，协助、配合第三方机构开展节能量测量和验证。在托管期间积极配合政府主管部门对托管项目进行核查和监督，并提供有关证明材料。</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（4）甲方应当切实履行节能管理主体责任，加强对各用能单位和用能场所的管控，强化日常考核和监督检查，形成合理用能、节约用能的良好场景。</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（5）有新增/减设备或用能区域变更的需提前向乙方提供增/减设备或变更情况的书面记录。</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（6）甲方应当将与托管项目有关的其内部规章制度和特殊安全规定提前告知乙方并书面提交给乙方。</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（7）甲方应当协助乙方向有关政府机构或者组织申请与项目相关的补助、奖励或其他可适用的优惠政策。</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（8）甲方应当为乙方的管理服务工作提供必要的方便条件，包括但不限于提供必要的场所、通讯、水电以及合理调整办公、设备试运行等便利。</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（9）甲方应当组织有关用能岗位的人员学习能源管理使用的规章制度并切实遵守；应配合乙方落实合同约定的用能系统设备开关策略及能源供应标准。</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10）为更好的开展精细化能源管理，甲方授权乙方在托管期间有权利采集、存储、加工、分析使用能耗数据，但乙方需对能耗数据承担保密义务，且未经甲方同意，乙方不得运用该数据从事商业活动、获取商业利益、发表文章等，在三方未签署保密协议得情况下，乙方不得收集、存储、加工、分析使用甲方的能耗数据，否则构成根本违约。</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（11）甲方应当配合乙方完成办理能源过户的相关手续。</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12）项目进入托管期后，甲方应当配合乙方紧密协同开展精细化能源管理，确保实现既定节能降碳目标。同时甲方应当配合乙方积极开展市场化售电、虚拟电厂、碳交易、碳资产等相关新型综合能源服务业务，进一步提升托管项目收益。</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（13）甲方应当配合乙方进行市场化售电的入市工作。</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（14）甲方应及时按月支付</w:t>
      </w:r>
      <w:r>
        <w:rPr>
          <w:rFonts w:hint="eastAsia" w:cs="宋体"/>
          <w:spacing w:val="-2"/>
          <w:position w:val="19"/>
          <w:sz w:val="24"/>
          <w:szCs w:val="21"/>
          <w:highlight w:val="none"/>
          <w:lang w:val="en-US" w:eastAsia="zh-CN"/>
        </w:rPr>
        <w:t xml:space="preserve">托管服务</w:t>
      </w:r>
      <w:r>
        <w:rPr>
          <w:rFonts w:hint="eastAsia" w:ascii="Times New Roman" w:hAnsi="Times New Roman" w:eastAsia="宋体" w:cs="宋体"/>
          <w:spacing w:val="-2"/>
          <w:position w:val="19"/>
          <w:sz w:val="24"/>
          <w:szCs w:val="21"/>
          <w:highlight w:val="none"/>
        </w:rPr>
        <w:t xml:space="preserve">费用。</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6.4  乙方义务</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（1）乙方应当配合甲方建立和完善能源管理和使用规章制度，并组织甲方有关用能岗位的人员学习落实，同时定期对能源使用情况进行检查和监督，制止能源浪费行为。</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（2）乙方投资的设备、工程等在合同期内的维保及质量问题由乙方负责，并应定期向甲方提供设备维护、更新情况记录。</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（3）乙方应在完成所投资设备的安装和调试后，对甲方指派的操作人员定期进行专业培训，以使其能承担相应的操作和设施维护要求。</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（4）乙方若发现有私自拆、改、破坏能源系统的行为应及时上报甲方，并马上采取措施制止，若严重威胁到能源系统的可暂停服务。</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（5）因乙方未缴纳能源费用或乙方实施改造原因，导致甲方断水、断电、断天然气事故或造成其他损失的，责任由乙方承担，但不可抗力或甲方有违约行为的除外。</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（6）乙方应负责本方人员的安全管理，在合同履行期内，因乙方原因出现的安全（工伤）事故由乙方负责承担。</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乙方管理人员进入甲方的相关场所，应当遵守甲方的规章制度。乙方的维修维护管理等各项工作，应当不影响甲方的正常工作。必须要甲方停止相关工作时，乙方应当提前通报甲方的负责人，协调安排好相应的工作。</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（8）乙方应当协助、配合第三方机构或者甲方开展节能量测量和验证。</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9）项目进入托管期后，乙方与甲方紧密协同开展精细化能源管理，确保实现既定节能降碳目标。同时乙方应积极开展市场化售电、虚拟电厂、碳交易、碳资产等相关新型综合能源服务业务，进一步提升托管项目收益。</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6.5  丙方义务</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（1）丙方应配合协调甲乙双方完成能源审计基准核定、专家论证、托管能源过户、托管结算等相关事宜。</w:t>
      </w:r>
      <w:r/>
    </w:p>
    <w:p>
      <w:pPr>
        <w:ind w:firstLine="482"/>
        <w:spacing w:line="360" w:lineRule="auto"/>
        <w:rPr>
          <w:rFonts w:hint="eastAsia" w:cs="宋体"/>
          <w:spacing w:val="-2"/>
          <w:position w:val="19"/>
          <w:sz w:val="24"/>
          <w:szCs w:val="21"/>
          <w:highlight w:val="none"/>
          <w:lang w:eastAsia="zh-CN"/>
        </w:rPr>
      </w:pPr>
      <w:r>
        <w:rPr>
          <w:rFonts w:hint="eastAsia" w:ascii="Times New Roman" w:hAnsi="Times New Roman" w:eastAsia="宋体" w:cs="宋体"/>
          <w:spacing w:val="-2"/>
          <w:position w:val="19"/>
          <w:sz w:val="24"/>
          <w:szCs w:val="21"/>
          <w:highlight w:val="none"/>
        </w:rPr>
        <w:t xml:space="preserve">（2）乙方完成项目建设后丙方应配合甲乙双方组织项目验收</w:t>
      </w:r>
      <w:r>
        <w:rPr>
          <w:rFonts w:hint="eastAsia" w:cs="宋体"/>
          <w:spacing w:val="-2"/>
          <w:position w:val="19"/>
          <w:sz w:val="24"/>
          <w:szCs w:val="21"/>
          <w:highlight w:val="none"/>
          <w:lang w:eastAsia="zh-CN"/>
        </w:rPr>
        <w:t xml:space="preserve">。</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6.6  其他需要互相配合的事项：</w:t>
      </w:r>
      <w:r>
        <w:rPr>
          <w:rFonts w:hint="eastAsia" w:ascii="Times New Roman" w:hAnsi="Times New Roman" w:eastAsia="宋体" w:cs="宋体"/>
          <w:spacing w:val="-2"/>
          <w:position w:val="19"/>
          <w:sz w:val="24"/>
          <w:szCs w:val="21"/>
          <w:highlight w:val="none"/>
          <w:u w:val="single"/>
        </w:rPr>
        <w:t xml:space="preserve"> 非工作时间内供冷/热，需要提前书面通知调整 </w:t>
      </w:r>
      <w:r>
        <w:rPr>
          <w:rFonts w:hint="eastAsia" w:ascii="Times New Roman" w:hAnsi="Times New Roman" w:eastAsia="宋体" w:cs="宋体"/>
          <w:spacing w:val="-2"/>
          <w:position w:val="19"/>
          <w:sz w:val="24"/>
          <w:szCs w:val="21"/>
          <w:highlight w:val="none"/>
        </w:rPr>
        <w:t xml:space="preserve">。</w:t>
      </w:r>
      <w:r/>
    </w:p>
    <w:p>
      <w:pPr>
        <w:ind w:firstLine="482"/>
        <w:spacing w:line="360" w:lineRule="auto"/>
        <w:rPr>
          <w:rFonts w:hint="default" w:ascii="Times New Roman" w:hAnsi="Times New Roman" w:eastAsia="宋体" w:cs="宋体"/>
          <w:spacing w:val="-4"/>
          <w:position w:val="19"/>
          <w:sz w:val="24"/>
          <w:szCs w:val="21"/>
          <w:highlight w:val="none"/>
        </w:rPr>
      </w:pPr>
      <w:r>
        <w:rPr>
          <w:rFonts w:hint="eastAsia" w:ascii="Times New Roman" w:hAnsi="Times New Roman" w:eastAsia="宋体" w:cs="宋体"/>
          <w:spacing w:val="-2"/>
          <w:position w:val="19"/>
          <w:sz w:val="24"/>
          <w:szCs w:val="21"/>
          <w:highlight w:val="none"/>
        </w:rPr>
        <w:t xml:space="preserve">6.7  甲方的项目负责人为：</w:t>
      </w:r>
      <w:r>
        <w:rPr>
          <w:rFonts w:hint="eastAsia" w:ascii="Times New Roman" w:hAnsi="Times New Roman" w:eastAsia="宋体" w:cs="宋体"/>
          <w:spacing w:val="-2"/>
          <w:position w:val="19"/>
          <w:sz w:val="24"/>
          <w:szCs w:val="21"/>
          <w:highlight w:val="none"/>
          <w:u w:val="single"/>
        </w:rPr>
        <w:t xml:space="preserve">           </w:t>
      </w:r>
      <w:r>
        <w:rPr>
          <w:rFonts w:hint="eastAsia" w:ascii="Times New Roman" w:hAnsi="Times New Roman" w:eastAsia="宋体" w:cs="宋体"/>
          <w:spacing w:val="-2"/>
          <w:position w:val="19"/>
          <w:sz w:val="24"/>
          <w:szCs w:val="21"/>
          <w:highlight w:val="none"/>
        </w:rPr>
        <w:t xml:space="preserve">；乙方的项目负责人为：</w:t>
      </w:r>
      <w:r>
        <w:rPr>
          <w:rFonts w:hint="eastAsia" w:ascii="Times New Roman" w:hAnsi="Times New Roman" w:eastAsia="宋体" w:cs="宋体"/>
          <w:spacing w:val="-2"/>
          <w:position w:val="19"/>
          <w:sz w:val="24"/>
          <w:szCs w:val="21"/>
          <w:highlight w:val="none"/>
          <w:u w:val="single"/>
        </w:rPr>
        <w:t xml:space="preserve">       </w:t>
      </w:r>
      <w:r>
        <w:rPr>
          <w:rFonts w:hint="eastAsia" w:ascii="Times New Roman" w:hAnsi="Times New Roman" w:eastAsia="宋体" w:cs="宋体"/>
          <w:spacing w:val="-2"/>
          <w:position w:val="19"/>
          <w:sz w:val="24"/>
          <w:szCs w:val="21"/>
          <w:highlight w:val="none"/>
        </w:rPr>
        <w:t xml:space="preserve">；丙方的项目负责人为：</w:t>
      </w:r>
      <w:r>
        <w:rPr>
          <w:rFonts w:hint="eastAsia" w:ascii="Times New Roman" w:hAnsi="Times New Roman" w:eastAsia="宋体" w:cs="宋体"/>
          <w:spacing w:val="-2"/>
          <w:position w:val="19"/>
          <w:sz w:val="24"/>
          <w:szCs w:val="21"/>
          <w:highlight w:val="none"/>
          <w:u w:val="single"/>
        </w:rPr>
        <w:t xml:space="preserve">      </w:t>
      </w:r>
      <w:r>
        <w:rPr>
          <w:rFonts w:hint="eastAsia" w:ascii="Times New Roman" w:hAnsi="Times New Roman" w:eastAsia="宋体" w:cs="宋体"/>
          <w:spacing w:val="-2"/>
          <w:position w:val="19"/>
          <w:sz w:val="24"/>
          <w:szCs w:val="21"/>
          <w:highlight w:val="none"/>
        </w:rPr>
        <w:t xml:space="preserve">。任何一方更换项目负责人应以书面形式通知对方。</w:t>
      </w:r>
      <w:r>
        <w:rPr>
          <w:rFonts w:hint="eastAsia" w:ascii="Times New Roman" w:hAnsi="Times New Roman" w:eastAsia="宋体" w:cs="宋体"/>
          <w:spacing w:val="-3"/>
          <w:position w:val="19"/>
          <w:sz w:val="24"/>
          <w:szCs w:val="21"/>
          <w:highlight w:val="none"/>
        </w:rPr>
        <w:t xml:space="preserve">项目负责人可以就本合同的履行过程中的事项签署相关洽商文件，该</w:t>
      </w:r>
      <w:r>
        <w:rPr>
          <w:rFonts w:hint="eastAsia" w:ascii="Times New Roman" w:hAnsi="Times New Roman" w:eastAsia="宋体" w:cs="宋体"/>
          <w:spacing w:val="-4"/>
          <w:position w:val="19"/>
          <w:sz w:val="24"/>
          <w:szCs w:val="21"/>
          <w:highlight w:val="none"/>
        </w:rPr>
        <w:t xml:space="preserve">洽商文件对三方具有约束力，其他相关人员无权签署此类洽商文件。</w:t>
      </w:r>
      <w:r/>
    </w:p>
    <w:p>
      <w:pPr>
        <w:spacing w:line="360" w:lineRule="auto"/>
        <w:rPr>
          <w:rFonts w:hint="default" w:ascii="Times New Roman" w:hAnsi="Times New Roman" w:eastAsia="黑体" w:cs="宋体"/>
          <w:sz w:val="28"/>
          <w:szCs w:val="21"/>
          <w:highlight w:val="none"/>
        </w:rPr>
        <w:outlineLvl w:val="0"/>
      </w:pPr>
      <w:r>
        <w:rPr>
          <w:rFonts w:hint="eastAsia" w:ascii="Times New Roman" w:hAnsi="Times New Roman" w:eastAsia="黑体" w:cs="宋体"/>
          <w:bCs/>
          <w:spacing w:val="-2"/>
          <w:sz w:val="28"/>
          <w:szCs w:val="21"/>
          <w:highlight w:val="none"/>
        </w:rPr>
        <w:t xml:space="preserve">第七条</w:t>
      </w:r>
      <w:r>
        <w:rPr>
          <w:rFonts w:hint="eastAsia" w:ascii="Times New Roman" w:hAnsi="Times New Roman" w:eastAsia="黑体" w:cs="宋体"/>
          <w:spacing w:val="-2"/>
          <w:sz w:val="28"/>
          <w:szCs w:val="21"/>
          <w:highlight w:val="none"/>
        </w:rPr>
        <w:t xml:space="preserve"> </w:t>
      </w:r>
      <w:r>
        <w:rPr>
          <w:rFonts w:hint="eastAsia" w:ascii="Times New Roman" w:hAnsi="Times New Roman" w:eastAsia="黑体" w:cs="宋体"/>
          <w:bCs/>
          <w:spacing w:val="-2"/>
          <w:sz w:val="28"/>
          <w:szCs w:val="21"/>
          <w:highlight w:val="none"/>
        </w:rPr>
        <w:t xml:space="preserve">项目移交事项</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7.1 乙方在接管项目之前，甲、乙、丙三方应当完成附件一的全部工作。在移交之前由丙方主导，甲方配合，乙方参与，三方共同对用能系统进行一次全面检修。检修费用由甲方承担。用能系统移交时甲方应保证设备和设施的完整性和能够正常运行。</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7.2  移交过程中，甲方需要向乙方提供有关项目审批、验收、备案、行政许可等相关手续的复印件，供暖、供电、供水、燃气系统及消防系统申报、批准验收等手续； 供暖及供冷系统相关资料等。</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7.3  移交相关的文件资料包括设备、设施的购买、维修、使用文件、能源管理的规章制度、行政许可证照及其他全部有关文件。</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7.4  其他移交事项：</w:t>
      </w:r>
      <w:r>
        <w:rPr>
          <w:rFonts w:hint="eastAsia" w:ascii="Times New Roman" w:hAnsi="Times New Roman" w:eastAsia="宋体" w:cs="宋体"/>
          <w:spacing w:val="-2"/>
          <w:position w:val="19"/>
          <w:sz w:val="24"/>
          <w:szCs w:val="21"/>
          <w:highlight w:val="none"/>
          <w:u w:val="single"/>
        </w:rPr>
        <w:t xml:space="preserve">   无         </w:t>
      </w:r>
      <w:r>
        <w:rPr>
          <w:rFonts w:hint="eastAsia" w:ascii="Times New Roman" w:hAnsi="Times New Roman" w:eastAsia="宋体" w:cs="宋体"/>
          <w:spacing w:val="-2"/>
          <w:position w:val="19"/>
          <w:sz w:val="24"/>
          <w:szCs w:val="21"/>
          <w:highlight w:val="none"/>
        </w:rPr>
        <w:t xml:space="preserve">。</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7.5  针对移交的设备、设施、物品及有关事项，三方应当签署移交清单。</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7.6  本合同约定的托管期限届满，乙方应将其投资形成的有形和无形资产以人民币壹元价值向甲方移交，同时需移交投资、验收、运行等相关的全部文件资料。</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移交之前由乙方主导，甲方丙方参与，三方共同对用能系统进行一次全面检修。检修费用由乙方承担。用能系统移交时乙方应保证设备和设施的完整性和能够正常运行。</w:t>
      </w:r>
      <w:r/>
    </w:p>
    <w:p>
      <w:pPr>
        <w:ind w:firstLine="482"/>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7.7  本合同第五条第 5.1 款约定的托管期限开始日的30日之前，甲方向乙方的移交事项应当办理完毕，以便于乙方进行准备工作。</w:t>
      </w:r>
      <w:r/>
    </w:p>
    <w:p>
      <w:pPr>
        <w:spacing w:line="360" w:lineRule="auto"/>
        <w:rPr>
          <w:rFonts w:hint="default" w:ascii="Times New Roman" w:hAnsi="Times New Roman" w:eastAsia="黑体" w:cs="宋体"/>
          <w:sz w:val="28"/>
          <w:szCs w:val="21"/>
          <w:highlight w:val="none"/>
        </w:rPr>
        <w:outlineLvl w:val="0"/>
      </w:pPr>
      <w:r>
        <w:rPr>
          <w:rFonts w:hint="default" w:ascii="Times New Roman" w:hAnsi="Times New Roman" w:eastAsia="黑体" w:cs="宋体"/>
          <w:bCs/>
          <w:spacing w:val="-2"/>
          <w:sz w:val="28"/>
          <w:szCs w:val="21"/>
          <w:highlight w:val="none"/>
        </w:rPr>
        <w:t xml:space="preserve">第</w:t>
      </w:r>
      <w:r>
        <w:rPr>
          <w:rFonts w:hint="eastAsia" w:ascii="Times New Roman" w:hAnsi="Times New Roman" w:eastAsia="黑体" w:cs="宋体"/>
          <w:bCs/>
          <w:spacing w:val="-2"/>
          <w:sz w:val="28"/>
          <w:szCs w:val="21"/>
          <w:highlight w:val="none"/>
        </w:rPr>
        <w:t xml:space="preserve">八</w:t>
      </w:r>
      <w:r>
        <w:rPr>
          <w:rFonts w:hint="default" w:ascii="Times New Roman" w:hAnsi="Times New Roman" w:eastAsia="黑体" w:cs="宋体"/>
          <w:bCs/>
          <w:spacing w:val="-2"/>
          <w:sz w:val="28"/>
          <w:szCs w:val="21"/>
          <w:highlight w:val="none"/>
        </w:rPr>
        <w:t xml:space="preserve">条</w:t>
      </w:r>
      <w:r>
        <w:rPr>
          <w:rFonts w:hint="default" w:ascii="Times New Roman" w:hAnsi="Times New Roman" w:eastAsia="黑体" w:cs="宋体"/>
          <w:spacing w:val="-2"/>
          <w:sz w:val="28"/>
          <w:szCs w:val="21"/>
          <w:highlight w:val="none"/>
        </w:rPr>
        <w:t xml:space="preserve"> </w:t>
      </w:r>
      <w:r>
        <w:rPr>
          <w:rFonts w:hint="default" w:ascii="Times New Roman" w:hAnsi="Times New Roman" w:eastAsia="黑体" w:cs="宋体"/>
          <w:bCs/>
          <w:spacing w:val="-2"/>
          <w:sz w:val="28"/>
          <w:szCs w:val="21"/>
          <w:highlight w:val="none"/>
        </w:rPr>
        <w:t xml:space="preserve">托管费用的标准及支付</w:t>
      </w:r>
      <w:r/>
    </w:p>
    <w:p>
      <w:pPr>
        <w:ind w:firstLine="482"/>
        <w:jc w:val="left"/>
        <w:spacing w:line="300" w:lineRule="auto"/>
        <w:rPr>
          <w:rFonts w:hint="eastAsia" w:cs="宋体"/>
          <w:spacing w:val="-2"/>
          <w:position w:val="19"/>
          <w:sz w:val="24"/>
          <w:szCs w:val="21"/>
          <w:highlight w:val="none"/>
          <w:lang w:val="en-US" w:eastAsia="zh-CN"/>
        </w:rPr>
      </w:pPr>
      <w:r>
        <w:rPr>
          <w:rFonts w:hint="eastAsia" w:ascii="Times New Roman" w:hAnsi="Times New Roman" w:eastAsia="宋体" w:cs="宋体"/>
          <w:spacing w:val="-2"/>
          <w:position w:val="19"/>
          <w:sz w:val="24"/>
          <w:szCs w:val="21"/>
          <w:highlight w:val="none"/>
        </w:rPr>
        <w:t xml:space="preserve">8.1  年度能源托管费用包括能源费用和能源系统的日常运营、维修维护管理费、消耗性材料费等。能源托管费用基数为：</w:t>
      </w:r>
      <w:r>
        <w:rPr>
          <w:rFonts w:hint="eastAsia" w:ascii="Times New Roman" w:hAnsi="Times New Roman" w:eastAsia="宋体" w:cs="宋体"/>
          <w:spacing w:val="-2"/>
          <w:position w:val="19"/>
          <w:sz w:val="24"/>
          <w:szCs w:val="21"/>
          <w:highlight w:val="none"/>
          <w:u w:val="single"/>
        </w:rPr>
        <w:t xml:space="preserve">  </w:t>
      </w:r>
      <w:r>
        <w:rPr>
          <w:rFonts w:hint="eastAsia" w:ascii="Times New Roman" w:hAnsi="Times New Roman" w:eastAsia="宋体" w:cs="宋体"/>
          <w:spacing w:val="-2"/>
          <w:position w:val="19"/>
          <w:sz w:val="24"/>
          <w:szCs w:val="21"/>
          <w:highlight w:val="none"/>
        </w:rPr>
        <w:t xml:space="preserve">元/</w:t>
      </w:r>
      <w:r>
        <w:rPr>
          <w:rFonts w:hint="eastAsia" w:cs="宋体"/>
          <w:spacing w:val="-2"/>
          <w:position w:val="19"/>
          <w:sz w:val="24"/>
          <w:szCs w:val="21"/>
          <w:highlight w:val="none"/>
          <w:lang w:val="en-US" w:eastAsia="zh-CN"/>
        </w:rPr>
        <w:t xml:space="preserve">月</w:t>
      </w:r>
      <w:r>
        <w:rPr>
          <w:rFonts w:hint="eastAsia" w:ascii="Times New Roman" w:hAnsi="Times New Roman" w:eastAsia="宋体" w:cs="宋体"/>
          <w:spacing w:val="-2"/>
          <w:position w:val="19"/>
          <w:sz w:val="24"/>
          <w:szCs w:val="21"/>
          <w:highlight w:val="none"/>
        </w:rPr>
        <w:t xml:space="preserve"> ，</w:t>
      </w:r>
      <w:r>
        <w:rPr>
          <w:rFonts w:hint="eastAsia" w:cs="宋体"/>
          <w:spacing w:val="-2"/>
          <w:position w:val="19"/>
          <w:sz w:val="24"/>
          <w:szCs w:val="21"/>
          <w:highlight w:val="none"/>
          <w:lang w:val="en-US" w:eastAsia="zh-CN"/>
        </w:rPr>
        <w:t xml:space="preserve">分项费用以能源审计报告核定的月度基准值为准，分项费用分别为：</w:t>
      </w:r>
      <w:r/>
    </w:p>
    <w:tbl>
      <w:tblPr>
        <w:tblStyle w:val="887"/>
        <w:tblW w:w="5036" w:type="pct"/>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8"/>
        <w:gridCol w:w="598"/>
        <w:gridCol w:w="598"/>
        <w:gridCol w:w="598"/>
        <w:gridCol w:w="598"/>
        <w:gridCol w:w="598"/>
        <w:gridCol w:w="598"/>
        <w:gridCol w:w="598"/>
        <w:gridCol w:w="598"/>
        <w:gridCol w:w="598"/>
        <w:gridCol w:w="598"/>
        <w:gridCol w:w="598"/>
        <w:gridCol w:w="598"/>
        <w:gridCol w:w="598"/>
      </w:tblGrid>
      <w:tr>
        <w:trPr>
          <w:trHeight w:val="321"/>
        </w:trPr>
        <w:tc>
          <w:tcPr>
            <w:gridSpan w:val="2"/>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z w:val="18"/>
                <w:szCs w:val="18"/>
                <w:highlight w:val="none"/>
                <w:lang w:val="en-US" w:eastAsia="zh-CN" w:bidi="ar-SA"/>
              </w:rPr>
            </w:pPr>
            <w:r>
              <w:rPr>
                <w:rFonts w:hint="eastAsia" w:ascii="Times New Roman" w:hAnsi="Times New Roman" w:eastAsia="宋体" w:cs="宋体"/>
                <w:color w:val="000000"/>
                <w:sz w:val="18"/>
                <w:szCs w:val="18"/>
                <w:highlight w:val="none"/>
                <w:lang w:val="en-US" w:eastAsia="zh-CN" w:bidi="ar-SA"/>
              </w:rPr>
              <w:t xml:space="preserve">月份（元/月）</w:t>
            </w:r>
            <w:r/>
          </w:p>
        </w:tc>
        <w:tc>
          <w:tcPr>
            <w:tcW w:w="250" w:type="pct"/>
            <w:vAlign w:val="center"/>
            <w:textDirection w:val="lrTb"/>
            <w:noWrap w:val="false"/>
          </w:tcPr>
          <w:p>
            <w:pPr>
              <w:jc w:val="center"/>
              <w:spacing w:before="68" w:line="233" w:lineRule="auto"/>
              <w:widowControl/>
              <w:rPr>
                <w:rFonts w:hint="default" w:ascii="Times New Roman" w:hAnsi="Times New Roman" w:eastAsia="宋体" w:cs="宋体"/>
                <w:color w:val="000000"/>
                <w:sz w:val="18"/>
                <w:szCs w:val="18"/>
                <w:highlight w:val="none"/>
                <w:lang w:val="en-US" w:eastAsia="zh-CN" w:bidi="ar-SA"/>
              </w:rPr>
            </w:pPr>
            <w:r>
              <w:rPr>
                <w:rFonts w:hint="eastAsia" w:ascii="Times New Roman" w:hAnsi="Times New Roman" w:eastAsia="宋体" w:cs="宋体"/>
                <w:color w:val="000000"/>
                <w:sz w:val="18"/>
                <w:szCs w:val="18"/>
                <w:highlight w:val="none"/>
                <w:lang w:val="en-US" w:eastAsia="zh-CN" w:bidi="ar-SA"/>
              </w:rPr>
              <w:t xml:space="preserve">1</w:t>
            </w:r>
            <w:r/>
          </w:p>
        </w:tc>
        <w:tc>
          <w:tcPr>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2</w:t>
            </w:r>
            <w:r/>
          </w:p>
        </w:tc>
        <w:tc>
          <w:tcPr>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3</w:t>
            </w:r>
            <w:r/>
          </w:p>
        </w:tc>
        <w:tc>
          <w:tcPr>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4</w:t>
            </w:r>
            <w:r/>
          </w:p>
        </w:tc>
        <w:tc>
          <w:tcPr>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5</w:t>
            </w:r>
            <w:r/>
          </w:p>
        </w:tc>
        <w:tc>
          <w:tcPr>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6</w:t>
            </w:r>
            <w:r/>
          </w:p>
        </w:tc>
        <w:tc>
          <w:tcPr>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7</w:t>
            </w:r>
            <w:r/>
          </w:p>
        </w:tc>
        <w:tc>
          <w:tcPr>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8</w:t>
            </w:r>
            <w:r/>
          </w:p>
        </w:tc>
        <w:tc>
          <w:tcPr>
            <w:tcW w:w="250" w:type="pct"/>
            <w:vAlign w:val="center"/>
            <w:textDirection w:val="lrTb"/>
            <w:noWrap w:val="false"/>
          </w:tcPr>
          <w:p>
            <w:pPr>
              <w:jc w:val="center"/>
              <w:spacing w:before="68" w:line="233" w:lineRule="auto"/>
              <w:widowControl/>
              <w:rPr>
                <w:rFonts w:hint="eastAsia"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9</w:t>
            </w:r>
            <w:r/>
          </w:p>
        </w:tc>
        <w:tc>
          <w:tcPr>
            <w:tcW w:w="250" w:type="pct"/>
            <w:vAlign w:val="center"/>
            <w:textDirection w:val="lrTb"/>
            <w:noWrap w:val="false"/>
          </w:tcPr>
          <w:p>
            <w:pPr>
              <w:jc w:val="center"/>
              <w:spacing w:before="68" w:line="233" w:lineRule="auto"/>
              <w:widowControl/>
              <w:rPr>
                <w:rFonts w:hint="default"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10</w:t>
            </w:r>
            <w:r/>
          </w:p>
        </w:tc>
        <w:tc>
          <w:tcPr>
            <w:tcW w:w="250" w:type="pct"/>
            <w:vAlign w:val="center"/>
            <w:textDirection w:val="lrTb"/>
            <w:noWrap w:val="false"/>
          </w:tcPr>
          <w:p>
            <w:pPr>
              <w:jc w:val="center"/>
              <w:spacing w:before="68" w:line="233" w:lineRule="auto"/>
              <w:widowControl/>
              <w:rPr>
                <w:rFonts w:hint="default"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11</w:t>
            </w:r>
            <w:r/>
          </w:p>
        </w:tc>
        <w:tc>
          <w:tcPr>
            <w:tcW w:w="250" w:type="pct"/>
            <w:vAlign w:val="center"/>
            <w:textDirection w:val="lrTb"/>
            <w:noWrap w:val="false"/>
          </w:tcPr>
          <w:p>
            <w:pPr>
              <w:jc w:val="center"/>
              <w:spacing w:before="68" w:line="233" w:lineRule="auto"/>
              <w:widowControl/>
              <w:rPr>
                <w:rFonts w:hint="default" w:ascii="Times New Roman" w:hAnsi="Times New Roman" w:eastAsia="宋体" w:cs="宋体"/>
                <w:color w:val="000000"/>
                <w:spacing w:val="-2"/>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12</w:t>
            </w:r>
            <w:r/>
          </w:p>
        </w:tc>
      </w:tr>
      <w:tr>
        <w:trPr>
          <w:trHeight w:val="316"/>
        </w:trPr>
        <w:tc>
          <w:tcPr>
            <w:tcBorders>
              <w:bottom w:val="none" w:color="000000" w:sz="4" w:space="0"/>
            </w:tcBorders>
            <w:tcW w:w="250" w:type="pct"/>
            <w:vAlign w:val="center"/>
            <w:vMerge w:val="restart"/>
            <w:textDirection w:val="lrTb"/>
            <w:noWrap w:val="false"/>
          </w:tcPr>
          <w:p>
            <w:pPr>
              <w:jc w:val="center"/>
              <w:spacing w:before="59" w:line="220" w:lineRule="auto"/>
              <w:widowControl/>
              <w:rPr>
                <w:rFonts w:ascii="Times New Roman" w:hAnsi="Times New Roman" w:eastAsia="宋体" w:cs="宋体"/>
                <w:color w:val="000000"/>
                <w:sz w:val="18"/>
                <w:szCs w:val="18"/>
                <w:highlight w:val="none"/>
                <w:lang w:val="en-US" w:eastAsia="zh-CN" w:bidi="ar-SA"/>
              </w:rPr>
            </w:pPr>
            <w:r>
              <w:rPr>
                <w:rFonts w:hint="eastAsia" w:ascii="Times New Roman" w:hAnsi="Times New Roman" w:eastAsia="宋体" w:cs="宋体"/>
                <w:color w:val="000000"/>
                <w:spacing w:val="-1"/>
                <w:sz w:val="18"/>
                <w:szCs w:val="18"/>
                <w:highlight w:val="none"/>
                <w:lang w:val="en-US" w:eastAsia="zh-CN" w:bidi="ar-SA"/>
              </w:rPr>
              <w:t xml:space="preserve">托管能源类型</w:t>
            </w:r>
            <w:r/>
          </w:p>
        </w:tc>
        <w:tc>
          <w:tcPr>
            <w:tcW w:w="250" w:type="pct"/>
            <w:vAlign w:val="center"/>
            <w:textDirection w:val="lrTb"/>
            <w:noWrap w:val="false"/>
          </w:tcPr>
          <w:p>
            <w:pPr>
              <w:jc w:val="center"/>
              <w:spacing w:before="64" w:line="225" w:lineRule="auto"/>
              <w:widowControl/>
              <w:rPr>
                <w:rFonts w:ascii="Times New Roman" w:hAnsi="Times New Roman" w:eastAsia="宋体" w:cs="宋体"/>
                <w:color w:val="000000"/>
                <w:sz w:val="18"/>
                <w:szCs w:val="18"/>
                <w:highlight w:val="none"/>
                <w:lang w:val="en-US" w:eastAsia="zh-CN" w:bidi="ar-SA"/>
              </w:rPr>
            </w:pPr>
            <w:r>
              <w:rPr>
                <w:rFonts w:hint="eastAsia" w:ascii="Times New Roman" w:hAnsi="Times New Roman" w:eastAsia="宋体" w:cs="宋体"/>
                <w:color w:val="000000"/>
                <w:sz w:val="18"/>
                <w:szCs w:val="18"/>
                <w:highlight w:val="none"/>
                <w:lang w:val="en-US" w:eastAsia="zh-CN" w:bidi="ar-SA"/>
              </w:rPr>
              <w:t xml:space="preserve">电</w:t>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r>
      <w:tr>
        <w:trPr>
          <w:trHeight w:val="316"/>
        </w:trPr>
        <w:tc>
          <w:tcPr>
            <w:tcBorders>
              <w:top w:val="none" w:color="000000" w:sz="4" w:space="0"/>
              <w:bottom w:val="none" w:color="000000" w:sz="4" w:space="0"/>
            </w:tcBorders>
            <w:tcW w:w="250" w:type="pct"/>
            <w:vAlign w:val="center"/>
            <w:vMerge w:val="continue"/>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spacing w:before="64" w:line="220" w:lineRule="auto"/>
              <w:widowControl/>
              <w:rPr>
                <w:rFonts w:ascii="Times New Roman" w:hAnsi="Times New Roman" w:eastAsia="宋体" w:cs="宋体"/>
                <w:color w:val="000000"/>
                <w:sz w:val="18"/>
                <w:szCs w:val="18"/>
                <w:highlight w:val="none"/>
                <w:lang w:val="en-US" w:eastAsia="zh-CN" w:bidi="ar-SA"/>
              </w:rPr>
            </w:pPr>
            <w:r>
              <w:rPr>
                <w:rFonts w:hint="eastAsia" w:ascii="Times New Roman" w:hAnsi="Times New Roman" w:eastAsia="宋体" w:cs="宋体"/>
                <w:color w:val="000000"/>
                <w:sz w:val="18"/>
                <w:szCs w:val="18"/>
                <w:highlight w:val="none"/>
                <w:lang w:val="en-US" w:eastAsia="zh-CN" w:bidi="ar-SA"/>
              </w:rPr>
              <w:t xml:space="preserve">水</w:t>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r>
      <w:tr>
        <w:trPr>
          <w:trHeight w:val="318"/>
        </w:trPr>
        <w:tc>
          <w:tcPr>
            <w:tcBorders>
              <w:top w:val="none" w:color="000000" w:sz="4" w:space="0"/>
              <w:bottom w:val="none" w:color="000000" w:sz="4" w:space="0"/>
            </w:tcBorders>
            <w:tcW w:w="250" w:type="pct"/>
            <w:vAlign w:val="center"/>
            <w:vMerge w:val="continue"/>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spacing w:before="67" w:line="220" w:lineRule="auto"/>
              <w:widowControl/>
              <w:rPr>
                <w:rFonts w:ascii="Times New Roman" w:hAnsi="Times New Roman" w:eastAsia="宋体" w:cs="宋体"/>
                <w:color w:val="000000"/>
                <w:sz w:val="18"/>
                <w:szCs w:val="18"/>
                <w:highlight w:val="none"/>
                <w:lang w:val="en-US" w:eastAsia="zh-CN" w:bidi="ar-SA"/>
              </w:rPr>
            </w:pPr>
            <w:r>
              <w:rPr>
                <w:rFonts w:hint="eastAsia" w:ascii="Times New Roman" w:hAnsi="Times New Roman" w:eastAsia="宋体" w:cs="宋体"/>
                <w:color w:val="000000"/>
                <w:spacing w:val="-3"/>
                <w:sz w:val="18"/>
                <w:szCs w:val="18"/>
                <w:highlight w:val="none"/>
                <w:lang w:val="en-US" w:eastAsia="zh-CN" w:bidi="ar-SA"/>
              </w:rPr>
              <w:t xml:space="preserve">天然气</w:t>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r>
      <w:tr>
        <w:trPr>
          <w:trHeight w:val="316"/>
        </w:trPr>
        <w:tc>
          <w:tcPr>
            <w:tcBorders>
              <w:top w:val="none" w:color="000000" w:sz="4" w:space="0"/>
              <w:bottom w:val="none" w:color="000000" w:sz="4" w:space="0"/>
            </w:tcBorders>
            <w:tcW w:w="250" w:type="pct"/>
            <w:vAlign w:val="center"/>
            <w:vMerge w:val="continue"/>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spacing w:before="65" w:line="222" w:lineRule="auto"/>
              <w:widowControl/>
              <w:rPr>
                <w:rFonts w:ascii="Times New Roman" w:hAnsi="Times New Roman" w:eastAsia="宋体" w:cs="宋体"/>
                <w:color w:val="000000"/>
                <w:sz w:val="18"/>
                <w:szCs w:val="18"/>
                <w:highlight w:val="none"/>
                <w:lang w:val="en-US" w:eastAsia="zh-CN" w:bidi="ar-SA"/>
              </w:rPr>
            </w:pPr>
            <w:r>
              <w:rPr>
                <w:rFonts w:hint="eastAsia" w:ascii="Times New Roman" w:hAnsi="Times New Roman" w:eastAsia="宋体" w:cs="宋体"/>
                <w:color w:val="000000"/>
                <w:spacing w:val="-3"/>
                <w:sz w:val="18"/>
                <w:szCs w:val="18"/>
                <w:highlight w:val="none"/>
                <w:lang w:val="en-US" w:eastAsia="zh-CN" w:bidi="ar-SA"/>
              </w:rPr>
              <w:t xml:space="preserve">蒸汽</w:t>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r>
      <w:tr>
        <w:trPr>
          <w:trHeight w:val="326"/>
        </w:trPr>
        <w:tc>
          <w:tcPr>
            <w:tcBorders>
              <w:top w:val="none" w:color="000000" w:sz="4" w:space="0"/>
            </w:tcBorders>
            <w:tcW w:w="250" w:type="pct"/>
            <w:vAlign w:val="center"/>
            <w:vMerge w:val="continue"/>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spacing w:before="204" w:line="56" w:lineRule="exact"/>
              <w:rPr>
                <w:rFonts w:hint="default" w:ascii="Times New Roman" w:hAnsi="Times New Roman" w:eastAsia="宋体" w:cs="宋体"/>
                <w:sz w:val="18"/>
                <w:szCs w:val="18"/>
                <w:highlight w:val="none"/>
              </w:rPr>
            </w:pPr>
            <w:r>
              <w:rPr>
                <w:rFonts w:hint="eastAsia" w:ascii="Times New Roman" w:hAnsi="Times New Roman" w:eastAsia="宋体" w:cs="宋体"/>
                <w:position w:val="1"/>
                <w:sz w:val="18"/>
                <w:szCs w:val="18"/>
                <w:highlight w:val="none"/>
              </w:rPr>
              <w:t xml:space="preserve">…</w:t>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c>
          <w:tcPr>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r>
      <w:tr>
        <w:trPr>
          <w:trHeight w:val="320"/>
        </w:trPr>
        <w:tc>
          <w:tcPr>
            <w:gridSpan w:val="2"/>
            <w:tcW w:w="250" w:type="pct"/>
            <w:vAlign w:val="center"/>
            <w:textDirection w:val="lrTb"/>
            <w:noWrap w:val="false"/>
          </w:tcPr>
          <w:p>
            <w:pPr>
              <w:jc w:val="center"/>
              <w:spacing w:before="67" w:line="221" w:lineRule="auto"/>
              <w:widowControl/>
              <w:rPr>
                <w:rFonts w:hint="eastAsia" w:ascii="Times New Roman" w:hAnsi="Times New Roman" w:eastAsia="宋体" w:cs="宋体"/>
                <w:color w:val="000000"/>
                <w:sz w:val="18"/>
                <w:szCs w:val="18"/>
                <w:highlight w:val="none"/>
                <w:lang w:val="en-US" w:eastAsia="zh-CN" w:bidi="ar-SA"/>
              </w:rPr>
            </w:pPr>
            <w:r>
              <w:rPr>
                <w:rFonts w:hint="eastAsia" w:ascii="Times New Roman" w:hAnsi="Times New Roman" w:eastAsia="宋体" w:cs="宋体"/>
                <w:color w:val="000000"/>
                <w:spacing w:val="-2"/>
                <w:sz w:val="18"/>
                <w:szCs w:val="18"/>
                <w:highlight w:val="none"/>
                <w:lang w:val="en-US" w:eastAsia="zh-CN" w:bidi="ar-SA"/>
              </w:rPr>
              <w:t xml:space="preserve">合计（元）</w:t>
            </w:r>
            <w:r/>
          </w:p>
        </w:tc>
        <w:tc>
          <w:tcPr>
            <w:gridSpan w:val="12"/>
            <w:tcW w:w="250" w:type="pct"/>
            <w:vAlign w:val="center"/>
            <w:textDirection w:val="lrTb"/>
            <w:noWrap w:val="false"/>
          </w:tcPr>
          <w:p>
            <w:pPr>
              <w:jc w:val="center"/>
              <w:rPr>
                <w:rFonts w:hint="default" w:ascii="Times New Roman" w:hAnsi="Times New Roman" w:eastAsia="宋体" w:cs="宋体"/>
                <w:sz w:val="24"/>
                <w:szCs w:val="22"/>
                <w:highlight w:val="none"/>
              </w:rPr>
            </w:pPr>
            <w:r>
              <w:rPr>
                <w:rFonts w:hint="default" w:ascii="Times New Roman" w:hAnsi="Times New Roman" w:eastAsia="宋体" w:cs="宋体"/>
                <w:sz w:val="24"/>
                <w:szCs w:val="22"/>
                <w:highlight w:val="none"/>
              </w:rPr>
            </w:r>
            <w:r/>
          </w:p>
        </w:tc>
      </w:tr>
    </w:tbl>
    <w:p>
      <w:pPr>
        <w:pStyle w:val="903"/>
        <w:rPr>
          <w:rFonts w:hint="eastAsia" w:ascii="Times New Roman" w:hAnsi="Times New Roman" w:eastAsia="宋体" w:cs="宋体"/>
          <w:spacing w:val="-2"/>
          <w:position w:val="19"/>
          <w:sz w:val="24"/>
          <w:szCs w:val="21"/>
          <w:highlight w:val="none"/>
          <w:lang w:val="en-US" w:eastAsia="zh-CN" w:bidi="ar-SA"/>
        </w:rPr>
      </w:pPr>
      <w:r>
        <w:rPr>
          <w:rFonts w:hint="eastAsia" w:ascii="Times New Roman" w:hAnsi="Times New Roman" w:eastAsia="宋体" w:cs="宋体"/>
          <w:spacing w:val="-2"/>
          <w:position w:val="19"/>
          <w:sz w:val="24"/>
          <w:szCs w:val="21"/>
          <w:highlight w:val="none"/>
          <w:lang w:val="en-US" w:eastAsia="zh-CN" w:bidi="ar-SA"/>
        </w:rPr>
        <w:t xml:space="preserve">……</w:t>
      </w:r>
      <w:r/>
    </w:p>
    <w:p>
      <w:pPr>
        <w:ind w:firstLine="482"/>
        <w:spacing w:line="300" w:lineRule="auto"/>
        <w:rPr>
          <w:rFonts w:hint="default" w:ascii="Times New Roman" w:hAnsi="Times New Roman" w:eastAsia="宋体" w:cs="宋体"/>
          <w:spacing w:val="-2"/>
          <w:position w:val="19"/>
          <w:sz w:val="24"/>
          <w:szCs w:val="21"/>
          <w:highlight w:val="none"/>
          <w:lang w:val="en-US" w:eastAsia="zh-CN"/>
        </w:rPr>
      </w:pPr>
      <w:r>
        <w:rPr>
          <w:rFonts w:hint="eastAsia" w:ascii="Times New Roman" w:hAnsi="Times New Roman" w:eastAsia="宋体" w:cs="宋体"/>
          <w:spacing w:val="-2"/>
          <w:position w:val="19"/>
          <w:sz w:val="24"/>
          <w:szCs w:val="21"/>
          <w:highlight w:val="none"/>
          <w:lang w:val="en-US" w:eastAsia="zh-CN"/>
        </w:rPr>
        <w:t xml:space="preserve">注：各年度可根据该模板</w:t>
      </w:r>
      <w:r>
        <w:rPr>
          <w:rFonts w:hint="eastAsia" w:cs="宋体"/>
          <w:spacing w:val="-2"/>
          <w:position w:val="19"/>
          <w:sz w:val="24"/>
          <w:szCs w:val="21"/>
          <w:highlight w:val="none"/>
          <w:lang w:val="en-US" w:eastAsia="zh-CN"/>
        </w:rPr>
        <w:t xml:space="preserve">进行</w:t>
      </w:r>
      <w:r>
        <w:rPr>
          <w:rFonts w:hint="eastAsia" w:ascii="Times New Roman" w:hAnsi="Times New Roman" w:eastAsia="宋体" w:cs="宋体"/>
          <w:spacing w:val="-2"/>
          <w:position w:val="19"/>
          <w:sz w:val="24"/>
          <w:szCs w:val="21"/>
          <w:highlight w:val="none"/>
          <w:lang w:val="en-US" w:eastAsia="zh-CN"/>
        </w:rPr>
        <w:t xml:space="preserve">扩展</w:t>
      </w:r>
      <w:r>
        <w:rPr>
          <w:rFonts w:hint="eastAsia" w:cs="宋体"/>
          <w:spacing w:val="-2"/>
          <w:position w:val="19"/>
          <w:sz w:val="24"/>
          <w:szCs w:val="21"/>
          <w:highlight w:val="none"/>
          <w:lang w:val="en-US" w:eastAsia="zh-CN"/>
        </w:rPr>
        <w:t xml:space="preserve">。</w:t>
      </w:r>
      <w:r/>
    </w:p>
    <w:p>
      <w:pPr>
        <w:ind w:firstLine="482"/>
        <w:spacing w:line="300" w:lineRule="auto"/>
        <w:rPr>
          <w:rFonts w:hint="default" w:ascii="Times New Roman" w:hAnsi="Times New Roman" w:eastAsia="宋体" w:cs="宋体"/>
          <w:spacing w:val="-2"/>
          <w:position w:val="19"/>
          <w:sz w:val="24"/>
          <w:szCs w:val="21"/>
          <w:highlight w:val="none"/>
        </w:rPr>
      </w:pPr>
      <w:r>
        <w:rPr>
          <w:rFonts w:hint="default" w:ascii="Times New Roman" w:hAnsi="Times New Roman" w:eastAsia="宋体" w:cs="宋体"/>
          <w:spacing w:val="-2"/>
          <w:position w:val="19"/>
          <w:sz w:val="24"/>
          <w:szCs w:val="21"/>
          <w:highlight w:val="none"/>
        </w:rPr>
        <w:t xml:space="preserve">能源托管费用结算基准单价：电价【】；水费【】；天然气【】</w:t>
      </w:r>
      <w:r>
        <w:rPr>
          <w:rFonts w:hint="eastAsia" w:ascii="Times New Roman" w:hAnsi="Times New Roman" w:eastAsia="宋体" w:cs="宋体"/>
          <w:spacing w:val="-2"/>
          <w:position w:val="19"/>
          <w:sz w:val="24"/>
          <w:szCs w:val="21"/>
          <w:highlight w:val="none"/>
          <w:lang w:eastAsia="zh-CN"/>
        </w:rPr>
        <w:t xml:space="preserve">，</w:t>
      </w:r>
      <w:r>
        <w:rPr>
          <w:rFonts w:hint="default" w:ascii="Times New Roman" w:hAnsi="Times New Roman" w:eastAsia="宋体" w:cs="宋体"/>
          <w:spacing w:val="-2"/>
          <w:position w:val="19"/>
          <w:sz w:val="24"/>
          <w:szCs w:val="21"/>
          <w:highlight w:val="none"/>
        </w:rPr>
        <w:t xml:space="preserve">并以此作为调价核算基准价。</w:t>
      </w:r>
      <w:r/>
    </w:p>
    <w:p>
      <w:pPr>
        <w:ind w:firstLine="482"/>
        <w:spacing w:line="300" w:lineRule="auto"/>
        <w:rPr>
          <w:rFonts w:hint="eastAsia"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8.2  各公共机构进入托管期后，支付</w:t>
      </w:r>
      <w:r>
        <w:rPr>
          <w:rFonts w:hint="eastAsia" w:ascii="Times New Roman" w:hAnsi="Times New Roman" w:eastAsia="宋体" w:cs="宋体"/>
          <w:spacing w:val="-2"/>
          <w:position w:val="19"/>
          <w:sz w:val="24"/>
          <w:szCs w:val="21"/>
          <w:highlight w:val="none"/>
          <w:lang w:val="en-US" w:eastAsia="zh-CN"/>
        </w:rPr>
        <w:t xml:space="preserve">年限</w:t>
      </w:r>
      <w:r>
        <w:rPr>
          <w:rFonts w:hint="eastAsia" w:ascii="Times New Roman" w:hAnsi="Times New Roman" w:eastAsia="宋体" w:cs="宋体"/>
          <w:spacing w:val="-2"/>
          <w:position w:val="19"/>
          <w:sz w:val="24"/>
          <w:szCs w:val="21"/>
          <w:highlight w:val="none"/>
        </w:rPr>
        <w:t xml:space="preserve">为10年</w:t>
      </w:r>
      <w:r>
        <w:rPr>
          <w:rFonts w:hint="eastAsia" w:ascii="Times New Roman" w:hAnsi="Times New Roman" w:eastAsia="宋体" w:cs="宋体"/>
          <w:spacing w:val="-2"/>
          <w:position w:val="19"/>
          <w:sz w:val="24"/>
          <w:szCs w:val="21"/>
          <w:highlight w:val="none"/>
          <w:lang w:eastAsia="zh-CN"/>
        </w:rPr>
        <w:t xml:space="preserve">，</w:t>
      </w:r>
      <w:r>
        <w:rPr>
          <w:rFonts w:hint="eastAsia" w:ascii="Times New Roman" w:hAnsi="Times New Roman" w:eastAsia="宋体" w:cs="宋体"/>
          <w:spacing w:val="-2"/>
          <w:position w:val="19"/>
          <w:sz w:val="24"/>
          <w:szCs w:val="21"/>
          <w:highlight w:val="none"/>
          <w:lang w:val="en-US" w:eastAsia="zh-CN"/>
        </w:rPr>
        <w:t xml:space="preserve">每年支付12次，每月支付金额：月度基准价×下浮系数</w:t>
      </w:r>
      <w:r>
        <w:rPr>
          <w:rFonts w:hint="eastAsia" w:ascii="Times New Roman" w:hAnsi="Times New Roman" w:eastAsia="宋体" w:cs="宋体"/>
          <w:spacing w:val="-2"/>
          <w:position w:val="19"/>
          <w:sz w:val="24"/>
          <w:szCs w:val="21"/>
          <w:highlight w:val="none"/>
        </w:rPr>
        <w:t xml:space="preserve">。托管期内若发生设备增减等用能边界变化，双方依据《公共机构能源费用托管实施规程》（JS/T301-2024），聘请第三方能源审计单位进行核定，出具用能边界变化核定报告，双方据实调整结算。</w:t>
      </w:r>
      <w:r/>
    </w:p>
    <w:p>
      <w:pPr>
        <w:ind w:firstLine="482"/>
        <w:spacing w:line="300" w:lineRule="auto"/>
        <w:rPr>
          <w:rFonts w:hint="eastAsia" w:ascii="Times New Roman" w:hAnsi="Times New Roman" w:eastAsia="宋体" w:cs="宋体"/>
          <w:spacing w:val="-2"/>
          <w:position w:val="19"/>
          <w:sz w:val="24"/>
          <w:szCs w:val="21"/>
          <w:highlight w:val="none"/>
          <w:lang w:val="en-US" w:eastAsia="zh-CN"/>
        </w:rPr>
      </w:pPr>
      <w:r>
        <w:rPr>
          <w:rFonts w:hint="eastAsia" w:ascii="Times New Roman" w:hAnsi="Times New Roman" w:eastAsia="宋体" w:cs="宋体"/>
          <w:spacing w:val="-2"/>
          <w:position w:val="19"/>
          <w:sz w:val="24"/>
          <w:szCs w:val="21"/>
          <w:highlight w:val="none"/>
          <w:lang w:val="en-US" w:eastAsia="zh-CN"/>
        </w:rPr>
        <w:t xml:space="preserve">注：月度基准价=能源审计报告核定的月度基准量×能源审计报告核定的基准单价；</w:t>
      </w:r>
      <w:r/>
    </w:p>
    <w:p>
      <w:pPr>
        <w:ind w:firstLine="482"/>
        <w:spacing w:line="300" w:lineRule="auto"/>
        <w:rPr>
          <w:rFonts w:hint="eastAsia" w:ascii="Times New Roman" w:hAnsi="Times New Roman" w:eastAsia="宋体" w:cs="宋体"/>
          <w:spacing w:val="-2"/>
          <w:position w:val="19"/>
          <w:sz w:val="24"/>
          <w:szCs w:val="21"/>
          <w:highlight w:val="none"/>
          <w:lang w:eastAsia="zh-CN"/>
        </w:rPr>
      </w:pPr>
      <w:r>
        <w:rPr>
          <w:rFonts w:hint="eastAsia" w:ascii="Times New Roman" w:hAnsi="Times New Roman" w:eastAsia="宋体" w:cs="宋体"/>
          <w:spacing w:val="-2"/>
          <w:position w:val="19"/>
          <w:sz w:val="24"/>
          <w:szCs w:val="21"/>
          <w:highlight w:val="none"/>
          <w:lang w:val="en-US" w:eastAsia="zh-CN"/>
        </w:rPr>
        <w:t xml:space="preserve">下浮系数=投标价÷项目最高限价，保留小数点后四位，不进行四舍五入。</w:t>
      </w:r>
      <w:r/>
    </w:p>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8.3  合同约定的节能改造范围以外的供能设备（包括供暖设备、制冷设备、配电室、变压器、风机 盘管、管道等设备）的更新改造和大修费用不包括在托管费用之内，列入甲方的固定资产投资计划，由甲方另行承担。合同约定的节能改造范围以内、乙方投资的供能设备，日常维修保养费用由乙方承担。</w:t>
      </w:r>
      <w:r/>
    </w:p>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8.4  上述能源托管费用由乙方包干使用，通过能源系统管理运营节约的能源费用作为乙方的合理利润。</w:t>
      </w:r>
      <w:r/>
    </w:p>
    <w:p>
      <w:pPr>
        <w:spacing w:before="100" w:after="100"/>
        <w:rPr>
          <w:rFonts w:hint="default" w:ascii="Times New Roman" w:hAnsi="Times New Roman" w:eastAsia="宋体" w:cs="宋体"/>
          <w:sz w:val="24"/>
          <w:szCs w:val="21"/>
          <w:highlight w:val="none"/>
        </w:rPr>
        <w:outlineLvl w:val="0"/>
      </w:pPr>
      <w:r>
        <w:rPr>
          <w:rFonts w:hint="default" w:ascii="Times New Roman" w:hAnsi="Times New Roman" w:eastAsia="黑体" w:cs="宋体"/>
          <w:bCs/>
          <w:spacing w:val="-2"/>
          <w:sz w:val="28"/>
          <w:szCs w:val="21"/>
          <w:highlight w:val="none"/>
        </w:rPr>
        <w:t xml:space="preserve">第</w:t>
      </w:r>
      <w:r>
        <w:rPr>
          <w:rFonts w:hint="eastAsia" w:ascii="Times New Roman" w:hAnsi="Times New Roman" w:eastAsia="黑体" w:cs="宋体"/>
          <w:bCs/>
          <w:spacing w:val="-2"/>
          <w:sz w:val="28"/>
          <w:szCs w:val="21"/>
          <w:highlight w:val="none"/>
        </w:rPr>
        <w:t xml:space="preserve">九</w:t>
      </w:r>
      <w:r>
        <w:rPr>
          <w:rFonts w:hint="default" w:ascii="Times New Roman" w:hAnsi="Times New Roman" w:eastAsia="黑体" w:cs="宋体"/>
          <w:bCs/>
          <w:spacing w:val="-2"/>
          <w:sz w:val="28"/>
          <w:szCs w:val="21"/>
          <w:highlight w:val="none"/>
        </w:rPr>
        <w:t xml:space="preserve">条</w:t>
      </w:r>
      <w:r>
        <w:rPr>
          <w:rFonts w:hint="default" w:ascii="Times New Roman" w:hAnsi="Times New Roman" w:eastAsia="黑体" w:cs="宋体"/>
          <w:spacing w:val="-2"/>
          <w:sz w:val="28"/>
          <w:szCs w:val="21"/>
          <w:highlight w:val="none"/>
        </w:rPr>
        <w:t xml:space="preserve"> </w:t>
      </w:r>
      <w:r>
        <w:rPr>
          <w:rFonts w:hint="default" w:ascii="Times New Roman" w:hAnsi="Times New Roman" w:eastAsia="黑体" w:cs="宋体"/>
          <w:bCs/>
          <w:spacing w:val="-2"/>
          <w:sz w:val="28"/>
          <w:szCs w:val="21"/>
          <w:highlight w:val="none"/>
        </w:rPr>
        <w:t xml:space="preserve">托管费用的调整和调节</w:t>
      </w:r>
      <w:r/>
    </w:p>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9.1  托管期间，若发生用能设备的增减、用能人数增减、用能区域变化、能源价格调整、用能行为改变、极端气候以及其他致使用能边界发生变化的情况，三方需对能源托管费用基数进行调整，调整约定如下：</w:t>
      </w:r>
      <w:r/>
    </w:p>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（1）调整方式：甲乙丙三方协商确定，或聘请第三方机构进行核定，第三方核定费用由</w:t>
      </w:r>
      <w:r>
        <w:rPr>
          <w:rFonts w:hint="eastAsia" w:ascii="Times New Roman" w:hAnsi="Times New Roman" w:eastAsia="宋体" w:cs="宋体"/>
          <w:spacing w:val="-2"/>
          <w:position w:val="19"/>
          <w:sz w:val="24"/>
          <w:szCs w:val="21"/>
          <w:highlight w:val="none"/>
          <w:u w:val="single"/>
        </w:rPr>
        <w:t xml:space="preserve"> </w:t>
      </w:r>
      <w:r>
        <w:rPr>
          <w:rFonts w:hint="eastAsia" w:cs="宋体"/>
          <w:spacing w:val="-2"/>
          <w:position w:val="19"/>
          <w:sz w:val="24"/>
          <w:szCs w:val="21"/>
          <w:highlight w:val="none"/>
          <w:u w:val="single"/>
          <w:lang w:val="en-US" w:eastAsia="zh-CN"/>
        </w:rPr>
        <w:t xml:space="preserve">甲乙双方平摊</w:t>
      </w:r>
      <w:r>
        <w:rPr>
          <w:rFonts w:hint="eastAsia" w:ascii="Times New Roman" w:hAnsi="Times New Roman" w:eastAsia="宋体" w:cs="宋体"/>
          <w:spacing w:val="-2"/>
          <w:position w:val="19"/>
          <w:sz w:val="24"/>
          <w:szCs w:val="21"/>
          <w:highlight w:val="none"/>
          <w:u w:val="single"/>
        </w:rPr>
        <w:t xml:space="preserve"> </w:t>
      </w:r>
      <w:r>
        <w:rPr>
          <w:rFonts w:hint="eastAsia" w:ascii="Times New Roman" w:hAnsi="Times New Roman" w:eastAsia="宋体" w:cs="宋体"/>
          <w:spacing w:val="-2"/>
          <w:position w:val="19"/>
          <w:sz w:val="24"/>
          <w:szCs w:val="21"/>
          <w:highlight w:val="none"/>
        </w:rPr>
        <w:t xml:space="preserve">支付。</w:t>
      </w:r>
      <w:r/>
    </w:p>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（2）调整周期：三方应依据协商确定或第三方机构核定的调整量签订补充协议，在每个托管年度结算期满后的</w:t>
      </w:r>
      <w:r>
        <w:rPr>
          <w:rFonts w:hint="eastAsia" w:ascii="Times New Roman" w:hAnsi="Times New Roman" w:eastAsia="宋体" w:cs="宋体"/>
          <w:spacing w:val="-2"/>
          <w:position w:val="19"/>
          <w:sz w:val="24"/>
          <w:szCs w:val="21"/>
          <w:highlight w:val="none"/>
          <w:u w:val="single"/>
        </w:rPr>
        <w:t xml:space="preserve"> </w:t>
      </w:r>
      <w:r>
        <w:rPr>
          <w:rFonts w:hint="eastAsia" w:cs="宋体"/>
          <w:spacing w:val="-2"/>
          <w:position w:val="19"/>
          <w:sz w:val="24"/>
          <w:szCs w:val="21"/>
          <w:highlight w:val="none"/>
          <w:u w:val="single"/>
          <w:lang w:val="en-US" w:eastAsia="zh-CN"/>
        </w:rPr>
        <w:t xml:space="preserve">60</w:t>
      </w:r>
      <w:r>
        <w:rPr>
          <w:rFonts w:hint="eastAsia" w:ascii="Times New Roman" w:hAnsi="Times New Roman" w:eastAsia="宋体" w:cs="宋体"/>
          <w:spacing w:val="-2"/>
          <w:position w:val="19"/>
          <w:sz w:val="24"/>
          <w:szCs w:val="21"/>
          <w:highlight w:val="none"/>
          <w:u w:val="single"/>
        </w:rPr>
        <w:t xml:space="preserve"> </w:t>
      </w:r>
      <w:r>
        <w:rPr>
          <w:rFonts w:hint="eastAsia" w:ascii="Times New Roman" w:hAnsi="Times New Roman" w:eastAsia="宋体" w:cs="宋体"/>
          <w:spacing w:val="-2"/>
          <w:position w:val="19"/>
          <w:sz w:val="24"/>
          <w:szCs w:val="21"/>
          <w:highlight w:val="none"/>
        </w:rPr>
        <w:t xml:space="preserve">天内一次性结清。</w:t>
      </w:r>
      <w:r/>
    </w:p>
    <w:p>
      <w:pPr>
        <w:ind w:firstLine="420"/>
        <w:spacing w:line="36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9.2 甲方的用能设备和其他用能项的增加或减少，应当通知乙方和丙方。甲、乙、丙三方应当对增加或减少的设备和其他用能项予以书面确认。其他用能项包括但不限于用能建筑面积、用能时间、用能人员等。因用能设备和其他用能项的增减，应当调整基准能耗，并相应地据实增减能源托管费用基数。本项目调整方式为托管期间，甲方应及时告知乙方和丙方用能设备增减情况（设备更新情况统计可参考下表），并为乙方定期巡查设备更新提供便利。</w:t>
      </w:r>
      <w:r/>
    </w:p>
    <w:p>
      <w:pPr>
        <w:ind w:firstLine="420"/>
        <w:jc w:val="center"/>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宋体"/>
          <w:spacing w:val="-2"/>
          <w:position w:val="19"/>
          <w:sz w:val="24"/>
          <w:szCs w:val="21"/>
          <w:highlight w:val="none"/>
        </w:rPr>
        <w:t xml:space="preserve">用能设备增减情况统计表（   年  月— 年  月）</w:t>
      </w:r>
      <w:r/>
    </w:p>
    <w:tbl>
      <w:tblPr>
        <w:tblStyle w:val="887"/>
        <w:tblW w:w="52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788"/>
        <w:gridCol w:w="703"/>
        <w:gridCol w:w="704"/>
        <w:gridCol w:w="1144"/>
        <w:gridCol w:w="936"/>
        <w:gridCol w:w="658"/>
        <w:gridCol w:w="720"/>
        <w:gridCol w:w="1304"/>
        <w:gridCol w:w="1157"/>
      </w:tblGrid>
      <w:tr>
        <w:trPr>
          <w:jc w:val="center"/>
        </w:trPr>
        <w:tc>
          <w:tcPr>
            <w:tcW w:w="437"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序号</w:t>
            </w:r>
            <w:r/>
          </w:p>
        </w:tc>
        <w:tc>
          <w:tcPr>
            <w:tcW w:w="44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设备名称</w:t>
            </w:r>
            <w:r/>
          </w:p>
        </w:tc>
        <w:tc>
          <w:tcPr>
            <w:tcW w:w="40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使用部门</w:t>
            </w:r>
            <w:r/>
          </w:p>
        </w:tc>
        <w:tc>
          <w:tcPr>
            <w:tcW w:w="40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设备型号</w:t>
            </w:r>
            <w:r/>
          </w:p>
        </w:tc>
        <w:tc>
          <w:tcPr>
            <w:tcW w:w="64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设备功率（kW）</w:t>
            </w:r>
            <w:r/>
          </w:p>
        </w:tc>
        <w:tc>
          <w:tcPr>
            <w:tcW w:w="49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数量（台）</w:t>
            </w:r>
            <w:r/>
          </w:p>
        </w:tc>
        <w:tc>
          <w:tcPr>
            <w:tcW w:w="374"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投用时间</w:t>
            </w:r>
            <w:r/>
          </w:p>
        </w:tc>
        <w:tc>
          <w:tcPr>
            <w:tcW w:w="409"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弃用时间</w:t>
            </w:r>
            <w:r/>
          </w:p>
        </w:tc>
        <w:tc>
          <w:tcPr>
            <w:tcW w:w="73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每日使用时长（h）</w:t>
            </w:r>
            <w:r/>
          </w:p>
        </w:tc>
        <w:tc>
          <w:tcPr>
            <w:tcW w:w="655"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使用天数（天）</w:t>
            </w:r>
            <w:r/>
          </w:p>
        </w:tc>
      </w:tr>
      <w:tr>
        <w:trPr>
          <w:jc w:val="center"/>
        </w:trPr>
        <w:tc>
          <w:tcPr>
            <w:tcW w:w="437"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1</w:t>
            </w:r>
            <w:r/>
          </w:p>
        </w:tc>
        <w:tc>
          <w:tcPr>
            <w:tcW w:w="44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40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40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64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49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374"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409"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73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655"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r>
      <w:tr>
        <w:trPr>
          <w:jc w:val="center"/>
        </w:trPr>
        <w:tc>
          <w:tcPr>
            <w:tcW w:w="437"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2</w:t>
            </w:r>
            <w:r/>
          </w:p>
        </w:tc>
        <w:tc>
          <w:tcPr>
            <w:tcW w:w="44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40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40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64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490"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374"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409"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738"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c>
          <w:tcPr>
            <w:tcW w:w="655" w:type="pct"/>
            <w:vAlign w:val="center"/>
            <w:textDirection w:val="lrTb"/>
            <w:noWrap w:val="false"/>
          </w:tcPr>
          <w:p>
            <w:pPr>
              <w:jc w:val="center"/>
              <w:widowControl/>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tc>
      </w:tr>
    </w:tbl>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项目托管后，如发生用能设备功率</w:t>
      </w:r>
      <w:r>
        <w:rPr>
          <w:rFonts w:hint="eastAsia" w:cs="宋体"/>
          <w:spacing w:val="-2"/>
          <w:position w:val="19"/>
          <w:sz w:val="24"/>
          <w:szCs w:val="21"/>
          <w:highlight w:val="none"/>
          <w:lang w:val="en-US" w:eastAsia="zh-CN"/>
        </w:rPr>
        <w:t xml:space="preserve">累计</w:t>
      </w:r>
      <w:r>
        <w:rPr>
          <w:rFonts w:hint="eastAsia" w:ascii="Times New Roman" w:hAnsi="Times New Roman" w:eastAsia="宋体" w:cs="宋体"/>
          <w:spacing w:val="-2"/>
          <w:position w:val="19"/>
          <w:sz w:val="24"/>
          <w:szCs w:val="21"/>
          <w:highlight w:val="none"/>
        </w:rPr>
        <w:t xml:space="preserve">增、减达到 5 kW及以上时，甲乙丙三方应调整能源费用托管基数，</w:t>
      </w:r>
      <w:r>
        <w:rPr>
          <w:rFonts w:hint="eastAsia" w:cs="宋体"/>
          <w:spacing w:val="-2"/>
          <w:position w:val="19"/>
          <w:sz w:val="24"/>
          <w:szCs w:val="21"/>
          <w:highlight w:val="none"/>
          <w:lang w:val="en-US" w:eastAsia="zh-CN"/>
        </w:rPr>
        <w:t xml:space="preserve">当具备条件安装表计进行独立计量的用能设备，由乙方加装计量表按实际用量进行调整；不具备条件的</w:t>
      </w:r>
      <w:r>
        <w:rPr>
          <w:rFonts w:hint="eastAsia" w:ascii="Times New Roman" w:hAnsi="Times New Roman" w:eastAsia="宋体" w:cs="宋体"/>
          <w:spacing w:val="-2"/>
          <w:position w:val="19"/>
          <w:sz w:val="24"/>
          <w:szCs w:val="21"/>
          <w:highlight w:val="none"/>
        </w:rPr>
        <w:t xml:space="preserve">按照【增减设备功率×用能时间】计算增减总能耗，按照【增减总能耗×能源单价】调整能源费用基数。</w:t>
      </w:r>
      <w:r/>
    </w:p>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9.3  项目托管期间，因建筑改扩建增加的临时用能能耗需单独计量；新增用能区域的能耗需单独计量；如用能区域建筑功能发生改变</w:t>
      </w:r>
      <w:r>
        <w:rPr>
          <w:rFonts w:hint="eastAsia" w:ascii="Times New Roman" w:hAnsi="Times New Roman" w:eastAsia="宋体" w:cs="宋体"/>
          <w:spacing w:val="-2"/>
          <w:position w:val="19"/>
          <w:sz w:val="24"/>
          <w:szCs w:val="21"/>
          <w:highlight w:val="none"/>
        </w:rPr>
        <w:t xml:space="preserve">，则该功能区能耗需单独计量。因用能区域变化导致的用能增减，应当调整基准能耗，并相应地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p>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9.4  项目托管期间，如因极端天气导致空调用能时间明显延长且设定温度超出供能条件，合同三方可协商能源费用调整方式；非极端天气条件下，如因上班时间调整、持续加班、特殊情况用能等业主方原因导致用能时间增加，则甲方应及时告知节能服务公司，三方可协商托管费用调整方式。本项目调整方式为如因上班时间调整导致用能时间变化的，则按照【年基准能耗/原有工作时间】计算小时平均能耗，按照【增减工作时间×小时平均能耗】计算增减总能耗，按照【增减总能耗×能源单价】调整能源费用基数。</w:t>
      </w:r>
      <w:r/>
    </w:p>
    <w:p>
      <w:pPr>
        <w:ind w:firstLine="482"/>
        <w:spacing w:line="300" w:lineRule="auto"/>
        <w:rPr>
          <w:rFonts w:hint="default" w:ascii="Times New Roman" w:hAnsi="Times New Roman" w:eastAsia="宋体" w:cs="宋体"/>
          <w:spacing w:val="-2"/>
          <w:position w:val="19"/>
          <w:sz w:val="24"/>
          <w:szCs w:val="21"/>
          <w:highlight w:val="none"/>
        </w:rPr>
      </w:pPr>
      <w:r>
        <w:rPr>
          <w:rFonts w:hint="eastAsia" w:ascii="Times New Roman" w:hAnsi="Times New Roman" w:eastAsia="宋体" w:cs="宋体"/>
          <w:spacing w:val="-2"/>
          <w:position w:val="19"/>
          <w:sz w:val="24"/>
          <w:szCs w:val="21"/>
          <w:highlight w:val="none"/>
        </w:rPr>
        <w:t xml:space="preserve">9.5  托管期间的能源单价调整，丙方支付给乙方的托管费用亦应按比例调整。具体调整结算方式可由甲乙丙三方协商确定。本项目调整方式为项目托管期间，因市场及政策原因导致能源单价调整时，应相应地调整能源托管费用基数。以项目基准能源单价为参考，能源价格上涨时，按照【上涨月能源用量×（上涨月能源单价-基准单价）】计算业主补偿乙方费用；能源价格下降时，按照【下降月能源用量×（基准单价-下降月能源单价）计算乙方退还业主费用。</w:t>
      </w:r>
      <w:r/>
    </w:p>
    <w:p>
      <w:pPr>
        <w:spacing w:before="100" w:after="100"/>
        <w:rPr>
          <w:rFonts w:hint="default" w:ascii="Times New Roman" w:hAnsi="Times New Roman" w:eastAsia="黑体" w:cs="宋体"/>
          <w:sz w:val="28"/>
          <w:szCs w:val="21"/>
          <w:highlight w:val="none"/>
        </w:rPr>
        <w:outlineLvl w:val="0"/>
      </w:pPr>
      <w:r>
        <w:rPr>
          <w:rFonts w:hint="default" w:ascii="Times New Roman" w:hAnsi="Times New Roman" w:eastAsia="黑体" w:cs="宋体"/>
          <w:bCs/>
          <w:spacing w:val="-2"/>
          <w:sz w:val="28"/>
          <w:szCs w:val="21"/>
          <w:highlight w:val="none"/>
        </w:rPr>
        <w:t xml:space="preserve">第十条</w:t>
      </w:r>
      <w:r>
        <w:rPr>
          <w:rFonts w:hint="default" w:ascii="Times New Roman" w:hAnsi="Times New Roman" w:eastAsia="黑体" w:cs="宋体"/>
          <w:spacing w:val="-2"/>
          <w:sz w:val="28"/>
          <w:szCs w:val="21"/>
          <w:highlight w:val="none"/>
        </w:rPr>
        <w:t xml:space="preserve"> </w:t>
      </w:r>
      <w:r>
        <w:rPr>
          <w:rFonts w:hint="default" w:ascii="Times New Roman" w:hAnsi="Times New Roman" w:eastAsia="黑体" w:cs="宋体"/>
          <w:bCs/>
          <w:spacing w:val="-2"/>
          <w:sz w:val="28"/>
          <w:szCs w:val="21"/>
          <w:highlight w:val="none"/>
        </w:rPr>
        <w:t xml:space="preserve">节能改造</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1"/>
          <w:sz w:val="24"/>
          <w:szCs w:val="21"/>
          <w:highlight w:val="none"/>
        </w:rPr>
        <w:t xml:space="preserve">1</w:t>
      </w:r>
      <w:r>
        <w:rPr>
          <w:rFonts w:hint="eastAsia" w:ascii="Times New Roman" w:hAnsi="Times New Roman" w:eastAsia="宋体" w:cs="Times New Roman"/>
          <w:spacing w:val="1"/>
          <w:sz w:val="24"/>
          <w:szCs w:val="21"/>
          <w:highlight w:val="none"/>
        </w:rPr>
        <w:t xml:space="preserve">0</w:t>
      </w:r>
      <w:r>
        <w:rPr>
          <w:rFonts w:hint="default" w:ascii="Times New Roman" w:hAnsi="Times New Roman" w:eastAsia="宋体" w:cs="Times New Roman"/>
          <w:spacing w:val="1"/>
          <w:sz w:val="24"/>
          <w:szCs w:val="21"/>
          <w:highlight w:val="none"/>
        </w:rPr>
        <w:t xml:space="preserve">.1  </w:t>
      </w:r>
      <w:r>
        <w:rPr>
          <w:rFonts w:hint="default" w:ascii="Times New Roman" w:hAnsi="Times New Roman" w:eastAsia="宋体" w:cs="宋体"/>
          <w:spacing w:val="1"/>
          <w:sz w:val="24"/>
          <w:szCs w:val="21"/>
          <w:highlight w:val="none"/>
        </w:rPr>
        <w:t xml:space="preserve">托管项目范围内，如需进行节能改造，乙</w:t>
      </w:r>
      <w:r>
        <w:rPr>
          <w:rFonts w:hint="default" w:ascii="Times New Roman" w:hAnsi="Times New Roman" w:eastAsia="宋体" w:cs="宋体"/>
          <w:sz w:val="24"/>
          <w:szCs w:val="21"/>
          <w:highlight w:val="none"/>
        </w:rPr>
        <w:t xml:space="preserve">方应当制定专项或者综合节能改造方案。甲、乙、丙三方</w:t>
      </w:r>
      <w:r>
        <w:rPr>
          <w:rFonts w:hint="default" w:ascii="Times New Roman" w:hAnsi="Times New Roman" w:eastAsia="宋体" w:cs="宋体"/>
          <w:spacing w:val="-4"/>
          <w:sz w:val="24"/>
          <w:szCs w:val="21"/>
          <w:highlight w:val="none"/>
        </w:rPr>
        <w:t xml:space="preserve">应当就改造的范围、拟使用的节能技术、产品，投资数额、投资形成的资产所有权、施工时间等问题</w:t>
      </w:r>
      <w:r>
        <w:rPr>
          <w:rFonts w:hint="default" w:ascii="Times New Roman" w:hAnsi="Times New Roman" w:eastAsia="宋体" w:cs="宋体"/>
          <w:spacing w:val="-5"/>
          <w:sz w:val="24"/>
          <w:szCs w:val="21"/>
          <w:highlight w:val="none"/>
        </w:rPr>
        <w:t xml:space="preserve">进行协商，乙方在前述基础上就节能改造事项制定专项方案，并经甲方签字、盖章确认方可实施。</w:t>
      </w:r>
      <w:r/>
    </w:p>
    <w:p>
      <w:pPr>
        <w:ind w:firstLine="482"/>
        <w:spacing w:line="360" w:lineRule="auto"/>
        <w:rPr>
          <w:rFonts w:hint="default" w:ascii="Times New Roman" w:hAnsi="Times New Roman" w:eastAsia="宋体" w:cs="宋体"/>
          <w:sz w:val="24"/>
          <w:szCs w:val="21"/>
          <w:highlight w:val="none"/>
        </w:rPr>
      </w:pPr>
      <w:r>
        <w:rPr>
          <w:rFonts w:hint="default" w:ascii="Times New Roman" w:hAnsi="Times New Roman" w:eastAsia="宋体" w:cs="Times New Roman"/>
          <w:spacing w:val="-1"/>
          <w:position w:val="19"/>
          <w:sz w:val="24"/>
          <w:szCs w:val="21"/>
          <w:highlight w:val="none"/>
        </w:rPr>
        <w:t xml:space="preserve">1</w:t>
      </w:r>
      <w:r>
        <w:rPr>
          <w:rFonts w:hint="eastAsia" w:ascii="Times New Roman" w:hAnsi="Times New Roman" w:eastAsia="宋体" w:cs="Times New Roman"/>
          <w:spacing w:val="-1"/>
          <w:position w:val="19"/>
          <w:sz w:val="24"/>
          <w:szCs w:val="21"/>
          <w:highlight w:val="none"/>
        </w:rPr>
        <w:t xml:space="preserve">0</w:t>
      </w:r>
      <w:r>
        <w:rPr>
          <w:rFonts w:hint="default" w:ascii="Times New Roman" w:hAnsi="Times New Roman" w:eastAsia="宋体" w:cs="Times New Roman"/>
          <w:spacing w:val="-1"/>
          <w:position w:val="19"/>
          <w:sz w:val="24"/>
          <w:szCs w:val="21"/>
          <w:highlight w:val="none"/>
        </w:rPr>
        <w:t xml:space="preserve">.2  </w:t>
      </w:r>
      <w:r>
        <w:rPr>
          <w:rFonts w:hint="default" w:ascii="Times New Roman" w:hAnsi="Times New Roman" w:eastAsia="宋体" w:cs="宋体"/>
          <w:spacing w:val="-1"/>
          <w:position w:val="19"/>
          <w:sz w:val="24"/>
          <w:szCs w:val="21"/>
          <w:highlight w:val="none"/>
        </w:rPr>
        <w:t xml:space="preserve">节能改造所需投资</w:t>
      </w:r>
      <w:r>
        <w:rPr>
          <w:rFonts w:hint="eastAsia" w:ascii="Times New Roman" w:hAnsi="Times New Roman" w:eastAsia="宋体" w:cs="宋体"/>
          <w:spacing w:val="-1"/>
          <w:position w:val="19"/>
          <w:sz w:val="24"/>
          <w:szCs w:val="21"/>
          <w:highlight w:val="none"/>
        </w:rPr>
        <w:t xml:space="preserve">由乙方全额投入，托管项目所要求的服务费用由乙方全部承担，节能改造产生的收益归乙方所有。</w:t>
      </w:r>
      <w:r/>
    </w:p>
    <w:p>
      <w:pPr>
        <w:spacing w:before="100" w:after="100"/>
        <w:rPr>
          <w:rFonts w:hint="default" w:ascii="Times New Roman" w:hAnsi="Times New Roman" w:eastAsia="宋体" w:cs="宋体"/>
          <w:sz w:val="24"/>
          <w:szCs w:val="21"/>
          <w:highlight w:val="none"/>
        </w:rPr>
        <w:outlineLvl w:val="0"/>
      </w:pPr>
      <w:r>
        <w:rPr>
          <w:rFonts w:hint="default" w:ascii="Times New Roman" w:hAnsi="Times New Roman" w:eastAsia="黑体" w:cs="宋体"/>
          <w:bCs/>
          <w:spacing w:val="-2"/>
          <w:sz w:val="28"/>
          <w:szCs w:val="21"/>
          <w:highlight w:val="none"/>
        </w:rPr>
        <w:t xml:space="preserve">第十</w:t>
      </w:r>
      <w:r>
        <w:rPr>
          <w:rFonts w:hint="eastAsia" w:ascii="Times New Roman" w:hAnsi="Times New Roman" w:eastAsia="黑体" w:cs="宋体"/>
          <w:bCs/>
          <w:spacing w:val="-2"/>
          <w:sz w:val="28"/>
          <w:szCs w:val="21"/>
          <w:highlight w:val="none"/>
        </w:rPr>
        <w:t xml:space="preserve">一</w:t>
      </w:r>
      <w:r>
        <w:rPr>
          <w:rFonts w:hint="default" w:ascii="Times New Roman" w:hAnsi="Times New Roman" w:eastAsia="黑体" w:cs="宋体"/>
          <w:bCs/>
          <w:spacing w:val="-2"/>
          <w:sz w:val="28"/>
          <w:szCs w:val="21"/>
          <w:highlight w:val="none"/>
        </w:rPr>
        <w:t xml:space="preserve">条</w:t>
      </w:r>
      <w:r>
        <w:rPr>
          <w:rFonts w:hint="default" w:ascii="Times New Roman" w:hAnsi="Times New Roman" w:eastAsia="黑体" w:cs="宋体"/>
          <w:spacing w:val="-2"/>
          <w:sz w:val="28"/>
          <w:szCs w:val="21"/>
          <w:highlight w:val="none"/>
        </w:rPr>
        <w:t xml:space="preserve"> </w:t>
      </w:r>
      <w:r>
        <w:rPr>
          <w:rFonts w:hint="default" w:ascii="Times New Roman" w:hAnsi="Times New Roman" w:eastAsia="黑体" w:cs="宋体"/>
          <w:bCs/>
          <w:spacing w:val="-2"/>
          <w:sz w:val="28"/>
          <w:szCs w:val="21"/>
          <w:highlight w:val="none"/>
        </w:rPr>
        <w:t xml:space="preserve">安全生产和环境保护</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11.1  乙方在运营管理过程中应当严格遵守能源管理适用的法律法规、规章制度，因违章操作或不尽职尽责导致在运行期间出现安全事故和经济损失由乙方负责。</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11.2  乙方进行的节能改造部分，由于乙方原因导致改造自身存在系统缺陷或施工质量导致安全事故和经济损失由乙方负责。</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11.3  甲方先期建设的能源供应和使用系统，由于系统缺陷或施工质量导致的安全事故和经济损失由甲方负责。</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11.4  针对安全生产和环境保护，甲、乙、丙三方应当制定专项规范，划分相关的责任。</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“安全生产和环境保护规范”详见本合同附件。</w:t>
      </w:r>
      <w:r/>
    </w:p>
    <w:p>
      <w:pPr>
        <w:spacing w:before="100" w:after="100"/>
        <w:rPr>
          <w:rFonts w:hint="default" w:ascii="Times New Roman" w:hAnsi="Times New Roman" w:eastAsia="黑体" w:cs="宋体"/>
          <w:sz w:val="28"/>
          <w:szCs w:val="21"/>
          <w:highlight w:val="none"/>
        </w:rPr>
        <w:outlineLvl w:val="0"/>
      </w:pPr>
      <w:r>
        <w:rPr>
          <w:rFonts w:hint="eastAsia" w:ascii="Times New Roman" w:hAnsi="Times New Roman" w:eastAsia="黑体" w:cs="宋体"/>
          <w:bCs/>
          <w:spacing w:val="-2"/>
          <w:sz w:val="28"/>
          <w:szCs w:val="21"/>
          <w:highlight w:val="none"/>
        </w:rPr>
        <w:t xml:space="preserve">第十二条</w:t>
      </w:r>
      <w:r>
        <w:rPr>
          <w:rFonts w:hint="eastAsia" w:ascii="Times New Roman" w:hAnsi="Times New Roman" w:eastAsia="黑体" w:cs="宋体"/>
          <w:spacing w:val="-2"/>
          <w:sz w:val="28"/>
          <w:szCs w:val="21"/>
          <w:highlight w:val="none"/>
        </w:rPr>
        <w:t xml:space="preserve"> </w:t>
      </w:r>
      <w:r>
        <w:rPr>
          <w:rFonts w:hint="eastAsia" w:ascii="Times New Roman" w:hAnsi="Times New Roman" w:eastAsia="黑体" w:cs="宋体"/>
          <w:bCs/>
          <w:spacing w:val="-2"/>
          <w:sz w:val="28"/>
          <w:szCs w:val="21"/>
          <w:highlight w:val="none"/>
        </w:rPr>
        <w:t xml:space="preserve">禁止商业贿赂</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甲、乙、丙三方应当遵守廉洁从政、廉洁经商的有关规定，禁止一方向另一方提供实物、现金、有价证券、超标准宴请、高消费娱乐活动等违反“廉洁协议书”约定的行为。</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“廉洁协议书”详见本合同附件。</w:t>
      </w:r>
      <w:r/>
    </w:p>
    <w:p>
      <w:pPr>
        <w:spacing w:before="100" w:after="100"/>
        <w:rPr>
          <w:rFonts w:hint="default" w:ascii="Times New Roman" w:hAnsi="Times New Roman" w:eastAsia="黑体" w:cs="宋体"/>
          <w:sz w:val="28"/>
          <w:szCs w:val="21"/>
          <w:highlight w:val="none"/>
        </w:rPr>
        <w:outlineLvl w:val="0"/>
      </w:pPr>
      <w:r>
        <w:rPr>
          <w:rFonts w:hint="eastAsia" w:ascii="Times New Roman" w:hAnsi="Times New Roman" w:eastAsia="黑体" w:cs="宋体"/>
          <w:bCs/>
          <w:spacing w:val="-2"/>
          <w:sz w:val="28"/>
          <w:szCs w:val="21"/>
          <w:highlight w:val="none"/>
        </w:rPr>
        <w:t xml:space="preserve">第十三条</w:t>
      </w:r>
      <w:r>
        <w:rPr>
          <w:rFonts w:hint="eastAsia" w:ascii="Times New Roman" w:hAnsi="Times New Roman" w:eastAsia="黑体" w:cs="宋体"/>
          <w:spacing w:val="-2"/>
          <w:sz w:val="28"/>
          <w:szCs w:val="21"/>
          <w:highlight w:val="none"/>
        </w:rPr>
        <w:t xml:space="preserve"> </w:t>
      </w:r>
      <w:r>
        <w:rPr>
          <w:rFonts w:hint="eastAsia" w:ascii="Times New Roman" w:hAnsi="Times New Roman" w:eastAsia="黑体" w:cs="宋体"/>
          <w:bCs/>
          <w:spacing w:val="-2"/>
          <w:sz w:val="28"/>
          <w:szCs w:val="21"/>
          <w:highlight w:val="none"/>
        </w:rPr>
        <w:t xml:space="preserve">保密义务</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13.1  甲、乙、丙三方及其项目参加人员应对在合同履行过程中了解到的涉及对方技术信息、经验信息、商业秘密以及其他尚未公开的有关信息、资料负有保密义务，并采取相应的保密措施。三方应承担的保密义务包括但不限于：</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13.1.1  未经对方书面同意，不得将上述信息、资料披露给任何第三人；</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13.1.2  不得将上述信息、资料用于本合同以外的其他目的；</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13.1.3  在本合同终止或解除后应按对方要求，及时将上述信息、资料返还对方或按对方要求做适当处理。</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13.2  本合同项下的保密义务至相关商业秘密信息、资料正式向社会公开之日或一方书面解除另一方本合同项下保密义务之日起终止。</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13.3  本条约定在本合同终止后仍然继续有效，且不受合同解除、终止或无效的影响。</w:t>
      </w:r>
      <w:r/>
    </w:p>
    <w:p>
      <w:pPr>
        <w:spacing w:before="100" w:after="100"/>
        <w:rPr>
          <w:rFonts w:hint="default" w:ascii="Times New Roman" w:hAnsi="Times New Roman" w:eastAsia="黑体" w:cs="宋体"/>
          <w:sz w:val="28"/>
          <w:szCs w:val="21"/>
          <w:highlight w:val="none"/>
        </w:rPr>
        <w:outlineLvl w:val="0"/>
      </w:pPr>
      <w:r>
        <w:rPr>
          <w:rFonts w:hint="eastAsia" w:ascii="Times New Roman" w:hAnsi="Times New Roman" w:eastAsia="黑体" w:cs="宋体"/>
          <w:bCs/>
          <w:spacing w:val="-3"/>
          <w:sz w:val="28"/>
          <w:szCs w:val="21"/>
          <w:highlight w:val="none"/>
        </w:rPr>
        <w:t xml:space="preserve">第十四条</w:t>
      </w:r>
      <w:r>
        <w:rPr>
          <w:rFonts w:hint="eastAsia" w:ascii="Times New Roman" w:hAnsi="Times New Roman" w:eastAsia="黑体" w:cs="宋体"/>
          <w:spacing w:val="-3"/>
          <w:sz w:val="28"/>
          <w:szCs w:val="21"/>
          <w:highlight w:val="none"/>
        </w:rPr>
        <w:t xml:space="preserve"> </w:t>
      </w:r>
      <w:r>
        <w:rPr>
          <w:rFonts w:hint="eastAsia" w:ascii="Times New Roman" w:hAnsi="Times New Roman" w:eastAsia="黑体" w:cs="宋体"/>
          <w:bCs/>
          <w:spacing w:val="-3"/>
          <w:sz w:val="28"/>
          <w:szCs w:val="21"/>
          <w:highlight w:val="none"/>
        </w:rPr>
        <w:t xml:space="preserve">合同变更、终止、解除</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14.1  出现需要变更合同内容的客观情形，或者一方提出合理的诉求，经三方协商一致可以变更合同内容。</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14.2  本合同的权利义务不可转让，特殊情况下，如乙方确需转让本合同权利义务，须经其余两方书面同意，并另行签署合同约定。</w:t>
      </w:r>
      <w:r/>
    </w:p>
    <w:p>
      <w:pPr>
        <w:ind w:firstLine="482"/>
        <w:spacing w:line="300" w:lineRule="auto"/>
        <w:rPr>
          <w:rFonts w:hint="default" w:ascii="Times New Roman" w:hAnsi="Times New Roman" w:eastAsia="宋体" w:cs="宋体"/>
          <w:spacing w:val="-6"/>
          <w:position w:val="19"/>
          <w:sz w:val="24"/>
          <w:szCs w:val="21"/>
          <w:highlight w:val="none"/>
        </w:rPr>
      </w:pPr>
      <w:r>
        <w:rPr>
          <w:rFonts w:hint="eastAsia" w:ascii="Times New Roman" w:hAnsi="Times New Roman" w:eastAsia="宋体" w:cs="宋体"/>
          <w:spacing w:val="-6"/>
          <w:position w:val="19"/>
          <w:sz w:val="24"/>
          <w:szCs w:val="21"/>
          <w:highlight w:val="none"/>
        </w:rPr>
        <w:t xml:space="preserve">14.3  甲方发生必须停止办公或经营的情况，例如房屋大修或者部分拆除，可以中止合同履行。导致合同中止的事由消除后，恢复合同履行。</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14.4  三方协商一致可以解除本合同。</w:t>
      </w:r>
      <w:r/>
    </w:p>
    <w:p>
      <w:pPr>
        <w:ind w:firstLine="482"/>
        <w:spacing w:line="300" w:lineRule="auto"/>
        <w:rPr>
          <w:rFonts w:hint="default" w:ascii="Times New Roman" w:hAnsi="Times New Roman" w:eastAsia="宋体" w:cs="宋体"/>
          <w:sz w:val="24"/>
          <w:szCs w:val="21"/>
          <w:highlight w:val="none"/>
        </w:rPr>
      </w:pPr>
      <w:r>
        <w:rPr>
          <w:rFonts w:hint="eastAsia" w:ascii="Times New Roman" w:hAnsi="Times New Roman" w:eastAsia="宋体" w:cs="Times New Roman"/>
          <w:spacing w:val="-1"/>
          <w:position w:val="19"/>
          <w:sz w:val="24"/>
          <w:szCs w:val="21"/>
          <w:highlight w:val="none"/>
        </w:rPr>
        <w:t xml:space="preserve">14.5  一方严重违约，导致合同不能继续履行或者使合同履行成为不必要。守约方有权解除合同，守约方应当书面通知对方，书面通知到达违约方时即产生解除合同的效力。</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14.6  本合同经三方签字并盖章之日起90天内没有实际履行，任何一方均可书面通知对方解除合同。</w:t>
      </w:r>
      <w:r/>
    </w:p>
    <w:p>
      <w:pPr>
        <w:spacing w:before="100" w:after="100"/>
        <w:rPr>
          <w:rFonts w:hint="default" w:ascii="Times New Roman" w:hAnsi="Times New Roman" w:eastAsia="黑体" w:cs="宋体"/>
          <w:sz w:val="28"/>
          <w:szCs w:val="21"/>
          <w:highlight w:val="none"/>
        </w:rPr>
        <w:outlineLvl w:val="0"/>
      </w:pPr>
      <w:r>
        <w:rPr>
          <w:rFonts w:hint="eastAsia" w:ascii="Times New Roman" w:hAnsi="Times New Roman" w:eastAsia="黑体" w:cs="宋体"/>
          <w:bCs/>
          <w:spacing w:val="-2"/>
          <w:sz w:val="28"/>
          <w:szCs w:val="21"/>
          <w:highlight w:val="none"/>
        </w:rPr>
        <w:t xml:space="preserve">第十五条</w:t>
      </w:r>
      <w:r>
        <w:rPr>
          <w:rFonts w:hint="eastAsia" w:ascii="Times New Roman" w:hAnsi="Times New Roman" w:eastAsia="黑体" w:cs="宋体"/>
          <w:spacing w:val="-2"/>
          <w:sz w:val="28"/>
          <w:szCs w:val="21"/>
          <w:highlight w:val="none"/>
        </w:rPr>
        <w:t xml:space="preserve"> </w:t>
      </w:r>
      <w:r>
        <w:rPr>
          <w:rFonts w:hint="eastAsia" w:ascii="Times New Roman" w:hAnsi="Times New Roman" w:eastAsia="黑体" w:cs="宋体"/>
          <w:bCs/>
          <w:spacing w:val="-2"/>
          <w:sz w:val="28"/>
          <w:szCs w:val="21"/>
          <w:highlight w:val="none"/>
        </w:rPr>
        <w:t xml:space="preserve">违约责任</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15.1 甲方违约责任</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15.1.1 如甲方未能按时足额支付托管费用经乙方催告后仍不支付时，按照拖延支付的金额每日万分之二向乙方支付违约金。</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15.1.2 如甲方未遵守本合同附件及其他条款约定，导致乙方经济损失，甲方应当按照乙方的实际损益足额向乙方赔偿。</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15.2 乙方违约责任</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15.2.1 如乙方未能按照服务标准提供服务，违反操作规章制度、违反相关的服务标准，经甲方催仍不能改正的，按照对甲方的实际影响，向甲方支付违约金不少于</w:t>
      </w:r>
      <w:r>
        <w:rPr>
          <w:rFonts w:hint="eastAsia" w:ascii="Times New Roman" w:hAnsi="Times New Roman" w:eastAsia="宋体" w:cs="Times New Roman"/>
          <w:spacing w:val="-1"/>
          <w:position w:val="19"/>
          <w:sz w:val="24"/>
          <w:szCs w:val="21"/>
          <w:highlight w:val="none"/>
          <w:u w:val="single"/>
        </w:rPr>
        <w:t xml:space="preserve">  年度托管费的1%       </w:t>
      </w:r>
      <w:r>
        <w:rPr>
          <w:rFonts w:hint="eastAsia" w:ascii="Times New Roman" w:hAnsi="Times New Roman" w:eastAsia="宋体" w:cs="Times New Roman"/>
          <w:spacing w:val="-1"/>
          <w:position w:val="19"/>
          <w:sz w:val="24"/>
          <w:szCs w:val="21"/>
          <w:highlight w:val="none"/>
        </w:rPr>
        <w:t xml:space="preserve">。</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15.2.2 如乙方未遵守本合同附件及其他条款规定，导致甲方经济损失，应当按照甲方的实际损失额向甲方赔偿。</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15.2.3  乙方应始终本着服务至上、保障运行的原则，积极响应和满足甲方的特殊和应急用能需求，所产生的额外能源费用事后三方协商解决。</w:t>
      </w:r>
      <w:r/>
    </w:p>
    <w:p>
      <w:pPr>
        <w:spacing w:before="100" w:after="100"/>
        <w:rPr>
          <w:rFonts w:hint="default" w:ascii="Times New Roman" w:hAnsi="Times New Roman" w:eastAsia="黑体" w:cs="宋体"/>
          <w:sz w:val="28"/>
          <w:szCs w:val="21"/>
          <w:highlight w:val="none"/>
        </w:rPr>
        <w:outlineLvl w:val="0"/>
      </w:pPr>
      <w:r>
        <w:rPr>
          <w:rFonts w:hint="eastAsia" w:ascii="Times New Roman" w:hAnsi="Times New Roman" w:eastAsia="黑体" w:cs="宋体"/>
          <w:bCs/>
          <w:spacing w:val="-2"/>
          <w:sz w:val="28"/>
          <w:szCs w:val="21"/>
          <w:highlight w:val="none"/>
        </w:rPr>
        <w:t xml:space="preserve">第十六条</w:t>
      </w:r>
      <w:r>
        <w:rPr>
          <w:rFonts w:hint="eastAsia" w:ascii="Times New Roman" w:hAnsi="Times New Roman" w:eastAsia="黑体" w:cs="宋体"/>
          <w:spacing w:val="-2"/>
          <w:sz w:val="28"/>
          <w:szCs w:val="21"/>
          <w:highlight w:val="none"/>
        </w:rPr>
        <w:t xml:space="preserve"> </w:t>
      </w:r>
      <w:r>
        <w:rPr>
          <w:rFonts w:hint="eastAsia" w:ascii="Times New Roman" w:hAnsi="Times New Roman" w:eastAsia="黑体" w:cs="宋体"/>
          <w:bCs/>
          <w:spacing w:val="-2"/>
          <w:sz w:val="28"/>
          <w:szCs w:val="21"/>
          <w:highlight w:val="none"/>
        </w:rPr>
        <w:t xml:space="preserve">不可抗力</w:t>
      </w:r>
      <w:r/>
    </w:p>
    <w:p>
      <w:pPr>
        <w:ind w:firstLine="482"/>
        <w:spacing w:line="36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16.1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丙三方协商确定：延期履行或终止合同。</w:t>
      </w:r>
      <w:r/>
    </w:p>
    <w:p>
      <w:pPr>
        <w:ind w:firstLine="482"/>
        <w:spacing w:line="360" w:lineRule="auto"/>
        <w:rPr>
          <w:rFonts w:hint="default" w:ascii="Times New Roman" w:hAnsi="Times New Roman" w:eastAsia="宋体" w:cs="宋体"/>
          <w:sz w:val="24"/>
          <w:szCs w:val="21"/>
          <w:highlight w:val="none"/>
        </w:rPr>
      </w:pPr>
      <w:r>
        <w:rPr>
          <w:rFonts w:hint="eastAsia" w:ascii="Times New Roman" w:hAnsi="Times New Roman" w:eastAsia="宋体" w:cs="Times New Roman"/>
          <w:spacing w:val="-1"/>
          <w:position w:val="19"/>
          <w:sz w:val="24"/>
          <w:szCs w:val="21"/>
          <w:highlight w:val="none"/>
        </w:rPr>
        <w:t xml:space="preserve">16.2  遇有不可抗力事件的一方可以中止履行，直至不可抗力事件结束，但中止最长时间不超过90天，超过90天，终止本合同的履行。</w:t>
      </w:r>
      <w:r/>
    </w:p>
    <w:p>
      <w:pPr>
        <w:ind w:firstLine="482"/>
        <w:spacing w:line="360" w:lineRule="auto"/>
        <w:rPr>
          <w:rFonts w:hint="default" w:ascii="Times New Roman" w:hAnsi="Times New Roman" w:eastAsia="宋体" w:cs="宋体"/>
          <w:spacing w:val="1"/>
          <w:position w:val="19"/>
          <w:sz w:val="24"/>
          <w:szCs w:val="21"/>
          <w:highlight w:val="none"/>
        </w:rPr>
      </w:pPr>
      <w:r>
        <w:rPr>
          <w:rFonts w:hint="eastAsia" w:ascii="Times New Roman" w:hAnsi="Times New Roman" w:eastAsia="宋体" w:cs="宋体"/>
          <w:spacing w:val="1"/>
          <w:position w:val="19"/>
          <w:sz w:val="24"/>
          <w:szCs w:val="21"/>
          <w:highlight w:val="none"/>
        </w:rPr>
        <w:t xml:space="preserve">16.3  遇有不可抗力事件的一方可以在通知另一方后10日内终止合同，任何一方将不对另一方</w:t>
      </w:r>
      <w:r>
        <w:rPr>
          <w:rFonts w:hint="eastAsia" w:ascii="Times New Roman" w:hAnsi="Times New Roman" w:eastAsia="宋体" w:cs="Times New Roman"/>
          <w:spacing w:val="-1"/>
          <w:position w:val="19"/>
          <w:sz w:val="24"/>
          <w:szCs w:val="21"/>
          <w:highlight w:val="none"/>
        </w:rPr>
        <w:t xml:space="preserve">继续承担</w:t>
      </w:r>
      <w:r>
        <w:rPr>
          <w:rFonts w:hint="eastAsia" w:ascii="Times New Roman" w:hAnsi="Times New Roman" w:eastAsia="宋体" w:cs="宋体"/>
          <w:spacing w:val="1"/>
          <w:position w:val="19"/>
          <w:sz w:val="24"/>
          <w:szCs w:val="21"/>
          <w:highlight w:val="none"/>
        </w:rPr>
        <w:t xml:space="preserve">义务，但甲方和乙方应当据实结算托管费用。仅仅发生不可抗力事件并不能必然减轻或影响具有付款义务的一方向另一方付款。</w:t>
      </w:r>
      <w:r/>
    </w:p>
    <w:p>
      <w:pPr>
        <w:ind w:firstLine="482"/>
        <w:spacing w:line="36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16.4  遇有不可抗力事件的一方应采取措施，避免损失的扩大。如果因未采取相应的措施而导致损失扩大，应向另一方承担赔偿责任。</w:t>
      </w:r>
      <w:r/>
    </w:p>
    <w:p>
      <w:pPr>
        <w:spacing w:before="100" w:after="100"/>
        <w:rPr>
          <w:rFonts w:hint="default" w:ascii="Times New Roman" w:hAnsi="Times New Roman" w:eastAsia="黑体" w:cs="宋体"/>
          <w:sz w:val="28"/>
          <w:szCs w:val="21"/>
          <w:highlight w:val="none"/>
        </w:rPr>
        <w:outlineLvl w:val="0"/>
      </w:pPr>
      <w:r>
        <w:rPr>
          <w:rFonts w:hint="eastAsia" w:ascii="Times New Roman" w:hAnsi="Times New Roman" w:eastAsia="黑体" w:cs="宋体"/>
          <w:bCs/>
          <w:spacing w:val="-2"/>
          <w:sz w:val="28"/>
          <w:szCs w:val="21"/>
          <w:highlight w:val="none"/>
        </w:rPr>
        <w:t xml:space="preserve">第十七条</w:t>
      </w:r>
      <w:r>
        <w:rPr>
          <w:rFonts w:hint="eastAsia" w:ascii="Times New Roman" w:hAnsi="Times New Roman" w:eastAsia="黑体" w:cs="宋体"/>
          <w:spacing w:val="-2"/>
          <w:sz w:val="28"/>
          <w:szCs w:val="21"/>
          <w:highlight w:val="none"/>
        </w:rPr>
        <w:t xml:space="preserve"> </w:t>
      </w:r>
      <w:r>
        <w:rPr>
          <w:rFonts w:hint="eastAsia" w:ascii="Times New Roman" w:hAnsi="Times New Roman" w:eastAsia="黑体" w:cs="宋体"/>
          <w:bCs/>
          <w:spacing w:val="-2"/>
          <w:sz w:val="28"/>
          <w:szCs w:val="21"/>
          <w:highlight w:val="none"/>
        </w:rPr>
        <w:t xml:space="preserve">法律适用和争议解决</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17.1  本合同的订立、履行和解释，应遵守中华人民共和国法律法规，并应遵守行业惯例。</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17.2  因本合同的履行、解释等引起的争议，三方应友好协商解决。如在一方提出书面协商请求</w:t>
      </w:r>
      <w:r>
        <w:rPr>
          <w:rFonts w:hint="eastAsia" w:ascii="Times New Roman" w:hAnsi="Times New Roman" w:eastAsia="宋体" w:cs="Times New Roman"/>
          <w:spacing w:val="-1"/>
          <w:position w:val="19"/>
          <w:sz w:val="24"/>
          <w:szCs w:val="21"/>
          <w:highlight w:val="none"/>
          <w:u w:val="single"/>
        </w:rPr>
        <w:t xml:space="preserve"> 15 </w:t>
      </w:r>
      <w:r>
        <w:rPr>
          <w:rFonts w:hint="eastAsia" w:ascii="Times New Roman" w:hAnsi="Times New Roman" w:eastAsia="宋体" w:cs="Times New Roman"/>
          <w:spacing w:val="-1"/>
          <w:position w:val="19"/>
          <w:sz w:val="24"/>
          <w:szCs w:val="21"/>
          <w:highlight w:val="none"/>
        </w:rPr>
        <w:t xml:space="preserve">日内三方无法达成一致，任何一方均选择依法向项目所在地有管辖权的人民法院提起诉讼。</w:t>
      </w:r>
      <w:r/>
    </w:p>
    <w:p>
      <w:pPr>
        <w:ind w:firstLine="482"/>
        <w:spacing w:line="300" w:lineRule="auto"/>
        <w:rPr>
          <w:rFonts w:hint="default" w:ascii="Times New Roman" w:hAnsi="Times New Roman" w:eastAsia="宋体" w:cs="宋体"/>
          <w:sz w:val="24"/>
          <w:szCs w:val="21"/>
          <w:highlight w:val="none"/>
        </w:rPr>
      </w:pPr>
      <w:r>
        <w:rPr>
          <w:rFonts w:hint="eastAsia" w:ascii="Times New Roman" w:hAnsi="Times New Roman" w:eastAsia="宋体" w:cs="Times New Roman"/>
          <w:spacing w:val="-1"/>
          <w:position w:val="19"/>
          <w:sz w:val="24"/>
          <w:szCs w:val="21"/>
          <w:highlight w:val="none"/>
        </w:rPr>
        <w:t xml:space="preserve">17.3  采用诉讼产生的律师代理费、交通差旅费、举证费、鉴定费及其他与诉讼相关的费用，均由败诉方承担。</w:t>
      </w:r>
      <w:r/>
    </w:p>
    <w:p>
      <w:pPr>
        <w:spacing w:before="100" w:after="100"/>
        <w:rPr>
          <w:rFonts w:hint="default" w:ascii="Times New Roman" w:hAnsi="Times New Roman" w:eastAsia="黑体" w:cs="宋体"/>
          <w:sz w:val="28"/>
          <w:szCs w:val="21"/>
          <w:highlight w:val="none"/>
        </w:rPr>
        <w:outlineLvl w:val="0"/>
      </w:pPr>
      <w:r>
        <w:rPr>
          <w:rFonts w:hint="eastAsia" w:ascii="Times New Roman" w:hAnsi="Times New Roman" w:eastAsia="黑体" w:cs="宋体"/>
          <w:bCs/>
          <w:spacing w:val="-2"/>
          <w:sz w:val="28"/>
          <w:szCs w:val="21"/>
          <w:highlight w:val="none"/>
        </w:rPr>
        <w:t xml:space="preserve">第十八条</w:t>
      </w:r>
      <w:r>
        <w:rPr>
          <w:rFonts w:hint="eastAsia" w:ascii="Times New Roman" w:hAnsi="Times New Roman" w:eastAsia="黑体" w:cs="宋体"/>
          <w:spacing w:val="-2"/>
          <w:sz w:val="28"/>
          <w:szCs w:val="21"/>
          <w:highlight w:val="none"/>
        </w:rPr>
        <w:t xml:space="preserve"> </w:t>
      </w:r>
      <w:r>
        <w:rPr>
          <w:rFonts w:hint="eastAsia" w:ascii="Times New Roman" w:hAnsi="Times New Roman" w:eastAsia="黑体" w:cs="宋体"/>
          <w:bCs/>
          <w:spacing w:val="-2"/>
          <w:sz w:val="28"/>
          <w:szCs w:val="21"/>
          <w:highlight w:val="none"/>
        </w:rPr>
        <w:t xml:space="preserve">合同的生效及其他</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18.1  本合同适用于能源费用托管形式的合同能源管理项目，包括但不限于政府机关、政府投资的医院、学校、社团组织及其他事业单位的办公和经营场所。</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18.2  本合同一式</w:t>
      </w:r>
      <w:r>
        <w:rPr>
          <w:rFonts w:hint="eastAsia" w:cs="Times New Roman"/>
          <w:spacing w:val="-1"/>
          <w:position w:val="19"/>
          <w:sz w:val="24"/>
          <w:szCs w:val="21"/>
          <w:highlight w:val="none"/>
          <w:lang w:val="en-US" w:eastAsia="zh-CN"/>
        </w:rPr>
        <w:t xml:space="preserve">陆</w:t>
      </w:r>
      <w:r>
        <w:rPr>
          <w:rFonts w:hint="eastAsia" w:ascii="Times New Roman" w:hAnsi="Times New Roman" w:eastAsia="宋体" w:cs="Times New Roman"/>
          <w:spacing w:val="-1"/>
          <w:position w:val="19"/>
          <w:sz w:val="24"/>
          <w:szCs w:val="21"/>
          <w:highlight w:val="none"/>
        </w:rPr>
        <w:t xml:space="preserve">份，甲、乙、丙三方各执</w:t>
      </w:r>
      <w:r>
        <w:rPr>
          <w:rFonts w:hint="eastAsia" w:cs="Times New Roman"/>
          <w:spacing w:val="-1"/>
          <w:position w:val="19"/>
          <w:sz w:val="24"/>
          <w:szCs w:val="21"/>
          <w:highlight w:val="none"/>
          <w:lang w:val="en-US" w:eastAsia="zh-CN"/>
        </w:rPr>
        <w:t xml:space="preserve">贰</w:t>
      </w:r>
      <w:r>
        <w:rPr>
          <w:rFonts w:hint="eastAsia" w:ascii="Times New Roman" w:hAnsi="Times New Roman" w:eastAsia="宋体" w:cs="Times New Roman"/>
          <w:spacing w:val="-1"/>
          <w:position w:val="19"/>
          <w:sz w:val="24"/>
          <w:szCs w:val="21"/>
          <w:highlight w:val="none"/>
        </w:rPr>
        <w:t xml:space="preserve">份，具有同等法律效力。本合同经三方法定代表人或授权代表签字并加盖公章之日起生效。</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18.3  本合同的附件为本合同不可分割的组成部分，与本合同具有同等法律效力。本合同与附件及附件之间规定不一致时，以规定详细的文件为准。</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附件一：项目现有用能情况；</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附件</w:t>
      </w:r>
      <w:r>
        <w:rPr>
          <w:rFonts w:hint="eastAsia" w:ascii="Times New Roman" w:hAnsi="Times New Roman" w:eastAsia="宋体" w:cs="Times New Roman"/>
          <w:spacing w:val="-1"/>
          <w:position w:val="19"/>
          <w:sz w:val="24"/>
          <w:szCs w:val="21"/>
          <w:highlight w:val="none"/>
          <w:lang w:val="en-US" w:eastAsia="zh-CN"/>
        </w:rPr>
        <w:t xml:space="preserve">二</w:t>
      </w:r>
      <w:r>
        <w:rPr>
          <w:rFonts w:hint="eastAsia" w:ascii="Times New Roman" w:hAnsi="Times New Roman" w:eastAsia="宋体" w:cs="Times New Roman"/>
          <w:spacing w:val="-1"/>
          <w:position w:val="19"/>
          <w:sz w:val="24"/>
          <w:szCs w:val="21"/>
          <w:highlight w:val="none"/>
        </w:rPr>
        <w:t xml:space="preserve">：</w:t>
      </w:r>
      <w:r>
        <w:rPr>
          <w:rFonts w:hint="eastAsia" w:cs="Times New Roman"/>
          <w:spacing w:val="-1"/>
          <w:position w:val="19"/>
          <w:sz w:val="24"/>
          <w:szCs w:val="21"/>
          <w:highlight w:val="none"/>
          <w:lang w:val="en-US" w:eastAsia="zh-CN"/>
        </w:rPr>
        <w:t xml:space="preserve">能源供应及服务标准</w:t>
      </w:r>
      <w:r>
        <w:rPr>
          <w:rFonts w:hint="eastAsia" w:ascii="Times New Roman" w:hAnsi="Times New Roman" w:eastAsia="宋体" w:cs="Times New Roman"/>
          <w:spacing w:val="-1"/>
          <w:position w:val="19"/>
          <w:sz w:val="24"/>
          <w:szCs w:val="21"/>
          <w:highlight w:val="none"/>
        </w:rPr>
        <w:t xml:space="preserve">；</w:t>
      </w:r>
      <w:r/>
    </w:p>
    <w:p>
      <w:pPr>
        <w:ind w:firstLine="482"/>
        <w:spacing w:line="300" w:lineRule="auto"/>
        <w:rPr>
          <w:rFonts w:hint="default" w:ascii="Times New Roman" w:hAnsi="Times New Roman" w:eastAsia="宋体" w:cs="Times New Roman"/>
          <w:spacing w:val="-1"/>
          <w:position w:val="19"/>
          <w:sz w:val="24"/>
          <w:szCs w:val="21"/>
          <w:highlight w:val="none"/>
        </w:rPr>
      </w:pPr>
      <w:r>
        <w:rPr>
          <w:rFonts w:hint="eastAsia" w:ascii="Times New Roman" w:hAnsi="Times New Roman" w:eastAsia="宋体" w:cs="Times New Roman"/>
          <w:spacing w:val="-1"/>
          <w:position w:val="19"/>
          <w:sz w:val="24"/>
          <w:szCs w:val="21"/>
          <w:highlight w:val="none"/>
        </w:rPr>
        <w:t xml:space="preserve">附件</w:t>
      </w:r>
      <w:r>
        <w:rPr>
          <w:rFonts w:hint="eastAsia" w:ascii="Times New Roman" w:hAnsi="Times New Roman" w:eastAsia="宋体" w:cs="Times New Roman"/>
          <w:spacing w:val="-1"/>
          <w:position w:val="19"/>
          <w:sz w:val="24"/>
          <w:szCs w:val="21"/>
          <w:highlight w:val="none"/>
          <w:lang w:val="en-US" w:eastAsia="zh-CN"/>
        </w:rPr>
        <w:t xml:space="preserve">三</w:t>
      </w:r>
      <w:r>
        <w:rPr>
          <w:rFonts w:hint="eastAsia" w:ascii="Times New Roman" w:hAnsi="Times New Roman" w:eastAsia="宋体" w:cs="Times New Roman"/>
          <w:spacing w:val="-1"/>
          <w:position w:val="19"/>
          <w:sz w:val="24"/>
          <w:szCs w:val="21"/>
          <w:highlight w:val="none"/>
        </w:rPr>
        <w:t xml:space="preserve">：安全生产和环境保护规范；</w:t>
      </w:r>
      <w:r/>
    </w:p>
    <w:p>
      <w:pPr>
        <w:ind w:firstLine="482"/>
        <w:spacing w:line="300" w:lineRule="auto"/>
        <w:rPr>
          <w:rFonts w:hint="eastAsia" w:ascii="Times New Roman" w:hAnsi="Times New Roman" w:eastAsia="宋体" w:cs="Times New Roman"/>
          <w:spacing w:val="-1"/>
          <w:position w:val="19"/>
          <w:sz w:val="24"/>
          <w:szCs w:val="21"/>
          <w:highlight w:val="none"/>
          <w:lang w:eastAsia="zh-CN"/>
        </w:rPr>
      </w:pPr>
      <w:r>
        <w:rPr>
          <w:rFonts w:hint="eastAsia" w:ascii="Times New Roman" w:hAnsi="Times New Roman" w:eastAsia="宋体" w:cs="Times New Roman"/>
          <w:spacing w:val="-1"/>
          <w:position w:val="19"/>
          <w:sz w:val="24"/>
          <w:szCs w:val="21"/>
          <w:highlight w:val="none"/>
        </w:rPr>
        <w:t xml:space="preserve">附件</w:t>
      </w:r>
      <w:r>
        <w:rPr>
          <w:rFonts w:hint="eastAsia" w:ascii="Times New Roman" w:hAnsi="Times New Roman" w:eastAsia="宋体" w:cs="Times New Roman"/>
          <w:spacing w:val="-1"/>
          <w:position w:val="19"/>
          <w:sz w:val="24"/>
          <w:szCs w:val="21"/>
          <w:highlight w:val="none"/>
          <w:lang w:val="en-US" w:eastAsia="zh-CN"/>
        </w:rPr>
        <w:t xml:space="preserve">四</w:t>
      </w:r>
      <w:r>
        <w:rPr>
          <w:rFonts w:hint="eastAsia" w:ascii="Times New Roman" w:hAnsi="Times New Roman" w:eastAsia="宋体" w:cs="Times New Roman"/>
          <w:spacing w:val="-1"/>
          <w:position w:val="19"/>
          <w:sz w:val="24"/>
          <w:szCs w:val="21"/>
          <w:highlight w:val="none"/>
        </w:rPr>
        <w:t xml:space="preserve">：廉洁协议书</w:t>
      </w:r>
      <w:r>
        <w:rPr>
          <w:rFonts w:hint="eastAsia" w:cs="Times New Roman"/>
          <w:spacing w:val="-1"/>
          <w:position w:val="19"/>
          <w:sz w:val="24"/>
          <w:szCs w:val="21"/>
          <w:highlight w:val="none"/>
          <w:lang w:eastAsia="zh-CN"/>
        </w:rPr>
        <w:t xml:space="preserve">；</w:t>
      </w:r>
      <w:r/>
    </w:p>
    <w:p>
      <w:pPr>
        <w:ind w:firstLine="482"/>
        <w:spacing w:line="300" w:lineRule="auto"/>
        <w:rPr>
          <w:rFonts w:hint="default" w:ascii="Times New Roman" w:hAnsi="Times New Roman" w:eastAsia="宋体" w:cs="Times New Roman"/>
          <w:spacing w:val="-1"/>
          <w:position w:val="19"/>
          <w:sz w:val="24"/>
          <w:szCs w:val="21"/>
          <w:highlight w:val="none"/>
          <w:lang w:val="en-US" w:eastAsia="zh-CN"/>
        </w:rPr>
      </w:pPr>
      <w:r>
        <w:rPr>
          <w:rFonts w:hint="eastAsia" w:ascii="Times New Roman" w:hAnsi="Times New Roman" w:eastAsia="宋体" w:cs="Times New Roman"/>
          <w:spacing w:val="-1"/>
          <w:position w:val="19"/>
          <w:sz w:val="24"/>
          <w:szCs w:val="21"/>
          <w:highlight w:val="none"/>
          <w:lang w:val="en-US" w:eastAsia="zh-CN"/>
        </w:rPr>
        <w:t xml:space="preserve">及其他相关要求作为附件</w:t>
      </w:r>
      <w:r>
        <w:rPr>
          <w:rFonts w:hint="eastAsia" w:cs="Times New Roman"/>
          <w:spacing w:val="-1"/>
          <w:position w:val="19"/>
          <w:sz w:val="24"/>
          <w:szCs w:val="21"/>
          <w:highlight w:val="none"/>
          <w:lang w:val="en-US" w:eastAsia="zh-CN"/>
        </w:rPr>
        <w:t xml:space="preserve">。</w:t>
      </w:r>
      <w:r/>
    </w:p>
    <w:p>
      <w:pPr>
        <w:ind w:firstLine="482"/>
        <w:spacing w:line="300" w:lineRule="auto"/>
        <w:rPr>
          <w:rFonts w:hint="default" w:ascii="Times New Roman" w:hAnsi="Times New Roman" w:eastAsia="宋体" w:cs="宋体"/>
          <w:sz w:val="24"/>
          <w:szCs w:val="21"/>
          <w:highlight w:val="none"/>
        </w:rPr>
      </w:pPr>
      <w:r>
        <w:rPr>
          <w:rFonts w:hint="eastAsia" w:ascii="Times New Roman" w:hAnsi="Times New Roman" w:eastAsia="宋体" w:cs="Times New Roman"/>
          <w:spacing w:val="-1"/>
          <w:position w:val="19"/>
          <w:sz w:val="24"/>
          <w:szCs w:val="21"/>
          <w:highlight w:val="none"/>
        </w:rPr>
        <w:t xml:space="preserve">18.4  甲、乙、丙三方发送给对方的通知，如用电话、微信、传真、电子邮件等形式发送通知时，凡涉及各方权利、义务的，应随之以书面形式通知对方。本合同中所列甲、乙、丙三方的地址即为甲、乙、丙三方的收件地址。如果任何一方地址发生变化，应在</w:t>
      </w:r>
      <w:r>
        <w:rPr>
          <w:rFonts w:hint="eastAsia" w:ascii="Times New Roman" w:hAnsi="Times New Roman" w:eastAsia="宋体" w:cs="Times New Roman"/>
          <w:spacing w:val="-1"/>
          <w:position w:val="19"/>
          <w:sz w:val="24"/>
          <w:szCs w:val="21"/>
          <w:highlight w:val="none"/>
          <w:u w:val="single"/>
        </w:rPr>
        <w:t xml:space="preserve"> 15 </w:t>
      </w:r>
      <w:r>
        <w:rPr>
          <w:rFonts w:hint="eastAsia" w:ascii="Times New Roman" w:hAnsi="Times New Roman" w:eastAsia="宋体" w:cs="Times New Roman"/>
          <w:spacing w:val="-1"/>
          <w:position w:val="19"/>
          <w:sz w:val="24"/>
          <w:szCs w:val="21"/>
          <w:highlight w:val="none"/>
        </w:rPr>
        <w:t xml:space="preserve">日内书面通知对方。</w:t>
      </w:r>
      <w:r/>
    </w:p>
    <w:p>
      <w:pPr>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甲方</w:t>
      </w:r>
      <w:r>
        <w:rPr>
          <w:rFonts w:hint="default" w:ascii="Times New Roman" w:hAnsi="Times New Roman" w:eastAsia="宋体" w:cs="宋体"/>
          <w:sz w:val="24"/>
          <w:szCs w:val="21"/>
          <w:highlight w:val="none"/>
        </w:rPr>
        <w:t xml:space="preserve">： （盖章）</w:t>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地址：</w:t>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t xml:space="preserve">法定代表人/授权代表：</w:t>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联系电话：</w:t>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日期：      年    月    日</w:t>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t xml:space="preserve">乙方： （盖章）</w:t>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t xml:space="preserve">地址：                                   </w:t>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t xml:space="preserve">法定代表人/授权代表：         </w:t>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联系电话：       </w:t>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日期：      </w:t>
      </w:r>
      <w:r>
        <w:rPr>
          <w:rFonts w:hint="default" w:ascii="Times New Roman" w:hAnsi="Times New Roman" w:eastAsia="宋体" w:cs="宋体"/>
          <w:sz w:val="24"/>
          <w:szCs w:val="21"/>
          <w:highlight w:val="none"/>
        </w:rPr>
        <w:t xml:space="preserve">年</w:t>
      </w:r>
      <w:r>
        <w:rPr>
          <w:rFonts w:hint="eastAsia" w:ascii="Times New Roman" w:hAnsi="Times New Roman" w:eastAsia="宋体" w:cs="宋体"/>
          <w:sz w:val="24"/>
          <w:szCs w:val="21"/>
          <w:highlight w:val="none"/>
        </w:rPr>
        <w:t xml:space="preserve">    </w:t>
      </w:r>
      <w:r>
        <w:rPr>
          <w:rFonts w:hint="default" w:ascii="Times New Roman" w:hAnsi="Times New Roman" w:eastAsia="宋体" w:cs="宋体"/>
          <w:sz w:val="24"/>
          <w:szCs w:val="21"/>
          <w:highlight w:val="none"/>
        </w:rPr>
        <w:t xml:space="preserve">月</w:t>
      </w:r>
      <w:r>
        <w:rPr>
          <w:rFonts w:hint="eastAsia" w:ascii="Times New Roman" w:hAnsi="Times New Roman" w:eastAsia="宋体" w:cs="宋体"/>
          <w:sz w:val="24"/>
          <w:szCs w:val="21"/>
          <w:highlight w:val="none"/>
        </w:rPr>
        <w:t xml:space="preserve">    日</w:t>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91"/>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r>
      <w:r/>
    </w:p>
    <w:p>
      <w:pPr>
        <w:spacing w:before="91"/>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丙方</w:t>
      </w:r>
      <w:r>
        <w:rPr>
          <w:rFonts w:hint="default" w:ascii="Times New Roman" w:hAnsi="Times New Roman" w:eastAsia="宋体" w:cs="宋体"/>
          <w:sz w:val="24"/>
          <w:szCs w:val="21"/>
          <w:highlight w:val="none"/>
        </w:rPr>
        <w:t xml:space="preserve">： （盖章）</w:t>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地址：</w:t>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r>
      <w:r/>
    </w:p>
    <w:p>
      <w:pPr>
        <w:spacing w:before="42" w:line="185" w:lineRule="auto"/>
        <w:rPr>
          <w:rFonts w:hint="default" w:ascii="Times New Roman" w:hAnsi="Times New Roman" w:eastAsia="宋体" w:cs="宋体"/>
          <w:sz w:val="24"/>
          <w:szCs w:val="21"/>
          <w:highlight w:val="none"/>
        </w:rPr>
      </w:pPr>
      <w:r>
        <w:rPr>
          <w:rFonts w:hint="default" w:ascii="Times New Roman" w:hAnsi="Times New Roman" w:eastAsia="宋体" w:cs="宋体"/>
          <w:sz w:val="24"/>
          <w:szCs w:val="21"/>
          <w:highlight w:val="none"/>
        </w:rPr>
        <w:t xml:space="preserve">法定代表人/授权代表：</w:t>
      </w:r>
      <w:r/>
    </w:p>
    <w:p>
      <w:pPr>
        <w:spacing w:before="42" w:line="185" w:lineRule="auto"/>
        <w:rPr>
          <w:rFonts w:hint="default" w:ascii="Times New Roman" w:hAnsi="Times New Roman" w:eastAsia="宋体" w:cs="宋体"/>
          <w:sz w:val="24"/>
          <w:szCs w:val="21"/>
          <w:highlight w:val="none"/>
        </w:rPr>
      </w:pPr>
      <w:r>
        <w:rPr>
          <w:rFonts w:hint="eastAsia" w:ascii="Times New Roman" w:hAnsi="Times New Roman" w:eastAsia="宋体" w:cs="宋体"/>
          <w:sz w:val="24"/>
          <w:szCs w:val="21"/>
          <w:highlight w:val="none"/>
        </w:rPr>
        <w:t xml:space="preserve">联系电话：</w:t>
      </w:r>
      <w:r/>
    </w:p>
    <w:p>
      <w:pPr>
        <w:spacing w:before="42" w:line="185" w:lineRule="auto"/>
        <w:rPr>
          <w:rFonts w:ascii="Times New Roman" w:hAnsi="Times New Roman"/>
          <w:highlight w:val="none"/>
        </w:rPr>
        <w:sectPr>
          <w:headerReference w:type="default" r:id="rId12"/>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sz w:val="24"/>
          <w:szCs w:val="21"/>
          <w:highlight w:val="none"/>
        </w:rPr>
        <w:t xml:space="preserve">日期：      年    月    日</w:t>
      </w:r>
      <w:r/>
    </w:p>
    <w:p>
      <w:pPr>
        <w:rPr>
          <w:rFonts w:hint="eastAsia" w:ascii="Times New Roman" w:hAnsi="Times New Roman" w:eastAsia="黑体" w:cs="宋体"/>
          <w:bCs/>
          <w:spacing w:val="-2"/>
          <w:sz w:val="28"/>
          <w:szCs w:val="21"/>
          <w:highlight w:val="none"/>
        </w:rPr>
      </w:pPr>
      <w:r>
        <w:rPr>
          <w:rFonts w:hint="eastAsia" w:ascii="Times New Roman" w:hAnsi="Times New Roman" w:eastAsia="黑体" w:cs="宋体"/>
          <w:bCs/>
          <w:spacing w:val="-2"/>
          <w:sz w:val="28"/>
          <w:szCs w:val="21"/>
          <w:highlight w:val="none"/>
        </w:rPr>
        <w:t xml:space="preserve">附件</w:t>
      </w:r>
      <w:r>
        <w:rPr>
          <w:rFonts w:hint="eastAsia" w:ascii="Times New Roman" w:hAnsi="Times New Roman" w:eastAsia="黑体" w:cs="宋体"/>
          <w:bCs/>
          <w:spacing w:val="-2"/>
          <w:sz w:val="28"/>
          <w:szCs w:val="21"/>
          <w:highlight w:val="none"/>
          <w:lang w:val="en-US" w:eastAsia="zh-CN"/>
        </w:rPr>
        <w:t xml:space="preserve">一</w:t>
      </w:r>
      <w:r>
        <w:rPr>
          <w:rFonts w:hint="eastAsia" w:ascii="Times New Roman" w:hAnsi="Times New Roman" w:eastAsia="黑体" w:cs="宋体"/>
          <w:bCs/>
          <w:spacing w:val="-2"/>
          <w:sz w:val="28"/>
          <w:szCs w:val="21"/>
          <w:highlight w:val="none"/>
        </w:rPr>
        <w:t xml:space="preserve">：项目现有用能情况</w:t>
      </w:r>
      <w:r/>
    </w:p>
    <w:p>
      <w:pPr>
        <w:pStyle w:val="903"/>
        <w:rPr>
          <w:rFonts w:hint="eastAsia" w:ascii="宋体" w:hAnsi="宋体" w:eastAsia="宋体" w:cs="宋体"/>
          <w:b/>
          <w:bCs w:val="0"/>
          <w:sz w:val="24"/>
          <w:szCs w:val="24"/>
          <w:highlight w:val="none"/>
          <w:lang w:val="en-US" w:eastAsia="zh-CN"/>
        </w:rPr>
      </w:pPr>
      <w:r>
        <w:rPr>
          <w:rFonts w:hint="eastAsia" w:ascii="宋体" w:hAnsi="宋体" w:eastAsia="宋体" w:cs="宋体"/>
          <w:b/>
          <w:bCs w:val="0"/>
          <w:spacing w:val="-2"/>
          <w:sz w:val="24"/>
          <w:szCs w:val="24"/>
          <w:highlight w:val="none"/>
          <w:lang w:val="en-US" w:eastAsia="zh-CN"/>
        </w:rPr>
        <w:t xml:space="preserve">根据实际情况提供</w:t>
      </w:r>
      <w:r/>
    </w:p>
    <w:p>
      <w:pPr>
        <w:rPr>
          <w:highlight w:val="none"/>
        </w:rPr>
      </w:pPr>
      <w:r>
        <w:rPr>
          <w:rFonts w:hint="eastAsia" w:ascii="Times New Roman" w:hAnsi="Times New Roman" w:eastAsia="黑体" w:cs="宋体"/>
          <w:bCs/>
          <w:spacing w:val="-2"/>
          <w:sz w:val="28"/>
          <w:szCs w:val="21"/>
          <w:highlight w:val="none"/>
        </w:rPr>
        <w:t xml:space="preserve">附件</w:t>
      </w:r>
      <w:r>
        <w:rPr>
          <w:rFonts w:hint="eastAsia" w:ascii="Times New Roman" w:hAnsi="Times New Roman" w:eastAsia="黑体" w:cs="宋体"/>
          <w:bCs/>
          <w:spacing w:val="-2"/>
          <w:sz w:val="28"/>
          <w:szCs w:val="21"/>
          <w:highlight w:val="none"/>
          <w:lang w:val="en-US" w:eastAsia="zh-CN"/>
        </w:rPr>
        <w:t xml:space="preserve">二</w:t>
      </w:r>
      <w:r>
        <w:rPr>
          <w:rFonts w:hint="eastAsia" w:ascii="Times New Roman" w:hAnsi="Times New Roman" w:eastAsia="黑体" w:cs="宋体"/>
          <w:bCs/>
          <w:spacing w:val="-2"/>
          <w:sz w:val="28"/>
          <w:szCs w:val="21"/>
          <w:highlight w:val="none"/>
        </w:rPr>
        <w:t xml:space="preserve">：</w:t>
      </w:r>
      <w:r>
        <w:rPr>
          <w:rFonts w:hint="eastAsia" w:ascii="Times New Roman" w:hAnsi="Times New Roman" w:eastAsia="黑体" w:cs="宋体"/>
          <w:bCs/>
          <w:spacing w:val="-2"/>
          <w:sz w:val="28"/>
          <w:szCs w:val="21"/>
          <w:highlight w:val="none"/>
          <w:lang w:val="en-US" w:eastAsia="zh-CN"/>
        </w:rPr>
        <w:t xml:space="preserve">能源供应及服务标准</w:t>
      </w:r>
      <w:r/>
    </w:p>
    <w:p>
      <w:pPr>
        <w:pStyle w:val="903"/>
        <w:rPr>
          <w:rFonts w:hint="eastAsia" w:ascii="宋体" w:hAnsi="宋体" w:eastAsia="宋体" w:cs="宋体"/>
          <w:b/>
          <w:bCs w:val="0"/>
          <w:sz w:val="24"/>
          <w:szCs w:val="24"/>
          <w:highlight w:val="none"/>
          <w:lang w:val="en-US" w:eastAsia="zh-CN"/>
        </w:rPr>
      </w:pPr>
      <w:r>
        <w:rPr>
          <w:rFonts w:hint="eastAsia" w:ascii="宋体" w:hAnsi="宋体" w:eastAsia="宋体" w:cs="宋体"/>
          <w:b/>
          <w:bCs w:val="0"/>
          <w:spacing w:val="-2"/>
          <w:sz w:val="24"/>
          <w:szCs w:val="24"/>
          <w:highlight w:val="none"/>
          <w:lang w:val="en-US" w:eastAsia="zh-CN"/>
        </w:rPr>
        <w:t xml:space="preserve">根据实际情况提供</w:t>
      </w:r>
      <w:r/>
    </w:p>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jc w:val="left"/>
        <w:spacing w:before="100" w:after="100"/>
        <w:rPr>
          <w:rFonts w:hint="default" w:ascii="Times New Roman" w:hAnsi="Times New Roman" w:eastAsia="黑体" w:cs="宋体"/>
          <w:bCs/>
          <w:spacing w:val="-2"/>
          <w:sz w:val="28"/>
          <w:szCs w:val="21"/>
          <w:highlight w:val="none"/>
        </w:rPr>
        <w:outlineLvl w:val="0"/>
      </w:pPr>
      <w:r/>
      <w:bookmarkStart w:id="469" w:name="_Toc193908624"/>
      <w:r/>
      <w:bookmarkEnd w:id="469"/>
      <w:r/>
      <w:bookmarkStart w:id="470" w:name="_Toc193909390"/>
      <w:r/>
      <w:bookmarkEnd w:id="470"/>
      <w:r/>
      <w:bookmarkStart w:id="471" w:name="_Toc194328037"/>
      <w:r/>
      <w:bookmarkEnd w:id="471"/>
      <w:r/>
      <w:bookmarkStart w:id="472" w:name="_Toc193908623"/>
      <w:r/>
      <w:bookmarkEnd w:id="472"/>
      <w:r/>
      <w:bookmarkStart w:id="473" w:name="_Toc193909379"/>
      <w:r/>
      <w:bookmarkEnd w:id="473"/>
      <w:r/>
      <w:bookmarkStart w:id="474" w:name="_Toc190071856"/>
      <w:r/>
      <w:bookmarkEnd w:id="474"/>
      <w:r/>
      <w:bookmarkStart w:id="475" w:name="_Toc191539573"/>
      <w:r/>
      <w:bookmarkEnd w:id="475"/>
      <w:r/>
      <w:bookmarkStart w:id="476" w:name="_Toc194329416"/>
      <w:r/>
      <w:bookmarkEnd w:id="476"/>
      <w:r/>
      <w:bookmarkStart w:id="477" w:name="_Toc190072149"/>
      <w:r/>
      <w:bookmarkEnd w:id="477"/>
      <w:r/>
      <w:bookmarkStart w:id="478" w:name="_Toc193113830"/>
      <w:r/>
      <w:bookmarkEnd w:id="478"/>
      <w:r/>
      <w:bookmarkStart w:id="479" w:name="_Toc190072187"/>
      <w:r/>
      <w:bookmarkEnd w:id="479"/>
      <w:r/>
      <w:bookmarkStart w:id="480" w:name="_Toc193730967"/>
      <w:r/>
      <w:bookmarkEnd w:id="480"/>
      <w:r/>
      <w:bookmarkStart w:id="481" w:name="_Toc193730933"/>
      <w:r/>
      <w:bookmarkEnd w:id="481"/>
      <w:r/>
      <w:bookmarkStart w:id="482" w:name="_Toc198903923"/>
      <w:r/>
      <w:bookmarkEnd w:id="482"/>
      <w:r/>
      <w:bookmarkStart w:id="483" w:name="_Toc198903998"/>
      <w:r/>
      <w:bookmarkEnd w:id="483"/>
      <w:r/>
      <w:bookmarkStart w:id="484" w:name="_Toc190072181"/>
      <w:r/>
      <w:bookmarkEnd w:id="484"/>
      <w:r/>
      <w:bookmarkStart w:id="485" w:name="_Toc193730952"/>
      <w:r/>
      <w:bookmarkEnd w:id="485"/>
      <w:r/>
      <w:bookmarkStart w:id="486" w:name="_Toc191539584"/>
      <w:r/>
      <w:bookmarkEnd w:id="486"/>
      <w:r/>
      <w:bookmarkStart w:id="487" w:name="_Toc196382337"/>
      <w:r/>
      <w:bookmarkEnd w:id="487"/>
      <w:r/>
      <w:bookmarkStart w:id="488" w:name="_Toc190072137"/>
      <w:r/>
      <w:bookmarkEnd w:id="488"/>
      <w:r/>
      <w:bookmarkStart w:id="489" w:name="_Toc190097435"/>
      <w:r/>
      <w:bookmarkEnd w:id="489"/>
      <w:r/>
      <w:bookmarkStart w:id="490" w:name="_Toc193117302"/>
      <w:r/>
      <w:bookmarkEnd w:id="490"/>
      <w:r/>
      <w:bookmarkStart w:id="491" w:name="_Toc190071860"/>
      <w:r/>
      <w:bookmarkEnd w:id="491"/>
      <w:r/>
      <w:bookmarkStart w:id="492" w:name="_Toc193908040"/>
      <w:r/>
      <w:bookmarkEnd w:id="492"/>
      <w:r/>
      <w:bookmarkStart w:id="493" w:name="_Toc193730936"/>
      <w:r/>
      <w:bookmarkEnd w:id="493"/>
      <w:r/>
      <w:bookmarkStart w:id="494" w:name="_Toc193908613"/>
      <w:r/>
      <w:bookmarkEnd w:id="494"/>
      <w:r/>
      <w:bookmarkStart w:id="495" w:name="_Toc193908042"/>
      <w:r/>
      <w:bookmarkEnd w:id="495"/>
      <w:r/>
      <w:bookmarkStart w:id="496" w:name="_Toc193909375"/>
      <w:r/>
      <w:bookmarkEnd w:id="496"/>
      <w:r/>
      <w:bookmarkStart w:id="497" w:name="_Toc193113828"/>
      <w:r/>
      <w:bookmarkEnd w:id="497"/>
      <w:r/>
      <w:bookmarkStart w:id="498" w:name="_Toc191539575"/>
      <w:r/>
      <w:bookmarkEnd w:id="498"/>
      <w:r/>
      <w:bookmarkStart w:id="499" w:name="_Toc193908615"/>
      <w:r/>
      <w:bookmarkEnd w:id="499"/>
      <w:r/>
      <w:bookmarkStart w:id="500" w:name="_Toc196383066"/>
      <w:r/>
      <w:bookmarkEnd w:id="500"/>
      <w:r/>
      <w:bookmarkStart w:id="501" w:name="_Toc196383924"/>
      <w:r/>
      <w:bookmarkEnd w:id="501"/>
      <w:r/>
      <w:bookmarkStart w:id="502" w:name="_Toc190072177"/>
      <w:r/>
      <w:bookmarkEnd w:id="502"/>
      <w:r/>
      <w:bookmarkStart w:id="503" w:name="_Toc190094345"/>
      <w:r/>
      <w:bookmarkEnd w:id="503"/>
      <w:r/>
      <w:bookmarkStart w:id="504" w:name="_Toc190094328"/>
      <w:r/>
      <w:bookmarkEnd w:id="504"/>
      <w:r/>
      <w:bookmarkStart w:id="505" w:name="_Toc193112779"/>
      <w:r/>
      <w:bookmarkEnd w:id="505"/>
      <w:r/>
      <w:bookmarkStart w:id="506" w:name="_Toc192692587"/>
      <w:r/>
      <w:bookmarkEnd w:id="506"/>
      <w:r/>
      <w:bookmarkStart w:id="507" w:name="_Toc192687216"/>
      <w:r/>
      <w:bookmarkEnd w:id="507"/>
      <w:r/>
      <w:bookmarkStart w:id="508" w:name="_Toc193112787"/>
      <w:r/>
      <w:bookmarkEnd w:id="508"/>
      <w:r/>
      <w:bookmarkStart w:id="509" w:name="_Toc194329410"/>
      <w:r/>
      <w:bookmarkEnd w:id="509"/>
      <w:r/>
      <w:bookmarkStart w:id="510" w:name="_Toc190094310"/>
      <w:r/>
      <w:bookmarkEnd w:id="510"/>
      <w:r/>
      <w:bookmarkStart w:id="511" w:name="_Toc192692571"/>
      <w:r/>
      <w:bookmarkEnd w:id="511"/>
      <w:r/>
      <w:bookmarkStart w:id="512" w:name="_Toc196383918"/>
      <w:r/>
      <w:bookmarkEnd w:id="512"/>
      <w:r/>
      <w:bookmarkStart w:id="513" w:name="_Toc192687226"/>
      <w:r/>
      <w:bookmarkEnd w:id="513"/>
      <w:r/>
      <w:bookmarkStart w:id="514" w:name="_Toc190071872"/>
      <w:r/>
      <w:bookmarkEnd w:id="514"/>
      <w:r/>
      <w:bookmarkStart w:id="515" w:name="_Toc198903943"/>
      <w:r/>
      <w:bookmarkEnd w:id="515"/>
      <w:r/>
      <w:bookmarkStart w:id="516" w:name="_Toc193730953"/>
      <w:r/>
      <w:bookmarkEnd w:id="516"/>
      <w:r/>
      <w:bookmarkStart w:id="517" w:name="_Toc193908069"/>
      <w:r/>
      <w:bookmarkEnd w:id="517"/>
      <w:r/>
      <w:bookmarkStart w:id="518" w:name="_Toc191539580"/>
      <w:r/>
      <w:bookmarkEnd w:id="518"/>
      <w:r/>
      <w:bookmarkStart w:id="519" w:name="_Toc193114716"/>
      <w:r/>
      <w:bookmarkEnd w:id="519"/>
      <w:r/>
      <w:bookmarkStart w:id="520" w:name="_Toc196383069"/>
      <w:r/>
      <w:bookmarkEnd w:id="520"/>
      <w:r/>
      <w:bookmarkStart w:id="521" w:name="_Toc193114703"/>
      <w:r/>
      <w:bookmarkEnd w:id="521"/>
      <w:r/>
      <w:bookmarkStart w:id="522" w:name="_Toc193114688"/>
      <w:r/>
      <w:bookmarkEnd w:id="522"/>
      <w:r/>
      <w:bookmarkStart w:id="523" w:name="_Toc190097439"/>
      <w:r/>
      <w:bookmarkEnd w:id="523"/>
      <w:r/>
      <w:bookmarkStart w:id="524" w:name="_Toc193114684"/>
      <w:r/>
      <w:bookmarkEnd w:id="524"/>
      <w:r/>
      <w:bookmarkStart w:id="525" w:name="_Toc194328029"/>
      <w:r/>
      <w:bookmarkEnd w:id="525"/>
      <w:r/>
      <w:bookmarkStart w:id="526" w:name="_Toc196383084"/>
      <w:r/>
      <w:bookmarkEnd w:id="526"/>
      <w:r/>
      <w:bookmarkStart w:id="527" w:name="_Toc190097431"/>
      <w:r/>
      <w:bookmarkEnd w:id="527"/>
      <w:r/>
      <w:bookmarkStart w:id="528" w:name="_Toc193730949"/>
      <w:r/>
      <w:bookmarkEnd w:id="528"/>
      <w:r/>
      <w:bookmarkStart w:id="529" w:name="_Toc193908041"/>
      <w:r/>
      <w:bookmarkEnd w:id="529"/>
      <w:r/>
      <w:bookmarkStart w:id="530" w:name="_Toc193113797"/>
      <w:r/>
      <w:bookmarkEnd w:id="530"/>
      <w:r/>
      <w:bookmarkStart w:id="531" w:name="_Toc193730938"/>
      <w:r/>
      <w:bookmarkEnd w:id="531"/>
      <w:r/>
      <w:bookmarkStart w:id="532" w:name="_Toc193908612"/>
      <w:r/>
      <w:bookmarkEnd w:id="532"/>
      <w:r/>
      <w:bookmarkStart w:id="533" w:name="_Toc192692570"/>
      <w:r/>
      <w:bookmarkEnd w:id="533"/>
      <w:r/>
      <w:bookmarkStart w:id="534" w:name="_Toc190097433"/>
      <w:r/>
      <w:bookmarkEnd w:id="534"/>
      <w:r/>
      <w:bookmarkStart w:id="535" w:name="_Toc194328030"/>
      <w:r/>
      <w:bookmarkEnd w:id="535"/>
      <w:r/>
      <w:bookmarkStart w:id="536" w:name="_Toc191539577"/>
      <w:r/>
      <w:bookmarkEnd w:id="536"/>
      <w:r/>
      <w:bookmarkStart w:id="537" w:name="_Toc193117334"/>
      <w:r/>
      <w:bookmarkEnd w:id="537"/>
      <w:r/>
      <w:bookmarkStart w:id="538" w:name="_Toc196383915"/>
      <w:r/>
      <w:bookmarkEnd w:id="538"/>
      <w:r/>
      <w:bookmarkStart w:id="539" w:name="_Toc194328026"/>
      <w:r/>
      <w:bookmarkEnd w:id="539"/>
      <w:r/>
      <w:bookmarkStart w:id="540" w:name="_Toc196382338"/>
      <w:r/>
      <w:bookmarkEnd w:id="540"/>
      <w:r/>
      <w:bookmarkStart w:id="541" w:name="_Toc193117304"/>
      <w:r/>
      <w:bookmarkEnd w:id="541"/>
      <w:r/>
      <w:bookmarkStart w:id="542" w:name="_Toc193117308"/>
      <w:r/>
      <w:bookmarkEnd w:id="542"/>
      <w:r/>
      <w:bookmarkStart w:id="543" w:name="_Toc198903980"/>
      <w:r/>
      <w:bookmarkEnd w:id="543"/>
      <w:r/>
      <w:bookmarkStart w:id="544" w:name="_Toc193909404"/>
      <w:r/>
      <w:bookmarkEnd w:id="544"/>
      <w:r/>
      <w:bookmarkStart w:id="545" w:name="_Toc196383080"/>
      <w:r/>
      <w:bookmarkEnd w:id="545"/>
      <w:r/>
      <w:bookmarkStart w:id="546" w:name="_Toc190094329"/>
      <w:r/>
      <w:bookmarkEnd w:id="546"/>
      <w:r/>
      <w:bookmarkStart w:id="547" w:name="_Toc193114687"/>
      <w:r/>
      <w:bookmarkEnd w:id="547"/>
      <w:r/>
      <w:bookmarkStart w:id="548" w:name="_Toc196383917"/>
      <w:r/>
      <w:bookmarkEnd w:id="548"/>
      <w:r/>
      <w:bookmarkStart w:id="549" w:name="_Toc193730947"/>
      <w:r/>
      <w:bookmarkEnd w:id="549"/>
      <w:r/>
      <w:bookmarkStart w:id="550" w:name="_Toc196383949"/>
      <w:r/>
      <w:bookmarkEnd w:id="550"/>
      <w:r/>
      <w:bookmarkStart w:id="551" w:name="_Toc196383922"/>
      <w:r/>
      <w:bookmarkEnd w:id="551"/>
      <w:r/>
      <w:bookmarkStart w:id="552" w:name="_Toc190072135"/>
      <w:r/>
      <w:bookmarkEnd w:id="552"/>
      <w:r/>
      <w:bookmarkStart w:id="553" w:name="_Toc193730939"/>
      <w:r/>
      <w:bookmarkEnd w:id="553"/>
      <w:r/>
      <w:bookmarkStart w:id="554" w:name="_Toc190094326"/>
      <w:r/>
      <w:bookmarkEnd w:id="554"/>
      <w:r/>
      <w:bookmarkStart w:id="555" w:name="_Toc193908048"/>
      <w:r/>
      <w:bookmarkEnd w:id="555"/>
      <w:r/>
      <w:bookmarkStart w:id="556" w:name="_Toc190094346"/>
      <w:r/>
      <w:bookmarkEnd w:id="556"/>
      <w:r/>
      <w:bookmarkStart w:id="557" w:name="_Toc196382344"/>
      <w:r/>
      <w:bookmarkEnd w:id="557"/>
      <w:r/>
      <w:bookmarkStart w:id="558" w:name="_Toc196383081"/>
      <w:r/>
      <w:bookmarkEnd w:id="558"/>
      <w:r/>
      <w:bookmarkStart w:id="559" w:name="_Toc191539588"/>
      <w:r/>
      <w:bookmarkEnd w:id="559"/>
      <w:r/>
      <w:bookmarkStart w:id="560" w:name="_Toc193909371"/>
      <w:r/>
      <w:bookmarkEnd w:id="560"/>
      <w:r/>
      <w:bookmarkStart w:id="561" w:name="_Toc193730942"/>
      <w:r/>
      <w:bookmarkEnd w:id="561"/>
      <w:r/>
      <w:bookmarkStart w:id="562" w:name="_Toc194328060"/>
      <w:r/>
      <w:bookmarkEnd w:id="562"/>
      <w:r/>
      <w:bookmarkStart w:id="563" w:name="_Toc190097450"/>
      <w:r/>
      <w:bookmarkEnd w:id="563"/>
      <w:r/>
      <w:bookmarkStart w:id="564" w:name="_Toc190094342"/>
      <w:r/>
      <w:bookmarkEnd w:id="564"/>
      <w:r/>
      <w:bookmarkStart w:id="565" w:name="_Toc193112774"/>
      <w:r/>
      <w:bookmarkEnd w:id="565"/>
      <w:r/>
      <w:bookmarkStart w:id="566" w:name="_Toc196383935"/>
      <w:r/>
      <w:bookmarkEnd w:id="566"/>
      <w:r/>
      <w:bookmarkStart w:id="567" w:name="_Toc193908053"/>
      <w:r/>
      <w:bookmarkEnd w:id="567"/>
      <w:r/>
      <w:bookmarkStart w:id="568" w:name="_Toc196383071"/>
      <w:r/>
      <w:bookmarkEnd w:id="568"/>
      <w:r/>
      <w:bookmarkStart w:id="569" w:name="_Toc190097461"/>
      <w:r/>
      <w:bookmarkEnd w:id="569"/>
      <w:r/>
      <w:bookmarkStart w:id="570" w:name="_Toc192692584"/>
      <w:r/>
      <w:bookmarkEnd w:id="570"/>
      <w:r/>
      <w:bookmarkStart w:id="571" w:name="_Toc191539571"/>
      <w:r/>
      <w:bookmarkEnd w:id="571"/>
      <w:r/>
      <w:bookmarkStart w:id="572" w:name="_Toc190094331"/>
      <w:r/>
      <w:bookmarkEnd w:id="572"/>
      <w:r/>
      <w:bookmarkStart w:id="573" w:name="_Toc193908036"/>
      <w:r/>
      <w:bookmarkEnd w:id="573"/>
      <w:r/>
      <w:bookmarkStart w:id="574" w:name="_Toc190097462"/>
      <w:r/>
      <w:bookmarkEnd w:id="574"/>
      <w:r/>
      <w:bookmarkStart w:id="575" w:name="_Toc193114686"/>
      <w:r/>
      <w:bookmarkEnd w:id="575"/>
      <w:r/>
      <w:bookmarkStart w:id="576" w:name="_Toc190072144"/>
      <w:r/>
      <w:bookmarkEnd w:id="576"/>
      <w:r/>
      <w:bookmarkStart w:id="577" w:name="_Toc193114683"/>
      <w:r/>
      <w:bookmarkEnd w:id="577"/>
      <w:r/>
      <w:bookmarkStart w:id="578" w:name="_Toc198903937"/>
      <w:r/>
      <w:bookmarkEnd w:id="578"/>
      <w:r/>
      <w:bookmarkStart w:id="579" w:name="_Toc190072145"/>
      <w:r/>
      <w:bookmarkEnd w:id="579"/>
      <w:r/>
      <w:bookmarkStart w:id="580" w:name="_Toc198904003"/>
      <w:r/>
      <w:bookmarkEnd w:id="580"/>
      <w:r/>
      <w:bookmarkStart w:id="581" w:name="_Toc192692579"/>
      <w:r/>
      <w:bookmarkEnd w:id="581"/>
      <w:r/>
      <w:bookmarkStart w:id="582" w:name="_Toc190097447"/>
      <w:r/>
      <w:bookmarkEnd w:id="582"/>
      <w:r/>
      <w:bookmarkStart w:id="583" w:name="_Toc190094315"/>
      <w:r/>
      <w:bookmarkEnd w:id="583"/>
      <w:r/>
      <w:bookmarkStart w:id="584" w:name="_Toc193117320"/>
      <w:r/>
      <w:bookmarkEnd w:id="584"/>
      <w:r/>
      <w:bookmarkStart w:id="585" w:name="_Toc190097429"/>
      <w:r/>
      <w:bookmarkEnd w:id="585"/>
      <w:r/>
      <w:bookmarkStart w:id="586" w:name="_Toc190072143"/>
      <w:r/>
      <w:bookmarkEnd w:id="586"/>
      <w:r/>
      <w:bookmarkStart w:id="587" w:name="_Toc192687248"/>
      <w:r/>
      <w:bookmarkEnd w:id="587"/>
      <w:r/>
      <w:bookmarkStart w:id="588" w:name="_Toc192692581"/>
      <w:r/>
      <w:bookmarkEnd w:id="588"/>
      <w:r/>
      <w:bookmarkStart w:id="589" w:name="_Toc196382365"/>
      <w:r/>
      <w:bookmarkEnd w:id="589"/>
      <w:r/>
      <w:bookmarkStart w:id="590" w:name="_Toc196383070"/>
      <w:r/>
      <w:bookmarkEnd w:id="590"/>
      <w:r/>
      <w:bookmarkStart w:id="591" w:name="_Toc192687233"/>
      <w:r/>
      <w:bookmarkEnd w:id="591"/>
      <w:r/>
      <w:bookmarkStart w:id="592" w:name="_Toc190094311"/>
      <w:r/>
      <w:bookmarkEnd w:id="592"/>
      <w:r/>
      <w:bookmarkStart w:id="593" w:name="_Toc194329424"/>
      <w:r/>
      <w:bookmarkEnd w:id="593"/>
      <w:r/>
      <w:bookmarkStart w:id="594" w:name="_Toc190072180"/>
      <w:r/>
      <w:bookmarkEnd w:id="594"/>
      <w:r/>
      <w:bookmarkStart w:id="595" w:name="_Toc190071870"/>
      <w:r/>
      <w:bookmarkEnd w:id="595"/>
      <w:r/>
      <w:bookmarkStart w:id="596" w:name="_Toc190094327"/>
      <w:r/>
      <w:bookmarkEnd w:id="596"/>
      <w:r/>
      <w:bookmarkStart w:id="597" w:name="_Toc193114695"/>
      <w:r/>
      <w:bookmarkEnd w:id="597"/>
      <w:r/>
      <w:bookmarkStart w:id="598" w:name="_Toc194329434"/>
      <w:r/>
      <w:bookmarkEnd w:id="598"/>
      <w:r/>
      <w:bookmarkStart w:id="599" w:name="_Toc191539581"/>
      <w:r/>
      <w:bookmarkEnd w:id="599"/>
      <w:r/>
      <w:bookmarkStart w:id="600" w:name="_Toc190097437"/>
      <w:r/>
      <w:bookmarkEnd w:id="600"/>
      <w:r/>
      <w:bookmarkStart w:id="601" w:name="_Toc192687230"/>
      <w:r/>
      <w:bookmarkEnd w:id="601"/>
      <w:r/>
      <w:bookmarkStart w:id="602" w:name="_Toc194329402"/>
      <w:r/>
      <w:bookmarkEnd w:id="602"/>
      <w:r/>
      <w:bookmarkStart w:id="603" w:name="_Toc193908070"/>
      <w:r/>
      <w:bookmarkEnd w:id="603"/>
      <w:r/>
      <w:bookmarkStart w:id="604" w:name="_Toc198903985"/>
      <w:r/>
      <w:bookmarkEnd w:id="604"/>
      <w:r/>
      <w:bookmarkStart w:id="605" w:name="_Toc190072182"/>
      <w:r/>
      <w:bookmarkEnd w:id="605"/>
      <w:r/>
      <w:bookmarkStart w:id="606" w:name="_Toc192692572"/>
      <w:r/>
      <w:bookmarkEnd w:id="606"/>
      <w:r/>
      <w:bookmarkStart w:id="607" w:name="_Toc193114712"/>
      <w:r/>
      <w:bookmarkEnd w:id="607"/>
      <w:r/>
      <w:bookmarkStart w:id="608" w:name="_Toc196383927"/>
      <w:r/>
      <w:bookmarkEnd w:id="608"/>
      <w:r/>
      <w:bookmarkStart w:id="609" w:name="_Toc193113829"/>
      <w:r/>
      <w:bookmarkEnd w:id="609"/>
      <w:r/>
      <w:bookmarkStart w:id="610" w:name="_Toc198903957"/>
      <w:r/>
      <w:bookmarkEnd w:id="610"/>
      <w:r/>
      <w:bookmarkStart w:id="611" w:name="_Toc193113805"/>
      <w:r/>
      <w:bookmarkEnd w:id="611"/>
      <w:r/>
      <w:bookmarkStart w:id="612" w:name="_Toc190072178"/>
      <w:r/>
      <w:bookmarkEnd w:id="612"/>
      <w:r/>
      <w:bookmarkStart w:id="613" w:name="_Toc193112807"/>
      <w:r/>
      <w:bookmarkEnd w:id="613"/>
      <w:r/>
      <w:bookmarkStart w:id="614" w:name="_Toc190094317"/>
      <w:r/>
      <w:bookmarkEnd w:id="614"/>
      <w:r/>
      <w:bookmarkStart w:id="615" w:name="_Toc191539582"/>
      <w:r/>
      <w:bookmarkEnd w:id="615"/>
      <w:r/>
      <w:bookmarkStart w:id="616" w:name="_Toc193908629"/>
      <w:r/>
      <w:bookmarkEnd w:id="616"/>
      <w:r/>
      <w:bookmarkStart w:id="617" w:name="_Toc198903934"/>
      <w:r/>
      <w:bookmarkEnd w:id="617"/>
      <w:r/>
      <w:bookmarkStart w:id="618" w:name="_Toc193730968"/>
      <w:r/>
      <w:bookmarkEnd w:id="618"/>
      <w:r/>
      <w:bookmarkStart w:id="619" w:name="_Toc193114713"/>
      <w:r/>
      <w:bookmarkEnd w:id="619"/>
      <w:r/>
      <w:bookmarkStart w:id="620" w:name="_Toc193909376"/>
      <w:r/>
      <w:bookmarkEnd w:id="620"/>
      <w:r/>
      <w:bookmarkStart w:id="621" w:name="_Toc193113808"/>
      <w:r/>
      <w:bookmarkEnd w:id="621"/>
      <w:r/>
      <w:bookmarkStart w:id="622" w:name="_Toc193908049"/>
      <w:r/>
      <w:bookmarkEnd w:id="622"/>
      <w:r/>
      <w:bookmarkStart w:id="623" w:name="_Toc190094344"/>
      <w:r/>
      <w:bookmarkEnd w:id="623"/>
      <w:r/>
      <w:bookmarkStart w:id="624" w:name="_Toc196383948"/>
      <w:r/>
      <w:bookmarkEnd w:id="624"/>
      <w:r/>
      <w:bookmarkStart w:id="625" w:name="_Toc193114701"/>
      <w:r/>
      <w:bookmarkEnd w:id="625"/>
      <w:r/>
      <w:bookmarkStart w:id="626" w:name="_Toc193117323"/>
      <w:r/>
      <w:bookmarkEnd w:id="626"/>
      <w:r/>
      <w:bookmarkStart w:id="627" w:name="_Toc196382331"/>
      <w:r/>
      <w:bookmarkEnd w:id="627"/>
      <w:r/>
      <w:bookmarkStart w:id="628" w:name="_Toc193909401"/>
      <w:r/>
      <w:bookmarkEnd w:id="628"/>
      <w:r/>
      <w:bookmarkStart w:id="629" w:name="_Toc193909368"/>
      <w:r/>
      <w:bookmarkEnd w:id="629"/>
      <w:r/>
      <w:bookmarkStart w:id="630" w:name="_Toc193908618"/>
      <w:r/>
      <w:bookmarkEnd w:id="630"/>
      <w:r/>
      <w:bookmarkStart w:id="631" w:name="_Toc192692565"/>
      <w:r/>
      <w:bookmarkEnd w:id="631"/>
      <w:r/>
      <w:bookmarkStart w:id="632" w:name="_Toc196382367"/>
      <w:r/>
      <w:bookmarkEnd w:id="632"/>
      <w:r/>
      <w:bookmarkStart w:id="633" w:name="_Toc193112790"/>
      <w:r/>
      <w:bookmarkEnd w:id="633"/>
      <w:r/>
      <w:bookmarkStart w:id="634" w:name="_Toc191539601"/>
      <w:r/>
      <w:bookmarkEnd w:id="634"/>
      <w:r/>
      <w:bookmarkStart w:id="635" w:name="_Toc193117321"/>
      <w:r/>
      <w:bookmarkEnd w:id="635"/>
      <w:r/>
      <w:bookmarkStart w:id="636" w:name="_Toc192687218"/>
      <w:r/>
      <w:bookmarkEnd w:id="636"/>
      <w:r/>
      <w:bookmarkStart w:id="637" w:name="_Toc193908084"/>
      <w:r/>
      <w:bookmarkEnd w:id="637"/>
      <w:r/>
      <w:bookmarkStart w:id="638" w:name="_Toc193908044"/>
      <w:r/>
      <w:bookmarkEnd w:id="638"/>
      <w:r/>
      <w:bookmarkStart w:id="639" w:name="_Toc193908627"/>
      <w:r/>
      <w:bookmarkEnd w:id="639"/>
      <w:r/>
      <w:bookmarkStart w:id="640" w:name="_Toc196382354"/>
      <w:r/>
      <w:bookmarkEnd w:id="640"/>
      <w:r/>
      <w:bookmarkStart w:id="641" w:name="_Toc193908621"/>
      <w:r/>
      <w:bookmarkEnd w:id="641"/>
      <w:r/>
      <w:bookmarkStart w:id="642" w:name="_Toc193117344"/>
      <w:r/>
      <w:bookmarkEnd w:id="642"/>
      <w:r/>
      <w:bookmarkStart w:id="643" w:name="_Toc198903981"/>
      <w:r/>
      <w:bookmarkEnd w:id="643"/>
      <w:r/>
      <w:bookmarkStart w:id="644" w:name="_Toc196383921"/>
      <w:r/>
      <w:bookmarkEnd w:id="644"/>
      <w:r/>
      <w:bookmarkStart w:id="645" w:name="_Toc192692573"/>
      <w:r/>
      <w:bookmarkEnd w:id="645"/>
      <w:r/>
      <w:bookmarkStart w:id="646" w:name="_Toc190072136"/>
      <w:r/>
      <w:bookmarkEnd w:id="646"/>
      <w:r/>
      <w:bookmarkStart w:id="647" w:name="_Toc193909382"/>
      <w:r/>
      <w:bookmarkEnd w:id="647"/>
      <w:r/>
      <w:bookmarkStart w:id="648" w:name="_Toc194329411"/>
      <w:r/>
      <w:bookmarkEnd w:id="648"/>
      <w:r/>
      <w:bookmarkStart w:id="649" w:name="_Toc193112778"/>
      <w:r/>
      <w:bookmarkEnd w:id="649"/>
      <w:r/>
      <w:bookmarkStart w:id="650" w:name="_Toc198904029"/>
      <w:r/>
      <w:bookmarkEnd w:id="650"/>
      <w:r/>
      <w:bookmarkStart w:id="651" w:name="_Toc194329450"/>
      <w:r/>
      <w:bookmarkEnd w:id="651"/>
      <w:r/>
      <w:bookmarkStart w:id="652" w:name="_Toc193112783"/>
      <w:r/>
      <w:bookmarkEnd w:id="652"/>
      <w:r/>
      <w:bookmarkStart w:id="653" w:name="_Toc193730975"/>
      <w:r/>
      <w:bookmarkEnd w:id="653"/>
      <w:r/>
      <w:bookmarkStart w:id="654" w:name="_Toc193909416"/>
      <w:r/>
      <w:bookmarkEnd w:id="654"/>
      <w:r/>
      <w:bookmarkStart w:id="655" w:name="_Toc193113806"/>
      <w:r/>
      <w:bookmarkEnd w:id="655"/>
      <w:r/>
      <w:bookmarkStart w:id="656" w:name="_Toc193908651"/>
      <w:r/>
      <w:bookmarkEnd w:id="656"/>
      <w:r/>
      <w:bookmarkStart w:id="657" w:name="_Toc193908622"/>
      <w:r/>
      <w:bookmarkEnd w:id="657"/>
      <w:r/>
      <w:bookmarkStart w:id="658" w:name="_Toc196383064"/>
      <w:r/>
      <w:bookmarkEnd w:id="658"/>
      <w:r/>
      <w:bookmarkStart w:id="659" w:name="_Toc190094352"/>
      <w:r/>
      <w:bookmarkEnd w:id="659"/>
      <w:r/>
      <w:bookmarkStart w:id="660" w:name="_Toc193113795"/>
      <w:r/>
      <w:bookmarkEnd w:id="660"/>
      <w:r/>
      <w:bookmarkStart w:id="661" w:name="_Toc191539610"/>
      <w:r/>
      <w:bookmarkEnd w:id="661"/>
      <w:r/>
      <w:bookmarkStart w:id="662" w:name="_Toc193112782"/>
      <w:r/>
      <w:bookmarkEnd w:id="662"/>
      <w:r/>
      <w:bookmarkStart w:id="663" w:name="_Toc198904024"/>
      <w:r/>
      <w:bookmarkEnd w:id="663"/>
      <w:r/>
      <w:bookmarkStart w:id="664" w:name="_Toc198903931"/>
      <w:r/>
      <w:bookmarkEnd w:id="664"/>
      <w:r/>
      <w:bookmarkStart w:id="665" w:name="_Toc198904018"/>
      <w:r/>
      <w:bookmarkEnd w:id="665"/>
      <w:r/>
      <w:bookmarkStart w:id="666" w:name="_Toc198903962"/>
      <w:r/>
      <w:bookmarkEnd w:id="666"/>
      <w:r/>
      <w:bookmarkStart w:id="667" w:name="_Toc196383100"/>
      <w:r/>
      <w:bookmarkEnd w:id="667"/>
      <w:r/>
      <w:bookmarkStart w:id="668" w:name="_Toc193114722"/>
      <w:r/>
      <w:bookmarkEnd w:id="668"/>
      <w:r/>
      <w:bookmarkStart w:id="669" w:name="_Toc192692607"/>
      <w:r/>
      <w:bookmarkEnd w:id="669"/>
      <w:r/>
      <w:bookmarkStart w:id="670" w:name="_Toc203725932"/>
      <w:r/>
      <w:bookmarkEnd w:id="670"/>
      <w:r/>
      <w:bookmarkStart w:id="671" w:name="_Toc193114728"/>
      <w:r/>
      <w:bookmarkEnd w:id="671"/>
      <w:r/>
      <w:bookmarkStart w:id="672" w:name="_Toc203725930"/>
      <w:r/>
      <w:bookmarkEnd w:id="672"/>
      <w:r/>
      <w:bookmarkStart w:id="673" w:name="_Toc192687260"/>
      <w:r/>
      <w:bookmarkEnd w:id="673"/>
      <w:r/>
      <w:bookmarkStart w:id="674" w:name="_Toc192692613"/>
      <w:r/>
      <w:bookmarkEnd w:id="674"/>
      <w:r/>
      <w:bookmarkStart w:id="675" w:name="_Toc196383931"/>
      <w:r/>
      <w:bookmarkEnd w:id="675"/>
      <w:r/>
      <w:bookmarkStart w:id="676" w:name="_Toc193909370"/>
      <w:r/>
      <w:bookmarkEnd w:id="676"/>
      <w:r/>
      <w:bookmarkStart w:id="677" w:name="_Toc193909369"/>
      <w:r/>
      <w:bookmarkEnd w:id="677"/>
      <w:r/>
      <w:bookmarkStart w:id="678" w:name="_Toc193909410"/>
      <w:r/>
      <w:bookmarkEnd w:id="678"/>
      <w:r/>
      <w:bookmarkStart w:id="679" w:name="_Toc193113796"/>
      <w:r/>
      <w:bookmarkEnd w:id="679"/>
      <w:r/>
      <w:bookmarkStart w:id="680" w:name="_Toc190097464"/>
      <w:r/>
      <w:bookmarkEnd w:id="680"/>
      <w:r/>
      <w:bookmarkStart w:id="681" w:name="_Toc190072202"/>
      <w:r/>
      <w:bookmarkEnd w:id="681"/>
      <w:r/>
      <w:bookmarkStart w:id="682" w:name="_Toc191539628"/>
      <w:r/>
      <w:bookmarkEnd w:id="682"/>
      <w:r/>
      <w:bookmarkStart w:id="683" w:name="_Toc190072195"/>
      <w:r/>
      <w:bookmarkEnd w:id="683"/>
      <w:r/>
      <w:bookmarkStart w:id="684" w:name="_Toc190072131"/>
      <w:r/>
      <w:bookmarkEnd w:id="684"/>
      <w:r/>
      <w:bookmarkStart w:id="685" w:name="_Toc196382373"/>
      <w:r/>
      <w:bookmarkEnd w:id="685"/>
      <w:r/>
      <w:bookmarkStart w:id="686" w:name="_Toc193730935"/>
      <w:r/>
      <w:bookmarkEnd w:id="686"/>
      <w:r/>
      <w:bookmarkStart w:id="687" w:name="_Toc193113836"/>
      <w:r/>
      <w:bookmarkEnd w:id="687"/>
      <w:r/>
      <w:bookmarkStart w:id="688" w:name="_Toc193730981"/>
      <w:r/>
      <w:bookmarkEnd w:id="688"/>
      <w:r/>
      <w:bookmarkStart w:id="689" w:name="_Toc196382332"/>
      <w:r/>
      <w:bookmarkEnd w:id="689"/>
      <w:r/>
      <w:bookmarkStart w:id="690" w:name="_Toc194329421"/>
      <w:r/>
      <w:bookmarkEnd w:id="690"/>
      <w:r/>
      <w:bookmarkStart w:id="691" w:name="_Toc190072151"/>
      <w:r/>
      <w:bookmarkEnd w:id="691"/>
      <w:r/>
      <w:bookmarkStart w:id="692" w:name="_Toc193908078"/>
      <w:r/>
      <w:bookmarkEnd w:id="692"/>
      <w:r/>
      <w:bookmarkStart w:id="693" w:name="_Toc190094376"/>
      <w:r/>
      <w:bookmarkEnd w:id="693"/>
      <w:r/>
      <w:bookmarkStart w:id="694" w:name="_Toc196383955"/>
      <w:r/>
      <w:bookmarkEnd w:id="694"/>
      <w:r/>
      <w:bookmarkStart w:id="695" w:name="_Toc194329444"/>
      <w:r/>
      <w:bookmarkEnd w:id="695"/>
      <w:r/>
      <w:bookmarkStart w:id="696" w:name="_Toc196382379"/>
      <w:r/>
      <w:bookmarkEnd w:id="696"/>
      <w:r/>
      <w:bookmarkStart w:id="697" w:name="_Toc193112822"/>
      <w:r/>
      <w:bookmarkEnd w:id="697"/>
      <w:r/>
      <w:bookmarkStart w:id="698" w:name="_Toc193908068"/>
      <w:r/>
      <w:bookmarkEnd w:id="698"/>
      <w:r/>
      <w:bookmarkStart w:id="699" w:name="_Toc193117338"/>
      <w:r/>
      <w:bookmarkEnd w:id="699"/>
      <w:r/>
      <w:bookmarkStart w:id="700" w:name="_Toc192692597"/>
      <w:r/>
      <w:bookmarkEnd w:id="700"/>
      <w:r/>
      <w:bookmarkStart w:id="701" w:name="_Toc194328072"/>
      <w:r/>
      <w:bookmarkEnd w:id="701"/>
      <w:r/>
      <w:bookmarkStart w:id="702" w:name="_Toc192687254"/>
      <w:r/>
      <w:bookmarkEnd w:id="702"/>
      <w:r/>
      <w:bookmarkStart w:id="703" w:name="_Toc194329429"/>
      <w:r/>
      <w:bookmarkEnd w:id="703"/>
      <w:r/>
      <w:bookmarkStart w:id="704" w:name="_Toc193113826"/>
      <w:r/>
      <w:bookmarkEnd w:id="704"/>
      <w:r/>
      <w:bookmarkStart w:id="705" w:name="_Toc192687215"/>
      <w:r/>
      <w:bookmarkEnd w:id="705"/>
      <w:r/>
      <w:bookmarkStart w:id="706" w:name="_Toc194328066"/>
      <w:r/>
      <w:bookmarkEnd w:id="706"/>
      <w:r/>
      <w:bookmarkStart w:id="707" w:name="_Toc192692585"/>
      <w:r/>
      <w:bookmarkEnd w:id="707"/>
      <w:r/>
      <w:bookmarkStart w:id="708" w:name="_Toc203725933"/>
      <w:r/>
      <w:bookmarkEnd w:id="708"/>
      <w:r/>
      <w:bookmarkStart w:id="709" w:name="_Toc198903982"/>
      <w:r/>
      <w:bookmarkEnd w:id="709"/>
      <w:r/>
      <w:bookmarkStart w:id="710" w:name="_Toc193112816"/>
      <w:r/>
      <w:bookmarkEnd w:id="710"/>
      <w:r/>
      <w:bookmarkStart w:id="711" w:name="_Toc193909373"/>
      <w:r/>
      <w:bookmarkEnd w:id="711"/>
      <w:r/>
      <w:bookmarkStart w:id="712" w:name="_Toc203725917"/>
      <w:r/>
      <w:bookmarkEnd w:id="712"/>
      <w:r/>
      <w:bookmarkStart w:id="713" w:name="_Toc194329419"/>
      <w:r/>
      <w:bookmarkEnd w:id="713"/>
      <w:r/>
      <w:bookmarkStart w:id="714" w:name="_Toc193908657"/>
      <w:r/>
      <w:bookmarkEnd w:id="714"/>
      <w:r/>
      <w:bookmarkStart w:id="715" w:name="_Toc194328036"/>
      <w:r/>
      <w:bookmarkEnd w:id="715"/>
      <w:r/>
      <w:bookmarkStart w:id="716" w:name="_Toc194328044"/>
      <w:r/>
      <w:bookmarkEnd w:id="716"/>
      <w:r/>
      <w:bookmarkStart w:id="717" w:name="_Toc198903967"/>
      <w:r/>
      <w:bookmarkEnd w:id="717"/>
      <w:r/>
      <w:bookmarkStart w:id="718" w:name="_Toc196383961"/>
      <w:r/>
      <w:bookmarkEnd w:id="718"/>
      <w:r/>
      <w:bookmarkStart w:id="719" w:name="_Toc192692567"/>
      <w:r/>
      <w:bookmarkEnd w:id="719"/>
      <w:r/>
      <w:bookmarkStart w:id="720" w:name="_Toc196383106"/>
      <w:r/>
      <w:bookmarkEnd w:id="720"/>
      <w:r/>
      <w:bookmarkStart w:id="721" w:name="_Toc198903940"/>
      <w:r/>
      <w:bookmarkEnd w:id="721"/>
      <w:r/>
      <w:bookmarkStart w:id="722" w:name="_Toc190094312"/>
      <w:r/>
      <w:bookmarkEnd w:id="722"/>
      <w:r/>
      <w:bookmarkStart w:id="723" w:name="_Toc193113842"/>
      <w:r/>
      <w:bookmarkEnd w:id="723"/>
      <w:r/>
      <w:bookmarkStart w:id="724" w:name="_Toc190097488"/>
      <w:r/>
      <w:bookmarkEnd w:id="724"/>
      <w:r/>
      <w:bookmarkStart w:id="725" w:name="_Toc196382353"/>
      <w:r/>
      <w:bookmarkEnd w:id="725"/>
      <w:r/>
      <w:bookmarkStart w:id="726" w:name="_Toc193112809"/>
      <w:r/>
      <w:bookmarkEnd w:id="726"/>
      <w:r/>
      <w:bookmarkStart w:id="727" w:name="_Toc190097460"/>
      <w:r/>
      <w:bookmarkEnd w:id="727"/>
      <w:r/>
      <w:bookmarkStart w:id="728" w:name="_Toc193909399"/>
      <w:r/>
      <w:bookmarkEnd w:id="728"/>
      <w:r/>
      <w:bookmarkStart w:id="729" w:name="_Toc198903999"/>
      <w:r/>
      <w:bookmarkEnd w:id="729"/>
      <w:r/>
      <w:bookmarkStart w:id="730" w:name="_Toc196383112"/>
      <w:r/>
      <w:bookmarkEnd w:id="730"/>
      <w:r/>
      <w:bookmarkStart w:id="731" w:name="_Toc198903938"/>
      <w:r/>
      <w:bookmarkEnd w:id="731"/>
      <w:r/>
      <w:bookmarkStart w:id="732" w:name="_Toc190097470"/>
      <w:r/>
      <w:bookmarkEnd w:id="732"/>
      <w:r/>
      <w:bookmarkStart w:id="733" w:name="_Toc191539587"/>
      <w:r/>
      <w:bookmarkEnd w:id="733"/>
      <w:r/>
      <w:bookmarkStart w:id="734" w:name="_Toc194329422"/>
      <w:r/>
      <w:bookmarkEnd w:id="734"/>
      <w:r/>
      <w:bookmarkStart w:id="735" w:name="_Toc193909402"/>
      <w:r/>
      <w:bookmarkEnd w:id="735"/>
      <w:r/>
      <w:bookmarkStart w:id="736" w:name="_Toc193117350"/>
      <w:r/>
      <w:bookmarkEnd w:id="736"/>
      <w:r/>
      <w:bookmarkStart w:id="737" w:name="_Toc198904001"/>
      <w:r/>
      <w:bookmarkEnd w:id="737"/>
      <w:r/>
      <w:bookmarkStart w:id="738" w:name="_Toc193730940"/>
      <w:r/>
      <w:bookmarkEnd w:id="738"/>
      <w:r/>
      <w:bookmarkStart w:id="739" w:name="_Toc190097432"/>
      <w:r/>
      <w:bookmarkEnd w:id="739"/>
      <w:r/>
      <w:bookmarkStart w:id="740" w:name="_Toc192692568"/>
      <w:r/>
      <w:bookmarkEnd w:id="740"/>
      <w:r/>
      <w:bookmarkStart w:id="741" w:name="_Toc192692601"/>
      <w:r/>
      <w:bookmarkEnd w:id="741"/>
      <w:r/>
      <w:bookmarkStart w:id="742" w:name="_Toc196383914"/>
      <w:r/>
      <w:bookmarkEnd w:id="742"/>
      <w:r/>
      <w:bookmarkStart w:id="743" w:name="_Toc196382366"/>
      <w:r/>
      <w:bookmarkEnd w:id="743"/>
      <w:r/>
      <w:bookmarkStart w:id="744" w:name="_Toc193909386"/>
      <w:r/>
      <w:bookmarkEnd w:id="744"/>
      <w:r/>
      <w:bookmarkStart w:id="745" w:name="_Toc190097442"/>
      <w:r/>
      <w:bookmarkEnd w:id="745"/>
      <w:r/>
      <w:bookmarkStart w:id="746" w:name="_Toc196383928"/>
      <w:r/>
      <w:bookmarkEnd w:id="746"/>
      <w:r/>
      <w:bookmarkStart w:id="747" w:name="_Toc193112795"/>
      <w:r/>
      <w:bookmarkEnd w:id="747"/>
      <w:r/>
      <w:bookmarkStart w:id="748" w:name="_Toc193908057"/>
      <w:r/>
      <w:bookmarkEnd w:id="748"/>
      <w:r/>
      <w:bookmarkStart w:id="749" w:name="_Toc196383097"/>
      <w:r/>
      <w:bookmarkEnd w:id="749"/>
      <w:r/>
      <w:bookmarkStart w:id="750" w:name="_Toc193908626"/>
      <w:r/>
      <w:bookmarkEnd w:id="750"/>
      <w:r/>
      <w:bookmarkStart w:id="751" w:name="_Toc193117325"/>
      <w:r/>
      <w:bookmarkEnd w:id="751"/>
      <w:r/>
      <w:bookmarkStart w:id="752" w:name="_Toc193908643"/>
      <w:r/>
      <w:bookmarkEnd w:id="752"/>
      <w:r/>
      <w:bookmarkStart w:id="753" w:name="_Toc193909384"/>
      <w:r/>
      <w:bookmarkEnd w:id="753"/>
      <w:r/>
      <w:bookmarkStart w:id="754" w:name="_Toc193909400"/>
      <w:r/>
      <w:bookmarkEnd w:id="754"/>
      <w:r/>
      <w:bookmarkStart w:id="755" w:name="_Toc190072176"/>
      <w:r/>
      <w:bookmarkEnd w:id="755"/>
      <w:r/>
      <w:bookmarkStart w:id="756" w:name="_Toc193908609"/>
      <w:r/>
      <w:bookmarkEnd w:id="756"/>
      <w:r/>
      <w:bookmarkStart w:id="757" w:name="_Toc190072133"/>
      <w:r/>
      <w:bookmarkEnd w:id="757"/>
      <w:r/>
      <w:bookmarkStart w:id="758" w:name="_Toc196383085"/>
      <w:r/>
      <w:bookmarkEnd w:id="758"/>
      <w:r/>
      <w:bookmarkStart w:id="759" w:name="_Toc194329437"/>
      <w:r/>
      <w:bookmarkEnd w:id="759"/>
      <w:r/>
      <w:bookmarkStart w:id="760" w:name="_Toc190072196"/>
      <w:r/>
      <w:bookmarkEnd w:id="760"/>
      <w:r/>
      <w:bookmarkStart w:id="761" w:name="_Toc203725926"/>
      <w:r/>
      <w:bookmarkEnd w:id="761"/>
      <w:r/>
      <w:bookmarkStart w:id="762" w:name="_Toc203725919"/>
      <w:r/>
      <w:bookmarkEnd w:id="762"/>
      <w:r/>
      <w:bookmarkStart w:id="763" w:name="_Toc190072150"/>
      <w:r/>
      <w:bookmarkEnd w:id="763"/>
      <w:r/>
      <w:bookmarkStart w:id="764" w:name="_Toc198903993"/>
      <w:r/>
      <w:bookmarkEnd w:id="764"/>
      <w:r/>
      <w:bookmarkStart w:id="765" w:name="_Toc192687214"/>
      <w:r/>
      <w:bookmarkEnd w:id="765"/>
      <w:r/>
      <w:bookmarkStart w:id="766" w:name="_Toc193730934"/>
      <w:r/>
      <w:bookmarkEnd w:id="766"/>
      <w:r/>
      <w:bookmarkStart w:id="767" w:name="_Toc190072198"/>
      <w:r/>
      <w:bookmarkEnd w:id="767"/>
      <w:r/>
      <w:bookmarkStart w:id="768" w:name="_Toc190072197"/>
      <w:r/>
      <w:bookmarkEnd w:id="768"/>
      <w:r/>
      <w:bookmarkStart w:id="769" w:name="_Toc190097451"/>
      <w:r/>
      <w:bookmarkEnd w:id="769"/>
      <w:r/>
      <w:bookmarkStart w:id="770" w:name="_Toc193114698"/>
      <w:r/>
      <w:bookmarkEnd w:id="770"/>
      <w:r/>
      <w:bookmarkStart w:id="771" w:name="_Toc198903941"/>
      <w:r/>
      <w:bookmarkEnd w:id="771"/>
      <w:r/>
      <w:bookmarkStart w:id="772" w:name="_Toc191539569"/>
      <w:r/>
      <w:bookmarkEnd w:id="772"/>
      <w:r/>
      <w:bookmarkStart w:id="773" w:name="_Toc194328028"/>
      <w:r/>
      <w:bookmarkEnd w:id="773"/>
      <w:r/>
      <w:bookmarkStart w:id="774" w:name="_Toc196382362"/>
      <w:r/>
      <w:bookmarkEnd w:id="774"/>
      <w:r/>
      <w:bookmarkStart w:id="775" w:name="_Toc193113816"/>
      <w:r/>
      <w:bookmarkEnd w:id="775"/>
      <w:r/>
      <w:bookmarkStart w:id="776" w:name="_Toc194328040"/>
      <w:r/>
      <w:bookmarkEnd w:id="776"/>
      <w:r/>
      <w:bookmarkStart w:id="777" w:name="_Toc193730951"/>
      <w:r/>
      <w:bookmarkEnd w:id="777"/>
      <w:r/>
      <w:bookmarkStart w:id="778" w:name="_Toc193113814"/>
      <w:r/>
      <w:bookmarkEnd w:id="778"/>
      <w:r/>
      <w:bookmarkStart w:id="779" w:name="_Toc196383946"/>
      <w:r/>
      <w:bookmarkEnd w:id="779"/>
      <w:r/>
      <w:bookmarkStart w:id="780" w:name="_Toc193908611"/>
      <w:r/>
      <w:bookmarkEnd w:id="780"/>
      <w:r/>
      <w:bookmarkStart w:id="781" w:name="_Toc198903933"/>
      <w:r/>
      <w:bookmarkEnd w:id="781"/>
      <w:r/>
      <w:bookmarkStart w:id="782" w:name="_Toc194328027"/>
      <w:r/>
      <w:bookmarkEnd w:id="782"/>
      <w:r/>
      <w:bookmarkStart w:id="783" w:name="_Toc193112780"/>
      <w:r/>
      <w:bookmarkEnd w:id="783"/>
      <w:r/>
      <w:bookmarkStart w:id="784" w:name="_Toc194328056"/>
      <w:r/>
      <w:bookmarkEnd w:id="784"/>
      <w:r/>
      <w:bookmarkStart w:id="785" w:name="_Toc193908072"/>
      <w:r/>
      <w:bookmarkEnd w:id="785"/>
      <w:r/>
      <w:bookmarkStart w:id="786" w:name="_Toc194329403"/>
      <w:r/>
      <w:bookmarkEnd w:id="786"/>
      <w:r/>
      <w:bookmarkStart w:id="787" w:name="_Toc194328057"/>
      <w:r/>
      <w:bookmarkEnd w:id="787"/>
      <w:r/>
      <w:bookmarkStart w:id="788" w:name="_Toc193730941"/>
      <w:r/>
      <w:bookmarkEnd w:id="788"/>
      <w:r/>
      <w:bookmarkStart w:id="789" w:name="_Toc193908037"/>
      <w:r/>
      <w:bookmarkEnd w:id="789"/>
      <w:r/>
      <w:bookmarkStart w:id="790" w:name="_Toc194328046"/>
      <w:r/>
      <w:bookmarkEnd w:id="790"/>
      <w:r/>
      <w:bookmarkStart w:id="791" w:name="_Toc193117305"/>
      <w:r/>
      <w:bookmarkEnd w:id="791"/>
      <w:r/>
      <w:bookmarkStart w:id="792" w:name="_Toc193908063"/>
      <w:r/>
      <w:bookmarkEnd w:id="792"/>
      <w:r/>
      <w:bookmarkStart w:id="793" w:name="_Toc198903919"/>
      <w:r/>
      <w:bookmarkEnd w:id="793"/>
      <w:r/>
      <w:bookmarkStart w:id="794" w:name="_Toc193112776"/>
      <w:r/>
      <w:bookmarkEnd w:id="794"/>
      <w:r/>
      <w:bookmarkStart w:id="795" w:name="_Toc190072147"/>
      <w:r/>
      <w:bookmarkEnd w:id="795"/>
      <w:r/>
      <w:bookmarkStart w:id="796" w:name="_Toc190072138"/>
      <w:r/>
      <w:bookmarkEnd w:id="796"/>
      <w:r/>
      <w:bookmarkStart w:id="797" w:name="_Toc203725920"/>
      <w:r/>
      <w:bookmarkEnd w:id="797"/>
      <w:r/>
      <w:bookmarkStart w:id="798" w:name="_Toc190072148"/>
      <w:r/>
      <w:bookmarkEnd w:id="798"/>
      <w:r/>
      <w:bookmarkStart w:id="799" w:name="_Toc196382352"/>
      <w:r/>
      <w:bookmarkEnd w:id="799"/>
      <w:r/>
      <w:bookmarkStart w:id="800" w:name="_Toc191539576"/>
      <w:r/>
      <w:bookmarkEnd w:id="800"/>
      <w:r/>
      <w:bookmarkStart w:id="801" w:name="_Toc192687220"/>
      <w:r/>
      <w:bookmarkEnd w:id="801"/>
      <w:r/>
      <w:bookmarkStart w:id="802" w:name="_Toc191539590"/>
      <w:r/>
      <w:bookmarkEnd w:id="802"/>
      <w:r/>
      <w:bookmarkStart w:id="803" w:name="_Toc191539595"/>
      <w:r/>
      <w:bookmarkEnd w:id="803"/>
      <w:r/>
      <w:bookmarkStart w:id="804" w:name="_Toc193117303"/>
      <w:r/>
      <w:bookmarkEnd w:id="804"/>
      <w:r/>
      <w:bookmarkStart w:id="805" w:name="_Toc193117306"/>
      <w:r/>
      <w:bookmarkEnd w:id="805"/>
      <w:r/>
      <w:bookmarkStart w:id="806" w:name="_Toc203725915"/>
      <w:r/>
      <w:bookmarkEnd w:id="806"/>
      <w:r/>
      <w:bookmarkStart w:id="807" w:name="_Toc193908058"/>
      <w:r/>
      <w:bookmarkEnd w:id="807"/>
      <w:r/>
      <w:bookmarkStart w:id="808" w:name="_Toc194328045"/>
      <w:r/>
      <w:bookmarkEnd w:id="808"/>
      <w:r/>
      <w:bookmarkStart w:id="809" w:name="_Toc193114702"/>
      <w:r/>
      <w:bookmarkEnd w:id="809"/>
      <w:r/>
      <w:bookmarkStart w:id="810" w:name="_Toc193908039"/>
      <w:r/>
      <w:bookmarkEnd w:id="810"/>
      <w:r/>
      <w:bookmarkStart w:id="811" w:name="_Toc196383086"/>
      <w:r/>
      <w:bookmarkEnd w:id="811"/>
      <w:r/>
      <w:bookmarkStart w:id="812" w:name="_Toc194328025"/>
      <w:r/>
      <w:bookmarkEnd w:id="812"/>
      <w:r/>
      <w:bookmarkStart w:id="813" w:name="_Toc193114681"/>
      <w:r/>
      <w:bookmarkEnd w:id="813"/>
      <w:r/>
      <w:bookmarkStart w:id="814" w:name="_Toc193730956"/>
      <w:r/>
      <w:bookmarkEnd w:id="814"/>
      <w:r/>
      <w:bookmarkStart w:id="815" w:name="_Toc192692586"/>
      <w:r/>
      <w:bookmarkEnd w:id="815"/>
      <w:r/>
      <w:bookmarkStart w:id="816" w:name="_Toc191539568"/>
      <w:r/>
      <w:bookmarkEnd w:id="816"/>
      <w:r/>
      <w:bookmarkStart w:id="817" w:name="_Toc193909372"/>
      <w:r/>
      <w:bookmarkEnd w:id="817"/>
      <w:r/>
      <w:bookmarkStart w:id="818" w:name="_Toc194329405"/>
      <w:r/>
      <w:bookmarkEnd w:id="818"/>
      <w:r/>
      <w:bookmarkStart w:id="819" w:name="_Toc196383072"/>
      <w:r/>
      <w:bookmarkEnd w:id="819"/>
      <w:r/>
      <w:bookmarkStart w:id="820" w:name="_Toc193909387"/>
      <w:r/>
      <w:bookmarkEnd w:id="820"/>
      <w:r/>
      <w:bookmarkStart w:id="821" w:name="_Toc193908059"/>
      <w:r/>
      <w:bookmarkEnd w:id="821"/>
      <w:r/>
      <w:bookmarkStart w:id="822" w:name="_Toc190071862"/>
      <w:r/>
      <w:bookmarkEnd w:id="822"/>
      <w:r/>
      <w:bookmarkStart w:id="823" w:name="_Toc192687232"/>
      <w:r/>
      <w:bookmarkEnd w:id="823"/>
      <w:r/>
      <w:bookmarkStart w:id="824" w:name="_Toc192692596"/>
      <w:r/>
      <w:bookmarkEnd w:id="824"/>
      <w:r/>
      <w:bookmarkStart w:id="825" w:name="_Toc193909391"/>
      <w:r/>
      <w:bookmarkEnd w:id="825"/>
      <w:r/>
      <w:bookmarkStart w:id="826" w:name="_Toc193730937"/>
      <w:r/>
      <w:bookmarkEnd w:id="826"/>
      <w:r/>
      <w:bookmarkStart w:id="827" w:name="_Toc190071858"/>
      <w:r/>
      <w:bookmarkEnd w:id="827"/>
      <w:r/>
      <w:bookmarkStart w:id="828" w:name="_Toc193908645"/>
      <w:r/>
      <w:bookmarkEnd w:id="828"/>
      <w:r/>
      <w:bookmarkStart w:id="829" w:name="_Toc192692569"/>
      <w:r/>
      <w:bookmarkEnd w:id="829"/>
      <w:r/>
      <w:bookmarkStart w:id="830" w:name="_Toc196382336"/>
      <w:r/>
      <w:bookmarkEnd w:id="830"/>
      <w:r/>
      <w:bookmarkStart w:id="831" w:name="_Toc194329414"/>
      <w:r/>
      <w:bookmarkEnd w:id="831"/>
      <w:r/>
      <w:bookmarkStart w:id="832" w:name="_Toc193113801"/>
      <w:r/>
      <w:bookmarkEnd w:id="832"/>
      <w:r/>
      <w:bookmarkStart w:id="833" w:name="_Toc194329404"/>
      <w:r/>
      <w:bookmarkEnd w:id="833"/>
      <w:r/>
      <w:bookmarkStart w:id="834" w:name="_Toc196383925"/>
      <w:r/>
      <w:bookmarkEnd w:id="834"/>
      <w:r/>
      <w:bookmarkStart w:id="835" w:name="_Toc193909374"/>
      <w:r/>
      <w:bookmarkEnd w:id="835"/>
      <w:r/>
      <w:bookmarkStart w:id="836" w:name="_Toc193112775"/>
      <w:r/>
      <w:bookmarkEnd w:id="836"/>
      <w:r/>
      <w:bookmarkStart w:id="837" w:name="_Toc192687231"/>
      <w:r/>
      <w:bookmarkEnd w:id="837"/>
      <w:r/>
      <w:bookmarkStart w:id="838" w:name="_Toc190072179"/>
      <w:r/>
      <w:bookmarkEnd w:id="838"/>
      <w:r/>
      <w:bookmarkStart w:id="839" w:name="_Toc198903988"/>
      <w:r/>
      <w:bookmarkEnd w:id="839"/>
      <w:r/>
      <w:bookmarkStart w:id="840" w:name="_Toc196382340"/>
      <w:r/>
      <w:bookmarkEnd w:id="840"/>
      <w:r/>
      <w:bookmarkStart w:id="841" w:name="_Toc190071871"/>
      <w:r/>
      <w:bookmarkEnd w:id="841"/>
      <w:r/>
      <w:bookmarkStart w:id="842" w:name="_Toc193909388"/>
      <w:r/>
      <w:bookmarkEnd w:id="842"/>
      <w:r/>
      <w:bookmarkStart w:id="843" w:name="_Toc190097449"/>
      <w:r/>
      <w:bookmarkEnd w:id="843"/>
      <w:r/>
      <w:bookmarkStart w:id="844" w:name="_Toc192692588"/>
      <w:r/>
      <w:bookmarkEnd w:id="844"/>
      <w:r/>
      <w:bookmarkStart w:id="845" w:name="_Toc190072132"/>
      <w:r/>
      <w:bookmarkEnd w:id="845"/>
      <w:r/>
      <w:bookmarkStart w:id="846" w:name="_Toc196383068"/>
      <w:r/>
      <w:bookmarkEnd w:id="846"/>
      <w:r/>
      <w:bookmarkStart w:id="847" w:name="_Toc198904002"/>
      <w:r/>
      <w:bookmarkEnd w:id="847"/>
      <w:r/>
      <w:bookmarkStart w:id="848" w:name="_Toc193112797"/>
      <w:r/>
      <w:bookmarkEnd w:id="848"/>
      <w:r/>
      <w:bookmarkStart w:id="849" w:name="_Toc193114694"/>
      <w:r/>
      <w:bookmarkEnd w:id="849"/>
      <w:r/>
      <w:bookmarkStart w:id="850" w:name="_Toc198903935"/>
      <w:r/>
      <w:bookmarkEnd w:id="850"/>
      <w:r/>
      <w:bookmarkStart w:id="851" w:name="_Toc193113798"/>
      <w:r/>
      <w:bookmarkEnd w:id="851"/>
      <w:r/>
      <w:bookmarkStart w:id="852" w:name="_Toc203725924"/>
      <w:r/>
      <w:bookmarkEnd w:id="852"/>
      <w:r/>
      <w:bookmarkStart w:id="853" w:name="_Toc192687239"/>
      <w:r/>
      <w:bookmarkEnd w:id="853"/>
      <w:r/>
      <w:bookmarkStart w:id="854" w:name="_Toc203725921"/>
      <w:r/>
      <w:bookmarkEnd w:id="854"/>
      <w:r/>
      <w:bookmarkStart w:id="855" w:name="_Toc198903983"/>
      <w:r/>
      <w:bookmarkEnd w:id="855"/>
      <w:r/>
      <w:bookmarkStart w:id="856" w:name="_Toc196382342"/>
      <w:r/>
      <w:bookmarkEnd w:id="856"/>
      <w:r/>
      <w:bookmarkStart w:id="857" w:name="_Toc193117309"/>
      <w:r/>
      <w:bookmarkEnd w:id="857"/>
      <w:r/>
      <w:bookmarkStart w:id="858" w:name="_Toc192692580"/>
      <w:r/>
      <w:bookmarkEnd w:id="858"/>
      <w:r/>
      <w:bookmarkStart w:id="859" w:name="_Toc194328043"/>
      <w:r/>
      <w:bookmarkEnd w:id="859"/>
      <w:r/>
      <w:bookmarkStart w:id="860" w:name="_Toc203725931"/>
      <w:r/>
      <w:bookmarkEnd w:id="860"/>
      <w:r/>
      <w:bookmarkStart w:id="861" w:name="_Toc196383933"/>
      <w:r/>
      <w:bookmarkEnd w:id="861"/>
      <w:r/>
      <w:bookmarkStart w:id="862" w:name="_Toc198903932"/>
      <w:r/>
      <w:bookmarkEnd w:id="862"/>
      <w:r/>
      <w:bookmarkStart w:id="863" w:name="_Toc190094330"/>
      <w:r/>
      <w:bookmarkEnd w:id="863"/>
      <w:r/>
      <w:bookmarkStart w:id="864" w:name="_Toc193908628"/>
      <w:r/>
      <w:bookmarkEnd w:id="864"/>
      <w:r/>
      <w:bookmarkStart w:id="865" w:name="_Toc190097443"/>
      <w:r/>
      <w:bookmarkEnd w:id="865"/>
      <w:r/>
      <w:bookmarkStart w:id="866" w:name="_Toc196383073"/>
      <w:r/>
      <w:bookmarkEnd w:id="866"/>
      <w:r/>
      <w:bookmarkStart w:id="867" w:name="_Toc193908616"/>
      <w:r/>
      <w:bookmarkEnd w:id="867"/>
      <w:r/>
      <w:bookmarkStart w:id="868" w:name="_Toc193112805"/>
      <w:r/>
      <w:bookmarkEnd w:id="868"/>
      <w:r/>
      <w:bookmarkStart w:id="869" w:name="_Toc190094321"/>
      <w:r/>
      <w:bookmarkEnd w:id="869"/>
      <w:r/>
      <w:bookmarkStart w:id="870" w:name="_Toc190097440"/>
      <w:r/>
      <w:bookmarkEnd w:id="870"/>
      <w:r/>
      <w:bookmarkStart w:id="871" w:name="_Toc192692577"/>
      <w:r/>
      <w:bookmarkEnd w:id="871"/>
      <w:r/>
      <w:bookmarkStart w:id="872" w:name="_Toc203725918"/>
      <w:r/>
      <w:bookmarkEnd w:id="872"/>
      <w:r/>
      <w:bookmarkStart w:id="873" w:name="_Toc193908050"/>
      <w:r/>
      <w:bookmarkEnd w:id="873"/>
      <w:r/>
      <w:bookmarkStart w:id="874" w:name="_Toc190071864"/>
      <w:r/>
      <w:bookmarkEnd w:id="874"/>
      <w:r/>
      <w:bookmarkStart w:id="875" w:name="_Toc191539572"/>
      <w:r/>
      <w:bookmarkEnd w:id="875"/>
      <w:r/>
      <w:bookmarkStart w:id="876" w:name="_Toc193908052"/>
      <w:r/>
      <w:bookmarkEnd w:id="876"/>
      <w:r/>
      <w:bookmarkStart w:id="877" w:name="_Toc193730965"/>
      <w:r/>
      <w:bookmarkEnd w:id="877"/>
      <w:r/>
      <w:bookmarkStart w:id="878" w:name="_Toc196383065"/>
      <w:r/>
      <w:bookmarkEnd w:id="878"/>
      <w:r/>
      <w:bookmarkStart w:id="879" w:name="_Toc193908055"/>
      <w:r/>
      <w:bookmarkEnd w:id="879"/>
      <w:r/>
      <w:bookmarkStart w:id="880" w:name="_Toc191539570"/>
      <w:r/>
      <w:bookmarkEnd w:id="880"/>
      <w:r/>
      <w:bookmarkStart w:id="881" w:name="_Toc203725916"/>
      <w:r/>
      <w:bookmarkEnd w:id="881"/>
      <w:r/>
      <w:bookmarkStart w:id="882" w:name="_Toc193730964"/>
      <w:r/>
      <w:bookmarkEnd w:id="882"/>
      <w:r/>
      <w:bookmarkStart w:id="883" w:name="_Toc196382334"/>
      <w:r/>
      <w:bookmarkEnd w:id="883"/>
      <w:r/>
      <w:bookmarkStart w:id="884" w:name="_Toc190094322"/>
      <w:r/>
      <w:bookmarkEnd w:id="884"/>
      <w:r/>
      <w:bookmarkStart w:id="885" w:name="_Toc193113809"/>
      <w:r/>
      <w:bookmarkEnd w:id="885"/>
      <w:r/>
      <w:bookmarkStart w:id="886" w:name="_Toc198903922"/>
      <w:r/>
      <w:bookmarkEnd w:id="886"/>
      <w:r/>
      <w:bookmarkStart w:id="887" w:name="_Toc190072174"/>
      <w:r/>
      <w:bookmarkEnd w:id="887"/>
      <w:r/>
      <w:bookmarkStart w:id="888" w:name="_Toc193908071"/>
      <w:r/>
      <w:bookmarkEnd w:id="888"/>
      <w:r/>
      <w:bookmarkStart w:id="889" w:name="_Toc194329417"/>
      <w:r/>
      <w:bookmarkEnd w:id="889"/>
      <w:r/>
      <w:bookmarkStart w:id="890" w:name="_Toc190097448"/>
      <w:r/>
      <w:bookmarkEnd w:id="890"/>
      <w:r/>
      <w:bookmarkStart w:id="891" w:name="_Toc190094318"/>
      <w:r/>
      <w:bookmarkEnd w:id="891"/>
      <w:r/>
      <w:bookmarkStart w:id="892" w:name="_Toc193117315"/>
      <w:r/>
      <w:bookmarkEnd w:id="892"/>
      <w:r/>
      <w:bookmarkStart w:id="893" w:name="_Toc193112808"/>
      <w:r/>
      <w:bookmarkEnd w:id="893"/>
      <w:r/>
      <w:bookmarkStart w:id="894" w:name="_Toc193112796"/>
      <w:r/>
      <w:bookmarkEnd w:id="894"/>
      <w:r/>
      <w:bookmarkStart w:id="895" w:name="_Toc190094313"/>
      <w:r/>
      <w:bookmarkEnd w:id="895"/>
      <w:r/>
      <w:bookmarkStart w:id="896" w:name="_Toc198903927"/>
      <w:r/>
      <w:bookmarkEnd w:id="896"/>
      <w:r/>
      <w:bookmarkStart w:id="897" w:name="_Toc190072188"/>
      <w:r/>
      <w:bookmarkEnd w:id="897"/>
      <w:r/>
      <w:bookmarkStart w:id="898" w:name="_Toc196383095"/>
      <w:r/>
      <w:bookmarkEnd w:id="898"/>
      <w:r/>
      <w:bookmarkStart w:id="899" w:name="_Toc196383077"/>
      <w:r/>
      <w:bookmarkEnd w:id="899"/>
      <w:r/>
      <w:bookmarkStart w:id="900" w:name="_Toc190071857"/>
      <w:r/>
      <w:bookmarkEnd w:id="900"/>
      <w:r/>
      <w:bookmarkStart w:id="901" w:name="_Toc194329409"/>
      <w:r/>
      <w:bookmarkEnd w:id="901"/>
      <w:r/>
      <w:bookmarkStart w:id="902" w:name="_Toc193113825"/>
      <w:r/>
      <w:bookmarkEnd w:id="902"/>
      <w:r/>
      <w:bookmarkStart w:id="903" w:name="_Toc193114680"/>
      <w:r/>
      <w:bookmarkEnd w:id="903"/>
      <w:r/>
      <w:bookmarkStart w:id="904" w:name="_Toc198904016"/>
      <w:r/>
      <w:bookmarkEnd w:id="904"/>
      <w:r/>
      <w:bookmarkStart w:id="905" w:name="_Toc196383098"/>
      <w:r/>
      <w:bookmarkEnd w:id="905"/>
      <w:r/>
      <w:bookmarkStart w:id="906" w:name="_Toc198904000"/>
      <w:r/>
      <w:bookmarkEnd w:id="906"/>
      <w:r/>
      <w:bookmarkStart w:id="907" w:name="_Toc196383091"/>
      <w:r/>
      <w:bookmarkEnd w:id="907"/>
      <w:r/>
      <w:bookmarkStart w:id="908" w:name="_Toc198903986"/>
      <w:r/>
      <w:bookmarkEnd w:id="908"/>
      <w:r/>
      <w:bookmarkStart w:id="909" w:name="_Toc193114699"/>
      <w:r/>
      <w:bookmarkEnd w:id="909"/>
      <w:r/>
      <w:bookmarkStart w:id="910" w:name="_Toc193117329"/>
      <w:r/>
      <w:bookmarkEnd w:id="910"/>
      <w:r/>
      <w:bookmarkStart w:id="911" w:name="_Toc203725925"/>
      <w:r/>
      <w:bookmarkEnd w:id="911"/>
      <w:r/>
      <w:bookmarkStart w:id="912" w:name="_Toc191539600"/>
      <w:r/>
      <w:bookmarkEnd w:id="912"/>
      <w:r/>
      <w:bookmarkStart w:id="913" w:name="_Toc190094333"/>
      <w:r/>
      <w:bookmarkEnd w:id="913"/>
      <w:r/>
      <w:bookmarkStart w:id="914" w:name="_Toc198904010"/>
      <w:r/>
      <w:bookmarkEnd w:id="914"/>
      <w:r/>
      <w:bookmarkStart w:id="915" w:name="_Toc198903942"/>
      <w:r/>
      <w:bookmarkEnd w:id="915"/>
      <w:r/>
      <w:bookmarkStart w:id="916" w:name="_Toc198903954"/>
      <w:r/>
      <w:bookmarkEnd w:id="916"/>
      <w:r/>
      <w:bookmarkStart w:id="917" w:name="_Toc198903920"/>
      <w:r/>
      <w:bookmarkEnd w:id="917"/>
      <w:r/>
      <w:bookmarkStart w:id="918" w:name="_Toc190094325"/>
      <w:r/>
      <w:bookmarkEnd w:id="918"/>
      <w:r/>
      <w:bookmarkStart w:id="919" w:name="_Toc190072158"/>
      <w:r/>
      <w:bookmarkEnd w:id="919"/>
      <w:r/>
      <w:bookmarkStart w:id="920" w:name="_Toc190094319"/>
      <w:r/>
      <w:bookmarkEnd w:id="920"/>
      <w:r/>
      <w:bookmarkStart w:id="921" w:name="_Toc190097441"/>
      <w:r/>
      <w:bookmarkEnd w:id="921"/>
      <w:r/>
      <w:bookmarkStart w:id="922" w:name="_Toc193117311"/>
      <w:r/>
      <w:bookmarkEnd w:id="922"/>
      <w:r/>
      <w:bookmarkStart w:id="923" w:name="_Toc193117319"/>
      <w:r/>
      <w:bookmarkEnd w:id="923"/>
      <w:r/>
      <w:bookmarkStart w:id="924" w:name="_Toc194329425"/>
      <w:r/>
      <w:bookmarkEnd w:id="924"/>
      <w:r/>
      <w:bookmarkStart w:id="925" w:name="_Toc190094324"/>
      <w:r/>
      <w:bookmarkEnd w:id="925"/>
      <w:r/>
      <w:bookmarkStart w:id="926" w:name="_Toc190071863"/>
      <w:r/>
      <w:bookmarkEnd w:id="926"/>
      <w:r/>
      <w:bookmarkStart w:id="927" w:name="_Toc192687212"/>
      <w:r/>
      <w:bookmarkEnd w:id="927"/>
      <w:r/>
      <w:bookmarkStart w:id="928" w:name="_Toc192692566"/>
      <w:r/>
      <w:bookmarkEnd w:id="928"/>
      <w:r/>
      <w:bookmarkStart w:id="929" w:name="_Toc193114691"/>
      <w:r/>
      <w:bookmarkEnd w:id="929"/>
      <w:r/>
      <w:bookmarkStart w:id="930" w:name="_Toc193908625"/>
      <w:r/>
      <w:bookmarkEnd w:id="930"/>
      <w:r/>
      <w:bookmarkStart w:id="931" w:name="_Toc196382348"/>
      <w:r/>
      <w:bookmarkEnd w:id="931"/>
      <w:r/>
      <w:bookmarkStart w:id="932" w:name="_Toc190072192"/>
      <w:r/>
      <w:bookmarkEnd w:id="932"/>
      <w:r/>
      <w:bookmarkStart w:id="933" w:name="_Toc198903926"/>
      <w:r/>
      <w:bookmarkEnd w:id="933"/>
      <w:r/>
      <w:bookmarkStart w:id="934" w:name="_Toc193730954"/>
      <w:r/>
      <w:bookmarkEnd w:id="934"/>
      <w:r/>
      <w:bookmarkStart w:id="935" w:name="_Toc190071869"/>
      <w:r/>
      <w:bookmarkEnd w:id="935"/>
      <w:r/>
      <w:bookmarkStart w:id="936" w:name="_Toc190072146"/>
      <w:r/>
      <w:bookmarkEnd w:id="936"/>
      <w:r/>
      <w:bookmarkStart w:id="937" w:name="_Toc193908644"/>
      <w:r/>
      <w:bookmarkEnd w:id="937"/>
      <w:r/>
      <w:bookmarkStart w:id="938" w:name="_Toc192692578"/>
      <w:r/>
      <w:bookmarkEnd w:id="938"/>
      <w:r/>
      <w:bookmarkStart w:id="939" w:name="_Toc192692582"/>
      <w:r/>
      <w:bookmarkEnd w:id="939"/>
      <w:r/>
      <w:bookmarkStart w:id="940" w:name="_Toc193112781"/>
      <w:r/>
      <w:bookmarkEnd w:id="940"/>
      <w:r/>
      <w:bookmarkStart w:id="941" w:name="_Toc193908054"/>
      <w:r/>
      <w:bookmarkEnd w:id="941"/>
      <w:r/>
      <w:bookmarkStart w:id="942" w:name="_Toc194329433"/>
      <w:r/>
      <w:bookmarkEnd w:id="942"/>
      <w:r/>
      <w:bookmarkStart w:id="943" w:name="_Toc193113812"/>
      <w:r/>
      <w:bookmarkEnd w:id="943"/>
      <w:r/>
      <w:bookmarkStart w:id="944" w:name="_Toc192687223"/>
      <w:r/>
      <w:bookmarkEnd w:id="944"/>
      <w:r/>
      <w:bookmarkStart w:id="945" w:name="_Toc193117316"/>
      <w:r/>
      <w:bookmarkEnd w:id="945"/>
      <w:r/>
      <w:bookmarkStart w:id="946" w:name="_Toc190097445"/>
      <w:r/>
      <w:bookmarkEnd w:id="946"/>
      <w:r/>
      <w:bookmarkStart w:id="947" w:name="_Toc191539586"/>
      <w:r/>
      <w:bookmarkEnd w:id="947"/>
      <w:r/>
      <w:bookmarkStart w:id="948" w:name="_Toc193909380"/>
      <w:r/>
      <w:bookmarkEnd w:id="948"/>
      <w:r/>
      <w:bookmarkStart w:id="949" w:name="_Toc191539579"/>
      <w:r/>
      <w:bookmarkEnd w:id="949"/>
      <w:r/>
      <w:bookmarkStart w:id="950" w:name="_Toc194328042"/>
      <w:r/>
      <w:bookmarkEnd w:id="950"/>
      <w:r/>
      <w:bookmarkStart w:id="951" w:name="_Toc194328058"/>
      <w:r/>
      <w:bookmarkEnd w:id="951"/>
      <w:r/>
      <w:bookmarkStart w:id="952" w:name="_Toc192692574"/>
      <w:r/>
      <w:bookmarkEnd w:id="952"/>
      <w:r/>
      <w:bookmarkStart w:id="953" w:name="_Toc193117313"/>
      <w:r/>
      <w:bookmarkEnd w:id="953"/>
      <w:r/>
      <w:bookmarkStart w:id="954" w:name="_Toc196382350"/>
      <w:r/>
      <w:bookmarkEnd w:id="954"/>
      <w:r/>
      <w:bookmarkStart w:id="955" w:name="_Toc194329420"/>
      <w:r/>
      <w:bookmarkEnd w:id="955"/>
      <w:r/>
      <w:bookmarkStart w:id="956" w:name="_Toc191539583"/>
      <w:r/>
      <w:bookmarkEnd w:id="956"/>
      <w:r/>
      <w:bookmarkStart w:id="957" w:name="_Toc198903995"/>
      <w:r/>
      <w:bookmarkEnd w:id="957"/>
      <w:r/>
      <w:bookmarkStart w:id="958" w:name="_Toc191539585"/>
      <w:r/>
      <w:bookmarkEnd w:id="958"/>
      <w:r/>
      <w:bookmarkStart w:id="959" w:name="_Toc198903996"/>
      <w:r/>
      <w:bookmarkEnd w:id="959"/>
      <w:r/>
      <w:bookmarkStart w:id="960" w:name="_Toc190094332"/>
      <w:r/>
      <w:bookmarkEnd w:id="960"/>
      <w:r/>
      <w:bookmarkStart w:id="961" w:name="_Toc190072194"/>
      <w:r/>
      <w:bookmarkEnd w:id="961"/>
      <w:r/>
      <w:bookmarkStart w:id="962" w:name="_Toc196383078"/>
      <w:r/>
      <w:bookmarkEnd w:id="962"/>
      <w:r/>
      <w:bookmarkStart w:id="963" w:name="_Toc193112801"/>
      <w:r/>
      <w:bookmarkEnd w:id="963"/>
      <w:r/>
      <w:bookmarkStart w:id="964" w:name="_Toc193730948"/>
      <w:r/>
      <w:bookmarkEnd w:id="964"/>
      <w:r/>
      <w:bookmarkStart w:id="965" w:name="_Toc193112793"/>
      <w:r/>
      <w:bookmarkEnd w:id="965"/>
      <w:r/>
      <w:bookmarkStart w:id="966" w:name="_Toc193117322"/>
      <w:r/>
      <w:bookmarkEnd w:id="966"/>
      <w:r/>
      <w:bookmarkStart w:id="967" w:name="_Toc190094316"/>
      <w:r/>
      <w:bookmarkEnd w:id="967"/>
      <w:r/>
      <w:bookmarkStart w:id="968" w:name="_Toc196382345"/>
      <w:r/>
      <w:bookmarkEnd w:id="968"/>
      <w:r/>
      <w:bookmarkStart w:id="969" w:name="_Toc190072130"/>
      <w:r/>
      <w:bookmarkEnd w:id="969"/>
      <w:r/>
      <w:bookmarkStart w:id="970" w:name="_Toc193908045"/>
      <w:r/>
      <w:bookmarkEnd w:id="970"/>
      <w:r/>
      <w:bookmarkStart w:id="971" w:name="_Toc192687227"/>
      <w:r/>
      <w:bookmarkEnd w:id="971"/>
      <w:r/>
      <w:bookmarkStart w:id="972" w:name="_Toc190097446"/>
      <w:r/>
      <w:bookmarkEnd w:id="972"/>
      <w:r/>
      <w:bookmarkStart w:id="973" w:name="_Toc198903955"/>
      <w:r/>
      <w:bookmarkEnd w:id="973"/>
      <w:r/>
      <w:bookmarkStart w:id="974" w:name="_Toc193113815"/>
      <w:r/>
      <w:bookmarkEnd w:id="974"/>
      <w:r/>
      <w:bookmarkStart w:id="975" w:name="_Toc193908620"/>
      <w:r/>
      <w:bookmarkEnd w:id="975"/>
      <w:r/>
      <w:bookmarkStart w:id="976" w:name="_Toc190072153"/>
      <w:r/>
      <w:bookmarkEnd w:id="976"/>
      <w:r/>
      <w:bookmarkStart w:id="977" w:name="_Toc198903918"/>
      <w:r/>
      <w:bookmarkEnd w:id="977"/>
      <w:r/>
      <w:bookmarkStart w:id="978" w:name="_Toc193114693"/>
      <w:r/>
      <w:bookmarkEnd w:id="978"/>
      <w:r/>
      <w:bookmarkStart w:id="979" w:name="_Toc192692599"/>
      <w:r/>
      <w:bookmarkEnd w:id="979"/>
      <w:r/>
      <w:bookmarkStart w:id="980" w:name="_Toc190071867"/>
      <w:r/>
      <w:bookmarkEnd w:id="980"/>
      <w:r/>
      <w:bookmarkStart w:id="981" w:name="_Toc193114711"/>
      <w:r/>
      <w:bookmarkEnd w:id="981"/>
      <w:r/>
      <w:bookmarkStart w:id="982" w:name="_Toc193112789"/>
      <w:r/>
      <w:bookmarkEnd w:id="982"/>
      <w:r/>
      <w:bookmarkStart w:id="983" w:name="_Toc190071866"/>
      <w:r/>
      <w:bookmarkEnd w:id="983"/>
      <w:r/>
      <w:bookmarkStart w:id="984" w:name="_Toc193112792"/>
      <w:r/>
      <w:bookmarkEnd w:id="984"/>
      <w:r/>
      <w:bookmarkStart w:id="985" w:name="_Toc193730955"/>
      <w:r/>
      <w:bookmarkEnd w:id="985"/>
      <w:r/>
      <w:bookmarkStart w:id="986" w:name="_Toc196383929"/>
      <w:r/>
      <w:bookmarkEnd w:id="986"/>
      <w:r/>
      <w:bookmarkStart w:id="987" w:name="_Toc193113821"/>
      <w:r/>
      <w:bookmarkEnd w:id="987"/>
      <w:r/>
      <w:bookmarkStart w:id="988" w:name="_Toc193909377"/>
      <w:r/>
      <w:bookmarkEnd w:id="988"/>
      <w:r/>
      <w:bookmarkStart w:id="989" w:name="_Toc192692600"/>
      <w:r/>
      <w:bookmarkEnd w:id="989"/>
      <w:r/>
      <w:bookmarkStart w:id="990" w:name="_Toc193113807"/>
      <w:r/>
      <w:bookmarkEnd w:id="990"/>
      <w:r/>
      <w:bookmarkStart w:id="991" w:name="_Toc194328059"/>
      <w:r/>
      <w:bookmarkEnd w:id="991"/>
      <w:r/>
      <w:bookmarkStart w:id="992" w:name="_Toc198904017"/>
      <w:r/>
      <w:bookmarkEnd w:id="992"/>
      <w:r/>
      <w:bookmarkStart w:id="993" w:name="_Toc196382343"/>
      <w:r/>
      <w:bookmarkEnd w:id="993"/>
      <w:r/>
      <w:bookmarkStart w:id="994" w:name="_Toc194328041"/>
      <w:r/>
      <w:bookmarkEnd w:id="994"/>
      <w:r/>
      <w:bookmarkStart w:id="995" w:name="_Toc192687229"/>
      <w:r/>
      <w:bookmarkEnd w:id="995"/>
      <w:r/>
      <w:bookmarkStart w:id="996" w:name="_Toc190072152"/>
      <w:r/>
      <w:bookmarkEnd w:id="996"/>
      <w:r/>
      <w:bookmarkStart w:id="997" w:name="_Toc194329438"/>
      <w:r/>
      <w:bookmarkEnd w:id="997"/>
      <w:r/>
      <w:bookmarkStart w:id="998" w:name="_Toc193113811"/>
      <w:r/>
      <w:bookmarkEnd w:id="998"/>
      <w:r/>
      <w:bookmarkStart w:id="999" w:name="_Toc194328035"/>
      <w:r/>
      <w:bookmarkEnd w:id="999"/>
      <w:r/>
      <w:bookmarkStart w:id="1000" w:name="_Toc192687225"/>
      <w:r/>
      <w:bookmarkEnd w:id="1000"/>
      <w:r/>
      <w:bookmarkStart w:id="1001" w:name="_Toc203725927"/>
      <w:r/>
      <w:bookmarkEnd w:id="1001"/>
      <w:r/>
      <w:bookmarkStart w:id="1002" w:name="_Toc196383940"/>
      <w:r/>
      <w:bookmarkEnd w:id="1002"/>
      <w:r/>
      <w:bookmarkStart w:id="1003" w:name="_Toc191539603"/>
      <w:r/>
      <w:bookmarkEnd w:id="1003"/>
      <w:r/>
      <w:bookmarkStart w:id="1004" w:name="_Toc193117324"/>
      <w:r/>
      <w:bookmarkEnd w:id="1004"/>
      <w:r/>
      <w:bookmarkStart w:id="1005" w:name="_Toc193117314"/>
      <w:r/>
      <w:bookmarkEnd w:id="1005"/>
      <w:r/>
      <w:bookmarkStart w:id="1006" w:name="_Toc198904019"/>
      <w:r/>
      <w:bookmarkEnd w:id="1006"/>
      <w:r/>
      <w:bookmarkStart w:id="1007" w:name="_Toc193112810"/>
      <w:r/>
      <w:bookmarkEnd w:id="1007"/>
      <w:r/>
      <w:bookmarkStart w:id="1008" w:name="_Toc193909383"/>
      <w:r/>
      <w:bookmarkEnd w:id="1008"/>
      <w:r/>
      <w:bookmarkStart w:id="1009" w:name="_Toc196383079"/>
      <w:r/>
      <w:bookmarkEnd w:id="1009"/>
      <w:r/>
      <w:bookmarkStart w:id="1010" w:name="_Toc193112785"/>
      <w:r/>
      <w:bookmarkEnd w:id="1010"/>
      <w:r/>
      <w:bookmarkStart w:id="1011" w:name="_Toc190097444"/>
      <w:r/>
      <w:bookmarkEnd w:id="1011"/>
      <w:r/>
      <w:bookmarkStart w:id="1012" w:name="_Toc192692592"/>
      <w:r/>
      <w:bookmarkEnd w:id="1012"/>
      <w:r/>
      <w:bookmarkStart w:id="1013" w:name="_Toc193112786"/>
      <w:r/>
      <w:bookmarkEnd w:id="1013"/>
      <w:r/>
      <w:bookmarkStart w:id="1014" w:name="_Toc193114696"/>
      <w:r/>
      <w:bookmarkEnd w:id="1014"/>
      <w:r/>
      <w:bookmarkStart w:id="1015" w:name="_Toc196383913"/>
      <w:r/>
      <w:bookmarkEnd w:id="1015"/>
      <w:r/>
      <w:bookmarkStart w:id="1016" w:name="_Toc191539591"/>
      <w:r/>
      <w:bookmarkEnd w:id="1016"/>
      <w:r/>
      <w:bookmarkStart w:id="1017" w:name="_Toc193112791"/>
      <w:r/>
      <w:bookmarkEnd w:id="1017"/>
      <w:r/>
      <w:bookmarkStart w:id="1018" w:name="_Toc196382346"/>
      <w:r/>
      <w:bookmarkEnd w:id="1018"/>
      <w:r/>
      <w:bookmarkStart w:id="1019" w:name="_Toc193112794"/>
      <w:r/>
      <w:bookmarkEnd w:id="1019"/>
      <w:r/>
      <w:bookmarkStart w:id="1020" w:name="_Toc193114692"/>
      <w:r/>
      <w:bookmarkEnd w:id="1020"/>
      <w:r/>
      <w:bookmarkStart w:id="1021" w:name="_Toc190072186"/>
      <w:r/>
      <w:bookmarkEnd w:id="1021"/>
      <w:r/>
      <w:bookmarkStart w:id="1022" w:name="_Toc192687234"/>
      <w:r/>
      <w:bookmarkEnd w:id="1022"/>
      <w:r/>
      <w:bookmarkStart w:id="1023" w:name="_Toc192692576"/>
      <w:r/>
      <w:bookmarkEnd w:id="1023"/>
      <w:r/>
      <w:bookmarkStart w:id="1024" w:name="_Toc196383934"/>
      <w:r/>
      <w:bookmarkEnd w:id="1024"/>
      <w:r/>
      <w:bookmarkStart w:id="1025" w:name="_Toc193730944"/>
      <w:r/>
      <w:bookmarkEnd w:id="1025"/>
      <w:r/>
      <w:bookmarkStart w:id="1026" w:name="_Toc191539589"/>
      <w:r/>
      <w:bookmarkEnd w:id="1026"/>
      <w:r/>
      <w:bookmarkStart w:id="1027" w:name="_Toc192687245"/>
      <w:r/>
      <w:bookmarkEnd w:id="1027"/>
      <w:r/>
      <w:bookmarkStart w:id="1028" w:name="_Toc198903989"/>
      <w:r/>
      <w:bookmarkEnd w:id="1028"/>
      <w:r/>
      <w:bookmarkStart w:id="1029" w:name="_Toc196382349"/>
      <w:r/>
      <w:bookmarkEnd w:id="1029"/>
      <w:r/>
      <w:bookmarkStart w:id="1030" w:name="_Toc193730969"/>
      <w:r/>
      <w:bookmarkEnd w:id="1030"/>
      <w:r/>
      <w:bookmarkStart w:id="1031" w:name="_Toc194329435"/>
      <w:r/>
      <w:bookmarkEnd w:id="1031"/>
      <w:r/>
      <w:bookmarkStart w:id="1032" w:name="_Toc193114707"/>
      <w:r/>
      <w:bookmarkEnd w:id="1032"/>
      <w:r/>
      <w:bookmarkStart w:id="1033" w:name="_Toc190072189"/>
      <w:r/>
      <w:bookmarkEnd w:id="1033"/>
      <w:r/>
      <w:bookmarkStart w:id="1034" w:name="_Toc193908636"/>
      <w:r/>
      <w:bookmarkEnd w:id="1034"/>
      <w:r/>
      <w:bookmarkStart w:id="1035" w:name="_Toc190072129"/>
      <w:r/>
      <w:bookmarkEnd w:id="1035"/>
      <w:r/>
      <w:bookmarkStart w:id="1036" w:name="_Toc191539602"/>
      <w:r/>
      <w:bookmarkEnd w:id="1036"/>
      <w:r/>
      <w:bookmarkStart w:id="1037" w:name="_Toc192687235"/>
      <w:r/>
      <w:bookmarkEnd w:id="1037"/>
      <w:r/>
      <w:bookmarkStart w:id="1038" w:name="_Toc190097455"/>
      <w:r/>
      <w:bookmarkEnd w:id="1038"/>
      <w:r/>
      <w:bookmarkStart w:id="1039" w:name="_Toc194329418"/>
      <w:r/>
      <w:bookmarkEnd w:id="1039"/>
      <w:r/>
      <w:bookmarkStart w:id="1040" w:name="_Toc193114697"/>
      <w:r/>
      <w:bookmarkEnd w:id="1040"/>
      <w:r/>
      <w:bookmarkStart w:id="1041" w:name="_Toc203725929"/>
      <w:r/>
      <w:bookmarkEnd w:id="1041"/>
      <w:r/>
      <w:bookmarkStart w:id="1042" w:name="_Toc193730950"/>
      <w:r/>
      <w:bookmarkEnd w:id="1042"/>
      <w:r/>
      <w:bookmarkStart w:id="1043" w:name="_Toc191539599"/>
      <w:r/>
      <w:bookmarkEnd w:id="1043"/>
      <w:r/>
      <w:bookmarkStart w:id="1044" w:name="_Toc193908632"/>
      <w:r/>
      <w:bookmarkEnd w:id="1044"/>
      <w:r/>
      <w:bookmarkStart w:id="1045" w:name="_Toc194328039"/>
      <w:r/>
      <w:bookmarkEnd w:id="1045"/>
      <w:r/>
      <w:bookmarkStart w:id="1046" w:name="_Toc190097428"/>
      <w:r/>
      <w:bookmarkEnd w:id="1046"/>
      <w:r/>
      <w:bookmarkStart w:id="1047" w:name="_Toc190072142"/>
      <w:r/>
      <w:bookmarkEnd w:id="1047"/>
      <w:r/>
      <w:bookmarkStart w:id="1048" w:name="_Toc198903994"/>
      <w:r/>
      <w:bookmarkEnd w:id="1048"/>
      <w:r/>
      <w:bookmarkStart w:id="1049" w:name="_Toc193117336"/>
      <w:r/>
      <w:bookmarkEnd w:id="1049"/>
      <w:r/>
      <w:bookmarkStart w:id="1050" w:name="_Toc198903953"/>
      <w:r/>
      <w:bookmarkEnd w:id="1050"/>
      <w:r/>
      <w:bookmarkStart w:id="1051" w:name="_Toc190094341"/>
      <w:r/>
      <w:bookmarkEnd w:id="1051"/>
      <w:r/>
      <w:bookmarkStart w:id="1052" w:name="_Toc196383099"/>
      <w:r/>
      <w:bookmarkEnd w:id="1052"/>
      <w:r/>
      <w:bookmarkStart w:id="1053" w:name="_Toc196382363"/>
      <w:r/>
      <w:bookmarkEnd w:id="1053"/>
      <w:r/>
      <w:bookmarkStart w:id="1054" w:name="_Toc193113803"/>
      <w:r/>
      <w:bookmarkEnd w:id="1054"/>
      <w:r/>
      <w:bookmarkStart w:id="1055" w:name="_Toc196383932"/>
      <w:r/>
      <w:bookmarkEnd w:id="1055"/>
      <w:r/>
      <w:bookmarkStart w:id="1056" w:name="_Toc196383936"/>
      <w:r/>
      <w:bookmarkEnd w:id="1056"/>
      <w:r/>
      <w:bookmarkStart w:id="1057" w:name="_Toc191539604"/>
      <w:r/>
      <w:bookmarkEnd w:id="1057"/>
      <w:r/>
      <w:bookmarkStart w:id="1058" w:name="_Toc193117317"/>
      <w:r/>
      <w:bookmarkEnd w:id="1058"/>
      <w:r/>
      <w:bookmarkStart w:id="1059" w:name="_Toc198904014"/>
      <w:r/>
      <w:bookmarkEnd w:id="1059"/>
      <w:r/>
      <w:bookmarkStart w:id="1060" w:name="_Toc190071865"/>
      <w:r/>
      <w:bookmarkEnd w:id="1060"/>
      <w:r/>
      <w:bookmarkStart w:id="1061" w:name="_Toc193908067"/>
      <w:r/>
      <w:bookmarkEnd w:id="1061"/>
      <w:r/>
      <w:bookmarkStart w:id="1062" w:name="_Toc190097459"/>
      <w:r/>
      <w:bookmarkEnd w:id="1062"/>
      <w:r/>
      <w:bookmarkStart w:id="1063" w:name="_Toc193730945"/>
      <w:r/>
      <w:bookmarkEnd w:id="1063"/>
      <w:r/>
      <w:bookmarkStart w:id="1064" w:name="_Toc192692598"/>
      <w:r/>
      <w:bookmarkEnd w:id="1064"/>
      <w:r/>
      <w:bookmarkStart w:id="1065" w:name="_Toc193908640"/>
      <w:r/>
      <w:bookmarkEnd w:id="1065"/>
      <w:r/>
      <w:bookmarkStart w:id="1066" w:name="_Toc198904005"/>
      <w:r/>
      <w:bookmarkEnd w:id="1066"/>
      <w:r/>
      <w:bookmarkStart w:id="1067" w:name="_Toc194329436"/>
      <w:r/>
      <w:bookmarkEnd w:id="1067"/>
      <w:r/>
      <w:bookmarkStart w:id="1068" w:name="_Toc190094323"/>
      <w:r/>
      <w:bookmarkEnd w:id="1068"/>
      <w:r/>
      <w:bookmarkStart w:id="1069" w:name="_Toc196383944"/>
      <w:r/>
      <w:bookmarkEnd w:id="1069"/>
      <w:r/>
      <w:bookmarkStart w:id="1070" w:name="_Toc194329413"/>
      <w:r/>
      <w:bookmarkEnd w:id="1070"/>
      <w:r/>
      <w:bookmarkStart w:id="1071" w:name="_Toc194328047"/>
      <w:r/>
      <w:bookmarkEnd w:id="1071"/>
      <w:r/>
      <w:bookmarkStart w:id="1072" w:name="_Toc193908642"/>
      <w:r/>
      <w:bookmarkEnd w:id="1072"/>
      <w:r/>
      <w:bookmarkStart w:id="1073" w:name="_Toc193908047"/>
      <w:r/>
      <w:bookmarkEnd w:id="1073"/>
      <w:r/>
      <w:bookmarkStart w:id="1074" w:name="_Toc193117333"/>
      <w:r/>
      <w:bookmarkEnd w:id="1074"/>
      <w:r/>
      <w:bookmarkStart w:id="1075" w:name="_Toc193113827"/>
      <w:r/>
      <w:bookmarkEnd w:id="1075"/>
      <w:r/>
      <w:bookmarkStart w:id="1076" w:name="_Toc193908641"/>
      <w:r/>
      <w:bookmarkEnd w:id="1076"/>
      <w:r/>
      <w:bookmarkStart w:id="1077" w:name="_Toc196382358"/>
      <w:r/>
      <w:bookmarkEnd w:id="1077"/>
      <w:r/>
      <w:bookmarkStart w:id="1078" w:name="_Toc196383926"/>
      <w:r/>
      <w:bookmarkEnd w:id="1078"/>
      <w:r/>
      <w:bookmarkStart w:id="1079" w:name="_Toc194328051"/>
      <w:r/>
      <w:bookmarkEnd w:id="1079"/>
      <w:r/>
      <w:bookmarkStart w:id="1080" w:name="_Toc196383082"/>
      <w:r/>
      <w:bookmarkEnd w:id="1080"/>
      <w:r/>
      <w:bookmarkStart w:id="1081" w:name="_Toc192687243"/>
      <w:r/>
      <w:bookmarkEnd w:id="1081"/>
      <w:r/>
      <w:bookmarkStart w:id="1082" w:name="_Toc193908051"/>
      <w:r/>
      <w:bookmarkEnd w:id="1082"/>
      <w:r/>
      <w:bookmarkStart w:id="1083" w:name="_Toc193113794"/>
      <w:r/>
      <w:bookmarkEnd w:id="1083"/>
      <w:r/>
      <w:bookmarkStart w:id="1084" w:name="_Toc193909403"/>
      <w:r/>
      <w:bookmarkEnd w:id="1084"/>
      <w:r/>
      <w:bookmarkStart w:id="1085" w:name="_Toc193112788"/>
      <w:r/>
      <w:bookmarkEnd w:id="1085"/>
      <w:r/>
      <w:bookmarkStart w:id="1086" w:name="_Toc193113802"/>
      <w:r/>
      <w:bookmarkEnd w:id="1086"/>
      <w:r/>
      <w:bookmarkStart w:id="1087" w:name="_Toc192687244"/>
      <w:r/>
      <w:bookmarkEnd w:id="1087"/>
      <w:r/>
      <w:bookmarkStart w:id="1088" w:name="_Toc196383947"/>
      <w:r/>
      <w:bookmarkEnd w:id="1088"/>
      <w:r/>
      <w:bookmarkStart w:id="1089" w:name="_Toc196383087"/>
      <w:r/>
      <w:bookmarkEnd w:id="1089"/>
      <w:r/>
      <w:bookmarkStart w:id="1090" w:name="_Toc193730960"/>
      <w:r/>
      <w:bookmarkEnd w:id="1090"/>
      <w:r/>
      <w:bookmarkStart w:id="1091" w:name="_Toc194328055"/>
      <w:r/>
      <w:bookmarkEnd w:id="1091"/>
      <w:r/>
      <w:bookmarkStart w:id="1092" w:name="_Toc193117337"/>
      <w:r/>
      <w:bookmarkEnd w:id="1092"/>
      <w:r/>
      <w:bookmarkStart w:id="1093" w:name="_Toc198903948"/>
      <w:r/>
      <w:bookmarkEnd w:id="1093"/>
      <w:r/>
      <w:bookmarkStart w:id="1094" w:name="_Toc192687224"/>
      <w:r/>
      <w:bookmarkEnd w:id="1094"/>
      <w:r/>
      <w:bookmarkStart w:id="1095" w:name="_Toc198904015"/>
      <w:r/>
      <w:bookmarkEnd w:id="1095"/>
      <w:r/>
      <w:bookmarkStart w:id="1096" w:name="_Toc193909381"/>
      <w:r/>
      <w:bookmarkEnd w:id="1096"/>
      <w:r/>
      <w:bookmarkStart w:id="1097" w:name="_Toc196383945"/>
      <w:r/>
      <w:bookmarkEnd w:id="1097"/>
      <w:r/>
      <w:bookmarkStart w:id="1098" w:name="_Toc190094343"/>
      <w:r/>
      <w:bookmarkEnd w:id="1098"/>
      <w:r/>
      <w:bookmarkStart w:id="1099" w:name="_Toc193909385"/>
      <w:r/>
      <w:bookmarkEnd w:id="1099"/>
      <w:r/>
      <w:bookmarkStart w:id="1100" w:name="_Toc193909395"/>
      <w:r/>
      <w:bookmarkEnd w:id="1100"/>
      <w:r/>
      <w:bookmarkStart w:id="1101" w:name="_Toc203725922"/>
      <w:r/>
      <w:bookmarkEnd w:id="1101"/>
      <w:r/>
      <w:bookmarkStart w:id="1102" w:name="_Toc198903987"/>
      <w:r/>
      <w:bookmarkEnd w:id="1102"/>
      <w:r/>
      <w:bookmarkStart w:id="1103" w:name="_Toc193114682"/>
      <w:r/>
      <w:bookmarkEnd w:id="1103"/>
      <w:r/>
      <w:bookmarkStart w:id="1104" w:name="_Toc198904004"/>
      <w:r/>
      <w:bookmarkEnd w:id="1104"/>
      <w:r/>
      <w:bookmarkStart w:id="1105" w:name="_Toc190094337"/>
      <w:r/>
      <w:bookmarkEnd w:id="1105"/>
      <w:r/>
      <w:bookmarkStart w:id="1106" w:name="_Toc196383096"/>
      <w:r/>
      <w:bookmarkEnd w:id="1106"/>
      <w:r/>
      <w:bookmarkStart w:id="1107" w:name="_Toc193117335"/>
      <w:r/>
      <w:bookmarkEnd w:id="1107"/>
      <w:r/>
      <w:bookmarkStart w:id="1108" w:name="_Toc196383920"/>
      <w:r/>
      <w:bookmarkEnd w:id="1108"/>
      <w:r/>
      <w:bookmarkStart w:id="1109" w:name="_Toc193730966"/>
      <w:r/>
      <w:bookmarkEnd w:id="1109"/>
      <w:r/>
      <w:bookmarkStart w:id="1110" w:name="_Toc198903952"/>
      <w:r/>
      <w:bookmarkEnd w:id="1110"/>
      <w:r/>
      <w:bookmarkStart w:id="1111" w:name="_Toc196382335"/>
      <w:r/>
      <w:bookmarkEnd w:id="1111"/>
      <w:r/>
      <w:bookmarkStart w:id="1112" w:name="_Toc190072190"/>
      <w:r/>
      <w:bookmarkEnd w:id="1112"/>
      <w:r/>
      <w:bookmarkStart w:id="1113" w:name="_Toc193117310"/>
      <w:r/>
      <w:bookmarkEnd w:id="1113"/>
      <w:r/>
      <w:bookmarkStart w:id="1114" w:name="_Toc190097463"/>
      <w:r/>
      <w:bookmarkEnd w:id="1114"/>
      <w:r/>
      <w:bookmarkStart w:id="1115" w:name="_Toc198903997"/>
      <w:r/>
      <w:bookmarkEnd w:id="1115"/>
      <w:r/>
      <w:bookmarkStart w:id="1116" w:name="_Toc193114714"/>
      <w:r/>
      <w:bookmarkEnd w:id="1116"/>
      <w:r/>
      <w:bookmarkStart w:id="1117" w:name="_Toc194328031"/>
      <w:r/>
      <w:bookmarkEnd w:id="1117"/>
      <w:r/>
      <w:bookmarkStart w:id="1118" w:name="_Toc192692583"/>
      <w:r/>
      <w:bookmarkEnd w:id="1118"/>
      <w:r/>
      <w:bookmarkStart w:id="1119" w:name="_Toc193908631"/>
      <w:r/>
      <w:bookmarkEnd w:id="1119"/>
      <w:r/>
      <w:bookmarkStart w:id="1120" w:name="_Toc196382351"/>
      <w:r/>
      <w:bookmarkEnd w:id="1120"/>
      <w:r/>
      <w:bookmarkStart w:id="1121" w:name="_Toc196383067"/>
      <w:r/>
      <w:bookmarkEnd w:id="1121"/>
      <w:r/>
      <w:bookmarkStart w:id="1122" w:name="_Toc192687221"/>
      <w:r/>
      <w:bookmarkEnd w:id="1122"/>
      <w:r/>
      <w:bookmarkStart w:id="1123" w:name="_Toc193113810"/>
      <w:r/>
      <w:bookmarkEnd w:id="1123"/>
      <w:r/>
      <w:bookmarkStart w:id="1124" w:name="_Toc198903936"/>
      <w:r/>
      <w:bookmarkEnd w:id="1124"/>
      <w:r/>
      <w:bookmarkStart w:id="1125" w:name="_Toc194329408"/>
      <w:r/>
      <w:bookmarkEnd w:id="1125"/>
      <w:r/>
      <w:bookmarkStart w:id="1126" w:name="_Toc192687246"/>
      <w:r/>
      <w:bookmarkEnd w:id="1126"/>
      <w:r/>
      <w:bookmarkStart w:id="1127" w:name="_Toc193112806"/>
      <w:r/>
      <w:bookmarkEnd w:id="1127"/>
      <w:r/>
      <w:bookmarkStart w:id="1128" w:name="_Toc190072173"/>
      <w:r/>
      <w:bookmarkEnd w:id="1128"/>
      <w:r/>
      <w:bookmarkStart w:id="1129" w:name="_Toc198903925"/>
      <w:r/>
      <w:bookmarkEnd w:id="1129"/>
      <w:r/>
      <w:bookmarkStart w:id="1130" w:name="_Toc190097436"/>
      <w:r/>
      <w:bookmarkEnd w:id="1130"/>
      <w:r/>
      <w:bookmarkStart w:id="1131" w:name="_Toc192687213"/>
      <w:r/>
      <w:bookmarkEnd w:id="1131"/>
      <w:r/>
      <w:bookmarkStart w:id="1132" w:name="_Toc193113799"/>
      <w:r/>
      <w:bookmarkEnd w:id="1132"/>
      <w:r/>
      <w:bookmarkStart w:id="1133" w:name="_Toc194328024"/>
      <w:r/>
      <w:bookmarkEnd w:id="1133"/>
      <w:r/>
      <w:bookmarkStart w:id="1134" w:name="_Toc190072175"/>
      <w:r/>
      <w:bookmarkEnd w:id="1134"/>
      <w:r/>
      <w:bookmarkStart w:id="1135" w:name="_Toc193113800"/>
      <w:r/>
      <w:bookmarkEnd w:id="1135"/>
      <w:r/>
      <w:bookmarkStart w:id="1136" w:name="_Toc190097430"/>
      <w:r/>
      <w:bookmarkEnd w:id="1136"/>
      <w:r/>
      <w:bookmarkStart w:id="1137" w:name="_Toc190072191"/>
      <w:r/>
      <w:bookmarkEnd w:id="1137"/>
      <w:r/>
      <w:bookmarkStart w:id="1138" w:name="_Toc190097434"/>
      <w:r/>
      <w:bookmarkEnd w:id="1138"/>
      <w:r/>
      <w:bookmarkStart w:id="1139" w:name="_Toc190071859"/>
      <w:r/>
      <w:bookmarkEnd w:id="1139"/>
      <w:r/>
      <w:bookmarkStart w:id="1140" w:name="_Toc193908630"/>
      <w:r/>
      <w:bookmarkEnd w:id="1140"/>
      <w:r/>
      <w:bookmarkStart w:id="1141" w:name="_Toc194329415"/>
      <w:r/>
      <w:bookmarkEnd w:id="1141"/>
      <w:r/>
      <w:bookmarkStart w:id="1142" w:name="_Toc196383075"/>
      <w:r/>
      <w:bookmarkEnd w:id="1142"/>
      <w:r/>
      <w:bookmarkStart w:id="1143" w:name="_Toc193909389"/>
      <w:r/>
      <w:bookmarkEnd w:id="1143"/>
      <w:r/>
      <w:bookmarkStart w:id="1144" w:name="_Toc196383076"/>
      <w:r/>
      <w:bookmarkEnd w:id="1144"/>
      <w:r/>
      <w:bookmarkStart w:id="1145" w:name="_Toc194329407"/>
      <w:r/>
      <w:bookmarkEnd w:id="1145"/>
      <w:r/>
      <w:bookmarkStart w:id="1146" w:name="_Toc193113817"/>
      <w:r/>
      <w:bookmarkEnd w:id="1146"/>
      <w:r/>
      <w:bookmarkStart w:id="1147" w:name="_Toc190071868"/>
      <w:r/>
      <w:bookmarkEnd w:id="1147"/>
      <w:r/>
      <w:bookmarkStart w:id="1148" w:name="_Toc193730946"/>
      <w:r/>
      <w:bookmarkEnd w:id="1148"/>
      <w:r/>
      <w:bookmarkStart w:id="1149" w:name="_Toc198903939"/>
      <w:r/>
      <w:bookmarkEnd w:id="1149"/>
      <w:r/>
      <w:bookmarkStart w:id="1150" w:name="_Toc194329406"/>
      <w:r/>
      <w:bookmarkEnd w:id="1150"/>
      <w:r/>
      <w:bookmarkStart w:id="1151" w:name="_Toc196382333"/>
      <w:r/>
      <w:bookmarkEnd w:id="1151"/>
      <w:r/>
      <w:bookmarkStart w:id="1152" w:name="_Toc194328038"/>
      <w:r/>
      <w:bookmarkEnd w:id="1152"/>
      <w:r/>
      <w:bookmarkStart w:id="1153" w:name="_Toc194329423"/>
      <w:r/>
      <w:bookmarkEnd w:id="1153"/>
      <w:r/>
      <w:bookmarkStart w:id="1154" w:name="_Toc193908610"/>
      <w:r/>
      <w:bookmarkEnd w:id="1154"/>
      <w:r/>
      <w:bookmarkStart w:id="1155" w:name="_Toc193114689"/>
      <w:r/>
      <w:bookmarkEnd w:id="1155"/>
      <w:r/>
      <w:bookmarkStart w:id="1156" w:name="_Toc190072193"/>
      <w:r/>
      <w:bookmarkEnd w:id="1156"/>
      <w:r/>
      <w:bookmarkStart w:id="1157" w:name="_Toc193908614"/>
      <w:r/>
      <w:bookmarkEnd w:id="1157"/>
      <w:r/>
      <w:bookmarkStart w:id="1158" w:name="_Toc193112777"/>
      <w:r/>
      <w:bookmarkEnd w:id="1158"/>
      <w:r/>
      <w:bookmarkStart w:id="1159" w:name="_Toc192687228"/>
      <w:r/>
      <w:bookmarkEnd w:id="1159"/>
      <w:r/>
      <w:bookmarkStart w:id="1160" w:name="_Toc203725923"/>
      <w:r/>
      <w:bookmarkEnd w:id="1160"/>
      <w:r/>
      <w:bookmarkStart w:id="1161" w:name="_Toc198903956"/>
      <w:r/>
      <w:bookmarkEnd w:id="1161"/>
      <w:r/>
      <w:bookmarkStart w:id="1162" w:name="_Toc193113813"/>
      <w:r/>
      <w:bookmarkEnd w:id="1162"/>
      <w:r/>
      <w:bookmarkStart w:id="1163" w:name="_Toc193908038"/>
      <w:r/>
      <w:bookmarkEnd w:id="1163"/>
      <w:r/>
      <w:bookmarkStart w:id="1164" w:name="_Toc196382339"/>
      <w:r/>
      <w:bookmarkEnd w:id="1164"/>
      <w:r/>
      <w:bookmarkStart w:id="1165" w:name="_Toc192687219"/>
      <w:r/>
      <w:bookmarkEnd w:id="1165"/>
      <w:r/>
      <w:bookmarkStart w:id="1166" w:name="_Toc196382364"/>
      <w:r/>
      <w:bookmarkEnd w:id="1166"/>
      <w:r/>
      <w:bookmarkStart w:id="1167" w:name="_Toc196383930"/>
      <w:r/>
      <w:bookmarkEnd w:id="1167"/>
      <w:r/>
      <w:bookmarkStart w:id="1168" w:name="_Toc192687247"/>
      <w:r/>
      <w:bookmarkEnd w:id="1168"/>
      <w:r/>
      <w:bookmarkStart w:id="1169" w:name="_Toc191539574"/>
      <w:r/>
      <w:bookmarkEnd w:id="1169"/>
      <w:r/>
      <w:bookmarkStart w:id="1170" w:name="_Toc198903924"/>
      <w:r/>
      <w:bookmarkEnd w:id="1170"/>
      <w:r/>
      <w:bookmarkStart w:id="1171" w:name="_Toc194328033"/>
      <w:r/>
      <w:bookmarkEnd w:id="1171"/>
      <w:r/>
      <w:bookmarkStart w:id="1172" w:name="_Toc193117307"/>
      <w:r/>
      <w:bookmarkEnd w:id="1172"/>
      <w:r/>
      <w:bookmarkStart w:id="1173" w:name="_Toc196382347"/>
      <w:r/>
      <w:bookmarkEnd w:id="1173"/>
      <w:r/>
      <w:bookmarkStart w:id="1174" w:name="_Toc196383083"/>
      <w:r/>
      <w:bookmarkEnd w:id="1174"/>
      <w:r/>
      <w:bookmarkStart w:id="1175" w:name="_Toc193908043"/>
      <w:r/>
      <w:bookmarkEnd w:id="1175"/>
      <w:r/>
      <w:bookmarkStart w:id="1176" w:name="_Toc192687217"/>
      <w:r/>
      <w:bookmarkEnd w:id="1176"/>
      <w:r/>
      <w:bookmarkStart w:id="1177" w:name="_Toc194328032"/>
      <w:r/>
      <w:bookmarkEnd w:id="1177"/>
      <w:r/>
      <w:bookmarkStart w:id="1178" w:name="_Toc190072134"/>
      <w:r/>
      <w:bookmarkEnd w:id="1178"/>
      <w:r/>
      <w:bookmarkStart w:id="1179" w:name="_Toc193114685"/>
      <w:r/>
      <w:bookmarkEnd w:id="1179"/>
      <w:r/>
      <w:bookmarkStart w:id="1180" w:name="_Toc193114715"/>
      <w:r/>
      <w:bookmarkEnd w:id="1180"/>
      <w:r/>
      <w:bookmarkStart w:id="1181" w:name="_Toc193908056"/>
      <w:r/>
      <w:bookmarkEnd w:id="1181"/>
      <w:r/>
      <w:bookmarkStart w:id="1182" w:name="_Toc193117318"/>
      <w:r/>
      <w:bookmarkEnd w:id="1182"/>
      <w:r/>
      <w:bookmarkStart w:id="1183" w:name="_Toc198903984"/>
      <w:r/>
      <w:bookmarkEnd w:id="1183"/>
      <w:r/>
      <w:bookmarkStart w:id="1184" w:name="_Toc190072154"/>
      <w:r/>
      <w:bookmarkEnd w:id="1184"/>
      <w:r/>
      <w:bookmarkStart w:id="1185" w:name="_Toc198903921"/>
      <w:r/>
      <w:bookmarkEnd w:id="1185"/>
      <w:r/>
      <w:bookmarkStart w:id="1186" w:name="_Toc196383919"/>
      <w:r/>
      <w:bookmarkEnd w:id="1186"/>
      <w:r/>
      <w:bookmarkStart w:id="1187" w:name="_Toc196383916"/>
      <w:r/>
      <w:bookmarkEnd w:id="1187"/>
      <w:r/>
      <w:bookmarkStart w:id="1188" w:name="_Toc190094314"/>
      <w:r/>
      <w:bookmarkEnd w:id="1188"/>
      <w:r/>
      <w:bookmarkStart w:id="1189" w:name="_Toc193114700"/>
      <w:r/>
      <w:bookmarkEnd w:id="1189"/>
      <w:r/>
      <w:bookmarkStart w:id="1190" w:name="_Toc203725928"/>
      <w:r/>
      <w:bookmarkEnd w:id="1190"/>
      <w:r/>
      <w:bookmarkStart w:id="1191" w:name="_Toc193908617"/>
      <w:r/>
      <w:bookmarkEnd w:id="1191"/>
      <w:r>
        <w:rPr>
          <w:rFonts w:hint="eastAsia" w:ascii="Times New Roman" w:hAnsi="Times New Roman" w:eastAsia="黑体" w:cs="宋体"/>
          <w:bCs/>
          <w:spacing w:val="-2"/>
          <w:sz w:val="28"/>
          <w:szCs w:val="21"/>
          <w:highlight w:val="none"/>
        </w:rPr>
        <w:t xml:space="preserve">附件</w:t>
      </w:r>
      <w:r>
        <w:rPr>
          <w:rFonts w:hint="eastAsia" w:ascii="Times New Roman" w:hAnsi="Times New Roman" w:eastAsia="黑体" w:cs="宋体"/>
          <w:bCs/>
          <w:spacing w:val="-2"/>
          <w:sz w:val="28"/>
          <w:szCs w:val="21"/>
          <w:highlight w:val="none"/>
          <w:lang w:val="en-US" w:eastAsia="zh-CN"/>
        </w:rPr>
        <w:t xml:space="preserve">三</w:t>
      </w:r>
      <w:r>
        <w:rPr>
          <w:rFonts w:hint="eastAsia" w:ascii="Times New Roman" w:hAnsi="Times New Roman" w:eastAsia="黑体" w:cs="宋体"/>
          <w:bCs/>
          <w:spacing w:val="-2"/>
          <w:sz w:val="28"/>
          <w:szCs w:val="21"/>
          <w:highlight w:val="none"/>
        </w:rPr>
        <w:t xml:space="preserve">：安全生产和环境保护规范</w:t>
      </w:r>
      <w:r/>
    </w:p>
    <w:p>
      <w:pPr>
        <w:pStyle w:val="901"/>
        <w:ind w:firstLine="480"/>
        <w:jc w:val="both"/>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乙</w:t>
      </w:r>
      <w:r>
        <w:rPr>
          <w:rFonts w:hint="eastAsia" w:ascii="Times New Roman" w:hAnsi="Times New Roman" w:eastAsia="宋体" w:cs="Times New Roman"/>
          <w:sz w:val="24"/>
          <w:szCs w:val="24"/>
          <w:highlight w:val="none"/>
        </w:rPr>
        <w:t xml:space="preserve">方将保持实施现场良好的作业环境、卫生环境和工作秩序。文明实施主要包括：规范实施现场的场容，保持作业环境的整洁卫生；科学组织实施，使生产有序进行；减少实施对周围居民和环境的影响；遵守施工现场文明施工的规定和要求，保证实施人员的安全和身体健康等。我方将遵守安全生产的有关管理规定，严格按照安全标准组织实施，采取必要的安全防护措施，消除隐患。在实施过程中由于我方管理或安全措施不力造成周边环境破坏或事故责任和因此发生的费用，由</w:t>
      </w:r>
      <w:r>
        <w:rPr>
          <w:rFonts w:hint="eastAsia" w:ascii="Times New Roman" w:hAnsi="Times New Roman" w:eastAsia="宋体" w:cs="Times New Roman"/>
          <w:sz w:val="24"/>
          <w:szCs w:val="24"/>
          <w:highlight w:val="none"/>
          <w:lang w:val="en-US" w:eastAsia="zh-CN"/>
        </w:rPr>
        <w:t xml:space="preserve">乙</w:t>
      </w:r>
      <w:r>
        <w:rPr>
          <w:rFonts w:hint="eastAsia" w:ascii="Times New Roman" w:hAnsi="Times New Roman" w:eastAsia="宋体" w:cs="Times New Roman"/>
          <w:sz w:val="24"/>
          <w:szCs w:val="24"/>
          <w:highlight w:val="none"/>
        </w:rPr>
        <w:t xml:space="preserve">方承担。</w:t>
      </w:r>
      <w:r>
        <w:rPr>
          <w:rFonts w:hint="eastAsia" w:ascii="Times New Roman" w:hAnsi="Times New Roman" w:eastAsia="宋体" w:cs="Times New Roman"/>
          <w:sz w:val="24"/>
          <w:szCs w:val="24"/>
          <w:highlight w:val="none"/>
          <w:lang w:val="en-US" w:eastAsia="zh-CN"/>
        </w:rPr>
        <w:t xml:space="preserve">乙</w:t>
      </w:r>
      <w:r>
        <w:rPr>
          <w:rFonts w:hint="eastAsia" w:ascii="Times New Roman" w:hAnsi="Times New Roman" w:eastAsia="宋体" w:cs="Times New Roman"/>
          <w:sz w:val="24"/>
          <w:szCs w:val="24"/>
          <w:highlight w:val="none"/>
        </w:rPr>
        <w:t xml:space="preserve">方负责进入现场实施人员及财物安全，发生任何伤亡事故与采购人无关，</w:t>
      </w:r>
      <w:r>
        <w:rPr>
          <w:rFonts w:hint="eastAsia" w:ascii="Times New Roman" w:hAnsi="Times New Roman" w:eastAsia="宋体" w:cs="Times New Roman"/>
          <w:sz w:val="24"/>
          <w:szCs w:val="24"/>
          <w:highlight w:val="none"/>
          <w:lang w:val="en-US" w:eastAsia="zh-CN"/>
        </w:rPr>
        <w:t xml:space="preserve">乙</w:t>
      </w:r>
      <w:r>
        <w:rPr>
          <w:rFonts w:hint="eastAsia" w:ascii="Times New Roman" w:hAnsi="Times New Roman" w:eastAsia="宋体" w:cs="Times New Roman"/>
          <w:sz w:val="24"/>
          <w:szCs w:val="24"/>
          <w:highlight w:val="none"/>
        </w:rPr>
        <w:t xml:space="preserve">方自行解决并承担相应的法律责任和财产损失。如因实施导致第三人人身、财产损失由我方承担赔偿责任。</w:t>
      </w:r>
      <w:r/>
    </w:p>
    <w:p>
      <w:pPr>
        <w:ind w:firstLine="482"/>
        <w:rPr>
          <w:rFonts w:hint="default" w:ascii="Times New Roman" w:hAnsi="Times New Roman" w:eastAsia="宋体" w:cs="Times New Roman"/>
          <w:b/>
          <w:bCs/>
          <w:sz w:val="24"/>
          <w:szCs w:val="22"/>
          <w:highlight w:val="none"/>
        </w:rPr>
      </w:pPr>
      <w:r>
        <w:rPr>
          <w:rFonts w:hint="eastAsia" w:ascii="Times New Roman" w:hAnsi="Times New Roman" w:eastAsia="宋体" w:cs="Times New Roman"/>
          <w:b/>
          <w:bCs/>
          <w:sz w:val="24"/>
          <w:szCs w:val="21"/>
          <w:highlight w:val="none"/>
        </w:rPr>
        <w:t xml:space="preserve">（一）安全施工措施</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文明施工，是现代施工的一个重要标志。文明施工就是要通过对施工现场中的质量、安全、设备、卫生、环保、材料等各个方面的管理，创造良好的施工环境和施工秩序，促进安全生产、加快施工进度、保证工程质量、降低工程成本，文明施工，贯穿于施工全过程之中，是企业各项管理在施工现场的综合反映。</w:t>
      </w:r>
      <w:r/>
    </w:p>
    <w:p>
      <w:pPr>
        <w:ind w:firstLine="482"/>
        <w:rPr>
          <w:rFonts w:hint="default" w:ascii="Times New Roman" w:hAnsi="Times New Roman" w:eastAsia="宋体" w:cs="Times New Roman"/>
          <w:b/>
          <w:bCs/>
          <w:sz w:val="24"/>
          <w:szCs w:val="21"/>
          <w:highlight w:val="none"/>
        </w:rPr>
      </w:pPr>
      <w:r>
        <w:rPr>
          <w:rFonts w:hint="eastAsia" w:ascii="Times New Roman" w:hAnsi="Times New Roman" w:eastAsia="宋体" w:cs="Times New Roman"/>
          <w:b/>
          <w:bCs/>
          <w:sz w:val="24"/>
          <w:szCs w:val="21"/>
          <w:highlight w:val="none"/>
        </w:rPr>
        <w:t xml:space="preserve">（二）安全防护</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在工程施工、竣工、交付及修补任何缺陷的过程中，始终遵守国家和地方有关安全生产的法律、法规、规范、标准和规程等。</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坚持“安全第一，预防为主”的方针，建立、健全安全生产责任制度和安全生产教育培训制度，在整个工程施工期间，在施工场地(现场)设立、提供和维护并在有关工作完成或竣工后撤除；</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(1)设立在现场入口显著位置的现场施工总平面图、总平面管理、安全生产、文明施工、环境保护、质量控制、材料管理等的规章制度和主要参建单位名称和工程概况等说明的图版；</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(2)为确保工程安全施工设立的足够的标志、宣传画、标语、指示牌、警告牌、火警、匪警和急救电话提示牌等；</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(3)洞口和临边位置的安全防护设施，包括护身栏杆、脚手架、洞口盖板和加筋、竖井防护栏杆、防护棚、防护网、坡道等等；</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(4)安全带、安全绳、安全帽、安全网、绝缘鞋、绝缘手套、防护口罩和防护衣等安全生产用品；</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(5)所有机械设备包括各类电动工具的安全保护和接地装置和操作说明；</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(6)装备良好的临时急救站和配备称职的医护人员；</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(7)主要作业场所和临时安全疏散通道24小时36伏安全照明和必要的警示等以防止各种可能的事故；</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(8)足够数量和合格的手提灭火器；</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(9)装备良好的易燃易爆物品仓库和相应的使用管理制度；</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(10)对涉及明火施工的工作制定诸如用火证等的管理制度。</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安全文明施工费用专款专用，对由于安全文明施工费用和施工安全措施不到位而发生的安全事故承担全部责任。</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建立专门的施工场地(现场)安全生产管理机构，配备足够数量的和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项目经理和专职安全生产管理人员均具备有效的安全生产考核合格证书。</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遵照有关法规要求，编印安全防护手册发给进场施工人员，做好进场施工人员上岗前的安全教育和培训工作，并建立考核制度，只有考核合格的人员才能进场施工作业。特种作业人员经过专门的安全作业培训，并取得特种作业操作资格证书后方可上岗。在任何分部分项工程开始施工前，有关安全施工的技术要求向施工作业班组和作业人员等进行安全交底，双方签字确认。</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进场施工人员配备必须的安全防护设施和设备，为施工场地(现场)领进地区的所有者和占有者、公众和其他人员，提供一切必要的临时道路、人行道、防护棚、围栏及警告等。以确保财产和人身安全以及最大程度地降低施工可能造成，的不便。</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在施工场地(现场)入口处、施工起重机械、临时用电设备、脚手架、出入通道口、楼梯口、电梯井口、孔洞口、隧道口、基坑边缘、危险品存放处等危险部位设置一切必需的安全警示标志，包括标准道路标志、报警标志、危险标志、控制标志、安全标志、指示标志、警告标志等，并配备必要的照明、防护和看守。按监理人的指示，经常补充或更换失效的警示和标志。</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对施工场地(现场)内由其提供并安装的所有提升架、外用电梯和塔吊等垂直和水平运输机械安全围护，包括卸料平台门的安全开关、警示铃和警示灯，卸料平台的护身栏杆，脚手架和安全网等等；所有的机械设备设置安全操作防护罩，并在醒目位置张挂详细的安全操作要点等。</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对所有用于提升的挂钩、挂环、钢丝绳、铁扁担等进行定期检测、检查和标定；如果监理人认为，任何此类设施已经损坏或有使用不当之处，我方立即以合格的产品进行更换；所有垂直和水平运输机的搭设、顶升、使用和拆除严格依照现行有关法规、规章、规范、标准和规程等的要求。</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所有机械和工器具定期保养、校核和维护，保证处于良好和安全的工作状态。保养、校核和维护工作尽可能安排在非工作时间进行，并为上述机械和工器具准备足够的备用配件，以确保工程的施工能不间断地进行。</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在永久工程和施工边坡、建筑物基坑、地下洞室等的开挖过程中，根据其施工安全的需要和(或)监理人指示，安装必要的施工安全监测仪器，及时进行必要的施工安全监测，并定期将安全监测成果提交监理人，以防止引起任何沉降、变形或其他影响正常施工进度的损害。</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对任何施工中的永久工程进行必要的支撑或临时加固。除非已获得监理人书面许可并按要求进行了必要的加固或支撑，不在任何已完成的永久性结构上堆放超过设计允许荷载的任何材料、物品或设备。在任何情况下，对其任何上述超载行为引起的后果负责，并承担相应的修缮费用。</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成立应急救援小组，配备必要的应急救援器材和设备，制定灾害和生产安全事故的应急救援预案，并将应急救援预案报送监理人，应急救援预案能随时组织应救专职人员、并定期组织演练。</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施工过程中需要使用爆破或带炸药的工具等危险性施工方法时，应提前通知监理人。经监理人批准后，依照有关法律、法规、规章以及政府有关主管机构制定的规范性文件等规定，向有关机构提出申请并获得相关许可，严格依照上述规定使用、储藏、管理爆破物品或带炸药的工具等，并负责由于这类物品的使用可能引起的任何损失或损害的赔偿。任何情况下，不得在已完永久性工程中和空心砌体中使用爆破方法。</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基坑支护与降水工程、土方开挖工程、模板工程、起重吊装工程、脚手架工程、拆除工程和爆破工程等达到一定规模和危险性较大的分部分项工程，当编制专项施工方案，其中深基坑、地下暗挖和高大模板工程的专项施工方案，组织专家进行论证和审查。</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发生施工安全事故后，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根据有关法律、法规、规定和条例等的要求。制定一套安全生产应急措施和程序，保证一旦出现任何安全事故，能立即保护好现场，抢救伤员和财产，保证施工生产和正常进行，防止损失扩大。</w:t>
      </w:r>
      <w:r/>
    </w:p>
    <w:p>
      <w:pPr>
        <w:pStyle w:val="901"/>
        <w:ind w:firstLine="482"/>
        <w:spacing w:line="360" w:lineRule="auto"/>
        <w:rPr>
          <w:rFonts w:hint="default"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（三）临时消防</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建立消防安全责任制度，制度用火、用电和使用易燃易爆等危险品的消防安全管理制度和操作规程。各项制度和规程等应满足相关法律法规和政府消防管理机构的要求。</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根据相关法律法规和消防管理部门的要求，为施工中</w:t>
      </w:r>
      <w:r>
        <w:rPr>
          <w:rFonts w:hint="eastAsia" w:ascii="Times New Roman" w:hAnsi="Times New Roman" w:eastAsia="宋体" w:cs="Times New Roman"/>
          <w:sz w:val="24"/>
          <w:szCs w:val="24"/>
          <w:highlight w:val="none"/>
        </w:rPr>
        <w:t xml:space="preserve">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满足消防任务的需要，始终保持能够随时投入正常使用的状态，并设立明显标志。临时消防系统和配置分别经过监理人和消防管理部门的审批和验收；自费获得消防管理部门的临时消防证书。所有的临时消防设施属于承包人所有，至工程实际竣工时且永久性消防系统投入使用后从现场拆除。</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成立由项目主要负责人担任组长的临时消防组或消防队，宣传消防基本知识和基本操作培训，组织消防演练，保证一旦发生火灾，能够组织有效的自救，保护生命和财产安全。</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施工场地(现场)内的易燃、易爆物品单独和安全地存放，设专人进行存放和领用管理。施工场地(现场)储有或正在使用易燃、易爆或可燃材料时或有明火施工的工序，实现严格的“用火证”管理制度。</w:t>
      </w:r>
      <w:r/>
    </w:p>
    <w:p>
      <w:pPr>
        <w:pStyle w:val="901"/>
        <w:ind w:firstLine="482"/>
        <w:spacing w:line="360" w:lineRule="auto"/>
        <w:rPr>
          <w:rFonts w:hint="default"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（四）临时供电</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根据《施工现场临时用电安全技术规范》(JGJ46-2005) 及其适用的修订版本的规定和施工要求编制施工临时用电方案。临时用电方案及其变更必须履行“编制、审核、批准”程序。施工临时用电方案由电气工程技术人员组织编制,经企业技术负责人批准后实施，经编制、审核、批准部门]和使用单位共同验收合格后方投入使用。</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临时供电系统的电缆、电线、配电箱、控制柜、开关箱、漏电保护器等材料设备均具有生产(制造)许可证、产品合格证并经过检验合格的产品。临时用电采用三相五线制、三级配电和两极漏电保护供电，三相四线制配电的电缆线路采用五芯电缆，按规定设立零线和接地线。电缆和电线的铺设要符合安全用电标准要求，电缆线路采用埋地或架空敷设，严禁沿地面明设，并避免机械损伤和介质腐蚀。埋地电缆路径设方位标志，各种配电设备均设有防止漏电和防雨防水设施。</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在施工作业区、施工道路、临时设施、办公区和生活区设置足够的照明，地下工程照明系统的电压不得高于36V，在潮湿和易触及带电体场所的照明供电电压不大于24V。不便于使用电器照明的工作面用采用特殊照明设施。</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凡可能漏电伤人或易受雷击的电器及建筑物均设置接地和避雷装置。负责避雷装置的采购、安装、管理和维修，并建立定期检查制度。进场前双方签订施工用电协议书，严格按协议要求执行。</w:t>
      </w:r>
      <w:r/>
    </w:p>
    <w:p>
      <w:pPr>
        <w:pStyle w:val="901"/>
        <w:ind w:firstLine="482"/>
        <w:spacing w:line="360" w:lineRule="auto"/>
        <w:rPr>
          <w:rFonts w:hint="default"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（五）劳动保护</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遵守所有适用于本合同的劳动法规及其他有关法律、法规、规章和规定中关于个人工资标准、劳动时间和劳动条件的规定，合理安排现场作业人员的劳动和休息时间，保障劳动者必须的休息时间，支付合理的报酬和费用。按有关行政管理部门的规定为本合同下雇佣的职员和工人办理任何必要的证件、许可、保险和注册等。</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按照国家《劳动保护法》的规定，保障现场施工人员的劳动安全。为本合同下雇佣的职员和工人提供适当和充分的劳动保护，包括安全防护、防寒、防雨、防尘、绝缘保护、常用药品、急救设备、传染病预防等。</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为履行本合同所雇佣的职员和工人提供和维护任何必要的膳宿条件和生活环境，包括宿舍、围栏、供水(饮用及其他目的用水)、供电、卫生设备、食堂及炊具、防火及灭火设备、供热、家具及其他正常膳宿条件和生活环境所需的必需品，并考虑宗教和民族习惯。</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为现场工人提供符合政府卫生规定的生活条件并获得必要的许可，保证工人的健康和防止任何传染病，包括工人的食堂、厕所、工具房、宿舍等；聘请专业的卫生防疫部门定期对现场、工人生活基地和工程进行防疫和卫生的专业检查和处理，包括消灭白蚁、鼠害、蚊蝇和其它害虫，以防对施工人员、现场和永久工程造成任何危害。</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在现场设立专门的临时医疗站，配备足够的设施、药物和称职的医务人员，应准备急救担架，用于一旦发生安全事故时对受伤人员的急救。</w:t>
      </w:r>
      <w:r/>
    </w:p>
    <w:p>
      <w:pPr>
        <w:pStyle w:val="901"/>
        <w:ind w:firstLine="482"/>
        <w:spacing w:line="360" w:lineRule="auto"/>
        <w:rPr>
          <w:rFonts w:hint="default"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（六）脚手架</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搭设并维护一切必要的临时脚手架、挑平台并配以脚手板、安全网、护身栏杆、门架、马道、坡道、爬梯等等。脚手架和挑平台的搭设满足有关安全生产的法律、法规、规范、标准和规程等要求。新搭设的脚手架投入使用前，组织安全检查和验收，并对使用脚手架的作业人员进行安全交底。</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所有脚手架，尤其是大型、负责、高耸和非常规脚手架，要编制专项施工方案，当经过安全验算，脚手架安全验算结果必须报送监理人核查后方可实施。</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搭设爬架、挂架、超高脚手架等特种或新型脚手架时，确保此类脚手架的安全性和保证此类脚手架已经过有关行政管理部门允许使用的批准，并承担与此有关的一切费用。</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加强脚手架的日常安全巡查，及时对其中的安全隐患进行整改，确保脚手架使用安全。雨、雪、雾、霜和大风等天气后，对脚手架进行安全巡查，并及时消除安全隐患。</w:t>
      </w:r>
      <w:r/>
    </w:p>
    <w:p>
      <w:pPr>
        <w:pStyle w:val="901"/>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允许发包人、监理人和有关行政管理部门或者机构免费使用在现场搭设的任何已有脚手架，并就其安全使用做必要交底说明。在拆除任何脚手架前，应书面请示监理人将要拆除的脚手架是否为发包人、监理人和政府有关机构所需，只有在获得监理人书面批准后，才能拆除相关脚手架，否则我方自费重新搭设。</w:t>
      </w:r>
      <w:r/>
    </w:p>
    <w:p>
      <w:pPr>
        <w:jc w:val="left"/>
        <w:spacing w:before="100" w:after="100"/>
        <w:rPr>
          <w:rFonts w:hint="default" w:ascii="Times New Roman" w:hAnsi="Times New Roman" w:eastAsia="黑体" w:cs="宋体"/>
          <w:bCs/>
          <w:spacing w:val="-2"/>
          <w:sz w:val="28"/>
          <w:szCs w:val="21"/>
          <w:highlight w:val="none"/>
        </w:rPr>
        <w:outlineLvl w:val="0"/>
      </w:pPr>
      <w:r>
        <w:rPr>
          <w:rFonts w:hint="eastAsia" w:ascii="Times New Roman" w:hAnsi="Times New Roman" w:eastAsia="黑体" w:cs="宋体"/>
          <w:bCs/>
          <w:spacing w:val="-2"/>
          <w:sz w:val="28"/>
          <w:szCs w:val="21"/>
          <w:highlight w:val="none"/>
        </w:rPr>
        <w:t xml:space="preserve">附件</w:t>
      </w:r>
      <w:r>
        <w:rPr>
          <w:rFonts w:hint="eastAsia" w:ascii="Times New Roman" w:hAnsi="Times New Roman" w:eastAsia="黑体" w:cs="宋体"/>
          <w:bCs/>
          <w:spacing w:val="-2"/>
          <w:sz w:val="28"/>
          <w:szCs w:val="21"/>
          <w:highlight w:val="none"/>
          <w:lang w:val="en-US" w:eastAsia="zh-CN"/>
        </w:rPr>
        <w:t xml:space="preserve">四</w:t>
      </w:r>
      <w:r>
        <w:rPr>
          <w:rFonts w:hint="eastAsia" w:ascii="Times New Roman" w:hAnsi="Times New Roman" w:eastAsia="黑体" w:cs="宋体"/>
          <w:bCs/>
          <w:spacing w:val="-2"/>
          <w:sz w:val="28"/>
          <w:szCs w:val="21"/>
          <w:highlight w:val="none"/>
        </w:rPr>
        <w:t xml:space="preserve">：廉洁协议书</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为了积极配合贵单位的相关工作，有效遏制不公平竞争和违规违纪问题的发生，确保相关工作的公平、公正、公开，我们保证认真贯彻《中华人民共和国民法典》、《招投标法》等相关规定以及相关廉洁要求，特向贵单位承诺如下事项：</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1、自觉遵守国家法律法规及有关廉政建设制度。</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2、主动了解贵单位相关纪律，积极配合贵单位执行廉政建设的有关规定。</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3、不使用不正当手段，严格按照招标文件的规定履行合同。</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4、不以任何方式向甲方赠送礼品、礼金及有价证券；不宴请或邀请甲方的任何人参加高档娱乐消费、旅游、考察、参观等活动;不以任何形式报销甲方的任何，人以及亲友的各种票据及费用；不进行可能影响合同履约公平、公正的任何活动。</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5、不向涉及甲方单位及个人购置或提供通讯工具、交通工具和高档办公用品等。</w:t>
      </w:r>
      <w:r/>
    </w:p>
    <w:p>
      <w:pPr>
        <w:ind w:firstLine="480"/>
        <w:spacing w:line="360" w:lineRule="auto"/>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 xml:space="preserve">6</w:t>
      </w:r>
      <w:r>
        <w:rPr>
          <w:rFonts w:hint="eastAsia" w:ascii="Times New Roman" w:hAnsi="Times New Roman" w:eastAsia="宋体" w:cs="Times New Roman"/>
          <w:sz w:val="24"/>
          <w:szCs w:val="21"/>
          <w:highlight w:val="none"/>
        </w:rPr>
        <w:t xml:space="preserve">、不向涉及甲方单位及个人的配偶、子女、亲属分包此项目。</w:t>
      </w:r>
      <w:r/>
    </w:p>
    <w:p>
      <w:pPr>
        <w:ind w:firstLine="480"/>
        <w:spacing w:line="360" w:lineRule="auto"/>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 xml:space="preserve">7</w:t>
      </w:r>
      <w:r>
        <w:rPr>
          <w:rFonts w:hint="eastAsia" w:ascii="Times New Roman" w:hAnsi="Times New Roman" w:eastAsia="宋体" w:cs="Times New Roman"/>
          <w:sz w:val="24"/>
          <w:szCs w:val="21"/>
          <w:highlight w:val="none"/>
        </w:rPr>
        <w:t xml:space="preserve">、不向涉及甲方单位及个人支付好处费、介绍费。</w:t>
      </w:r>
      <w:r/>
    </w:p>
    <w:p>
      <w:pPr>
        <w:ind w:firstLine="480"/>
        <w:spacing w:line="360" w:lineRule="auto"/>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 xml:space="preserve">8</w:t>
      </w:r>
      <w:r>
        <w:rPr>
          <w:rFonts w:hint="eastAsia" w:ascii="Times New Roman" w:hAnsi="Times New Roman" w:eastAsia="宋体" w:cs="Times New Roman"/>
          <w:sz w:val="24"/>
          <w:szCs w:val="21"/>
          <w:highlight w:val="none"/>
        </w:rPr>
        <w:t xml:space="preserve">、一旦发现相关人员在合同履约过程中有索要财物等不廉洁行为，坚决予</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以抵制，并及时向贵单位纪检监察室举报。</w:t>
      </w:r>
      <w:r/>
    </w:p>
    <w:p>
      <w:pPr>
        <w:ind w:firstLine="480"/>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我们若违反上述承诺，愿接收贵单位的处理。</w:t>
      </w:r>
      <w:r/>
    </w:p>
    <w:p>
      <w:pPr>
        <w:ind w:firstLine="480"/>
        <w:spacing w:line="360" w:lineRule="auto"/>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p>
      <w:pPr>
        <w:ind w:right="840" w:firstLine="480"/>
        <w:jc w:val="right"/>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乙方：            （公章）</w:t>
      </w:r>
      <w:r/>
    </w:p>
    <w:p>
      <w:pPr>
        <w:ind w:right="840"/>
        <w:jc w:val="right"/>
        <w:spacing w:line="360" w:lineRule="auto"/>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年 </w:t>
      </w:r>
      <w:r>
        <w:rPr>
          <w:rFonts w:hint="default" w:ascii="Times New Roman" w:hAnsi="Times New Roman" w:eastAsia="宋体" w:cs="Times New Roman"/>
          <w:sz w:val="24"/>
          <w:szCs w:val="21"/>
          <w:highlight w:val="none"/>
        </w:rPr>
        <w:t xml:space="preserve"> </w:t>
      </w:r>
      <w:r>
        <w:rPr>
          <w:rFonts w:hint="eastAsia" w:ascii="Times New Roman" w:hAnsi="Times New Roman" w:eastAsia="宋体" w:cs="Times New Roman"/>
          <w:sz w:val="24"/>
          <w:szCs w:val="21"/>
          <w:highlight w:val="none"/>
        </w:rPr>
        <w:t xml:space="preserve">月 </w:t>
      </w:r>
      <w:r>
        <w:rPr>
          <w:rFonts w:hint="default" w:ascii="Times New Roman" w:hAnsi="Times New Roman" w:eastAsia="宋体" w:cs="Times New Roman"/>
          <w:sz w:val="24"/>
          <w:szCs w:val="21"/>
          <w:highlight w:val="none"/>
        </w:rPr>
        <w:t xml:space="preserve"> </w:t>
      </w:r>
      <w:r>
        <w:rPr>
          <w:rFonts w:hint="eastAsia" w:ascii="Times New Roman" w:hAnsi="Times New Roman" w:eastAsia="宋体" w:cs="Times New Roman"/>
          <w:sz w:val="24"/>
          <w:szCs w:val="21"/>
          <w:highlight w:val="none"/>
        </w:rPr>
        <w:t xml:space="preserve">日</w:t>
      </w:r>
      <w:r/>
    </w:p>
    <w:p>
      <w:pPr>
        <w:pStyle w:val="1324"/>
        <w:rPr>
          <w:rFonts w:hint="default" w:ascii="Times New Roman" w:hAnsi="Times New Roman"/>
          <w:highlight w:val="none"/>
        </w:rPr>
      </w:pPr>
      <w:r>
        <w:rPr>
          <w:rFonts w:hint="default" w:ascii="Times New Roman" w:hAnsi="Times New Roman"/>
          <w:highlight w:val="none"/>
        </w:rPr>
      </w:r>
      <w:r/>
    </w:p>
    <w:p>
      <w:pPr>
        <w:ind w:firstLine="480"/>
        <w:jc w:val="center"/>
        <w:spacing w:line="360" w:lineRule="auto"/>
        <w:widowControl/>
        <w:rPr>
          <w:b/>
          <w:color w:val="000000"/>
          <w:sz w:val="36"/>
          <w:szCs w:val="36"/>
          <w:highlight w:val="none"/>
        </w:rPr>
      </w:pPr>
      <w:r>
        <w:rPr>
          <w:b/>
          <w:color w:val="000000"/>
          <w:sz w:val="36"/>
          <w:szCs w:val="36"/>
          <w:highlight w:val="none"/>
        </w:rPr>
        <w:br w:type="page" w:clear="all"/>
      </w:r>
      <w:bookmarkStart w:id="1192"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p>
    <w:tbl>
      <w:tblPr>
        <w:tblStyle w:val="887"/>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color w:val="000000"/>
                <w:szCs w:val="21"/>
                <w:highlight w:val="none"/>
              </w:rPr>
            </w:pPr>
            <w:r/>
            <w:bookmarkStart w:id="1193" w:name="_Hlk152937762"/>
            <w:r>
              <w:rPr>
                <w:rFonts w:hint="eastAsia" w:ascii="宋体" w:hAnsi="宋体" w:cs="宋体"/>
                <w:b/>
                <w:color w:val="000000"/>
                <w:szCs w:val="21"/>
                <w:highlight w:val="none"/>
                <w:lang w:bidi="ar"/>
              </w:rPr>
              <w:t xml:space="preserve">名称</w:t>
            </w:r>
            <w:r/>
          </w:p>
        </w:tc>
        <w:tc>
          <w:tcPr>
            <w:tcW w:w="2502"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p>
        </w:tc>
        <w:tc>
          <w:tcPr>
            <w:tcW w:w="6043"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p>
        </w:tc>
      </w:tr>
      <w:tr>
        <w:trPr>
          <w:trHeight w:val="31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p>
        </w:tc>
        <w:tc>
          <w:tcPr>
            <w:tcW w:w="604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*报价符合性审查</w:t>
            </w:r>
            <w:r/>
          </w:p>
        </w:tc>
      </w:tr>
      <w:tr>
        <w:trPr>
          <w:trHeight w:val="9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*技术偏离表</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p>
        </w:tc>
      </w:tr>
      <w:tr>
        <w:trP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p>
        </w:tc>
        <w:tc>
          <w:tcPr>
            <w:tcW w:w="6043" w:type="dxa"/>
            <w:vAlign w:val="top"/>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p>
        </w:tc>
        <w:tc>
          <w:tcPr>
            <w:tcW w:w="6043"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p>
        </w:tc>
      </w:tr>
      <w:tr>
        <w:trPr/>
        <w:tc>
          <w:tcPr>
            <w:tcW w:w="1150" w:type="dxa"/>
            <w:vAlign w:val="center"/>
            <w:textDirection w:val="lrTb"/>
            <w:noWrap w:val="false"/>
          </w:tcPr>
          <w:p>
            <w:pPr>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p>
          <w:p>
            <w:pPr>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bookmarkEnd w:id="1193"/>
            <w:r/>
            <w:r/>
          </w:p>
        </w:tc>
      </w:tr>
    </w:tbl>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1192"/>
      <w:r/>
      <w:r/>
    </w:p>
    <w:p>
      <w:pPr>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jc w:val="left"/>
        <w:widowControl/>
        <w:rPr>
          <w:color w:val="000000"/>
          <w:sz w:val="24"/>
          <w:highlight w:val="none"/>
        </w:rPr>
      </w:pPr>
      <w:r>
        <w:rPr>
          <w:color w:val="000000"/>
          <w:sz w:val="24"/>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ind w:firstLine="2529"/>
        <w:rPr>
          <w:rFonts w:hint="eastAsia"/>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r>
      <w:r/>
    </w:p>
    <w:p>
      <w:pPr>
        <w:jc w:val="center"/>
        <w:rPr>
          <w:b/>
          <w:color w:val="000000"/>
          <w:spacing w:val="60"/>
          <w:sz w:val="84"/>
          <w:szCs w:val="84"/>
          <w:highlight w:val="none"/>
        </w:rPr>
      </w:pPr>
      <w:r>
        <w:rPr>
          <w:b/>
          <w:color w:val="000000"/>
          <w:spacing w:val="60"/>
          <w:sz w:val="84"/>
          <w:szCs w:val="84"/>
          <w:highlight w:val="none"/>
        </w:rPr>
        <w:t xml:space="preserve">投 标 文 件</w:t>
      </w:r>
      <w:r/>
    </w:p>
    <w:p>
      <w:pPr>
        <w:ind w:firstLine="963"/>
        <w:rPr>
          <w:rFonts w:hint="eastAsia"/>
          <w:b/>
          <w:color w:val="000000"/>
          <w:spacing w:val="60"/>
          <w:sz w:val="52"/>
          <w:szCs w:val="52"/>
          <w:highlight w:val="none"/>
        </w:rPr>
      </w:pPr>
      <w:r>
        <w:rPr>
          <w:rFonts w:hint="eastAsia"/>
          <w:b/>
          <w:color w:val="000000"/>
          <w:spacing w:val="60"/>
          <w:sz w:val="52"/>
          <w:szCs w:val="52"/>
          <w:highlight w:val="none"/>
        </w:rPr>
      </w:r>
      <w:r/>
    </w:p>
    <w:p>
      <w:pPr>
        <w:ind w:firstLine="963"/>
        <w:rPr>
          <w:b/>
          <w:color w:val="000000"/>
          <w:spacing w:val="60"/>
          <w:sz w:val="52"/>
          <w:szCs w:val="52"/>
          <w:highlight w:val="none"/>
        </w:rPr>
      </w:pPr>
      <w:r>
        <w:rPr>
          <w:b/>
          <w:color w:val="000000"/>
          <w:spacing w:val="60"/>
          <w:sz w:val="52"/>
          <w:szCs w:val="52"/>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446"/>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446"/>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ind w:firstLine="1806"/>
        <w:rPr>
          <w:rFonts w:hint="eastAsia"/>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p>
    <w:p>
      <w:pPr>
        <w:pStyle w:val="889"/>
        <w:ind w:firstLine="482"/>
        <w:spacing w:line="360" w:lineRule="auto"/>
        <w:rPr>
          <w:rFonts w:hint="eastAsia"/>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b/>
          <w:bCs w:val="0"/>
          <w:color w:val="000000"/>
          <w:spacing w:val="20"/>
          <w:sz w:val="32"/>
          <w:szCs w:val="32"/>
          <w:highlight w:val="none"/>
        </w:rPr>
        <w:outlineLvl w:val="0"/>
      </w:pPr>
      <w:r>
        <w:rPr>
          <w:rFonts w:hint="eastAsia"/>
          <w:b/>
          <w:bCs w:val="0"/>
          <w:color w:val="000000"/>
          <w:spacing w:val="20"/>
          <w:sz w:val="32"/>
          <w:szCs w:val="32"/>
          <w:highlight w:val="none"/>
        </w:rPr>
        <w:t xml:space="preserve">三、报价明细表</w:t>
      </w:r>
      <w:r>
        <w:rPr>
          <w:b/>
          <w:bCs w:val="0"/>
          <w:color w:val="000000"/>
          <w:spacing w:val="20"/>
          <w:sz w:val="32"/>
          <w:szCs w:val="32"/>
          <w:highlight w:val="none"/>
        </w:rPr>
        <w:t xml:space="preserve">（实质性格式）</w:t>
      </w:r>
      <w:r/>
    </w:p>
    <w:p>
      <w:pPr>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t xml:space="preserve">项目编号/包号：___________ 项目名称：__________报价单位：</w:t>
      </w:r>
      <w:r>
        <w:rPr>
          <w:rFonts w:hint="eastAsia" w:ascii="宋体" w:hAnsi="宋体" w:cs="Times New Roman"/>
          <w:sz w:val="24"/>
          <w:highlight w:val="none"/>
          <w:lang w:val="en-US" w:eastAsia="zh-CN"/>
        </w:rPr>
        <w:t xml:space="preserve">元</w:t>
      </w:r>
      <w:r/>
    </w:p>
    <w:tbl>
      <w:tblPr>
        <w:tblStyle w:val="913"/>
        <w:tblW w:w="102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2167"/>
        <w:gridCol w:w="1686"/>
        <w:gridCol w:w="1414"/>
        <w:gridCol w:w="1932"/>
        <w:gridCol w:w="2222"/>
      </w:tblGrid>
      <w:tr>
        <w:trPr>
          <w:jc w:val="center"/>
        </w:trPr>
        <w:tc>
          <w:tcPr>
            <w:tcW w:w="780"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序号</w:t>
            </w:r>
            <w:r/>
          </w:p>
        </w:tc>
        <w:tc>
          <w:tcPr>
            <w:tcW w:w="2167"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项目内容</w:t>
            </w:r>
            <w:r/>
          </w:p>
        </w:tc>
        <w:tc>
          <w:tcPr>
            <w:tcW w:w="1686"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每年费用（元）</w:t>
            </w:r>
            <w:r/>
          </w:p>
        </w:tc>
        <w:tc>
          <w:tcPr>
            <w:tcW w:w="1414"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期限（年）</w:t>
            </w:r>
            <w:r/>
          </w:p>
        </w:tc>
        <w:tc>
          <w:tcPr>
            <w:tcW w:w="1932"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10年期总费用（元）</w:t>
            </w:r>
            <w:r/>
          </w:p>
        </w:tc>
        <w:tc>
          <w:tcPr>
            <w:tcW w:w="2222"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备注</w:t>
            </w:r>
            <w:r/>
          </w:p>
        </w:tc>
      </w:tr>
      <w:tr>
        <w:trPr>
          <w:jc w:val="center"/>
          <w:trHeight w:val="1508"/>
        </w:trPr>
        <w:tc>
          <w:tcPr>
            <w:tcW w:w="780"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1</w:t>
            </w:r>
            <w:r/>
          </w:p>
        </w:tc>
        <w:tc>
          <w:tcPr>
            <w:tcW w:w="2167"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能源托管费用</w:t>
            </w:r>
            <w:r/>
          </w:p>
        </w:tc>
        <w:tc>
          <w:tcPr>
            <w:tcW w:w="1686"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ascii="宋体" w:hAnsi="宋体" w:eastAsia="宋体" w:cs="宋体"/>
                <w:sz w:val="20"/>
                <w:szCs w:val="20"/>
                <w:highlight w:val="none"/>
              </w:rPr>
            </w:r>
            <w:r/>
          </w:p>
        </w:tc>
        <w:tc>
          <w:tcPr>
            <w:tcW w:w="1414"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10</w:t>
            </w:r>
            <w:r/>
          </w:p>
        </w:tc>
        <w:tc>
          <w:tcPr>
            <w:tcW w:w="1932"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ascii="宋体" w:hAnsi="宋体" w:eastAsia="宋体" w:cs="宋体"/>
                <w:sz w:val="20"/>
                <w:szCs w:val="20"/>
                <w:highlight w:val="none"/>
              </w:rPr>
            </w:r>
            <w:r/>
          </w:p>
        </w:tc>
        <w:tc>
          <w:tcPr>
            <w:tcW w:w="2222" w:type="dxa"/>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ascii="宋体" w:hAnsi="宋体" w:eastAsia="宋体" w:cs="宋体"/>
                <w:sz w:val="20"/>
                <w:szCs w:val="20"/>
                <w:highlight w:val="none"/>
              </w:rPr>
            </w:r>
            <w:r/>
          </w:p>
        </w:tc>
      </w:tr>
      <w:tr>
        <w:trPr>
          <w:jc w:val="center"/>
          <w:trHeight w:val="648"/>
        </w:trPr>
        <w:tc>
          <w:tcPr>
            <w:gridSpan w:val="6"/>
            <w:tcW w:w="10201" w:type="dxa"/>
            <w:vAlign w:val="center"/>
            <w:textDirection w:val="lrTb"/>
            <w:noWrap w:val="false"/>
          </w:tcPr>
          <w:p>
            <w:pPr>
              <w:ind w:left="0"/>
              <w:jc w:val="center"/>
              <w:spacing w:after="0" w:line="360" w:lineRule="auto"/>
              <w:widowControl w:val="off"/>
              <w:rPr>
                <w:rFonts w:ascii="宋体" w:hAnsi="宋体" w:eastAsia="宋体" w:cs="宋体"/>
                <w:sz w:val="20"/>
                <w:szCs w:val="20"/>
                <w:highlight w:val="none"/>
              </w:rPr>
            </w:pPr>
            <w:r>
              <w:rPr>
                <w:rFonts w:hint="eastAsia" w:ascii="宋体" w:hAnsi="宋体" w:eastAsia="宋体" w:cs="宋体"/>
                <w:sz w:val="21"/>
                <w:szCs w:val="21"/>
                <w:highlight w:val="none"/>
              </w:rPr>
              <w:t xml:space="preserve">合计</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元）</w:t>
            </w:r>
            <w:r>
              <w:rPr>
                <w:rFonts w:hint="eastAsia" w:ascii="宋体" w:hAnsi="宋体" w:eastAsia="宋体" w:cs="宋体"/>
                <w:sz w:val="21"/>
                <w:szCs w:val="21"/>
                <w:highlight w:val="none"/>
              </w:rPr>
              <w:t xml:space="preserve">：</w:t>
            </w:r>
            <w:r/>
          </w:p>
        </w:tc>
      </w:tr>
    </w:tbl>
    <w:p>
      <w:pPr>
        <w:pStyle w:val="911"/>
        <w:ind w:left="0" w:firstLine="0"/>
        <w:jc w:val="left"/>
        <w:keepLines w:val="0"/>
        <w:keepNext w:val="0"/>
        <w:widowControl/>
        <w:rPr>
          <w:rFonts w:ascii="宋体" w:hAnsi="宋体" w:eastAsia="宋体" w:cs="Times New Roman"/>
          <w:b/>
          <w:bCs/>
          <w:sz w:val="24"/>
          <w:highlight w:val="none"/>
        </w:rPr>
        <w:suppressLineNumbers w:val="0"/>
      </w:pPr>
      <w:r>
        <w:rPr>
          <w:rFonts w:ascii="宋体" w:hAnsi="宋体" w:eastAsia="宋体" w:cs="Times New Roman"/>
          <w:b/>
          <w:bCs/>
          <w:sz w:val="24"/>
          <w:highlight w:val="none"/>
        </w:rPr>
        <w:t xml:space="preserve">注：</w:t>
      </w:r>
      <w:r>
        <w:rPr>
          <w:rFonts w:hint="eastAsia" w:ascii="宋体" w:hAnsi="宋体" w:eastAsia="宋体" w:cs="Times New Roman"/>
          <w:b/>
          <w:bCs/>
          <w:sz w:val="24"/>
          <w:highlight w:val="none"/>
        </w:rPr>
        <w:t xml:space="preserve">1．如果不提供报价明细表的，将视为没有实质性响应招标文件。</w:t>
      </w:r>
      <w:r/>
    </w:p>
    <w:p>
      <w:pPr>
        <w:pStyle w:val="911"/>
        <w:ind w:left="0" w:firstLine="0"/>
        <w:jc w:val="left"/>
        <w:keepLines w:val="0"/>
        <w:keepNext w:val="0"/>
        <w:widowControl/>
        <w:rPr>
          <w:rFonts w:hint="eastAsia" w:ascii="宋体" w:hAnsi="宋体" w:eastAsia="宋体" w:cs="Times New Roman"/>
          <w:b/>
          <w:bCs/>
          <w:sz w:val="24"/>
          <w:highlight w:val="none"/>
        </w:rPr>
        <w:suppressLineNumbers w:val="0"/>
      </w:pPr>
      <w:r>
        <w:rPr>
          <w:rFonts w:hint="eastAsia" w:ascii="宋体" w:hAnsi="宋体" w:eastAsia="宋体" w:cs="Times New Roman"/>
          <w:b/>
          <w:bCs/>
          <w:sz w:val="24"/>
          <w:highlight w:val="none"/>
        </w:rPr>
        <w:t xml:space="preserve">2. 投标人对以上数据的真实性负责。</w:t>
      </w:r>
      <w:r/>
    </w:p>
    <w:p>
      <w:pPr>
        <w:ind w:firstLine="480"/>
        <w:jc w:val="left"/>
        <w:tabs>
          <w:tab w:val="left" w:pos="1800" w:leader="none"/>
          <w:tab w:val="left" w:pos="5580" w:leader="none"/>
        </w:tabs>
        <w:rPr>
          <w:rFonts w:ascii="宋体" w:hAnsi="宋体" w:eastAsia="宋体" w:cs="楷体"/>
          <w:color w:val="000000"/>
          <w:sz w:val="24"/>
          <w:highlight w:val="none"/>
        </w:rPr>
      </w:pPr>
      <w:r>
        <w:rPr>
          <w:rFonts w:ascii="宋体" w:hAnsi="宋体" w:eastAsia="宋体" w:cs="楷体"/>
          <w:color w:val="000000"/>
          <w:sz w:val="24"/>
          <w:highlight w:val="none"/>
        </w:rPr>
      </w:r>
      <w:r/>
    </w:p>
    <w:p>
      <w:pPr>
        <w:ind w:firstLine="4080"/>
        <w:spacing w:line="4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供应商名称：</w:t>
      </w:r>
      <w:r>
        <w:rPr>
          <w:rFonts w:hint="eastAsia" w:ascii="宋体" w:hAnsi="宋体" w:eastAsia="宋体" w:cs="楷体"/>
          <w:color w:val="000000"/>
          <w:sz w:val="24"/>
          <w:highlight w:val="none"/>
        </w:rPr>
        <w:t xml:space="preserve">（加盖CA电子公章） </w:t>
      </w:r>
      <w:r>
        <w:rPr>
          <w:rFonts w:hint="eastAsia" w:ascii="宋体" w:hAnsi="宋体" w:eastAsia="宋体" w:cs="Times New Roman"/>
          <w:bCs/>
          <w:color w:val="000000"/>
          <w:sz w:val="24"/>
          <w:highlight w:val="none"/>
        </w:rPr>
        <w:t xml:space="preserve"> </w:t>
      </w:r>
      <w:r/>
    </w:p>
    <w:p>
      <w:pPr>
        <w:ind w:firstLine="3480"/>
        <w:spacing w:line="400" w:lineRule="exact"/>
        <w:rPr>
          <w:rFonts w:hint="eastAsia" w:ascii="宋体" w:hAnsi="宋体" w:eastAsia="宋体" w:cs="Times New Roman"/>
          <w:color w:val="000000"/>
          <w:sz w:val="24"/>
          <w:highlight w:val="none"/>
        </w:rPr>
      </w:pPr>
      <w:r>
        <w:rPr>
          <w:rFonts w:hint="eastAsia" w:ascii="宋体" w:hAnsi="宋体" w:eastAsia="宋体" w:cs="Times New Roman"/>
          <w:bCs/>
          <w:color w:val="000000"/>
          <w:sz w:val="24"/>
          <w:highlight w:val="none"/>
        </w:rPr>
        <w:t xml:space="preserve">  </w:t>
      </w:r>
      <w:r>
        <w:rPr>
          <w:rFonts w:hint="eastAsia" w:ascii="宋体" w:hAnsi="宋体" w:eastAsia="宋体" w:cs="Times New Roman"/>
          <w:color w:val="000000"/>
          <w:sz w:val="24"/>
          <w:highlight w:val="none"/>
        </w:rPr>
        <w:t xml:space="preserve">    日期：     年    月    日</w:t>
      </w:r>
      <w:r/>
    </w:p>
    <w:p>
      <w:pPr>
        <w:spacing w:before="25" w:after="25" w:line="360" w:lineRule="auto"/>
        <w:rPr>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highlight w:val="none"/>
        </w:rPr>
      </w:r>
      <w:r/>
    </w:p>
    <w:p>
      <w:pPr>
        <w:pStyle w:val="1069"/>
        <w:jc w:val="center"/>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p>
    <w:p>
      <w:pPr>
        <w:pStyle w:val="1089"/>
        <w:rPr>
          <w:rFonts w:hint="eastAsia"/>
          <w:color w:val="000000"/>
          <w:highlight w:val="none"/>
        </w:rPr>
      </w:pPr>
      <w:r>
        <w:rPr>
          <w:rFonts w:hint="eastAsia"/>
          <w:color w:val="000000"/>
          <w:highlight w:val="none"/>
        </w:rPr>
      </w:r>
      <w:r/>
    </w:p>
    <w:p>
      <w:pPr>
        <w:pStyle w:val="1069"/>
        <w:jc w:val="left"/>
        <w:spacing w:before="0" w:line="360" w:lineRule="auto"/>
        <w:tabs>
          <w:tab w:val="center" w:pos="4592" w:leader="none"/>
          <w:tab w:val="left" w:pos="7860" w:leader="none"/>
        </w:tabs>
        <w:rPr>
          <w:rFonts w:ascii="宋体" w:hAnsi="宋体" w:cs="楷体"/>
          <w:b w:val="0"/>
          <w:color w:val="000000"/>
          <w:sz w:val="24"/>
          <w:highlight w:val="none"/>
        </w:rPr>
      </w:pPr>
      <w:r>
        <w:rPr>
          <w:rFonts w:hint="eastAsia"/>
          <w:b w:val="0"/>
          <w:color w:val="000000"/>
          <w:sz w:val="24"/>
          <w:highlight w:val="none"/>
          <w:u w:val="single"/>
        </w:rPr>
        <w:t xml:space="preserve">注意事项：</w:t>
      </w:r>
      <w:bookmarkStart w:id="1194" w:name="_Toc311189788"/>
      <w:r>
        <w:rPr>
          <w:rFonts w:hint="eastAsia"/>
          <w:b w:val="0"/>
          <w:color w:val="000000"/>
          <w:sz w:val="24"/>
          <w:highlight w:val="none"/>
          <w:u w:val="single"/>
        </w:rPr>
        <w:t xml:space="preserve">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r/>
    </w:p>
    <w:p>
      <w:pPr>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p>
    <w:p>
      <w:pPr>
        <w:pStyle w:val="131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31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31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31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
        <w:spacing w:line="440" w:lineRule="exact"/>
        <w:rPr>
          <w:rFonts w:ascii="宋体" w:hAnsi="宋体" w:cs="楷体"/>
          <w:color w:val="000000"/>
          <w:sz w:val="24"/>
          <w:highlight w:val="none"/>
        </w:rPr>
      </w:pPr>
      <w:r>
        <w:rPr>
          <w:rFonts w:ascii="宋体" w:hAnsi="宋体" w:cs="楷体"/>
          <w:color w:val="000000"/>
          <w:sz w:val="24"/>
          <w:highlight w:val="none"/>
        </w:rPr>
      </w:r>
      <w:r/>
    </w:p>
    <w:p>
      <w:pPr>
        <w:ind w:firstLine="3840"/>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889"/>
        <w:spacing w:line="440" w:lineRule="exact"/>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315"/>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315"/>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31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315"/>
        <w:ind w:firstLine="400"/>
        <w:rPr>
          <w:rFonts w:hint="eastAsia"/>
          <w:color w:val="000000"/>
          <w:highlight w:val="none"/>
        </w:rPr>
      </w:pPr>
      <w:r>
        <w:rPr>
          <w:rFonts w:hint="eastAsia"/>
          <w:color w:val="000000"/>
          <w:highlight w:val="none"/>
        </w:rPr>
      </w:r>
      <w:r/>
    </w:p>
    <w:p>
      <w:pPr>
        <w:pStyle w:val="1315"/>
        <w:ind w:firstLine="0"/>
        <w:rPr>
          <w:rFonts w:hint="eastAsia"/>
          <w:color w:val="000000"/>
          <w:highlight w:val="none"/>
        </w:rPr>
      </w:pPr>
      <w:r>
        <w:rPr>
          <w:rFonts w:hint="eastAsia"/>
          <w:color w:val="000000"/>
          <w:highlight w:val="none"/>
        </w:rPr>
      </w:r>
      <w:r/>
    </w:p>
    <w:p>
      <w:pPr>
        <w:pStyle w:val="1315"/>
        <w:ind w:firstLine="0"/>
        <w:rPr>
          <w:rFonts w:hint="eastAsia"/>
          <w:color w:val="000000"/>
          <w:highlight w:val="none"/>
        </w:rPr>
      </w:pPr>
      <w:r>
        <w:rPr>
          <w:rFonts w:hint="eastAsia"/>
          <w:color w:val="000000"/>
          <w:highlight w:val="none"/>
        </w:rPr>
      </w:r>
      <w:r/>
    </w:p>
    <w:p>
      <w:pPr>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1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31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31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31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ind w:firstLine="3360"/>
        <w:spacing w:line="440" w:lineRule="exact"/>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56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pStyle w:val="1315"/>
        <w:ind w:firstLine="400"/>
        <w:rPr>
          <w:rFonts w:hint="eastAsia"/>
          <w:color w:val="000000"/>
          <w:highlight w:val="none"/>
        </w:rPr>
      </w:pPr>
      <w:r>
        <w:rPr>
          <w:rFonts w:hint="eastAsia"/>
          <w:color w:val="000000"/>
          <w:highlight w:val="none"/>
        </w:rPr>
      </w:r>
      <w:r/>
    </w:p>
    <w:p>
      <w:pPr>
        <w:pStyle w:val="889"/>
        <w:spacing w:line="440" w:lineRule="exact"/>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31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889"/>
        <w:spacing w:line="440" w:lineRule="exact"/>
        <w:rPr>
          <w:rFonts w:hint="eastAsia" w:cs="楷体"/>
          <w:color w:val="000000"/>
          <w:highlight w:val="none"/>
        </w:rPr>
      </w:pPr>
      <w:r>
        <w:rPr>
          <w:rFonts w:hint="eastAsia" w:cs="楷体"/>
          <w:color w:val="000000"/>
          <w:highlight w:val="none"/>
        </w:rPr>
      </w:r>
      <w:r/>
    </w:p>
    <w:p>
      <w:pPr>
        <w:pStyle w:val="889"/>
        <w:spacing w:line="440" w:lineRule="exact"/>
        <w:rPr>
          <w:rFonts w:hint="eastAsia" w:cs="楷体"/>
          <w:color w:val="000000"/>
          <w:highlight w:val="none"/>
        </w:rPr>
      </w:pPr>
      <w:r>
        <w:rPr>
          <w:rFonts w:hint="eastAsia" w:cs="楷体"/>
          <w:color w:val="000000"/>
          <w:highlight w:val="none"/>
        </w:rPr>
      </w:r>
      <w:r/>
    </w:p>
    <w:p>
      <w:pPr>
        <w:pStyle w:val="889"/>
        <w:spacing w:line="440" w:lineRule="exact"/>
        <w:rPr>
          <w:rFonts w:hint="eastAsia" w:cs="楷体"/>
          <w:color w:val="000000"/>
          <w:highlight w:val="none"/>
        </w:rPr>
      </w:pPr>
      <w:r>
        <w:rPr>
          <w:rFonts w:hint="eastAsia" w:cs="楷体"/>
          <w:color w:val="000000"/>
          <w:highlight w:val="none"/>
        </w:rPr>
      </w:r>
      <w:r/>
    </w:p>
    <w:p>
      <w:pPr>
        <w:jc w:val="left"/>
        <w:widowControl/>
        <w:rPr>
          <w:rFonts w:ascii="宋体" w:hAnsi="宋体" w:cs="楷体"/>
          <w:color w:val="000000"/>
          <w:sz w:val="24"/>
          <w:highlight w:val="none"/>
        </w:rPr>
      </w:pPr>
      <w:r>
        <w:rPr>
          <w:rFonts w:ascii="宋体" w:hAnsi="宋体" w:cs="楷体"/>
          <w:color w:val="000000"/>
          <w:sz w:val="24"/>
          <w:highlight w:val="none"/>
        </w:rPr>
      </w:r>
      <w:r/>
    </w:p>
    <w:p>
      <w:pPr>
        <w:pStyle w:val="1143"/>
        <w:rPr>
          <w:highlight w:val="none"/>
        </w:rPr>
      </w:pPr>
      <w:r>
        <w:rPr>
          <w:highlight w:val="none"/>
        </w:rPr>
      </w:r>
      <w:r/>
    </w:p>
    <w:p>
      <w:pPr>
        <w:pStyle w:val="1143"/>
        <w:rPr>
          <w:highlight w:val="none"/>
        </w:rPr>
      </w:pPr>
      <w:r>
        <w:rPr>
          <w:highlight w:val="none"/>
        </w:rPr>
      </w:r>
      <w:r/>
    </w:p>
    <w:p>
      <w:pPr>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p>
    <w:p>
      <w:pPr>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p>
    <w:p>
      <w:pPr>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bookmarkEnd w:id="1194"/>
      <w:r/>
      <w:r/>
    </w:p>
    <w:p>
      <w:pPr>
        <w:jc w:val="center"/>
        <w:spacing w:before="240" w:after="240" w:line="360" w:lineRule="auto"/>
        <w:rPr>
          <w:rFonts w:hint="eastAsia" w:ascii="Times New Roman" w:hAnsi="Times New Roman" w:eastAsia="宋体" w:cs="Times New Roman"/>
          <w:b/>
          <w:bCs/>
          <w:color w:val="000000"/>
          <w:sz w:val="32"/>
          <w:szCs w:val="32"/>
          <w:highlight w:val="none"/>
        </w:rPr>
      </w:pPr>
      <w:r/>
      <w:bookmarkStart w:id="1195" w:name="_Toc29116"/>
      <w:r/>
      <w:bookmarkEnd w:id="1195"/>
      <w:r/>
      <w:bookmarkStart w:id="1196" w:name="_Toc30417"/>
      <w:r/>
      <w:bookmarkEnd w:id="1196"/>
      <w:r/>
      <w:bookmarkStart w:id="1197" w:name="_Toc425"/>
      <w:r/>
      <w:bookmarkEnd w:id="1197"/>
      <w:r/>
      <w:bookmarkStart w:id="1198" w:name="_Toc373054875"/>
      <w:r/>
      <w:bookmarkEnd w:id="1198"/>
      <w:r>
        <w:rPr>
          <w:rFonts w:hint="eastAsia" w:ascii="Times New Roman" w:hAnsi="Times New Roman" w:eastAsia="宋体" w:cs="Times New Roman"/>
          <w:b/>
          <w:bCs/>
          <w:color w:val="000000"/>
          <w:sz w:val="32"/>
          <w:szCs w:val="32"/>
          <w:highlight w:val="none"/>
        </w:rPr>
        <w:t xml:space="preserve">六、关于符合本国产品标准的声明函（实质性格式）</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000000"/>
          <w:sz w:val="24"/>
          <w:szCs w:val="24"/>
          <w:highlight w:val="none"/>
          <w:lang w:val="en-US" w:eastAsia="zh-CN" w:bidi="ar-SA"/>
        </w:rPr>
      </w:pPr>
      <w:r>
        <w:rPr>
          <w:rFonts w:hint="default" w:ascii="方正魏碑_GBK" w:hAnsi="方正魏碑_GBK" w:eastAsia="方正魏碑_GBK" w:cs="方正魏碑_GBK"/>
          <w:color w:val="000000"/>
          <w:sz w:val="24"/>
          <w:szCs w:val="24"/>
          <w:highlight w:val="none"/>
          <w:lang w:val="en-US" w:eastAsia="zh-CN" w:bidi="ar-SA"/>
        </w:rPr>
      </w:r>
      <w:r/>
    </w:p>
    <w:p>
      <w:pPr>
        <w:ind w:firstLine="420"/>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4445" t="4445" r="9525" b="11430"/>
                <wp:wrapNone/>
                <wp:docPr id="5" name="任意多边形 1"/>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6" name="任意多边形 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7" name="任意多边形 2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3376295</wp:posOffset>
                </wp:positionH>
                <wp:positionV relativeFrom="paragraph">
                  <wp:posOffset>419100</wp:posOffset>
                </wp:positionV>
                <wp:extent cx="812165" cy="147320"/>
                <wp:effectExtent l="4445" t="4445" r="21590" b="19685"/>
                <wp:wrapNone/>
                <wp:docPr id="8" name="任意多边形 22"/>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4554220</wp:posOffset>
                </wp:positionH>
                <wp:positionV relativeFrom="paragraph">
                  <wp:posOffset>448945</wp:posOffset>
                </wp:positionV>
                <wp:extent cx="603250" cy="150495"/>
                <wp:effectExtent l="5080" t="4445" r="20320" b="16510"/>
                <wp:wrapNone/>
                <wp:docPr id="9" name="任意多边形 23"/>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10"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1.</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Style w:val="1139"/>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Style w:val="1139"/>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（规定比例）</w:t>
      </w:r>
      <w:r>
        <w:rPr>
          <w:rStyle w:val="1139"/>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（关键组件）</w:t>
      </w:r>
      <w:r>
        <w:rPr>
          <w:rStyle w:val="1139"/>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（关键工序）</w:t>
      </w:r>
      <w:r>
        <w:rPr>
          <w:rStyle w:val="1139"/>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4516120</wp:posOffset>
                </wp:positionH>
                <wp:positionV relativeFrom="paragraph">
                  <wp:posOffset>93980</wp:posOffset>
                </wp:positionV>
                <wp:extent cx="807720" cy="190500"/>
                <wp:effectExtent l="4445" t="4445" r="6985" b="14604"/>
                <wp:wrapNone/>
                <wp:docPr id="11" name="任意多边形 7"/>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4394835</wp:posOffset>
                </wp:positionH>
                <wp:positionV relativeFrom="paragraph">
                  <wp:posOffset>403225</wp:posOffset>
                </wp:positionV>
                <wp:extent cx="666750" cy="190500"/>
                <wp:effectExtent l="4445" t="4445" r="14604" b="14604"/>
                <wp:wrapNone/>
                <wp:docPr id="12" name="任意多边形 8"/>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3091815</wp:posOffset>
                </wp:positionH>
                <wp:positionV relativeFrom="paragraph">
                  <wp:posOffset>443230</wp:posOffset>
                </wp:positionV>
                <wp:extent cx="842645" cy="152400"/>
                <wp:effectExtent l="4445" t="4445" r="10160" b="14604"/>
                <wp:wrapNone/>
                <wp:docPr id="13" name="任意多边形 9"/>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4" name="任意多边形 2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5"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1849755</wp:posOffset>
                </wp:positionH>
                <wp:positionV relativeFrom="paragraph">
                  <wp:posOffset>752475</wp:posOffset>
                </wp:positionV>
                <wp:extent cx="814705" cy="164465"/>
                <wp:effectExtent l="4445" t="4445" r="19050" b="21590"/>
                <wp:wrapNone/>
                <wp:docPr id="16" name="任意多边形 12"/>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2.</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39"/>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p>
    <w:p>
      <w:pPr>
        <w:ind w:firstLine="420"/>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960"/>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p>
    <w:p>
      <w:pPr>
        <w:jc w:val="center"/>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r/>
    </w:p>
    <w:p>
      <w:pPr>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__________________</w:t>
      </w:r>
      <w:r/>
    </w:p>
    <w:p>
      <w:pPr>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p>
    <w:p>
      <w:pPr>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p>
    <w:p>
      <w:pPr>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p>
    <w:p>
      <w:pPr>
        <w:jc w:val="left"/>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p>
    <w:p>
      <w:pPr>
        <w:jc w:val="left"/>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p>
    <w:p>
      <w:pPr>
        <w:jc w:val="left"/>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jc w:val="left"/>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ind w:firstLine="2890"/>
        <w:spacing w:line="400" w:lineRule="exact"/>
        <w:rPr>
          <w:rFonts w:hint="eastAsia" w:ascii="Times New Roman" w:hAnsi="Times New Roman" w:eastAsia="宋体" w:cs="Times New Roman"/>
          <w:b/>
          <w:color w:val="000000"/>
          <w:spacing w:val="20"/>
          <w:sz w:val="32"/>
          <w:szCs w:val="32"/>
          <w:highlight w:val="none"/>
        </w:rPr>
        <w:outlineLvl w:val="1"/>
      </w:pPr>
      <w:r>
        <w:rPr>
          <w:rFonts w:hint="eastAsia" w:ascii="Times New Roman" w:hAnsi="Times New Roman" w:eastAsia="宋体" w:cs="Times New Roman"/>
          <w:b/>
          <w:color w:val="000000"/>
          <w:spacing w:val="20"/>
          <w:sz w:val="32"/>
          <w:szCs w:val="32"/>
          <w:highlight w:val="none"/>
        </w:rPr>
      </w:r>
      <w:r/>
    </w:p>
    <w:p>
      <w:pPr>
        <w:ind w:firstLine="2890"/>
        <w:spacing w:line="400" w:lineRule="exact"/>
        <w:rPr>
          <w:rFonts w:ascii="Times New Roman" w:hAnsi="Times New Roman" w:eastAsia="宋体" w:cs="Times New Roman"/>
          <w:b/>
          <w:color w:val="000000"/>
          <w:spacing w:val="20"/>
          <w:sz w:val="32"/>
          <w:szCs w:val="32"/>
          <w:highlight w:val="none"/>
        </w:rPr>
        <w:outlineLvl w:val="1"/>
      </w:pPr>
      <w:r>
        <w:rPr>
          <w:rFonts w:hint="eastAsia" w:ascii="Times New Roman" w:hAnsi="Times New Roman" w:eastAsia="宋体" w:cs="Times New Roman"/>
          <w:b/>
          <w:color w:val="000000"/>
          <w:spacing w:val="20"/>
          <w:sz w:val="32"/>
          <w:szCs w:val="32"/>
          <w:highlight w:val="none"/>
        </w:rPr>
        <w:t xml:space="preserve">七、项目实施方案 </w:t>
      </w:r>
      <w:r/>
    </w:p>
    <w:p>
      <w:pPr>
        <w:jc w:val="both"/>
        <w:spacing w:before="120" w:line="22" w:lineRule="atLeast"/>
        <w:widowControl w:val="off"/>
        <w:rPr>
          <w:rFonts w:hint="eastAsia"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r>
      <w:r/>
    </w:p>
    <w:p>
      <w:pPr>
        <w:ind w:firstLine="480"/>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1"/>
          <w:numId w:val="12"/>
        </w:numPr>
        <w:ind w:left="1140" w:hanging="720"/>
        <w:spacing w:line="400" w:lineRule="exact"/>
        <w:rPr>
          <w:rFonts w:hint="eastAsia" w:ascii="宋体" w:hAnsi="宋体" w:eastAsia="宋体" w:cs="宋体"/>
          <w:color w:val="000000"/>
          <w:sz w:val="24"/>
          <w:highlight w:val="none"/>
        </w:rPr>
      </w:pPr>
      <w:r>
        <w:rPr>
          <w:rFonts w:hint="eastAsia" w:ascii="宋体" w:hAnsi="宋体" w:eastAsia="宋体" w:cs="Times New Roman"/>
          <w:color w:val="000000"/>
          <w:sz w:val="24"/>
          <w:highlight w:val="none"/>
        </w:rPr>
        <w:t xml:space="preserve">详细实施方案</w:t>
      </w:r>
      <w:r/>
    </w:p>
    <w:p>
      <w:pPr>
        <w:numPr>
          <w:ilvl w:val="1"/>
          <w:numId w:val="12"/>
        </w:numPr>
        <w:ind w:left="1140" w:hanging="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投标人应就人员配备、技术保证、项目质量、</w:t>
      </w:r>
      <w:r>
        <w:rPr>
          <w:rFonts w:hint="eastAsia" w:ascii="宋体" w:hAnsi="宋体" w:eastAsia="宋体" w:cs="Times New Roman"/>
          <w:color w:val="000000"/>
          <w:sz w:val="24"/>
          <w:highlight w:val="none"/>
        </w:rPr>
        <w:t xml:space="preserve">服务期限</w:t>
      </w:r>
      <w:r>
        <w:rPr>
          <w:rFonts w:hint="eastAsia" w:ascii="宋体" w:hAnsi="宋体" w:eastAsia="宋体" w:cs="宋体"/>
          <w:color w:val="000000"/>
          <w:sz w:val="24"/>
          <w:highlight w:val="none"/>
        </w:rPr>
        <w:t xml:space="preserve">等做出承诺</w:t>
      </w:r>
      <w:r/>
    </w:p>
    <w:p>
      <w:pPr>
        <w:numPr>
          <w:ilvl w:val="1"/>
          <w:numId w:val="12"/>
        </w:numPr>
        <w:ind w:left="1140" w:hanging="720"/>
        <w:spacing w:line="4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对原始资料的调查与收集</w:t>
      </w:r>
      <w:r/>
    </w:p>
    <w:p>
      <w:pPr>
        <w:numPr>
          <w:ilvl w:val="1"/>
          <w:numId w:val="12"/>
        </w:numPr>
        <w:ind w:left="1140" w:hanging="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合理化建议（并提出相应可行的解决办法）</w:t>
      </w:r>
      <w:r/>
    </w:p>
    <w:p>
      <w:pPr>
        <w:numPr>
          <w:ilvl w:val="1"/>
          <w:numId w:val="12"/>
        </w:numPr>
        <w:ind w:left="1140" w:hanging="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需要招标人协助的事项</w:t>
      </w:r>
      <w:r/>
    </w:p>
    <w:p>
      <w:pPr>
        <w:numPr>
          <w:ilvl w:val="1"/>
          <w:numId w:val="12"/>
        </w:numPr>
        <w:ind w:left="1140" w:hanging="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投标人认为需要添加的内容</w:t>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ind w:firstLine="4413"/>
        <w:jc w:val="left"/>
        <w:spacing w:line="400" w:lineRule="exact"/>
        <w:widowControl/>
        <w:rPr>
          <w:rFonts w:hint="eastAsia" w:ascii="宋体" w:hAnsi="宋体" w:eastAsia="宋体" w:cs="Times New Roman"/>
          <w:color w:val="000000"/>
          <w:sz w:val="24"/>
          <w:highlight w:val="none"/>
        </w:rPr>
      </w:pPr>
      <w:r>
        <w:rPr>
          <w:rFonts w:hint="eastAsia" w:ascii="宋体" w:hAnsi="宋体" w:eastAsia="宋体" w:cs="Times New Roman"/>
          <w:bCs/>
          <w:color w:val="000000"/>
          <w:sz w:val="24"/>
          <w:highlight w:val="none"/>
        </w:rPr>
        <w:t xml:space="preserve">投标单位名称：</w:t>
      </w:r>
      <w:r>
        <w:rPr>
          <w:rFonts w:hint="eastAsia" w:ascii="宋体" w:hAnsi="宋体" w:eastAsia="宋体" w:cs="楷体"/>
          <w:color w:val="000000"/>
          <w:sz w:val="24"/>
          <w:highlight w:val="none"/>
        </w:rPr>
        <w:t xml:space="preserve">（加盖CA电子公章） </w:t>
      </w:r>
      <w:r>
        <w:rPr>
          <w:rFonts w:hint="eastAsia" w:ascii="宋体" w:hAnsi="宋体" w:eastAsia="宋体" w:cs="Times New Roman"/>
          <w:bCs/>
          <w:color w:val="000000"/>
          <w:sz w:val="24"/>
          <w:highlight w:val="none"/>
        </w:rPr>
        <w:t xml:space="preserve"> </w:t>
      </w:r>
      <w:r>
        <w:rPr>
          <w:rFonts w:hint="eastAsia" w:ascii="宋体" w:hAnsi="宋体" w:eastAsia="宋体" w:cs="Times New Roman"/>
          <w:color w:val="000000"/>
          <w:sz w:val="24"/>
          <w:highlight w:val="none"/>
        </w:rPr>
        <w:t xml:space="preserve">  </w:t>
      </w:r>
      <w:r/>
    </w:p>
    <w:p>
      <w:pPr>
        <w:ind w:firstLine="480"/>
        <w:jc w:val="left"/>
        <w:spacing w:line="400" w:lineRule="exac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                            </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 xml:space="preserve">日期：     年    月    日</w:t>
      </w:r>
      <w:r/>
    </w:p>
    <w:p>
      <w:pPr>
        <w:jc w:val="center"/>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jc w:val="center"/>
        <w:rPr>
          <w:rFonts w:hint="eastAsia" w:ascii="楷体_GB2312" w:hAnsi="Times New Roman" w:eastAsia="楷体_GB2312" w:cs="Times New Roman"/>
          <w:color w:val="000000"/>
          <w:sz w:val="24"/>
          <w:highlight w:val="none"/>
        </w:rPr>
      </w:pPr>
      <w:r>
        <w:rPr>
          <w:rFonts w:hint="eastAsia" w:ascii="楷体_GB2312" w:hAnsi="Times New Roman" w:eastAsia="楷体_GB2312" w:cs="Times New Roman"/>
          <w:color w:val="000000"/>
          <w:sz w:val="24"/>
          <w:highlight w:val="none"/>
        </w:rPr>
      </w:r>
      <w:r/>
    </w:p>
    <w:p>
      <w:pPr>
        <w:spacing w:line="400" w:lineRule="exact"/>
        <w:rPr>
          <w:rFonts w:ascii="楷体_GB2312" w:hAnsi="Times New Roman" w:eastAsia="楷体_GB2312" w:cs="Times New Roman"/>
          <w:color w:val="000000"/>
          <w:sz w:val="24"/>
          <w:highlight w:val="none"/>
        </w:rPr>
        <w:outlineLvl w:val="1"/>
      </w:pPr>
      <w:r>
        <w:rPr>
          <w:rFonts w:ascii="楷体_GB2312" w:hAnsi="Times New Roman" w:eastAsia="楷体_GB2312" w:cs="Times New Roman"/>
          <w:color w:val="000000"/>
          <w:sz w:val="24"/>
          <w:highlight w:val="none"/>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ind w:firstLine="2529"/>
        <w:spacing w:line="400" w:lineRule="exact"/>
        <w:rPr>
          <w:rFonts w:ascii="Times New Roman" w:hAnsi="Times New Roman" w:eastAsia="宋体" w:cs="Times New Roman"/>
          <w:b/>
          <w:color w:val="000000"/>
          <w:spacing w:val="20"/>
          <w:sz w:val="32"/>
          <w:szCs w:val="32"/>
          <w:highlight w:val="none"/>
        </w:rPr>
        <w:outlineLvl w:val="1"/>
      </w:pPr>
      <w:r>
        <w:rPr>
          <w:rFonts w:ascii="Times New Roman" w:hAnsi="Times New Roman" w:eastAsia="宋体" w:cs="Times New Roman"/>
          <w:b/>
          <w:color w:val="000000"/>
          <w:spacing w:val="20"/>
          <w:sz w:val="32"/>
          <w:szCs w:val="32"/>
          <w:highlight w:val="none"/>
        </w:rPr>
      </w:r>
      <w:r/>
    </w:p>
    <w:p>
      <w:pPr>
        <w:ind w:firstLine="2529"/>
        <w:spacing w:line="400" w:lineRule="exact"/>
        <w:rPr>
          <w:rFonts w:hint="eastAsia" w:ascii="Times New Roman" w:hAnsi="Times New Roman" w:eastAsia="宋体" w:cs="Times New Roman"/>
          <w:b/>
          <w:color w:val="000000"/>
          <w:spacing w:val="20"/>
          <w:sz w:val="32"/>
          <w:szCs w:val="32"/>
          <w:highlight w:val="none"/>
        </w:rPr>
        <w:outlineLvl w:val="1"/>
      </w:pPr>
      <w:r>
        <w:rPr>
          <w:rFonts w:ascii="Times New Roman" w:hAnsi="Times New Roman" w:eastAsia="宋体" w:cs="Times New Roman"/>
          <w:b/>
          <w:color w:val="000000"/>
          <w:spacing w:val="20"/>
          <w:sz w:val="32"/>
          <w:szCs w:val="32"/>
          <w:highlight w:val="none"/>
        </w:rPr>
        <w:br w:type="page" w:clear="all"/>
      </w:r>
      <w:r>
        <w:rPr>
          <w:rFonts w:hint="eastAsia" w:ascii="Times New Roman" w:hAnsi="Times New Roman" w:eastAsia="宋体" w:cs="Times New Roman"/>
          <w:b/>
          <w:color w:val="000000"/>
          <w:spacing w:val="20"/>
          <w:sz w:val="32"/>
          <w:szCs w:val="32"/>
          <w:highlight w:val="none"/>
        </w:rPr>
        <w:t xml:space="preserve">八、基本服务承诺书 </w:t>
      </w:r>
      <w:r>
        <w:rPr>
          <w:rFonts w:ascii="Times New Roman" w:hAnsi="Times New Roman" w:eastAsia="宋体" w:cs="Times New Roman"/>
          <w:b/>
          <w:color w:val="000000"/>
          <w:spacing w:val="20"/>
          <w:sz w:val="32"/>
          <w:szCs w:val="32"/>
          <w:highlight w:val="none"/>
        </w:rPr>
        <w:t xml:space="preserve"> </w:t>
      </w:r>
      <w:r/>
    </w:p>
    <w:p>
      <w:pPr>
        <w:spacing w:line="400" w:lineRule="exact"/>
        <w:rPr>
          <w:rFonts w:hint="eastAsia"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rPr>
      </w:r>
      <w:r/>
    </w:p>
    <w:p>
      <w:pPr>
        <w:numPr>
          <w:ilvl w:val="0"/>
          <w:numId w:val="13"/>
        </w:numPr>
        <w:ind w:firstLine="480"/>
        <w:spacing w:line="400" w:lineRule="exact"/>
        <w:rPr>
          <w:rFonts w:hint="eastAsia" w:ascii="Times New Roman" w:hAnsi="Times New Roman" w:eastAsia="宋体" w:cs="Times New Roman"/>
          <w:color w:val="000000"/>
          <w:sz w:val="20"/>
          <w:szCs w:val="20"/>
          <w:highlight w:val="none"/>
        </w:rPr>
      </w:pPr>
      <w:r>
        <w:rPr>
          <w:rFonts w:hint="eastAsia" w:ascii="宋体" w:hAnsi="宋体" w:eastAsia="宋体" w:cs="Times New Roman"/>
          <w:bCs/>
          <w:color w:val="000000"/>
          <w:sz w:val="24"/>
          <w:highlight w:val="none"/>
        </w:rPr>
        <w:t xml:space="preserve">我单位确保按中标结果确定价格并及时提供货物或服务。</w:t>
      </w:r>
      <w:r/>
    </w:p>
    <w:p>
      <w:pPr>
        <w:ind w:firstLine="480"/>
        <w:jc w:val="left"/>
        <w:spacing w:line="400" w:lineRule="exact"/>
        <w:rPr>
          <w:rFonts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rPr>
        <w:t xml:space="preserve">二、承诺的基本服务：（质保期、交货日期、是否响应付款方式等）</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ind w:firstLine="480"/>
        <w:jc w:val="left"/>
        <w:spacing w:line="4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三、需要采购人提供的配合：</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ind w:firstLine="480"/>
        <w:jc w:val="left"/>
        <w:spacing w:line="4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四、其他服务承诺：</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jc w:val="left"/>
        <w:spacing w:line="400" w:lineRule="exact"/>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　　　　　　　　　　　　　　　　　　　　　　　　　　　　　　　　　　　　　　</w:t>
      </w:r>
      <w:r/>
    </w:p>
    <w:p>
      <w:pPr>
        <w:ind w:firstLine="600"/>
        <w:spacing w:line="400" w:lineRule="exact"/>
        <w:rPr>
          <w:rFonts w:ascii="宋体" w:hAnsi="宋体" w:eastAsia="宋体" w:cs="Times New Roman"/>
          <w:bCs/>
          <w:color w:val="000000"/>
          <w:sz w:val="24"/>
          <w:highlight w:val="none"/>
        </w:rPr>
      </w:pPr>
      <w:r>
        <w:rPr>
          <w:rFonts w:ascii="宋体" w:hAnsi="宋体" w:eastAsia="宋体" w:cs="Times New Roman"/>
          <w:bCs/>
          <w:color w:val="000000"/>
          <w:sz w:val="24"/>
          <w:highlight w:val="none"/>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ind w:firstLine="4320"/>
        <w:spacing w:line="4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投标单位名称：</w:t>
      </w:r>
      <w:r>
        <w:rPr>
          <w:rFonts w:hint="eastAsia" w:ascii="宋体" w:hAnsi="宋体" w:eastAsia="宋体" w:cs="楷体"/>
          <w:color w:val="000000"/>
          <w:sz w:val="24"/>
          <w:highlight w:val="none"/>
        </w:rPr>
        <w:t xml:space="preserve">（加盖CA电子公章） </w:t>
      </w:r>
      <w:r>
        <w:rPr>
          <w:rFonts w:hint="eastAsia" w:ascii="宋体" w:hAnsi="宋体" w:eastAsia="宋体" w:cs="Times New Roman"/>
          <w:bCs/>
          <w:color w:val="000000"/>
          <w:sz w:val="24"/>
          <w:highlight w:val="none"/>
        </w:rPr>
        <w:t xml:space="preserve">   </w:t>
      </w:r>
      <w:r/>
    </w:p>
    <w:p>
      <w:pPr>
        <w:jc w:val="center"/>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   </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 xml:space="preserve">   </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 xml:space="preserve">日期：     年    月    日</w:t>
      </w:r>
      <w:r/>
    </w:p>
    <w:p>
      <w:pPr>
        <w:keepLines/>
        <w:keepNext/>
        <w:spacing w:after="240" w:line="360" w:lineRule="auto"/>
        <w:widowControl/>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jc w:val="center"/>
        <w:spacing w:line="360" w:lineRule="auto"/>
        <w:rPr>
          <w:rFonts w:ascii="Times New Roman" w:hAnsi="Times New Roman" w:eastAsia="宋体" w:cs="Times New Roman"/>
          <w:b/>
          <w:color w:val="000000"/>
          <w:spacing w:val="20"/>
          <w:sz w:val="30"/>
          <w:szCs w:val="30"/>
          <w:highlight w:val="none"/>
        </w:rPr>
      </w:pPr>
      <w:r>
        <w:rPr>
          <w:rFonts w:hint="eastAsia" w:ascii="Times New Roman" w:hAnsi="Times New Roman" w:eastAsia="宋体" w:cs="Times New Roman"/>
          <w:b/>
          <w:color w:val="000000"/>
          <w:spacing w:val="20"/>
          <w:sz w:val="30"/>
          <w:szCs w:val="30"/>
          <w:highlight w:val="none"/>
        </w:rPr>
        <w:t xml:space="preserve">九、法人授权书（实质性格式）</w:t>
      </w:r>
      <w:r/>
    </w:p>
    <w:p>
      <w:pPr>
        <w:ind w:firstLine="480"/>
        <w:spacing w:line="360" w:lineRule="auto"/>
        <w:tabs>
          <w:tab w:val="left" w:pos="36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本授权书声明：</w:t>
      </w:r>
      <w:r>
        <w:rPr>
          <w:rFonts w:ascii="Times New Roman" w:hAnsi="Times New Roman" w:eastAsia="宋体" w:cs="Times New Roman"/>
          <w:color w:val="000000"/>
          <w:sz w:val="24"/>
          <w:highlight w:val="none"/>
        </w:rPr>
        <w:t xml:space="preserve">____________</w:t>
      </w:r>
      <w:r>
        <w:rPr>
          <w:rFonts w:hint="eastAsia" w:ascii="Times New Roman" w:hAnsi="Times New Roman" w:eastAsia="宋体" w:cs="Times New Roman"/>
          <w:color w:val="000000"/>
          <w:sz w:val="24"/>
          <w:highlight w:val="none"/>
        </w:rPr>
        <w:t xml:space="preserve">（供应商名称）授权</w:t>
      </w:r>
      <w:r>
        <w:rPr>
          <w:rFonts w:ascii="Times New Roman" w:hAnsi="Times New Roman" w:eastAsia="宋体" w:cs="Times New Roman"/>
          <w:color w:val="000000"/>
          <w:sz w:val="24"/>
          <w:highlight w:val="none"/>
        </w:rPr>
        <w:t xml:space="preserve">________________</w:t>
      </w:r>
      <w:r>
        <w:rPr>
          <w:rFonts w:hint="eastAsia" w:ascii="Times New Roman" w:hAnsi="Times New Roman" w:eastAsia="宋体" w:cs="Times New Roman"/>
          <w:color w:val="000000"/>
          <w:sz w:val="24"/>
          <w:highlight w:val="none"/>
        </w:rPr>
        <w:t xml:space="preserve">（被授权人的姓名）为我方就</w:t>
      </w:r>
      <w:r>
        <w:rPr>
          <w:rFonts w:ascii="Times New Roman" w:hAnsi="Times New Roman" w:eastAsia="宋体" w:cs="Times New Roman"/>
          <w:color w:val="000000"/>
          <w:sz w:val="24"/>
          <w:highlight w:val="none"/>
        </w:rPr>
        <w:t xml:space="preserve">JSZC-</w:t>
      </w:r>
      <w:r>
        <w:rPr>
          <w:rFonts w:ascii="Times New Roman" w:hAnsi="Times New Roman" w:eastAsia="宋体" w:cs="Times New Roman"/>
          <w:color w:val="000000"/>
          <w:sz w:val="24"/>
          <w:highlight w:val="none"/>
          <w:u w:val="single"/>
        </w:rPr>
        <w:t xml:space="preserve">        </w:t>
      </w:r>
      <w:r>
        <w:rPr>
          <w:rFonts w:hint="eastAsia" w:ascii="Times New Roman" w:hAnsi="Times New Roman" w:eastAsia="宋体" w:cs="Times New Roman"/>
          <w:color w:val="000000"/>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本授权书于</w:t>
      </w:r>
      <w:r>
        <w:rPr>
          <w:rFonts w:ascii="Times New Roman" w:hAnsi="Times New Roman" w:eastAsia="宋体" w:cs="Times New Roman"/>
          <w:color w:val="000000"/>
          <w:sz w:val="24"/>
          <w:highlight w:val="none"/>
        </w:rPr>
        <w:t xml:space="preserve">______</w:t>
      </w:r>
      <w:r>
        <w:rPr>
          <w:rFonts w:hint="eastAsia" w:ascii="Times New Roman" w:hAnsi="Times New Roman" w:eastAsia="宋体" w:cs="Times New Roman"/>
          <w:color w:val="000000"/>
          <w:sz w:val="24"/>
          <w:highlight w:val="none"/>
        </w:rPr>
        <w:t xml:space="preserve">年</w:t>
      </w:r>
      <w:r>
        <w:rPr>
          <w:rFonts w:ascii="Times New Roman" w:hAnsi="Times New Roman" w:eastAsia="宋体" w:cs="Times New Roman"/>
          <w:color w:val="000000"/>
          <w:sz w:val="24"/>
          <w:highlight w:val="none"/>
        </w:rPr>
        <w:t xml:space="preserve">____</w:t>
      </w:r>
      <w:r>
        <w:rPr>
          <w:rFonts w:hint="eastAsia" w:ascii="Times New Roman" w:hAnsi="Times New Roman" w:eastAsia="宋体" w:cs="Times New Roman"/>
          <w:color w:val="000000"/>
          <w:sz w:val="24"/>
          <w:highlight w:val="none"/>
        </w:rPr>
        <w:t xml:space="preserve">月</w:t>
      </w:r>
      <w:r>
        <w:rPr>
          <w:rFonts w:ascii="Times New Roman" w:hAnsi="Times New Roman" w:eastAsia="宋体" w:cs="Times New Roman"/>
          <w:color w:val="000000"/>
          <w:sz w:val="24"/>
          <w:highlight w:val="none"/>
        </w:rPr>
        <w:t xml:space="preserve">____</w:t>
      </w:r>
      <w:r>
        <w:rPr>
          <w:rFonts w:hint="eastAsia" w:ascii="Times New Roman" w:hAnsi="Times New Roman" w:eastAsia="宋体" w:cs="Times New Roman"/>
          <w:color w:val="000000"/>
          <w:sz w:val="24"/>
          <w:highlight w:val="none"/>
        </w:rPr>
        <w:t xml:space="preserve">日起生效，特此声明。</w:t>
      </w:r>
      <w:r/>
    </w:p>
    <w:p>
      <w:pPr>
        <w:ind w:firstLine="480"/>
        <w:spacing w:line="360" w:lineRule="auto"/>
        <w:tabs>
          <w:tab w:val="left" w:pos="36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spacing w:line="360" w:lineRule="auto"/>
        <w:tabs>
          <w:tab w:val="left" w:pos="36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t xml:space="preserve">被授权人身份证号码：</w:t>
      </w:r>
      <w:r>
        <w:rPr>
          <w:rFonts w:ascii="Times New Roman" w:hAnsi="Times New Roman" w:eastAsia="宋体" w:cs="Times New Roman"/>
          <w:color w:val="000000"/>
          <w:sz w:val="24"/>
          <w:highlight w:val="none"/>
          <w:u w:val="single"/>
        </w:rPr>
        <w:t xml:space="preserve">                              </w:t>
      </w:r>
      <w:r/>
    </w:p>
    <w:p>
      <w:pPr>
        <w:ind w:firstLine="480"/>
        <w:spacing w:line="360" w:lineRule="auto"/>
        <w:tabs>
          <w:tab w:val="left" w:pos="360" w:leader="none"/>
        </w:tabs>
        <w:rPr>
          <w:rFonts w:ascii="Times New Roman" w:hAnsi="Times New Roman" w:eastAsia="宋体" w:cs="Times New Roman"/>
          <w:color w:val="000000"/>
          <w:sz w:val="24"/>
          <w:highlight w:val="none"/>
          <w:u w:val="single"/>
        </w:rPr>
      </w:pPr>
      <w:r>
        <w:rPr>
          <w:rFonts w:hint="eastAsia" w:ascii="Times New Roman" w:hAnsi="Times New Roman" w:eastAsia="宋体" w:cs="Times New Roman"/>
          <w:color w:val="000000"/>
          <w:sz w:val="24"/>
          <w:highlight w:val="none"/>
        </w:rPr>
        <w:t xml:space="preserve">被授权人联系电话：（手机）</w:t>
      </w:r>
      <w:r>
        <w:rPr>
          <w:rFonts w:ascii="Times New Roman" w:hAnsi="Times New Roman" w:eastAsia="宋体" w:cs="Times New Roman"/>
          <w:color w:val="000000"/>
          <w:sz w:val="24"/>
          <w:highlight w:val="none"/>
          <w:u w:val="single"/>
        </w:rPr>
        <w:t xml:space="preserve">                          </w:t>
      </w:r>
      <w:r/>
    </w:p>
    <w:p>
      <w:pPr>
        <w:ind w:firstLine="480"/>
        <w:spacing w:line="360" w:lineRule="auto"/>
        <w:tabs>
          <w:tab w:val="left" w:pos="360" w:leader="none"/>
        </w:tabs>
        <w:rPr>
          <w:rFonts w:ascii="Times New Roman" w:hAnsi="Times New Roman" w:eastAsia="宋体" w:cs="Times New Roman"/>
          <w:color w:val="000000"/>
          <w:sz w:val="24"/>
          <w:highlight w:val="none"/>
          <w:u w:val="single"/>
        </w:rPr>
      </w:pPr>
      <w:r>
        <w:rPr>
          <w:rFonts w:hint="eastAsia" w:ascii="宋体" w:hAnsi="宋体" w:eastAsia="宋体" w:cs="楷体"/>
          <w:color w:val="000000"/>
          <w:sz w:val="24"/>
          <w:highlight w:val="none"/>
        </w:rPr>
        <w:t xml:space="preserve">法定代表人身份证号码：</w:t>
      </w:r>
      <w:r>
        <w:rPr>
          <w:rFonts w:hint="eastAsia" w:ascii="宋体" w:hAnsi="宋体" w:eastAsia="宋体" w:cs="楷体"/>
          <w:color w:val="000000"/>
          <w:sz w:val="24"/>
          <w:highlight w:val="none"/>
          <w:u w:val="single"/>
        </w:rPr>
        <w:t xml:space="preserve">                      </w:t>
      </w:r>
      <w:r/>
    </w:p>
    <w:p>
      <w:pPr>
        <w:ind w:firstLine="480"/>
        <w:jc w:val="left"/>
        <w:spacing w:line="360" w:lineRule="auto"/>
        <w:rPr>
          <w:rFonts w:ascii="Times New Roman" w:hAnsi="Times New Roman" w:eastAsia="宋体" w:cs="Times New Roman"/>
          <w:color w:val="000000"/>
          <w:sz w:val="20"/>
          <w:szCs w:val="20"/>
          <w:highlight w:val="none"/>
        </w:rPr>
      </w:pPr>
      <w:r>
        <w:rPr>
          <w:rFonts w:hint="eastAsia" w:ascii="宋体" w:hAnsi="宋体" w:eastAsia="宋体" w:cs="楷体"/>
          <w:color w:val="000000"/>
          <w:sz w:val="24"/>
          <w:highlight w:val="none"/>
        </w:rPr>
        <w:t xml:space="preserve">法定代表人联系方式（手机）：</w:t>
      </w:r>
      <w:r>
        <w:rPr>
          <w:rFonts w:hint="eastAsia" w:ascii="宋体" w:hAnsi="宋体" w:eastAsia="宋体" w:cs="楷体"/>
          <w:color w:val="000000"/>
          <w:sz w:val="24"/>
          <w:highlight w:val="none"/>
          <w:u w:val="single"/>
        </w:rPr>
        <w:t xml:space="preserve">              </w:t>
      </w:r>
      <w:r/>
    </w:p>
    <w:p>
      <w:pPr>
        <w:ind w:firstLine="4080"/>
        <w:spacing w:line="360" w:lineRule="auto"/>
        <w:tabs>
          <w:tab w:val="left" w:pos="36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ind w:firstLine="4080"/>
        <w:spacing w:line="360" w:lineRule="auto"/>
        <w:tabs>
          <w:tab w:val="left" w:pos="36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授权单位名称：</w:t>
      </w:r>
      <w:r>
        <w:rPr>
          <w:rFonts w:hint="eastAsia" w:ascii="Times New Roman" w:hAnsi="Times New Roman" w:eastAsia="宋体" w:cs="Times New Roman"/>
          <w:color w:val="000000"/>
          <w:sz w:val="24"/>
          <w:highlight w:val="none"/>
          <w:u w:val="single"/>
        </w:rPr>
        <w:t xml:space="preserve">（加盖</w:t>
      </w:r>
      <w:r>
        <w:rPr>
          <w:rFonts w:ascii="Times New Roman" w:hAnsi="Times New Roman" w:eastAsia="宋体" w:cs="Times New Roman"/>
          <w:color w:val="000000"/>
          <w:sz w:val="24"/>
          <w:highlight w:val="none"/>
          <w:u w:val="single"/>
        </w:rPr>
        <w:t xml:space="preserve">CA</w:t>
      </w:r>
      <w:r>
        <w:rPr>
          <w:rFonts w:hint="eastAsia" w:ascii="Times New Roman" w:hAnsi="Times New Roman" w:eastAsia="宋体" w:cs="Times New Roman"/>
          <w:color w:val="000000"/>
          <w:sz w:val="24"/>
          <w:highlight w:val="none"/>
          <w:u w:val="single"/>
        </w:rPr>
        <w:t xml:space="preserve">电子公章）</w:t>
      </w:r>
      <w:r/>
    </w:p>
    <w:p>
      <w:pPr>
        <w:ind w:firstLine="480"/>
        <w:spacing w:line="360" w:lineRule="auto"/>
        <w:tabs>
          <w:tab w:val="left" w:pos="36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t xml:space="preserve"> 单位地址：</w:t>
      </w:r>
      <w:r>
        <w:rPr>
          <w:rFonts w:ascii="Times New Roman" w:hAnsi="Times New Roman" w:eastAsia="宋体" w:cs="Times New Roman"/>
          <w:color w:val="000000"/>
          <w:sz w:val="24"/>
          <w:highlight w:val="none"/>
          <w:u w:val="single"/>
        </w:rPr>
        <w:t xml:space="preserve">                     </w:t>
      </w:r>
      <w:r/>
    </w:p>
    <w:p>
      <w:pPr>
        <w:ind w:firstLine="480"/>
        <w:spacing w:line="360" w:lineRule="auto"/>
        <w:tabs>
          <w:tab w:val="left" w:pos="36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t xml:space="preserve">日期：</w:t>
      </w:r>
      <w:bookmarkStart w:id="1199" w:name="_格式3__银行出具的资信证明"/>
      <w:r/>
      <w:bookmarkEnd w:id="1199"/>
      <w:r/>
      <w:bookmarkStart w:id="1200" w:name="_Hlt26671380"/>
      <w:r/>
      <w:bookmarkEnd w:id="1200"/>
      <w:r/>
      <w:bookmarkStart w:id="1201" w:name="_Hlt26955070"/>
      <w:r/>
      <w:bookmarkEnd w:id="1201"/>
      <w:r/>
      <w:r/>
    </w:p>
    <w:p>
      <w:pPr>
        <w:ind w:firstLine="480"/>
        <w:spacing w:line="360" w:lineRule="auto"/>
        <w:rPr>
          <w:rFonts w:ascii="宋体" w:hAnsi="宋体" w:eastAsia="宋体" w:cs="楷体"/>
          <w:color w:val="000000"/>
          <w:sz w:val="24"/>
          <w:highlight w:val="none"/>
          <w:u w:val="single"/>
        </w:rPr>
      </w:pPr>
      <w:r>
        <w:rPr>
          <w:rFonts w:hint="eastAsia" w:ascii="宋体" w:hAnsi="宋体" w:eastAsia="宋体" w:cs="楷体"/>
          <w:color w:val="000000"/>
          <w:sz w:val="24"/>
          <w:highlight w:val="none"/>
        </w:rPr>
        <w:t xml:space="preserve">注意事项：</w:t>
      </w:r>
      <w:r>
        <w:rPr>
          <w:rFonts w:hint="eastAsia" w:ascii="宋体" w:hAnsi="宋体" w:eastAsia="宋体" w:cs="楷体"/>
          <w:color w:val="000000"/>
          <w:sz w:val="24"/>
          <w:highlight w:val="none"/>
          <w:u w:val="single"/>
        </w:rPr>
        <w:t xml:space="preserve">需附法定代表人第二代居民身份证复印件（正反面）和被授权人第二代居民身份证复印件（正反面）。</w:t>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eastAsia" w:ascii="Symbol" w:hAnsi="Symbol" w:eastAsia="宋体" w:cs="Symbol"/>
          <w:color w:val="000000"/>
          <w:sz w:val="24"/>
          <w:szCs w:val="24"/>
          <w:highlight w:val="none"/>
          <w:lang w:val="en-US" w:eastAsia="zh-CN" w:bidi="ar-SA"/>
        </w:rPr>
      </w:pPr>
      <w:r>
        <w:rPr>
          <w:rFonts w:hint="eastAsia" w:ascii="Symbol" w:hAnsi="Symbol" w:eastAsia="宋体" w:cs="Symbol"/>
          <w:color w:val="000000"/>
          <w:sz w:val="24"/>
          <w:szCs w:val="24"/>
          <w:highlight w:val="none"/>
          <w:lang w:val="en-US" w:eastAsia="zh-CN" w:bidi="ar-SA"/>
        </w:rPr>
      </w:r>
      <w:r/>
    </w:p>
    <w:p>
      <w:pPr>
        <w:ind w:firstLine="723"/>
        <w:jc w:val="center"/>
        <w:spacing w:after="120" w:line="360" w:lineRule="auto"/>
        <w:rPr>
          <w:rFonts w:hint="eastAsia" w:ascii="Times New Roman" w:hAnsi="Times New Roman" w:eastAsia="宋体" w:cs="Times New Roman"/>
          <w:b/>
          <w:color w:val="000000"/>
          <w:spacing w:val="20"/>
          <w:sz w:val="32"/>
          <w:szCs w:val="32"/>
          <w:highlight w:val="none"/>
        </w:rPr>
      </w:pPr>
      <w:r>
        <w:rPr>
          <w:rFonts w:hint="eastAsia" w:ascii="Times New Roman" w:hAnsi="Times New Roman" w:eastAsia="宋体" w:cs="Times New Roman"/>
          <w:b/>
          <w:color w:val="000000"/>
          <w:spacing w:val="20"/>
          <w:sz w:val="32"/>
          <w:szCs w:val="32"/>
          <w:highlight w:val="none"/>
        </w:rPr>
        <w:t xml:space="preserve">十、资格承诺声明函</w:t>
      </w:r>
      <w:r>
        <w:rPr>
          <w:rFonts w:ascii="Times New Roman" w:hAnsi="Times New Roman" w:eastAsia="宋体" w:cs="Times New Roman"/>
          <w:b/>
          <w:color w:val="000000"/>
          <w:spacing w:val="20"/>
          <w:sz w:val="32"/>
          <w:szCs w:val="32"/>
          <w:highlight w:val="none"/>
        </w:rPr>
        <w:t xml:space="preserve">（实质性格式）</w:t>
      </w:r>
      <w:r/>
    </w:p>
    <w:p>
      <w:pPr>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致本项目采购单位及</w:t>
      </w:r>
      <w:r>
        <w:rPr>
          <w:rFonts w:hint="eastAsia" w:ascii="宋体" w:hAnsi="宋体" w:eastAsia="宋体" w:cs="楷体"/>
          <w:color w:val="000000"/>
          <w:sz w:val="24"/>
          <w:highlight w:val="none"/>
        </w:rPr>
        <w:t xml:space="preserve">常州诚誉工程咨询有限公司</w:t>
      </w:r>
      <w:r>
        <w:rPr>
          <w:rFonts w:hint="eastAsia" w:ascii="宋体" w:hAnsi="宋体" w:eastAsia="宋体" w:cs="楷体"/>
          <w:color w:val="000000"/>
          <w:sz w:val="24"/>
          <w:highlight w:val="none"/>
        </w:rPr>
        <w:t xml:space="preserve">：</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按照《中华人民共和国政府采购法》第二十二条及采购文件的规定，我单位郑重声明如下：</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一、我单位全称为</w:t>
      </w:r>
      <w:r>
        <w:rPr>
          <w:rFonts w:ascii="宋体" w:hAnsi="宋体" w:eastAsia="宋体" w:cs="楷体"/>
          <w:color w:val="000000"/>
          <w:sz w:val="24"/>
          <w:highlight w:val="none"/>
          <w:u w:val="single"/>
        </w:rPr>
        <w:t xml:space="preserve">                      </w:t>
      </w:r>
      <w:r>
        <w:rPr>
          <w:rFonts w:hint="eastAsia" w:ascii="宋体" w:hAnsi="宋体" w:eastAsia="宋体" w:cs="楷体"/>
          <w:color w:val="000000"/>
          <w:sz w:val="24"/>
          <w:highlight w:val="none"/>
        </w:rPr>
        <w:t xml:space="preserve">，注册地点为</w:t>
      </w:r>
      <w:r>
        <w:rPr>
          <w:rFonts w:ascii="宋体" w:hAnsi="宋体" w:eastAsia="宋体" w:cs="楷体"/>
          <w:color w:val="000000"/>
          <w:sz w:val="24"/>
          <w:highlight w:val="none"/>
          <w:u w:val="single"/>
        </w:rPr>
        <w:t xml:space="preserve">                        </w:t>
      </w:r>
      <w:r>
        <w:rPr>
          <w:rFonts w:hint="eastAsia" w:ascii="宋体" w:hAnsi="宋体" w:eastAsia="宋体" w:cs="楷体"/>
          <w:color w:val="000000"/>
          <w:sz w:val="24"/>
          <w:highlight w:val="none"/>
        </w:rPr>
        <w:t xml:space="preserve">，统一社会信用代码为</w:t>
      </w:r>
      <w:r>
        <w:rPr>
          <w:rFonts w:ascii="宋体" w:hAnsi="宋体" w:eastAsia="宋体" w:cs="楷体"/>
          <w:color w:val="000000"/>
          <w:sz w:val="24"/>
          <w:highlight w:val="none"/>
          <w:u w:val="single"/>
        </w:rPr>
        <w:t xml:space="preserve">                   </w:t>
      </w:r>
      <w:r>
        <w:rPr>
          <w:rFonts w:hint="eastAsia" w:ascii="宋体" w:hAnsi="宋体" w:eastAsia="宋体" w:cs="楷体"/>
          <w:color w:val="000000"/>
          <w:sz w:val="24"/>
          <w:highlight w:val="none"/>
        </w:rPr>
        <w:t xml:space="preserve">，法定代表人（单位负责人）为</w:t>
      </w:r>
      <w:r>
        <w:rPr>
          <w:rFonts w:ascii="宋体" w:hAnsi="宋体" w:eastAsia="宋体" w:cs="楷体"/>
          <w:color w:val="000000"/>
          <w:sz w:val="24"/>
          <w:highlight w:val="none"/>
          <w:u w:val="single"/>
        </w:rPr>
        <w:t xml:space="preserve">                    </w:t>
      </w:r>
      <w:r>
        <w:rPr>
          <w:rFonts w:hint="eastAsia" w:ascii="宋体" w:hAnsi="宋体" w:eastAsia="宋体" w:cs="楷体"/>
          <w:color w:val="000000"/>
          <w:sz w:val="24"/>
          <w:highlight w:val="none"/>
        </w:rPr>
        <w:t xml:space="preserve">。</w:t>
      </w:r>
      <w:r>
        <w:rPr>
          <w:rFonts w:ascii="宋体" w:hAnsi="宋体" w:eastAsia="宋体" w:cs="楷体"/>
          <w:color w:val="000000"/>
          <w:sz w:val="24"/>
          <w:highlight w:val="none"/>
        </w:rPr>
        <w:t xml:space="preserve">        </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二、我单位具有独立承担民事责任的能力。</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三、我单位具有良好的商业信誉和健全的财务会计制度。</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四、我单位具有履行合同所必需的设备和专业技术能力。</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五、我单位有依法缴纳税收和社会保障资金的良好记录。</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七、我单位具备法律、行政法规规定的其他条件。</w:t>
      </w:r>
      <w:r/>
    </w:p>
    <w:p>
      <w:pPr>
        <w:ind w:firstLine="480"/>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eastAsia="宋体" w:cs="楷体"/>
          <w:color w:val="000000"/>
          <w:sz w:val="24"/>
          <w:highlight w:val="none"/>
        </w:rPr>
      </w:pPr>
      <w:r>
        <w:rPr>
          <w:rFonts w:ascii="宋体" w:hAnsi="宋体" w:eastAsia="宋体" w:cs="楷体"/>
          <w:color w:val="000000"/>
          <w:sz w:val="24"/>
          <w:highlight w:val="none"/>
        </w:rPr>
      </w:r>
      <w:r/>
    </w:p>
    <w:p>
      <w:pPr>
        <w:contextualSpacing/>
        <w:ind w:firstLine="480"/>
        <w:jc w:val="left"/>
        <w:spacing w:before="120" w:after="120"/>
        <w:widowControl/>
        <w:rPr>
          <w:rFonts w:hint="default" w:ascii="宋体" w:hAnsi="宋体" w:eastAsia="宋体" w:cs="楷体"/>
          <w:color w:val="000000"/>
          <w:sz w:val="24"/>
          <w:szCs w:val="24"/>
          <w:highlight w:val="none"/>
          <w:lang w:val="en-US" w:eastAsia="zh-CN" w:bidi="ar-SA"/>
        </w:rPr>
      </w:pPr>
      <w:r>
        <w:rPr>
          <w:rFonts w:hint="default" w:ascii="宋体" w:hAnsi="宋体" w:eastAsia="宋体" w:cs="楷体"/>
          <w:color w:val="000000"/>
          <w:sz w:val="24"/>
          <w:szCs w:val="24"/>
          <w:highlight w:val="none"/>
          <w:lang w:val="en-US" w:eastAsia="zh-CN" w:bidi="ar-SA"/>
        </w:rPr>
      </w:r>
      <w:r/>
    </w:p>
    <w:p>
      <w:pPr>
        <w:ind w:firstLine="480"/>
        <w:jc w:val="center"/>
        <w:spacing w:line="500" w:lineRule="exact"/>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 </w:t>
      </w:r>
      <w:r>
        <w:rPr>
          <w:rFonts w:ascii="宋体" w:hAnsi="宋体" w:eastAsia="宋体" w:cs="楷体"/>
          <w:color w:val="000000"/>
          <w:sz w:val="24"/>
          <w:highlight w:val="none"/>
        </w:rPr>
        <w:t xml:space="preserve">           </w:t>
      </w:r>
      <w:r>
        <w:rPr>
          <w:rFonts w:hint="eastAsia" w:ascii="宋体" w:hAnsi="宋体" w:eastAsia="宋体" w:cs="楷体"/>
          <w:color w:val="000000"/>
          <w:sz w:val="24"/>
          <w:highlight w:val="none"/>
        </w:rPr>
        <w:t xml:space="preserve">             </w:t>
      </w:r>
      <w:r>
        <w:rPr>
          <w:rFonts w:hint="eastAsia" w:ascii="宋体" w:hAnsi="宋体" w:eastAsia="宋体" w:cs="Times New Roman"/>
          <w:bCs/>
          <w:color w:val="000000"/>
          <w:sz w:val="24"/>
          <w:highlight w:val="none"/>
        </w:rPr>
        <w:t xml:space="preserve">投标单位名称：</w:t>
      </w:r>
      <w:r>
        <w:rPr>
          <w:rFonts w:hint="eastAsia" w:ascii="宋体" w:hAnsi="宋体" w:eastAsia="宋体" w:cs="楷体"/>
          <w:color w:val="000000"/>
          <w:sz w:val="24"/>
          <w:highlight w:val="none"/>
        </w:rPr>
        <w:t xml:space="preserve">（加盖CA电子公章）</w:t>
      </w:r>
      <w:r/>
    </w:p>
    <w:p>
      <w:pPr>
        <w:ind w:firstLine="432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法定代表人（负责人）：</w:t>
      </w:r>
      <w:r/>
    </w:p>
    <w:p>
      <w:pPr>
        <w:ind w:firstLine="480"/>
        <w:jc w:val="center"/>
        <w:spacing w:line="500" w:lineRule="exact"/>
        <w:rPr>
          <w:rFonts w:ascii="宋体" w:hAnsi="宋体" w:eastAsia="宋体" w:cs="楷体"/>
          <w:color w:val="000000"/>
          <w:sz w:val="24"/>
          <w:highlight w:val="none"/>
        </w:rPr>
      </w:pPr>
      <w:r>
        <w:rPr>
          <w:rFonts w:ascii="宋体" w:hAnsi="宋体" w:eastAsia="宋体" w:cs="楷体"/>
          <w:color w:val="000000"/>
          <w:sz w:val="24"/>
          <w:highlight w:val="none"/>
        </w:rPr>
        <w:t xml:space="preserve">            </w:t>
      </w:r>
      <w:r>
        <w:rPr>
          <w:rFonts w:hint="eastAsia" w:ascii="宋体" w:hAnsi="宋体" w:eastAsia="宋体" w:cs="楷体"/>
          <w:color w:val="000000"/>
          <w:sz w:val="24"/>
          <w:highlight w:val="none"/>
        </w:rPr>
        <w:t xml:space="preserve">   日期：</w:t>
      </w:r>
      <w:r>
        <w:rPr>
          <w:rFonts w:ascii="宋体" w:hAnsi="宋体" w:eastAsia="宋体" w:cs="楷体"/>
          <w:color w:val="000000"/>
          <w:sz w:val="24"/>
          <w:highlight w:val="none"/>
        </w:rPr>
        <w:t xml:space="preserve">    </w:t>
      </w:r>
      <w:r>
        <w:rPr>
          <w:rFonts w:hint="eastAsia" w:ascii="宋体" w:hAnsi="宋体" w:eastAsia="宋体" w:cs="楷体"/>
          <w:color w:val="000000"/>
          <w:sz w:val="24"/>
          <w:highlight w:val="none"/>
        </w:rPr>
        <w:t xml:space="preserve">年</w:t>
      </w:r>
      <w:r>
        <w:rPr>
          <w:rFonts w:ascii="宋体" w:hAnsi="宋体" w:eastAsia="宋体" w:cs="楷体"/>
          <w:color w:val="000000"/>
          <w:sz w:val="24"/>
          <w:highlight w:val="none"/>
        </w:rPr>
        <w:t xml:space="preserve">   </w:t>
      </w:r>
      <w:r>
        <w:rPr>
          <w:rFonts w:hint="eastAsia" w:ascii="宋体" w:hAnsi="宋体" w:eastAsia="宋体" w:cs="楷体"/>
          <w:color w:val="000000"/>
          <w:sz w:val="24"/>
          <w:highlight w:val="none"/>
        </w:rPr>
        <w:t xml:space="preserve">月</w:t>
      </w:r>
      <w:r>
        <w:rPr>
          <w:rFonts w:ascii="宋体" w:hAnsi="宋体" w:eastAsia="宋体" w:cs="楷体"/>
          <w:color w:val="000000"/>
          <w:sz w:val="24"/>
          <w:highlight w:val="none"/>
        </w:rPr>
        <w:t xml:space="preserve">   </w:t>
      </w:r>
      <w:r>
        <w:rPr>
          <w:rFonts w:hint="eastAsia" w:ascii="宋体" w:hAnsi="宋体" w:eastAsia="宋体" w:cs="楷体"/>
          <w:color w:val="000000"/>
          <w:sz w:val="24"/>
          <w:highlight w:val="none"/>
        </w:rPr>
        <w:t xml:space="preserve">日</w:t>
      </w:r>
      <w:r/>
    </w:p>
    <w:p>
      <w:pPr>
        <w:spacing w:line="440" w:lineRule="exact"/>
        <w:widowControl/>
        <w:rPr>
          <w:rFonts w:ascii="宋体" w:hAnsi="宋体" w:eastAsia="宋体" w:cs="楷体"/>
          <w:color w:val="000000"/>
          <w:sz w:val="24"/>
          <w:highlight w:val="none"/>
        </w:rPr>
      </w:pPr>
      <w:r>
        <w:rPr>
          <w:rFonts w:ascii="宋体" w:hAnsi="宋体" w:eastAsia="宋体" w:cs="楷体"/>
          <w:color w:val="000000"/>
          <w:sz w:val="24"/>
          <w:highlight w:val="none"/>
        </w:rPr>
      </w:r>
      <w:r/>
    </w:p>
    <w:p>
      <w:pPr>
        <w:spacing w:line="440" w:lineRule="exact"/>
        <w:widowControl/>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spacing w:line="440" w:lineRule="exact"/>
        <w:widowControl/>
        <w:rPr>
          <w:rFonts w:ascii="宋体" w:hAnsi="宋体" w:eastAsia="宋体" w:cs="Times New Roman"/>
          <w:b/>
          <w:color w:val="000000"/>
          <w:sz w:val="24"/>
          <w:highlight w:val="none"/>
        </w:rPr>
      </w:pPr>
      <w:r>
        <w:rPr>
          <w:rFonts w:ascii="宋体" w:hAnsi="宋体" w:eastAsia="宋体" w:cs="Times New Roman"/>
          <w:b/>
          <w:color w:val="000000"/>
          <w:sz w:val="24"/>
          <w:highlight w:val="none"/>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spacing w:line="440" w:lineRule="exact"/>
        <w:widowControl/>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jc w:val="center"/>
        <w:spacing w:after="120" w:line="360" w:lineRule="auto"/>
        <w:widowControl w:val="off"/>
        <w:rPr>
          <w:rFonts w:hint="eastAsia" w:ascii="Times New Roman" w:hAnsi="Times New Roman" w:eastAsia="宋体" w:cs="Times New Roman"/>
          <w:b/>
          <w:color w:val="000000"/>
          <w:spacing w:val="20"/>
          <w:sz w:val="32"/>
          <w:szCs w:val="32"/>
          <w:highlight w:val="none"/>
          <w:lang w:val="en-US" w:eastAsia="zh-CN" w:bidi="ar-SA"/>
        </w:rPr>
      </w:pPr>
      <w:r>
        <w:rPr>
          <w:rFonts w:hint="eastAsia" w:ascii="Times New Roman" w:hAnsi="Times New Roman" w:eastAsia="宋体" w:cs="Times New Roman"/>
          <w:b/>
          <w:color w:val="000000"/>
          <w:spacing w:val="20"/>
          <w:sz w:val="32"/>
          <w:szCs w:val="32"/>
          <w:highlight w:val="none"/>
          <w:lang w:val="en-US" w:eastAsia="zh-CN" w:bidi="ar-SA"/>
        </w:rPr>
        <w:t xml:space="preserve">十一、政府采购供应商信用承诺书</w:t>
      </w:r>
      <w:r>
        <w:rPr>
          <w:rFonts w:hint="default" w:ascii="Times New Roman" w:hAnsi="Times New Roman" w:eastAsia="宋体" w:cs="Times New Roman"/>
          <w:b/>
          <w:color w:val="000000"/>
          <w:spacing w:val="20"/>
          <w:sz w:val="32"/>
          <w:szCs w:val="32"/>
          <w:highlight w:val="none"/>
          <w:lang w:val="en-US" w:eastAsia="zh-CN" w:bidi="ar-SA"/>
        </w:rPr>
        <w:t xml:space="preserve">（实质性格式）</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五、承诺本单位自觉接受行政管理部门、行业组织、社会公众、新闻舆论的监督。 </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七、承诺本单位在信用中国（江苏）网站中无违法违规、较重或严重失信记录。 </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八、承诺本单位提出政府采购质疑和投诉坚持依法依规、诚实信用原则。</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九、根据政府采购相关法律法规的规定需要作出的其他承诺。                                         </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eastAsia="宋体" w:cs="楷体"/>
          <w:color w:val="000000"/>
          <w:sz w:val="24"/>
          <w:highlight w:val="none"/>
        </w:rPr>
      </w:pPr>
      <w:r>
        <w:rPr>
          <w:rFonts w:hint="eastAsia" w:ascii="宋体" w:hAnsi="宋体" w:eastAsia="宋体" w:cs="楷体"/>
          <w:color w:val="000000"/>
          <w:sz w:val="24"/>
          <w:highlight w:val="none"/>
        </w:rPr>
      </w:r>
      <w:r/>
    </w:p>
    <w:p>
      <w:pPr>
        <w:ind w:firstLine="480"/>
        <w:spacing w:line="360" w:lineRule="auto"/>
        <w:rPr>
          <w:rFonts w:hint="eastAsia" w:ascii="宋体" w:hAnsi="宋体" w:eastAsia="宋体" w:cs="楷体"/>
          <w:color w:val="000000"/>
          <w:sz w:val="24"/>
          <w:highlight w:val="none"/>
        </w:rPr>
      </w:pPr>
      <w:r>
        <w:rPr>
          <w:rFonts w:hint="eastAsia" w:ascii="宋体" w:hAnsi="宋体" w:eastAsia="宋体" w:cs="楷体"/>
          <w:color w:val="000000"/>
          <w:sz w:val="24"/>
          <w:highlight w:val="none"/>
        </w:rPr>
      </w:r>
      <w:r/>
    </w:p>
    <w:p>
      <w:pPr>
        <w:ind w:firstLine="5040"/>
        <w:spacing w:line="400" w:lineRule="exact"/>
        <w:rPr>
          <w:rFonts w:ascii="宋体" w:hAnsi="宋体" w:eastAsia="宋体" w:cs="楷体"/>
          <w:color w:val="000000"/>
          <w:sz w:val="24"/>
          <w:highlight w:val="none"/>
        </w:rPr>
      </w:pPr>
      <w:r>
        <w:rPr>
          <w:rFonts w:hint="eastAsia" w:ascii="宋体" w:hAnsi="宋体" w:eastAsia="宋体" w:cs="Times New Roman"/>
          <w:bCs/>
          <w:color w:val="000000"/>
          <w:sz w:val="24"/>
          <w:highlight w:val="none"/>
        </w:rPr>
        <w:t xml:space="preserve">投标单位名称：</w:t>
      </w:r>
      <w:r>
        <w:rPr>
          <w:rFonts w:hint="eastAsia" w:ascii="宋体" w:hAnsi="宋体" w:eastAsia="宋体" w:cs="楷体"/>
          <w:color w:val="000000"/>
          <w:sz w:val="24"/>
          <w:highlight w:val="none"/>
        </w:rPr>
        <w:t xml:space="preserve">（加盖CA电子公章）</w:t>
      </w:r>
      <w:r/>
    </w:p>
    <w:p>
      <w:pPr>
        <w:ind w:firstLine="5040"/>
        <w:spacing w:line="400" w:lineRule="exact"/>
        <w:rPr>
          <w:rFonts w:hint="eastAsia" w:ascii="宋体" w:hAnsi="宋体" w:eastAsia="宋体" w:cs="楷体"/>
          <w:color w:val="000000"/>
          <w:sz w:val="24"/>
          <w:highlight w:val="none"/>
        </w:rPr>
      </w:pPr>
      <w:r>
        <w:rPr>
          <w:rFonts w:hint="eastAsia" w:ascii="宋体" w:hAnsi="宋体" w:eastAsia="宋体" w:cs="楷体"/>
          <w:color w:val="000000"/>
          <w:sz w:val="24"/>
          <w:highlight w:val="none"/>
        </w:rPr>
        <w:t xml:space="preserve">法定代表人（负责人）：</w:t>
      </w:r>
      <w:r/>
    </w:p>
    <w:p>
      <w:pPr>
        <w:ind w:right="0" w:firstLine="5160"/>
        <w:jc w:val="both"/>
        <w:spacing w:line="400" w:lineRule="exact"/>
        <w:widowControl w:val="off"/>
        <w:rPr>
          <w:rFonts w:hint="default"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年   月   日</w:t>
      </w:r>
      <w:r/>
    </w:p>
    <w:p>
      <w:pPr>
        <w:ind w:right="0" w:firstLine="5160"/>
        <w:jc w:val="both"/>
        <w:spacing w:line="400" w:lineRule="exact"/>
        <w:widowControl w:val="off"/>
        <w:rPr>
          <w:rFonts w:hint="default" w:ascii="宋体" w:hAnsi="宋体" w:eastAsia="宋体" w:cs="楷体"/>
          <w:color w:val="000000"/>
          <w:sz w:val="24"/>
          <w:szCs w:val="24"/>
          <w:highlight w:val="none"/>
          <w:lang w:val="en-US" w:eastAsia="zh-CN" w:bidi="ar-SA"/>
        </w:rPr>
      </w:pPr>
      <w:r>
        <w:rPr>
          <w:rFonts w:hint="default" w:ascii="宋体" w:hAnsi="宋体" w:eastAsia="宋体" w:cs="楷体"/>
          <w:color w:val="000000"/>
          <w:sz w:val="24"/>
          <w:szCs w:val="24"/>
          <w:highlight w:val="none"/>
          <w:lang w:val="en-US" w:eastAsia="zh-CN" w:bidi="ar-SA"/>
        </w:rPr>
      </w:r>
      <w:r/>
    </w:p>
    <w:p>
      <w:pPr>
        <w:ind w:right="0" w:firstLine="5160"/>
        <w:jc w:val="both"/>
        <w:spacing w:line="400" w:lineRule="exact"/>
        <w:widowControl w:val="off"/>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r>
      <w:r/>
    </w:p>
    <w:p>
      <w:pPr>
        <w:ind w:right="0" w:firstLine="5160"/>
        <w:jc w:val="both"/>
        <w:spacing w:line="400" w:lineRule="exact"/>
        <w:widowControl w:val="off"/>
        <w:rPr>
          <w:rFonts w:hint="default" w:ascii="宋体" w:hAnsi="宋体" w:eastAsia="宋体" w:cs="楷体"/>
          <w:color w:val="000000"/>
          <w:sz w:val="24"/>
          <w:szCs w:val="24"/>
          <w:highlight w:val="none"/>
          <w:lang w:val="en-US" w:eastAsia="zh-CN" w:bidi="ar-SA"/>
        </w:rPr>
      </w:pPr>
      <w:r>
        <w:rPr>
          <w:rFonts w:hint="default" w:ascii="宋体" w:hAnsi="宋体" w:eastAsia="宋体" w:cs="楷体"/>
          <w:color w:val="000000"/>
          <w:sz w:val="24"/>
          <w:szCs w:val="24"/>
          <w:highlight w:val="none"/>
          <w:lang w:val="en-US" w:eastAsia="zh-CN" w:bidi="ar-SA"/>
        </w:rPr>
      </w:r>
      <w:r/>
    </w:p>
    <w:p>
      <w:pPr>
        <w:ind w:right="0" w:firstLine="5160"/>
        <w:jc w:val="both"/>
        <w:spacing w:line="400" w:lineRule="exact"/>
        <w:widowControl w:val="off"/>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r>
      <w:r/>
    </w:p>
    <w:p>
      <w:pPr>
        <w:ind w:firstLine="2168"/>
        <w:spacing w:after="120" w:line="360" w:lineRule="auto"/>
        <w:rPr>
          <w:rFonts w:ascii="Times New Roman" w:hAnsi="Times New Roman" w:eastAsia="宋体" w:cs="Times New Roman"/>
          <w:b/>
          <w:color w:val="000000"/>
          <w:spacing w:val="20"/>
          <w:sz w:val="32"/>
          <w:szCs w:val="32"/>
          <w:highlight w:val="none"/>
        </w:rPr>
      </w:pPr>
      <w:r>
        <w:rPr>
          <w:rFonts w:hint="eastAsia" w:ascii="Times New Roman" w:hAnsi="Times New Roman" w:eastAsia="宋体" w:cs="Times New Roman"/>
          <w:b/>
          <w:color w:val="000000"/>
          <w:spacing w:val="20"/>
          <w:sz w:val="32"/>
          <w:szCs w:val="32"/>
          <w:highlight w:val="none"/>
        </w:rPr>
        <w:t xml:space="preserve">十二、</w:t>
      </w:r>
      <w:r>
        <w:rPr>
          <w:rFonts w:ascii="Times New Roman" w:hAnsi="Times New Roman" w:eastAsia="宋体" w:cs="Times New Roman"/>
          <w:b/>
          <w:color w:val="000000"/>
          <w:spacing w:val="20"/>
          <w:sz w:val="32"/>
          <w:szCs w:val="32"/>
          <w:highlight w:val="none"/>
        </w:rPr>
        <w:t xml:space="preserve">联合体</w:t>
      </w:r>
      <w:r>
        <w:rPr>
          <w:rFonts w:hint="eastAsia" w:ascii="Times New Roman" w:hAnsi="Times New Roman" w:eastAsia="宋体" w:cs="Times New Roman"/>
          <w:b/>
          <w:color w:val="000000"/>
          <w:spacing w:val="20"/>
          <w:sz w:val="32"/>
          <w:szCs w:val="32"/>
          <w:highlight w:val="none"/>
        </w:rPr>
        <w:t xml:space="preserve">协议</w:t>
      </w:r>
      <w:r>
        <w:rPr>
          <w:rFonts w:ascii="Times New Roman" w:hAnsi="Times New Roman" w:eastAsia="宋体" w:cs="Times New Roman"/>
          <w:b/>
          <w:color w:val="000000"/>
          <w:spacing w:val="20"/>
          <w:sz w:val="32"/>
          <w:szCs w:val="32"/>
          <w:highlight w:val="none"/>
        </w:rPr>
        <w:t xml:space="preserve">（实质性格式）</w:t>
      </w:r>
      <w:r/>
    </w:p>
    <w:p>
      <w:pPr>
        <w:spacing w:line="560" w:lineRule="exact"/>
        <w:rPr>
          <w:rFonts w:ascii="宋体" w:hAnsi="宋体" w:eastAsia="宋体" w:cs="Times New Roman"/>
          <w:color w:val="000000"/>
          <w:sz w:val="24"/>
          <w:szCs w:val="21"/>
          <w:highlight w:val="none"/>
        </w:rPr>
      </w:pPr>
      <w:r/>
      <w:bookmarkStart w:id="1202" w:name="_Hlk149905720"/>
      <w:r>
        <w:rPr>
          <w:rFonts w:hint="eastAsia" w:ascii="宋体" w:hAnsi="宋体" w:eastAsia="宋体" w:cs="Times New Roman"/>
          <w:color w:val="000000"/>
          <w:sz w:val="24"/>
          <w:szCs w:val="21"/>
          <w:highlight w:val="none"/>
        </w:rPr>
        <w:t xml:space="preserve">（联合体中各供应商全称）在此达成以下协议：</w:t>
      </w:r>
      <w:r/>
    </w:p>
    <w:p>
      <w:pPr>
        <w:ind w:firstLine="645"/>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ascii="宋体" w:hAnsi="宋体" w:eastAsia="宋体" w:cs="宋体"/>
          <w:color w:val="000000"/>
          <w:sz w:val="24"/>
          <w:highlight w:val="none"/>
        </w:rPr>
        <w:t xml:space="preserve">常州诚誉工程咨询有限公司</w:t>
      </w:r>
      <w:r>
        <w:rPr>
          <w:rFonts w:hint="eastAsia" w:ascii="宋体" w:hAnsi="宋体" w:eastAsia="宋体" w:cs="Times New Roman"/>
          <w:color w:val="000000"/>
          <w:sz w:val="24"/>
          <w:szCs w:val="21"/>
          <w:highlight w:val="none"/>
        </w:rPr>
        <w:t xml:space="preserve">组织的采购编号为</w:t>
      </w:r>
      <w:r>
        <w:rPr>
          <w:rFonts w:hint="eastAsia" w:ascii="宋体" w:hAnsi="宋体" w:eastAsia="宋体" w:cs="Times New Roman"/>
          <w:color w:val="000000"/>
          <w:sz w:val="24"/>
          <w:szCs w:val="21"/>
          <w:highlight w:val="none"/>
          <w:u w:val="single"/>
        </w:rPr>
        <w:t xml:space="preserve">（编号全称），（项目全称）</w:t>
      </w:r>
      <w:r>
        <w:rPr>
          <w:rFonts w:hint="eastAsia" w:ascii="宋体" w:hAnsi="宋体" w:eastAsia="宋体" w:cs="Times New Roman"/>
          <w:color w:val="000000"/>
          <w:sz w:val="24"/>
          <w:szCs w:val="21"/>
          <w:highlight w:val="none"/>
        </w:rPr>
        <w:t xml:space="preserve">项目的政府采购活动，我联合体指定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645"/>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、若我们联合中标、成交，（供应商单位</w:t>
      </w: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全称）实施项目中（工作内容）部分工作，并承担相应的责任。（供应商单位</w:t>
      </w: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w:t>
      </w:r>
      <w:r/>
    </w:p>
    <w:p>
      <w:pPr>
        <w:ind w:firstLine="645"/>
        <w:spacing w:line="56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r>
      <w:r/>
    </w:p>
    <w:p>
      <w:pPr>
        <w:ind w:firstLine="645"/>
        <w:spacing w:line="56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645"/>
        <w:jc w:val="right"/>
        <w:spacing w:line="56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联合体中各供应商全称（公章）：</w:t>
      </w:r>
      <w:r>
        <w:rPr>
          <w:rFonts w:ascii="宋体" w:hAnsi="宋体" w:eastAsia="宋体" w:cs="Times New Roman"/>
          <w:color w:val="000000"/>
          <w:sz w:val="24"/>
          <w:szCs w:val="21"/>
          <w:highlight w:val="none"/>
        </w:rPr>
        <w:t xml:space="preserve">     </w:t>
      </w:r>
      <w:r/>
    </w:p>
    <w:p>
      <w:pPr>
        <w:ind w:firstLine="645"/>
        <w:spacing w:line="56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日期：</w:t>
      </w:r>
      <w:bookmarkEnd w:id="1202"/>
      <w:r/>
      <w:r/>
    </w:p>
    <w:p>
      <w:pPr>
        <w:ind w:left="480"/>
        <w:jc w:val="right"/>
        <w:spacing w:line="360" w:lineRule="auto"/>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p>
      <w:pPr>
        <w:ind w:firstLine="480"/>
        <w:spacing w:line="360" w:lineRule="auto"/>
        <w:tabs>
          <w:tab w:val="left" w:pos="82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ind w:firstLine="480"/>
        <w:spacing w:line="360" w:lineRule="auto"/>
        <w:tabs>
          <w:tab w:val="left" w:pos="82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spacing w:after="120" w:line="360" w:lineRule="auto"/>
        <w:rPr>
          <w:rFonts w:ascii="Times New Roman" w:hAnsi="Times New Roman" w:eastAsia="宋体" w:cs="Times New Roman"/>
          <w:b/>
          <w:color w:val="000000"/>
          <w:spacing w:val="20"/>
          <w:sz w:val="32"/>
          <w:szCs w:val="32"/>
          <w:highlight w:val="none"/>
        </w:rPr>
      </w:pPr>
      <w:r>
        <w:rPr>
          <w:rFonts w:ascii="Times New Roman" w:hAnsi="Times New Roman" w:eastAsia="宋体" w:cs="Times New Roman"/>
          <w:b/>
          <w:color w:val="000000"/>
          <w:spacing w:val="20"/>
          <w:sz w:val="32"/>
          <w:szCs w:val="32"/>
          <w:highlight w:val="none"/>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ind w:firstLine="2168"/>
        <w:keepLines/>
        <w:keepNext/>
        <w:spacing w:after="240" w:line="360" w:lineRule="auto"/>
        <w:widowControl/>
        <w:rPr>
          <w:rFonts w:ascii="Times New Roman" w:hAnsi="Times New Roman" w:eastAsia="宋体" w:cs="Times New Roman"/>
          <w:b/>
          <w:color w:val="000000"/>
          <w:spacing w:val="20"/>
          <w:sz w:val="32"/>
          <w:szCs w:val="32"/>
          <w:highlight w:val="none"/>
        </w:rPr>
        <w:outlineLvl w:val="0"/>
      </w:pPr>
      <w:r>
        <w:rPr>
          <w:rFonts w:hint="eastAsia" w:ascii="Times New Roman" w:hAnsi="Times New Roman" w:eastAsia="宋体" w:cs="Times New Roman"/>
          <w:b/>
          <w:color w:val="000000"/>
          <w:spacing w:val="20"/>
          <w:sz w:val="32"/>
          <w:szCs w:val="32"/>
          <w:highlight w:val="none"/>
        </w:rPr>
        <w:t xml:space="preserve">十三、投标函</w:t>
      </w:r>
      <w:r>
        <w:rPr>
          <w:rFonts w:ascii="Times New Roman" w:hAnsi="Times New Roman" w:eastAsia="宋体" w:cs="Times New Roman"/>
          <w:b/>
          <w:color w:val="000000"/>
          <w:spacing w:val="20"/>
          <w:sz w:val="32"/>
          <w:szCs w:val="32"/>
          <w:highlight w:val="none"/>
        </w:rPr>
        <w:t xml:space="preserve">（实质性格式）</w:t>
      </w:r>
      <w:r/>
    </w:p>
    <w:p>
      <w:pPr>
        <w:jc w:val="left"/>
        <w:spacing w:line="42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w:t>
      </w:r>
      <w:r>
        <w:rPr>
          <w:rFonts w:ascii="宋体" w:hAnsi="宋体" w:eastAsia="宋体" w:cs="宋体"/>
          <w:color w:val="000000"/>
          <w:sz w:val="24"/>
          <w:highlight w:val="none"/>
        </w:rPr>
        <w:t xml:space="preserve">常州诚誉工程咨询有限公司</w:t>
      </w:r>
      <w:r/>
    </w:p>
    <w:p>
      <w:pPr>
        <w:ind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w:t>
      </w:r>
      <w:r>
        <w:rPr>
          <w:rFonts w:ascii="宋体" w:hAnsi="宋体" w:eastAsia="宋体" w:cs="Times New Roman"/>
          <w:color w:val="000000"/>
          <w:sz w:val="24"/>
          <w:szCs w:val="21"/>
          <w:highlight w:val="none"/>
        </w:rPr>
        <w:t xml:space="preserve">***</w:t>
      </w:r>
      <w:r>
        <w:rPr>
          <w:rFonts w:hint="eastAsia" w:ascii="宋体" w:hAnsi="宋体" w:eastAsia="宋体" w:cs="Times New Roman"/>
          <w:b/>
          <w:color w:val="000000"/>
          <w:sz w:val="36"/>
          <w:highlight w:val="none"/>
          <w:u w:val="single"/>
        </w:rPr>
        <w:t xml:space="preserve">            </w:t>
      </w:r>
      <w:r>
        <w:rPr>
          <w:rFonts w:hint="eastAsia" w:ascii="宋体" w:hAnsi="宋体" w:eastAsia="宋体" w:cs="Times New Roman"/>
          <w:color w:val="000000"/>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据此函，兹宣布同意如下：</w:t>
      </w:r>
      <w:r/>
    </w:p>
    <w:p>
      <w:pPr>
        <w:ind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left="420"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left="420"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left="420"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left="420"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left="420" w:firstLine="48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left="420" w:firstLine="480"/>
        <w:jc w:val="left"/>
        <w:spacing w:line="42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eastAsia" w:ascii="Symbol" w:hAnsi="Symbol" w:eastAsia="宋体" w:cs="Symbol"/>
          <w:color w:val="000000"/>
          <w:sz w:val="24"/>
          <w:szCs w:val="24"/>
          <w:highlight w:val="none"/>
          <w:lang w:val="en-US" w:eastAsia="zh-CN" w:bidi="ar-SA"/>
        </w:rPr>
      </w:pPr>
      <w:r>
        <w:rPr>
          <w:rFonts w:hint="eastAsia" w:ascii="Symbol" w:hAnsi="Symbol" w:eastAsia="宋体" w:cs="Symbol"/>
          <w:color w:val="000000"/>
          <w:sz w:val="24"/>
          <w:szCs w:val="24"/>
          <w:highlight w:val="none"/>
          <w:lang w:val="en-US" w:eastAsia="zh-CN" w:bidi="ar-SA"/>
        </w:rPr>
        <w:t xml:space="preserve"> </w:t>
      </w:r>
      <w:r>
        <w:rPr>
          <w:rFonts w:hint="default" w:ascii="Symbol" w:hAnsi="Symbol" w:eastAsia="宋体" w:cs="Symbol"/>
          <w:color w:val="000000"/>
          <w:sz w:val="24"/>
          <w:szCs w:val="24"/>
          <w:highlight w:val="none"/>
          <w:lang w:val="en-US" w:eastAsia="zh-CN" w:bidi="ar-SA"/>
        </w:rPr>
        <w:t xml:space="preserve">                                                                          </w:t>
      </w:r>
      <w:bookmarkStart w:id="1203" w:name="_Hlk149905800"/>
      <w:r>
        <w:rPr>
          <w:rFonts w:hint="eastAsia" w:ascii="宋体" w:hAnsi="宋体" w:eastAsia="宋体" w:cs="Symbol"/>
          <w:bCs/>
          <w:color w:val="000000"/>
          <w:sz w:val="24"/>
          <w:szCs w:val="24"/>
          <w:highlight w:val="none"/>
          <w:lang w:val="en-US" w:eastAsia="zh-CN" w:bidi="ar-SA"/>
        </w:rPr>
        <w:t xml:space="preserve">投标单位名称：</w:t>
      </w:r>
      <w:r>
        <w:rPr>
          <w:rFonts w:hint="eastAsia" w:ascii="宋体" w:hAnsi="宋体" w:eastAsia="宋体" w:cs="楷体"/>
          <w:color w:val="000000"/>
          <w:sz w:val="24"/>
          <w:szCs w:val="24"/>
          <w:highlight w:val="none"/>
          <w:lang w:val="en-US" w:eastAsia="zh-CN" w:bidi="ar-SA"/>
        </w:rPr>
        <w:t xml:space="preserve">（加盖CA电子公章）</w:t>
      </w:r>
      <w:bookmarkEnd w:id="1203"/>
      <w:r/>
      <w:r/>
    </w:p>
    <w:p>
      <w:pPr>
        <w:ind w:left="420" w:firstLine="4560"/>
        <w:jc w:val="left"/>
        <w:spacing w:line="42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日期：________年____月____日</w:t>
      </w:r>
      <w:r/>
    </w:p>
    <w:p>
      <w:pPr>
        <w:jc w:val="both"/>
        <w:spacing w:before="120" w:line="22" w:lineRule="atLeast"/>
        <w:widowControl w:val="off"/>
        <w:rPr>
          <w:rFonts w:hint="eastAsia"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r>
      <w:r/>
    </w:p>
    <w:p>
      <w:pPr>
        <w:jc w:val="both"/>
        <w:spacing w:before="120" w:line="22" w:lineRule="atLeas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jc w:val="both"/>
        <w:spacing w:before="120" w:line="22" w:lineRule="atLeas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jc w:val="center"/>
        <w:rPr>
          <w:rFonts w:ascii="Times New Roman" w:hAnsi="Times New Roman" w:eastAsia="宋体" w:cs="Times New Roman"/>
          <w:b/>
          <w:color w:val="000000"/>
          <w:spacing w:val="20"/>
          <w:sz w:val="32"/>
          <w:szCs w:val="32"/>
          <w:highlight w:val="none"/>
        </w:rPr>
      </w:pPr>
      <w:r>
        <w:rPr>
          <w:rFonts w:ascii="Times New Roman" w:hAnsi="Times New Roman" w:eastAsia="宋体" w:cs="Times New Roman"/>
          <w:b/>
          <w:color w:val="000000"/>
          <w:spacing w:val="20"/>
          <w:sz w:val="32"/>
          <w:szCs w:val="32"/>
          <w:highlight w:val="none"/>
        </w:rPr>
      </w:r>
      <w:r/>
    </w:p>
    <w:p>
      <w:pPr>
        <w:widowControl w:val="off"/>
        <w:rPr>
          <w:rFonts w:hint="eastAsia" w:ascii="Symbol" w:hAnsi="Symbol" w:eastAsia="宋体" w:cs="Symbol"/>
          <w:color w:val="000000"/>
          <w:sz w:val="24"/>
          <w:szCs w:val="24"/>
          <w:highlight w:val="none"/>
          <w:lang w:val="en-US" w:eastAsia="zh-CN" w:bidi="ar-SA"/>
        </w:rPr>
      </w:pPr>
      <w:r>
        <w:rPr>
          <w:rFonts w:hint="eastAsia" w:ascii="Symbol" w:hAnsi="Symbol" w:eastAsia="宋体" w:cs="Symbol"/>
          <w:color w:val="000000"/>
          <w:sz w:val="24"/>
          <w:szCs w:val="24"/>
          <w:highlight w:val="none"/>
          <w:lang w:val="en-US" w:eastAsia="zh-CN" w:bidi="ar-SA"/>
        </w:rPr>
      </w:r>
      <w:r/>
    </w:p>
    <w:p>
      <w:pPr>
        <w:ind w:firstLine="2168"/>
        <w:keepLines/>
        <w:keepNext/>
        <w:spacing w:after="240" w:line="360" w:lineRule="auto"/>
        <w:widowControl/>
        <w:rPr>
          <w:rFonts w:ascii="Times New Roman" w:hAnsi="Times New Roman" w:eastAsia="宋体" w:cs="Times New Roman"/>
          <w:b/>
          <w:color w:val="000000"/>
          <w:spacing w:val="20"/>
          <w:sz w:val="32"/>
          <w:szCs w:val="32"/>
          <w:highlight w:val="none"/>
        </w:rPr>
        <w:outlineLvl w:val="0"/>
      </w:pPr>
      <w:r>
        <w:rPr>
          <w:rFonts w:hint="eastAsia" w:ascii="Times New Roman" w:hAnsi="Times New Roman" w:eastAsia="宋体" w:cs="Times New Roman"/>
          <w:b/>
          <w:color w:val="000000"/>
          <w:spacing w:val="20"/>
          <w:sz w:val="32"/>
          <w:szCs w:val="32"/>
          <w:highlight w:val="none"/>
        </w:rPr>
        <w:t xml:space="preserve">十四、技术偏离表</w:t>
      </w:r>
      <w:r>
        <w:rPr>
          <w:rFonts w:ascii="Times New Roman" w:hAnsi="Times New Roman" w:eastAsia="宋体" w:cs="Times New Roman"/>
          <w:b/>
          <w:color w:val="000000"/>
          <w:spacing w:val="20"/>
          <w:sz w:val="32"/>
          <w:szCs w:val="32"/>
          <w:highlight w:val="none"/>
        </w:rPr>
        <w:t xml:space="preserve">（实质性格式）</w:t>
      </w:r>
      <w:r/>
    </w:p>
    <w:p>
      <w:pPr>
        <w:spacing w:line="360" w:lineRule="auto"/>
        <w:rPr>
          <w:rFonts w:hint="eastAsia" w:ascii="宋体" w:hAnsi="宋体" w:eastAsia="宋体" w:cs="宋体"/>
          <w:color w:val="000000"/>
          <w:sz w:val="20"/>
          <w:szCs w:val="21"/>
          <w:highlight w:val="none"/>
          <w:lang w:bidi="ar"/>
        </w:rPr>
      </w:pPr>
      <w:r>
        <w:rPr>
          <w:rFonts w:hint="eastAsia" w:ascii="黑体" w:hAnsi="Times New Roman" w:eastAsia="黑体" w:cs="黑体"/>
          <w:bCs/>
          <w:color w:val="000000"/>
          <w:sz w:val="24"/>
          <w:highlight w:val="none"/>
          <w:lang w:bidi="ar"/>
        </w:rPr>
        <w:t xml:space="preserve">采购项目编号：</w:t>
      </w:r>
      <w:r>
        <w:rPr>
          <w:rFonts w:hint="eastAsia" w:ascii="宋体" w:hAnsi="宋体" w:eastAsia="宋体" w:cs="宋体"/>
          <w:color w:val="000000"/>
          <w:sz w:val="20"/>
          <w:szCs w:val="21"/>
          <w:highlight w:val="none"/>
          <w:lang w:bidi="ar"/>
        </w:rPr>
        <w:t xml:space="preserve">       </w:t>
      </w:r>
      <w:r/>
    </w:p>
    <w:tbl>
      <w:tblPr>
        <w:tblStyle w:val="887"/>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序号</w:t>
            </w:r>
            <w:r/>
          </w:p>
        </w:tc>
        <w:tc>
          <w:tcPr>
            <w:tcW w:w="2419" w:type="dxa"/>
            <w:vAlign w:val="center"/>
            <w:textDirection w:val="lrTb"/>
            <w:noWrap w:val="false"/>
          </w:tcPr>
          <w:p>
            <w:pPr>
              <w:ind w:firstLine="48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名称及内容</w:t>
            </w:r>
            <w:r/>
          </w:p>
        </w:tc>
        <w:tc>
          <w:tcPr>
            <w:tcW w:w="1559" w:type="dxa"/>
            <w:vAlign w:val="center"/>
            <w:textDirection w:val="lrTb"/>
            <w:noWrap w:val="false"/>
          </w:tcPr>
          <w:p>
            <w:pPr>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招标文件技术参数</w:t>
            </w:r>
            <w:r/>
          </w:p>
        </w:tc>
        <w:tc>
          <w:tcPr>
            <w:tcW w:w="1418" w:type="dxa"/>
            <w:vAlign w:val="center"/>
            <w:textDirection w:val="lrTb"/>
            <w:noWrap w:val="false"/>
          </w:tcPr>
          <w:p>
            <w:pPr>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投标文件技术参数</w:t>
            </w:r>
            <w:r/>
          </w:p>
        </w:tc>
        <w:tc>
          <w:tcPr>
            <w:tcW w:w="2119" w:type="dxa"/>
            <w:vAlign w:val="center"/>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证明材料</w:t>
            </w:r>
            <w:r/>
          </w:p>
        </w:tc>
        <w:tc>
          <w:tcPr>
            <w:tcW w:w="1710" w:type="dxa"/>
            <w:vAlign w:val="center"/>
            <w:textDirection w:val="lrTb"/>
            <w:noWrap w:val="false"/>
          </w:tcPr>
          <w:p>
            <w:pPr>
              <w:ind w:firstLine="48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偏离情况</w:t>
            </w:r>
            <w:r/>
          </w:p>
          <w:p>
            <w:pP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r>
      <w:tr>
        <w:trPr>
          <w:trHeight w:val="90"/>
        </w:trPr>
        <w:tc>
          <w:tcPr>
            <w:tcW w:w="728"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1</w:t>
            </w:r>
            <w:r/>
          </w:p>
        </w:tc>
        <w:tc>
          <w:tcPr>
            <w:tcW w:w="2419" w:type="dxa"/>
            <w:vAlign w:val="top"/>
            <w:textDirection w:val="lrTb"/>
            <w:noWrap w:val="false"/>
          </w:tcPr>
          <w:p>
            <w:pP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559" w:type="dxa"/>
            <w:vAlign w:val="top"/>
            <w:textDirection w:val="lrTb"/>
            <w:noWrap w:val="false"/>
          </w:tcPr>
          <w:p>
            <w:pPr>
              <w:ind w:firstLine="240"/>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418" w:type="dxa"/>
            <w:vAlign w:val="top"/>
            <w:textDirection w:val="lrTb"/>
            <w:noWrap w:val="false"/>
          </w:tcPr>
          <w:p>
            <w:pPr>
              <w:ind w:firstLine="240"/>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2119"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710"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r>
      <w:tr>
        <w:trPr/>
        <w:tc>
          <w:tcPr>
            <w:tcW w:w="728"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2</w:t>
            </w:r>
            <w:r/>
          </w:p>
        </w:tc>
        <w:tc>
          <w:tcPr>
            <w:tcW w:w="2419"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559" w:type="dxa"/>
            <w:vAlign w:val="top"/>
            <w:textDirection w:val="lrTb"/>
            <w:noWrap w:val="false"/>
          </w:tcPr>
          <w:p>
            <w:pPr>
              <w:ind w:firstLine="240"/>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418" w:type="dxa"/>
            <w:vAlign w:val="top"/>
            <w:textDirection w:val="lrTb"/>
            <w:noWrap w:val="false"/>
          </w:tcPr>
          <w:p>
            <w:pPr>
              <w:ind w:firstLine="720"/>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2119"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710"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r>
      <w:tr>
        <w:trPr/>
        <w:tc>
          <w:tcPr>
            <w:tcW w:w="728"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3</w:t>
            </w:r>
            <w:r/>
          </w:p>
        </w:tc>
        <w:tc>
          <w:tcPr>
            <w:tcW w:w="2419"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559" w:type="dxa"/>
            <w:vAlign w:val="top"/>
            <w:textDirection w:val="lrTb"/>
            <w:noWrap w:val="false"/>
          </w:tcPr>
          <w:p>
            <w:pPr>
              <w:ind w:firstLine="240"/>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418" w:type="dxa"/>
            <w:vAlign w:val="top"/>
            <w:textDirection w:val="lrTb"/>
            <w:noWrap w:val="false"/>
          </w:tcPr>
          <w:p>
            <w:pPr>
              <w:ind w:firstLine="720"/>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2119"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710"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r>
      <w:tr>
        <w:trPr>
          <w:trHeight w:val="65"/>
        </w:trPr>
        <w:tc>
          <w:tcPr>
            <w:tcW w:w="728"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t xml:space="preserve">…</w:t>
            </w:r>
            <w:r/>
          </w:p>
        </w:tc>
        <w:tc>
          <w:tcPr>
            <w:tcW w:w="2419"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559" w:type="dxa"/>
            <w:vAlign w:val="top"/>
            <w:textDirection w:val="lrTb"/>
            <w:noWrap w:val="false"/>
          </w:tcPr>
          <w:p>
            <w:pPr>
              <w:ind w:firstLine="240"/>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418" w:type="dxa"/>
            <w:vAlign w:val="top"/>
            <w:textDirection w:val="lrTb"/>
            <w:noWrap w:val="false"/>
          </w:tcPr>
          <w:p>
            <w:pPr>
              <w:ind w:firstLine="240"/>
              <w:jc w:val="center"/>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2119"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c>
          <w:tcPr>
            <w:tcW w:w="1710" w:type="dxa"/>
            <w:vAlign w:val="top"/>
            <w:textDirection w:val="lrTb"/>
            <w:noWrap w:val="false"/>
          </w:tcPr>
          <w:p>
            <w:pPr>
              <w:ind w:firstLine="240"/>
              <w:spacing w:line="360" w:lineRule="auto"/>
              <w:rPr>
                <w:rFonts w:hint="eastAsia" w:ascii="宋体" w:hAnsi="宋体" w:eastAsia="宋体" w:cs="黑体"/>
                <w:bCs/>
                <w:color w:val="000000"/>
                <w:sz w:val="24"/>
                <w:highlight w:val="none"/>
              </w:rPr>
            </w:pPr>
            <w:r>
              <w:rPr>
                <w:rFonts w:hint="eastAsia" w:ascii="宋体" w:hAnsi="宋体" w:eastAsia="宋体" w:cs="黑体"/>
                <w:bCs/>
                <w:color w:val="000000"/>
                <w:sz w:val="24"/>
                <w:highlight w:val="none"/>
              </w:rPr>
            </w:r>
            <w:r/>
          </w:p>
        </w:tc>
      </w:tr>
    </w:tbl>
    <w:p>
      <w:pPr>
        <w:spacing w:line="360" w:lineRule="auto"/>
        <w:rPr>
          <w:rFonts w:hint="eastAsia" w:ascii="宋体" w:hAnsi="宋体" w:eastAsia="宋体" w:cs="宋体"/>
          <w:color w:val="000000"/>
          <w:sz w:val="20"/>
          <w:szCs w:val="21"/>
          <w:highlight w:val="none"/>
        </w:rPr>
      </w:pPr>
      <w:r>
        <w:rPr>
          <w:rFonts w:hint="eastAsia" w:ascii="宋体" w:hAnsi="宋体" w:eastAsia="宋体" w:cs="宋体"/>
          <w:color w:val="000000"/>
          <w:sz w:val="20"/>
          <w:szCs w:val="21"/>
          <w:highlight w:val="none"/>
        </w:rPr>
        <w:t xml:space="preserve">                                                                                                                                                                                    </w:t>
      </w:r>
      <w:r/>
    </w:p>
    <w:p>
      <w:pPr>
        <w:ind w:firstLine="4440"/>
        <w:spacing w:line="360" w:lineRule="auto"/>
        <w:rPr>
          <w:rFonts w:hint="eastAsia" w:ascii="黑体" w:hAnsi="Times New Roman" w:eastAsia="黑体" w:cs="黑体"/>
          <w:bCs/>
          <w:color w:val="000000"/>
          <w:sz w:val="24"/>
          <w:highlight w:val="none"/>
          <w:lang w:bidi="ar"/>
        </w:rPr>
      </w:pPr>
      <w:r>
        <w:rPr>
          <w:rFonts w:hint="eastAsia" w:ascii="黑体" w:hAnsi="Times New Roman" w:eastAsia="黑体" w:cs="黑体"/>
          <w:bCs/>
          <w:color w:val="000000"/>
          <w:sz w:val="24"/>
          <w:highlight w:val="none"/>
          <w:lang w:bidi="ar"/>
        </w:rPr>
      </w:r>
      <w:r/>
    </w:p>
    <w:p>
      <w:pPr>
        <w:ind w:firstLine="4680"/>
        <w:spacing w:line="360" w:lineRule="auto"/>
        <w:rPr>
          <w:rFonts w:hint="eastAsia" w:ascii="黑体" w:hAnsi="Times New Roman" w:eastAsia="黑体" w:cs="黑体"/>
          <w:bCs/>
          <w:color w:val="000000"/>
          <w:sz w:val="24"/>
          <w:highlight w:val="none"/>
          <w:lang w:bidi="ar"/>
        </w:rPr>
      </w:pPr>
      <w:r>
        <w:rPr>
          <w:rFonts w:hint="eastAsia" w:ascii="宋体" w:hAnsi="宋体" w:eastAsia="宋体" w:cs="Times New Roman"/>
          <w:bCs/>
          <w:color w:val="000000"/>
          <w:sz w:val="24"/>
          <w:highlight w:val="none"/>
        </w:rPr>
        <w:t xml:space="preserve">投标单位名称：</w:t>
      </w:r>
      <w:r>
        <w:rPr>
          <w:rFonts w:hint="eastAsia" w:ascii="宋体" w:hAnsi="宋体" w:eastAsia="宋体" w:cs="楷体"/>
          <w:color w:val="000000"/>
          <w:sz w:val="24"/>
          <w:highlight w:val="none"/>
        </w:rPr>
        <w:t xml:space="preserve">（加盖CA电子公章）</w:t>
      </w:r>
      <w:r>
        <w:rPr>
          <w:rFonts w:hint="eastAsia" w:ascii="黑体" w:hAnsi="Times New Roman" w:eastAsia="黑体" w:cs="黑体"/>
          <w:bCs/>
          <w:color w:val="000000"/>
          <w:sz w:val="24"/>
          <w:highlight w:val="none"/>
          <w:lang w:bidi="ar"/>
        </w:rPr>
        <w:t xml:space="preserve">  </w:t>
      </w:r>
      <w:r/>
    </w:p>
    <w:p>
      <w:pPr>
        <w:ind w:firstLine="4800"/>
        <w:widowControl w:val="off"/>
        <w:rPr>
          <w:rFonts w:hint="default" w:ascii="Symbol" w:hAnsi="Symbol" w:eastAsia="宋体" w:cs="Symbol"/>
          <w:color w:val="000000"/>
          <w:sz w:val="24"/>
          <w:szCs w:val="24"/>
          <w:highlight w:val="none"/>
          <w:lang w:val="en-US" w:eastAsia="zh-CN" w:bidi="ar"/>
        </w:rPr>
      </w:pPr>
      <w:r>
        <w:rPr>
          <w:rFonts w:hint="default" w:ascii="黑体" w:hAnsi="Symbol" w:eastAsia="黑体" w:cs="黑体"/>
          <w:bCs/>
          <w:color w:val="000000"/>
          <w:sz w:val="24"/>
          <w:szCs w:val="24"/>
          <w:highlight w:val="none"/>
          <w:lang w:val="en-US" w:eastAsia="zh-CN" w:bidi="ar"/>
        </w:rPr>
        <w:t xml:space="preserve">日期：_____年______月______日</w:t>
      </w:r>
      <w:r/>
    </w:p>
    <w:p>
      <w:pPr>
        <w:spacing w:line="360" w:lineRule="auto"/>
        <w:rPr>
          <w:rFonts w:hint="eastAsia" w:ascii="Times New Roman" w:hAnsi="Times New Roman" w:eastAsia="宋体" w:cs="Times New Roman"/>
          <w:b/>
          <w:color w:val="000000"/>
          <w:sz w:val="24"/>
          <w:szCs w:val="20"/>
          <w:highlight w:val="none"/>
        </w:rPr>
      </w:pPr>
      <w:r>
        <w:rPr>
          <w:rFonts w:hint="eastAsia" w:ascii="Times New Roman" w:hAnsi="Times New Roman" w:eastAsia="宋体" w:cs="Times New Roman"/>
          <w:b/>
          <w:color w:val="000000"/>
          <w:sz w:val="24"/>
          <w:szCs w:val="20"/>
          <w:highlight w:val="none"/>
        </w:rPr>
        <w:t xml:space="preserve">注意事项：</w:t>
      </w:r>
      <w:r/>
    </w:p>
    <w:p>
      <w:pPr>
        <w:numPr>
          <w:ilvl w:val="0"/>
          <w:numId w:val="14"/>
        </w:numPr>
        <w:ind w:firstLine="482"/>
        <w:spacing w:line="44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请按上表格式，依照采购文件项目要求相应内容逐项响应。</w:t>
      </w:r>
      <w:r/>
    </w:p>
    <w:p>
      <w:pPr>
        <w:ind w:firstLine="482"/>
        <w:spacing w:line="44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ascii="Times New Roman" w:hAnsi="Times New Roman" w:eastAsia="宋体" w:cs="Times New Roman"/>
          <w:color w:val="000000"/>
          <w:sz w:val="20"/>
          <w:szCs w:val="20"/>
          <w:highlight w:val="none"/>
        </w:rPr>
      </w:pPr>
      <w:r>
        <w:rPr>
          <w:rFonts w:hint="eastAsia" w:ascii="Times New Roman" w:hAnsi="Times New Roman" w:eastAsia="宋体" w:cs="Times New Roman"/>
          <w:color w:val="000000"/>
          <w:sz w:val="20"/>
          <w:szCs w:val="20"/>
          <w:highlight w:val="none"/>
        </w:rPr>
      </w:r>
      <w:r/>
    </w:p>
    <w:p>
      <w:pPr>
        <w:spacing w:line="360" w:lineRule="auto"/>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rPr>
        <w:t xml:space="preserve">                      </w:t>
      </w:r>
      <w:r/>
    </w:p>
    <w:p>
      <w:pPr>
        <w:spacing w:line="360" w:lineRule="auto"/>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rPr>
      </w:r>
      <w:r/>
    </w:p>
    <w:p>
      <w:pPr>
        <w:spacing w:line="360" w:lineRule="auto"/>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rPr>
      </w:r>
      <w:r/>
    </w:p>
    <w:p>
      <w:pPr>
        <w:spacing w:line="360" w:lineRule="auto"/>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rPr>
      </w:r>
      <w:r/>
    </w:p>
    <w:p>
      <w:pPr>
        <w:spacing w:line="360" w:lineRule="auto"/>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rPr>
      </w:r>
      <w:r/>
    </w:p>
    <w:p>
      <w:pPr>
        <w:ind w:firstLine="2951"/>
        <w:keepLines/>
        <w:keepNext/>
        <w:spacing w:before="260" w:after="260" w:line="415" w:lineRule="auto"/>
        <w:rPr>
          <w:rFonts w:ascii="宋体" w:hAnsi="宋体" w:eastAsia="宋体" w:cs="Times New Roman"/>
          <w:b/>
          <w:color w:val="000000"/>
          <w:sz w:val="28"/>
          <w:szCs w:val="28"/>
          <w:highlight w:val="none"/>
        </w:rPr>
        <w:outlineLvl w:val="2"/>
      </w:pPr>
      <w:r>
        <w:rPr>
          <w:rFonts w:ascii="宋体" w:hAnsi="宋体" w:eastAsia="宋体" w:cs="Times New Roman"/>
          <w:b/>
          <w:color w:val="000000"/>
          <w:sz w:val="28"/>
          <w:szCs w:val="28"/>
          <w:highlight w:val="none"/>
        </w:rPr>
      </w:r>
      <w:r/>
    </w:p>
    <w:p>
      <w:pPr>
        <w:rPr>
          <w:rFonts w:hint="eastAsia" w:ascii="Times New Roman" w:hAnsi="Times New Roman" w:eastAsia="宋体" w:cs="Times New Roman"/>
          <w:color w:val="000000"/>
          <w:sz w:val="20"/>
          <w:szCs w:val="20"/>
          <w:highlight w:val="none"/>
        </w:rPr>
      </w:pPr>
      <w:r>
        <w:rPr>
          <w:rFonts w:hint="eastAsia" w:ascii="Times New Roman" w:hAnsi="Times New Roman" w:eastAsia="宋体" w:cs="Times New Roman"/>
          <w:color w:val="000000"/>
          <w:sz w:val="20"/>
          <w:szCs w:val="20"/>
          <w:highlight w:val="none"/>
        </w:rPr>
      </w:r>
      <w:r/>
    </w:p>
    <w:p>
      <w:pPr>
        <w:ind w:firstLine="2890"/>
        <w:keepLines/>
        <w:keepNext/>
        <w:spacing w:before="260" w:after="260" w:line="415" w:lineRule="auto"/>
        <w:rPr>
          <w:rFonts w:ascii="Times New Roman" w:hAnsi="Times New Roman" w:eastAsia="宋体" w:cs="Times New Roman"/>
          <w:b/>
          <w:color w:val="000000"/>
          <w:spacing w:val="20"/>
          <w:sz w:val="32"/>
          <w:szCs w:val="32"/>
          <w:highlight w:val="none"/>
        </w:rPr>
        <w:outlineLvl w:val="2"/>
      </w:pPr>
      <w:r>
        <w:rPr>
          <w:rFonts w:hint="eastAsia" w:ascii="Times New Roman" w:hAnsi="Times New Roman" w:eastAsia="宋体" w:cs="Times New Roman"/>
          <w:b/>
          <w:color w:val="000000"/>
          <w:spacing w:val="20"/>
          <w:sz w:val="32"/>
          <w:szCs w:val="32"/>
          <w:highlight w:val="none"/>
        </w:rPr>
        <w:t xml:space="preserve">十五、其他格式材料</w:t>
      </w:r>
      <w:r/>
    </w:p>
    <w:p>
      <w:pPr>
        <w:jc w:val="center"/>
        <w:spacing w:line="360" w:lineRule="auto"/>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1</w:t>
      </w:r>
      <w:r>
        <w:rPr>
          <w:rFonts w:ascii="宋体" w:hAnsi="宋体" w:eastAsia="宋体" w:cs="Times New Roman"/>
          <w:b/>
          <w:color w:val="000000"/>
          <w:sz w:val="32"/>
          <w:szCs w:val="32"/>
          <w:highlight w:val="none"/>
        </w:rPr>
        <w:t xml:space="preserve">、</w:t>
      </w:r>
      <w:r>
        <w:rPr>
          <w:rFonts w:hint="eastAsia" w:ascii="宋体" w:hAnsi="宋体" w:eastAsia="宋体" w:cs="Times New Roman"/>
          <w:b/>
          <w:color w:val="000000"/>
          <w:sz w:val="32"/>
          <w:szCs w:val="32"/>
          <w:highlight w:val="none"/>
        </w:rPr>
        <w:t xml:space="preserve">参加本项目人员一览表</w:t>
      </w:r>
      <w:r/>
    </w:p>
    <w:p>
      <w:pPr>
        <w:spacing w:line="360" w:lineRule="auto"/>
        <w:rPr>
          <w:rFonts w:ascii="宋体" w:hAnsi="宋体" w:eastAsia="宋体" w:cs="Times New Roman"/>
          <w:color w:val="000000"/>
          <w:sz w:val="22"/>
          <w:highlight w:val="none"/>
        </w:rPr>
      </w:pPr>
      <w:r>
        <w:rPr>
          <w:rFonts w:ascii="宋体" w:hAnsi="宋体" w:eastAsia="宋体" w:cs="Times New Roman"/>
          <w:color w:val="000000"/>
          <w:sz w:val="22"/>
          <w:highlight w:val="none"/>
        </w:rPr>
      </w:r>
      <w:r/>
    </w:p>
    <w:p>
      <w:pP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88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p>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w:t>
            </w:r>
            <w:r/>
          </w:p>
          <w:p>
            <w:pPr>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bl>
    <w:p>
      <w:pPr>
        <w:tabs>
          <w:tab w:val="left" w:pos="9765" w:leader="none"/>
        </w:tabs>
        <w:rPr>
          <w:rFonts w:ascii="宋体" w:hAnsi="宋体" w:eastAsia="宋体" w:cs="宋体"/>
          <w:b/>
          <w:color w:val="000000"/>
          <w:sz w:val="24"/>
          <w:highlight w:val="none"/>
          <w:lang w:val="zh-CN"/>
        </w:rPr>
      </w:pPr>
      <w:r>
        <w:rPr>
          <w:rFonts w:ascii="宋体" w:hAnsi="宋体" w:eastAsia="宋体" w:cs="宋体"/>
          <w:b/>
          <w:color w:val="000000"/>
          <w:sz w:val="24"/>
          <w:highlight w:val="none"/>
          <w:lang w:val="zh-CN"/>
        </w:rPr>
      </w:r>
      <w:r/>
    </w:p>
    <w:p>
      <w:pPr>
        <w:spacing w:line="360" w:lineRule="auto"/>
        <w:tabs>
          <w:tab w:val="left" w:pos="9765" w:leader="none"/>
        </w:tabs>
        <w:rPr>
          <w:rFonts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注：参加本项目人员须是供应商正式职工。</w:t>
      </w:r>
      <w:r/>
    </w:p>
    <w:p>
      <w:pP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firstLine="4560"/>
        <w:widowControl w:val="off"/>
        <w:rPr>
          <w:rFonts w:hint="default" w:ascii="宋体" w:hAnsi="宋体" w:eastAsia="宋体" w:cs="楷体"/>
          <w:color w:val="000000"/>
          <w:sz w:val="24"/>
          <w:szCs w:val="24"/>
          <w:highlight w:val="none"/>
          <w:lang w:val="en-US" w:eastAsia="zh-CN" w:bidi="ar-SA"/>
        </w:rPr>
      </w:pPr>
      <w:r>
        <w:rPr>
          <w:rFonts w:hint="eastAsia" w:ascii="宋体" w:hAnsi="宋体" w:eastAsia="宋体" w:cs="Symbol"/>
          <w:bCs/>
          <w:color w:val="000000"/>
          <w:sz w:val="24"/>
          <w:szCs w:val="24"/>
          <w:highlight w:val="none"/>
          <w:lang w:val="en-US" w:eastAsia="zh-CN" w:bidi="ar-SA"/>
        </w:rPr>
        <w:t xml:space="preserve">投标单位名称：</w:t>
      </w:r>
      <w:r>
        <w:rPr>
          <w:rFonts w:hint="eastAsia" w:ascii="宋体" w:hAnsi="宋体" w:eastAsia="宋体" w:cs="楷体"/>
          <w:color w:val="000000"/>
          <w:sz w:val="24"/>
          <w:szCs w:val="24"/>
          <w:highlight w:val="none"/>
          <w:lang w:val="en-US" w:eastAsia="zh-CN" w:bidi="ar-SA"/>
        </w:rPr>
        <w:t xml:space="preserve">（加盖CA电子公章）</w:t>
      </w:r>
      <w:r/>
    </w:p>
    <w:p>
      <w:pPr>
        <w:ind w:firstLine="4560"/>
        <w:widowControl w:val="off"/>
        <w:rPr>
          <w:rFonts w:hint="default" w:ascii="Symbol" w:hAnsi="Symbol" w:eastAsia="宋体" w:cs="Symbol"/>
          <w:color w:val="000000"/>
          <w:sz w:val="24"/>
          <w:szCs w:val="24"/>
          <w:highlight w:val="none"/>
          <w:lang w:val="en-US" w:eastAsia="zh-CN" w:bidi="ar"/>
        </w:rPr>
      </w:pPr>
      <w:r>
        <w:rPr>
          <w:rFonts w:hint="default" w:ascii="黑体" w:hAnsi="Symbol" w:eastAsia="黑体" w:cs="黑体"/>
          <w:bCs/>
          <w:color w:val="000000"/>
          <w:sz w:val="24"/>
          <w:szCs w:val="24"/>
          <w:highlight w:val="none"/>
          <w:lang w:val="en-US" w:eastAsia="zh-CN" w:bidi="ar"/>
        </w:rPr>
        <w:t xml:space="preserve">日期：_____年______月______日</w:t>
      </w:r>
      <w:r/>
    </w:p>
    <w:p>
      <w:pPr>
        <w:jc w:val="center"/>
        <w:rPr>
          <w:rFonts w:ascii="宋体" w:hAnsi="宋体" w:eastAsia="宋体" w:cs="Times New Roman"/>
          <w:b/>
          <w:color w:val="000000"/>
          <w:sz w:val="32"/>
          <w:szCs w:val="32"/>
          <w:highlight w:val="none"/>
        </w:rPr>
      </w:pPr>
      <w:r>
        <w:rPr>
          <w:rFonts w:ascii="Times New Roman" w:hAnsi="Times New Roman" w:eastAsia="宋体" w:cs="Times New Roman"/>
          <w:color w:val="000000"/>
          <w:sz w:val="22"/>
          <w:highlight w:val="none"/>
        </w:rPr>
        <w:br w:type="page" w:clear="all"/>
      </w:r>
      <w:r>
        <w:rPr>
          <w:rFonts w:ascii="宋体" w:hAnsi="宋体" w:eastAsia="宋体" w:cs="Times New Roman"/>
          <w:b/>
          <w:color w:val="000000"/>
          <w:sz w:val="32"/>
          <w:szCs w:val="32"/>
          <w:highlight w:val="none"/>
        </w:rPr>
        <w:t xml:space="preserve">2、</w:t>
      </w:r>
      <w:r>
        <w:rPr>
          <w:rFonts w:hint="eastAsia" w:ascii="宋体" w:hAnsi="宋体" w:eastAsia="宋体" w:cs="Times New Roman"/>
          <w:b/>
          <w:color w:val="000000"/>
          <w:sz w:val="32"/>
          <w:szCs w:val="32"/>
          <w:highlight w:val="none"/>
        </w:rPr>
        <w:t xml:space="preserve">相关业绩案例一览表</w:t>
      </w:r>
      <w:r/>
    </w:p>
    <w:p>
      <w:pPr>
        <w:jc w:val="center"/>
        <w:spacing w:line="360" w:lineRule="auto"/>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88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bl>
    <w:p>
      <w:pPr>
        <w:tabs>
          <w:tab w:val="left" w:pos="9765" w:leader="none"/>
        </w:tabs>
        <w:rPr>
          <w:rFonts w:ascii="宋体" w:hAnsi="宋体" w:eastAsia="宋体" w:cs="宋体"/>
          <w:color w:val="000000"/>
          <w:sz w:val="24"/>
          <w:highlight w:val="none"/>
          <w:lang w:val="zh-CN"/>
        </w:rPr>
      </w:pPr>
      <w:r>
        <w:rPr>
          <w:rFonts w:ascii="宋体" w:hAnsi="宋体" w:eastAsia="宋体" w:cs="宋体"/>
          <w:color w:val="000000"/>
          <w:sz w:val="24"/>
          <w:highlight w:val="none"/>
          <w:lang w:val="zh-CN"/>
        </w:rPr>
      </w:r>
      <w:r/>
    </w:p>
    <w:p>
      <w:pP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ind w:firstLine="5160"/>
        <w:spacing w:line="360" w:lineRule="auto"/>
        <w:rPr>
          <w:rFonts w:hint="eastAsia" w:ascii="黑体" w:hAnsi="Times New Roman" w:eastAsia="黑体" w:cs="黑体"/>
          <w:bCs/>
          <w:color w:val="000000"/>
          <w:sz w:val="24"/>
          <w:highlight w:val="none"/>
          <w:lang w:bidi="ar"/>
        </w:rPr>
      </w:pPr>
      <w:r>
        <w:rPr>
          <w:rFonts w:hint="eastAsia" w:ascii="宋体" w:hAnsi="宋体" w:eastAsia="宋体" w:cs="Times New Roman"/>
          <w:bCs/>
          <w:color w:val="000000"/>
          <w:sz w:val="24"/>
          <w:highlight w:val="none"/>
        </w:rPr>
        <w:t xml:space="preserve">投标单位名称：</w:t>
      </w:r>
      <w:r>
        <w:rPr>
          <w:rFonts w:hint="eastAsia" w:ascii="宋体" w:hAnsi="宋体" w:eastAsia="宋体" w:cs="楷体"/>
          <w:color w:val="000000"/>
          <w:sz w:val="24"/>
          <w:highlight w:val="none"/>
        </w:rPr>
        <w:t xml:space="preserve">（加盖CA电子公章）</w:t>
      </w:r>
      <w:r>
        <w:rPr>
          <w:rFonts w:hint="eastAsia" w:ascii="黑体" w:hAnsi="Times New Roman" w:eastAsia="黑体" w:cs="黑体"/>
          <w:bCs/>
          <w:color w:val="000000"/>
          <w:sz w:val="24"/>
          <w:highlight w:val="none"/>
          <w:lang w:bidi="ar"/>
        </w:rPr>
        <w:t xml:space="preserve">  </w:t>
      </w:r>
      <w:r/>
    </w:p>
    <w:p>
      <w:pPr>
        <w:ind w:firstLine="5160"/>
        <w:spacing w:line="360" w:lineRule="auto"/>
        <w:rPr>
          <w:rFonts w:hint="default" w:ascii="宋体" w:hAnsi="宋体" w:eastAsia="宋体" w:cs="Times New Roman"/>
          <w:bCs/>
          <w:color w:val="000000"/>
          <w:sz w:val="24"/>
          <w:highlight w:val="none"/>
          <w:lang w:val="en-US" w:eastAsia="zh-CN"/>
        </w:rPr>
      </w:pPr>
      <w:r>
        <w:rPr>
          <w:rFonts w:hint="default" w:ascii="宋体" w:hAnsi="宋体" w:eastAsia="宋体" w:cs="Times New Roman"/>
          <w:bCs/>
          <w:color w:val="000000"/>
          <w:sz w:val="24"/>
          <w:highlight w:val="none"/>
          <w:lang w:val="en-US" w:eastAsia="zh-CN"/>
        </w:rPr>
        <w:t xml:space="preserve">日期：_____年______月______日</w:t>
      </w:r>
      <w:r/>
    </w:p>
    <w:p>
      <w:pPr>
        <w:keepLines/>
        <w:keepNext/>
        <w:spacing w:before="260" w:after="260" w:line="415" w:lineRule="auto"/>
        <w:rPr>
          <w:rFonts w:ascii="宋体" w:hAnsi="宋体" w:eastAsia="宋体" w:cs="Times New Roman"/>
          <w:b/>
          <w:color w:val="000000"/>
          <w:sz w:val="24"/>
          <w:highlight w:val="none"/>
        </w:rPr>
        <w:outlineLvl w:val="2"/>
      </w:pPr>
      <w:r>
        <w:rPr>
          <w:rFonts w:ascii="宋体" w:hAnsi="宋体" w:eastAsia="宋体" w:cs="Times New Roman"/>
          <w:b/>
          <w:color w:val="000000"/>
          <w:sz w:val="24"/>
          <w:highlight w:val="none"/>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ind w:firstLine="2890"/>
        <w:spacing w:line="360" w:lineRule="auto"/>
        <w:widowControl/>
        <w:rPr>
          <w:rFonts w:ascii="Times New Roman" w:hAnsi="Times New Roman" w:eastAsia="宋体" w:cs="Times New Roman"/>
          <w:b/>
          <w:color w:val="000000"/>
          <w:spacing w:val="20"/>
          <w:sz w:val="32"/>
          <w:szCs w:val="32"/>
          <w:highlight w:val="none"/>
        </w:rPr>
      </w:pPr>
      <w:r>
        <w:rPr>
          <w:rFonts w:hint="eastAsia" w:ascii="Times New Roman" w:hAnsi="Times New Roman" w:eastAsia="宋体" w:cs="Times New Roman"/>
          <w:b/>
          <w:color w:val="000000"/>
          <w:spacing w:val="20"/>
          <w:sz w:val="32"/>
          <w:szCs w:val="32"/>
          <w:highlight w:val="none"/>
        </w:rPr>
        <w:t xml:space="preserve">3、关于招标文件的询问内容</w:t>
      </w:r>
      <w:r/>
    </w:p>
    <w:p>
      <w:pPr>
        <w:jc w:val="left"/>
        <w:spacing w:line="360" w:lineRule="auto"/>
        <w:widowControl/>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left"/>
        <w:spacing w:line="360" w:lineRule="auto"/>
        <w:widowControl/>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项目名称：</w:t>
      </w:r>
      <w:r/>
    </w:p>
    <w:p>
      <w:pPr>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采购编号：</w:t>
      </w:r>
      <w:r/>
    </w:p>
    <w:p>
      <w:pPr>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内容：</w:t>
      </w:r>
      <w:r/>
    </w:p>
    <w:p>
      <w:pPr>
        <w:jc w:val="left"/>
        <w:spacing w:line="360" w:lineRule="auto"/>
        <w:widowControl/>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r>
      <w:r/>
    </w:p>
    <w:p>
      <w:pPr>
        <w:jc w:val="left"/>
        <w:spacing w:line="360" w:lineRule="auto"/>
        <w:widowControl/>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r>
      <w:r/>
    </w:p>
    <w:p>
      <w:pPr>
        <w:jc w:val="left"/>
        <w:spacing w:line="360" w:lineRule="auto"/>
        <w:widowControl/>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r>
      <w:r/>
    </w:p>
    <w:p>
      <w:pPr>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被授权人姓名：</w:t>
      </w:r>
      <w:r>
        <w:rPr>
          <w:rFonts w:ascii="Times New Roman" w:hAnsi="Times New Roman" w:eastAsia="宋体" w:cs="Times New Roman"/>
          <w:color w:val="000000"/>
          <w:sz w:val="24"/>
          <w:highlight w:val="none"/>
          <w:u w:val="single"/>
        </w:rPr>
        <w:t xml:space="preserve">                   </w:t>
      </w:r>
      <w:r/>
    </w:p>
    <w:p>
      <w:pPr>
        <w:spacing w:line="360" w:lineRule="auto"/>
        <w:tabs>
          <w:tab w:val="left" w:pos="360" w:leader="none"/>
        </w:tabs>
        <w:rPr>
          <w:rFonts w:ascii="Times New Roman" w:hAnsi="Times New Roman" w:eastAsia="宋体" w:cs="Times New Roman"/>
          <w:color w:val="000000"/>
          <w:sz w:val="24"/>
          <w:highlight w:val="none"/>
          <w:u w:val="single"/>
        </w:rPr>
      </w:pPr>
      <w:r>
        <w:rPr>
          <w:rFonts w:hint="eastAsia" w:ascii="Times New Roman" w:hAnsi="Times New Roman" w:eastAsia="宋体" w:cs="Times New Roman"/>
          <w:color w:val="000000"/>
          <w:sz w:val="24"/>
          <w:highlight w:val="none"/>
        </w:rPr>
        <w:t xml:space="preserve">被授权人身份证号码：</w:t>
      </w:r>
      <w:r>
        <w:rPr>
          <w:rFonts w:ascii="Times New Roman" w:hAnsi="Times New Roman" w:eastAsia="宋体" w:cs="Times New Roman"/>
          <w:color w:val="000000"/>
          <w:sz w:val="24"/>
          <w:highlight w:val="none"/>
          <w:u w:val="single"/>
        </w:rPr>
        <w:t xml:space="preserve">                              </w:t>
      </w:r>
      <w:r/>
    </w:p>
    <w:p>
      <w:pPr>
        <w:spacing w:line="360" w:lineRule="auto"/>
        <w:tabs>
          <w:tab w:val="left" w:pos="360" w:leader="none"/>
        </w:tabs>
        <w:rPr>
          <w:rFonts w:ascii="Times New Roman" w:hAnsi="Times New Roman" w:eastAsia="宋体" w:cs="Times New Roman"/>
          <w:color w:val="000000"/>
          <w:sz w:val="24"/>
          <w:highlight w:val="none"/>
          <w:u w:val="single"/>
        </w:rPr>
      </w:pPr>
      <w:r>
        <w:rPr>
          <w:rFonts w:hint="eastAsia" w:ascii="Times New Roman" w:hAnsi="Times New Roman" w:eastAsia="宋体" w:cs="Times New Roman"/>
          <w:color w:val="000000"/>
          <w:sz w:val="24"/>
          <w:highlight w:val="none"/>
        </w:rPr>
        <w:t xml:space="preserve">被授权人联系电话：（手机）</w:t>
      </w:r>
      <w:r>
        <w:rPr>
          <w:rFonts w:ascii="Times New Roman" w:hAnsi="Times New Roman" w:eastAsia="宋体" w:cs="Times New Roman"/>
          <w:color w:val="000000"/>
          <w:sz w:val="24"/>
          <w:highlight w:val="none"/>
          <w:u w:val="single"/>
        </w:rPr>
        <w:t xml:space="preserve">                          </w:t>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widowControl w:val="off"/>
        <w:rPr>
          <w:rFonts w:hint="default" w:ascii="Symbol" w:hAnsi="Symbol" w:eastAsia="宋体" w:cs="Symbol"/>
          <w:color w:val="000000"/>
          <w:sz w:val="24"/>
          <w:szCs w:val="24"/>
          <w:highlight w:val="none"/>
          <w:lang w:val="en-US" w:eastAsia="zh-CN" w:bidi="ar-SA"/>
        </w:rPr>
      </w:pPr>
      <w:r>
        <w:rPr>
          <w:rFonts w:hint="default" w:ascii="Symbol" w:hAnsi="Symbol" w:eastAsia="宋体" w:cs="Symbol"/>
          <w:color w:val="000000"/>
          <w:sz w:val="24"/>
          <w:szCs w:val="24"/>
          <w:highlight w:val="none"/>
          <w:lang w:val="en-US" w:eastAsia="zh-CN" w:bidi="ar-SA"/>
        </w:rPr>
      </w:r>
      <w:r/>
    </w:p>
    <w:p>
      <w:pPr>
        <w:jc w:val="left"/>
        <w:spacing w:line="360" w:lineRule="auto"/>
        <w:widowControl/>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r>
      <w:r/>
    </w:p>
    <w:p>
      <w:pPr>
        <w:ind w:left="3360" w:firstLine="960"/>
        <w:jc w:val="left"/>
        <w:spacing w:line="360" w:lineRule="auto"/>
        <w:widowControl/>
        <w:rPr>
          <w:rFonts w:ascii="宋体" w:hAnsi="宋体" w:eastAsia="宋体" w:cs="楷体"/>
          <w:color w:val="000000"/>
          <w:sz w:val="24"/>
          <w:highlight w:val="none"/>
        </w:rPr>
      </w:pPr>
      <w:r>
        <w:rPr>
          <w:rFonts w:hint="eastAsia" w:ascii="宋体" w:hAnsi="宋体" w:eastAsia="宋体" w:cs="Times New Roman"/>
          <w:bCs/>
          <w:color w:val="000000"/>
          <w:sz w:val="24"/>
          <w:highlight w:val="none"/>
        </w:rPr>
        <w:t xml:space="preserve">投标单位名称：</w:t>
      </w:r>
      <w:r>
        <w:rPr>
          <w:rFonts w:hint="eastAsia" w:ascii="宋体" w:hAnsi="宋体" w:eastAsia="宋体" w:cs="楷体"/>
          <w:color w:val="000000"/>
          <w:sz w:val="24"/>
          <w:highlight w:val="none"/>
        </w:rPr>
        <w:t xml:space="preserve">（加盖公章）</w:t>
      </w:r>
      <w:r/>
    </w:p>
    <w:p>
      <w:pPr>
        <w:ind w:left="3360" w:firstLine="42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法定代表人或被授权人（签名或盖章）：</w:t>
      </w:r>
      <w:r/>
    </w:p>
    <w:p>
      <w:pPr>
        <w:pStyle w:val="1143"/>
        <w:rPr>
          <w:highlight w:val="none"/>
        </w:rPr>
      </w:pPr>
      <w:r>
        <w:rPr>
          <w:rFonts w:hint="default" w:ascii="宋体" w:hAnsi="宋体" w:eastAsia="宋体" w:cs="Times New Roman"/>
          <w:bCs/>
          <w:color w:val="000000"/>
          <w:sz w:val="24"/>
          <w:highlight w:val="none"/>
          <w:lang w:val="en-US" w:eastAsia="zh-CN"/>
        </w:rPr>
        <w:t xml:space="preserve">日期：_____年______月______日</w:t>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p>
      <w:pPr>
        <w:pStyle w:val="1143"/>
        <w:rPr>
          <w:highlight w:val="none"/>
        </w:rPr>
      </w:pPr>
      <w:r>
        <w:rPr>
          <w:highlight w:val="none"/>
        </w:rPr>
      </w:r>
      <w:r/>
    </w:p>
    <w:sectPr>
      <w:headerReference w:type="even" r:id="rId13"/>
      <w:headerReference w:type="first" r:id="rId14"/>
      <w:footerReference w:type="even" r:id="rId20"/>
      <w:footerReference w:type="first" r:id="rId21"/>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___WRD_EMBED_SUB_45">
    <w:panose1 w:val="020B0503020202020204"/>
  </w:font>
  <w:font w:name="华文新魏">
    <w:panose1 w:val="02010800040101010101"/>
  </w:font>
  <w:font w:name="Segoe UI Symbol">
    <w:panose1 w:val="020B0502040204020203"/>
  </w:font>
  <w:font w:name="楷体">
    <w:panose1 w:val="02010609060101010101"/>
  </w:font>
  <w:font w:name="仿宋">
    <w:panose1 w:val="02010609060101010101"/>
  </w:font>
  <w:font w:name="等线">
    <w:panose1 w:val="02010600030101010101"/>
  </w:font>
  <w:font w:name="Wingdings">
    <w:panose1 w:val="05000000000000000000"/>
  </w:font>
  <w:font w:name="方正小标宋简体">
    <w:panose1 w:val="020B0503020202020204"/>
  </w:font>
  <w:font w:name="方正仿宋_GBK">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137"/>
      </w:rPr>
      <w:framePr w:wrap="around" w:vAnchor="text" w:hAnchor="margin" w:xAlign="right" w:y="1"/>
    </w:pPr>
    <w:r/>
    <w:r/>
  </w:p>
  <w:p>
    <w:pPr>
      <w:pStyle w:val="1113"/>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9190"/>
      <w:spacing w:line="169" w:lineRule="auto"/>
      <w:rPr>
        <w:rFonts w:hint="default"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990"/>
      <w:spacing w:line="171" w:lineRule="auto"/>
      <w:rPr>
        <w:rFonts w:hint="default"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137"/>
      </w:rPr>
      <w:framePr w:wrap="around" w:vAnchor="text" w:hAnchor="margin" w:xAlign="right" w:y="1"/>
    </w:pPr>
    <w:r>
      <w:rPr>
        <w:rStyle w:val="1137"/>
      </w:rPr>
      <w:fldChar w:fldCharType="begin"/>
    </w:r>
    <w:r>
      <w:rPr>
        <w:rStyle w:val="1137"/>
      </w:rPr>
      <w:instrText xml:space="preserve">PAGE  </w:instrText>
    </w:r>
    <w:r>
      <w:rPr>
        <w:rStyle w:val="1137"/>
      </w:rPr>
      <w:fldChar w:fldCharType="end"/>
    </w:r>
    <w:r/>
  </w:p>
  <w:p>
    <w:pPr>
      <w:pStyle w:val="1113"/>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160"/>
      <w:widowControl w:val="off"/>
      <w:rPr>
        <w:rFonts w:ascii="Times New Roman" w:hAnsi="Times New Roman" w:eastAsia="等线" w:cs="Times New Roman"/>
        <w:sz w:val="21"/>
        <w:szCs w:val="18"/>
        <w:lang w:val="en-US" w:eastAsia="zh-CN" w:bidi="ar-SA"/>
      </w:rPr>
      <w:pBdr>
        <w:bottom w:val="none" w:color="auto" w:sz="0" w:space="1"/>
      </w:pBdr>
    </w:pPr>
    <w:r>
      <w:rPr>
        <w:rFonts w:ascii="Times New Roman" w:hAnsi="Times New Roman" w:eastAsia="等线" w:cs="Times New Roman"/>
        <w:sz w:val="21"/>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160"/>
      <w:widowControl w:val="off"/>
      <w:rPr>
        <w:rFonts w:ascii="Times New Roman" w:hAnsi="Times New Roman" w:eastAsia="等线" w:cs="Times New Roman"/>
        <w:sz w:val="21"/>
        <w:szCs w:val="18"/>
        <w:lang w:val="en-US" w:eastAsia="zh-CN" w:bidi="ar-SA"/>
      </w:rPr>
      <w:pBdr>
        <w:bottom w:val="none" w:color="auto" w:sz="0" w:space="1"/>
      </w:pBdr>
    </w:pPr>
    <w:r>
      <w:rPr>
        <w:rFonts w:ascii="Times New Roman" w:hAnsi="Times New Roman" w:eastAsia="等线" w:cs="Times New Roman"/>
        <w:sz w:val="21"/>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7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2"/>
      <w:isLgl w:val="false"/>
      <w:suff w:val="nothing"/>
      <w:lvlText w:val="%1.%2.%3.%4.%5.%6　"/>
      <w:lvlJc w:val="left"/>
      <w:pPr>
        <w:ind w:left="-25" w:firstLine="0"/>
      </w:pPr>
      <w:rPr>
        <w:rFonts w:ascii="Times New Roman" w:hAnsi="Times New Roman" w:eastAsia="宋体"/>
        <w:b/>
        <w:i w:val="0"/>
        <w:sz w:val="28"/>
      </w:rPr>
    </w:lvl>
    <w:lvl w:ilvl="6">
      <w:start w:val="1"/>
      <w:numFmt w:val="lowerLetter"/>
      <w:pStyle w:val="122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lowerLetter"/>
      <w:pStyle w:val="124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73"/>
      <w:isLgl w:val="false"/>
      <w:suff w:val="tab"/>
      <w:lvlText w:val="%1"/>
      <w:lvlJc w:val="left"/>
      <w:pPr>
        <w:ind w:left="680" w:hanging="680"/>
      </w:pPr>
      <w:rPr>
        <w:rFonts w:hint="eastAsia" w:ascii="宋体" w:hAnsi="宋体" w:eastAsia="宋体"/>
      </w:rPr>
    </w:lvl>
    <w:lvl w:ilvl="1">
      <w:start w:val="1"/>
      <w:numFmt w:val="decimal"/>
      <w:pStyle w:val="1274"/>
      <w:isLgl w:val="false"/>
      <w:suff w:val="tab"/>
      <w:lvlText w:val="%1.%2"/>
      <w:lvlJc w:val="left"/>
      <w:pPr>
        <w:ind w:left="851" w:hanging="851"/>
      </w:pPr>
      <w:rPr>
        <w:rFonts w:hint="eastAsia" w:ascii="宋体" w:hAnsi="宋体" w:eastAsia="宋体"/>
        <w:color w:val="000000"/>
      </w:rPr>
    </w:lvl>
    <w:lvl w:ilvl="2">
      <w:start w:val="1"/>
      <w:numFmt w:val="decimal"/>
      <w:pStyle w:val="127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7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1"/>
  </w:num>
  <w:num w:numId="4">
    <w:abstractNumId w:val="3"/>
  </w:num>
  <w:num w:numId="5">
    <w:abstractNumId w:val="2"/>
  </w:num>
  <w:num w:numId="6">
    <w:abstractNumId w:val="8"/>
  </w:num>
  <w:num w:numId="7">
    <w:abstractNumId w:val="9"/>
  </w:num>
  <w:num w:numId="8">
    <w:abstractNumId w:val="13"/>
  </w:num>
  <w:num w:numId="9">
    <w:abstractNumId w:val="1"/>
  </w:num>
  <w:num w:numId="10">
    <w:abstractNumId w:val="5"/>
  </w:num>
  <w:num w:numId="11">
    <w:abstractNumId w:val="6"/>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num>
  <w:num w:numId="14">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default="1">
    <w:name w:val="Normal"/>
    <w:next w:val="888"/>
    <w:link w:val="13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name w:val="Heading 1"/>
    <w:basedOn w:val="876"/>
    <w:next w:val="876"/>
    <w:link w:val="920"/>
    <w:uiPriority w:val="9"/>
    <w:qFormat/>
    <w:pPr>
      <w:keepLines/>
      <w:keepNext/>
      <w:spacing w:before="480" w:after="200"/>
      <w:outlineLvl w:val="0"/>
    </w:pPr>
    <w:rPr>
      <w:rFonts w:ascii="Arial" w:hAnsi="Arial" w:eastAsia="Arial" w:cs="Arial"/>
      <w:sz w:val="40"/>
      <w:szCs w:val="40"/>
    </w:rPr>
  </w:style>
  <w:style w:type="paragraph" w:styleId="878">
    <w:name w:val="Heading 2"/>
    <w:basedOn w:val="876"/>
    <w:next w:val="876"/>
    <w:link w:val="921"/>
    <w:uiPriority w:val="9"/>
    <w:unhideWhenUsed/>
    <w:qFormat/>
    <w:pPr>
      <w:keepLines/>
      <w:keepNext/>
      <w:spacing w:before="360" w:after="200"/>
      <w:outlineLvl w:val="1"/>
    </w:pPr>
    <w:rPr>
      <w:rFonts w:ascii="Arial" w:hAnsi="Arial" w:eastAsia="Arial" w:cs="Arial"/>
      <w:sz w:val="34"/>
    </w:rPr>
  </w:style>
  <w:style w:type="paragraph" w:styleId="879">
    <w:name w:val="Heading 3"/>
    <w:basedOn w:val="876"/>
    <w:next w:val="876"/>
    <w:link w:val="922"/>
    <w:uiPriority w:val="9"/>
    <w:unhideWhenUsed/>
    <w:qFormat/>
    <w:pPr>
      <w:keepLines/>
      <w:keepNext/>
      <w:spacing w:before="320" w:after="200"/>
      <w:outlineLvl w:val="2"/>
    </w:pPr>
    <w:rPr>
      <w:rFonts w:ascii="Arial" w:hAnsi="Arial" w:eastAsia="Arial" w:cs="Arial"/>
      <w:sz w:val="30"/>
      <w:szCs w:val="30"/>
    </w:rPr>
  </w:style>
  <w:style w:type="paragraph" w:styleId="880">
    <w:name w:val="Heading 4"/>
    <w:basedOn w:val="876"/>
    <w:next w:val="876"/>
    <w:link w:val="923"/>
    <w:uiPriority w:val="9"/>
    <w:unhideWhenUsed/>
    <w:qFormat/>
    <w:pPr>
      <w:keepLines/>
      <w:keepNext/>
      <w:spacing w:before="320" w:after="200"/>
      <w:outlineLvl w:val="3"/>
    </w:pPr>
    <w:rPr>
      <w:rFonts w:ascii="Arial" w:hAnsi="Arial" w:eastAsia="Arial" w:cs="Arial"/>
      <w:b/>
      <w:bCs/>
      <w:sz w:val="26"/>
      <w:szCs w:val="26"/>
    </w:rPr>
  </w:style>
  <w:style w:type="paragraph" w:styleId="881">
    <w:name w:val="Heading 5"/>
    <w:basedOn w:val="876"/>
    <w:next w:val="876"/>
    <w:link w:val="924"/>
    <w:uiPriority w:val="9"/>
    <w:unhideWhenUsed/>
    <w:qFormat/>
    <w:pPr>
      <w:keepLines/>
      <w:keepNext/>
      <w:spacing w:before="320" w:after="200"/>
      <w:outlineLvl w:val="4"/>
    </w:pPr>
    <w:rPr>
      <w:rFonts w:ascii="Arial" w:hAnsi="Arial" w:eastAsia="Arial" w:cs="Arial"/>
      <w:b/>
      <w:bCs/>
      <w:sz w:val="24"/>
      <w:szCs w:val="24"/>
    </w:rPr>
  </w:style>
  <w:style w:type="paragraph" w:styleId="882">
    <w:name w:val="Heading 6"/>
    <w:basedOn w:val="876"/>
    <w:next w:val="876"/>
    <w:link w:val="925"/>
    <w:uiPriority w:val="9"/>
    <w:unhideWhenUsed/>
    <w:qFormat/>
    <w:pPr>
      <w:keepLines/>
      <w:keepNext/>
      <w:spacing w:before="320" w:after="200"/>
      <w:outlineLvl w:val="5"/>
    </w:pPr>
    <w:rPr>
      <w:rFonts w:ascii="Arial" w:hAnsi="Arial" w:eastAsia="Arial" w:cs="Arial"/>
      <w:b/>
      <w:bCs/>
      <w:sz w:val="22"/>
      <w:szCs w:val="22"/>
    </w:rPr>
  </w:style>
  <w:style w:type="paragraph" w:styleId="883">
    <w:name w:val="Heading 7"/>
    <w:basedOn w:val="876"/>
    <w:next w:val="876"/>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84">
    <w:name w:val="Heading 8"/>
    <w:basedOn w:val="876"/>
    <w:next w:val="876"/>
    <w:link w:val="927"/>
    <w:uiPriority w:val="9"/>
    <w:unhideWhenUsed/>
    <w:qFormat/>
    <w:pPr>
      <w:keepLines/>
      <w:keepNext/>
      <w:spacing w:before="320" w:after="200"/>
      <w:outlineLvl w:val="7"/>
    </w:pPr>
    <w:rPr>
      <w:rFonts w:ascii="Arial" w:hAnsi="Arial" w:eastAsia="Arial" w:cs="Arial"/>
      <w:i/>
      <w:iCs/>
      <w:sz w:val="22"/>
      <w:szCs w:val="22"/>
    </w:rPr>
  </w:style>
  <w:style w:type="paragraph" w:styleId="885">
    <w:name w:val="Heading 9"/>
    <w:basedOn w:val="876"/>
    <w:next w:val="876"/>
    <w:link w:val="928"/>
    <w:uiPriority w:val="9"/>
    <w:unhideWhenUsed/>
    <w:qFormat/>
    <w:pPr>
      <w:keepLines/>
      <w:keepNext/>
      <w:spacing w:before="320" w:after="200"/>
      <w:outlineLvl w:val="8"/>
    </w:pPr>
    <w:rPr>
      <w:rFonts w:ascii="Arial" w:hAnsi="Arial" w:eastAsia="Arial" w:cs="Arial"/>
      <w:i/>
      <w:iCs/>
      <w:sz w:val="21"/>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customStyle="1">
    <w:name w:val="正文首行缩进1"/>
    <w:basedOn w:val="889"/>
    <w:uiPriority w:val="99"/>
    <w:qFormat/>
    <w:pPr>
      <w:ind w:firstLine="420"/>
      <w:tabs>
        <w:tab w:val="left" w:pos="567" w:leader="none"/>
      </w:tabs>
    </w:pPr>
  </w:style>
  <w:style w:type="paragraph" w:styleId="889" w:customStyle="1">
    <w:name w:val="正文文本1"/>
    <w:basedOn w:val="876"/>
    <w:link w:val="1098"/>
    <w:uiPriority w:val="0"/>
    <w:qFormat/>
    <w:pPr>
      <w:spacing w:before="120" w:line="22" w:lineRule="atLeast"/>
      <w:tabs>
        <w:tab w:val="left" w:pos="567" w:leader="none"/>
      </w:tabs>
    </w:pPr>
    <w:rPr>
      <w:rFonts w:ascii="宋体" w:hAnsi="宋体"/>
      <w:sz w:val="24"/>
    </w:rPr>
  </w:style>
  <w:style w:type="paragraph" w:styleId="890">
    <w:name w:val="toc 7"/>
    <w:basedOn w:val="876"/>
    <w:next w:val="876"/>
    <w:uiPriority w:val="39"/>
    <w:unhideWhenUsed/>
    <w:qFormat/>
    <w:pPr>
      <w:ind w:left="1701" w:right="0" w:firstLine="0"/>
      <w:spacing w:after="57"/>
    </w:pPr>
  </w:style>
  <w:style w:type="paragraph" w:styleId="891">
    <w:name w:val="Caption"/>
    <w:basedOn w:val="876"/>
    <w:next w:val="8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name w:val="annotation text"/>
    <w:basedOn w:val="876"/>
    <w:uiPriority w:val="99"/>
    <w:semiHidden/>
    <w:unhideWhenUsed/>
    <w:qFormat/>
    <w:pPr>
      <w:jc w:val="left"/>
    </w:pPr>
  </w:style>
  <w:style w:type="paragraph" w:styleId="893">
    <w:name w:val="Body Text"/>
    <w:basedOn w:val="876"/>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894">
    <w:name w:val="Body Text Indent"/>
    <w:uiPriority w:val="99"/>
    <w:unhideWhenUsed/>
    <w:qFormat/>
    <w:pPr>
      <w:ind w:left="420"/>
      <w:jc w:val="both"/>
      <w:spacing w:after="120"/>
      <w:widowControl w:val="off"/>
    </w:pPr>
    <w:rPr>
      <w:rFonts w:ascii="Calibri" w:hAnsi="Calibri" w:eastAsia="宋体" w:cs="Times New Roman"/>
      <w:sz w:val="24"/>
      <w:szCs w:val="22"/>
      <w:lang w:val="en-US" w:eastAsia="zh-CN" w:bidi="ar-SA"/>
    </w:rPr>
  </w:style>
  <w:style w:type="paragraph" w:styleId="895">
    <w:name w:val="toc 5"/>
    <w:basedOn w:val="876"/>
    <w:next w:val="876"/>
    <w:uiPriority w:val="39"/>
    <w:unhideWhenUsed/>
    <w:qFormat/>
    <w:pPr>
      <w:ind w:left="1134" w:right="0" w:firstLine="0"/>
      <w:spacing w:after="57"/>
    </w:pPr>
  </w:style>
  <w:style w:type="paragraph" w:styleId="896">
    <w:name w:val="toc 3"/>
    <w:basedOn w:val="876"/>
    <w:next w:val="876"/>
    <w:uiPriority w:val="39"/>
    <w:unhideWhenUsed/>
    <w:qFormat/>
    <w:pPr>
      <w:ind w:left="567" w:right="0" w:firstLine="0"/>
      <w:spacing w:after="57"/>
    </w:pPr>
  </w:style>
  <w:style w:type="paragraph" w:styleId="897">
    <w:name w:val="Plain Text"/>
    <w:basedOn w:val="876"/>
    <w:uiPriority w:val="0"/>
    <w:qFormat/>
    <w:rPr>
      <w:rFonts w:hint="eastAsia" w:ascii="宋体" w:hAnsi="Courier New"/>
      <w:szCs w:val="20"/>
    </w:rPr>
  </w:style>
  <w:style w:type="paragraph" w:styleId="898">
    <w:name w:val="toc 8"/>
    <w:basedOn w:val="876"/>
    <w:next w:val="876"/>
    <w:uiPriority w:val="39"/>
    <w:unhideWhenUsed/>
    <w:qFormat/>
    <w:pPr>
      <w:ind w:left="1984" w:right="0" w:firstLine="0"/>
      <w:spacing w:after="57"/>
    </w:pPr>
  </w:style>
  <w:style w:type="paragraph" w:styleId="899">
    <w:name w:val="endnote text"/>
    <w:basedOn w:val="876"/>
    <w:link w:val="1066"/>
    <w:uiPriority w:val="99"/>
    <w:semiHidden/>
    <w:unhideWhenUsed/>
    <w:qFormat/>
    <w:pPr>
      <w:spacing w:after="0" w:line="240" w:lineRule="auto"/>
    </w:pPr>
    <w:rPr>
      <w:sz w:val="20"/>
    </w:rPr>
  </w:style>
  <w:style w:type="paragraph" w:styleId="900">
    <w:name w:val="Footer"/>
    <w:basedOn w:val="876"/>
    <w:link w:val="939"/>
    <w:uiPriority w:val="99"/>
    <w:unhideWhenUsed/>
    <w:qFormat/>
    <w:pPr>
      <w:spacing w:after="0" w:line="240" w:lineRule="auto"/>
      <w:tabs>
        <w:tab w:val="center" w:pos="7143" w:leader="none"/>
        <w:tab w:val="right" w:pos="14287" w:leader="none"/>
      </w:tabs>
    </w:pPr>
  </w:style>
  <w:style w:type="paragraph" w:styleId="901">
    <w:name w:val="envelope return"/>
    <w:uiPriority w:val="0"/>
    <w:qFormat/>
    <w:pPr>
      <w:jc w:val="left"/>
      <w:widowControl/>
    </w:pPr>
    <w:rPr>
      <w:rFonts w:ascii="Arial" w:hAnsi="Arial" w:eastAsia="宋体" w:cs="Times New Roman"/>
      <w:sz w:val="26"/>
      <w:szCs w:val="24"/>
      <w:lang w:val="en-US" w:eastAsia="zh-CN" w:bidi="ar-SA"/>
    </w:rPr>
  </w:style>
  <w:style w:type="paragraph" w:styleId="902">
    <w:name w:val="Header"/>
    <w:basedOn w:val="876"/>
    <w:link w:val="937"/>
    <w:uiPriority w:val="99"/>
    <w:unhideWhenUsed/>
    <w:qFormat/>
    <w:pPr>
      <w:spacing w:after="0" w:line="240" w:lineRule="auto"/>
      <w:tabs>
        <w:tab w:val="center" w:pos="7143" w:leader="none"/>
        <w:tab w:val="right" w:pos="14287" w:leader="none"/>
      </w:tabs>
    </w:pPr>
  </w:style>
  <w:style w:type="paragraph" w:styleId="903">
    <w:name w:val="toc 1"/>
    <w:basedOn w:val="876"/>
    <w:next w:val="876"/>
    <w:uiPriority w:val="39"/>
    <w:unhideWhenUsed/>
    <w:qFormat/>
    <w:pPr>
      <w:ind w:left="0" w:right="0" w:firstLine="0"/>
      <w:spacing w:after="57"/>
    </w:pPr>
  </w:style>
  <w:style w:type="paragraph" w:styleId="904">
    <w:name w:val="toc 4"/>
    <w:basedOn w:val="876"/>
    <w:next w:val="876"/>
    <w:uiPriority w:val="39"/>
    <w:unhideWhenUsed/>
    <w:qFormat/>
    <w:pPr>
      <w:ind w:left="850" w:right="0" w:firstLine="0"/>
      <w:spacing w:after="57"/>
    </w:pPr>
  </w:style>
  <w:style w:type="paragraph" w:styleId="905">
    <w:name w:val="Subtitle"/>
    <w:basedOn w:val="876"/>
    <w:next w:val="876"/>
    <w:link w:val="932"/>
    <w:uiPriority w:val="11"/>
    <w:qFormat/>
    <w:pPr>
      <w:spacing w:before="200" w:after="200"/>
    </w:pPr>
    <w:rPr>
      <w:sz w:val="24"/>
      <w:szCs w:val="24"/>
    </w:rPr>
  </w:style>
  <w:style w:type="paragraph" w:styleId="906">
    <w:name w:val="footnote text"/>
    <w:basedOn w:val="876"/>
    <w:link w:val="1065"/>
    <w:uiPriority w:val="99"/>
    <w:semiHidden/>
    <w:unhideWhenUsed/>
    <w:qFormat/>
    <w:pPr>
      <w:spacing w:after="40" w:line="240" w:lineRule="auto"/>
    </w:pPr>
    <w:rPr>
      <w:sz w:val="18"/>
    </w:rPr>
  </w:style>
  <w:style w:type="paragraph" w:styleId="907">
    <w:name w:val="toc 6"/>
    <w:basedOn w:val="876"/>
    <w:next w:val="876"/>
    <w:uiPriority w:val="39"/>
    <w:unhideWhenUsed/>
    <w:qFormat/>
    <w:pPr>
      <w:ind w:left="1417" w:right="0" w:firstLine="0"/>
      <w:spacing w:after="57"/>
    </w:pPr>
  </w:style>
  <w:style w:type="paragraph" w:styleId="908">
    <w:name w:val="table of figures"/>
    <w:basedOn w:val="876"/>
    <w:next w:val="876"/>
    <w:uiPriority w:val="99"/>
    <w:unhideWhenUsed/>
    <w:qFormat/>
    <w:pPr>
      <w:spacing w:after="0" w:afterAutospacing="0"/>
    </w:pPr>
  </w:style>
  <w:style w:type="paragraph" w:styleId="909">
    <w:name w:val="toc 2"/>
    <w:basedOn w:val="876"/>
    <w:next w:val="876"/>
    <w:uiPriority w:val="39"/>
    <w:unhideWhenUsed/>
    <w:qFormat/>
    <w:pPr>
      <w:ind w:left="283" w:right="0" w:firstLine="0"/>
      <w:spacing w:after="57"/>
    </w:pPr>
  </w:style>
  <w:style w:type="paragraph" w:styleId="910">
    <w:name w:val="toc 9"/>
    <w:basedOn w:val="876"/>
    <w:next w:val="876"/>
    <w:uiPriority w:val="39"/>
    <w:unhideWhenUsed/>
    <w:qFormat/>
    <w:pPr>
      <w:ind w:left="2268" w:right="0" w:firstLine="0"/>
      <w:spacing w:after="57"/>
    </w:pPr>
  </w:style>
  <w:style w:type="paragraph" w:styleId="911">
    <w:name w:val="Normal (Web)"/>
    <w:basedOn w:val="876"/>
    <w:uiPriority w:val="99"/>
    <w:semiHidden/>
    <w:unhideWhenUsed/>
    <w:qFormat/>
    <w:pPr>
      <w:ind w:left="0" w:right="0"/>
      <w:jc w:val="left"/>
      <w:spacing w:before="0" w:beforeAutospacing="1" w:after="0" w:afterAutospacing="1"/>
    </w:pPr>
    <w:rPr>
      <w:sz w:val="24"/>
      <w:lang w:val="en-US" w:eastAsia="zh-CN" w:bidi="ar"/>
    </w:rPr>
  </w:style>
  <w:style w:type="paragraph" w:styleId="912">
    <w:name w:val="Title"/>
    <w:basedOn w:val="876"/>
    <w:next w:val="876"/>
    <w:link w:val="931"/>
    <w:uiPriority w:val="10"/>
    <w:qFormat/>
    <w:pPr>
      <w:contextualSpacing/>
      <w:spacing w:before="300" w:after="200"/>
    </w:pPr>
    <w:rPr>
      <w:sz w:val="48"/>
      <w:szCs w:val="48"/>
    </w:rPr>
  </w:style>
  <w:style w:type="table" w:styleId="9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4">
    <w:name w:val="Strong"/>
    <w:basedOn w:val="886"/>
    <w:uiPriority w:val="22"/>
    <w:qFormat/>
    <w:rPr>
      <w:b/>
    </w:rPr>
  </w:style>
  <w:style w:type="character" w:styleId="915">
    <w:name w:val="endnote reference"/>
    <w:uiPriority w:val="99"/>
    <w:semiHidden/>
    <w:unhideWhenUsed/>
    <w:qFormat/>
    <w:rPr>
      <w:vertAlign w:val="superscript"/>
    </w:rPr>
  </w:style>
  <w:style w:type="character" w:styleId="916">
    <w:name w:val="Hyperlink"/>
    <w:uiPriority w:val="99"/>
    <w:unhideWhenUsed/>
    <w:qFormat/>
    <w:rPr>
      <w:color w:val="0000ff" w:themeColor="hyperlink"/>
      <w:u w:val="single"/>
      <w14:textFill>
        <w14:solidFill>
          <w14:schemeClr w14:val="hlink"/>
        </w14:solidFill>
      </w14:textFill>
    </w:rPr>
  </w:style>
  <w:style w:type="character" w:styleId="917">
    <w:name w:val="footnote reference"/>
    <w:uiPriority w:val="99"/>
    <w:unhideWhenUsed/>
    <w:qFormat/>
    <w:rPr>
      <w:vertAlign w:val="superscript"/>
    </w:rPr>
  </w:style>
  <w:style w:type="paragraph" w:styleId="918" w:customStyle="1">
    <w:name w:val="正文首行缩进 211"/>
    <w:basedOn w:val="919"/>
    <w:uiPriority w:val="0"/>
    <w:unhideWhenUsed/>
    <w:qFormat/>
    <w:pPr>
      <w:ind w:left="420" w:firstLine="420"/>
      <w:jc w:val="both"/>
      <w:spacing w:line="360" w:lineRule="exact"/>
    </w:pPr>
    <w:rPr>
      <w:rFonts w:hint="default" w:ascii="Times New Roman" w:hAnsi="Times New Roman" w:eastAsia="宋体" w:cs="Times New Roman"/>
      <w:lang w:val="en-US" w:eastAsia="zh-CN" w:bidi="ar-SA"/>
    </w:rPr>
  </w:style>
  <w:style w:type="paragraph" w:styleId="919" w:customStyle="1">
    <w:name w:val="正文文本缩进11"/>
    <w:basedOn w:val="876"/>
    <w:next w:val="876"/>
    <w:link w:val="1099"/>
    <w:uiPriority w:val="0"/>
    <w:qFormat/>
    <w:pPr>
      <w:ind w:firstLine="570"/>
      <w:spacing w:line="360" w:lineRule="auto"/>
    </w:pPr>
    <w:rPr>
      <w:sz w:val="24"/>
    </w:rPr>
  </w:style>
  <w:style w:type="character" w:styleId="920" w:customStyle="1">
    <w:name w:val="Heading 1 Char"/>
    <w:link w:val="877"/>
    <w:uiPriority w:val="9"/>
    <w:qFormat/>
    <w:rPr>
      <w:rFonts w:ascii="Arial" w:hAnsi="Arial" w:eastAsia="Arial" w:cs="Arial"/>
      <w:sz w:val="40"/>
      <w:szCs w:val="40"/>
    </w:rPr>
  </w:style>
  <w:style w:type="character" w:styleId="921" w:customStyle="1">
    <w:name w:val="Heading 2 Char"/>
    <w:link w:val="878"/>
    <w:uiPriority w:val="9"/>
    <w:qFormat/>
    <w:rPr>
      <w:rFonts w:ascii="Arial" w:hAnsi="Arial" w:eastAsia="Arial" w:cs="Arial"/>
      <w:sz w:val="34"/>
    </w:rPr>
  </w:style>
  <w:style w:type="character" w:styleId="922" w:customStyle="1">
    <w:name w:val="Heading 3 Char"/>
    <w:link w:val="879"/>
    <w:uiPriority w:val="9"/>
    <w:qFormat/>
    <w:rPr>
      <w:rFonts w:ascii="Arial" w:hAnsi="Arial" w:eastAsia="Arial" w:cs="Arial"/>
      <w:sz w:val="30"/>
      <w:szCs w:val="30"/>
    </w:rPr>
  </w:style>
  <w:style w:type="character" w:styleId="923" w:customStyle="1">
    <w:name w:val="Heading 4 Char"/>
    <w:link w:val="880"/>
    <w:uiPriority w:val="9"/>
    <w:qFormat/>
    <w:rPr>
      <w:rFonts w:ascii="Arial" w:hAnsi="Arial" w:eastAsia="Arial" w:cs="Arial"/>
      <w:b/>
      <w:bCs/>
      <w:sz w:val="26"/>
      <w:szCs w:val="26"/>
    </w:rPr>
  </w:style>
  <w:style w:type="character" w:styleId="924" w:customStyle="1">
    <w:name w:val="Heading 5 Char"/>
    <w:link w:val="881"/>
    <w:uiPriority w:val="9"/>
    <w:qFormat/>
    <w:rPr>
      <w:rFonts w:ascii="Arial" w:hAnsi="Arial" w:eastAsia="Arial" w:cs="Arial"/>
      <w:b/>
      <w:bCs/>
      <w:sz w:val="24"/>
      <w:szCs w:val="24"/>
    </w:rPr>
  </w:style>
  <w:style w:type="character" w:styleId="925" w:customStyle="1">
    <w:name w:val="Heading 6 Char"/>
    <w:link w:val="882"/>
    <w:uiPriority w:val="9"/>
    <w:qFormat/>
    <w:rPr>
      <w:rFonts w:ascii="Arial" w:hAnsi="Arial" w:eastAsia="Arial" w:cs="Arial"/>
      <w:b/>
      <w:bCs/>
      <w:sz w:val="22"/>
      <w:szCs w:val="22"/>
    </w:rPr>
  </w:style>
  <w:style w:type="character" w:styleId="926" w:customStyle="1">
    <w:name w:val="Heading 7 Char"/>
    <w:link w:val="883"/>
    <w:uiPriority w:val="9"/>
    <w:qFormat/>
    <w:rPr>
      <w:rFonts w:ascii="Arial" w:hAnsi="Arial" w:eastAsia="Arial" w:cs="Arial"/>
      <w:b/>
      <w:bCs/>
      <w:i/>
      <w:iCs/>
      <w:sz w:val="22"/>
      <w:szCs w:val="22"/>
    </w:rPr>
  </w:style>
  <w:style w:type="character" w:styleId="927" w:customStyle="1">
    <w:name w:val="Heading 8 Char"/>
    <w:link w:val="884"/>
    <w:uiPriority w:val="9"/>
    <w:qFormat/>
    <w:rPr>
      <w:rFonts w:ascii="Arial" w:hAnsi="Arial" w:eastAsia="Arial" w:cs="Arial"/>
      <w:i/>
      <w:iCs/>
      <w:sz w:val="22"/>
      <w:szCs w:val="22"/>
    </w:rPr>
  </w:style>
  <w:style w:type="character" w:styleId="928" w:customStyle="1">
    <w:name w:val="Heading 9 Char"/>
    <w:link w:val="885"/>
    <w:uiPriority w:val="9"/>
    <w:qFormat/>
    <w:rPr>
      <w:rFonts w:ascii="Arial" w:hAnsi="Arial" w:eastAsia="Arial" w:cs="Arial"/>
      <w:i/>
      <w:iCs/>
      <w:sz w:val="21"/>
      <w:szCs w:val="21"/>
    </w:rPr>
  </w:style>
  <w:style w:type="paragraph" w:styleId="929">
    <w:name w:val="List Paragraph"/>
    <w:basedOn w:val="876"/>
    <w:uiPriority w:val="34"/>
    <w:qFormat/>
    <w:pPr>
      <w:contextualSpacing/>
      <w:ind w:left="720"/>
    </w:pPr>
  </w:style>
  <w:style w:type="paragraph" w:styleId="930">
    <w:name w:val="No Spacing"/>
    <w:uiPriority w:val="1"/>
    <w:qFormat/>
    <w:pPr>
      <w:spacing w:before="0" w:after="0" w:line="240" w:lineRule="auto"/>
    </w:pPr>
    <w:rPr>
      <w:rFonts w:hint="default" w:ascii="Times New Roman" w:hAnsi="Times New Roman" w:eastAsia="宋体" w:cs="Times New Roman"/>
    </w:rPr>
  </w:style>
  <w:style w:type="character" w:styleId="931" w:customStyle="1">
    <w:name w:val="Title Char"/>
    <w:link w:val="912"/>
    <w:uiPriority w:val="10"/>
    <w:qFormat/>
    <w:rPr>
      <w:sz w:val="48"/>
      <w:szCs w:val="48"/>
    </w:rPr>
  </w:style>
  <w:style w:type="character" w:styleId="932" w:customStyle="1">
    <w:name w:val="Subtitle Char"/>
    <w:link w:val="905"/>
    <w:uiPriority w:val="11"/>
    <w:qFormat/>
    <w:rPr>
      <w:sz w:val="24"/>
      <w:szCs w:val="24"/>
    </w:rPr>
  </w:style>
  <w:style w:type="paragraph" w:styleId="933">
    <w:name w:val="Quote"/>
    <w:basedOn w:val="876"/>
    <w:next w:val="876"/>
    <w:link w:val="934"/>
    <w:uiPriority w:val="29"/>
    <w:qFormat/>
    <w:pPr>
      <w:ind w:left="720" w:right="720"/>
    </w:pPr>
    <w:rPr>
      <w:i/>
    </w:rPr>
  </w:style>
  <w:style w:type="character" w:styleId="934" w:customStyle="1">
    <w:name w:val="Quote Char"/>
    <w:link w:val="933"/>
    <w:uiPriority w:val="29"/>
    <w:qFormat/>
    <w:rPr>
      <w:i/>
    </w:rPr>
  </w:style>
  <w:style w:type="paragraph" w:styleId="935">
    <w:name w:val="Intense Quote"/>
    <w:basedOn w:val="876"/>
    <w:next w:val="876"/>
    <w:link w:val="9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Intense Quote Char"/>
    <w:link w:val="935"/>
    <w:uiPriority w:val="30"/>
    <w:qFormat/>
    <w:rPr>
      <w:i/>
    </w:rPr>
  </w:style>
  <w:style w:type="character" w:styleId="937" w:customStyle="1">
    <w:name w:val="Header Char"/>
    <w:link w:val="902"/>
    <w:uiPriority w:val="99"/>
    <w:qFormat/>
  </w:style>
  <w:style w:type="character" w:styleId="938" w:customStyle="1">
    <w:name w:val="Footer Char"/>
    <w:link w:val="900"/>
    <w:uiPriority w:val="99"/>
    <w:qFormat/>
  </w:style>
  <w:style w:type="character" w:styleId="939" w:customStyle="1">
    <w:name w:val="Caption Char"/>
    <w:link w:val="900"/>
    <w:uiPriority w:val="99"/>
    <w:qFormat/>
  </w:style>
  <w:style w:type="table" w:styleId="9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Footnote Text Char"/>
    <w:link w:val="906"/>
    <w:uiPriority w:val="99"/>
    <w:qFormat/>
    <w:rPr>
      <w:sz w:val="18"/>
    </w:rPr>
  </w:style>
  <w:style w:type="character" w:styleId="1066" w:customStyle="1">
    <w:name w:val="Endnote Text Char"/>
    <w:link w:val="899"/>
    <w:uiPriority w:val="99"/>
    <w:qFormat/>
    <w:rPr>
      <w:sz w:val="20"/>
    </w:rPr>
  </w:style>
  <w:style w:type="paragraph" w:styleId="1067" w:customStyle="1">
    <w:name w:val="TOC Heading"/>
    <w:uiPriority w:val="39"/>
    <w:unhideWhenUsed/>
    <w:qFormat/>
    <w:rPr>
      <w:rFonts w:hint="default" w:ascii="Times New Roman" w:hAnsi="Times New Roman" w:eastAsia="宋体" w:cs="Times New Roman"/>
    </w:rPr>
  </w:style>
  <w:style w:type="paragraph" w:styleId="1068" w:customStyle="1">
    <w:name w:val="标题 11"/>
    <w:basedOn w:val="876"/>
    <w:next w:val="876"/>
    <w:link w:val="1079"/>
    <w:uiPriority w:val="0"/>
    <w:qFormat/>
    <w:pPr>
      <w:jc w:val="center"/>
      <w:keepLines/>
      <w:keepNext/>
      <w:spacing w:before="240" w:after="120" w:line="300" w:lineRule="auto"/>
      <w:outlineLvl w:val="0"/>
    </w:pPr>
    <w:rPr>
      <w:rFonts w:ascii="宋体"/>
      <w:b/>
      <w:sz w:val="32"/>
      <w:szCs w:val="20"/>
    </w:rPr>
  </w:style>
  <w:style w:type="paragraph" w:styleId="1069" w:customStyle="1">
    <w:name w:val="标题 21"/>
    <w:basedOn w:val="876"/>
    <w:next w:val="876"/>
    <w:link w:val="1080"/>
    <w:uiPriority w:val="0"/>
    <w:qFormat/>
    <w:pPr>
      <w:jc w:val="center"/>
      <w:keepLines/>
      <w:keepNext/>
      <w:spacing w:before="120" w:line="300" w:lineRule="auto"/>
      <w:outlineLvl w:val="1"/>
    </w:pPr>
    <w:rPr>
      <w:rFonts w:ascii="Arial" w:hAnsi="Arial" w:eastAsia="黑体"/>
      <w:b/>
      <w:sz w:val="30"/>
      <w:szCs w:val="20"/>
    </w:rPr>
  </w:style>
  <w:style w:type="paragraph" w:styleId="1070" w:customStyle="1">
    <w:name w:val="标题 31"/>
    <w:basedOn w:val="876"/>
    <w:next w:val="876"/>
    <w:link w:val="1081"/>
    <w:uiPriority w:val="0"/>
    <w:qFormat/>
    <w:pPr>
      <w:jc w:val="left"/>
      <w:keepLines/>
      <w:keepNext/>
      <w:spacing w:before="360" w:after="120"/>
      <w:outlineLvl w:val="2"/>
    </w:pPr>
    <w:rPr>
      <w:rFonts w:ascii="宋体"/>
      <w:b/>
      <w:sz w:val="24"/>
      <w:szCs w:val="20"/>
      <w:u w:val="single"/>
    </w:rPr>
  </w:style>
  <w:style w:type="paragraph" w:styleId="1071" w:customStyle="1">
    <w:name w:val="标题 41"/>
    <w:basedOn w:val="876"/>
    <w:next w:val="876"/>
    <w:link w:val="1082"/>
    <w:uiPriority w:val="0"/>
    <w:qFormat/>
    <w:pPr>
      <w:keepLines/>
      <w:keepNext/>
      <w:spacing w:before="280" w:after="290" w:line="376" w:lineRule="atLeast"/>
      <w:outlineLvl w:val="3"/>
    </w:pPr>
    <w:rPr>
      <w:rFonts w:ascii="Arial" w:hAnsi="Arial" w:eastAsia="黑体"/>
      <w:b/>
      <w:sz w:val="28"/>
      <w:szCs w:val="20"/>
    </w:rPr>
  </w:style>
  <w:style w:type="paragraph" w:styleId="1072" w:customStyle="1">
    <w:name w:val="标题 51"/>
    <w:basedOn w:val="876"/>
    <w:next w:val="876"/>
    <w:link w:val="1083"/>
    <w:uiPriority w:val="0"/>
    <w:qFormat/>
    <w:pPr>
      <w:keepLines/>
      <w:keepNext/>
      <w:spacing w:before="280" w:after="290" w:line="376" w:lineRule="atLeast"/>
      <w:outlineLvl w:val="4"/>
    </w:pPr>
    <w:rPr>
      <w:b/>
      <w:sz w:val="28"/>
      <w:szCs w:val="20"/>
    </w:rPr>
  </w:style>
  <w:style w:type="paragraph" w:styleId="1073" w:customStyle="1">
    <w:name w:val="标题 61"/>
    <w:basedOn w:val="876"/>
    <w:next w:val="876"/>
    <w:link w:val="1084"/>
    <w:uiPriority w:val="0"/>
    <w:qFormat/>
    <w:pPr>
      <w:keepLines/>
      <w:keepNext/>
      <w:spacing w:before="240" w:after="64" w:line="320" w:lineRule="atLeast"/>
      <w:outlineLvl w:val="5"/>
    </w:pPr>
    <w:rPr>
      <w:rFonts w:ascii="Arial" w:hAnsi="Arial" w:eastAsia="黑体"/>
      <w:b/>
      <w:sz w:val="24"/>
      <w:szCs w:val="20"/>
    </w:rPr>
  </w:style>
  <w:style w:type="paragraph" w:styleId="1074" w:customStyle="1">
    <w:name w:val="标题 71"/>
    <w:basedOn w:val="876"/>
    <w:next w:val="876"/>
    <w:link w:val="1085"/>
    <w:uiPriority w:val="0"/>
    <w:qFormat/>
    <w:pPr>
      <w:keepLines/>
      <w:keepNext/>
      <w:spacing w:before="240" w:after="64" w:line="320" w:lineRule="atLeast"/>
      <w:outlineLvl w:val="6"/>
    </w:pPr>
    <w:rPr>
      <w:b/>
      <w:sz w:val="24"/>
      <w:szCs w:val="20"/>
    </w:rPr>
  </w:style>
  <w:style w:type="paragraph" w:styleId="1075" w:customStyle="1">
    <w:name w:val="标题 81"/>
    <w:basedOn w:val="876"/>
    <w:next w:val="876"/>
    <w:link w:val="1086"/>
    <w:uiPriority w:val="0"/>
    <w:qFormat/>
    <w:pPr>
      <w:keepLines/>
      <w:keepNext/>
      <w:spacing w:before="240" w:after="64" w:line="320" w:lineRule="atLeast"/>
      <w:outlineLvl w:val="7"/>
    </w:pPr>
    <w:rPr>
      <w:rFonts w:ascii="Arial" w:hAnsi="Arial" w:eastAsia="黑体"/>
      <w:sz w:val="24"/>
      <w:szCs w:val="20"/>
    </w:rPr>
  </w:style>
  <w:style w:type="paragraph" w:styleId="1076" w:customStyle="1">
    <w:name w:val="标题 91"/>
    <w:basedOn w:val="876"/>
    <w:next w:val="876"/>
    <w:link w:val="1087"/>
    <w:uiPriority w:val="0"/>
    <w:qFormat/>
    <w:pPr>
      <w:keepLines/>
      <w:keepNext/>
      <w:spacing w:before="240" w:after="64" w:line="320" w:lineRule="atLeast"/>
      <w:outlineLvl w:val="8"/>
    </w:pPr>
    <w:rPr>
      <w:rFonts w:ascii="Arial" w:hAnsi="Arial" w:eastAsia="黑体"/>
      <w:szCs w:val="20"/>
    </w:rPr>
  </w:style>
  <w:style w:type="character" w:styleId="1077" w:customStyle="1">
    <w:name w:val="默认段落字体1"/>
    <w:link w:val="876"/>
    <w:uiPriority w:val="1"/>
    <w:unhideWhenUsed/>
    <w:qFormat/>
  </w:style>
  <w:style w:type="table" w:styleId="1078" w:customStyle="1">
    <w:name w:val="普通表格1"/>
    <w:uiPriority w:val="99"/>
    <w:unhideWhenUsed/>
    <w:qFormat/>
    <w:tblPr/>
  </w:style>
  <w:style w:type="character" w:styleId="1079" w:customStyle="1">
    <w:name w:val="标题 1 Char"/>
    <w:link w:val="1068"/>
    <w:uiPriority w:val="0"/>
    <w:qFormat/>
    <w:rPr>
      <w:rFonts w:ascii="宋体"/>
      <w:b/>
      <w:sz w:val="32"/>
    </w:rPr>
  </w:style>
  <w:style w:type="character" w:styleId="1080" w:customStyle="1">
    <w:name w:val="标题 2 Char1"/>
    <w:link w:val="1069"/>
    <w:uiPriority w:val="0"/>
    <w:qFormat/>
    <w:rPr>
      <w:rFonts w:ascii="Arial" w:hAnsi="Arial" w:eastAsia="黑体"/>
      <w:b/>
      <w:sz w:val="30"/>
      <w:lang w:val="en-US" w:eastAsia="zh-CN" w:bidi="ar-SA"/>
    </w:rPr>
  </w:style>
  <w:style w:type="character" w:styleId="1081" w:customStyle="1">
    <w:name w:val="标题 3 Char1"/>
    <w:link w:val="1070"/>
    <w:uiPriority w:val="0"/>
    <w:qFormat/>
    <w:rPr>
      <w:rFonts w:ascii="宋体" w:eastAsia="宋体"/>
      <w:b/>
      <w:sz w:val="24"/>
      <w:u w:val="single"/>
      <w:lang w:val="en-US" w:eastAsia="zh-CN" w:bidi="ar-SA"/>
    </w:rPr>
  </w:style>
  <w:style w:type="character" w:styleId="1082" w:customStyle="1">
    <w:name w:val="标题 4 Char"/>
    <w:link w:val="1071"/>
    <w:uiPriority w:val="0"/>
    <w:qFormat/>
    <w:rPr>
      <w:rFonts w:ascii="Arial" w:hAnsi="Arial" w:eastAsia="黑体"/>
      <w:b/>
      <w:sz w:val="28"/>
    </w:rPr>
  </w:style>
  <w:style w:type="character" w:styleId="1083" w:customStyle="1">
    <w:name w:val="标题 5 Char"/>
    <w:link w:val="1072"/>
    <w:uiPriority w:val="0"/>
    <w:qFormat/>
    <w:rPr>
      <w:b/>
      <w:sz w:val="28"/>
    </w:rPr>
  </w:style>
  <w:style w:type="character" w:styleId="1084" w:customStyle="1">
    <w:name w:val="标题 6 Char"/>
    <w:link w:val="1073"/>
    <w:uiPriority w:val="0"/>
    <w:qFormat/>
    <w:rPr>
      <w:rFonts w:ascii="Arial" w:hAnsi="Arial" w:eastAsia="黑体"/>
      <w:b/>
      <w:sz w:val="24"/>
    </w:rPr>
  </w:style>
  <w:style w:type="character" w:styleId="1085" w:customStyle="1">
    <w:name w:val="标题 7 Char"/>
    <w:link w:val="1074"/>
    <w:uiPriority w:val="0"/>
    <w:qFormat/>
    <w:rPr>
      <w:b/>
      <w:sz w:val="24"/>
    </w:rPr>
  </w:style>
  <w:style w:type="character" w:styleId="1086" w:customStyle="1">
    <w:name w:val="标题 8 Char"/>
    <w:link w:val="1075"/>
    <w:uiPriority w:val="0"/>
    <w:qFormat/>
    <w:rPr>
      <w:rFonts w:ascii="Arial" w:hAnsi="Arial" w:eastAsia="黑体"/>
      <w:sz w:val="24"/>
    </w:rPr>
  </w:style>
  <w:style w:type="character" w:styleId="1087" w:customStyle="1">
    <w:name w:val="标题 9 Char"/>
    <w:link w:val="1076"/>
    <w:uiPriority w:val="0"/>
    <w:qFormat/>
    <w:rPr>
      <w:rFonts w:ascii="Arial" w:hAnsi="Arial" w:eastAsia="黑体"/>
      <w:sz w:val="21"/>
    </w:rPr>
  </w:style>
  <w:style w:type="paragraph" w:styleId="1088" w:customStyle="1">
    <w:name w:val="目录 71"/>
    <w:basedOn w:val="876"/>
    <w:next w:val="876"/>
    <w:uiPriority w:val="0"/>
    <w:qFormat/>
    <w:pPr>
      <w:ind w:left="2520"/>
    </w:pPr>
  </w:style>
  <w:style w:type="paragraph" w:styleId="1089" w:customStyle="1">
    <w:name w:val="正文缩进11"/>
    <w:basedOn w:val="876"/>
    <w:link w:val="1090"/>
    <w:uiPriority w:val="0"/>
    <w:qFormat/>
    <w:pPr>
      <w:ind w:firstLine="420"/>
      <w:jc w:val="left"/>
    </w:pPr>
    <w:rPr>
      <w:rFonts w:ascii="宋体"/>
      <w:sz w:val="24"/>
    </w:rPr>
  </w:style>
  <w:style w:type="character" w:styleId="1090" w:customStyle="1">
    <w:name w:val="正文缩进 Char1"/>
    <w:link w:val="1089"/>
    <w:uiPriority w:val="0"/>
    <w:qFormat/>
    <w:rPr>
      <w:rFonts w:ascii="宋体" w:eastAsia="宋体"/>
      <w:sz w:val="24"/>
      <w:szCs w:val="24"/>
      <w:lang w:val="en-US" w:eastAsia="zh-CN" w:bidi="ar-SA"/>
    </w:rPr>
  </w:style>
  <w:style w:type="paragraph" w:styleId="1091" w:customStyle="1">
    <w:name w:val="题注1"/>
    <w:basedOn w:val="876"/>
    <w:next w:val="876"/>
    <w:uiPriority w:val="0"/>
    <w:qFormat/>
    <w:pPr>
      <w:spacing w:line="480" w:lineRule="auto"/>
    </w:pPr>
    <w:rPr>
      <w:rFonts w:ascii="华文中宋" w:hAnsi="华文中宋" w:eastAsia="华文中宋"/>
      <w:sz w:val="36"/>
      <w:szCs w:val="20"/>
    </w:rPr>
  </w:style>
  <w:style w:type="paragraph" w:styleId="1092" w:customStyle="1">
    <w:name w:val="文档结构图1"/>
    <w:basedOn w:val="876"/>
    <w:link w:val="1093"/>
    <w:uiPriority w:val="0"/>
    <w:qFormat/>
    <w:pPr>
      <w:shd w:val="clear" w:color="auto" w:fill="000080"/>
    </w:pPr>
  </w:style>
  <w:style w:type="character" w:styleId="1093" w:customStyle="1">
    <w:name w:val="文档结构图 Char"/>
    <w:link w:val="1092"/>
    <w:uiPriority w:val="0"/>
    <w:qFormat/>
    <w:rPr>
      <w:sz w:val="21"/>
      <w:szCs w:val="24"/>
      <w:shd w:val="clear" w:color="auto" w:fill="000080"/>
    </w:rPr>
  </w:style>
  <w:style w:type="paragraph" w:styleId="1094" w:customStyle="1">
    <w:name w:val="批注文字1"/>
    <w:basedOn w:val="876"/>
    <w:link w:val="1095"/>
    <w:uiPriority w:val="99"/>
    <w:qFormat/>
    <w:pPr>
      <w:jc w:val="left"/>
    </w:pPr>
  </w:style>
  <w:style w:type="character" w:styleId="1095" w:customStyle="1">
    <w:name w:val="批注文字 Char1"/>
    <w:link w:val="1094"/>
    <w:uiPriority w:val="99"/>
    <w:qFormat/>
    <w:rPr>
      <w:sz w:val="21"/>
      <w:szCs w:val="24"/>
    </w:rPr>
  </w:style>
  <w:style w:type="paragraph" w:styleId="1096" w:customStyle="1">
    <w:name w:val="正文文本 31"/>
    <w:basedOn w:val="876"/>
    <w:link w:val="1097"/>
    <w:uiPriority w:val="0"/>
    <w:qFormat/>
    <w:pPr>
      <w:spacing w:after="120"/>
    </w:pPr>
    <w:rPr>
      <w:sz w:val="16"/>
      <w:szCs w:val="16"/>
    </w:rPr>
  </w:style>
  <w:style w:type="character" w:styleId="1097" w:customStyle="1">
    <w:name w:val="正文文本 3 Char"/>
    <w:link w:val="1096"/>
    <w:uiPriority w:val="0"/>
    <w:qFormat/>
    <w:rPr>
      <w:sz w:val="16"/>
      <w:szCs w:val="16"/>
    </w:rPr>
  </w:style>
  <w:style w:type="character" w:styleId="1098" w:customStyle="1">
    <w:name w:val="正文文本 Char"/>
    <w:link w:val="889"/>
    <w:uiPriority w:val="0"/>
    <w:qFormat/>
    <w:rPr>
      <w:rFonts w:ascii="宋体" w:hAnsi="宋体"/>
      <w:sz w:val="24"/>
      <w:szCs w:val="24"/>
    </w:rPr>
  </w:style>
  <w:style w:type="character" w:styleId="1099" w:customStyle="1">
    <w:name w:val="正文文本缩进 Char2"/>
    <w:link w:val="919"/>
    <w:uiPriority w:val="0"/>
    <w:qFormat/>
    <w:rPr>
      <w:rFonts w:eastAsia="宋体"/>
      <w:sz w:val="24"/>
      <w:szCs w:val="24"/>
      <w:lang w:val="en-US" w:eastAsia="zh-CN" w:bidi="ar-SA"/>
    </w:rPr>
  </w:style>
  <w:style w:type="paragraph" w:styleId="1100" w:customStyle="1">
    <w:name w:val="列表 21"/>
    <w:basedOn w:val="876"/>
    <w:uiPriority w:val="0"/>
    <w:qFormat/>
    <w:pPr>
      <w:ind w:left="100" w:hanging="200"/>
    </w:pPr>
  </w:style>
  <w:style w:type="paragraph" w:styleId="1101" w:customStyle="1">
    <w:name w:val="文本块1"/>
    <w:basedOn w:val="876"/>
    <w:uiPriority w:val="0"/>
    <w:qFormat/>
    <w:pPr>
      <w:ind w:left="480" w:right="-341" w:firstLine="513"/>
      <w:widowControl/>
    </w:pPr>
    <w:rPr>
      <w:sz w:val="24"/>
      <w:szCs w:val="20"/>
    </w:rPr>
  </w:style>
  <w:style w:type="paragraph" w:styleId="1102" w:customStyle="1">
    <w:name w:val="目录 51"/>
    <w:basedOn w:val="876"/>
    <w:next w:val="876"/>
    <w:uiPriority w:val="0"/>
    <w:qFormat/>
    <w:pPr>
      <w:ind w:left="1680"/>
    </w:pPr>
  </w:style>
  <w:style w:type="paragraph" w:styleId="1103" w:customStyle="1">
    <w:name w:val="目录 31"/>
    <w:basedOn w:val="876"/>
    <w:next w:val="876"/>
    <w:uiPriority w:val="39"/>
    <w:qFormat/>
    <w:pPr>
      <w:ind w:left="840"/>
    </w:pPr>
  </w:style>
  <w:style w:type="paragraph" w:styleId="1104" w:customStyle="1">
    <w:name w:val="纯文本11"/>
    <w:basedOn w:val="876"/>
    <w:link w:val="1105"/>
    <w:uiPriority w:val="0"/>
    <w:qFormat/>
    <w:rPr>
      <w:rFonts w:hint="eastAsia" w:ascii="宋体" w:hAnsi="Courier New"/>
      <w:szCs w:val="20"/>
    </w:rPr>
  </w:style>
  <w:style w:type="character" w:styleId="1105" w:customStyle="1">
    <w:name w:val="纯文本 Char"/>
    <w:link w:val="1104"/>
    <w:uiPriority w:val="0"/>
    <w:qFormat/>
    <w:rPr>
      <w:rFonts w:hint="eastAsia" w:ascii="宋体" w:hAnsi="Courier New" w:eastAsia="宋体" w:cs="宋体"/>
      <w:sz w:val="21"/>
    </w:rPr>
  </w:style>
  <w:style w:type="paragraph" w:styleId="1106" w:customStyle="1">
    <w:name w:val="目录 81"/>
    <w:basedOn w:val="876"/>
    <w:next w:val="876"/>
    <w:uiPriority w:val="0"/>
    <w:qFormat/>
    <w:pPr>
      <w:ind w:left="2940"/>
    </w:pPr>
  </w:style>
  <w:style w:type="paragraph" w:styleId="1107" w:customStyle="1">
    <w:name w:val="日期1"/>
    <w:basedOn w:val="876"/>
    <w:next w:val="876"/>
    <w:link w:val="1108"/>
    <w:uiPriority w:val="0"/>
    <w:qFormat/>
    <w:pPr>
      <w:ind w:left="100"/>
    </w:pPr>
    <w:rPr>
      <w:rFonts w:ascii="仿宋_GB2312" w:hAnsi="宋体" w:eastAsia="仿宋_GB2312"/>
      <w:color w:val="000000"/>
      <w:sz w:val="24"/>
    </w:rPr>
  </w:style>
  <w:style w:type="character" w:styleId="1108" w:customStyle="1">
    <w:name w:val="日期 Char"/>
    <w:link w:val="1107"/>
    <w:uiPriority w:val="0"/>
    <w:qFormat/>
    <w:rPr>
      <w:rFonts w:ascii="仿宋_GB2312" w:hAnsi="宋体" w:eastAsia="仿宋_GB2312"/>
      <w:color w:val="000000"/>
      <w:sz w:val="24"/>
      <w:szCs w:val="24"/>
    </w:rPr>
  </w:style>
  <w:style w:type="paragraph" w:styleId="1109" w:customStyle="1">
    <w:name w:val="正文文本缩进 21"/>
    <w:basedOn w:val="876"/>
    <w:link w:val="1110"/>
    <w:uiPriority w:val="0"/>
    <w:qFormat/>
    <w:pPr>
      <w:ind w:firstLine="480"/>
    </w:pPr>
    <w:rPr>
      <w:rFonts w:ascii="仿宋_GB2312" w:eastAsia="仿宋_GB2312"/>
      <w:sz w:val="24"/>
    </w:rPr>
  </w:style>
  <w:style w:type="character" w:styleId="1110" w:customStyle="1">
    <w:name w:val="正文文本缩进 2 Char"/>
    <w:link w:val="1109"/>
    <w:uiPriority w:val="0"/>
    <w:qFormat/>
    <w:rPr>
      <w:rFonts w:ascii="仿宋_GB2312" w:eastAsia="仿宋_GB2312"/>
      <w:sz w:val="24"/>
      <w:szCs w:val="24"/>
    </w:rPr>
  </w:style>
  <w:style w:type="paragraph" w:styleId="1111" w:customStyle="1">
    <w:name w:val="批注框文本1"/>
    <w:basedOn w:val="876"/>
    <w:link w:val="1112"/>
    <w:uiPriority w:val="0"/>
    <w:qFormat/>
    <w:rPr>
      <w:sz w:val="18"/>
      <w:szCs w:val="18"/>
    </w:rPr>
  </w:style>
  <w:style w:type="character" w:styleId="1112" w:customStyle="1">
    <w:name w:val="批注框文本 Char"/>
    <w:link w:val="1111"/>
    <w:uiPriority w:val="0"/>
    <w:qFormat/>
    <w:rPr>
      <w:sz w:val="18"/>
      <w:szCs w:val="18"/>
    </w:rPr>
  </w:style>
  <w:style w:type="paragraph" w:styleId="1113" w:customStyle="1">
    <w:name w:val="页脚1"/>
    <w:basedOn w:val="876"/>
    <w:link w:val="1114"/>
    <w:uiPriority w:val="99"/>
    <w:qFormat/>
    <w:pPr>
      <w:jc w:val="left"/>
      <w:tabs>
        <w:tab w:val="center" w:pos="4153" w:leader="none"/>
        <w:tab w:val="right" w:pos="8306" w:leader="none"/>
      </w:tabs>
    </w:pPr>
    <w:rPr>
      <w:rFonts w:ascii="宋体"/>
      <w:sz w:val="18"/>
      <w:szCs w:val="20"/>
    </w:rPr>
  </w:style>
  <w:style w:type="character" w:styleId="1114" w:customStyle="1">
    <w:name w:val="页脚 Char1"/>
    <w:link w:val="1113"/>
    <w:uiPriority w:val="99"/>
    <w:qFormat/>
    <w:rPr>
      <w:rFonts w:ascii="宋体" w:eastAsia="宋体"/>
      <w:sz w:val="18"/>
      <w:lang w:val="en-US" w:eastAsia="zh-CN" w:bidi="ar-SA"/>
    </w:rPr>
  </w:style>
  <w:style w:type="paragraph" w:styleId="1115" w:customStyle="1">
    <w:name w:val="页眉1"/>
    <w:basedOn w:val="876"/>
    <w:link w:val="1116"/>
    <w:uiPriority w:val="0"/>
    <w:qFormat/>
    <w:pPr>
      <w:jc w:val="center"/>
      <w:tabs>
        <w:tab w:val="center" w:pos="4153" w:leader="none"/>
        <w:tab w:val="right" w:pos="8306" w:leader="none"/>
      </w:tabs>
      <w:pBdr>
        <w:bottom w:val="single" w:color="000000" w:sz="6" w:space="1"/>
      </w:pBdr>
    </w:pPr>
    <w:rPr>
      <w:sz w:val="18"/>
      <w:szCs w:val="18"/>
    </w:rPr>
  </w:style>
  <w:style w:type="character" w:styleId="1116" w:customStyle="1">
    <w:name w:val="页眉 Char1"/>
    <w:link w:val="1115"/>
    <w:uiPriority w:val="0"/>
    <w:qFormat/>
    <w:rPr>
      <w:rFonts w:eastAsia="宋体"/>
      <w:sz w:val="18"/>
      <w:szCs w:val="18"/>
      <w:lang w:val="en-US" w:eastAsia="zh-CN" w:bidi="ar-SA"/>
    </w:rPr>
  </w:style>
  <w:style w:type="paragraph" w:styleId="1117" w:customStyle="1">
    <w:name w:val="目录 11"/>
    <w:basedOn w:val="876"/>
    <w:next w:val="876"/>
    <w:uiPriority w:val="39"/>
    <w:qFormat/>
    <w:pPr>
      <w:spacing w:line="300" w:lineRule="auto"/>
      <w:tabs>
        <w:tab w:val="left" w:pos="1050" w:leader="none"/>
        <w:tab w:val="right" w:pos="8937" w:leader="dot"/>
      </w:tabs>
    </w:pPr>
    <w:rPr>
      <w:rFonts w:ascii="宋体" w:hAnsi="宋体"/>
      <w:b/>
      <w:sz w:val="24"/>
    </w:rPr>
  </w:style>
  <w:style w:type="paragraph" w:styleId="1118" w:customStyle="1">
    <w:name w:val="目录 41"/>
    <w:basedOn w:val="876"/>
    <w:next w:val="876"/>
    <w:uiPriority w:val="0"/>
    <w:qFormat/>
    <w:pPr>
      <w:ind w:left="1260"/>
    </w:pPr>
  </w:style>
  <w:style w:type="paragraph" w:styleId="1119" w:customStyle="1">
    <w:name w:val="目录 61"/>
    <w:basedOn w:val="876"/>
    <w:next w:val="876"/>
    <w:uiPriority w:val="0"/>
    <w:qFormat/>
    <w:pPr>
      <w:ind w:left="2100"/>
    </w:pPr>
  </w:style>
  <w:style w:type="paragraph" w:styleId="1120" w:customStyle="1">
    <w:name w:val="正文文本缩进 31"/>
    <w:basedOn w:val="876"/>
    <w:link w:val="1121"/>
    <w:uiPriority w:val="0"/>
    <w:qFormat/>
    <w:pPr>
      <w:ind w:left="720" w:firstLine="480"/>
      <w:jc w:val="left"/>
      <w:spacing w:before="120" w:line="22" w:lineRule="atLeast"/>
    </w:pPr>
    <w:rPr>
      <w:rFonts w:ascii="宋体"/>
      <w:sz w:val="24"/>
      <w:szCs w:val="20"/>
    </w:rPr>
  </w:style>
  <w:style w:type="character" w:styleId="1121" w:customStyle="1">
    <w:name w:val="正文文本缩进 3 Char"/>
    <w:link w:val="1120"/>
    <w:uiPriority w:val="0"/>
    <w:qFormat/>
    <w:rPr>
      <w:rFonts w:ascii="宋体"/>
      <w:sz w:val="24"/>
    </w:rPr>
  </w:style>
  <w:style w:type="paragraph" w:styleId="1122" w:customStyle="1">
    <w:name w:val="目录 21"/>
    <w:basedOn w:val="876"/>
    <w:next w:val="876"/>
    <w:uiPriority w:val="39"/>
    <w:qFormat/>
    <w:pPr>
      <w:ind w:left="420"/>
      <w:spacing w:line="312" w:lineRule="auto"/>
      <w:tabs>
        <w:tab w:val="right" w:pos="8937" w:leader="dot"/>
      </w:tabs>
    </w:pPr>
  </w:style>
  <w:style w:type="paragraph" w:styleId="1123" w:customStyle="1">
    <w:name w:val="目录 91"/>
    <w:basedOn w:val="876"/>
    <w:next w:val="876"/>
    <w:uiPriority w:val="0"/>
    <w:qFormat/>
    <w:pPr>
      <w:ind w:left="3360"/>
    </w:pPr>
  </w:style>
  <w:style w:type="paragraph" w:styleId="1124" w:customStyle="1">
    <w:name w:val="HTML 预设格式1"/>
    <w:basedOn w:val="876"/>
    <w:link w:val="11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5" w:customStyle="1">
    <w:name w:val="HTML 预设格式 Char"/>
    <w:link w:val="1124"/>
    <w:uiPriority w:val="0"/>
    <w:qFormat/>
    <w:rPr>
      <w:rFonts w:ascii="宋体" w:hAnsi="宋体" w:cs="宋体"/>
      <w:sz w:val="24"/>
      <w:szCs w:val="24"/>
    </w:rPr>
  </w:style>
  <w:style w:type="paragraph" w:styleId="1126" w:customStyle="1">
    <w:name w:val="普通(网站)11"/>
    <w:basedOn w:val="876"/>
    <w:uiPriority w:val="99"/>
    <w:unhideWhenUsed/>
    <w:qFormat/>
    <w:pPr>
      <w:jc w:val="left"/>
      <w:spacing w:before="100" w:beforeAutospacing="1" w:after="100" w:afterAutospacing="1"/>
      <w:widowControl/>
    </w:pPr>
    <w:rPr>
      <w:rFonts w:ascii="宋体" w:hAnsi="宋体" w:cs="宋体"/>
      <w:sz w:val="24"/>
    </w:rPr>
  </w:style>
  <w:style w:type="paragraph" w:styleId="1127" w:customStyle="1">
    <w:name w:val="索引 11"/>
    <w:basedOn w:val="876"/>
    <w:next w:val="876"/>
    <w:uiPriority w:val="0"/>
    <w:qFormat/>
    <w:rPr>
      <w:szCs w:val="20"/>
    </w:rPr>
  </w:style>
  <w:style w:type="paragraph" w:styleId="1128" w:customStyle="1">
    <w:name w:val="标题1"/>
    <w:basedOn w:val="876"/>
    <w:link w:val="1129"/>
    <w:uiPriority w:val="0"/>
    <w:qFormat/>
    <w:pPr>
      <w:jc w:val="center"/>
      <w:outlineLvl w:val="0"/>
    </w:pPr>
    <w:rPr>
      <w:b/>
      <w:sz w:val="32"/>
      <w:szCs w:val="20"/>
    </w:rPr>
  </w:style>
  <w:style w:type="character" w:styleId="1129" w:customStyle="1">
    <w:name w:val="标题 Char1"/>
    <w:link w:val="1128"/>
    <w:uiPriority w:val="0"/>
    <w:qFormat/>
    <w:rPr>
      <w:b/>
      <w:sz w:val="32"/>
    </w:rPr>
  </w:style>
  <w:style w:type="paragraph" w:styleId="1130" w:customStyle="1">
    <w:name w:val="批注主题1"/>
    <w:basedOn w:val="1094"/>
    <w:next w:val="1094"/>
    <w:link w:val="1131"/>
    <w:uiPriority w:val="0"/>
    <w:qFormat/>
    <w:rPr>
      <w:b/>
      <w:bCs/>
    </w:rPr>
  </w:style>
  <w:style w:type="character" w:styleId="1131" w:customStyle="1">
    <w:name w:val="批注主题 Char"/>
    <w:link w:val="1130"/>
    <w:uiPriority w:val="0"/>
    <w:qFormat/>
    <w:rPr>
      <w:rFonts w:ascii="Times New Roman" w:hAnsi="Times New Roman" w:eastAsia="宋体" w:cs="Times New Roman"/>
      <w:b/>
      <w:bCs/>
      <w:sz w:val="21"/>
      <w:szCs w:val="24"/>
      <w:lang w:val="en-US" w:eastAsia="zh-CN" w:bidi="ar-SA"/>
    </w:rPr>
  </w:style>
  <w:style w:type="paragraph" w:styleId="1132" w:customStyle="1">
    <w:name w:val="正文首行缩进 21"/>
    <w:basedOn w:val="919"/>
    <w:link w:val="1133"/>
    <w:uiPriority w:val="0"/>
    <w:qFormat/>
    <w:pPr>
      <w:ind w:left="420" w:firstLine="420"/>
      <w:spacing w:after="120" w:line="480" w:lineRule="exact"/>
    </w:pPr>
    <w:rPr>
      <w:szCs w:val="20"/>
    </w:rPr>
  </w:style>
  <w:style w:type="character" w:styleId="1133" w:customStyle="1">
    <w:name w:val="正文首行缩进 2 Char"/>
    <w:link w:val="1132"/>
    <w:uiPriority w:val="0"/>
    <w:qFormat/>
    <w:rPr>
      <w:rFonts w:eastAsia="宋体"/>
      <w:sz w:val="24"/>
      <w:szCs w:val="24"/>
      <w:lang w:val="en-US" w:eastAsia="zh-CN" w:bidi="ar-SA"/>
    </w:rPr>
  </w:style>
  <w:style w:type="table" w:styleId="1134" w:customStyle="1">
    <w:name w:val="网格型1"/>
    <w:basedOn w:val="1078"/>
    <w:uiPriority w:val="39"/>
    <w:qFormat/>
    <w:tblPr/>
  </w:style>
  <w:style w:type="table" w:styleId="1135" w:customStyle="1">
    <w:name w:val="中等深浅网格 1 - 强调文字颜色 21"/>
    <w:basedOn w:val="1078"/>
    <w:uiPriority w:val="0"/>
    <w:qFormat/>
    <w:rPr>
      <w:sz w:val="21"/>
      <w:szCs w:val="24"/>
    </w:rPr>
    <w:tblPr/>
  </w:style>
  <w:style w:type="character" w:styleId="1136" w:customStyle="1">
    <w:name w:val="要点1"/>
    <w:link w:val="876"/>
    <w:uiPriority w:val="0"/>
    <w:qFormat/>
    <w:rPr>
      <w:b/>
      <w:bCs/>
    </w:rPr>
  </w:style>
  <w:style w:type="character" w:styleId="1137" w:customStyle="1">
    <w:name w:val="页码1"/>
    <w:link w:val="876"/>
    <w:uiPriority w:val="0"/>
    <w:qFormat/>
  </w:style>
  <w:style w:type="character" w:styleId="1138" w:customStyle="1">
    <w:name w:val="已访问的超链接1"/>
    <w:link w:val="876"/>
    <w:uiPriority w:val="0"/>
    <w:qFormat/>
    <w:rPr>
      <w:color w:val="333333"/>
      <w:u w:val="none"/>
    </w:rPr>
  </w:style>
  <w:style w:type="character" w:styleId="1139" w:customStyle="1">
    <w:name w:val="强调1"/>
    <w:link w:val="876"/>
    <w:uiPriority w:val="0"/>
    <w:qFormat/>
    <w:rPr>
      <w:color w:val="cc0033"/>
    </w:rPr>
  </w:style>
  <w:style w:type="character" w:styleId="1140" w:customStyle="1">
    <w:name w:val="超链接1"/>
    <w:link w:val="876"/>
    <w:uiPriority w:val="99"/>
    <w:qFormat/>
    <w:rPr>
      <w:color w:val="333333"/>
      <w:u w:val="none"/>
    </w:rPr>
  </w:style>
  <w:style w:type="character" w:styleId="1141" w:customStyle="1">
    <w:name w:val="批注引用1"/>
    <w:link w:val="876"/>
    <w:uiPriority w:val="99"/>
    <w:qFormat/>
    <w:rPr>
      <w:sz w:val="21"/>
      <w:szCs w:val="21"/>
    </w:rPr>
  </w:style>
  <w:style w:type="character" w:styleId="1142" w:customStyle="1">
    <w:name w:val="HTML 引文1"/>
    <w:link w:val="876"/>
    <w:uiPriority w:val="0"/>
    <w:qFormat/>
    <w:rPr>
      <w:i/>
      <w:iCs/>
    </w:rPr>
  </w:style>
  <w:style w:type="paragraph" w:styleId="1143"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44" w:customStyle="1">
    <w:name w:val="批注文字 字符"/>
    <w:link w:val="876"/>
    <w:uiPriority w:val="99"/>
    <w:qFormat/>
    <w:rPr>
      <w:rFonts w:ascii="Times New Roman" w:hAnsi="Times New Roman" w:eastAsia="宋体" w:cs="Times New Roman"/>
      <w:sz w:val="24"/>
      <w:lang w:val="en-US" w:eastAsia="zh-CN" w:bidi="ar-SA"/>
    </w:rPr>
  </w:style>
  <w:style w:type="character" w:styleId="1145" w:customStyle="1">
    <w:name w:val="c21"/>
    <w:link w:val="876"/>
    <w:uiPriority w:val="0"/>
    <w:qFormat/>
    <w:rPr>
      <w:rFonts w:ascii="ˎ̥" w:hAnsi="ˎ̥"/>
      <w:color w:val="000000"/>
      <w:sz w:val="20"/>
      <w:szCs w:val="20"/>
      <w:u w:val="none"/>
    </w:rPr>
  </w:style>
  <w:style w:type="character" w:styleId="1146" w:customStyle="1">
    <w:name w:val="title4"/>
    <w:link w:val="876"/>
    <w:uiPriority w:val="0"/>
    <w:qFormat/>
    <w:rPr>
      <w:b/>
      <w:bCs/>
      <w:color w:val="1d87b3"/>
      <w:sz w:val="15"/>
      <w:szCs w:val="15"/>
    </w:rPr>
  </w:style>
  <w:style w:type="character" w:styleId="1147" w:customStyle="1">
    <w:name w:val="标题 2 Char Char"/>
    <w:link w:val="876"/>
    <w:uiPriority w:val="0"/>
    <w:qFormat/>
    <w:rPr>
      <w:rFonts w:ascii="Arial" w:hAnsi="Arial" w:eastAsia="黑体"/>
      <w:b/>
      <w:bCs/>
      <w:sz w:val="32"/>
      <w:szCs w:val="32"/>
      <w:lang w:val="en-US" w:eastAsia="zh-CN" w:bidi="ar-SA"/>
    </w:rPr>
  </w:style>
  <w:style w:type="character" w:styleId="1148" w:customStyle="1">
    <w:name w:val="black1"/>
    <w:link w:val="876"/>
    <w:uiPriority w:val="0"/>
    <w:qFormat/>
    <w:rPr>
      <w:color w:val="000000"/>
    </w:rPr>
  </w:style>
  <w:style w:type="character" w:styleId="1149" w:customStyle="1">
    <w:name w:val="street-address"/>
    <w:link w:val="876"/>
    <w:uiPriority w:val="0"/>
    <w:qFormat/>
  </w:style>
  <w:style w:type="character" w:styleId="1150" w:customStyle="1">
    <w:name w:val="locality"/>
    <w:link w:val="876"/>
    <w:uiPriority w:val="0"/>
    <w:qFormat/>
  </w:style>
  <w:style w:type="character" w:styleId="1151" w:customStyle="1">
    <w:name w:val="正文文本缩进 Char1"/>
    <w:link w:val="1152"/>
    <w:uiPriority w:val="0"/>
    <w:qFormat/>
    <w:rPr>
      <w:rFonts w:ascii="宋体" w:hAnsi="宋体" w:eastAsia="宋体"/>
      <w:sz w:val="24"/>
      <w:szCs w:val="24"/>
      <w:lang w:bidi="ar-SA"/>
    </w:rPr>
  </w:style>
  <w:style w:type="paragraph" w:styleId="1152" w:customStyle="1">
    <w:name w:val="正文文本缩进1"/>
    <w:basedOn w:val="876"/>
    <w:link w:val="1151"/>
    <w:uiPriority w:val="0"/>
    <w:qFormat/>
    <w:pPr>
      <w:ind w:firstLine="480"/>
      <w:spacing w:line="480" w:lineRule="exact"/>
    </w:pPr>
    <w:rPr>
      <w:rFonts w:ascii="宋体" w:hAnsi="宋体"/>
      <w:sz w:val="24"/>
    </w:rPr>
  </w:style>
  <w:style w:type="character" w:styleId="1153" w:customStyle="1">
    <w:name w:val="Char Char11"/>
    <w:link w:val="876"/>
    <w:uiPriority w:val="0"/>
    <w:qFormat/>
    <w:rPr>
      <w:rFonts w:ascii="宋体" w:eastAsia="宋体"/>
      <w:b/>
      <w:sz w:val="24"/>
      <w:u w:val="single"/>
      <w:lang w:val="en-US" w:eastAsia="zh-CN" w:bidi="ar-SA"/>
    </w:rPr>
  </w:style>
  <w:style w:type="character" w:styleId="1154" w:customStyle="1">
    <w:name w:val="txt"/>
    <w:link w:val="876"/>
    <w:uiPriority w:val="0"/>
    <w:qFormat/>
  </w:style>
  <w:style w:type="character" w:styleId="1155" w:customStyle="1">
    <w:name w:val="正文缩进 Char Char"/>
    <w:link w:val="1156"/>
    <w:uiPriority w:val="0"/>
    <w:qFormat/>
    <w:rPr>
      <w:rFonts w:ascii="宋体" w:eastAsia="宋体"/>
      <w:color w:val="000000"/>
      <w:sz w:val="28"/>
      <w:lang w:bidi="ar-SA"/>
    </w:rPr>
  </w:style>
  <w:style w:type="paragraph" w:styleId="1156" w:customStyle="1">
    <w:name w:val="正文缩进1"/>
    <w:basedOn w:val="876"/>
    <w:link w:val="1155"/>
    <w:uiPriority w:val="0"/>
    <w:qFormat/>
    <w:pPr>
      <w:ind w:firstLine="567"/>
      <w:spacing w:line="480" w:lineRule="exact"/>
      <w:widowControl/>
    </w:pPr>
    <w:rPr>
      <w:rFonts w:ascii="宋体"/>
      <w:color w:val="000000"/>
      <w:sz w:val="28"/>
      <w:szCs w:val="20"/>
    </w:rPr>
  </w:style>
  <w:style w:type="character" w:styleId="1157" w:customStyle="1">
    <w:name w:val="普通文字1 Char1"/>
    <w:link w:val="876"/>
    <w:uiPriority w:val="0"/>
    <w:qFormat/>
    <w:rPr>
      <w:rFonts w:ascii="宋体" w:hAnsi="Courier New" w:eastAsia="宋体"/>
      <w:sz w:val="21"/>
      <w:lang w:val="en-US" w:eastAsia="zh-CN" w:bidi="ar-SA"/>
    </w:rPr>
  </w:style>
  <w:style w:type="character" w:styleId="1158" w:customStyle="1">
    <w:name w:val="chanpin1"/>
    <w:link w:val="876"/>
    <w:uiPriority w:val="0"/>
    <w:qFormat/>
    <w:rPr>
      <w:rFonts w:ascii="ˎ̥" w:hAnsi="ˎ̥"/>
      <w:color w:val="000000"/>
      <w:sz w:val="20"/>
      <w:szCs w:val="20"/>
      <w:u w:val="none"/>
    </w:rPr>
  </w:style>
  <w:style w:type="character" w:styleId="1159" w:customStyle="1">
    <w:name w:val="列出段落 Char1"/>
    <w:link w:val="1160"/>
    <w:uiPriority w:val="34"/>
    <w:qFormat/>
    <w:rPr>
      <w:rFonts w:ascii="Calibri" w:hAnsi="Calibri" w:eastAsia="宋体"/>
      <w:sz w:val="21"/>
      <w:szCs w:val="22"/>
      <w:lang w:val="en-US" w:eastAsia="zh-CN" w:bidi="ar-SA"/>
    </w:rPr>
  </w:style>
  <w:style w:type="paragraph" w:styleId="1160" w:customStyle="1">
    <w:name w:val="列出段落"/>
    <w:basedOn w:val="876"/>
    <w:link w:val="1159"/>
    <w:uiPriority w:val="34"/>
    <w:qFormat/>
    <w:pPr>
      <w:ind w:firstLine="420"/>
    </w:pPr>
    <w:rPr>
      <w:rFonts w:ascii="Calibri" w:hAnsi="Calibri"/>
      <w:szCs w:val="22"/>
    </w:rPr>
  </w:style>
  <w:style w:type="character" w:styleId="1161" w:customStyle="1">
    <w:name w:val="标题 3 Char Char"/>
    <w:link w:val="876"/>
    <w:uiPriority w:val="0"/>
    <w:qFormat/>
    <w:rPr>
      <w:rFonts w:eastAsia="宋体"/>
      <w:b/>
      <w:bCs/>
      <w:sz w:val="32"/>
      <w:szCs w:val="32"/>
      <w:lang w:val="en-US" w:eastAsia="zh-CN" w:bidi="ar-SA"/>
    </w:rPr>
  </w:style>
  <w:style w:type="character" w:styleId="1162" w:customStyle="1">
    <w:name w:val="段1 Char"/>
    <w:link w:val="876"/>
    <w:uiPriority w:val="0"/>
    <w:qFormat/>
    <w:rPr>
      <w:rFonts w:ascii="宋体" w:eastAsia="宋体"/>
      <w:sz w:val="24"/>
      <w:lang w:val="en-US" w:eastAsia="zh-CN" w:bidi="ar-SA"/>
    </w:rPr>
  </w:style>
  <w:style w:type="character" w:styleId="1163" w:customStyle="1">
    <w:name w:val="chanpin拷贝"/>
    <w:link w:val="876"/>
    <w:uiPriority w:val="0"/>
    <w:qFormat/>
  </w:style>
  <w:style w:type="character" w:styleId="1164" w:customStyle="1">
    <w:name w:val="纯文本 Char1"/>
    <w:link w:val="876"/>
    <w:uiPriority w:val="0"/>
    <w:qFormat/>
    <w:rPr>
      <w:rFonts w:ascii="宋体" w:hAnsi="Courier New" w:eastAsia="宋体"/>
      <w:sz w:val="21"/>
      <w:lang w:val="en-US" w:eastAsia="zh-CN" w:bidi="ar-SA"/>
    </w:rPr>
  </w:style>
  <w:style w:type="character" w:styleId="1165" w:customStyle="1">
    <w:name w:val="apple-style-span"/>
    <w:link w:val="876"/>
    <w:uiPriority w:val="0"/>
    <w:qFormat/>
    <w:rPr>
      <w:rFonts w:cs="Times New Roman"/>
    </w:rPr>
  </w:style>
  <w:style w:type="paragraph" w:styleId="1166" w:customStyle="1">
    <w:name w:val="二级条标题"/>
    <w:basedOn w:val="1167"/>
    <w:next w:val="87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7" w:customStyle="1">
    <w:name w:val="一级条标题"/>
    <w:basedOn w:val="1168"/>
    <w:next w:val="876"/>
    <w:uiPriority w:val="0"/>
    <w:qFormat/>
    <w:pPr>
      <w:numPr>
        <w:ilvl w:val="1"/>
      </w:numPr>
      <w:ind w:left="0" w:hanging="840"/>
      <w:tabs>
        <w:tab w:val="left" w:pos="360" w:leader="none"/>
        <w:tab w:val="left" w:pos="840" w:leader="none"/>
      </w:tabs>
      <w:outlineLvl w:val="1"/>
    </w:pPr>
  </w:style>
  <w:style w:type="paragraph" w:styleId="1168" w:customStyle="1">
    <w:name w:val="章标题"/>
    <w:next w:val="87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9" w:customStyle="1">
    <w:name w:val="font7"/>
    <w:basedOn w:val="876"/>
    <w:uiPriority w:val="0"/>
    <w:qFormat/>
    <w:pPr>
      <w:jc w:val="left"/>
      <w:spacing w:before="100" w:beforeAutospacing="1" w:after="100" w:afterAutospacing="1"/>
      <w:widowControl/>
    </w:pPr>
    <w:rPr>
      <w:rFonts w:eastAsia="Arial Unicode MS"/>
      <w:b/>
      <w:bCs/>
      <w:color w:val="000000"/>
      <w:sz w:val="20"/>
      <w:szCs w:val="20"/>
    </w:rPr>
  </w:style>
  <w:style w:type="paragraph" w:styleId="1170" w:customStyle="1">
    <w:name w:val="字元 字元"/>
    <w:basedOn w:val="876"/>
    <w:uiPriority w:val="0"/>
    <w:qFormat/>
    <w:rPr>
      <w:rFonts w:ascii="Tahoma" w:hAnsi="Tahoma"/>
      <w:sz w:val="24"/>
      <w:szCs w:val="20"/>
    </w:rPr>
  </w:style>
  <w:style w:type="paragraph" w:styleId="1171" w:customStyle="1">
    <w:name w:val="Char3 Char Char Char"/>
    <w:basedOn w:val="876"/>
    <w:uiPriority w:val="0"/>
    <w:qFormat/>
    <w:rPr>
      <w:rFonts w:ascii="Tahoma" w:hAnsi="Tahoma"/>
      <w:sz w:val="24"/>
      <w:szCs w:val="20"/>
    </w:rPr>
  </w:style>
  <w:style w:type="paragraph" w:styleId="1172" w:customStyle="1">
    <w:name w:val="font6"/>
    <w:basedOn w:val="876"/>
    <w:uiPriority w:val="0"/>
    <w:qFormat/>
    <w:pPr>
      <w:jc w:val="left"/>
      <w:spacing w:before="100" w:beforeAutospacing="1" w:after="100" w:afterAutospacing="1"/>
      <w:widowControl/>
    </w:pPr>
    <w:rPr>
      <w:rFonts w:ascii="宋体" w:hAnsi="宋体" w:cs="宋体"/>
      <w:sz w:val="20"/>
      <w:szCs w:val="20"/>
    </w:rPr>
  </w:style>
  <w:style w:type="paragraph" w:styleId="1173" w:customStyle="1">
    <w:name w:val="项目编号2"/>
    <w:basedOn w:val="1174"/>
    <w:uiPriority w:val="0"/>
    <w:qFormat/>
    <w:pPr>
      <w:numPr>
        <w:numId w:val="2"/>
      </w:numPr>
    </w:pPr>
  </w:style>
  <w:style w:type="paragraph" w:styleId="1174" w:customStyle="1">
    <w:name w:val="项目编号1"/>
    <w:basedOn w:val="876"/>
    <w:uiPriority w:val="0"/>
    <w:qFormat/>
    <w:pPr>
      <w:numPr>
        <w:ilvl w:val="0"/>
        <w:numId w:val="3"/>
      </w:numPr>
      <w:spacing w:before="100" w:beforeAutospacing="1" w:after="100" w:afterAutospacing="1" w:line="360" w:lineRule="auto"/>
    </w:pPr>
    <w:rPr>
      <w:sz w:val="24"/>
    </w:rPr>
  </w:style>
  <w:style w:type="paragraph" w:styleId="1175" w:customStyle="1">
    <w:name w:val="图中文字"/>
    <w:basedOn w:val="876"/>
    <w:uiPriority w:val="0"/>
    <w:qFormat/>
    <w:pPr>
      <w:jc w:val="center"/>
      <w:spacing w:line="0" w:lineRule="atLeast"/>
    </w:pPr>
    <w:rPr>
      <w:sz w:val="24"/>
      <w:szCs w:val="20"/>
    </w:rPr>
  </w:style>
  <w:style w:type="paragraph" w:styleId="1176" w:customStyle="1">
    <w:name w:val="xl46"/>
    <w:basedOn w:val="87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7" w:customStyle="1">
    <w:name w:val="xl25"/>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Char2"/>
    <w:basedOn w:val="876"/>
    <w:uiPriority w:val="0"/>
    <w:qFormat/>
    <w:rPr>
      <w:rFonts w:ascii="Tahoma" w:hAnsi="Tahoma"/>
      <w:sz w:val="24"/>
      <w:szCs w:val="20"/>
    </w:rPr>
  </w:style>
  <w:style w:type="paragraph" w:styleId="1179" w:customStyle="1">
    <w:name w:val="xl35"/>
    <w:basedOn w:val="87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customStyle="1">
    <w:name w:val="xl40"/>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1" w:customStyle="1">
    <w:name w:val="xl52"/>
    <w:basedOn w:val="87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2" w:customStyle="1">
    <w:name w:val="xl43"/>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3" w:customStyle="1">
    <w:name w:val="background1"/>
    <w:basedOn w:val="876"/>
    <w:uiPriority w:val="0"/>
    <w:qFormat/>
    <w:pPr>
      <w:jc w:val="left"/>
      <w:spacing w:before="100" w:beforeAutospacing="1" w:after="100" w:afterAutospacing="1"/>
      <w:widowControl/>
    </w:pPr>
    <w:rPr>
      <w:rFonts w:ascii="宋体" w:hAnsi="宋体" w:cs="宋体"/>
      <w:sz w:val="24"/>
    </w:rPr>
  </w:style>
  <w:style w:type="paragraph" w:styleId="1184" w:customStyle="1">
    <w:name w:val="Char Char Char Char Char Char Char"/>
    <w:basedOn w:val="876"/>
    <w:uiPriority w:val="0"/>
    <w:qFormat/>
    <w:pPr>
      <w:ind w:firstLine="200"/>
      <w:spacing w:line="360" w:lineRule="auto"/>
    </w:pPr>
    <w:rPr>
      <w:rFonts w:eastAsia="仿宋_GB2312"/>
      <w:sz w:val="24"/>
    </w:rPr>
  </w:style>
  <w:style w:type="paragraph" w:styleId="1185" w:customStyle="1">
    <w:name w:val="xl38"/>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6" w:customStyle="1">
    <w:name w:val="xl36"/>
    <w:basedOn w:val="87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customStyle="1">
    <w:name w:val="正文 + 宋体"/>
    <w:basedOn w:val="876"/>
    <w:uiPriority w:val="0"/>
    <w:qFormat/>
    <w:pPr>
      <w:ind w:left="360" w:hanging="360"/>
      <w:jc w:val="left"/>
      <w:widowControl/>
    </w:pPr>
    <w:rPr>
      <w:rFonts w:ascii="宋体" w:hAnsi="宋体" w:cs="宋体"/>
      <w:b/>
      <w:bCs/>
      <w:color w:val="000000"/>
      <w:sz w:val="18"/>
      <w:szCs w:val="18"/>
    </w:rPr>
  </w:style>
  <w:style w:type="paragraph" w:styleId="1188" w:customStyle="1">
    <w:name w:val="正文列项_数字"/>
    <w:basedOn w:val="87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9" w:customStyle="1">
    <w:name w:val="xl39"/>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customStyle="1">
    <w:name w:val="xl37"/>
    <w:basedOn w:val="87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customStyle="1">
    <w:name w:val="xl32"/>
    <w:basedOn w:val="87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customStyle="1">
    <w:name w:val="font8"/>
    <w:basedOn w:val="876"/>
    <w:uiPriority w:val="0"/>
    <w:qFormat/>
    <w:pPr>
      <w:jc w:val="left"/>
      <w:spacing w:before="100" w:beforeAutospacing="1" w:after="100" w:afterAutospacing="1"/>
      <w:widowControl/>
    </w:pPr>
    <w:rPr>
      <w:sz w:val="36"/>
      <w:szCs w:val="36"/>
    </w:rPr>
  </w:style>
  <w:style w:type="paragraph" w:styleId="1193" w:customStyle="1">
    <w:name w:val="Char"/>
    <w:basedOn w:val="876"/>
    <w:uiPriority w:val="0"/>
    <w:qFormat/>
    <w:pPr>
      <w:tabs>
        <w:tab w:val="left" w:pos="360" w:leader="none"/>
      </w:tabs>
    </w:pPr>
    <w:rPr>
      <w:sz w:val="24"/>
    </w:rPr>
  </w:style>
  <w:style w:type="paragraph" w:styleId="1194" w:customStyle="1">
    <w:name w:val="Char Char Char Char Char Char Char Char Char Char Char Char Char Char Char Char"/>
    <w:basedOn w:val="876"/>
    <w:uiPriority w:val="0"/>
    <w:qFormat/>
    <w:pPr>
      <w:jc w:val="center"/>
      <w:spacing w:after="160" w:line="240" w:lineRule="exact"/>
      <w:widowControl/>
    </w:pPr>
    <w:rPr>
      <w:rFonts w:ascii="宋体" w:hAnsi="宋体"/>
      <w:b/>
      <w:sz w:val="30"/>
      <w:szCs w:val="30"/>
      <w:lang w:eastAsia="en-US"/>
    </w:rPr>
  </w:style>
  <w:style w:type="paragraph" w:styleId="1195" w:customStyle="1">
    <w:name w:val="xl45"/>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6" w:customStyle="1">
    <w:name w:val="Char Char1 Char Char Char Char Char Char"/>
    <w:basedOn w:val="876"/>
    <w:uiPriority w:val="0"/>
    <w:qFormat/>
    <w:pPr>
      <w:jc w:val="left"/>
      <w:spacing w:after="160" w:line="240" w:lineRule="exact"/>
      <w:widowControl/>
    </w:pPr>
    <w:rPr>
      <w:rFonts w:ascii="Verdana" w:hAnsi="Verdana" w:eastAsia="仿宋_GB2312"/>
      <w:sz w:val="24"/>
      <w:szCs w:val="20"/>
      <w:lang w:eastAsia="en-US"/>
    </w:rPr>
  </w:style>
  <w:style w:type="paragraph" w:styleId="1197" w:customStyle="1">
    <w:name w:val="Char Char1"/>
    <w:basedOn w:val="1092"/>
    <w:uiPriority w:val="0"/>
    <w:qFormat/>
    <w:rPr>
      <w:rFonts w:ascii="Tahoma" w:hAnsi="Tahoma"/>
      <w:sz w:val="24"/>
    </w:rPr>
  </w:style>
  <w:style w:type="paragraph" w:styleId="1198" w:customStyle="1">
    <w:name w:val="xl26"/>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9" w:customStyle="1">
    <w:name w:val="xl30"/>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customStyle="1">
    <w:name w:val="xl41"/>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1" w:customStyle="1">
    <w:name w:val="样式 宋体 五号 行距: 单倍行距"/>
    <w:basedOn w:val="876"/>
    <w:uiPriority w:val="0"/>
    <w:qFormat/>
    <w:pPr>
      <w:jc w:val="left"/>
    </w:pPr>
    <w:rPr>
      <w:rFonts w:ascii="宋体" w:hAnsi="宋体"/>
      <w:szCs w:val="20"/>
    </w:rPr>
  </w:style>
  <w:style w:type="paragraph" w:styleId="1202" w:customStyle="1">
    <w:name w:val="Char1 Char Char Char1"/>
    <w:basedOn w:val="876"/>
    <w:uiPriority w:val="0"/>
    <w:qFormat/>
    <w:rPr>
      <w:rFonts w:ascii="Tahoma" w:hAnsi="Tahoma" w:cs="仿宋_GB2312"/>
      <w:sz w:val="24"/>
      <w:szCs w:val="28"/>
    </w:rPr>
  </w:style>
  <w:style w:type="paragraph" w:styleId="1203" w:customStyle="1">
    <w:name w:val="四级条标题"/>
    <w:basedOn w:val="1204"/>
    <w:next w:val="876"/>
    <w:uiPriority w:val="0"/>
    <w:qFormat/>
    <w:pPr>
      <w:numPr>
        <w:ilvl w:val="4"/>
      </w:numPr>
      <w:ind w:left="0" w:hanging="840"/>
      <w:tabs>
        <w:tab w:val="left" w:pos="360" w:leader="none"/>
        <w:tab w:val="left" w:pos="840" w:leader="none"/>
      </w:tabs>
      <w:outlineLvl w:val="4"/>
    </w:pPr>
  </w:style>
  <w:style w:type="paragraph" w:styleId="1204" w:customStyle="1">
    <w:name w:val="三级条标题"/>
    <w:basedOn w:val="1166"/>
    <w:next w:val="876"/>
    <w:uiPriority w:val="0"/>
    <w:qFormat/>
    <w:pPr>
      <w:numPr>
        <w:ilvl w:val="3"/>
        <w:numId w:val="1"/>
      </w:numPr>
      <w:ind w:left="0" w:hanging="840"/>
      <w:outlineLvl w:val="3"/>
    </w:pPr>
  </w:style>
  <w:style w:type="paragraph" w:styleId="120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6" w:customStyle="1">
    <w:name w:val="样式 标题 2 + 宋体 五号 行距: 单倍行距"/>
    <w:basedOn w:val="1069"/>
    <w:uiPriority w:val="0"/>
    <w:qFormat/>
    <w:pPr>
      <w:numPr>
        <w:ilvl w:val="1"/>
        <w:numId w:val="4"/>
      </w:numPr>
      <w:jc w:val="left"/>
      <w:spacing w:before="260" w:after="260" w:line="240" w:lineRule="auto"/>
    </w:pPr>
    <w:rPr>
      <w:rFonts w:ascii="宋体" w:hAnsi="宋体" w:eastAsia="宋体"/>
      <w:bCs/>
      <w:sz w:val="21"/>
    </w:rPr>
  </w:style>
  <w:style w:type="paragraph" w:styleId="1207" w:customStyle="1">
    <w:name w:val="List Paragraph1"/>
    <w:basedOn w:val="876"/>
    <w:uiPriority w:val="0"/>
    <w:qFormat/>
    <w:pPr>
      <w:ind w:firstLine="420"/>
    </w:pPr>
    <w:rPr>
      <w:rFonts w:ascii="Calibri" w:hAnsi="Calibri"/>
      <w:szCs w:val="22"/>
    </w:rPr>
  </w:style>
  <w:style w:type="paragraph" w:styleId="1208" w:customStyle="1">
    <w:name w:val="项目符号1"/>
    <w:basedOn w:val="1209"/>
    <w:uiPriority w:val="0"/>
    <w:qFormat/>
    <w:pPr>
      <w:ind w:left="-25" w:firstLine="0"/>
    </w:pPr>
  </w:style>
  <w:style w:type="paragraph" w:styleId="1209" w:customStyle="1">
    <w:name w:val="正文文本样式"/>
    <w:basedOn w:val="876"/>
    <w:uiPriority w:val="0"/>
    <w:qFormat/>
    <w:pPr>
      <w:ind w:firstLine="482"/>
      <w:spacing w:line="360" w:lineRule="auto"/>
    </w:pPr>
    <w:rPr>
      <w:rFonts w:cs="宋体"/>
      <w:sz w:val="24"/>
      <w:szCs w:val="20"/>
    </w:rPr>
  </w:style>
  <w:style w:type="paragraph" w:styleId="1210" w:customStyle="1">
    <w:name w:val="xl27"/>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customStyle="1">
    <w:name w:val="font5"/>
    <w:basedOn w:val="876"/>
    <w:uiPriority w:val="0"/>
    <w:qFormat/>
    <w:pPr>
      <w:jc w:val="left"/>
      <w:spacing w:before="100" w:beforeAutospacing="1" w:after="100" w:afterAutospacing="1"/>
      <w:widowControl/>
    </w:pPr>
    <w:rPr>
      <w:rFonts w:ascii="宋体" w:hAnsi="宋体" w:cs="宋体"/>
      <w:sz w:val="18"/>
      <w:szCs w:val="18"/>
    </w:rPr>
  </w:style>
  <w:style w:type="paragraph" w:styleId="1212" w:customStyle="1">
    <w:name w:val="五级条标题"/>
    <w:basedOn w:val="1203"/>
    <w:next w:val="876"/>
    <w:uiPriority w:val="0"/>
    <w:qFormat/>
    <w:pPr>
      <w:numPr>
        <w:ilvl w:val="5"/>
      </w:numPr>
      <w:ind w:left="0" w:hanging="840"/>
      <w:outlineLvl w:val="5"/>
    </w:pPr>
  </w:style>
  <w:style w:type="paragraph" w:styleId="1213" w:customStyle="1">
    <w:name w:val="xl49"/>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4" w:customStyle="1">
    <w:name w:val="文档正文"/>
    <w:basedOn w:val="876"/>
    <w:uiPriority w:val="0"/>
    <w:qFormat/>
    <w:pPr>
      <w:spacing w:before="120" w:after="120" w:line="180" w:lineRule="auto"/>
    </w:pPr>
    <w:rPr>
      <w:rFonts w:ascii="Arial" w:hAnsi="Arial"/>
      <w:szCs w:val="20"/>
    </w:rPr>
  </w:style>
  <w:style w:type="paragraph" w:styleId="1215" w:customStyle="1">
    <w:name w:val="xl33"/>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customStyle="1">
    <w:name w:val="xl42"/>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7" w:customStyle="1">
    <w:name w:val="Char Char Char1 Char"/>
    <w:basedOn w:val="876"/>
    <w:uiPriority w:val="0"/>
    <w:qFormat/>
    <w:rPr>
      <w:rFonts w:ascii="Tahoma" w:hAnsi="Tahoma"/>
      <w:sz w:val="24"/>
      <w:szCs w:val="20"/>
    </w:rPr>
  </w:style>
  <w:style w:type="paragraph" w:styleId="1218" w:customStyle="1">
    <w:name w:val="xl44"/>
    <w:basedOn w:val="87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9" w:customStyle="1">
    <w:name w:val="1名"/>
    <w:basedOn w:val="876"/>
    <w:uiPriority w:val="0"/>
    <w:qFormat/>
    <w:pPr>
      <w:numPr>
        <w:ilvl w:val="0"/>
        <w:numId w:val="5"/>
      </w:numPr>
      <w:spacing w:before="120"/>
    </w:pPr>
    <w:rPr>
      <w:rFonts w:ascii="宋体"/>
      <w:sz w:val="28"/>
      <w:szCs w:val="20"/>
    </w:rPr>
  </w:style>
  <w:style w:type="paragraph" w:styleId="1220" w:customStyle="1">
    <w:name w:val="font9"/>
    <w:basedOn w:val="87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1" w:customStyle="1">
    <w:name w:val="Char Char Char1 Char1"/>
    <w:basedOn w:val="876"/>
    <w:uiPriority w:val="0"/>
    <w:qFormat/>
    <w:rPr>
      <w:rFonts w:ascii="Tahoma" w:hAnsi="Tahoma"/>
      <w:sz w:val="24"/>
      <w:szCs w:val="20"/>
    </w:rPr>
  </w:style>
  <w:style w:type="paragraph" w:styleId="1222" w:customStyle="1">
    <w:name w:val="Char Char Char Char Char Char Char Char Char Char"/>
    <w:basedOn w:val="876"/>
    <w:uiPriority w:val="0"/>
    <w:qFormat/>
  </w:style>
  <w:style w:type="paragraph" w:styleId="1223" w:customStyle="1">
    <w:name w:val="Char Char1 Char Char Char Char Char Char Char Char"/>
    <w:basedOn w:val="876"/>
    <w:uiPriority w:val="0"/>
    <w:qFormat/>
    <w:pPr>
      <w:jc w:val="left"/>
      <w:spacing w:after="160" w:line="240" w:lineRule="exact"/>
      <w:widowControl/>
    </w:pPr>
    <w:rPr>
      <w:rFonts w:ascii="Verdana" w:hAnsi="Verdana"/>
      <w:sz w:val="20"/>
      <w:szCs w:val="20"/>
      <w:lang w:eastAsia="en-US"/>
    </w:rPr>
  </w:style>
  <w:style w:type="paragraph" w:styleId="1224" w:customStyle="1">
    <w:name w:val="Char1"/>
    <w:basedOn w:val="876"/>
    <w:uiPriority w:val="0"/>
    <w:qFormat/>
    <w:pPr>
      <w:tabs>
        <w:tab w:val="left" w:pos="360" w:leader="none"/>
      </w:tabs>
    </w:pPr>
    <w:rPr>
      <w:sz w:val="24"/>
    </w:rPr>
  </w:style>
  <w:style w:type="paragraph" w:styleId="1225" w:customStyle="1">
    <w:name w:val="正文列项_字母"/>
    <w:basedOn w:val="87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6" w:customStyle="1">
    <w:name w:val="xl28"/>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7" w:customStyle="1">
    <w:name w:val="xl47"/>
    <w:basedOn w:val="87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customStyle="1">
    <w:name w:val="默认段落字体 Para Char Char Char Char"/>
    <w:basedOn w:val="876"/>
    <w:uiPriority w:val="0"/>
    <w:qFormat/>
    <w:rPr>
      <w:rFonts w:ascii="Arial" w:hAnsi="Arial" w:cs="Arial"/>
      <w:szCs w:val="21"/>
    </w:rPr>
  </w:style>
  <w:style w:type="paragraph" w:styleId="1229" w:customStyle="1">
    <w:name w:val="xl48"/>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0" w:customStyle="1">
    <w:name w:val="xl31"/>
    <w:basedOn w:val="87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customStyle="1">
    <w:name w:val="xl53"/>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customStyle="1">
    <w:name w:val="Char Char Char"/>
    <w:basedOn w:val="876"/>
    <w:uiPriority w:val="0"/>
    <w:qFormat/>
    <w:rPr>
      <w:rFonts w:ascii="Tahoma" w:hAnsi="Tahoma"/>
      <w:sz w:val="24"/>
      <w:szCs w:val="20"/>
    </w:rPr>
  </w:style>
  <w:style w:type="paragraph" w:styleId="1233" w:customStyle="1">
    <w:name w:val="xl50"/>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4" w:customStyle="1">
    <w:name w:val="缺省文本"/>
    <w:basedOn w:val="876"/>
    <w:uiPriority w:val="0"/>
    <w:qFormat/>
    <w:pPr>
      <w:jc w:val="left"/>
    </w:pPr>
    <w:rPr>
      <w:sz w:val="24"/>
    </w:rPr>
  </w:style>
  <w:style w:type="paragraph" w:styleId="1235" w:customStyle="1">
    <w:name w:val="Char Char Char1"/>
    <w:basedOn w:val="876"/>
    <w:uiPriority w:val="0"/>
    <w:qFormat/>
    <w:rPr>
      <w:rFonts w:ascii="Tahoma" w:hAnsi="Tahoma"/>
      <w:sz w:val="24"/>
      <w:szCs w:val="20"/>
    </w:rPr>
  </w:style>
  <w:style w:type="paragraph" w:styleId="1236" w:customStyle="1">
    <w:name w:val="Char Char Char Char Char Char Char1"/>
    <w:basedOn w:val="876"/>
    <w:uiPriority w:val="0"/>
    <w:qFormat/>
    <w:pPr>
      <w:ind w:firstLine="200"/>
      <w:spacing w:line="360" w:lineRule="auto"/>
    </w:pPr>
    <w:rPr>
      <w:rFonts w:eastAsia="仿宋_GB2312"/>
      <w:sz w:val="24"/>
    </w:rPr>
  </w:style>
  <w:style w:type="paragraph" w:styleId="1237" w:customStyle="1">
    <w:name w:val="xl51"/>
    <w:basedOn w:val="87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customStyle="1">
    <w:name w:val="样式2"/>
    <w:basedOn w:val="1127"/>
    <w:uiPriority w:val="0"/>
    <w:qFormat/>
    <w:pPr>
      <w:jc w:val="center"/>
      <w:spacing w:line="360" w:lineRule="auto"/>
    </w:pPr>
    <w:rPr>
      <w:sz w:val="24"/>
    </w:rPr>
  </w:style>
  <w:style w:type="paragraph" w:styleId="1239" w:customStyle="1">
    <w:name w:val="xl24"/>
    <w:basedOn w:val="8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customStyle="1">
    <w:name w:val="xl29"/>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1" w:customStyle="1">
    <w:name w:val="正文 + 楷体_GB2312"/>
    <w:basedOn w:val="876"/>
    <w:uiPriority w:val="0"/>
    <w:qFormat/>
    <w:pPr>
      <w:jc w:val="left"/>
      <w:widowControl/>
    </w:pPr>
    <w:rPr>
      <w:rFonts w:ascii="楷体_GB2312" w:eastAsia="楷体_GB2312" w:cs="Arial"/>
      <w:sz w:val="24"/>
    </w:rPr>
  </w:style>
  <w:style w:type="paragraph" w:styleId="1242" w:customStyle="1">
    <w:name w:val="xl34"/>
    <w:basedOn w:val="8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3" w:customStyle="1">
    <w:name w:val="1 Char Char Char Char"/>
    <w:basedOn w:val="876"/>
    <w:uiPriority w:val="0"/>
    <w:qFormat/>
    <w:rPr>
      <w:rFonts w:ascii="Tahoma" w:hAnsi="Tahoma"/>
      <w:sz w:val="24"/>
      <w:szCs w:val="20"/>
    </w:rPr>
  </w:style>
  <w:style w:type="paragraph" w:styleId="1244" w:customStyle="1">
    <w:name w:val="列出段落1"/>
    <w:basedOn w:val="876"/>
    <w:uiPriority w:val="0"/>
    <w:qFormat/>
    <w:pPr>
      <w:ind w:firstLine="420"/>
    </w:pPr>
    <w:rPr>
      <w:rFonts w:ascii="Calibri" w:hAnsi="Calibri"/>
      <w:szCs w:val="22"/>
    </w:rPr>
  </w:style>
  <w:style w:type="paragraph" w:styleId="1245" w:customStyle="1">
    <w:name w:val="default"/>
    <w:basedOn w:val="876"/>
    <w:uiPriority w:val="0"/>
    <w:qFormat/>
    <w:pPr>
      <w:jc w:val="left"/>
      <w:spacing w:before="100" w:beforeAutospacing="1" w:after="100" w:afterAutospacing="1"/>
      <w:widowControl/>
    </w:pPr>
    <w:rPr>
      <w:rFonts w:ascii="宋体" w:hAnsi="宋体" w:cs="宋体"/>
      <w:sz w:val="24"/>
    </w:rPr>
  </w:style>
  <w:style w:type="paragraph" w:styleId="1246" w:customStyle="1">
    <w:name w:val="字元 字元1"/>
    <w:basedOn w:val="876"/>
    <w:uiPriority w:val="0"/>
    <w:qFormat/>
    <w:rPr>
      <w:rFonts w:ascii="Tahoma" w:hAnsi="Tahoma"/>
      <w:sz w:val="24"/>
      <w:szCs w:val="20"/>
    </w:rPr>
  </w:style>
  <w:style w:type="paragraph" w:styleId="1247" w:customStyle="1">
    <w:name w:val="_Style 160"/>
    <w:uiPriority w:val="0"/>
    <w:qFormat/>
    <w:rPr>
      <w:rFonts w:hint="default" w:ascii="Times New Roman" w:hAnsi="Times New Roman" w:eastAsia="宋体" w:cs="Times New Roman"/>
      <w:sz w:val="21"/>
      <w:szCs w:val="24"/>
      <w:lang w:val="en-US" w:eastAsia="zh-CN" w:bidi="ar-SA"/>
    </w:rPr>
  </w:style>
  <w:style w:type="paragraph" w:styleId="1248" w:customStyle="1">
    <w:name w:val="项目编号3"/>
    <w:basedOn w:val="1209"/>
    <w:uiPriority w:val="0"/>
    <w:qFormat/>
    <w:pPr>
      <w:numPr>
        <w:ilvl w:val="0"/>
        <w:numId w:val="6"/>
      </w:numPr>
    </w:pPr>
  </w:style>
  <w:style w:type="paragraph" w:styleId="1249" w:customStyle="1">
    <w:name w:val="Char21"/>
    <w:basedOn w:val="876"/>
    <w:uiPriority w:val="0"/>
    <w:qFormat/>
    <w:rPr>
      <w:rFonts w:ascii="Tahoma" w:hAnsi="Tahoma"/>
      <w:sz w:val="24"/>
      <w:szCs w:val="20"/>
    </w:rPr>
  </w:style>
  <w:style w:type="paragraph" w:styleId="1250" w:customStyle="1">
    <w:name w:val="表格文字"/>
    <w:basedOn w:val="919"/>
    <w:uiPriority w:val="0"/>
    <w:qFormat/>
    <w:pPr>
      <w:ind w:firstLine="0"/>
      <w:spacing w:before="20" w:after="20" w:line="240" w:lineRule="auto"/>
    </w:pPr>
    <w:rPr>
      <w:rFonts w:ascii="Century Gothic" w:hAnsi="Century Gothic"/>
      <w:sz w:val="20"/>
      <w:szCs w:val="20"/>
    </w:rPr>
  </w:style>
  <w:style w:type="paragraph" w:styleId="1251" w:customStyle="1">
    <w:name w:val="Char Char Char Char Char Char Char Char Char Char1"/>
    <w:basedOn w:val="876"/>
    <w:uiPriority w:val="0"/>
    <w:qFormat/>
    <w:rPr>
      <w:rFonts w:ascii="宋体" w:hAnsi="宋体" w:cs="Courier New"/>
      <w:sz w:val="32"/>
      <w:szCs w:val="32"/>
    </w:rPr>
  </w:style>
  <w:style w:type="paragraph" w:styleId="1252" w:customStyle="1">
    <w:name w:val="正文文本样式 加粗"/>
    <w:basedOn w:val="1209"/>
    <w:uiPriority w:val="0"/>
    <w:qFormat/>
    <w:rPr>
      <w:b/>
    </w:rPr>
  </w:style>
  <w:style w:type="paragraph" w:styleId="1253" w:customStyle="1">
    <w:name w:val="Char2 Char Char Char Char Char Char"/>
    <w:basedOn w:val="876"/>
    <w:uiPriority w:val="0"/>
    <w:qFormat/>
    <w:pPr>
      <w:jc w:val="center"/>
      <w:spacing w:line="400" w:lineRule="exact"/>
      <w:widowControl/>
    </w:pPr>
  </w:style>
  <w:style w:type="paragraph" w:styleId="1254" w:customStyle="1">
    <w:name w:val="Char Char4"/>
    <w:basedOn w:val="876"/>
    <w:uiPriority w:val="0"/>
    <w:qFormat/>
    <w:pPr>
      <w:jc w:val="center"/>
      <w:spacing w:line="400" w:lineRule="exact"/>
      <w:widowControl/>
    </w:pPr>
  </w:style>
  <w:style w:type="paragraph" w:styleId="1255" w:customStyle="1">
    <w:name w:val="Char3 Char Char Char1"/>
    <w:basedOn w:val="876"/>
    <w:uiPriority w:val="0"/>
    <w:qFormat/>
    <w:rPr>
      <w:rFonts w:ascii="Tahoma" w:hAnsi="Tahoma"/>
      <w:sz w:val="24"/>
      <w:szCs w:val="20"/>
    </w:rPr>
  </w:style>
  <w:style w:type="paragraph" w:styleId="125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22222222222222"/>
    <w:basedOn w:val="876"/>
    <w:uiPriority w:val="0"/>
    <w:qFormat/>
    <w:pPr>
      <w:ind w:firstLine="480"/>
      <w:jc w:val="left"/>
      <w:spacing w:line="360" w:lineRule="auto"/>
      <w:widowControl/>
    </w:pPr>
    <w:rPr>
      <w:color w:val="ff0000"/>
      <w:sz w:val="24"/>
      <w:szCs w:val="20"/>
    </w:rPr>
  </w:style>
  <w:style w:type="character" w:styleId="1258" w:customStyle="1">
    <w:name w:val="中等深浅网格 1 - 强调文字颜色 2 Char"/>
    <w:link w:val="1259"/>
    <w:uiPriority w:val="0"/>
    <w:qFormat/>
    <w:rPr>
      <w:sz w:val="21"/>
      <w:szCs w:val="24"/>
      <w:lang w:val="zh-CN" w:eastAsia="zh-CN" w:bidi="ar-SA"/>
    </w:rPr>
  </w:style>
  <w:style w:type="paragraph" w:styleId="1259" w:customStyle="1">
    <w:name w:val="1"/>
    <w:link w:val="1258"/>
    <w:uiPriority w:val="0"/>
    <w:qFormat/>
    <w:rPr>
      <w:rFonts w:hint="default" w:ascii="Times New Roman" w:hAnsi="Times New Roman" w:eastAsia="宋体" w:cs="Times New Roman"/>
      <w:sz w:val="21"/>
      <w:szCs w:val="24"/>
      <w:lang w:val="zh-CN" w:eastAsia="zh-CN" w:bidi="ar-SA"/>
    </w:rPr>
  </w:style>
  <w:style w:type="paragraph" w:styleId="1260" w:customStyle="1">
    <w:name w:val="图文"/>
    <w:basedOn w:val="876"/>
    <w:uiPriority w:val="0"/>
    <w:qFormat/>
    <w:pPr>
      <w:spacing w:after="50" w:line="360" w:lineRule="auto"/>
    </w:pPr>
    <w:rPr>
      <w:sz w:val="24"/>
    </w:rPr>
  </w:style>
  <w:style w:type="paragraph" w:styleId="1261" w:customStyle="1">
    <w:name w:val="xl23"/>
    <w:basedOn w:val="876"/>
    <w:uiPriority w:val="0"/>
    <w:qFormat/>
    <w:pPr>
      <w:spacing w:before="100" w:beforeAutospacing="1" w:after="100" w:afterAutospacing="1" w:line="360" w:lineRule="auto"/>
      <w:widowControl/>
    </w:pPr>
    <w:rPr>
      <w:sz w:val="24"/>
      <w:szCs w:val="20"/>
    </w:rPr>
  </w:style>
  <w:style w:type="paragraph" w:styleId="1262" w:customStyle="1">
    <w:name w:val="正文表格"/>
    <w:basedOn w:val="876"/>
    <w:link w:val="1263"/>
    <w:uiPriority w:val="0"/>
    <w:qFormat/>
    <w:pPr>
      <w:jc w:val="left"/>
    </w:pPr>
    <w:rPr>
      <w:rFonts w:ascii="宋体" w:hAnsi="宋体"/>
      <w:color w:val="000000"/>
      <w:szCs w:val="21"/>
    </w:rPr>
  </w:style>
  <w:style w:type="character" w:styleId="1263" w:customStyle="1">
    <w:name w:val="正文表格 Char"/>
    <w:link w:val="1262"/>
    <w:uiPriority w:val="0"/>
    <w:qFormat/>
    <w:rPr>
      <w:rFonts w:ascii="宋体" w:hAnsi="宋体"/>
      <w:color w:val="000000"/>
      <w:sz w:val="21"/>
      <w:szCs w:val="21"/>
    </w:rPr>
  </w:style>
  <w:style w:type="paragraph" w:styleId="1264" w:customStyle="1">
    <w:name w:val="正文重点"/>
    <w:basedOn w:val="876"/>
    <w:link w:val="1265"/>
    <w:uiPriority w:val="0"/>
    <w:qFormat/>
    <w:pPr>
      <w:ind w:firstLine="482"/>
      <w:jc w:val="left"/>
      <w:spacing w:line="360" w:lineRule="auto"/>
    </w:pPr>
    <w:rPr>
      <w:b/>
      <w:sz w:val="24"/>
      <w:szCs w:val="20"/>
    </w:rPr>
  </w:style>
  <w:style w:type="character" w:styleId="1265" w:customStyle="1">
    <w:name w:val="正文重点 Char"/>
    <w:link w:val="1264"/>
    <w:uiPriority w:val="0"/>
    <w:qFormat/>
    <w:rPr>
      <w:b/>
      <w:sz w:val="24"/>
    </w:rPr>
  </w:style>
  <w:style w:type="paragraph" w:styleId="1266" w:customStyle="1">
    <w:name w:val="标题1-附件"/>
    <w:basedOn w:val="1068"/>
    <w:uiPriority w:val="0"/>
    <w:qFormat/>
    <w:pPr>
      <w:jc w:val="left"/>
    </w:pPr>
    <w:rPr>
      <w:sz w:val="24"/>
      <w:szCs w:val="24"/>
    </w:rPr>
  </w:style>
  <w:style w:type="paragraph" w:styleId="1267" w:customStyle="1">
    <w:name w:val="正文小标题"/>
    <w:basedOn w:val="876"/>
    <w:next w:val="1089"/>
    <w:link w:val="1268"/>
    <w:uiPriority w:val="0"/>
    <w:qFormat/>
    <w:pPr>
      <w:ind w:firstLine="482"/>
      <w:jc w:val="left"/>
      <w:spacing w:before="312" w:after="312"/>
    </w:pPr>
    <w:rPr>
      <w:rFonts w:ascii="宋体" w:hAnsi="宋体"/>
      <w:b/>
      <w:i/>
      <w:color w:val="ff0000"/>
      <w:sz w:val="24"/>
      <w:szCs w:val="20"/>
    </w:rPr>
  </w:style>
  <w:style w:type="character" w:styleId="1268" w:customStyle="1">
    <w:name w:val="正文小标题 Char"/>
    <w:link w:val="1267"/>
    <w:uiPriority w:val="0"/>
    <w:qFormat/>
    <w:rPr>
      <w:rFonts w:ascii="宋体" w:hAnsi="宋体"/>
      <w:b/>
      <w:i/>
      <w:color w:val="ff0000"/>
      <w:sz w:val="24"/>
    </w:rPr>
  </w:style>
  <w:style w:type="paragraph" w:styleId="1269" w:customStyle="1">
    <w:name w:val="正文大标题"/>
    <w:basedOn w:val="1267"/>
    <w:next w:val="1089"/>
    <w:link w:val="1270"/>
    <w:uiPriority w:val="0"/>
    <w:qFormat/>
    <w:pPr>
      <w:jc w:val="center"/>
    </w:pPr>
    <w:rPr>
      <w:i w:val="0"/>
      <w:color w:val="000000"/>
      <w:sz w:val="28"/>
      <w:szCs w:val="21"/>
    </w:rPr>
  </w:style>
  <w:style w:type="character" w:styleId="1270" w:customStyle="1">
    <w:name w:val="正文大标题 Char"/>
    <w:link w:val="1269"/>
    <w:uiPriority w:val="0"/>
    <w:qFormat/>
    <w:rPr>
      <w:rFonts w:ascii="宋体" w:hAnsi="宋体"/>
      <w:b/>
      <w:color w:val="000000"/>
      <w:sz w:val="28"/>
      <w:szCs w:val="21"/>
    </w:rPr>
  </w:style>
  <w:style w:type="paragraph" w:styleId="1271" w:customStyle="1">
    <w:name w:val="注释"/>
    <w:basedOn w:val="876"/>
    <w:link w:val="1272"/>
    <w:uiPriority w:val="0"/>
    <w:qFormat/>
    <w:pPr>
      <w:ind w:left="420" w:hanging="420"/>
      <w:jc w:val="left"/>
    </w:pPr>
    <w:rPr>
      <w:rFonts w:ascii="宋体" w:hAnsi="宋体"/>
      <w:szCs w:val="21"/>
    </w:rPr>
  </w:style>
  <w:style w:type="character" w:styleId="1272" w:customStyle="1">
    <w:name w:val="注释 Char"/>
    <w:link w:val="1271"/>
    <w:uiPriority w:val="0"/>
    <w:qFormat/>
    <w:rPr>
      <w:rFonts w:ascii="宋体" w:hAnsi="宋体"/>
      <w:sz w:val="21"/>
      <w:szCs w:val="21"/>
    </w:rPr>
  </w:style>
  <w:style w:type="paragraph" w:styleId="1273" w:customStyle="1">
    <w:name w:val="正文须知-1级"/>
    <w:basedOn w:val="876"/>
    <w:next w:val="876"/>
    <w:uiPriority w:val="0"/>
    <w:qFormat/>
    <w:pPr>
      <w:numPr>
        <w:ilvl w:val="0"/>
        <w:numId w:val="7"/>
      </w:numPr>
      <w:spacing w:line="300" w:lineRule="auto"/>
    </w:pPr>
    <w:rPr>
      <w:rFonts w:ascii="宋体" w:hAnsi="Calibri"/>
      <w:sz w:val="24"/>
      <w:szCs w:val="21"/>
    </w:rPr>
  </w:style>
  <w:style w:type="paragraph" w:styleId="1274" w:customStyle="1">
    <w:name w:val="正文须知-2级"/>
    <w:basedOn w:val="876"/>
    <w:uiPriority w:val="0"/>
    <w:qFormat/>
    <w:pPr>
      <w:numPr>
        <w:ilvl w:val="1"/>
        <w:numId w:val="7"/>
      </w:numPr>
      <w:spacing w:line="300" w:lineRule="auto"/>
    </w:pPr>
    <w:rPr>
      <w:rFonts w:ascii="宋体" w:hAnsi="Calibri"/>
      <w:sz w:val="24"/>
      <w:szCs w:val="21"/>
    </w:rPr>
  </w:style>
  <w:style w:type="paragraph" w:styleId="1275" w:customStyle="1">
    <w:name w:val="正文须知-3级"/>
    <w:basedOn w:val="876"/>
    <w:uiPriority w:val="0"/>
    <w:qFormat/>
    <w:pPr>
      <w:numPr>
        <w:ilvl w:val="2"/>
        <w:numId w:val="7"/>
      </w:numPr>
      <w:ind w:hanging="355"/>
      <w:spacing w:line="300" w:lineRule="auto"/>
    </w:pPr>
    <w:rPr>
      <w:rFonts w:ascii="宋体" w:hAnsi="Calibri"/>
      <w:sz w:val="24"/>
      <w:szCs w:val="21"/>
    </w:rPr>
  </w:style>
  <w:style w:type="character" w:styleId="1276" w:customStyle="1">
    <w:name w:val="纯文本 字符"/>
    <w:link w:val="876"/>
    <w:uiPriority w:val="99"/>
    <w:qFormat/>
    <w:rPr>
      <w:rFonts w:ascii="宋体" w:hAnsi="Courier New" w:eastAsia="宋体" w:cs="Times New Roman"/>
      <w:sz w:val="21"/>
      <w:szCs w:val="21"/>
      <w:lang w:val="en-US" w:eastAsia="zh-CN" w:bidi="ar-SA"/>
    </w:rPr>
  </w:style>
  <w:style w:type="paragraph" w:styleId="1277" w:customStyle="1">
    <w:name w:val="表格1"/>
    <w:basedOn w:val="876"/>
    <w:uiPriority w:val="0"/>
    <w:qFormat/>
    <w:pPr>
      <w:ind w:firstLine="480"/>
      <w:jc w:val="center"/>
    </w:pPr>
    <w:rPr>
      <w:sz w:val="24"/>
      <w:szCs w:val="20"/>
    </w:rPr>
  </w:style>
  <w:style w:type="character" w:styleId="1278" w:customStyle="1">
    <w:name w:val="纯文本 字符1"/>
    <w:link w:val="876"/>
    <w:uiPriority w:val="0"/>
    <w:qFormat/>
    <w:rPr>
      <w:rFonts w:ascii="宋体" w:hAnsi="Courier New"/>
    </w:rPr>
  </w:style>
  <w:style w:type="character" w:styleId="1279" w:customStyle="1">
    <w:name w:val="bjh-p"/>
    <w:link w:val="876"/>
    <w:uiPriority w:val="0"/>
    <w:qFormat/>
  </w:style>
  <w:style w:type="paragraph" w:styleId="1280" w:customStyle="1">
    <w:name w:val="无标题条"/>
    <w:next w:val="876"/>
    <w:uiPriority w:val="0"/>
    <w:qFormat/>
    <w:pPr>
      <w:jc w:val="both"/>
    </w:pPr>
    <w:rPr>
      <w:rFonts w:hint="default" w:ascii="Times New Roman" w:hAnsi="Times New Roman" w:eastAsia="宋体" w:cs="Times New Roman"/>
      <w:sz w:val="21"/>
      <w:lang w:val="en-US" w:eastAsia="zh-CN" w:bidi="ar-SA"/>
    </w:rPr>
  </w:style>
  <w:style w:type="character" w:styleId="1281" w:customStyle="1">
    <w:name w:val="正文格式 Char"/>
    <w:link w:val="1282"/>
    <w:uiPriority w:val="0"/>
    <w:qFormat/>
    <w:rPr>
      <w:rFonts w:ascii="宋体" w:hAnsi="宋体"/>
      <w:sz w:val="24"/>
      <w:szCs w:val="24"/>
      <w:lang w:val="en-GB"/>
    </w:rPr>
  </w:style>
  <w:style w:type="paragraph" w:styleId="1282" w:customStyle="1">
    <w:name w:val="正文格式"/>
    <w:basedOn w:val="876"/>
    <w:link w:val="1281"/>
    <w:uiPriority w:val="0"/>
    <w:qFormat/>
    <w:pPr>
      <w:ind w:firstLine="480"/>
      <w:spacing w:line="360" w:lineRule="auto"/>
    </w:pPr>
    <w:rPr>
      <w:rFonts w:ascii="宋体" w:hAnsi="宋体"/>
      <w:sz w:val="24"/>
      <w:lang w:val="en-GB"/>
    </w:rPr>
  </w:style>
  <w:style w:type="character" w:styleId="1283" w:customStyle="1">
    <w:name w:val="标题 3 Char"/>
    <w:link w:val="876"/>
    <w:uiPriority w:val="0"/>
    <w:qFormat/>
    <w:rPr>
      <w:rFonts w:ascii="宋体" w:eastAsia="宋体"/>
      <w:b/>
      <w:sz w:val="24"/>
      <w:u w:val="single"/>
      <w:lang w:val="en-US" w:eastAsia="zh-CN" w:bidi="ar-SA"/>
    </w:rPr>
  </w:style>
  <w:style w:type="character" w:styleId="1284" w:customStyle="1">
    <w:name w:val="正文缩进 Char"/>
    <w:link w:val="876"/>
    <w:uiPriority w:val="0"/>
    <w:qFormat/>
    <w:rPr>
      <w:rFonts w:ascii="宋体" w:eastAsia="宋体"/>
      <w:sz w:val="24"/>
      <w:szCs w:val="24"/>
      <w:lang w:val="en-US" w:eastAsia="zh-CN" w:bidi="ar-SA"/>
    </w:rPr>
  </w:style>
  <w:style w:type="character" w:styleId="1285" w:customStyle="1">
    <w:name w:val="Char Char111"/>
    <w:link w:val="876"/>
    <w:uiPriority w:val="0"/>
    <w:qFormat/>
    <w:rPr>
      <w:rFonts w:ascii="宋体" w:eastAsia="宋体"/>
      <w:b/>
      <w:sz w:val="24"/>
      <w:u w:val="single"/>
      <w:lang w:val="en-US" w:eastAsia="zh-CN" w:bidi="ar-SA"/>
    </w:rPr>
  </w:style>
  <w:style w:type="character" w:styleId="1286" w:customStyle="1">
    <w:name w:val="正文文本缩进 Char"/>
    <w:link w:val="876"/>
    <w:uiPriority w:val="0"/>
    <w:qFormat/>
    <w:rPr>
      <w:rFonts w:eastAsia="宋体"/>
      <w:sz w:val="24"/>
      <w:szCs w:val="24"/>
      <w:lang w:val="en-US" w:eastAsia="zh-CN" w:bidi="ar-SA"/>
    </w:rPr>
  </w:style>
  <w:style w:type="character" w:styleId="1287" w:customStyle="1">
    <w:name w:val="列出段落 Char"/>
    <w:link w:val="876"/>
    <w:uiPriority w:val="0"/>
    <w:qFormat/>
    <w:rPr>
      <w:rFonts w:ascii="Calibri" w:hAnsi="Calibri" w:eastAsia="宋体"/>
      <w:sz w:val="21"/>
      <w:szCs w:val="22"/>
      <w:lang w:val="en-US" w:eastAsia="zh-CN" w:bidi="ar-SA"/>
    </w:rPr>
  </w:style>
  <w:style w:type="character" w:styleId="1288" w:customStyle="1">
    <w:name w:val="页眉 Char"/>
    <w:link w:val="876"/>
    <w:uiPriority w:val="0"/>
    <w:qFormat/>
    <w:rPr>
      <w:rFonts w:eastAsia="宋体"/>
      <w:sz w:val="18"/>
      <w:szCs w:val="18"/>
      <w:lang w:val="en-US" w:eastAsia="zh-CN" w:bidi="ar-SA"/>
    </w:rPr>
  </w:style>
  <w:style w:type="character" w:styleId="1289" w:customStyle="1">
    <w:name w:val="标题 2 Char"/>
    <w:link w:val="876"/>
    <w:uiPriority w:val="0"/>
    <w:qFormat/>
    <w:rPr>
      <w:rFonts w:ascii="Arial" w:hAnsi="Arial" w:eastAsia="黑体"/>
      <w:b/>
      <w:sz w:val="30"/>
      <w:lang w:val="en-US" w:eastAsia="zh-CN" w:bidi="ar-SA"/>
    </w:rPr>
  </w:style>
  <w:style w:type="paragraph" w:styleId="1290" w:customStyle="1">
    <w:name w:val="字元 字元2"/>
    <w:basedOn w:val="876"/>
    <w:uiPriority w:val="0"/>
    <w:qFormat/>
    <w:rPr>
      <w:rFonts w:ascii="Tahoma" w:hAnsi="Tahoma"/>
      <w:sz w:val="24"/>
      <w:szCs w:val="20"/>
    </w:rPr>
  </w:style>
  <w:style w:type="paragraph" w:styleId="1291" w:customStyle="1">
    <w:name w:val="Char3 Char Char Char2"/>
    <w:basedOn w:val="876"/>
    <w:uiPriority w:val="0"/>
    <w:qFormat/>
    <w:rPr>
      <w:rFonts w:ascii="Tahoma" w:hAnsi="Tahoma"/>
      <w:sz w:val="24"/>
      <w:szCs w:val="20"/>
    </w:rPr>
  </w:style>
  <w:style w:type="paragraph" w:styleId="1292" w:customStyle="1">
    <w:name w:val="正文文本缩进2"/>
    <w:basedOn w:val="876"/>
    <w:uiPriority w:val="0"/>
    <w:qFormat/>
    <w:pPr>
      <w:ind w:firstLine="480"/>
      <w:spacing w:line="480" w:lineRule="exact"/>
    </w:pPr>
    <w:rPr>
      <w:rFonts w:ascii="宋体" w:hAnsi="宋体"/>
      <w:sz w:val="24"/>
      <w:lang w:val="zh-CN" w:eastAsia="zh-CN"/>
    </w:rPr>
  </w:style>
  <w:style w:type="paragraph" w:styleId="1293" w:customStyle="1">
    <w:name w:val="Char3"/>
    <w:basedOn w:val="876"/>
    <w:uiPriority w:val="0"/>
    <w:qFormat/>
    <w:pPr>
      <w:tabs>
        <w:tab w:val="left" w:pos="360" w:leader="none"/>
      </w:tabs>
    </w:pPr>
    <w:rPr>
      <w:sz w:val="24"/>
    </w:rPr>
  </w:style>
  <w:style w:type="paragraph" w:styleId="1294" w:customStyle="1">
    <w:name w:val="Char Char Char Char Char Char Char Char Char Char Char Char Char Char Char Char1"/>
    <w:basedOn w:val="876"/>
    <w:uiPriority w:val="0"/>
    <w:qFormat/>
    <w:pPr>
      <w:jc w:val="center"/>
      <w:spacing w:after="160" w:line="240" w:lineRule="exact"/>
      <w:widowControl/>
    </w:pPr>
    <w:rPr>
      <w:rFonts w:ascii="宋体" w:hAnsi="宋体"/>
      <w:b/>
      <w:sz w:val="30"/>
      <w:szCs w:val="30"/>
      <w:lang w:eastAsia="en-US"/>
    </w:rPr>
  </w:style>
  <w:style w:type="paragraph" w:styleId="1295" w:customStyle="1">
    <w:name w:val="Char Char1 Char Char Char Char Char Char1"/>
    <w:basedOn w:val="876"/>
    <w:uiPriority w:val="0"/>
    <w:qFormat/>
    <w:pPr>
      <w:jc w:val="left"/>
      <w:spacing w:after="160" w:line="240" w:lineRule="exact"/>
      <w:widowControl/>
    </w:pPr>
    <w:rPr>
      <w:rFonts w:ascii="Verdana" w:hAnsi="Verdana" w:eastAsia="仿宋_GB2312"/>
      <w:sz w:val="24"/>
      <w:szCs w:val="20"/>
      <w:lang w:eastAsia="en-US"/>
    </w:rPr>
  </w:style>
  <w:style w:type="paragraph" w:styleId="1296" w:customStyle="1">
    <w:name w:val="列出段落2"/>
    <w:basedOn w:val="876"/>
    <w:uiPriority w:val="0"/>
    <w:qFormat/>
    <w:pPr>
      <w:ind w:firstLine="420"/>
    </w:pPr>
    <w:rPr>
      <w:rFonts w:ascii="Calibri" w:hAnsi="Calibri"/>
      <w:szCs w:val="22"/>
    </w:rPr>
  </w:style>
  <w:style w:type="paragraph" w:styleId="1297" w:customStyle="1">
    <w:name w:val="Char Char Char1 Char2"/>
    <w:basedOn w:val="876"/>
    <w:uiPriority w:val="0"/>
    <w:qFormat/>
    <w:rPr>
      <w:rFonts w:ascii="Tahoma" w:hAnsi="Tahoma"/>
      <w:sz w:val="24"/>
      <w:szCs w:val="20"/>
    </w:rPr>
  </w:style>
  <w:style w:type="paragraph" w:styleId="1298" w:customStyle="1">
    <w:name w:val="Char Char Char2"/>
    <w:basedOn w:val="876"/>
    <w:uiPriority w:val="0"/>
    <w:qFormat/>
    <w:rPr>
      <w:rFonts w:ascii="Tahoma" w:hAnsi="Tahoma"/>
      <w:sz w:val="24"/>
      <w:szCs w:val="20"/>
    </w:rPr>
  </w:style>
  <w:style w:type="paragraph" w:styleId="1299" w:customStyle="1">
    <w:name w:val="Char Char Char Char Char Char Char2"/>
    <w:basedOn w:val="876"/>
    <w:uiPriority w:val="0"/>
    <w:qFormat/>
    <w:pPr>
      <w:ind w:firstLine="200"/>
      <w:spacing w:line="360" w:lineRule="auto"/>
    </w:pPr>
    <w:rPr>
      <w:rFonts w:eastAsia="仿宋_GB2312"/>
      <w:sz w:val="24"/>
    </w:rPr>
  </w:style>
  <w:style w:type="paragraph" w:styleId="1300" w:customStyle="1">
    <w:name w:val="正文缩进2"/>
    <w:basedOn w:val="876"/>
    <w:uiPriority w:val="0"/>
    <w:qFormat/>
    <w:pPr>
      <w:ind w:firstLine="567"/>
      <w:spacing w:line="480" w:lineRule="exact"/>
      <w:widowControl/>
    </w:pPr>
    <w:rPr>
      <w:rFonts w:ascii="宋体"/>
      <w:color w:val="000000"/>
      <w:sz w:val="28"/>
      <w:szCs w:val="20"/>
      <w:lang w:val="zh-CN" w:eastAsia="zh-CN"/>
    </w:rPr>
  </w:style>
  <w:style w:type="paragraph" w:styleId="1301" w:customStyle="1">
    <w:name w:val="Revision"/>
    <w:uiPriority w:val="0"/>
    <w:qFormat/>
    <w:rPr>
      <w:rFonts w:hint="default" w:ascii="Times New Roman" w:hAnsi="Times New Roman" w:eastAsia="宋体" w:cs="Times New Roman"/>
      <w:sz w:val="21"/>
      <w:szCs w:val="24"/>
      <w:lang w:val="en-US" w:eastAsia="zh-CN" w:bidi="ar-SA"/>
    </w:rPr>
  </w:style>
  <w:style w:type="paragraph" w:styleId="1302" w:customStyle="1">
    <w:name w:val="Char22"/>
    <w:basedOn w:val="876"/>
    <w:uiPriority w:val="0"/>
    <w:qFormat/>
    <w:rPr>
      <w:rFonts w:ascii="Tahoma" w:hAnsi="Tahoma"/>
      <w:sz w:val="24"/>
      <w:szCs w:val="20"/>
    </w:rPr>
  </w:style>
  <w:style w:type="paragraph" w:styleId="1303" w:customStyle="1">
    <w:name w:val="Char Char Char Char Char Char Char Char Char Char2"/>
    <w:basedOn w:val="876"/>
    <w:uiPriority w:val="0"/>
    <w:qFormat/>
    <w:rPr>
      <w:rFonts w:ascii="宋体" w:hAnsi="宋体" w:cs="Courier New"/>
      <w:sz w:val="32"/>
      <w:szCs w:val="32"/>
    </w:rPr>
  </w:style>
  <w:style w:type="paragraph" w:styleId="1304" w:customStyle="1">
    <w:name w:val="Char2 Char Char Char Char Char Char1"/>
    <w:basedOn w:val="876"/>
    <w:uiPriority w:val="0"/>
    <w:qFormat/>
    <w:pPr>
      <w:jc w:val="center"/>
      <w:spacing w:line="400" w:lineRule="exact"/>
      <w:widowControl/>
    </w:pPr>
  </w:style>
  <w:style w:type="character" w:styleId="1305" w:customStyle="1">
    <w:name w:val="页脚 Char"/>
    <w:link w:val="876"/>
    <w:uiPriority w:val="0"/>
    <w:qFormat/>
    <w:rPr>
      <w:rFonts w:ascii="宋体" w:eastAsia="宋体"/>
      <w:sz w:val="18"/>
      <w:lang w:val="en-US" w:eastAsia="zh-CN" w:bidi="ar-SA"/>
    </w:rPr>
  </w:style>
  <w:style w:type="paragraph" w:styleId="1306" w:customStyle="1">
    <w:name w:val="Char Char41"/>
    <w:basedOn w:val="876"/>
    <w:uiPriority w:val="0"/>
    <w:qFormat/>
    <w:pPr>
      <w:jc w:val="center"/>
      <w:spacing w:line="400" w:lineRule="exact"/>
      <w:widowControl/>
    </w:pPr>
  </w:style>
  <w:style w:type="character" w:styleId="1307" w:customStyle="1">
    <w:name w:val="批注文字 Char"/>
    <w:link w:val="876"/>
    <w:uiPriority w:val="99"/>
    <w:qFormat/>
    <w:rPr>
      <w:sz w:val="21"/>
      <w:szCs w:val="24"/>
    </w:rPr>
  </w:style>
  <w:style w:type="character" w:styleId="1308" w:customStyle="1">
    <w:name w:val="标题 Char"/>
    <w:link w:val="876"/>
    <w:uiPriority w:val="0"/>
    <w:qFormat/>
    <w:rPr>
      <w:b/>
      <w:sz w:val="32"/>
    </w:rPr>
  </w:style>
  <w:style w:type="paragraph" w:styleId="1309" w:customStyle="1">
    <w:name w:val="图例"/>
    <w:basedOn w:val="876"/>
    <w:uiPriority w:val="0"/>
    <w:qFormat/>
    <w:pPr>
      <w:jc w:val="center"/>
      <w:spacing w:before="120" w:after="120" w:line="360" w:lineRule="auto"/>
    </w:pPr>
    <w:rPr>
      <w:rFonts w:eastAsia="仿宋_GB2312"/>
      <w:b/>
      <w:sz w:val="24"/>
      <w:szCs w:val="20"/>
    </w:rPr>
  </w:style>
  <w:style w:type="table" w:styleId="1310" w:customStyle="1">
    <w:name w:val="Table Normal"/>
    <w:uiPriority w:val="2"/>
    <w:unhideWhenUsed/>
    <w:qFormat/>
    <w:pPr>
      <w:widowControl w:val="off"/>
    </w:pPr>
    <w:rPr>
      <w:rFonts w:ascii="Calibri" w:hAnsi="Calibri"/>
      <w:sz w:val="22"/>
      <w:szCs w:val="22"/>
      <w:lang w:val="en-US" w:eastAsia="en-US" w:bidi="ar-SA"/>
    </w:rPr>
    <w:tblPr/>
  </w:style>
  <w:style w:type="paragraph" w:styleId="1311" w:customStyle="1">
    <w:name w:val="Table Paragraph"/>
    <w:basedOn w:val="876"/>
    <w:uiPriority w:val="1"/>
    <w:qFormat/>
    <w:pPr>
      <w:jc w:val="left"/>
    </w:pPr>
    <w:rPr>
      <w:rFonts w:ascii="宋体" w:hAnsi="宋体" w:cs="宋体"/>
      <w:sz w:val="22"/>
      <w:szCs w:val="22"/>
      <w:lang w:eastAsia="en-US"/>
    </w:rPr>
  </w:style>
  <w:style w:type="paragraph" w:styleId="1312" w:customStyle="1">
    <w:name w:val="成文日期"/>
    <w:basedOn w:val="876"/>
    <w:link w:val="1313"/>
    <w:uiPriority w:val="0"/>
    <w:qFormat/>
    <w:pPr>
      <w:ind w:right="400" w:firstLine="200"/>
      <w:jc w:val="right"/>
      <w:spacing w:line="570" w:lineRule="exact"/>
    </w:pPr>
    <w:rPr>
      <w:rFonts w:ascii="仿宋_GB2312" w:eastAsia="仿宋_GB2312"/>
      <w:sz w:val="32"/>
      <w:szCs w:val="20"/>
    </w:rPr>
  </w:style>
  <w:style w:type="character" w:styleId="1313" w:customStyle="1">
    <w:name w:val="成文日期 Char"/>
    <w:link w:val="1312"/>
    <w:uiPriority w:val="0"/>
    <w:qFormat/>
    <w:rPr>
      <w:rFonts w:ascii="仿宋_GB2312" w:eastAsia="仿宋_GB2312"/>
      <w:sz w:val="32"/>
    </w:rPr>
  </w:style>
  <w:style w:type="paragraph" w:styleId="131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15" w:customStyle="1">
    <w:name w:val="正文1"/>
    <w:basedOn w:val="876"/>
    <w:uiPriority w:val="0"/>
    <w:qFormat/>
    <w:pPr>
      <w:contextualSpacing/>
      <w:ind w:firstLine="200"/>
      <w:jc w:val="left"/>
      <w:spacing w:before="120" w:after="120"/>
      <w:widowControl/>
    </w:pPr>
    <w:rPr>
      <w:rFonts w:ascii="Calibri" w:hAnsi="Calibri" w:eastAsia="Adobe 仿宋 Std R"/>
      <w:sz w:val="20"/>
      <w:szCs w:val="21"/>
    </w:rPr>
  </w:style>
  <w:style w:type="character" w:styleId="1316" w:customStyle="1">
    <w:name w:val="材料标题 Char"/>
    <w:link w:val="1317"/>
    <w:uiPriority w:val="0"/>
    <w:qFormat/>
    <w:rPr>
      <w:rFonts w:ascii="方正小标宋简体" w:eastAsia="方正小标宋简体"/>
      <w:color w:val="000000"/>
      <w:sz w:val="44"/>
      <w:szCs w:val="44"/>
    </w:rPr>
  </w:style>
  <w:style w:type="paragraph" w:styleId="1317" w:customStyle="1">
    <w:name w:val="材料标题"/>
    <w:basedOn w:val="876"/>
    <w:link w:val="1316"/>
    <w:uiPriority w:val="0"/>
    <w:qFormat/>
    <w:pPr>
      <w:jc w:val="center"/>
      <w:spacing w:line="700" w:lineRule="exact"/>
    </w:pPr>
    <w:rPr>
      <w:rFonts w:ascii="方正小标宋简体" w:eastAsia="方正小标宋简体"/>
      <w:color w:val="000000"/>
      <w:sz w:val="44"/>
      <w:szCs w:val="44"/>
    </w:rPr>
  </w:style>
  <w:style w:type="character" w:styleId="1318" w:customStyle="1">
    <w:name w:val="未处理的提及"/>
    <w:link w:val="876"/>
    <w:uiPriority w:val="99"/>
    <w:unhideWhenUsed/>
    <w:qFormat/>
    <w:rPr>
      <w:color w:val="605e5c"/>
      <w:shd w:val="clear" w:color="auto" w:fill="e1dfdd"/>
    </w:rPr>
  </w:style>
  <w:style w:type="character" w:styleId="1319" w:customStyle="1">
    <w:name w:val="grame"/>
    <w:basedOn w:val="1077"/>
    <w:link w:val="876"/>
    <w:uiPriority w:val="0"/>
    <w:qFormat/>
  </w:style>
  <w:style w:type="paragraph" w:styleId="1320" w:customStyle="1">
    <w:name w:val="普通(网站)1"/>
    <w:uiPriority w:val="99"/>
    <w:unhideWhenUsed/>
    <w:qFormat/>
    <w:pPr>
      <w:jc w:val="left"/>
      <w:spacing w:before="100" w:beforeAutospacing="1" w:after="100" w:afterAutospacing="1"/>
      <w:widowControl/>
    </w:pPr>
    <w:rPr>
      <w:rFonts w:hint="default" w:ascii="宋体" w:hAnsi="宋体" w:eastAsia="宋体" w:cs="Times New Roman"/>
      <w:sz w:val="24"/>
      <w:szCs w:val="24"/>
      <w:lang w:val="en-US" w:eastAsia="zh-CN" w:bidi="ar-SA"/>
    </w:rPr>
  </w:style>
  <w:style w:type="paragraph" w:styleId="1321" w:customStyle="1">
    <w:name w:val="纯文本1"/>
    <w:uiPriority w:val="0"/>
    <w:qFormat/>
    <w:pPr>
      <w:jc w:val="both"/>
      <w:widowControl w:val="off"/>
    </w:pPr>
    <w:rPr>
      <w:rFonts w:hint="eastAsia" w:ascii="宋体" w:hAnsi="Courier New" w:eastAsia="宋体" w:cs="Times New Roman"/>
      <w:sz w:val="21"/>
      <w:szCs w:val="20"/>
      <w:lang w:val="en-US" w:eastAsia="zh-CN" w:bidi="ar-SA"/>
    </w:rPr>
  </w:style>
  <w:style w:type="character" w:styleId="1322" w:customStyle="1">
    <w:name w:val="info1"/>
    <w:uiPriority w:val="0"/>
    <w:qFormat/>
    <w:rPr>
      <w:sz w:val="29"/>
      <w:szCs w:val="29"/>
    </w:rPr>
  </w:style>
  <w:style w:type="paragraph" w:styleId="1323" w:customStyle="1">
    <w:name w:val="Table Text"/>
    <w:uiPriority w:val="0"/>
    <w:semiHidden/>
    <w:qFormat/>
    <w:pPr>
      <w:jc w:val="left"/>
      <w:widowControl/>
    </w:pPr>
    <w:rPr>
      <w:rFonts w:ascii="宋体" w:hAnsi="宋体" w:eastAsia="宋体" w:cs="宋体"/>
      <w:color w:val="000000"/>
      <w:sz w:val="18"/>
      <w:szCs w:val="18"/>
      <w:lang w:val="en-US" w:eastAsia="zh-CN" w:bidi="ar-SA"/>
    </w:rPr>
  </w:style>
  <w:style w:type="paragraph" w:styleId="1324" w:customStyle="1">
    <w:name w:val="本文正文"/>
    <w:uiPriority w:val="0"/>
    <w:qFormat/>
    <w:pPr>
      <w:jc w:val="both"/>
      <w:spacing w:line="360" w:lineRule="exact"/>
      <w:widowControl w:val="off"/>
      <w:tabs>
        <w:tab w:val="left" w:pos="630" w:leader="none"/>
      </w:tabs>
    </w:pPr>
    <w:rPr>
      <w:rFonts w:ascii="方正仿宋_GBK" w:hAnsi="方正仿宋_GBK" w:eastAsia="方正仿宋_GBK" w:cs="Times New Roman"/>
      <w:color w:val="000000"/>
      <w:sz w:val="24"/>
      <w:szCs w:val="20"/>
      <w:lang w:val="en-US" w:eastAsia="zh-CN" w:bidi="ar-SA"/>
    </w:rPr>
  </w:style>
  <w:style w:type="character" w:styleId="1325" w:customStyle="1">
    <w:name w:val="font91"/>
    <w:basedOn w:val="886"/>
    <w:uiPriority w:val="0"/>
    <w:qFormat/>
    <w:rPr>
      <w:rFonts w:hint="eastAsia" w:ascii="宋体" w:hAnsi="宋体" w:eastAsia="宋体" w:cs="宋体"/>
      <w:color w:val="000000"/>
      <w:sz w:val="20"/>
      <w:szCs w:val="20"/>
      <w:u w:val="none"/>
    </w:rPr>
  </w:style>
  <w:style w:type="character" w:styleId="1326" w:customStyle="1">
    <w:name w:val="font101"/>
    <w:basedOn w:val="886"/>
    <w:uiPriority w:val="0"/>
    <w:qFormat/>
    <w:rPr>
      <w:rFonts w:hint="default" w:ascii="Times New Roman" w:hAnsi="Times New Roman" w:cs="Times New Roman"/>
      <w:color w:val="000000"/>
      <w:sz w:val="20"/>
      <w:szCs w:val="20"/>
      <w:u w:val="none"/>
    </w:rPr>
  </w:style>
  <w:style w:type="numbering" w:styleId="42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陈晓梅</cp:lastModifiedBy>
  <cp:revision>92</cp:revision>
  <dcterms:created xsi:type="dcterms:W3CDTF">2022-05-30T08:08:00Z</dcterms:created>
  <dcterms:modified xsi:type="dcterms:W3CDTF">2026-05-29T07:23:01Z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eyJoZGlkIjoiNTdiNGRiOTVkOWZiNzg2NTVjYmRlNzUyYWRkYTIzYmUiLCJ1c2VySWQiOiI1NjMwMTc3MDUifQ==</vt:lpwstr>
  </property>
  <property fmtid="{D5CDD505-2E9C-101B-9397-08002B2CF9AE}" pid="3" name="KSOProductBuildVer">
    <vt:lpwstr>2052-12.1.0.26375</vt:lpwstr>
  </property>
  <property fmtid="{D5CDD505-2E9C-101B-9397-08002B2CF9AE}" pid="4" name="ICV">
    <vt:lpwstr>FB48FFBFB23F4F67AF555DEAD31E7C00_13</vt:lpwstr>
  </property>
</Properties>
</file>