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720" w:lineRule="auto"/>
        <w:shd w:val="clear" w:color="auto"/>
        <w:tabs>
          <w:tab w:val="left" w:pos="390" w:leader="none"/>
          <w:tab w:val="center" w:pos="4404" w:leader="none"/>
        </w:tabs>
        <w:rPr>
          <w:rFonts w:hint="eastAsia" w:ascii="宋体" w:hAnsi="宋体"/>
          <w:b/>
          <w:color w:val="auto"/>
          <w:sz w:val="84"/>
          <w:szCs w:val="84"/>
          <w:highlight w:val="none"/>
        </w:rPr>
      </w:pPr>
      <w:r>
        <w:rPr>
          <w:rFonts w:hint="eastAsia" w:ascii="宋体" w:hAnsi="宋体"/>
          <w:b/>
          <w:color w:val="auto"/>
          <w:sz w:val="84"/>
          <w:szCs w:val="84"/>
          <w:highlight w:val="none"/>
        </w:rPr>
      </w:r>
      <w:r>
        <w:rPr>
          <w:highlight w:val="none"/>
        </w:rPr>
      </w:r>
    </w:p>
    <w:p>
      <w:pPr>
        <w:jc w:val="center"/>
        <w:keepLines w:val="0"/>
        <w:keepNext w:val="0"/>
        <w:pageBreakBefore w:val="0"/>
        <w:spacing w:line="720" w:lineRule="auto"/>
        <w:shd w:val="clear" w:color="auto"/>
        <w:tabs>
          <w:tab w:val="left" w:pos="390" w:leader="none"/>
          <w:tab w:val="center" w:pos="4404" w:leader="none"/>
        </w:tabs>
        <w:rPr>
          <w:rFonts w:ascii="宋体" w:hAnsi="宋体"/>
          <w:b/>
          <w:color w:val="auto"/>
          <w:sz w:val="84"/>
          <w:szCs w:val="84"/>
          <w:highlight w:val="none"/>
        </w:rPr>
      </w:pPr>
      <w:r>
        <w:rPr>
          <w:rFonts w:hint="eastAsia" w:ascii="宋体" w:hAnsi="宋体"/>
          <w:b/>
          <w:color w:val="auto"/>
          <w:sz w:val="84"/>
          <w:szCs w:val="84"/>
          <w:highlight w:val="none"/>
        </w:rPr>
        <w:t xml:space="preserve">公开招标文件</w:t>
      </w:r>
      <w:r>
        <w:rPr>
          <w:highlight w:val="none"/>
        </w:rPr>
      </w:r>
    </w:p>
    <w:p>
      <w:pPr>
        <w:jc w:val="center"/>
        <w:keepLines w:val="0"/>
        <w:keepNext w:val="0"/>
        <w:pageBreakBefore w:val="0"/>
        <w:spacing w:line="720" w:lineRule="auto"/>
        <w:shd w:val="clear" w:color="auto"/>
        <w:rPr>
          <w:rFonts w:ascii="宋体" w:hAnsi="宋体"/>
          <w:b/>
          <w:bCs/>
          <w:color w:val="auto"/>
          <w:sz w:val="84"/>
          <w:szCs w:val="84"/>
          <w:highlight w:val="none"/>
        </w:rPr>
      </w:pPr>
      <w:r>
        <w:rPr>
          <w:rFonts w:hint="eastAsia" w:ascii="宋体" w:hAnsi="宋体"/>
          <w:b/>
          <w:bCs/>
          <w:color w:val="auto"/>
          <w:sz w:val="84"/>
          <w:szCs w:val="84"/>
          <w:highlight w:val="none"/>
        </w:rPr>
        <w:t xml:space="preserve">（货物类）</w:t>
      </w:r>
      <w:r>
        <w:rPr>
          <w:highlight w:val="none"/>
        </w:rPr>
      </w:r>
    </w:p>
    <w:p>
      <w:pPr>
        <w:pStyle w:val="707"/>
        <w:ind w:left="0" w:firstLine="0"/>
        <w:keepLines w:val="0"/>
        <w:keepNext w:val="0"/>
        <w:pageBreakBefore w:val="0"/>
        <w:spacing w:after="0" w:line="720" w:lineRule="auto"/>
        <w:shd w:val="clear" w:color="auto"/>
        <w:rPr>
          <w:rFonts w:ascii="宋体" w:hAnsi="宋体" w:cs="宋体"/>
          <w:b/>
          <w:bCs/>
          <w:color w:val="auto"/>
          <w:sz w:val="84"/>
          <w:szCs w:val="84"/>
          <w:highlight w:val="none"/>
        </w:rPr>
      </w:pPr>
      <w:r>
        <w:rPr>
          <w:rFonts w:ascii="宋体" w:hAnsi="宋体" w:cs="宋体"/>
          <w:b/>
          <w:bCs/>
          <w:color w:val="auto"/>
          <w:sz w:val="84"/>
          <w:szCs w:val="84"/>
          <w:highlight w:val="none"/>
        </w:rPr>
      </w:r>
      <w:r>
        <w:rPr>
          <w:highlight w:val="none"/>
        </w:rPr>
      </w:r>
    </w:p>
    <w:p>
      <w:pPr>
        <w:ind w:firstLine="0"/>
        <w:keepLines w:val="0"/>
        <w:keepNext w:val="0"/>
        <w:pageBreakBefore w:val="0"/>
        <w:spacing w:line="720" w:lineRule="auto"/>
        <w:shd w:val="clear" w:color="auto"/>
        <w:widowControl/>
        <w:rPr>
          <w:rFonts w:hint="default" w:ascii="宋体" w:hAnsi="宋体" w:eastAsia="宋体"/>
          <w:b/>
          <w:bCs/>
          <w:color w:val="auto"/>
          <w:sz w:val="32"/>
          <w:szCs w:val="32"/>
          <w:highlight w:val="none"/>
        </w:rPr>
      </w:pPr>
      <w:r>
        <w:rPr>
          <w:highlight w:val="none"/>
        </w:rPr>
      </w:r>
      <w:bookmarkStart w:id="0" w:name="_Toc178587623"/>
      <w:r>
        <w:rPr>
          <w:rFonts w:hint="eastAsia" w:ascii="宋体" w:hAnsi="宋体"/>
          <w:b/>
          <w:bCs/>
          <w:color w:val="auto"/>
          <w:sz w:val="32"/>
          <w:szCs w:val="32"/>
          <w:highlight w:val="none"/>
          <w:lang w:bidi="ar"/>
        </w:rPr>
        <w:t xml:space="preserve">项目编号：</w:t>
      </w:r>
      <w:bookmarkEnd w:id="0"/>
      <w:r>
        <w:rPr>
          <w:rFonts w:hint="eastAsia" w:ascii="宋体" w:hAnsi="宋体"/>
          <w:b/>
          <w:bCs/>
          <w:color w:val="auto"/>
          <w:sz w:val="32"/>
          <w:szCs w:val="32"/>
          <w:highlight w:val="none"/>
          <w:lang w:val="en-US" w:eastAsia="zh-CN" w:bidi="ar"/>
        </w:rPr>
        <w:t xml:space="preserve">JSZC-320106-BYZB-G2026-0005</w:t>
      </w:r>
      <w:r>
        <w:rPr>
          <w:highlight w:val="none"/>
        </w:rPr>
      </w:r>
    </w:p>
    <w:p>
      <w:pPr>
        <w:ind w:firstLine="0"/>
        <w:keepLines w:val="0"/>
        <w:keepNext w:val="0"/>
        <w:pageBreakBefore w:val="0"/>
        <w:spacing w:line="720" w:lineRule="auto"/>
        <w:shd w:val="clear" w:color="auto"/>
        <w:tabs>
          <w:tab w:val="left" w:pos="390" w:leader="none"/>
          <w:tab w:val="center" w:pos="4404" w:leader="none"/>
        </w:tabs>
        <w:rPr>
          <w:rFonts w:ascii="宋体" w:hAnsi="宋体" w:cs="宋体"/>
          <w:b/>
          <w:bCs/>
          <w:color w:val="auto"/>
          <w:sz w:val="84"/>
          <w:szCs w:val="84"/>
          <w:highlight w:val="none"/>
        </w:rPr>
      </w:pPr>
      <w:r>
        <w:rPr>
          <w:highlight w:val="none"/>
        </w:rPr>
      </w:r>
      <w:bookmarkStart w:id="1" w:name="_Toc178587624"/>
      <w:r>
        <w:rPr>
          <w:rFonts w:hint="eastAsia" w:ascii="宋体" w:hAnsi="宋体"/>
          <w:b/>
          <w:bCs/>
          <w:color w:val="auto"/>
          <w:sz w:val="32"/>
          <w:szCs w:val="32"/>
          <w:highlight w:val="none"/>
          <w:lang w:bidi="ar"/>
        </w:rPr>
        <w:t xml:space="preserve">项目名称：</w:t>
      </w:r>
      <w:bookmarkEnd w:id="1"/>
      <w:r>
        <w:rPr>
          <w:rFonts w:hint="eastAsia" w:ascii="宋体" w:hAnsi="宋体"/>
          <w:b/>
          <w:bCs/>
          <w:color w:val="auto"/>
          <w:sz w:val="32"/>
          <w:szCs w:val="32"/>
          <w:highlight w:val="none"/>
          <w:lang w:val="en-US" w:eastAsia="zh-CN" w:bidi="ar"/>
        </w:rPr>
        <w:t xml:space="preserve">幕府山社区卫生服务中心新建高压设备及更换低压设备项目</w:t>
      </w:r>
      <w:r>
        <w:rPr>
          <w:highlight w:val="none"/>
        </w:rPr>
      </w:r>
    </w:p>
    <w:p>
      <w:pPr>
        <w:jc w:val="both"/>
        <w:keepLines w:val="0"/>
        <w:keepNext w:val="0"/>
        <w:pageBreakBefore w:val="0"/>
        <w:spacing w:line="720" w:lineRule="auto"/>
        <w:shd w:val="clear" w:color="auto"/>
        <w:rPr>
          <w:rFonts w:ascii="宋体" w:hAnsi="宋体"/>
          <w:color w:val="auto"/>
          <w:sz w:val="32"/>
          <w:szCs w:val="32"/>
          <w:highlight w:val="none"/>
        </w:rPr>
      </w:pPr>
      <w:r>
        <w:rPr>
          <w:rFonts w:ascii="宋体" w:hAnsi="宋体"/>
          <w:color w:val="auto"/>
          <w:sz w:val="32"/>
          <w:szCs w:val="32"/>
          <w:highlight w:val="none"/>
        </w:rPr>
      </w:r>
      <w:r>
        <w:rPr>
          <w:highlight w:val="none"/>
        </w:rPr>
      </w:r>
    </w:p>
    <w:p>
      <w:pPr>
        <w:jc w:val="center"/>
        <w:keepLines w:val="0"/>
        <w:keepNext w:val="0"/>
        <w:pageBreakBefore w:val="0"/>
        <w:spacing w:line="720" w:lineRule="auto"/>
        <w:shd w:val="clear" w:color="auto"/>
        <w:rPr>
          <w:rFonts w:ascii="宋体" w:hAnsi="宋体"/>
          <w:color w:val="auto"/>
          <w:sz w:val="32"/>
          <w:szCs w:val="32"/>
          <w:highlight w:val="none"/>
        </w:rPr>
      </w:pPr>
      <w:r>
        <w:rPr>
          <w:rFonts w:hint="eastAsia" w:ascii="宋体" w:hAnsi="宋体"/>
          <w:color w:val="auto"/>
          <w:sz w:val="32"/>
          <w:szCs w:val="32"/>
          <w:highlight w:val="none"/>
        </w:rPr>
        <mc:AlternateContent>
          <mc:Choice Requires="wpg">
            <w:drawing>
              <wp:inline xmlns:wp="http://schemas.openxmlformats.org/drawingml/2006/wordprocessingDrawing" distT="0" distB="0" distL="0" distR="0">
                <wp:extent cx="2446020" cy="1196340"/>
                <wp:effectExtent l="0" t="0" r="7620" b="7620"/>
                <wp:docPr id="3" name="图片 1" descr="本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本誉"/>
                        <pic:cNvPicPr>
                          <a:picLocks noChangeAspect="1"/>
                        </pic:cNvPicPr>
                        <pic:nvPr/>
                      </pic:nvPicPr>
                      <pic:blipFill>
                        <a:blip r:embed="rId12"/>
                        <a:stretch/>
                      </pic:blipFill>
                      <pic:spPr bwMode="auto">
                        <a:xfrm>
                          <a:off x="0" y="0"/>
                          <a:ext cx="2446019"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2.6pt;height:94.2pt;mso-wrap-distance-left:0.0pt;mso-wrap-distance-top:0.0pt;mso-wrap-distance-right:0.0pt;mso-wrap-distance-bottom:0.0pt;" stroked="f">
                <v:path textboxrect="0,0,0,0"/>
                <v:imagedata r:id="rId12" o:title=""/>
              </v:shape>
            </w:pict>
          </mc:Fallback>
        </mc:AlternateContent>
      </w:r>
      <w:r>
        <w:rPr>
          <w:highlight w:val="none"/>
        </w:rPr>
      </w:r>
    </w:p>
    <w:p>
      <w:pPr>
        <w:jc w:val="center"/>
        <w:keepLines w:val="0"/>
        <w:keepNext w:val="0"/>
        <w:pageBreakBefore w:val="0"/>
        <w:spacing w:line="720" w:lineRule="auto"/>
        <w:shd w:val="clear" w:color="auto"/>
        <w:rPr>
          <w:rFonts w:ascii="宋体" w:hAnsi="宋体"/>
          <w:color w:val="auto"/>
          <w:sz w:val="32"/>
          <w:szCs w:val="32"/>
          <w:highlight w:val="none"/>
        </w:rPr>
      </w:pPr>
      <w:r>
        <w:rPr>
          <w:rFonts w:ascii="宋体" w:hAnsi="宋体"/>
          <w:color w:val="auto"/>
          <w:sz w:val="32"/>
          <w:szCs w:val="32"/>
          <w:highlight w:val="none"/>
        </w:rPr>
      </w:r>
      <w:r>
        <w:rPr>
          <w:highlight w:val="none"/>
        </w:rPr>
      </w:r>
    </w:p>
    <w:p>
      <w:pPr>
        <w:jc w:val="center"/>
        <w:keepLines w:val="0"/>
        <w:keepNext w:val="0"/>
        <w:pageBreakBefore w:val="0"/>
        <w:spacing w:line="720" w:lineRule="auto"/>
        <w:shd w:val="clear" w:color="auto"/>
        <w:rPr>
          <w:rFonts w:cs="宋体" w:asciiTheme="minorEastAsia" w:hAnsiTheme="minorEastAsia" w:eastAsiaTheme="minorEastAsia"/>
          <w:b/>
          <w:color w:val="auto"/>
          <w:sz w:val="48"/>
          <w:highlight w:val="none"/>
        </w:rPr>
      </w:pPr>
      <w:r>
        <w:rPr>
          <w:rFonts w:hint="eastAsia" w:ascii="宋体" w:hAnsi="宋体" w:eastAsia="宋体" w:cs="宋体"/>
          <w:b/>
          <w:bCs/>
          <w:color w:val="auto"/>
          <w:sz w:val="32"/>
          <w:szCs w:val="32"/>
          <w:highlight w:val="none"/>
        </w:rPr>
        <w:t xml:space="preserve">二〇二</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月</w:t>
      </w:r>
      <w:r>
        <w:rPr>
          <w:highlight w:val="none"/>
        </w:rPr>
      </w:r>
    </w:p>
    <w:p>
      <w:pPr>
        <w:shd w:val="clear" w:color="auto"/>
        <w:rPr>
          <w:rFonts w:asciiTheme="minorEastAsia" w:hAnsiTheme="minorEastAsia" w:eastAsiaTheme="minorEastAsia"/>
          <w:b/>
          <w:color w:val="auto"/>
          <w:sz w:val="48"/>
          <w:highlight w:val="none"/>
        </w:rPr>
      </w:pPr>
      <w:r>
        <w:rPr>
          <w:rFonts w:asciiTheme="minorEastAsia" w:hAnsiTheme="minorEastAsia" w:eastAsiaTheme="minorEastAsia"/>
          <w:b/>
          <w:color w:val="auto"/>
          <w:sz w:val="48"/>
          <w:highlight w:val="none"/>
        </w:rPr>
        <w:br w:type="page" w:clear="all"/>
      </w:r>
      <w:r>
        <w:rPr>
          <w:highlight w:val="none"/>
        </w:rPr>
      </w:r>
    </w:p>
    <w:p>
      <w:pPr>
        <w:jc w:val="center"/>
        <w:keepLines w:val="0"/>
        <w:keepNext w:val="0"/>
        <w:pageBreakBefore w:val="0"/>
        <w:spacing w:before="313" w:after="313" w:line="560" w:lineRule="exact"/>
        <w:shd w:val="clear" w:color="auto"/>
        <w:widowControl w:val="off"/>
        <w:tabs>
          <w:tab w:val="center" w:pos="4153" w:leader="none"/>
          <w:tab w:val="left" w:pos="5910" w:leader="none"/>
        </w:tabs>
        <w:rPr>
          <w:rFonts w:asciiTheme="minorEastAsia" w:hAnsiTheme="minorEastAsia" w:eastAsiaTheme="minorEastAsia"/>
          <w:color w:val="auto"/>
          <w:sz w:val="28"/>
          <w:szCs w:val="28"/>
          <w:highlight w:val="none"/>
        </w:rPr>
      </w:pPr>
      <w:r>
        <w:rPr>
          <w:rFonts w:asciiTheme="minorEastAsia" w:hAnsiTheme="minorEastAsia" w:eastAsiaTheme="minorEastAsia"/>
          <w:b/>
          <w:color w:val="auto"/>
          <w:sz w:val="44"/>
          <w:szCs w:val="44"/>
          <w:highlight w:val="none"/>
        </w:rPr>
        <w:t xml:space="preserve">目</w:t>
      </w:r>
      <w:r>
        <w:rPr>
          <w:rFonts w:hint="eastAsia" w:asciiTheme="minorEastAsia" w:hAnsiTheme="minorEastAsia" w:eastAsiaTheme="minorEastAsia"/>
          <w:b/>
          <w:color w:val="auto"/>
          <w:sz w:val="44"/>
          <w:szCs w:val="44"/>
          <w:highlight w:val="none"/>
        </w:rPr>
        <w:t xml:space="preserve">  </w:t>
      </w:r>
      <w:r>
        <w:rPr>
          <w:rFonts w:asciiTheme="minorEastAsia" w:hAnsiTheme="minorEastAsia" w:eastAsiaTheme="minorEastAsia"/>
          <w:b/>
          <w:color w:val="auto"/>
          <w:sz w:val="44"/>
          <w:szCs w:val="44"/>
          <w:highlight w:val="none"/>
        </w:rPr>
        <w:t xml:space="preserve">录</w:t>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_Toc3602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第一章 </w:t>
      </w:r>
      <w:r>
        <w:rPr>
          <w:rFonts w:hint="eastAsia" w:asciiTheme="minorEastAsia" w:hAnsiTheme="minorEastAsia" w:eastAsiaTheme="minorEastAsia" w:cstheme="minorEastAsia"/>
          <w:color w:val="auto"/>
          <w:sz w:val="28"/>
          <w:szCs w:val="28"/>
          <w:highlight w:val="none"/>
          <w:lang w:val="en-US" w:eastAsia="zh-CN"/>
        </w:rPr>
        <w:t xml:space="preserve">投标邀请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_Toc3602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_Toc25230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_Toc25230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_Toc14076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第三章 评标标准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_Toc14076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_Toc22141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第四章 招标项目的</w:t>
      </w:r>
      <w:r>
        <w:rPr>
          <w:rFonts w:hint="eastAsia" w:asciiTheme="minorEastAsia" w:hAnsiTheme="minorEastAsia" w:eastAsiaTheme="minorEastAsia" w:cstheme="minorEastAsia"/>
          <w:color w:val="auto"/>
          <w:sz w:val="28"/>
          <w:szCs w:val="28"/>
          <w:highlight w:val="none"/>
          <w:lang w:val="en-US" w:eastAsia="zh-CN"/>
        </w:rPr>
        <w:t xml:space="preserve">货物</w:t>
      </w:r>
      <w:r>
        <w:rPr>
          <w:rFonts w:hint="eastAsia" w:asciiTheme="minorEastAsia" w:hAnsiTheme="minorEastAsia" w:eastAsiaTheme="minorEastAsia" w:cstheme="minorEastAsia"/>
          <w:color w:val="auto"/>
          <w:sz w:val="28"/>
          <w:szCs w:val="28"/>
          <w:highlight w:val="none"/>
        </w:rPr>
        <w:t xml:space="preserve">要求和数量等</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_Toc22141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_Toc10828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第五章 合同主要条款及格式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_Toc10828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2"/>
        <w:keepLines w:val="0"/>
        <w:keepNext w:val="0"/>
        <w:pageBreakBefore w:val="0"/>
        <w:spacing w:line="560" w:lineRule="exact"/>
        <w:shd w:val="clear" w:color="auto"/>
        <w:widowControl w:val="off"/>
        <w:tabs>
          <w:tab w:val="right" w:pos="830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_Toc15836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第六章 投标文件格式及附件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_Toc15836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50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highlight w:val="none"/>
        </w:rPr>
      </w:r>
    </w:p>
    <w:p>
      <w:pPr>
        <w:pStyle w:val="707"/>
        <w:ind w:firstLine="280"/>
        <w:keepLines w:val="0"/>
        <w:keepNext w:val="0"/>
        <w:pageBreakBefore w:val="0"/>
        <w:spacing w:after="0" w:line="560" w:lineRule="exact"/>
        <w:shd w:val="clear" w:color="auto"/>
        <w:widowControl w:val="off"/>
        <w:rPr>
          <w:rFonts w:hint="eastAsia" w:ascii="宋体" w:hAnsi="宋体" w:eastAsia="宋体" w:cs="宋体"/>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r>
        <w:rPr>
          <w:highlight w:val="none"/>
        </w:rPr>
      </w:r>
    </w:p>
    <w:p>
      <w:pPr>
        <w:shd w:val="clear" w:color="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br w:type="page" w:clear="all"/>
      </w:r>
      <w:r>
        <w:rPr>
          <w:highlight w:val="none"/>
        </w:rPr>
      </w:r>
    </w:p>
    <w:p>
      <w:pPr>
        <w:pStyle w:val="689"/>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rPr>
      </w:pPr>
      <w:r>
        <w:rPr>
          <w:highlight w:val="none"/>
        </w:rPr>
      </w:r>
      <w:bookmarkStart w:id="2" w:name="_Toc19965"/>
      <w:r>
        <w:rPr>
          <w:highlight w:val="none"/>
        </w:rPr>
      </w:r>
      <w:bookmarkStart w:id="3" w:name="_Toc11541"/>
      <w:r>
        <w:rPr>
          <w:highlight w:val="none"/>
        </w:rPr>
      </w:r>
      <w:bookmarkStart w:id="4" w:name="_Toc3602"/>
      <w:r>
        <w:rPr>
          <w:highlight w:val="none"/>
        </w:rPr>
      </w:r>
      <w:bookmarkStart w:id="5" w:name="_Toc29062"/>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val="en-US" w:eastAsia="zh-CN"/>
        </w:rPr>
        <w:t xml:space="preserve">投标邀请</w:t>
      </w:r>
      <w:bookmarkEnd w:id="2"/>
      <w:r>
        <w:rPr>
          <w:highlight w:val="none"/>
        </w:rPr>
      </w:r>
      <w:bookmarkEnd w:id="3"/>
      <w:r>
        <w:rPr>
          <w:highlight w:val="none"/>
        </w:rPr>
      </w:r>
      <w:bookmarkEnd w:id="4"/>
      <w:r>
        <w:rPr>
          <w:highlight w:val="none"/>
        </w:rPr>
      </w:r>
      <w:bookmarkEnd w:id="5"/>
      <w:r>
        <w:rPr>
          <w:highlight w:val="none"/>
        </w:rPr>
      </w:r>
      <w:r>
        <w:rPr>
          <w:highlight w:val="none"/>
        </w:rPr>
      </w:r>
    </w:p>
    <w:p>
      <w:pPr>
        <w:ind w:left="0" w:right="0" w:firstLine="48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b/>
          <w:color w:val="auto"/>
          <w:sz w:val="24"/>
          <w:szCs w:val="24"/>
          <w:highlight w:val="none"/>
          <w:u w:val="single"/>
          <w:lang w:eastAsia="zh-CN"/>
        </w:rPr>
        <w:t xml:space="preserve">南京市鼓楼区幕府山社区卫生服务中心</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单位名称，以下简称“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人”）委托，</w:t>
      </w:r>
      <w:r>
        <w:rPr>
          <w:rFonts w:hint="eastAsia" w:ascii="宋体" w:hAnsi="宋体" w:eastAsia="宋体" w:cs="宋体"/>
          <w:b/>
          <w:bCs/>
          <w:color w:val="auto"/>
          <w:sz w:val="24"/>
          <w:szCs w:val="24"/>
          <w:highlight w:val="none"/>
          <w:u w:val="single"/>
          <w:lang w:eastAsia="zh-CN"/>
        </w:rPr>
        <w:t xml:space="preserve">江苏本誉项目管理有限公司</w:t>
      </w:r>
      <w:r>
        <w:rPr>
          <w:rFonts w:hint="eastAsia" w:ascii="宋体" w:hAnsi="宋体" w:eastAsia="宋体" w:cs="宋体"/>
          <w:color w:val="auto"/>
          <w:sz w:val="24"/>
          <w:szCs w:val="24"/>
          <w:highlight w:val="none"/>
        </w:rPr>
        <w:t xml:space="preserve">（以下简称“代理机构”）就</w:t>
      </w:r>
      <w:r>
        <w:rPr>
          <w:rFonts w:hint="eastAsia" w:ascii="宋体" w:hAnsi="宋体" w:eastAsia="宋体" w:cs="宋体"/>
          <w:b/>
          <w:color w:val="auto"/>
          <w:sz w:val="24"/>
          <w:szCs w:val="24"/>
          <w:highlight w:val="none"/>
          <w:u w:val="single"/>
          <w:lang w:val="zh-CN"/>
        </w:rPr>
        <w:t xml:space="preserve">幕府山社区卫生服务中心新建高压设备及更换低压设备项目</w:t>
      </w:r>
      <w:r>
        <w:rPr>
          <w:rFonts w:hint="eastAsia" w:ascii="宋体" w:hAnsi="宋体" w:eastAsia="宋体" w:cs="宋体"/>
          <w:color w:val="auto"/>
          <w:sz w:val="24"/>
          <w:szCs w:val="24"/>
          <w:highlight w:val="none"/>
          <w:lang w:val="zh-CN"/>
        </w:rPr>
        <w:t xml:space="preserve">（项目名称）进行国内公开招标，兹邀请符合资格条件的投标人投标。</w:t>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一、项目基本情况</w:t>
      </w:r>
      <w:r>
        <w:rPr>
          <w:highlight w:val="none"/>
        </w:rPr>
      </w:r>
    </w:p>
    <w:p>
      <w:pPr>
        <w:ind w:left="0" w:right="0" w:firstLine="480"/>
        <w:pageBreakBefore w:val="0"/>
        <w:spacing w:line="560" w:lineRule="exact"/>
        <w:shd w:val="clear" w:color="auto"/>
        <w:tabs>
          <w:tab w:val="left" w:pos="700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JSZC-320106-BYZB-G2026-0005</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幕府山社区卫生服务中心新建高压设备及更换低压设备项目</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w:t>
      </w:r>
      <w:r>
        <w:rPr>
          <w:rFonts w:hint="eastAsia" w:ascii="宋体" w:hAnsi="宋体" w:eastAsia="宋体" w:cs="宋体"/>
          <w:color w:val="auto"/>
          <w:sz w:val="24"/>
          <w:szCs w:val="24"/>
          <w:highlight w:val="none"/>
        </w:rPr>
        <w:t xml:space="preserve">（详细内容见本招标文件第四章）</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lang w:val="en-US" w:eastAsia="zh-CN"/>
        </w:rPr>
        <w:t xml:space="preserve">万元</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5.最高限价：本项目最高限价</w:t>
      </w:r>
      <w:r>
        <w:rPr>
          <w:rFonts w:hint="eastAsia" w:ascii="宋体" w:hAnsi="宋体" w:cs="宋体"/>
          <w:color w:val="auto"/>
          <w:sz w:val="24"/>
          <w:szCs w:val="24"/>
          <w:highlight w:val="none"/>
          <w:lang w:val="en-US" w:eastAsia="zh-CN"/>
        </w:rPr>
        <w:t xml:space="preserve">167.8469万元，超过最高限价作无效响应处理</w:t>
      </w:r>
      <w:r>
        <w:rPr>
          <w:rFonts w:hint="eastAsia" w:ascii="宋体" w:hAnsi="宋体" w:eastAsia="宋体" w:cs="宋体"/>
          <w:color w:val="auto"/>
          <w:sz w:val="24"/>
          <w:szCs w:val="24"/>
          <w:highlight w:val="none"/>
          <w:lang w:val="en-US" w:eastAsia="zh-CN"/>
        </w:rPr>
        <w:t xml:space="preserve">。</w:t>
      </w:r>
      <w:r>
        <w:rPr>
          <w:highlight w:val="none"/>
        </w:rPr>
      </w:r>
    </w:p>
    <w:p>
      <w:pPr>
        <w:ind w:left="0" w:right="0" w:firstLine="480"/>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cs="宋体"/>
          <w:color w:val="auto"/>
          <w:sz w:val="24"/>
          <w:szCs w:val="24"/>
          <w:highlight w:val="none"/>
          <w:lang w:val="en-US" w:eastAsia="zh-CN"/>
        </w:rPr>
        <w:t xml:space="preserve">自合同签订之日起60个自然日完成设备安装调试及相关部门验收并交付使用。</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二、投标人的资格要求</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rPr>
          <w:rFonts w:hint="eastAsia" w:ascii="宋体" w:hAnsi="宋体" w:eastAsia="宋体" w:cs="宋体"/>
          <w:color w:val="auto"/>
          <w:sz w:val="24"/>
          <w:szCs w:val="24"/>
          <w:highlight w:val="none"/>
          <w:lang w:val="zh-CN"/>
        </w:rPr>
        <w:t xml:space="preserve">，并提供下列材料：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lang w:val="zh-CN"/>
        </w:rPr>
        <w:t xml:space="preserve">信用承诺函（</w:t>
      </w:r>
      <w:r>
        <w:rPr>
          <w:rFonts w:hint="eastAsia" w:ascii="宋体" w:hAnsi="宋体" w:eastAsia="宋体" w:cs="宋体"/>
          <w:color w:val="auto"/>
          <w:sz w:val="24"/>
          <w:szCs w:val="24"/>
          <w:highlight w:val="none"/>
          <w:lang w:val="en-US" w:eastAsia="zh-CN"/>
        </w:rPr>
        <w:t xml:space="preserve">格式见第六章</w:t>
      </w:r>
      <w:r>
        <w:rPr>
          <w:rFonts w:hint="eastAsia" w:ascii="宋体" w:hAnsi="宋体" w:eastAsia="宋体" w:cs="宋体"/>
          <w:color w:val="auto"/>
          <w:sz w:val="24"/>
          <w:szCs w:val="24"/>
          <w:highlight w:val="none"/>
          <w:lang w:val="zh-CN"/>
        </w:rPr>
        <w:t xml:space="preserve">）。</w:t>
      </w:r>
      <w:r>
        <w:rPr>
          <w:highlight w:val="none"/>
        </w:rPr>
      </w:r>
    </w:p>
    <w:p>
      <w:pPr>
        <w:ind w:left="0" w:right="0" w:firstLine="480"/>
        <w:jc w:val="left"/>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《南京市政府采购供应商信用记录表暨信用承诺书》</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落实政府采购政策需满足的资格要求：本项目为非预留份额的采购项目或采购包，执行价格扣除优惠政策，具体详见</w:t>
      </w:r>
      <w:r>
        <w:rPr>
          <w:rFonts w:hint="eastAsia" w:ascii="宋体" w:hAnsi="宋体" w:cs="宋体"/>
          <w:color w:val="auto"/>
          <w:sz w:val="24"/>
          <w:szCs w:val="24"/>
          <w:highlight w:val="none"/>
          <w:lang w:val="en-US" w:eastAsia="zh-CN"/>
        </w:rPr>
        <w:t xml:space="preserve">招标文件第二章</w:t>
      </w:r>
      <w:r>
        <w:rPr>
          <w:rFonts w:hint="eastAsia" w:ascii="宋体" w:hAnsi="宋体" w:eastAsia="宋体" w:cs="宋体"/>
          <w:color w:val="auto"/>
          <w:sz w:val="24"/>
          <w:szCs w:val="24"/>
          <w:highlight w:val="none"/>
        </w:rPr>
        <w:t xml:space="preserve">。</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val="en-US" w:eastAsia="zh-CN"/>
        </w:rPr>
        <w:t xml:space="preserve">须具有</w:t>
      </w:r>
      <w:r>
        <w:rPr>
          <w:rFonts w:hint="eastAsia" w:ascii="宋体" w:hAnsi="宋体" w:eastAsia="宋体" w:cs="宋体"/>
          <w:color w:val="auto"/>
          <w:sz w:val="24"/>
          <w:szCs w:val="24"/>
          <w:highlight w:val="none"/>
        </w:rPr>
        <w:t xml:space="preserve">建筑机电安装工程专业承包二级及以上资质（提供资质证书复印件加盖公章）；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（2）企业具备安全生产条件，并取得安全生产许可证（提供证书复印件加盖公章）；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（3）企业具备《承装（修、试）电力设施许可证》，承装三级及以上、承修三级及以上、承试三级及以上资质（提供证书复印件加盖公章）；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（4）项目经理资质类别和等级：注册建造师证机电工程二级(含)以上资质且具有安全生产考核合格证书（B类）（提供证书复印件</w:t>
      </w:r>
      <w:r>
        <w:rPr>
          <w:rFonts w:hint="eastAsia" w:ascii="宋体" w:hAnsi="宋体" w:cs="宋体"/>
          <w:color w:val="auto"/>
          <w:sz w:val="24"/>
          <w:szCs w:val="24"/>
          <w:highlight w:val="none"/>
          <w:lang w:val="en-US" w:eastAsia="zh-CN"/>
        </w:rPr>
        <w:t xml:space="preserve">及供应商为其缴纳社保证明材料</w:t>
      </w:r>
      <w:r>
        <w:rPr>
          <w:rFonts w:hint="eastAsia" w:ascii="宋体" w:hAnsi="宋体" w:eastAsia="宋体" w:cs="宋体"/>
          <w:color w:val="auto"/>
          <w:sz w:val="24"/>
          <w:szCs w:val="24"/>
          <w:highlight w:val="none"/>
        </w:rPr>
        <w:t xml:space="preserve">加盖公章）</w:t>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三、获取招标文件</w:t>
      </w:r>
      <w:r>
        <w:rPr>
          <w:highlight w:val="none"/>
        </w:rP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时间：自</w:t>
      </w:r>
      <w:r>
        <w:rPr>
          <w:rFonts w:hint="eastAsia" w:ascii="宋体" w:hAnsi="宋体" w:eastAsia="宋体" w:cs="宋体"/>
          <w:color w:val="auto"/>
          <w:sz w:val="24"/>
          <w:szCs w:val="24"/>
          <w:highlight w:val="none"/>
          <w:lang w:val="en-US" w:eastAsia="zh-CN" w:bidi="ar"/>
        </w:rPr>
        <w:t xml:space="preserve">招标</w:t>
      </w:r>
      <w:r>
        <w:rPr>
          <w:rFonts w:hint="eastAsia" w:ascii="宋体" w:hAnsi="宋体" w:eastAsia="宋体" w:cs="宋体"/>
          <w:color w:val="auto"/>
          <w:sz w:val="24"/>
          <w:szCs w:val="24"/>
          <w:highlight w:val="none"/>
          <w:lang w:bidi="ar"/>
        </w:rPr>
        <w:t xml:space="preserve">公告发布之日起至20</w:t>
      </w: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年</w:t>
      </w:r>
      <w:r>
        <w:rPr>
          <w:rFonts w:hint="eastAsia" w:ascii="宋体" w:hAnsi="宋体" w:cs="宋体"/>
          <w:color w:val="auto"/>
          <w:sz w:val="24"/>
          <w:szCs w:val="24"/>
          <w:highlight w:val="none"/>
          <w:lang w:val="en-US" w:eastAsia="zh-CN" w:bidi="ar"/>
        </w:rPr>
        <w:t xml:space="preserve">06</w:t>
      </w:r>
      <w:r>
        <w:rPr>
          <w:rFonts w:hint="eastAsia" w:ascii="宋体" w:hAnsi="宋体" w:eastAsia="宋体" w:cs="宋体"/>
          <w:color w:val="auto"/>
          <w:sz w:val="24"/>
          <w:szCs w:val="24"/>
          <w:highlight w:val="none"/>
          <w:lang w:bidi="ar"/>
        </w:rPr>
        <w:t xml:space="preserve">月</w:t>
      </w:r>
      <w:r>
        <w:rPr>
          <w:rFonts w:hint="eastAsia" w:ascii="宋体" w:hAnsi="宋体" w:cs="宋体"/>
          <w:color w:val="auto"/>
          <w:sz w:val="24"/>
          <w:szCs w:val="24"/>
          <w:highlight w:val="none"/>
          <w:lang w:val="en-US" w:eastAsia="zh-CN" w:bidi="ar"/>
        </w:rPr>
        <w:t xml:space="preserve">02</w:t>
      </w:r>
      <w:r>
        <w:rPr>
          <w:rFonts w:hint="eastAsia" w:ascii="宋体" w:hAnsi="宋体" w:eastAsia="宋体" w:cs="宋体"/>
          <w:color w:val="auto"/>
          <w:sz w:val="24"/>
          <w:szCs w:val="24"/>
          <w:highlight w:val="none"/>
          <w:lang w:bidi="ar"/>
        </w:rPr>
        <w:t xml:space="preserve">日</w:t>
      </w:r>
      <w:r>
        <w:rPr>
          <w:rFonts w:hint="eastAsia" w:ascii="宋体" w:hAnsi="宋体" w:cs="宋体"/>
          <w:color w:val="auto"/>
          <w:sz w:val="24"/>
          <w:szCs w:val="24"/>
          <w:highlight w:val="none"/>
          <w:lang w:val="en-US" w:eastAsia="zh-CN" w:bidi="ar"/>
        </w:rPr>
        <w:t xml:space="preserve">23</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59</w:t>
      </w:r>
      <w:r>
        <w:rPr>
          <w:rFonts w:hint="eastAsia" w:ascii="宋体" w:hAnsi="宋体" w:eastAsia="宋体" w:cs="宋体"/>
          <w:color w:val="auto"/>
          <w:sz w:val="24"/>
          <w:szCs w:val="24"/>
          <w:highlight w:val="none"/>
          <w:lang w:bidi="ar"/>
        </w:rPr>
        <w:t xml:space="preserve">止（北京时间，法定节假日除外）</w:t>
      </w:r>
      <w:r>
        <w:rPr>
          <w:highlight w:val="none"/>
        </w:rP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rPr>
      </w:pPr>
      <w:r>
        <w:rPr>
          <w:highlight w:val="none"/>
        </w:rPr>
      </w:r>
      <w:bookmarkStart w:id="6" w:name="_Hlk168491149"/>
      <w:r>
        <w:rPr>
          <w:highlight w:val="none"/>
        </w:rPr>
      </w:r>
      <w:bookmarkStart w:id="7" w:name="_Hlk75168366"/>
      <w:r>
        <w:rPr>
          <w:highlight w:val="none"/>
        </w:rPr>
      </w:r>
      <w:bookmarkStart w:id="8" w:name="_Hlk168491228"/>
      <w:r>
        <w:rPr>
          <w:highlight w:val="none"/>
        </w:rPr>
      </w:r>
      <w:bookmarkStart w:id="9" w:name="_Hlk77845475"/>
      <w:r>
        <w:rPr>
          <w:rFonts w:hint="eastAsia" w:ascii="宋体" w:hAnsi="宋体" w:eastAsia="宋体" w:cs="宋体"/>
          <w:color w:val="auto"/>
          <w:sz w:val="24"/>
          <w:szCs w:val="24"/>
          <w:highlight w:val="none"/>
          <w:lang w:bidi="ar"/>
        </w:rPr>
        <w:t xml:space="preserve">方式：供应商登陆江苏政府采购网，在网站首页点击“苏采云”系统自行免费下载</w:t>
      </w:r>
      <w:bookmarkEnd w:id="6"/>
      <w:r>
        <w:rPr>
          <w:highlight w:val="none"/>
        </w:rPr>
      </w:r>
      <w:bookmarkEnd w:id="7"/>
      <w:r>
        <w:rPr>
          <w:highlight w:val="none"/>
        </w:rPr>
      </w:r>
      <w:bookmarkEnd w:id="8"/>
      <w:r>
        <w:rPr>
          <w:highlight w:val="none"/>
        </w:rPr>
      </w:r>
      <w:r>
        <w:rPr>
          <w:highlight w:val="none"/>
        </w:rPr>
      </w:r>
    </w:p>
    <w:p>
      <w:pPr>
        <w:ind w:left="0" w:right="0" w:firstLine="480"/>
        <w:pageBreakBefore w:val="0"/>
        <w:spacing w:line="560" w:lineRule="exact"/>
        <w:shd w:val="clear" w:color="auto"/>
        <w:widowControl/>
        <w:rPr>
          <w:rFonts w:hint="eastAsia" w:ascii="宋体" w:hAnsi="宋体" w:eastAsia="宋体" w:cs="宋体"/>
          <w:color w:val="auto"/>
          <w:sz w:val="24"/>
          <w:szCs w:val="24"/>
          <w:highlight w:val="none"/>
        </w:rPr>
      </w:pPr>
      <w:r>
        <w:rPr>
          <w:highlight w:val="none"/>
        </w:rPr>
      </w:r>
      <w:bookmarkStart w:id="10" w:name="_Hlk128043211"/>
      <w:r>
        <w:rPr>
          <w:highlight w:val="none"/>
        </w:rPr>
      </w:r>
      <w:bookmarkStart w:id="11" w:name="_Hlk95487722"/>
      <w:r>
        <w:rPr>
          <w:rFonts w:hint="eastAsia" w:ascii="宋体" w:hAnsi="宋体" w:eastAsia="宋体" w:cs="宋体"/>
          <w:color w:val="auto"/>
          <w:sz w:val="24"/>
          <w:szCs w:val="24"/>
          <w:highlight w:val="none"/>
          <w:lang w:bidi="ar"/>
        </w:rPr>
        <w:t xml:space="preserve">售价：0元</w:t>
      </w:r>
      <w:bookmarkEnd w:id="9"/>
      <w:r>
        <w:rPr>
          <w:highlight w:val="none"/>
        </w:rPr>
      </w:r>
      <w:bookmarkEnd w:id="10"/>
      <w:r>
        <w:rPr>
          <w:highlight w:val="none"/>
        </w:rPr>
      </w:r>
      <w:bookmarkEnd w:id="11"/>
      <w:r>
        <w:rPr>
          <w:highlight w:val="none"/>
        </w:rPr>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投标</w:t>
      </w:r>
      <w:r>
        <w:rPr>
          <w:rFonts w:hint="eastAsia" w:ascii="宋体" w:hAnsi="宋体" w:eastAsia="宋体" w:cs="宋体"/>
          <w:b/>
          <w:color w:val="auto"/>
          <w:sz w:val="28"/>
          <w:szCs w:val="28"/>
          <w:highlight w:val="none"/>
          <w:lang w:val="zh-CN"/>
        </w:rPr>
        <w:t xml:space="preserve">文件递交</w:t>
      </w:r>
      <w:r>
        <w:rPr>
          <w:rFonts w:hint="eastAsia" w:ascii="宋体" w:hAnsi="宋体" w:eastAsia="宋体" w:cs="宋体"/>
          <w:b/>
          <w:color w:val="auto"/>
          <w:sz w:val="28"/>
          <w:szCs w:val="28"/>
          <w:highlight w:val="none"/>
          <w:lang w:val="en-US" w:eastAsia="zh-CN"/>
        </w:rPr>
        <w:t xml:space="preserve">和开启</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文件递交</w:t>
      </w:r>
      <w:r>
        <w:rPr>
          <w:highlight w:val="none"/>
        </w:rP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）时间：20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日14点00分-14点30分（北京时间）</w:t>
      </w:r>
      <w:r>
        <w:rPr>
          <w:highlight w:val="none"/>
        </w:rP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lang w:val="zh-CN"/>
        </w:rPr>
        <w:t xml:space="preserve">江苏政府采购网</w:t>
      </w:r>
      <w:bookmarkStart w:id="12" w:name="OLE_LINK21"/>
      <w:r>
        <w:rPr>
          <w:rFonts w:hint="eastAsia" w:ascii="宋体" w:hAnsi="宋体" w:eastAsia="宋体" w:cs="宋体"/>
          <w:color w:val="auto"/>
          <w:sz w:val="24"/>
          <w:szCs w:val="24"/>
          <w:highlight w:val="none"/>
          <w:lang w:val="zh-CN"/>
        </w:rPr>
        <w:t xml:space="preserve">“苏采云”系统</w:t>
      </w:r>
      <w:bookmarkEnd w:id="12"/>
      <w:r>
        <w:rPr>
          <w:highlight w:val="none"/>
        </w:rPr>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文件开启</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val="zh-CN"/>
        </w:rPr>
        <w:t xml:space="preserve">：20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日14点30分（北京时间）</w:t>
      </w:r>
      <w:r>
        <w:rPr>
          <w:highlight w:val="none"/>
        </w:rP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（2）地点：“苏采云”系统开标大厅</w:t>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五、公告期限</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自本公告在媒体发布之日起五个工作日。</w:t>
      </w:r>
      <w:r>
        <w:rPr>
          <w:highlight w:val="none"/>
        </w:rPr>
      </w:r>
    </w:p>
    <w:p>
      <w:pPr>
        <w:ind w:left="0" w:right="0" w:firstLine="562"/>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六、其他补充事宜</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none"/>
          <w:lang w:val="en-US" w:eastAsia="zh-CN"/>
        </w:rPr>
        <w:t xml:space="preserve">工业</w:t>
      </w:r>
      <w:r>
        <w:rPr>
          <w:rFonts w:hint="eastAsia" w:ascii="宋体" w:hAnsi="宋体" w:eastAsia="宋体" w:cs="宋体"/>
          <w:color w:val="auto"/>
          <w:sz w:val="24"/>
          <w:szCs w:val="24"/>
          <w:highlight w:val="none"/>
        </w:rPr>
        <w:t xml:space="preserve">。</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是否接受进口产品：不接受。</w:t>
      </w:r>
      <w:r>
        <w:rPr>
          <w:highlight w:val="none"/>
        </w:rPr>
      </w:r>
    </w:p>
    <w:p>
      <w:pPr>
        <w:pStyle w:val="696"/>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.本项目在南京公共采购信息网、江苏政府采购网、中国政府采购网发布公告（其他媒体转载无效）。</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val="zh-CN"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拒绝下述投标人参加本次采购活动</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（1）投标人单位负责人为同一人或者存在直接控股、管理关系的不同投标人，不得参加同一合同项下的政府采购活动；</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（2）为采购项目提供整体设计、规范编制或者项目管理、监理、检测等服务的投标人，不得参加本项目的采购活动；</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（3）投标人被“信用中国”网站（www.creditchina.gov.cn）、“中国政府采购网”（www.ccgp.gov.cn）列入失信被执行人、重大税收违法案件当事人名单、政府采购严重违法失信行为记录名单。</w:t>
      </w:r>
      <w:r>
        <w:rPr>
          <w:highlight w:val="none"/>
        </w:rPr>
      </w:r>
    </w:p>
    <w:p>
      <w:pPr>
        <w:pStyle w:val="696"/>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（4）供应商未提供《南京市政府采购供应商信用记录表暨信用承诺书》。</w:t>
      </w:r>
      <w:r>
        <w:rPr>
          <w:highlight w:val="none"/>
        </w:rP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b/>
          <w:bCs/>
          <w:color w:val="auto"/>
          <w:sz w:val="24"/>
          <w:szCs w:val="24"/>
          <w:highlight w:val="none"/>
          <w:lang w:val="zh-CN"/>
        </w:rPr>
        <w:fldChar w:fldCharType="begin"/>
      </w:r>
      <w:r>
        <w:rPr>
          <w:rFonts w:hint="eastAsia" w:ascii="宋体" w:hAnsi="宋体" w:eastAsia="宋体" w:cs="宋体"/>
          <w:b/>
          <w:bCs/>
          <w:color w:val="auto"/>
          <w:sz w:val="24"/>
          <w:szCs w:val="24"/>
          <w:highlight w:val="none"/>
          <w:lang w:val="zh-CN"/>
        </w:rPr>
        <w:instrText xml:space="preserve">HYPERLINK "http://www.ccgp-jiangsu.gov.cn/jiangsu/zlxz/ee/ee3a4bc5a3454aa2b0d9312230633ce9.html"</w:instrText>
      </w:r>
      <w:r>
        <w:rPr>
          <w:rFonts w:hint="eastAsia" w:ascii="宋体" w:hAnsi="宋体" w:eastAsia="宋体" w:cs="宋体"/>
          <w:b/>
          <w:bCs/>
          <w:color w:val="auto"/>
          <w:sz w:val="24"/>
          <w:szCs w:val="24"/>
          <w:highlight w:val="none"/>
          <w:lang w:val="zh-CN"/>
        </w:rPr>
        <w:fldChar w:fldCharType="separate"/>
      </w:r>
      <w:r>
        <w:rPr>
          <w:rFonts w:hint="eastAsia" w:ascii="宋体" w:hAnsi="宋体" w:eastAsia="宋体" w:cs="宋体"/>
          <w:b/>
          <w:bCs/>
          <w:color w:val="auto"/>
          <w:sz w:val="24"/>
          <w:szCs w:val="24"/>
          <w:highlight w:val="none"/>
          <w:lang w:val="zh-CN"/>
        </w:rPr>
        <w:t xml:space="preserve">下载地址</w:t>
      </w:r>
      <w:r>
        <w:rPr>
          <w:rFonts w:hint="eastAsia" w:ascii="宋体" w:hAnsi="宋体" w:eastAsia="宋体" w:cs="宋体"/>
          <w:b/>
          <w:bCs/>
          <w:color w:val="auto"/>
          <w:sz w:val="24"/>
          <w:szCs w:val="24"/>
          <w:highlight w:val="none"/>
          <w:lang w:val="zh-CN"/>
        </w:rPr>
        <w:fldChar w:fldCharType="end"/>
      </w:r>
      <w:r>
        <w:rPr>
          <w:rFonts w:hint="eastAsia" w:ascii="宋体" w:hAnsi="宋体" w:eastAsia="宋体" w:cs="宋体"/>
          <w:b/>
          <w:bCs/>
          <w:color w:val="auto"/>
          <w:sz w:val="24"/>
          <w:szCs w:val="24"/>
          <w:highlight w:val="none"/>
          <w:lang w:val="zh-CN"/>
        </w:rPr>
        <w:t xml:space="preserve">（http://www.ccgp-jiangsu.gov.cn/jiangsu/zlxz/ee/ee3a4bc5a3454aa2b0d9312230633ce9.html）。“苏采云”南京地区客服热线025-83633744、025-83633743。</w:t>
      </w:r>
      <w:r>
        <w:rPr>
          <w:highlight w:val="none"/>
        </w:rP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.政府采购信用承诺</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在政府采购资格审查环节，供应商只需提供《南京市政府采购供应商信用记录表暨信用承诺书》，即可替代以下证明材料：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（1）符合国家相关规定的财务状况报告；</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（2）依法缴纳税收的证明材料；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（3）依法缴纳社会保障资金的证明材料；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（4）具备履行政府采购合同所必需的设备和专业技术能力的证明材料；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（5）参加政府采购活动前三年内在经营活动中没有重大违法记录的证明材料；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（6）未被列入失信被执行人、重大税收违法失信主体、政府采购严重违法失信行为记录名单的证明材料。</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供应商在中标后，应按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文件要求，将上述由信用承诺书替代的证明材料（一式两份）加盖公章，提交采购人或采购代理机构核验。经核验无误后，由采购人或采购代理机构发出中标通知书。</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供应商涉及以下情形的，不适用信用承诺:</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（1）供应商被列入严重失信主体名单；</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（2）被相关监管部门作出行政处罚且尚在处罚有效期内；</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（3）其他法律、行政法规规定的不适用信用承诺的情形；</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供应商对信用承诺内容的真实性、合法性、有效性负责。如作出虚假信用承诺，视同为“提供虚假材料谋取中标”的违法行为。</w:t>
      </w:r>
      <w:r>
        <w:rPr>
          <w:highlight w:val="none"/>
        </w:rPr>
      </w:r>
    </w:p>
    <w:p>
      <w:pPr>
        <w:ind w:left="0" w:right="0" w:firstLine="562"/>
        <w:jc w:val="left"/>
        <w:pageBreakBefore w:val="0"/>
        <w:spacing w:line="560" w:lineRule="exact"/>
        <w:shd w:val="clear" w:color="auto"/>
        <w:tabs>
          <w:tab w:val="left" w:pos="7005"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rPr>
        <w:t xml:space="preserve">对本次</w:t>
      </w:r>
      <w:r>
        <w:rPr>
          <w:rFonts w:hint="eastAsia" w:ascii="宋体" w:hAnsi="宋体" w:eastAsia="宋体" w:cs="宋体"/>
          <w:b/>
          <w:color w:val="auto"/>
          <w:sz w:val="28"/>
          <w:szCs w:val="28"/>
          <w:highlight w:val="none"/>
          <w:lang w:val="en-US" w:eastAsia="zh-CN"/>
        </w:rPr>
        <w:t xml:space="preserve">招标</w:t>
      </w:r>
      <w:r>
        <w:rPr>
          <w:rFonts w:hint="eastAsia" w:ascii="宋体" w:hAnsi="宋体" w:eastAsia="宋体" w:cs="宋体"/>
          <w:b/>
          <w:color w:val="auto"/>
          <w:sz w:val="28"/>
          <w:szCs w:val="28"/>
          <w:highlight w:val="none"/>
          <w:lang w:val="zh-CN"/>
        </w:rPr>
        <w:t xml:space="preserve">提出询问，请按以下方式联系</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单位联系方式</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单位名称：南京市鼓楼区幕府山社区卫生服务中心</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单位地址：南京市鼓楼区幕府东路57号</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联系人：高先生</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联系电话：025-83367098</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（2）代理机构联系方式</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val="zh-CN"/>
        </w:rPr>
        <w:t xml:space="preserve">：江苏本誉项目管理有限公司 </w:t>
      </w:r>
      <w:r>
        <w:rPr>
          <w:highlight w:val="none"/>
        </w:rPr>
      </w:r>
    </w:p>
    <w:p>
      <w:pPr>
        <w:ind w:left="0" w:right="0" w:firstLine="480"/>
        <w:jc w:val="left"/>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zh-CN"/>
        </w:rPr>
        <w:t xml:space="preserve">地址：</w:t>
      </w:r>
      <w:r>
        <w:rPr>
          <w:rFonts w:hint="eastAsia" w:ascii="宋体" w:hAnsi="宋体" w:cs="宋体"/>
          <w:color w:val="auto"/>
          <w:sz w:val="24"/>
          <w:szCs w:val="24"/>
          <w:highlight w:val="none"/>
          <w:lang w:val="zh-CN"/>
        </w:rPr>
        <w:t xml:space="preserve">南京市玄武区黄埔路2号黄埔科技大厦A座25层</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邮箱：</w:t>
      </w:r>
      <w:r>
        <w:rPr>
          <w:rFonts w:hint="eastAsia" w:ascii="宋体" w:hAnsi="宋体" w:eastAsia="宋体" w:cs="宋体"/>
          <w:color w:val="auto"/>
          <w:sz w:val="24"/>
          <w:szCs w:val="24"/>
          <w:highlight w:val="none"/>
          <w:lang w:val="zh-CN"/>
        </w:rPr>
        <w:t xml:space="preserve">jsbenyu2024@163.com</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cs="宋体"/>
          <w:color w:val="auto"/>
          <w:sz w:val="24"/>
          <w:szCs w:val="24"/>
          <w:highlight w:val="none"/>
          <w:lang w:val="en-US" w:eastAsia="zh-CN"/>
        </w:rPr>
        <w:t xml:space="preserve">赵悦宏、郑洁、丁莹、张欣欣</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val="zh-CN"/>
        </w:rPr>
        <w:t xml:space="preserve">：025-86662388</w:t>
      </w:r>
      <w:r>
        <w:rPr>
          <w:highlight w:val="none"/>
        </w:rPr>
      </w:r>
    </w:p>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rPr>
          <w:highlight w:val="none"/>
        </w:rPr>
      </w:r>
    </w:p>
    <w:p>
      <w:pPr>
        <w:pStyle w:val="689"/>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rPr>
      </w:pPr>
      <w:r>
        <w:rPr>
          <w:highlight w:val="none"/>
        </w:rPr>
      </w:r>
      <w:bookmarkStart w:id="13" w:name="_Toc4289"/>
      <w:r>
        <w:rPr>
          <w:highlight w:val="none"/>
        </w:rPr>
      </w:r>
      <w:bookmarkStart w:id="14" w:name="_Toc25230"/>
      <w:r>
        <w:rPr>
          <w:highlight w:val="none"/>
        </w:rPr>
      </w:r>
      <w:bookmarkStart w:id="15" w:name="_Toc11267"/>
      <w:r>
        <w:rPr>
          <w:highlight w:val="none"/>
        </w:rPr>
      </w:r>
      <w:bookmarkStart w:id="16" w:name="_Toc28503"/>
      <w:r>
        <w:rPr>
          <w:highlight w:val="none"/>
        </w:rPr>
      </w:r>
      <w:bookmarkStart w:id="17" w:name="_Toc14076"/>
      <w:r>
        <w:rPr>
          <w:highlight w:val="none"/>
        </w:rPr>
      </w:r>
      <w:bookmarkStart w:id="18" w:name="_Toc25364"/>
      <w:r>
        <w:rPr>
          <w:rFonts w:hint="eastAsia" w:ascii="宋体" w:hAnsi="宋体" w:eastAsia="宋体" w:cs="宋体"/>
          <w:color w:val="auto"/>
          <w:highlight w:val="none"/>
        </w:rPr>
        <w:t xml:space="preserve">第二章 投标人须知</w:t>
      </w:r>
      <w:bookmarkEnd w:id="13"/>
      <w:r>
        <w:rPr>
          <w:highlight w:val="none"/>
        </w:rPr>
      </w:r>
      <w:bookmarkEnd w:id="14"/>
      <w:r>
        <w:rPr>
          <w:highlight w:val="none"/>
        </w:rPr>
      </w:r>
      <w:bookmarkEnd w:id="15"/>
      <w:r>
        <w:rPr>
          <w:highlight w:val="none"/>
        </w:rPr>
      </w:r>
      <w:bookmarkEnd w:id="16"/>
      <w:r>
        <w:rPr>
          <w:highlight w:val="none"/>
        </w:rPr>
      </w:r>
      <w:r>
        <w:rPr>
          <w:highlight w:val="none"/>
        </w:rPr>
      </w:r>
    </w:p>
    <w:p>
      <w:pPr>
        <w:ind w:left="0" w:right="0" w:firstLine="562"/>
        <w:jc w:val="left"/>
        <w:pageBreakBefore w:val="0"/>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一、总   则</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适用法律</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1.1《中华人民共和国政府采购法》《中华人民共和国政府采购法实施条例》《政府采购货物和服务招标投标管理办法》等有关法律、规章和规定。</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定义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“招标人（采购人）”是指依法进行政府采购的国家机关、事业单位、团体组织。</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“投标人（供应商）”是指参加投标竞争，并符合招标文件规定资格条件的法人、其他组织或者自然人。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“采购代理机构”是指集中采购机构和集中采购机构以外的采购代理机构，集中采购机构以外的采购代理机构，是从事采购代理业务的社会中介机构。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“货物和服务”指本招标文件中所述产品及相关服务。</w:t>
      </w:r>
      <w:r>
        <w:rPr>
          <w:highlight w:val="none"/>
        </w:rP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“用户或使用单位”是指使用货物，接受服务的单位。</w:t>
      </w:r>
      <w:r>
        <w:rPr>
          <w:highlight w:val="none"/>
        </w:rP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3.</w:t>
      </w:r>
      <w:r>
        <w:rPr>
          <w:rFonts w:hint="eastAsia" w:asciiTheme="minorEastAsia" w:hAnsiTheme="minorEastAsia" w:eastAsiaTheme="minorEastAsia" w:cstheme="minorEastAsia"/>
          <w:b/>
          <w:bCs/>
          <w:color w:val="auto"/>
          <w:sz w:val="24"/>
          <w:szCs w:val="24"/>
          <w:highlight w:val="none"/>
        </w:rPr>
        <w:t xml:space="preserve">政策功能</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3.1 中小企业政策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highlight w:val="none"/>
        </w:rPr>
      </w:r>
      <w:bookmarkStart w:id="19" w:name="_Hlk77845870"/>
      <w:r>
        <w:rPr>
          <w:highlight w:val="none"/>
        </w:rPr>
      </w:r>
      <w:bookmarkStart w:id="20" w:name="_Hlk84580649"/>
      <w:r>
        <w:rPr>
          <w:rFonts w:hint="eastAsia" w:asciiTheme="minorEastAsia" w:hAnsiTheme="minorEastAsia" w:eastAsiaTheme="minorEastAsia" w:cstheme="minorEastAsia"/>
          <w:color w:val="auto"/>
          <w:sz w:val="24"/>
          <w:szCs w:val="24"/>
          <w:highlight w:val="none"/>
        </w:rPr>
        <w:t xml:space="preserve">（1）政府采购促进中小企业发展，在政府采购活动中，</w:t>
      </w:r>
      <w:r>
        <w:rPr>
          <w:rFonts w:hint="eastAsia" w:asciiTheme="minorEastAsia" w:hAnsiTheme="minorEastAsia" w:eastAsiaTheme="minorEastAsia" w:cstheme="minorEastAsia"/>
          <w:color w:val="auto"/>
          <w:sz w:val="24"/>
          <w:szCs w:val="24"/>
          <w:highlight w:val="none"/>
          <w:lang w:eastAsia="zh-CN"/>
        </w:rPr>
        <w:t xml:space="preserve">投标人</w:t>
      </w:r>
      <w:r>
        <w:rPr>
          <w:rFonts w:hint="eastAsia" w:asciiTheme="minorEastAsia" w:hAnsiTheme="minorEastAsia" w:eastAsiaTheme="minorEastAsia" w:cstheme="minorEastAsia"/>
          <w:color w:val="auto"/>
          <w:sz w:val="24"/>
          <w:szCs w:val="24"/>
          <w:highlight w:val="none"/>
        </w:rPr>
        <w:t xml:space="preserve">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9"/>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接受投标人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以联合体形式参加政府采购活动的，联合体各方均为中小企业的，联合体视同中小企业。其中，联合体各方均为小微企业的，联合体视同小微企业。</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20"/>
      <w:r/>
      <w:r>
        <w:rPr>
          <w:highlight w:val="none"/>
        </w:rP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bookmarkStart w:id="21" w:name="_Hlk66802840"/>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支持监狱企业发展政策</w:t>
      </w:r>
      <w:bookmarkEnd w:id="21"/>
      <w:r>
        <w:rPr>
          <w:highlight w:val="none"/>
        </w:rPr>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r>
        <w:rPr>
          <w:highlight w:val="none"/>
        </w:rPr>
      </w:r>
    </w:p>
    <w:p>
      <w:pPr>
        <w:ind w:firstLine="482"/>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3.3</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促进残疾人就业政策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3.4</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 xml:space="preserve">节能产品、环境标志产品政策 </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（1）政府采购节能产品、环境标志产品实施品目清单管理。</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（2）拟采购产品属于节能产品、环境标志产品品目清单规定必须强制采购的，实行强制采购。</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拟采购产品属于节能产品、环境标志产品品目清单规定优先采购的，在性能、技术、服务等指标同等条件下，实行优先采购，分别给予投标价2%价格扣除，用扣除后的价格参与评审（特别说明：节能、环保产品必须为财政部、国家发改委公布的“节能产品政府采购清单”范围内的）。</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（4）参加政府采购活动的节能产品、环境标志产品投标人应当提供国家确定的认证机构出具的、处于有效期之内的节能产品、环境标志产品认证证书。</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3.5</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 xml:space="preserve">进口产品政策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（2）允许进口产品参加的，满足需求的国内产品可以参加。</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（3）允许进口产品参加的，优先采购向我国企业转让技术、与我国企业签订消化吸收再创新方案的投标人的进口产品。</w:t>
      </w:r>
      <w:r>
        <w:rPr>
          <w:highlight w:val="none"/>
        </w:rP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rPr>
          <w:highlight w:val="none"/>
        </w:rP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3.6强制采购信息安全产品。</w:t>
      </w:r>
      <w:r>
        <w:rPr>
          <w:rFonts w:hint="eastAsia" w:asciiTheme="minorEastAsia" w:hAnsiTheme="minorEastAsia" w:eastAsiaTheme="minorEastAsia" w:cstheme="minorEastAsia"/>
          <w:color w:val="auto"/>
          <w:sz w:val="24"/>
          <w:szCs w:val="24"/>
          <w:highlight w:val="none"/>
        </w:rPr>
        <w:t xml:space="preserve">参加政府采购活动的信息安全产品投标人应当选择经国家认证的信息安全产品投标，并提供由国家信息安全认证中心按国家标准认证颁发的有效认证证书。</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3.7</w:t>
      </w:r>
      <w:r>
        <w:rPr>
          <w:rFonts w:hint="eastAsia" w:asciiTheme="minorEastAsia" w:hAnsiTheme="minorEastAsia" w:eastAsiaTheme="minorEastAsia" w:cstheme="minorEastAsia"/>
          <w:b/>
          <w:bCs/>
          <w:color w:val="auto"/>
          <w:sz w:val="24"/>
          <w:szCs w:val="24"/>
          <w:highlight w:val="none"/>
          <w:lang w:val="zh-CN"/>
        </w:rPr>
        <w:t xml:space="preserve">实施本国产品标准及相关政策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3.7.</w:t>
      </w:r>
      <w:r>
        <w:rPr>
          <w:rFonts w:hint="eastAsia" w:asciiTheme="minorEastAsia" w:hAnsiTheme="minorEastAsia" w:eastAsiaTheme="minorEastAsia" w:cstheme="minorEastAsia"/>
          <w:color w:val="auto"/>
          <w:sz w:val="24"/>
          <w:szCs w:val="24"/>
          <w:highlight w:val="none"/>
          <w:lang w:val="zh-CN"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Theme="minorEastAsia" w:hAnsiTheme="minorEastAsia" w:eastAsiaTheme="minorEastAsia" w:cstheme="minorEastAsia"/>
          <w:color w:val="auto"/>
          <w:sz w:val="24"/>
          <w:szCs w:val="24"/>
          <w:highlight w:val="none"/>
          <w:lang w:val="zh-CN" w:eastAsia="zh-CN"/>
        </w:rPr>
        <w:t xml:space="preserve">。</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3.7.2</w:t>
      </w:r>
      <w:r>
        <w:rPr>
          <w:rFonts w:hint="eastAsia" w:asciiTheme="minorEastAsia" w:hAnsiTheme="minorEastAsia" w:eastAsiaTheme="minorEastAsia" w:cstheme="minorEastAsia"/>
          <w:color w:val="auto"/>
          <w:sz w:val="24"/>
          <w:szCs w:val="24"/>
          <w:highlight w:val="none"/>
          <w:lang w:val="zh-CN"/>
        </w:rPr>
        <w:t xml:space="preserve">本国产品应当符合以下条件</w:t>
      </w:r>
      <w:r>
        <w:rPr>
          <w:rFonts w:hint="eastAsia" w:asciiTheme="minorEastAsia" w:hAnsiTheme="minorEastAsia" w:eastAsiaTheme="minorEastAsia" w:cstheme="minorEastAsia"/>
          <w:color w:val="auto"/>
          <w:sz w:val="24"/>
          <w:szCs w:val="24"/>
          <w:highlight w:val="none"/>
          <w:lang w:val="zh-CN" w:eastAsia="zh-CN"/>
        </w:rPr>
        <w:t xml:space="preserve">：</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（1）在中国境内生产</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（2）在中国境内生产的组件成本占比达到规定比例</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比例计算公式详见《国务院办公厅关于在政府采购中实施本国产品标准及相关政策的通知》（国办发〔2025〕34号）规定。</w:t>
      </w:r>
      <w:r>
        <w:rPr>
          <w:rFonts w:hint="eastAsia" w:asciiTheme="minorEastAsia" w:hAnsiTheme="minorEastAsia" w:eastAsiaTheme="minorEastAsia" w:cstheme="minorEastAsia"/>
          <w:color w:val="auto"/>
          <w:sz w:val="24"/>
          <w:szCs w:val="24"/>
          <w:highlight w:val="none"/>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Theme="minorEastAsia" w:hAnsiTheme="minorEastAsia" w:eastAsiaTheme="minorEastAsia" w:cstheme="minorEastAsia"/>
          <w:color w:val="auto"/>
          <w:sz w:val="24"/>
          <w:szCs w:val="24"/>
          <w:highlight w:val="none"/>
          <w:lang w:val="zh-CN" w:eastAsia="zh-CN"/>
        </w:rPr>
        <w:t xml:space="preserve">符合上述第（1）条“在中国境内生产”</w:t>
      </w:r>
      <w:r>
        <w:rPr>
          <w:rFonts w:hint="eastAsia" w:asciiTheme="minorEastAsia" w:hAnsiTheme="minorEastAsia" w:eastAsiaTheme="minorEastAsia" w:cstheme="minorEastAsia"/>
          <w:color w:val="auto"/>
          <w:sz w:val="24"/>
          <w:szCs w:val="24"/>
          <w:highlight w:val="none"/>
          <w:lang w:val="zh-CN"/>
        </w:rPr>
        <w:t xml:space="preserve">条件的产品在政府采购活动中视同本国产品。</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（3）特定产品的关键组件、关键工序符合相关要求</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3.7.3</w:t>
      </w:r>
      <w:r>
        <w:rPr>
          <w:rFonts w:hint="eastAsia" w:asciiTheme="minorEastAsia" w:hAnsiTheme="minorEastAsia" w:eastAsiaTheme="minorEastAsia" w:cstheme="minorEastAsia"/>
          <w:color w:val="auto"/>
          <w:sz w:val="24"/>
          <w:szCs w:val="24"/>
          <w:highlight w:val="none"/>
          <w:lang w:val="zh-CN" w:eastAsia="zh-CN"/>
        </w:rPr>
        <w:t xml:space="preserve">本国产品标准的适用范围</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3.7.4对本国产品的支持政策</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本项目如</w:t>
      </w:r>
      <w:r>
        <w:rPr>
          <w:rFonts w:hint="eastAsia" w:asciiTheme="minorEastAsia" w:hAnsiTheme="minorEastAsia" w:eastAsiaTheme="minorEastAsia" w:cstheme="minorEastAsia"/>
          <w:b/>
          <w:bCs/>
          <w:color w:val="auto"/>
          <w:sz w:val="24"/>
          <w:szCs w:val="24"/>
          <w:highlight w:val="none"/>
          <w:lang w:val="zh-CN" w:eastAsia="zh-CN"/>
        </w:rPr>
        <w:t xml:space="preserve">既有本国产品又有非本国产品参与竞争，依法对本国产品给予价格评审优惠，</w:t>
      </w:r>
      <w:r>
        <w:rPr>
          <w:rFonts w:hint="eastAsia" w:asciiTheme="minorEastAsia" w:hAnsiTheme="minorEastAsia" w:eastAsiaTheme="minorEastAsia" w:cstheme="minorEastAsia"/>
          <w:b/>
          <w:bCs/>
          <w:color w:val="auto"/>
          <w:sz w:val="24"/>
          <w:szCs w:val="24"/>
          <w:highlight w:val="none"/>
          <w:lang w:val="en-US" w:eastAsia="zh-CN"/>
        </w:rPr>
        <w:t xml:space="preserve">具体详见第三章。</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3.7.5政策执行要求</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Theme="minorEastAsia" w:hAnsiTheme="minorEastAsia" w:eastAsiaTheme="minorEastAsia" w:cstheme="minorEastAsia"/>
          <w:color w:val="auto"/>
          <w:sz w:val="24"/>
          <w:szCs w:val="24"/>
          <w:highlight w:val="none"/>
          <w:lang w:val="en-US" w:eastAsia="zh-CN"/>
        </w:rPr>
        <w:t xml:space="preserve">详见《国务院办公厅关于在政府采购中实施本国产品标准及相关政策的通知》（国办发〔2025〕34号）规定。</w:t>
      </w:r>
      <w:r>
        <w:rPr>
          <w:highlight w:val="none"/>
        </w:rPr>
      </w:r>
    </w:p>
    <w:p>
      <w:pPr>
        <w:ind w:firstLine="420"/>
        <w:keepLines w:val="0"/>
        <w:keepNext w:val="0"/>
        <w:pageBreakBefore w:val="0"/>
        <w:spacing w:line="560" w:lineRule="exact"/>
        <w:shd w:val="clear" w:color="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（2）有关证明文件。</w:t>
      </w:r>
      <w:r>
        <w:rPr>
          <w:rFonts w:hint="eastAsia" w:asciiTheme="minorEastAsia" w:hAnsiTheme="minorEastAsia" w:eastAsiaTheme="minorEastAsia" w:cstheme="minorEastAsia"/>
          <w:b/>
          <w:bCs/>
          <w:color w:val="auto"/>
          <w:sz w:val="24"/>
          <w:szCs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highlight w:val="none"/>
        </w:rPr>
      </w:r>
    </w:p>
    <w:p>
      <w:pPr>
        <w:ind w:firstLine="420"/>
        <w:keepLines w:val="0"/>
        <w:keepNext w:val="0"/>
        <w:pageBreakBefore w:val="0"/>
        <w:spacing w:line="560" w:lineRule="exact"/>
        <w:shd w:val="clear" w:color="auto"/>
        <w:widowControl/>
        <w:rPr>
          <w:rFonts w:hint="eastAsia"/>
          <w:color w:val="auto"/>
          <w:highlight w:val="none"/>
        </w:rPr>
      </w:pPr>
      <w:r>
        <w:rPr>
          <w:rFonts w:hint="eastAsia" w:asciiTheme="minorEastAsia" w:hAnsiTheme="minorEastAsia" w:eastAsiaTheme="minorEastAsia" w:cstheme="minorEastAsia"/>
          <w:color w:val="auto"/>
          <w:sz w:val="24"/>
          <w:szCs w:val="24"/>
          <w:highlight w:val="none"/>
          <w:lang w:val="zh-CN" w:eastAsia="zh-CN"/>
        </w:rPr>
        <w:t xml:space="preserve">评审委员会评审</w:t>
      </w:r>
      <w:r>
        <w:rPr>
          <w:rFonts w:hint="eastAsia" w:asciiTheme="minorEastAsia" w:hAnsiTheme="minorEastAsia" w:eastAsiaTheme="minorEastAsia" w:cstheme="minorEastAsia"/>
          <w:color w:val="auto"/>
          <w:sz w:val="24"/>
          <w:szCs w:val="24"/>
          <w:highlight w:val="none"/>
          <w:lang w:val="zh-CN"/>
        </w:rPr>
        <w:t xml:space="preserve">中发现</w:t>
      </w:r>
      <w:r>
        <w:rPr>
          <w:rFonts w:hint="eastAsia" w:asciiTheme="minorEastAsia" w:hAnsiTheme="minorEastAsia" w:eastAsiaTheme="minorEastAsia" w:cstheme="minorEastAsia"/>
          <w:color w:val="auto"/>
          <w:sz w:val="24"/>
          <w:szCs w:val="24"/>
          <w:highlight w:val="none"/>
          <w:lang w:val="zh-CN" w:eastAsia="zh-CN"/>
        </w:rPr>
        <w:t xml:space="preserve">供应商提供的</w:t>
      </w:r>
      <w:r>
        <w:rPr>
          <w:rFonts w:hint="eastAsia" w:asciiTheme="minorEastAsia" w:hAnsiTheme="minorEastAsia" w:eastAsiaTheme="minorEastAsia" w:cstheme="minorEastAsia"/>
          <w:color w:val="auto"/>
          <w:sz w:val="24"/>
          <w:szCs w:val="24"/>
          <w:highlight w:val="none"/>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Theme="minorEastAsia" w:hAnsiTheme="minorEastAsia" w:eastAsiaTheme="minorEastAsia" w:cstheme="minorEastAsia"/>
          <w:color w:val="auto"/>
          <w:sz w:val="24"/>
          <w:szCs w:val="24"/>
          <w:highlight w:val="none"/>
          <w:lang w:val="zh-CN" w:eastAsia="zh-CN"/>
        </w:rPr>
        <w:t xml:space="preserve">在</w:t>
      </w:r>
      <w:r>
        <w:rPr>
          <w:rFonts w:hint="eastAsia" w:asciiTheme="minorEastAsia" w:hAnsiTheme="minorEastAsia" w:eastAsiaTheme="minorEastAsia" w:cstheme="minorEastAsia"/>
          <w:color w:val="auto"/>
          <w:sz w:val="24"/>
          <w:szCs w:val="24"/>
          <w:highlight w:val="none"/>
          <w:lang w:val="zh-CN"/>
        </w:rPr>
        <w:t xml:space="preserve">政府采购中实施本国产品标准及相关政策规定要求的，供应商提供的相关产品视为不符合本国产品标准。</w:t>
      </w:r>
      <w:r>
        <w:rPr>
          <w:highlight w:val="none"/>
        </w:rPr>
      </w:r>
    </w:p>
    <w:p>
      <w:pPr>
        <w:ind w:left="0" w:right="0" w:firstLine="482"/>
        <w:jc w:val="left"/>
        <w:keepLines w:val="0"/>
        <w:keepNext w:val="0"/>
        <w:pageBreakBefore w:val="0"/>
        <w:spacing w:line="56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rPr>
        <w:t xml:space="preserve"> 未按要求提供相关材料的，不享受相关政策。</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招标文件</w:t>
      </w:r>
      <w:r>
        <w:rPr>
          <w:rFonts w:hint="eastAsia" w:ascii="宋体" w:hAnsi="宋体" w:cs="宋体"/>
          <w:b/>
          <w:bCs/>
          <w:color w:val="auto"/>
          <w:sz w:val="24"/>
          <w:szCs w:val="24"/>
          <w:highlight w:val="none"/>
          <w:lang w:val="en-US" w:eastAsia="zh-CN"/>
        </w:rPr>
        <w:t xml:space="preserve">构成</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招标文件由以下部分组成：</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（3）评标标准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（4）招标项目的货物要求和数量等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（5）合同文本</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投标人应</w:t>
      </w:r>
      <w:r>
        <w:rPr>
          <w:rFonts w:hint="eastAsia" w:ascii="宋体" w:hAnsi="宋体" w:eastAsia="宋体" w:cs="宋体"/>
          <w:color w:val="auto"/>
          <w:sz w:val="24"/>
          <w:szCs w:val="24"/>
          <w:highlight w:val="none"/>
        </w:rPr>
        <w:t xml:space="preserve">仔细检查招标文件是否齐全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 如招标文件中明确有核心产品，需提供核心产品品牌一览表，核心产品品牌一览表中所投核心产品品牌缺项的将视为无效投标。</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招标文件的澄清、修改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采购人或者代理机构</w:t>
      </w:r>
      <w:r>
        <w:rPr>
          <w:rFonts w:hint="eastAsia" w:ascii="宋体" w:hAnsi="宋体" w:eastAsia="宋体" w:cs="宋体"/>
          <w:color w:val="auto"/>
          <w:sz w:val="24"/>
          <w:szCs w:val="24"/>
          <w:highlight w:val="none"/>
        </w:rPr>
        <w:t xml:space="preserve">。</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在投标截止时间前</w:t>
      </w:r>
      <w:r>
        <w:rPr>
          <w:rFonts w:hint="eastAsia" w:ascii="宋体" w:hAnsi="宋体" w:eastAsia="宋体" w:cs="宋体"/>
          <w:color w:val="auto"/>
          <w:sz w:val="24"/>
          <w:szCs w:val="24"/>
          <w:highlight w:val="none"/>
          <w:lang w:eastAsia="zh-CN"/>
        </w:rPr>
        <w:t xml:space="preserve">，采购人或者代理机构</w:t>
      </w:r>
      <w:r>
        <w:rPr>
          <w:rFonts w:hint="eastAsia" w:ascii="宋体" w:hAnsi="宋体" w:eastAsia="宋体" w:cs="宋体"/>
          <w:color w:val="auto"/>
          <w:sz w:val="24"/>
          <w:szCs w:val="24"/>
          <w:highlight w:val="none"/>
        </w:rPr>
        <w:t xml:space="preserve">可以对招标文件进行修改。招标文件的修改将在原公告媒体发布更正公告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更正内容将作为招标文件的组成部分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并对投标人具有约束力。</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投标人应在提交投标文件截止时间前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关注原公告媒体有关本项目的更正公告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根据更正公告内容自行决定是否需要重新制作和提交投标文件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并承担由此产生的相应责任。</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并在原公告媒体发布更正公告。</w:t>
      </w:r>
      <w:r>
        <w:rPr>
          <w:highlight w:val="none"/>
        </w:rPr>
      </w:r>
    </w:p>
    <w:p>
      <w:pPr>
        <w:ind w:left="0" w:right="0" w:firstLine="482"/>
        <w:jc w:val="left"/>
        <w:keepLines w:val="0"/>
        <w:keepNext w:val="0"/>
        <w:pageBreakBefore w:val="0"/>
        <w:spacing w:line="560" w:lineRule="exact"/>
        <w:shd w:val="clear" w:color="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三、投标</w:t>
      </w:r>
      <w:r>
        <w:rPr>
          <w:rFonts w:hint="eastAsia" w:ascii="宋体" w:hAnsi="宋体" w:cs="宋体"/>
          <w:b/>
          <w:color w:val="auto"/>
          <w:sz w:val="24"/>
          <w:szCs w:val="24"/>
          <w:highlight w:val="none"/>
          <w:lang w:val="en-US" w:eastAsia="zh-CN"/>
        </w:rPr>
        <w:t xml:space="preserve">文件的编制</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.投标文件的语言及度量衡单位</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.2 除技术性能另有规定外，投标文件所使用的度量衡单位，均须采用国家法定计量单位。</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rPr>
        <w:t xml:space="preserve">费用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应承担所有与准备和参加投标有关的费用，无论采购结果如何，代理机构和采购人在任何情况下均无义务和责任承担这些费用。</w:t>
      </w:r>
      <w:r>
        <w:rPr>
          <w:highlight w:val="none"/>
        </w:rPr>
      </w:r>
    </w:p>
    <w:p>
      <w:pPr>
        <w:ind w:left="0" w:right="0" w:firstLine="480"/>
        <w:jc w:val="left"/>
        <w:pageBreakBefore w:val="0"/>
        <w:spacing w:line="560" w:lineRule="exact"/>
        <w:shd w:val="clear" w:color="auto"/>
        <w:rPr>
          <w:rFonts w:hint="default" w:ascii="宋体" w:hAnsi="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 依据《苏财规〔2026〕1号  关于进一步规范政府采购活动相关费用管理的通知》</w:t>
      </w:r>
      <w:r>
        <w:rPr>
          <w:rFonts w:hint="eastAsia" w:ascii="宋体" w:hAnsi="宋体" w:cs="宋体"/>
          <w:color w:val="auto"/>
          <w:sz w:val="24"/>
          <w:szCs w:val="24"/>
          <w:highlight w:val="none"/>
          <w:lang w:val="en-US" w:eastAsia="zh-CN"/>
        </w:rPr>
        <w:t xml:space="preserve">，因预算申报未单独列支代理服务费，</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rPr>
        <w:t xml:space="preserve">中标人在领取中标通知书前向代理机构支付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招标代理服务收费以中标人的中标金额为收费基数，参照《招标代理服务收费管理暂行办法》的通知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计价格</w:t>
      </w:r>
      <w:r>
        <w:rPr>
          <w:rFonts w:hint="eastAsia" w:ascii="宋体" w:hAnsi="宋体" w:eastAsia="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的收费标准收取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专家评审费由采购人支付。</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账户名称：江苏本誉项目管理有限公司</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 户 行：招商银行股份有限公司南京汉中门支行</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号：1259178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8310000</w:t>
      </w:r>
      <w:r>
        <w:rPr>
          <w:highlight w:val="none"/>
        </w:rPr>
      </w:r>
    </w:p>
    <w:p>
      <w:pPr>
        <w:ind w:left="0" w:right="0" w:firstLine="482"/>
        <w:jc w:val="left"/>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注：代理服务费汇款时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lang w:val="en-US" w:eastAsia="zh-CN"/>
        </w:rPr>
        <w:t xml:space="preserve">备注汇款单位名称、项目名称、项目编号。</w:t>
      </w:r>
      <w:r>
        <w:rPr>
          <w:highlight w:val="none"/>
        </w:rPr>
      </w:r>
    </w:p>
    <w:p>
      <w:pPr>
        <w:numPr>
          <w:ilvl w:val="0"/>
          <w:numId w:val="1"/>
        </w:num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投标文件构成</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投标人编写的投标文件应包括</w:t>
      </w:r>
      <w:r>
        <w:rPr>
          <w:rFonts w:hint="eastAsia" w:ascii="宋体" w:hAnsi="宋体" w:cs="宋体"/>
          <w:color w:val="auto"/>
          <w:sz w:val="24"/>
          <w:szCs w:val="24"/>
          <w:highlight w:val="none"/>
          <w:lang w:val="en-US" w:eastAsia="zh-CN"/>
        </w:rPr>
        <w:t xml:space="preserve">投标函格式</w:t>
      </w:r>
      <w:r>
        <w:rPr>
          <w:rFonts w:hint="eastAsia" w:ascii="宋体" w:hAnsi="宋体" w:eastAsia="宋体" w:cs="宋体"/>
          <w:color w:val="auto"/>
          <w:sz w:val="24"/>
          <w:szCs w:val="24"/>
          <w:highlight w:val="none"/>
        </w:rPr>
        <w:t xml:space="preserve">、开标一览表、分项报价表、</w:t>
      </w:r>
      <w:r>
        <w:rPr>
          <w:rFonts w:hint="eastAsia" w:ascii="宋体" w:hAnsi="宋体" w:eastAsia="宋体" w:cs="宋体"/>
          <w:color w:val="auto"/>
          <w:sz w:val="24"/>
          <w:szCs w:val="24"/>
          <w:highlight w:val="none"/>
          <w:lang w:val="en-US" w:eastAsia="zh-CN"/>
        </w:rPr>
        <w:t xml:space="preserve">核心产品一览表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响应及偏离表、</w:t>
      </w:r>
      <w:r>
        <w:rPr>
          <w:rFonts w:hint="eastAsia" w:ascii="宋体" w:hAnsi="宋体" w:cs="宋体"/>
          <w:color w:val="auto"/>
          <w:sz w:val="24"/>
          <w:szCs w:val="24"/>
          <w:highlight w:val="none"/>
          <w:lang w:val="en-US" w:eastAsia="zh-CN"/>
        </w:rPr>
        <w:t xml:space="preserve">商务要求</w:t>
      </w:r>
      <w:r>
        <w:rPr>
          <w:rFonts w:hint="eastAsia" w:ascii="宋体" w:hAnsi="宋体" w:eastAsia="宋体" w:cs="宋体"/>
          <w:color w:val="auto"/>
          <w:sz w:val="24"/>
          <w:szCs w:val="24"/>
          <w:highlight w:val="none"/>
        </w:rPr>
        <w:t xml:space="preserve">响应及偏离表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资格证明文件、符合性证明文件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其他证明文件等部分。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如标书制作工具中格式和内容与“江苏政府采购网”发布的招标文件不一致，以“江苏政府采购网”发布的招标文件为准。</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证明投标人及投标标的符合招标文件规定的文件</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.1 投标人应按照法律、法规、规章和规范性文件以及招标文件要求提交证明文件，证明其投标标的符合招标文件规定。</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.2 招标文件对证明文件无明确形式要求的，证明文件可以以文字资料、图纸和数据等形式提交。</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 投标货币</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.1投标文件中的单价和总价无特殊规定的采用人民币报价，以元为单位标注。招标文件中另有规定的按规定执行。</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.投标分项报价表（如有）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.1 投标人应按照招标文件规定格式填报投标分项报价表。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.2 投标文件中的单价和总价无特殊规定的采用人民币报价，以元为单位标注。招标文件另有规定的按规定执行。</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响应及偏离表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.1 投标人需对招标文件中的技术要求与商务要求逐项作出响应或偏离说明。</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.2 投标人可以在投标文件中提供认为需要的其他技术文件或说明。</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投标函和开标一览表及核心产品品牌一览表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.1 投标人应按照招标文件规定格式完整、正确填报投标函、开标一览表及核心产品品牌一览表。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.2 对于采用货币报价的项目，开标一览表中的投标总报价应与分项报价表中的投标总报价一致，如不一致评标时以开标一览表中价格为准。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.3 核心产品品牌一览表中所投核心产品品牌缺项的将视为无效投标。</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投标有效期</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.1 投标有效期为招标公告规定的开标之日起</w:t>
      </w:r>
      <w:r>
        <w:rPr>
          <w:rFonts w:hint="eastAsia" w:ascii="宋体" w:hAnsi="宋体" w:eastAsia="宋体" w:cs="宋体"/>
          <w:b w:val="0"/>
          <w:bCs w:val="0"/>
          <w:color w:val="auto"/>
          <w:sz w:val="24"/>
          <w:szCs w:val="24"/>
          <w:highlight w:val="none"/>
          <w:u w:val="single"/>
          <w:lang w:eastAsia="zh-CN"/>
        </w:rPr>
        <w:t xml:space="preserve">六十天</w:t>
      </w:r>
      <w:r>
        <w:rPr>
          <w:rFonts w:hint="eastAsia" w:ascii="宋体" w:hAnsi="宋体" w:eastAsia="宋体" w:cs="宋体"/>
          <w:b w:val="0"/>
          <w:bCs w:val="0"/>
          <w:color w:val="auto"/>
          <w:sz w:val="24"/>
          <w:szCs w:val="24"/>
          <w:highlight w:val="none"/>
          <w:lang w:eastAsia="zh-CN"/>
        </w:rPr>
        <w:t xml:space="preserve">。投标有效期比规定短的将被视为未实质性响应招标文件而被拒绝。</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投标有效期的延长</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.1 在特殊情况下，</w:t>
      </w:r>
      <w:r>
        <w:rPr>
          <w:rFonts w:hint="eastAsia" w:ascii="宋体" w:hAnsi="宋体" w:cs="宋体"/>
          <w:b w:val="0"/>
          <w:bCs w:val="0"/>
          <w:color w:val="auto"/>
          <w:sz w:val="24"/>
          <w:szCs w:val="24"/>
          <w:highlight w:val="none"/>
          <w:lang w:eastAsia="zh-CN"/>
        </w:rPr>
        <w:t xml:space="preserve">代理机构</w:t>
      </w:r>
      <w:r>
        <w:rPr>
          <w:rFonts w:hint="eastAsia" w:ascii="宋体" w:hAnsi="宋体" w:eastAsia="宋体" w:cs="宋体"/>
          <w:b w:val="0"/>
          <w:bCs w:val="0"/>
          <w:color w:val="auto"/>
          <w:sz w:val="24"/>
          <w:szCs w:val="24"/>
          <w:highlight w:val="none"/>
          <w:lang w:eastAsia="zh-CN"/>
        </w:rPr>
        <w:t xml:space="preserve">于原投标有效期满之前，可向投标人提出延长投标有效期的要求。这种要求与答复均应采用书面形式。投标人可以拒绝</w:t>
      </w:r>
      <w:r>
        <w:rPr>
          <w:rFonts w:hint="eastAsia" w:ascii="宋体" w:hAnsi="宋体" w:cs="宋体"/>
          <w:b w:val="0"/>
          <w:bCs w:val="0"/>
          <w:color w:val="auto"/>
          <w:sz w:val="24"/>
          <w:szCs w:val="24"/>
          <w:highlight w:val="none"/>
          <w:lang w:eastAsia="zh-CN"/>
        </w:rPr>
        <w:t xml:space="preserve">代理机构</w:t>
      </w:r>
      <w:r>
        <w:rPr>
          <w:rFonts w:hint="eastAsia" w:ascii="宋体" w:hAnsi="宋体" w:eastAsia="宋体" w:cs="宋体"/>
          <w:b w:val="0"/>
          <w:bCs w:val="0"/>
          <w:color w:val="auto"/>
          <w:sz w:val="24"/>
          <w:szCs w:val="24"/>
          <w:highlight w:val="none"/>
          <w:lang w:eastAsia="zh-CN"/>
        </w:rPr>
        <w:t xml:space="preserve">的这一要求而放弃投标。同意延长投标有效期的投标人既不能要求也不允许修改其投标文件，同时受投标有效期约束的所有权利与义务均延长至新的有效期满。</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投标文件的递交</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 投标人应当按照《操作手册》规定，在招标公告规定的投标截止时间前制作并上传电子投标文件。</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 投标人应充分考虑网络环境、网络带宽等因素可能对投标产生的影响，如因投标人自身原因造成的电子投标文件上传不成功的，按照本招标文件第二章第19.2.3.1条规定做无效投标处理。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 </w:t>
      </w:r>
      <w:r>
        <w:rPr>
          <w:rFonts w:hint="eastAsia" w:ascii="宋体" w:hAnsi="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rPr>
        <w:t xml:space="preserve">可以按照规定，通过修改招标文件酌情延长投标截止时间，在此情况下，投标人的所有权利和义务均以延长后新的截止时间为准。</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.投标文件的拒收</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 投标截止时间后上传的任何投标文件将被拒绝。</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.投标文件的撤回和修改</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 投标文件的撤回</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.1.1 投标人可在投标截止时间前撤回其电子投标文件，具体操作方法见《操作手册》。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.1.2 投标人撤回电子投标文件，则认为其不再参与本项目投标活动。</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.2 投标文件的修改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.2.1 投标人可在投标截止时间前对其电子投标文件进行修改，具体操作方法见《操作手册》。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.2.2 投标截止时间之后，投标人不得对其电子投标文件作任何修改。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.3 在投标截止时间至招标文件中规定的投标有效期满之间的这段时间内，投标人不得撤回其投标。</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五、开标、评标与定标</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开标</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 投标人在开标过程中涉及到的投标文件解密、开标结果确认等工作，应按照《操作手册》规定执行。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.3 投标人如果对开标过程和开标结果有疑义，应当根据《操作手册》规定提出，苏采云系统中《开标一览表》公布后5分钟内未提出的，视同认可开标结果。</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评标 </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.1 评标委员会 </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 评标委员会由采购人代表和有关技术、经济等方面的专家组成，独立开展评审工作。</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.1.1评标委员会负责具体评标事务，并独立履行下列职责：</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（1）审查、评价投标文件是否符合招标文件的商务、技术等实质性要求；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（2）要求投标人对投标文件有关事项作出澄清或者说明；</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（3）对投标文件进行比较和评价；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（4）确定中标候选人名单，以及根据采购人委托直接确定中标人；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（5）向采购人、采购代理机构或者有关部门报告评标中发现的违法行为。</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.2 评标程序</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.2.1投标文件审查分为资格审查和符合性审查。</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.2.2投标文件的资格审查</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资格审查：依据法律法规和招标文件规定，由采购人或采购代理机构对投标文件中的资格证明文件进行审查，并向评标委员会反馈审查结论。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.2.2.1投标文件有下列情况之一的，在资格性审查时按照无效投标处理：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（1）不具备招标文件中规定资格条件的；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（2）未提供《南京市政府采购供应商信用记录表暨信用承诺书》。</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.2.3投标文件的符合性检查</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（1）评标委员会将依据法律法规和招标文件的规定，对投标文件的有效性完整性和对招标文件的响应程度进行审查，以确定是否对招标文件的实质性要求作出响应。</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（2）实质性要求是指本招标文件中斜体且有下划线部分，或者打“★”等其他文字说明的商务和技术要求。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（3）如果投标文件实质上没有响应招标文件的要求，评标委员会将予以拒绝，投标人不得通过修改或撤销不合要求的偏离或保留而使其投标成为实质性响应的投标。</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.2.3.1投标文件属于下列情形之一的，在符合性审查时按照无效投标处理：</w:t>
      </w:r>
      <w:r>
        <w:rPr>
          <w:rFonts w:hint="eastAsia" w:ascii="宋体" w:hAnsi="宋体" w:eastAsia="宋体" w:cs="宋体"/>
          <w:b w:val="0"/>
          <w:bCs w:val="0"/>
          <w:color w:val="auto"/>
          <w:sz w:val="24"/>
          <w:szCs w:val="24"/>
          <w:highlight w:val="none"/>
        </w:rPr>
        <w:tab/>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（1）投标人在苏采云系统规定的时间内未成功解密电子投标文件；</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（2）投标人未按照招标文件要求上传电子投标文件；</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（3）投标文件未按照招标文件要求加盖电子公章；</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（4）不具备招标文件中规定实质性要求的；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（5）投标总价超出采购项目预算或者最高限价的；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（6）不同投标人的投标文件由同一单位或者个人编制的；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（7）不同投标人委托同一单位或者个人办理投标事宜；</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（8）不同投标人的投标文件载明的项目管理成员或者联系人员为同一人；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（9）不同投标人的投标文件异常一致或者投标报价呈规律性差异；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（10）不同投标人的负责人为同一人或者存在控股、管理关系的；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（12）投标文件含有采购人不能接受的附加条件的；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（13）不符合法律、法规和招标文件规定的其他实质性要求的。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.2.4有下列情形之一的予以废标：</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（1）符合资格条件的投标人或者对招标文件作实质性响应的投标人不足三家的；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（2）出现影响采购公正的违法、违规行为的；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（3）因重大变故，采购任务取消的；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（4）因苏采云系统故障造成开标不成功。</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.2.5未通过资格审查或符合性审查的投标人，采购代理机构将通过苏采云系统告知其具体原因，评标结束后不再接受有关询问。</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.2.6如出现投标截止时间后参加的投标人或者对招标文件作出实质性响应的投标人不足三家的情况，按政府采购相关规定执行。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.3 评标过程中的澄清</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.3.1 评标期间，评标委员会对投标文件中含义不明确、同类问题表述不一致或者有明显文字和计算错误的内容，有权要求投标人作出必要的澄清、说明或者补正。</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投标人的澄清、说明或者补正不得超出投标文件的范围或者改变投标文件的实质性内容。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评标委员会并非对每个投标人都做澄清要求。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.3.3接到评标委员会澄清、说明和补正要求的，投标人如未按规定作出澄清、说明和补正，其风险由投标人自行承担。</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.3.4投标文件报价出现前后不一致的，除招标文件另有规定外，按照下列规定修正：</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（1）投标文件中开标一览表内容与投标文件中相应内容不一致的，以开标一览表为准；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（2）大写金额和小写金额不一致的，以大写金额为准；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（3）单价金额小数点或者百分比有明显错位的，以开标一览表的总价为准，并修改单价；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（4）总价金额与按单价汇总金额不一致的，以单价金额计算结果为准。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.3.5投标人在开、评标全过程中应保持通讯畅通，及时登录苏采云系统查阅、答复相关信息，并安排专人与采购代理机构及评标委员会联系。</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.4比较与评价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评标委员会应当按照招标文件中规定的评标方法和标准，对符合性审查合格的投标文件进行商务和技术评估，综合比较与评价。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rPr>
        <w:t xml:space="preserve">.5相同品牌产品的投标</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非单一产品采购项目，核心产品在招标文件技术需求中载明。多家投标人提供的核心产品品牌相同的，按前款规定处理。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 评标委员会启动异常低价投标审查的情形和具体要求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.1评标过程中出现下列情形之一的，评标委员会应当启动异常低价投标审查程序： </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（3）投标（响应）报价低于采购项目最高限价45%的，即投标（响应）报价&lt;采购项目最高限价×45%；</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（4）评标委员会基于专业判断，认为投标人报价过低，有可能影响产品质量或者不能诚信履约的其他情形。</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19.6.2 </w:t>
      </w:r>
      <w:r>
        <w:rPr>
          <w:rFonts w:hint="eastAsia" w:ascii="宋体" w:hAnsi="宋体" w:eastAsia="宋体" w:cs="宋体"/>
          <w:color w:val="auto"/>
          <w:sz w:val="24"/>
          <w:szCs w:val="24"/>
          <w:highlight w:val="none"/>
          <w:lang w:eastAsia="zh-CN"/>
        </w:rPr>
        <w:t xml:space="preserve">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.评标方法和标准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.1本次采购采用综合评分法，评标方法和标准，详见本招标文件第三章。</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.2综合评分法，是指投标文件满足招标文件全部实质性要求，且按照评审因素的量化指标评审得分最高的投标人为中标候选人的评标方法。</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.确定中标人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1采用综合评分法的，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经采购人授权，评标委员会将综合排名第一的中标候选人确定为中标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.2中标人确定后，采购代理机构在“江苏政府采购网”发布中标公告，公告期限为1个工作日。</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 中标通知书</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.l 中标结果确定后，采购代理机构将向中标人发出中标通知书。中标人可在中标结果公告届满之日起三十日内,登录苏采云系统下载。</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.2 中标通知书是合同的一个组成部分，对采购人和中标人均具有法律效力。中标通知书发出后，采购人改变中标结果或者中标人放弃中标项目的，应当依法承担法律责任。</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.3 中标人在领取中标通知书时，需向采购代理机构提供纸质版投标文件一份（盖章版本），投标文件提倡按照A4幅面打印或复印并进行装订（采用胶装形式递交）。</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.评标过程的保密性</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 采购人和采购代理机构将采取必要措施，保证评标在严格保密的情况下进行。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 任何单位和个人不得非法干预、影响评标办法的确定，以及评标过程和结果。</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.3 凡是与审查、澄清、评价和比较投标的有关资料等，均不向投标人及与评标无关的其他人员透露。</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.4采购代理机构和评标委员会不向未中标的投标人解释未中标原因，也不公布评标过程中的相关细节。</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五、签订合同</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.1采购人应当自《中标通知书》发出之日起30日内，按照招标文件和中标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投标文件的规定与中标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签订书面合同。所签订的合同不得对招标文件确定事项和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投标文件作实质性修改。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.2采购人不得向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提出任何不合理的要求作为签订合同的条件，不得与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私下订立背离合同实质性内容的协议。</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拒绝与采购人签订合同，或因不可抗力或者自身原因不能履行政府采购合同的，采购人可以按照</w:t>
      </w:r>
      <w:r>
        <w:rPr>
          <w:rFonts w:hint="eastAsia" w:ascii="宋体" w:hAnsi="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报告中的得分高低顺序，确定下一顺序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六、询问、质疑、投诉和诚实信用</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询问</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对招标活动事项有疑问的，可以向代理机构或采购人提出询问，代理机构或采购人将在两个工作日内作出答复，但答复的内容不涉及商业秘密。</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对招标活动事项有疑问的，可以向采购代理机构提出询问，采购代理机构将依法作出答复，但答复的内容不涉及商业秘密。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已依法获取其可质疑的招标文件的，可以对该文件提出质疑。以联合体形式参加政府采购活动的，其质疑应当由组成联合体的所有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共同提出。</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认为招标文件、招标过程和中标结果使自己的合法权益受到损害的，可以在知道或者应知其权益受到损害之日起七个工作日内，将质疑文件原件送达采购人或采购代理机构。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应知其权益受到损害之日，是指：对招标文件提出质疑的，应当在获取招标文件或者招标文件公告期限届满之日起 7 个工作日内提出；对采购过程提出质疑的，为各采购程序环节结束之日；对中标或者成交结果提出质疑的，为中标或者成交结果公告期限届满之日。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必须在法定质疑期内一次性提出针对同一采购程序环节的质疑。</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提出质疑应当提交质疑函和必要的证明材料。质疑函应当包括下列内容：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（1）投标人</w:t>
      </w:r>
      <w:r>
        <w:rPr>
          <w:rFonts w:hint="eastAsia" w:ascii="宋体" w:hAnsi="宋体" w:eastAsia="宋体" w:cs="宋体"/>
          <w:color w:val="auto"/>
          <w:sz w:val="24"/>
          <w:szCs w:val="24"/>
          <w:highlight w:val="none"/>
        </w:rPr>
        <w:t xml:space="preserve">的姓名或者名称、地址、邮编、联系人及联系电话；</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质疑项目的名称、编号；</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具体、明确的质疑事项和与质疑事项相关的请求（具体条款）；</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事实依据（具体条款）；</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（5）必要的法律依据（具体条款）；</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提出质疑的日期。</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为法人或者其他组织的，应当由法定代表人、主要负责人，或者其授权代表签字或者盖章，并加盖公章。代理人提出质疑，应当提交</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签署的授权委托书。其授权委托书应当载明代理人的姓名或者名称、代理事项、具体权限、期限和相关事项。</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 质疑函现场提交至采购代理机构联系人处的，提交时应出示有效身份证明。</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不得虚假质疑和恶意质疑，并对质疑内容的真实性承担责任。</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或者其他利害关系人通过捏造事实、伪造证明材料等方式提出异议，阻碍招投标活动正常进行的，属于严重不良行为，代理机构将提请财政部门将其列入不良行为记录名单，并依法予以处罚。</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 采购代理机构在收到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的书面质疑后将及时组织调查核实，在七个工作日内作出答复，并以书面通知质疑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，答复的内容不涉及商业秘密。</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质疑供应商对采购代理机构的答复不满意或者采购代理机构未在规定的时间内作出答复的，可以在答复期满后十五个工作日内向同级政府采购监督管理部门投诉。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供应商投诉应当有明确的请求和必要的证明材料。供应商投诉的事项不得超出已质疑事项的范围。</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投诉供应商对政府采购监督管理部门的投诉处理决定不服或者政府采购监督管理部门逾期未作处理的，可以依法申请行政复议或者向人民法院提起行政诉讼。</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投诉供应商有下列行为之一的，属于严重失信行为，由财政部门列入不良行为记录名单，禁止其一至三年内参加政府采购活动。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（1）投诉供应商在全国范围 12 个月内三次以上投诉查无实据的；</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证据来源的合法性存在明显疑问，投诉供应商无法证明其取得方式合法的，视为以非法手段取得证明材料。</w:t>
      </w:r>
      <w:r>
        <w:rPr>
          <w:highlight w:val="none"/>
        </w:rPr>
      </w:r>
    </w:p>
    <w:p>
      <w:pPr>
        <w:ind w:left="0" w:right="0" w:firstLine="482"/>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诚实信用</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之间不得相互串通报价，不得妨碍其他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的公平竞争，不得损害采购人和其他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的合法权益。</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不得以向代理机构工作人员、评标委员会成员行贿或者采取其他不正当手段谋取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。经查实</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有此行为的，政府采购管理部门将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列入不良行为记录名单，按照《政府采购法》有关规定处理。</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提出书面质疑必须有理、有据，不得虚假质疑和恶意质疑，并对质疑内容的真实性承担责任。否则，一经查实，代理机构有权依据政府采购的有关规定，报请政府采购监管部门对该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进行相应的行政处罚并予以公示。如果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或者其他利害关系人通过捏造事实、伪造证明材料等方式提出质疑，干扰招标活动正常进行的，属于严重不良行为，代理机构将提请财政部门将其列入不良行为记录名单，并依法予以处罚。</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不得虚假承诺，否则，按照提供虚假材料谋取</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处理。</w:t>
      </w:r>
      <w:r>
        <w:rPr>
          <w:highlight w:val="none"/>
        </w:rPr>
      </w:r>
    </w:p>
    <w:p>
      <w:pPr>
        <w:ind w:firstLine="480"/>
        <w:jc w:val="left"/>
        <w:spacing w:line="560" w:lineRule="exact"/>
        <w:shd w:val="clear" w:color="auto"/>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应自觉遵守招标、评审纪律，扰乱招标、评标现场秩序的，属于失信行为，根据《江苏省政府采购供应商监督管理暂行办法》，失信行为将被记入供应商诚信档案。</w:t>
      </w:r>
      <w:r>
        <w:rPr>
          <w:highlight w:val="none"/>
        </w:rPr>
      </w:r>
    </w:p>
    <w:p>
      <w:pPr>
        <w:shd w:val="clear" w:color="auto"/>
        <w:rPr>
          <w:color w:val="auto"/>
          <w:highlight w:val="none"/>
        </w:rPr>
      </w:pPr>
      <w:r>
        <w:rPr>
          <w:rFonts w:hint="eastAsia"/>
          <w:color w:val="auto"/>
          <w:highlight w:val="none"/>
        </w:rPr>
        <w:br w:type="page" w:clear="all"/>
      </w:r>
      <w:r>
        <w:rPr>
          <w:highlight w:val="none"/>
        </w:rPr>
      </w:r>
    </w:p>
    <w:p>
      <w:pPr>
        <w:pStyle w:val="689"/>
        <w:jc w:val="center"/>
        <w:spacing w:line="560" w:lineRule="exact"/>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第三章 </w:t>
      </w:r>
      <w:r>
        <w:rPr>
          <w:rFonts w:asciiTheme="minorEastAsia" w:hAnsiTheme="minorEastAsia" w:eastAsiaTheme="minorEastAsia"/>
          <w:color w:val="auto"/>
          <w:highlight w:val="none"/>
        </w:rPr>
        <w:t xml:space="preserve">评标标准</w:t>
      </w:r>
      <w:bookmarkEnd w:id="17"/>
      <w:r>
        <w:rPr>
          <w:highlight w:val="none"/>
        </w:rPr>
      </w:r>
      <w:bookmarkEnd w:id="18"/>
      <w:r>
        <w:rPr>
          <w:highlight w:val="none"/>
        </w:rPr>
      </w:r>
      <w:r>
        <w:rPr>
          <w:highlight w:val="none"/>
        </w:rPr>
      </w:r>
    </w:p>
    <w:p>
      <w:pPr>
        <w:keepLines w:val="0"/>
        <w:keepNext w:val="0"/>
        <w:pageBreakBefore w:val="0"/>
        <w:spacing w:line="560" w:lineRule="exact"/>
        <w:shd w:val="clear" w:color="auto"/>
        <w:widowControl w:val="off"/>
        <w:tabs>
          <w:tab w:val="left" w:pos="7005" w:leader="none"/>
        </w:tabs>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zh-CN"/>
        </w:rPr>
        <w:t xml:space="preserve">一、评标方法</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w:t>
      </w:r>
      <w:r>
        <w:rPr>
          <w:rFonts w:hint="eastAsia" w:ascii="宋体" w:hAnsi="宋体" w:eastAsia="宋体" w:cs="宋体"/>
          <w:color w:val="auto"/>
          <w:sz w:val="24"/>
          <w:szCs w:val="24"/>
          <w:highlight w:val="none"/>
          <w:lang w:eastAsia="zh-CN"/>
        </w:rPr>
        <w:t xml:space="preserve">，按“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、评标标准中</w:t>
      </w:r>
      <w:r>
        <w:rPr>
          <w:rFonts w:hint="eastAsia" w:ascii="宋体" w:hAnsi="宋体" w:cs="宋体"/>
          <w:color w:val="auto"/>
          <w:sz w:val="24"/>
          <w:szCs w:val="24"/>
          <w:highlight w:val="none"/>
          <w:lang w:val="en-US" w:eastAsia="zh-CN"/>
        </w:rPr>
        <w:t xml:space="preserve"> 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的投标人中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提供相同品牌产品且通过资格审查、符合性审查的不同投标人参加同一合同项下投标的，按一家投标人计算，评标后得分最高的同品牌投标人获得中标人推荐资格；评标得分相同的，按照招标文件规定的方式确定一个投标人获得中标人推荐资格，招标文件未规定的采取随机抽取方式确定，其他同品牌投标人不作为中标候选人。(核心产品根据《政府采购货物和服务招标投标管理办法》（财政部令第87号）第三十一条执行）</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3.本国产品价格扣除</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（1）本项目如既有本国产品又有非本国产品参与竞争，依法对本国产品给予价格评审优惠，对本国产品的报价给予20%的价格扣除，用扣除后的价格参与评审。</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left="0"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（5）对本国产品的支持政策与政府采购支持中小企业、节能环保等优惠政策叠加适用，对应执行价格扣除政策的项目，统一在原报价的基础上给予价格扣除。</w:t>
      </w:r>
      <w:r>
        <w:rPr>
          <w:highlight w:val="none"/>
        </w:rPr>
      </w:r>
    </w:p>
    <w:p>
      <w:pPr>
        <w:keepLines w:val="0"/>
        <w:keepNext w:val="0"/>
        <w:pageBreakBefore w:val="0"/>
        <w:spacing w:line="560" w:lineRule="exact"/>
        <w:shd w:val="clear" w:color="auto"/>
        <w:widowControl w:val="off"/>
        <w:tabs>
          <w:tab w:val="left" w:pos="7005" w:leader="none"/>
        </w:tabs>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二、</w:t>
      </w:r>
      <w:r>
        <w:rPr>
          <w:rFonts w:hint="eastAsia" w:asciiTheme="minorEastAsia" w:hAnsiTheme="minorEastAsia" w:eastAsiaTheme="minorEastAsia" w:cstheme="minorEastAsia"/>
          <w:b/>
          <w:color w:val="auto"/>
          <w:sz w:val="28"/>
          <w:szCs w:val="28"/>
          <w:highlight w:val="none"/>
          <w:lang w:val="zh-CN"/>
        </w:rPr>
        <w:t xml:space="preserve">评标委员会启动异常低价投标审查的情形和具体要求</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评标过程中出现下列情形之一的，评标委员会应当启动异常低价投标审查程序： </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（3）投标（响应）报价低于采购项目最高限价45%的，即投标（响应）报价&lt;采购项目最高限价×45%；</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（4）评标委员会基于专业判断，认为投标人报价过低，有可能影响产品质量或者不能诚信履约的其他情形。</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highlight w:val="none"/>
        </w:rPr>
      </w:r>
    </w:p>
    <w:p>
      <w:pPr>
        <w:ind w:left="0" w:right="0" w:firstLine="480"/>
        <w:jc w:val="left"/>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highlight w:val="none"/>
        </w:rPr>
      </w:r>
    </w:p>
    <w:p>
      <w:pPr>
        <w:keepLines w:val="0"/>
        <w:keepNext w:val="0"/>
        <w:pageBreakBefore w:val="0"/>
        <w:spacing w:line="560" w:lineRule="exact"/>
        <w:shd w:val="clear" w:color="auto"/>
        <w:widowControl w:val="off"/>
        <w:tabs>
          <w:tab w:val="left" w:pos="7005" w:leader="none"/>
        </w:tabs>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二</w:t>
      </w:r>
      <w:r>
        <w:rPr>
          <w:rFonts w:hint="eastAsia" w:asciiTheme="minorEastAsia" w:hAnsiTheme="minorEastAsia" w:eastAsiaTheme="minorEastAsia" w:cstheme="minorEastAsia"/>
          <w:b/>
          <w:color w:val="auto"/>
          <w:sz w:val="28"/>
          <w:szCs w:val="28"/>
          <w:highlight w:val="none"/>
          <w:lang w:val="zh-CN"/>
        </w:rPr>
        <w:t xml:space="preserve">、评标标准</w:t>
      </w:r>
      <w:r>
        <w:rPr>
          <w:highlight w:val="none"/>
        </w:rPr>
      </w:r>
    </w:p>
    <w:tbl>
      <w:tblPr>
        <w:tblStyle w:val="719"/>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序号</w:t>
            </w:r>
            <w:r>
              <w:rPr>
                <w:highlight w:val="none"/>
              </w:rPr>
            </w:r>
          </w:p>
        </w:tc>
        <w:tc>
          <w:tcPr>
            <w:tcBorders>
              <w:top w:val="single" w:color="000000" w:sz="2" w:space="0"/>
              <w:bottom w:val="single" w:color="000000" w:sz="2" w:space="0"/>
            </w:tcBorders>
            <w:tcW w:w="1179"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评标因素</w:t>
            </w:r>
            <w:r>
              <w:rPr>
                <w:highlight w:val="none"/>
              </w:rPr>
            </w:r>
          </w:p>
        </w:tc>
        <w:tc>
          <w:tcPr>
            <w:tcBorders>
              <w:top w:val="single" w:color="000000" w:sz="2" w:space="0"/>
              <w:bottom w:val="single" w:color="000000" w:sz="2" w:space="0"/>
            </w:tcBorders>
            <w:tcW w:w="6616"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评标细则</w:t>
            </w:r>
            <w:r>
              <w:rPr>
                <w:highlight w:val="none"/>
              </w:rPr>
            </w:r>
          </w:p>
        </w:tc>
        <w:tc>
          <w:tcPr>
            <w:tcBorders>
              <w:top w:val="single" w:color="000000" w:sz="2" w:space="0"/>
              <w:bottom w:val="single" w:color="000000" w:sz="2" w:space="0"/>
            </w:tcBorders>
            <w:tcW w:w="573"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分值</w:t>
            </w:r>
            <w:r>
              <w:rPr>
                <w:highlight w:val="none"/>
              </w:rPr>
            </w:r>
          </w:p>
        </w:tc>
        <w:tc>
          <w:tcPr>
            <w:tcBorders>
              <w:top w:val="single" w:color="000000" w:sz="2" w:space="0"/>
              <w:bottom w:val="single" w:color="000000" w:sz="2" w:space="0"/>
            </w:tcBorders>
            <w:tcW w:w="860" w:type="dxa"/>
            <w:textDirection w:val="lrTb"/>
            <w:noWrap w:val="false"/>
          </w:tcPr>
          <w:p>
            <w:pPr>
              <w:jc w:val="center"/>
              <w:spacing w:line="560" w:lineRule="exact"/>
              <w:shd w:val="clear" w:color="auto"/>
              <w:rPr>
                <w:rFonts w:hint="eastAsia" w:ascii="宋体" w:hAnsi="宋体" w:eastAsia="宋体" w:cs="宋体"/>
                <w:b/>
                <w:bCs/>
                <w:color w:val="auto"/>
                <w:spacing w:val="-2"/>
                <w:szCs w:val="24"/>
                <w:highlight w:val="none"/>
              </w:rPr>
            </w:pPr>
            <w:r>
              <w:rPr>
                <w:rFonts w:hint="eastAsia" w:ascii="宋体" w:hAnsi="宋体" w:eastAsia="宋体" w:cs="宋体"/>
                <w:b/>
                <w:bCs/>
                <w:color w:val="auto"/>
                <w:spacing w:val="-2"/>
                <w:szCs w:val="24"/>
                <w:highlight w:val="none"/>
              </w:rPr>
              <w:t xml:space="preserve">类型</w:t>
            </w:r>
            <w:r>
              <w:rPr>
                <w:highlight w:val="none"/>
              </w:rPr>
            </w:r>
          </w:p>
        </w:tc>
      </w:tr>
      <w:tr>
        <w:trPr>
          <w:jc w:val="center"/>
          <w:trHeight w:val="460"/>
        </w:trPr>
        <w:tc>
          <w:tcPr>
            <w:gridSpan w:val="5"/>
            <w:tcBorders>
              <w:top w:val="single" w:color="000000" w:sz="2" w:space="0"/>
              <w:bottom w:val="single" w:color="000000" w:sz="2" w:space="0"/>
            </w:tcBorders>
            <w:tcW w:w="9747" w:type="dxa"/>
            <w:textDirection w:val="lrTb"/>
            <w:noWrap w:val="false"/>
          </w:tcPr>
          <w:p>
            <w:pP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1.价</w:t>
            </w:r>
            <w:r>
              <w:rPr>
                <w:rFonts w:hint="eastAsia" w:ascii="宋体" w:hAnsi="宋体" w:eastAsia="宋体" w:cs="宋体"/>
                <w:b/>
                <w:bCs/>
                <w:color w:val="auto"/>
                <w:spacing w:val="-2"/>
                <w:szCs w:val="24"/>
                <w:highlight w:val="none"/>
              </w:rPr>
              <w:t xml:space="preserve">格</w:t>
            </w:r>
            <w:r>
              <w:rPr>
                <w:highlight w:val="none"/>
              </w:rP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1</w:t>
            </w:r>
            <w:r>
              <w:rPr>
                <w:rFonts w:hint="eastAsia" w:ascii="宋体" w:hAnsi="宋体" w:eastAsia="宋体" w:cs="宋体"/>
                <w:color w:val="auto"/>
                <w:spacing w:val="-5"/>
                <w:szCs w:val="24"/>
                <w:highlight w:val="none"/>
              </w:rPr>
              <w:t xml:space="preserve">.1</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2"/>
                <w:szCs w:val="24"/>
                <w:highlight w:val="none"/>
              </w:rPr>
              <w:t xml:space="preserve">价格分</w:t>
            </w:r>
            <w:r>
              <w:rPr>
                <w:highlight w:val="none"/>
              </w:rP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1"/>
                <w:szCs w:val="24"/>
                <w:highlight w:val="none"/>
              </w:rPr>
              <w:t xml:space="preserve">采用低价优先</w:t>
            </w:r>
            <w:r>
              <w:rPr>
                <w:rFonts w:hint="eastAsia" w:ascii="宋体" w:hAnsi="宋体" w:eastAsia="宋体" w:cs="宋体"/>
                <w:color w:val="auto"/>
                <w:szCs w:val="24"/>
                <w:highlight w:val="none"/>
              </w:rPr>
              <w:t xml:space="preserve">法计算，即满足招标文件要求且投标价格最低的投标</w:t>
            </w:r>
            <w:r>
              <w:rPr>
                <w:rFonts w:hint="eastAsia" w:ascii="宋体" w:hAnsi="宋体" w:eastAsia="宋体" w:cs="宋体"/>
                <w:color w:val="auto"/>
                <w:spacing w:val="1"/>
                <w:szCs w:val="24"/>
                <w:highlight w:val="none"/>
              </w:rPr>
              <w:t xml:space="preserve">报价为评标基准</w:t>
            </w:r>
            <w:r>
              <w:rPr>
                <w:rFonts w:hint="eastAsia" w:ascii="宋体" w:hAnsi="宋体" w:eastAsia="宋体" w:cs="宋体"/>
                <w:color w:val="auto"/>
                <w:szCs w:val="24"/>
                <w:highlight w:val="none"/>
              </w:rPr>
              <w:t xml:space="preserve">价，其价格分为满分。其他投标人的价格分统一按</w:t>
            </w:r>
            <w:r>
              <w:rPr>
                <w:rFonts w:hint="eastAsia" w:ascii="宋体" w:hAnsi="宋体" w:eastAsia="宋体" w:cs="宋体"/>
                <w:color w:val="auto"/>
                <w:spacing w:val="-1"/>
                <w:szCs w:val="24"/>
                <w:highlight w:val="none"/>
              </w:rPr>
              <w:t xml:space="preserve">照下列公</w:t>
            </w:r>
            <w:r>
              <w:rPr>
                <w:rFonts w:hint="eastAsia" w:ascii="宋体" w:hAnsi="宋体" w:eastAsia="宋体" w:cs="宋体"/>
                <w:color w:val="auto"/>
                <w:szCs w:val="24"/>
                <w:highlight w:val="none"/>
              </w:rPr>
              <w:t xml:space="preserve">式计算：投标报价得分=（评标基准价/投标报价）×30（小数点保留两位）</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30</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价格分</w:t>
            </w:r>
            <w:r>
              <w:rPr>
                <w:highlight w:val="none"/>
              </w:rPr>
            </w:r>
          </w:p>
        </w:tc>
      </w:tr>
      <w:tr>
        <w:trPr>
          <w:jc w:val="center"/>
          <w:trHeight w:val="454"/>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b/>
                <w:bCs/>
                <w:color w:val="auto"/>
                <w:spacing w:val="-2"/>
                <w:szCs w:val="24"/>
                <w:highlight w:val="none"/>
              </w:rPr>
              <w:t xml:space="preserve">2.技术</w:t>
            </w:r>
            <w:r>
              <w:rPr>
                <w:highlight w:val="none"/>
              </w:rP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2.1</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产品技术参数</w:t>
            </w:r>
            <w:r>
              <w:rPr>
                <w:highlight w:val="none"/>
              </w:rP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产品技术参数全部满足招标要求的得满分</w:t>
            </w:r>
            <w:r>
              <w:rPr>
                <w:rFonts w:hint="eastAsia" w:ascii="宋体" w:hAnsi="宋体" w:eastAsia="宋体" w:cs="宋体"/>
                <w:color w:val="auto"/>
                <w:spacing w:val="1"/>
                <w:szCs w:val="24"/>
                <w:highlight w:val="none"/>
                <w:lang w:val="en-US" w:eastAsia="zh-CN"/>
              </w:rPr>
              <w:t xml:space="preserve">10</w:t>
            </w:r>
            <w:r>
              <w:rPr>
                <w:rFonts w:hint="eastAsia" w:ascii="宋体" w:hAnsi="宋体" w:eastAsia="宋体" w:cs="宋体"/>
                <w:color w:val="auto"/>
                <w:spacing w:val="1"/>
                <w:szCs w:val="24"/>
                <w:highlight w:val="none"/>
              </w:rPr>
              <w:t xml:space="preserve">分；</w:t>
            </w:r>
            <w:r>
              <w:rPr>
                <w:highlight w:val="none"/>
              </w:rP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打▲号指标为重要指标，有一项负偏离扣</w:t>
            </w:r>
            <w:r>
              <w:rPr>
                <w:rFonts w:hint="eastAsia" w:ascii="宋体" w:hAnsi="宋体" w:eastAsia="宋体" w:cs="宋体"/>
                <w:color w:val="auto"/>
                <w:spacing w:val="1"/>
                <w:szCs w:val="24"/>
                <w:highlight w:val="none"/>
                <w:lang w:val="en-US" w:eastAsia="zh-CN"/>
              </w:rPr>
              <w:t xml:space="preserve">2</w:t>
            </w:r>
            <w:r>
              <w:rPr>
                <w:rFonts w:hint="eastAsia" w:ascii="宋体" w:hAnsi="宋体" w:eastAsia="宋体" w:cs="宋体"/>
                <w:color w:val="auto"/>
                <w:spacing w:val="1"/>
                <w:szCs w:val="24"/>
                <w:highlight w:val="none"/>
              </w:rPr>
              <w:t xml:space="preserve">分；</w:t>
            </w:r>
            <w:r>
              <w:rPr>
                <w:highlight w:val="none"/>
              </w:rP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非打▲号指标，有一项负偏离扣</w:t>
            </w:r>
            <w:r>
              <w:rPr>
                <w:rFonts w:hint="eastAsia" w:ascii="宋体" w:hAnsi="宋体" w:eastAsia="宋体" w:cs="宋体"/>
                <w:color w:val="auto"/>
                <w:spacing w:val="1"/>
                <w:szCs w:val="24"/>
                <w:highlight w:val="none"/>
                <w:lang w:val="en-US" w:eastAsia="zh-CN"/>
              </w:rPr>
              <w:t xml:space="preserve">1</w:t>
            </w:r>
            <w:r>
              <w:rPr>
                <w:rFonts w:hint="eastAsia" w:ascii="宋体" w:hAnsi="宋体" w:eastAsia="宋体" w:cs="宋体"/>
                <w:color w:val="auto"/>
                <w:spacing w:val="1"/>
                <w:szCs w:val="24"/>
                <w:highlight w:val="none"/>
              </w:rPr>
              <w:t xml:space="preserve">分，扣完为止。</w:t>
            </w:r>
            <w:r>
              <w:rPr>
                <w:highlight w:val="none"/>
              </w:rP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严重负偏离且影响产品性能的，经半数以上评标委员会认定，本项不得分</w:t>
            </w:r>
            <w:r>
              <w:rPr>
                <w:rFonts w:hint="eastAsia" w:ascii="宋体" w:hAnsi="宋体" w:eastAsia="宋体" w:cs="宋体"/>
                <w:color w:val="auto"/>
                <w:spacing w:val="1"/>
                <w:szCs w:val="24"/>
                <w:highlight w:val="none"/>
                <w:lang w:eastAsia="zh-CN"/>
              </w:rPr>
              <w:t xml:space="preserve">。</w:t>
            </w:r>
            <w:r>
              <w:rPr>
                <w:highlight w:val="none"/>
              </w:rPr>
            </w:r>
          </w:p>
          <w:p>
            <w:pPr>
              <w:jc w:val="left"/>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lang w:eastAsia="zh-CN"/>
              </w:rPr>
              <w:t xml:space="preserve">注：①投标人需在“技术要求响应及偏离表”中如实详细填列所投产品的参数，并按采购文件要求提供证明材料并在偏离表中标明所在页码，否则评标委员会有权做负偏离处理。②检测报告原件备查；③检测报告中的产品名称可略有差异，以产品功能是否符合本次招标要求为准，具体由评委现场评审。评分功能参数可用箭头、标红或下划线等进行明显标注。</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4"/>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rPr>
                <w:highlight w:val="none"/>
              </w:rPr>
            </w:r>
          </w:p>
        </w:tc>
      </w:tr>
      <w:tr>
        <w:trPr>
          <w:jc w:val="center"/>
          <w:trHeight w:val="455"/>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3.业绩</w:t>
            </w:r>
            <w:r>
              <w:rPr>
                <w:highlight w:val="none"/>
              </w:rP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3.1</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1"/>
                <w:szCs w:val="24"/>
                <w:highlight w:val="none"/>
              </w:rPr>
              <w:t xml:space="preserve">投标人业绩</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投标人提供2023年4月1日（含）以来类似项目业绩，每提供1个得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分，最多得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highlight w:val="none"/>
              </w:rPr>
            </w:r>
          </w:p>
          <w:p>
            <w:pP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（时间以竣工时间为准，提供中标通知书、合同及竣工验收证明原件扫描件，加盖公章）</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9</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rPr>
                <w:highlight w:val="none"/>
              </w:rPr>
            </w:r>
          </w:p>
        </w:tc>
      </w:tr>
      <w:tr>
        <w:trPr>
          <w:jc w:val="center"/>
          <w:trHeight w:val="269"/>
        </w:trPr>
        <w:tc>
          <w:tcPr>
            <w:gridSpan w:val="5"/>
            <w:tcBorders>
              <w:top w:val="single" w:color="000000" w:sz="2" w:space="0"/>
              <w:bottom w:val="single" w:color="000000" w:sz="2" w:space="0"/>
            </w:tcBorders>
            <w:tcW w:w="9747" w:type="dxa"/>
            <w:textDirection w:val="lrTb"/>
            <w:noWrap w:val="false"/>
          </w:tcPr>
          <w:p>
            <w:pPr>
              <w:jc w:val="left"/>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b/>
                <w:bCs/>
                <w:color w:val="auto"/>
                <w:spacing w:val="-3"/>
                <w:szCs w:val="24"/>
                <w:highlight w:val="none"/>
              </w:rPr>
              <w:t xml:space="preserve">4.履约能力</w:t>
            </w:r>
            <w:r>
              <w:rPr>
                <w:highlight w:val="none"/>
              </w:rP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4.1</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1"/>
                <w:highlight w:val="none"/>
              </w:rPr>
            </w:pPr>
            <w:r>
              <w:rPr>
                <w:rFonts w:hint="eastAsia" w:ascii="宋体" w:hAnsi="宋体" w:eastAsia="宋体" w:cs="宋体"/>
                <w:color w:val="auto"/>
                <w:spacing w:val="-1"/>
                <w:szCs w:val="24"/>
                <w:highlight w:val="none"/>
              </w:rPr>
              <w:t xml:space="preserve">履约能力1</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技术负责人（不可兼任项目负责人）具有电力工程专业中级及以上工程师职称证书的，得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证书复印件及社保机构出具的近半年（2025年10月至2026年04月）内至少一个月供应商为其缴纳的由劳动和社会保障部门出具的养老保险缴纳凭证复印件加盖公章，（须明确缴费月份、个人姓名、缴费单位，且加盖社保中心或社保中心参保缴费明电子专用章）若提供的证明材料不全或未提供社保证明材料的，则该项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4"/>
                <w:highlight w:val="none"/>
              </w:rPr>
              <w:t xml:space="preserve">4</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rPr>
                <w:highlight w:val="none"/>
              </w:rP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4.2</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1"/>
                <w:highlight w:val="none"/>
              </w:rPr>
            </w:pPr>
            <w:r>
              <w:rPr>
                <w:rFonts w:hint="eastAsia" w:ascii="宋体" w:hAnsi="宋体" w:eastAsia="宋体" w:cs="宋体"/>
                <w:color w:val="auto"/>
                <w:spacing w:val="-1"/>
                <w:szCs w:val="24"/>
                <w:highlight w:val="none"/>
              </w:rPr>
              <w:t xml:space="preserve">履约能力2</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供应商为本项目配置的其他管理人员（不含项目负责人、技术负责人），包括施工员、质量员、安全员、材料员、预算员、资料员。人员岗位须配置齐全得满分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人员均须提供相关证明证书、近半年（2025年10月至2026年04月）内至少一个月供应商为其缴纳的由劳动和社会保障部门出具的养老保险缴纳凭证复印件加盖公章（须明确缴费月份、个人姓名、缴费单位，且加盖社保中心或社保中心参保缴费明电子专用章）。若提供的证明材料不全或未提供社保证明材料的，则该项不得分。注：同一人不得重复计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4"/>
                <w:highlight w:val="none"/>
              </w:rPr>
              <w:t xml:space="preserve">3</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 xml:space="preserve">客</w:t>
            </w:r>
            <w:r>
              <w:rPr>
                <w:rFonts w:hint="eastAsia" w:ascii="宋体" w:hAnsi="宋体" w:eastAsia="宋体" w:cs="宋体"/>
                <w:color w:val="auto"/>
                <w:spacing w:val="-4"/>
                <w:szCs w:val="24"/>
                <w:highlight w:val="none"/>
              </w:rPr>
              <w:t xml:space="preserve">观分</w:t>
            </w:r>
            <w:r>
              <w:rPr>
                <w:highlight w:val="none"/>
              </w:rPr>
            </w:r>
          </w:p>
        </w:tc>
      </w:tr>
      <w:tr>
        <w:trPr>
          <w:jc w:val="center"/>
          <w:trHeight w:val="760"/>
        </w:trPr>
        <w:tc>
          <w:tcPr>
            <w:gridSpan w:val="5"/>
            <w:tcBorders>
              <w:top w:val="single" w:color="000000" w:sz="2" w:space="0"/>
              <w:bottom w:val="single" w:color="000000" w:sz="2" w:space="0"/>
            </w:tcBorders>
            <w:tcW w:w="9747" w:type="dxa"/>
            <w:vAlign w:val="center"/>
            <w:textDirection w:val="lrTb"/>
            <w:noWrap w:val="false"/>
          </w:tcPr>
          <w:p>
            <w:pPr>
              <w:jc w:val="left"/>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b/>
                <w:bCs/>
                <w:color w:val="auto"/>
                <w:spacing w:val="-3"/>
                <w:szCs w:val="24"/>
                <w:highlight w:val="none"/>
              </w:rPr>
              <w:t xml:space="preserve">5.服务</w:t>
            </w:r>
            <w:r>
              <w:rPr>
                <w:highlight w:val="none"/>
              </w:rP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5.1</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总体概述</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根据供应商对本项目总体概述：安装总体设想、方案针对性等要求进行打分：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（1）安装总体设想、方案清晰、完整、严谨的得10分；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（2）安装总体设想、方案较清晰、较完整、较严谨的得7分；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（3）安装总体总体设想、方案基本清晰、基本完整、基本严谨的得4分；（4）安装总体设想、方案不清晰、不完整、不严谨的得1分；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rPr>
                <w:highlight w:val="none"/>
              </w:rP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5.2</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难点和风险点的把握及应对措施</w:t>
            </w:r>
            <w:r>
              <w:rPr>
                <w:highlight w:val="none"/>
              </w:rPr>
            </w:r>
          </w:p>
        </w:tc>
        <w:tc>
          <w:tcPr>
            <w:tcBorders>
              <w:top w:val="single" w:color="000000" w:sz="2" w:space="0"/>
              <w:bottom w:val="single" w:color="000000" w:sz="2" w:space="0"/>
            </w:tcBorders>
            <w:tcW w:w="6616" w:type="dxa"/>
            <w:vAlign w:val="center"/>
            <w:textDirection w:val="lrTb"/>
            <w:noWrap w:val="false"/>
          </w:tcPr>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评委根据供应商提供的对本项目实施过程中可能遇到的各种难点和风险点把握及应对措施进行综合评分</w:t>
            </w:r>
            <w:r>
              <w:rPr>
                <w:rFonts w:hint="eastAsia" w:ascii="宋体" w:hAnsi="宋体" w:eastAsia="宋体" w:cs="宋体"/>
                <w:color w:val="auto"/>
                <w:szCs w:val="21"/>
                <w:highlight w:val="none"/>
                <w:lang w:bidi="ar"/>
              </w:rPr>
              <w:t xml:space="preserve">。</w:t>
            </w:r>
            <w:r>
              <w:rPr>
                <w:highlight w:val="none"/>
              </w:rP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（1）对项目实施中的难点和风险点把握全面，应对措施切实可行，针对性强及实际操作性强的得10分；</w:t>
            </w:r>
            <w:r>
              <w:rPr>
                <w:highlight w:val="none"/>
              </w:rP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（2）对项目实施中的难点和风险点把握全面，应对措施切实可行的得7分；</w:t>
            </w:r>
            <w:r>
              <w:rPr>
                <w:highlight w:val="none"/>
              </w:rP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（3）对项目实施中的难点和风险点把握基本全面，应对措施基本切实可行但缺乏针对性的得4分；</w:t>
            </w:r>
            <w:r>
              <w:rPr>
                <w:highlight w:val="none"/>
              </w:rP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（4）对项目实施中的难点和风险点把握不够全面，应对措施可行性欠缺的得1分；</w:t>
            </w:r>
            <w:r>
              <w:rPr>
                <w:highlight w:val="none"/>
              </w:rPr>
            </w:r>
          </w:p>
          <w:p>
            <w:pPr>
              <w:jc w:val="left"/>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rPr>
                <w:highlight w:val="none"/>
              </w:rP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2"/>
                <w:szCs w:val="24"/>
                <w:highlight w:val="none"/>
              </w:rPr>
              <w:t xml:space="preserve">5.3</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安装进度计划和进度保证措施</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根据供应商对本项目安装进度计划和各阶段进度的保证措施进行打分：（1）安装进度计划完善、进度保证措施合理的得10分；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（2）安装进度计划较完善、进度保证措施较合理的得7分；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（3）安装进度计划基本完善、进度保证措施基本合理的得4分；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（4）安装进度计划不完善、进度保证措施不合理的得1分；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（5）未提供不得分。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rPr>
                <w:highlight w:val="none"/>
              </w:rP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3"/>
                <w:szCs w:val="24"/>
                <w:highlight w:val="none"/>
              </w:rPr>
            </w:pPr>
            <w:r>
              <w:rPr>
                <w:rFonts w:hint="eastAsia" w:ascii="宋体" w:hAnsi="宋体" w:eastAsia="宋体" w:cs="宋体"/>
                <w:color w:val="auto"/>
                <w:spacing w:val="-2"/>
                <w:szCs w:val="24"/>
                <w:highlight w:val="none"/>
              </w:rPr>
              <w:t xml:space="preserve">5.4</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56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zCs w:val="21"/>
                <w:highlight w:val="none"/>
              </w:rPr>
              <w:t xml:space="preserve">风险应急预案</w:t>
            </w:r>
            <w:r>
              <w:rPr>
                <w:highlight w:val="none"/>
              </w:rPr>
            </w:r>
          </w:p>
        </w:tc>
        <w:tc>
          <w:tcPr>
            <w:tcBorders>
              <w:top w:val="single" w:color="000000" w:sz="2" w:space="0"/>
              <w:bottom w:val="single" w:color="000000" w:sz="2" w:space="0"/>
            </w:tcBorders>
            <w:tcW w:w="6616" w:type="dxa"/>
            <w:vAlign w:val="center"/>
            <w:textDirection w:val="lrTb"/>
            <w:noWrap w:val="false"/>
          </w:tcPr>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评委根据供应商提供的风险应急预案进行综合评分：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（1）风险应急预案内容详细具体、可操作性强的得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（2）风险应急预案内容较详细具体、可操作性较强的得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highlight w:val="none"/>
              </w:rPr>
            </w:r>
          </w:p>
          <w:p>
            <w:pPr>
              <w:ind w:firstLine="0"/>
              <w:jc w:val="both"/>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（3）风险应急预案内容基本符合项目需求，具备基本可操作性的得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rPr>
                <w:highlight w:val="none"/>
              </w:rPr>
            </w:r>
          </w:p>
          <w:p>
            <w:pP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Cs w:val="21"/>
                <w:highlight w:val="none"/>
              </w:rPr>
              <w:t xml:space="preserve">未提供不得分。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9</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rPr>
                <w:highlight w:val="none"/>
              </w:rP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560" w:lineRule="exact"/>
              <w:shd w:val="clear" w:color="auto"/>
              <w:rPr>
                <w:rFonts w:hint="eastAsia" w:ascii="宋体" w:hAnsi="宋体" w:eastAsia="宋体" w:cs="宋体"/>
                <w:color w:val="auto"/>
                <w:spacing w:val="-3"/>
                <w:szCs w:val="24"/>
                <w:highlight w:val="none"/>
              </w:rPr>
            </w:pPr>
            <w:r>
              <w:rPr>
                <w:rFonts w:hint="eastAsia" w:ascii="宋体" w:hAnsi="宋体" w:eastAsia="宋体" w:cs="宋体"/>
                <w:color w:val="auto"/>
                <w:spacing w:val="-2"/>
                <w:szCs w:val="24"/>
                <w:highlight w:val="none"/>
              </w:rPr>
              <w:t xml:space="preserve">5.5</w:t>
            </w:r>
            <w:r>
              <w:rPr>
                <w:highlight w:val="none"/>
              </w:rPr>
            </w:r>
          </w:p>
        </w:tc>
        <w:tc>
          <w:tcPr>
            <w:tcBorders>
              <w:top w:val="single" w:color="000000" w:sz="2" w:space="0"/>
              <w:bottom w:val="single" w:color="000000" w:sz="2" w:space="0"/>
            </w:tcBorders>
            <w:tcW w:w="1179" w:type="dxa"/>
            <w:vAlign w:val="center"/>
            <w:textDirection w:val="lrTb"/>
            <w:noWrap w:val="false"/>
          </w:tcPr>
          <w:p>
            <w:pPr>
              <w:jc w:val="center"/>
              <w:spacing w:line="440" w:lineRule="exact"/>
              <w:shd w:val="clear" w:color="auto"/>
              <w:rPr>
                <w:rFonts w:hint="eastAsia" w:ascii="宋体" w:hAnsi="宋体" w:eastAsia="宋体" w:cs="宋体"/>
                <w:color w:val="auto"/>
                <w:spacing w:val="-1"/>
                <w:szCs w:val="24"/>
                <w:highlight w:val="none"/>
              </w:rPr>
            </w:pPr>
            <w:r>
              <w:rPr>
                <w:rFonts w:hint="eastAsia" w:ascii="宋体" w:hAnsi="宋体" w:eastAsia="宋体" w:cs="宋体"/>
                <w:color w:val="auto"/>
                <w:spacing w:val="-1"/>
                <w:szCs w:val="24"/>
                <w:highlight w:val="none"/>
              </w:rPr>
              <w:t xml:space="preserve">售后服务方案</w:t>
            </w:r>
            <w:r>
              <w:rPr>
                <w:highlight w:val="none"/>
              </w:rPr>
            </w:r>
          </w:p>
        </w:tc>
        <w:tc>
          <w:tcPr>
            <w:tcBorders>
              <w:top w:val="single" w:color="000000" w:sz="2" w:space="0"/>
              <w:bottom w:val="single" w:color="000000" w:sz="2" w:space="0"/>
            </w:tcBorders>
            <w:tcW w:w="6616" w:type="dxa"/>
            <w:textDirection w:val="lrTb"/>
            <w:noWrap w:val="false"/>
          </w:tcPr>
          <w:p>
            <w:pPr>
              <w:jc w:val="left"/>
              <w:spacing w:line="440" w:lineRule="exact"/>
              <w:shd w:val="clear" w:color="auto"/>
              <w:widowControl/>
              <w:rPr>
                <w:rFonts w:hint="eastAsia" w:ascii="宋体" w:hAnsi="宋体" w:eastAsia="宋体" w:cs="宋体"/>
                <w:color w:val="auto"/>
                <w:szCs w:val="21"/>
                <w:highlight w:val="none"/>
              </w:rPr>
            </w:pPr>
            <w:r>
              <w:rPr>
                <w:rFonts w:hint="eastAsia" w:ascii="Times New Roman" w:hAnsi="Times New Roman" w:eastAsia="宋体" w:cs="宋体"/>
                <w:color w:val="auto"/>
                <w:szCs w:val="24"/>
                <w:highlight w:val="none"/>
              </w:rPr>
              <w:t xml:space="preserve">评</w:t>
            </w:r>
            <w:r>
              <w:rPr>
                <w:rFonts w:hint="eastAsia" w:ascii="宋体" w:hAnsi="宋体" w:eastAsia="宋体" w:cs="宋体"/>
                <w:color w:val="auto"/>
                <w:szCs w:val="21"/>
                <w:highlight w:val="none"/>
                <w:lang w:bidi="ar"/>
              </w:rPr>
              <w:t xml:space="preserve">委根据项目需求提供售后服务方案，方案包括但不限于售后人员、维修响应时间等进行综合评分：</w:t>
            </w:r>
            <w:r>
              <w:rPr>
                <w:highlight w:val="none"/>
              </w:rPr>
            </w:r>
          </w:p>
          <w:p>
            <w:pPr>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（1）售后方案内容详实、科学、合理，考虑周全，响应时间迅速，服务人员齐备得5分；</w:t>
            </w:r>
            <w:r>
              <w:rPr>
                <w:highlight w:val="none"/>
              </w:rPr>
            </w:r>
          </w:p>
          <w:p>
            <w:pPr>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（2）售后方案内容详实、考虑较全，响应时间较迅速，服务人员较齐全得3分；</w:t>
            </w:r>
            <w:r>
              <w:rPr>
                <w:highlight w:val="none"/>
              </w:rPr>
            </w:r>
          </w:p>
          <w:p>
            <w:pPr>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（3）方案表述简单，响应时间速度一般得1分；</w:t>
            </w:r>
            <w:r>
              <w:rPr>
                <w:highlight w:val="none"/>
              </w:rPr>
            </w:r>
          </w:p>
          <w:p>
            <w:pPr>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（4）未提供不得分。</w:t>
            </w:r>
            <w:r>
              <w:rPr>
                <w:highlight w:val="none"/>
              </w:rPr>
            </w:r>
          </w:p>
        </w:tc>
        <w:tc>
          <w:tcPr>
            <w:tcBorders>
              <w:top w:val="single" w:color="000000" w:sz="2" w:space="0"/>
              <w:bottom w:val="single" w:color="000000" w:sz="2" w:space="0"/>
            </w:tcBorders>
            <w:tcW w:w="57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highlight w:val="none"/>
              </w:rPr>
            </w:r>
          </w:p>
        </w:tc>
        <w:tc>
          <w:tcPr>
            <w:tcBorders>
              <w:top w:val="single" w:color="000000" w:sz="2" w:space="0"/>
              <w:bottom w:val="single" w:color="000000" w:sz="2" w:space="0"/>
            </w:tcBorders>
            <w:tcW w:w="860" w:type="dxa"/>
            <w:vAlign w:val="center"/>
            <w:textDirection w:val="lrTb"/>
            <w:noWrap w:val="false"/>
          </w:tcPr>
          <w:p>
            <w:pPr>
              <w:jc w:val="center"/>
              <w:spacing w:line="560" w:lineRule="exact"/>
              <w:shd w:val="clear" w:color="auto"/>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主</w:t>
            </w:r>
            <w:r>
              <w:rPr>
                <w:rFonts w:hint="eastAsia" w:ascii="宋体" w:hAnsi="宋体" w:eastAsia="宋体" w:cs="宋体"/>
                <w:color w:val="auto"/>
                <w:spacing w:val="-4"/>
                <w:szCs w:val="24"/>
                <w:highlight w:val="none"/>
              </w:rPr>
              <w:t xml:space="preserve">观分</w:t>
            </w:r>
            <w:r>
              <w:rPr>
                <w:highlight w:val="none"/>
              </w:rPr>
            </w:r>
          </w:p>
        </w:tc>
      </w:tr>
      <w:tr>
        <w:trPr>
          <w:jc w:val="center"/>
          <w:trHeight w:val="464"/>
        </w:trPr>
        <w:tc>
          <w:tcPr>
            <w:gridSpan w:val="3"/>
            <w:tcBorders>
              <w:top w:val="single" w:color="000000" w:sz="2" w:space="0"/>
              <w:bottom w:val="single" w:color="000000" w:sz="2" w:space="0"/>
            </w:tcBorders>
            <w:tcW w:w="8314" w:type="dxa"/>
            <w:vAlign w:val="center"/>
            <w:textDirection w:val="lrTb"/>
            <w:noWrap w:val="false"/>
          </w:tcPr>
          <w:p>
            <w:pPr>
              <w:jc w:val="center"/>
              <w:spacing w:line="560" w:lineRule="exact"/>
              <w:shd w:val="clear" w:color="auto"/>
              <w:rPr>
                <w:rFonts w:hint="eastAsia" w:ascii="宋体" w:hAnsi="宋体" w:eastAsia="宋体" w:cs="宋体"/>
                <w:color w:val="auto"/>
                <w:spacing w:val="-2"/>
                <w:szCs w:val="24"/>
                <w:highlight w:val="none"/>
              </w:rPr>
            </w:pPr>
            <w:r>
              <w:rPr>
                <w:rFonts w:hint="eastAsia" w:ascii="宋体" w:hAnsi="宋体" w:eastAsia="宋体" w:cs="宋体"/>
                <w:color w:val="auto"/>
                <w:spacing w:val="-3"/>
                <w:szCs w:val="24"/>
                <w:highlight w:val="none"/>
              </w:rPr>
              <w:t xml:space="preserve">合</w:t>
            </w:r>
            <w:r>
              <w:rPr>
                <w:rFonts w:hint="eastAsia" w:ascii="宋体" w:hAnsi="宋体" w:eastAsia="宋体" w:cs="宋体"/>
                <w:color w:val="auto"/>
                <w:spacing w:val="-2"/>
                <w:szCs w:val="24"/>
                <w:highlight w:val="none"/>
              </w:rPr>
              <w:t xml:space="preserve">计</w:t>
            </w:r>
            <w:r>
              <w:rPr>
                <w:highlight w:val="none"/>
              </w:rPr>
            </w:r>
          </w:p>
        </w:tc>
        <w:tc>
          <w:tcPr>
            <w:gridSpan w:val="2"/>
            <w:tcBorders>
              <w:top w:val="single" w:color="000000" w:sz="2" w:space="0"/>
              <w:bottom w:val="single" w:color="000000" w:sz="2" w:space="0"/>
            </w:tcBorders>
            <w:tcW w:w="1433" w:type="dxa"/>
            <w:vAlign w:val="center"/>
            <w:textDirection w:val="lrTb"/>
            <w:noWrap w:val="false"/>
          </w:tcPr>
          <w:p>
            <w:pPr>
              <w:jc w:val="center"/>
              <w:spacing w:line="560" w:lineRule="exact"/>
              <w:shd w:val="clear" w:color="auto"/>
              <w:rPr>
                <w:rFonts w:hint="eastAsia" w:ascii="宋体" w:hAnsi="宋体" w:eastAsia="宋体" w:cs="宋体"/>
                <w:color w:val="auto"/>
                <w:szCs w:val="24"/>
                <w:highlight w:val="none"/>
              </w:rPr>
            </w:pPr>
            <w:r>
              <w:rPr>
                <w:rFonts w:hint="eastAsia" w:ascii="宋体" w:hAnsi="宋体" w:eastAsia="宋体" w:cs="宋体"/>
                <w:color w:val="auto"/>
                <w:spacing w:val="-11"/>
                <w:szCs w:val="24"/>
                <w:highlight w:val="none"/>
              </w:rPr>
              <w:t xml:space="preserve">100分</w:t>
            </w:r>
            <w:r>
              <w:rPr>
                <w:highlight w:val="none"/>
              </w:rPr>
            </w:r>
          </w:p>
        </w:tc>
      </w:tr>
    </w:tbl>
    <w:p>
      <w:pPr>
        <w:pStyle w:val="696"/>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696"/>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注：除评分标准中另有说明外，所有认证、证明和业绩均以有效的证明文件的复印件为依据。</w:t>
      </w:r>
      <w:r>
        <w:rPr>
          <w:highlight w:val="none"/>
        </w:rPr>
      </w:r>
    </w:p>
    <w:p>
      <w:pPr>
        <w:shd w:val="clear" w:color="auto"/>
        <w:rPr>
          <w:color w:val="auto"/>
          <w:highlight w:val="none"/>
        </w:rPr>
      </w:pPr>
      <w:r>
        <w:rPr>
          <w:rFonts w:hint="eastAsia"/>
          <w:color w:val="auto"/>
          <w:highlight w:val="none"/>
        </w:rPr>
        <w:br w:type="page" w:clear="all"/>
      </w:r>
      <w:r>
        <w:rPr>
          <w:highlight w:val="none"/>
        </w:rPr>
      </w:r>
    </w:p>
    <w:p>
      <w:pPr>
        <w:pStyle w:val="689"/>
        <w:ind w:left="0" w:right="0" w:firstLine="0"/>
        <w:jc w:val="center"/>
        <w:keepLines/>
        <w:keepNext/>
        <w:pageBreakBefore w:val="0"/>
        <w:spacing w:before="313" w:after="313" w:line="560" w:lineRule="exact"/>
        <w:shd w:val="clear" w:color="auto"/>
        <w:widowControl w:val="off"/>
        <w:rPr>
          <w:rFonts w:hint="eastAsia" w:ascii="宋体" w:hAnsi="宋体" w:eastAsia="宋体" w:cs="宋体"/>
          <w:b w:val="0"/>
          <w:color w:val="auto"/>
          <w:sz w:val="36"/>
          <w:highlight w:val="none"/>
        </w:rPr>
      </w:pPr>
      <w:r>
        <w:rPr>
          <w:highlight w:val="none"/>
        </w:rPr>
      </w:r>
      <w:bookmarkStart w:id="22" w:name="_Toc22141"/>
      <w:r>
        <w:rPr>
          <w:highlight w:val="none"/>
        </w:rPr>
      </w:r>
      <w:bookmarkStart w:id="23" w:name="_Toc9476"/>
      <w:r>
        <w:rPr>
          <w:highlight w:val="none"/>
        </w:rPr>
      </w:r>
      <w:bookmarkStart w:id="24" w:name="_Toc12169"/>
      <w:r>
        <w:rPr>
          <w:highlight w:val="none"/>
        </w:rPr>
      </w:r>
      <w:bookmarkStart w:id="25" w:name="_Toc17700"/>
      <w:r>
        <w:rPr>
          <w:rFonts w:hint="eastAsia" w:ascii="宋体" w:hAnsi="宋体" w:eastAsia="宋体" w:cs="宋体"/>
          <w:color w:val="auto"/>
          <w:highlight w:val="none"/>
        </w:rPr>
        <w:t xml:space="preserve">第四章 招标项目的</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要求和数量等</w:t>
      </w:r>
      <w:bookmarkEnd w:id="22"/>
      <w:r>
        <w:rPr>
          <w:highlight w:val="none"/>
        </w:rPr>
      </w:r>
      <w:bookmarkEnd w:id="23"/>
      <w:r>
        <w:rPr>
          <w:highlight w:val="none"/>
        </w:rPr>
      </w:r>
      <w:bookmarkEnd w:id="24"/>
      <w:r>
        <w:rPr>
          <w:highlight w:val="none"/>
        </w:rPr>
      </w:r>
      <w:bookmarkEnd w:id="25"/>
      <w:r>
        <w:rPr>
          <w:highlight w:val="none"/>
        </w:rPr>
      </w:r>
      <w:r>
        <w:rPr>
          <w:highlight w:val="none"/>
        </w:rPr>
      </w:r>
    </w:p>
    <w:p>
      <w:pPr>
        <w:ind w:left="0" w:right="0" w:firstLine="562"/>
        <w:keepLines w:val="0"/>
        <w:keepNext w:val="0"/>
        <w:pageBreakBefore w:val="0"/>
        <w:spacing w:line="560" w:lineRule="exact"/>
        <w:shd w:val="clear" w:color="auto"/>
        <w:widowControl w:val="off"/>
        <w:tabs>
          <w:tab w:val="left" w:pos="7005" w:leader="none"/>
        </w:tabs>
        <w:rPr>
          <w:rFonts w:hint="eastAsia" w:ascii="宋体" w:hAnsi="宋体" w:eastAsia="宋体" w:cs="宋体"/>
          <w:b/>
          <w:color w:val="auto"/>
          <w:sz w:val="28"/>
          <w:szCs w:val="28"/>
          <w:highlight w:val="none"/>
        </w:rPr>
        <w:outlineLvl w:val="1"/>
      </w:pPr>
      <w:r>
        <w:rPr>
          <w:highlight w:val="none"/>
        </w:rPr>
      </w:r>
      <w:bookmarkStart w:id="26" w:name="_Toc25000"/>
      <w:r>
        <w:rPr>
          <w:highlight w:val="none"/>
        </w:rPr>
      </w:r>
      <w:bookmarkStart w:id="27" w:name="_Toc2630"/>
      <w:r>
        <w:rPr>
          <w:highlight w:val="none"/>
        </w:rPr>
      </w:r>
      <w:bookmarkStart w:id="28" w:name="_Toc465003417"/>
      <w:r>
        <w:rPr>
          <w:highlight w:val="none"/>
        </w:rPr>
      </w:r>
      <w:bookmarkStart w:id="29" w:name="_Toc345423505"/>
      <w:r>
        <w:rPr>
          <w:rFonts w:hint="eastAsia" w:ascii="宋体" w:hAnsi="宋体" w:eastAsia="宋体" w:cs="宋体"/>
          <w:b/>
          <w:color w:val="auto"/>
          <w:sz w:val="28"/>
          <w:szCs w:val="28"/>
          <w:highlight w:val="none"/>
          <w:lang w:val="zh-CN"/>
        </w:rPr>
        <w:t xml:space="preserve">一、项目</w:t>
      </w:r>
      <w:r>
        <w:rPr>
          <w:rFonts w:hint="eastAsia" w:ascii="宋体" w:hAnsi="宋体" w:eastAsia="宋体" w:cs="宋体"/>
          <w:b/>
          <w:color w:val="auto"/>
          <w:sz w:val="28"/>
          <w:szCs w:val="28"/>
          <w:highlight w:val="none"/>
          <w:lang w:val="en-US" w:eastAsia="zh-CN"/>
        </w:rPr>
        <w:t xml:space="preserve">基本信息</w:t>
      </w:r>
      <w:bookmarkEnd w:id="26"/>
      <w:r>
        <w:rPr>
          <w:highlight w:val="none"/>
        </w:rPr>
      </w:r>
      <w:bookmarkEnd w:id="27"/>
      <w:r>
        <w:rPr>
          <w:highlight w:val="none"/>
        </w:rPr>
      </w:r>
      <w:r>
        <w:rPr>
          <w:highlight w:val="none"/>
        </w:rPr>
      </w:r>
    </w:p>
    <w:p>
      <w:pPr>
        <w:ind w:left="0" w:right="0" w:firstLine="480"/>
        <w:pageBreakBefore w:val="0"/>
        <w:spacing w:line="560" w:lineRule="exact"/>
        <w:shd w:val="clear" w:color="auto"/>
        <w:tabs>
          <w:tab w:val="left" w:pos="7005" w:leader="none"/>
        </w:tabs>
        <w:rPr>
          <w:rFonts w:hint="eastAsia" w:ascii="宋体" w:hAnsi="宋体" w:eastAsia="宋体" w:cs="宋体"/>
          <w:color w:val="auto"/>
          <w:sz w:val="24"/>
          <w:szCs w:val="24"/>
          <w:highlight w:val="none"/>
          <w:u w:val="single"/>
        </w:rPr>
      </w:pPr>
      <w:r>
        <w:rPr>
          <w:highlight w:val="none"/>
        </w:rPr>
      </w:r>
      <w:bookmarkStart w:id="30" w:name="_Toc14979"/>
      <w:r>
        <w:rPr>
          <w:highlight w:val="none"/>
        </w:rPr>
      </w:r>
      <w:bookmarkStart w:id="31" w:name="_Toc23763"/>
      <w:r>
        <w:rPr>
          <w:rFonts w:hint="eastAsia" w:ascii="宋体" w:hAnsi="宋体" w:eastAsia="宋体" w:cs="宋体"/>
          <w:color w:val="auto"/>
          <w:sz w:val="24"/>
          <w:szCs w:val="24"/>
          <w:highlight w:val="none"/>
          <w:lang w:val="zh-CN"/>
        </w:rPr>
        <w:t xml:space="preserve">1.项目编号：</w:t>
      </w:r>
      <w:r>
        <w:rPr>
          <w:rFonts w:hint="eastAsia" w:ascii="宋体" w:hAnsi="宋体" w:eastAsia="宋体" w:cs="宋体"/>
          <w:color w:val="auto"/>
          <w:sz w:val="24"/>
          <w:szCs w:val="24"/>
          <w:highlight w:val="none"/>
          <w:lang w:val="en-US" w:eastAsia="zh-CN"/>
        </w:rPr>
        <w:t xml:space="preserve">JSZC-320106-BYZB-G2026-0005</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幕府山社区卫生服务中心新建高压设备及更换低压设备项目</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w:t>
      </w:r>
      <w:r>
        <w:rPr>
          <w:rFonts w:hint="eastAsia" w:ascii="宋体" w:hAnsi="宋体" w:eastAsia="宋体" w:cs="宋体"/>
          <w:color w:val="auto"/>
          <w:sz w:val="24"/>
          <w:szCs w:val="24"/>
          <w:highlight w:val="none"/>
        </w:rPr>
        <w:t xml:space="preserve">（详细内容见本招标文件第四章）</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lang w:val="en-US" w:eastAsia="zh-CN"/>
        </w:rPr>
        <w:t xml:space="preserve">万元</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5.最高限价：本项目最高限价</w:t>
      </w:r>
      <w:r>
        <w:rPr>
          <w:rFonts w:hint="eastAsia" w:ascii="宋体" w:hAnsi="宋体" w:cs="宋体"/>
          <w:color w:val="auto"/>
          <w:sz w:val="24"/>
          <w:szCs w:val="24"/>
          <w:highlight w:val="none"/>
          <w:lang w:val="en-US" w:eastAsia="zh-CN"/>
        </w:rPr>
        <w:t xml:space="preserve">167.8469万元，超过最高限价作无效响应处理</w:t>
      </w:r>
      <w:r>
        <w:rPr>
          <w:rFonts w:hint="eastAsia" w:ascii="宋体" w:hAnsi="宋体" w:eastAsia="宋体" w:cs="宋体"/>
          <w:color w:val="auto"/>
          <w:sz w:val="24"/>
          <w:szCs w:val="24"/>
          <w:highlight w:val="none"/>
          <w:lang w:val="en-US" w:eastAsia="zh-CN"/>
        </w:rPr>
        <w:t xml:space="preserve">。</w:t>
      </w:r>
      <w:r>
        <w:rPr>
          <w:highlight w:val="none"/>
        </w:rPr>
      </w:r>
    </w:p>
    <w:p>
      <w:pPr>
        <w:ind w:left="0" w:right="0" w:firstLine="480"/>
        <w:pageBreakBefore w:val="0"/>
        <w:spacing w:line="56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cs="宋体"/>
          <w:color w:val="auto"/>
          <w:sz w:val="24"/>
          <w:szCs w:val="24"/>
          <w:highlight w:val="none"/>
          <w:lang w:val="en-US" w:eastAsia="zh-CN"/>
        </w:rPr>
        <w:t xml:space="preserve">自合同签订之日起60个自然日完成设备安装调试及相关部门验收并交付使用。</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rPr>
        <w:t xml:space="preserve">联合体投标。</w:t>
      </w:r>
      <w:bookmarkEnd w:id="28"/>
      <w:r/>
      <w:bookmarkEnd w:id="29"/>
      <w:r/>
      <w:bookmarkEnd w:id="30"/>
      <w:r/>
      <w:bookmarkEnd w:id="31"/>
      <w:r/>
      <w:r>
        <w:rPr>
          <w:highlight w:val="none"/>
        </w:rPr>
      </w:r>
    </w:p>
    <w:p>
      <w:pPr>
        <w:ind w:left="0" w:right="0" w:firstLine="562"/>
        <w:pageBreakBefore w:val="0"/>
        <w:spacing w:line="560" w:lineRule="exact"/>
        <w:shd w:val="clear" w:color="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二、项目概况</w:t>
      </w:r>
      <w:r>
        <w:rPr>
          <w:highlight w:val="none"/>
        </w:rPr>
      </w:r>
    </w:p>
    <w:p>
      <w:pPr>
        <w:ind w:left="0" w:right="0" w:firstLine="482"/>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1.项目背景</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幕府山中心现有电路为2012年建院初期铺设，随着医疗业务的持续发</w:t>
      </w:r>
      <w:r>
        <w:rPr>
          <w:rFonts w:hint="eastAsia" w:ascii="宋体" w:hAnsi="宋体" w:eastAsia="宋体" w:cs="宋体"/>
          <w:color w:val="auto"/>
          <w:sz w:val="24"/>
          <w:szCs w:val="24"/>
          <w:highlight w:val="none"/>
          <w:lang w:val="en-US" w:eastAsia="zh-CN"/>
        </w:rPr>
        <w:t xml:space="preserve">展，各类辅助诊断、专科诊疗设备不断添置，当前实际用电负荷已远超原有电路核定荷载，中心拟启动“新建高压设备及更换低压设备采购及相关服务”项目，方案为一路独立10kV电源，一路独立0.4kV电源，两路电源同时工作，10kV电源新上一台800kVA预制舱，0.4kV电源由公变引出低压电缆供电。保证幕府山社区卫生服务中心的安全、舒适、环保、节能，彻底消除因电力不足导致的设备停机、手术中断等风险，为患者提供连续、可靠的医疗服务，充分发挥社区卫生服务中心的社会功能，并进一步推动基层医疗卫生体系工作的发展，提高城市形象。</w:t>
      </w:r>
      <w:r>
        <w:rPr>
          <w:highlight w:val="none"/>
        </w:rPr>
      </w:r>
    </w:p>
    <w:p>
      <w:pPr>
        <w:ind w:left="0" w:right="0" w:firstLine="482"/>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项目建设遵循标准</w:t>
      </w:r>
      <w:r>
        <w:rPr>
          <w:highlight w:val="none"/>
        </w:rPr>
      </w:r>
    </w:p>
    <w:p>
      <w:pPr>
        <w:ind w:left="0" w:righ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遵循国家、行业及地方现行的规范和标准。</w:t>
      </w:r>
      <w:r>
        <w:rPr>
          <w:highlight w:val="none"/>
        </w:rPr>
      </w:r>
    </w:p>
    <w:p>
      <w:pPr>
        <w:ind w:firstLine="562"/>
        <w:spacing w:line="560" w:lineRule="exact"/>
        <w:shd w:val="clear" w:color="auto"/>
        <w:rPr>
          <w:rFonts w:hint="eastAsia" w:ascii="宋体" w:hAnsi="宋体" w:eastAsia="宋体" w:cs="宋体"/>
          <w:b/>
          <w:bCs/>
          <w:color w:val="auto"/>
          <w:sz w:val="28"/>
          <w:szCs w:val="28"/>
          <w:highlight w:val="none"/>
        </w:rPr>
        <w:outlineLvl w:val="1"/>
      </w:pPr>
      <w:r>
        <w:rPr>
          <w:highlight w:val="none"/>
        </w:rPr>
      </w:r>
      <w:bookmarkStart w:id="32" w:name="_Toc28352"/>
      <w:r>
        <w:rPr>
          <w:highlight w:val="none"/>
        </w:rPr>
      </w:r>
      <w:bookmarkStart w:id="33" w:name="_Toc32482"/>
      <w:r>
        <w:rPr>
          <w:rFonts w:hint="eastAsia" w:ascii="宋体" w:hAnsi="宋体" w:eastAsia="宋体" w:cs="宋体"/>
          <w:b/>
          <w:bCs/>
          <w:color w:val="auto"/>
          <w:sz w:val="28"/>
          <w:szCs w:val="28"/>
          <w:highlight w:val="none"/>
        </w:rPr>
        <w:t xml:space="preserve">三、需求清单</w:t>
      </w:r>
      <w:bookmarkEnd w:id="32"/>
      <w:r>
        <w:rPr>
          <w:highlight w:val="none"/>
        </w:rPr>
      </w:r>
      <w:bookmarkEnd w:id="33"/>
      <w:r>
        <w:rPr>
          <w:highlight w:val="none"/>
        </w:rPr>
      </w:r>
      <w:r>
        <w:rPr>
          <w:highlight w:val="none"/>
        </w:rPr>
      </w:r>
    </w:p>
    <w:p>
      <w:pPr>
        <w:ind w:firstLine="562"/>
        <w:spacing w:line="560" w:lineRule="exact"/>
        <w:shd w:val="clear" w:color="auto"/>
        <w:rPr>
          <w:rFonts w:hint="default" w:ascii="宋体" w:hAnsi="宋体" w:eastAsia="宋体" w:cs="宋体"/>
          <w:b/>
          <w:bCs/>
          <w:color w:val="auto"/>
          <w:sz w:val="28"/>
          <w:szCs w:val="28"/>
          <w:highlight w:val="none"/>
        </w:rPr>
        <w:outlineLvl w:val="2"/>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设备清单</w:t>
      </w:r>
      <w:r>
        <w:rPr>
          <w:highlight w:val="none"/>
        </w:rPr>
      </w:r>
    </w:p>
    <w:tbl>
      <w:tblPr>
        <w:tblStyle w:val="692"/>
        <w:tblW w:w="8693" w:type="dxa"/>
        <w:tblInd w:w="79" w:type="dxa"/>
        <w:tblLayout w:type="fixed"/>
        <w:tblCellMar>
          <w:left w:w="108" w:type="dxa"/>
          <w:top w:w="0" w:type="dxa"/>
          <w:right w:w="108" w:type="dxa"/>
          <w:bottom w:w="0" w:type="dxa"/>
        </w:tblCellMar>
        <w:tblLook w:val="04A0" w:firstRow="1" w:lastRow="0" w:firstColumn="1" w:lastColumn="0" w:noHBand="0" w:noVBand="1"/>
      </w:tblPr>
      <w:tblGrid>
        <w:gridCol w:w="457"/>
        <w:gridCol w:w="1396"/>
        <w:gridCol w:w="2811"/>
        <w:gridCol w:w="772"/>
        <w:gridCol w:w="720"/>
        <w:gridCol w:w="900"/>
        <w:gridCol w:w="763"/>
        <w:gridCol w:w="874"/>
      </w:tblGrid>
      <w:tr>
        <w:trPr>
          <w:trHeight w:val="669"/>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highlight w:val="none"/>
              </w:rPr>
            </w:r>
            <w:bookmarkStart w:id="34" w:name="_Toc12080"/>
            <w:r>
              <w:rPr>
                <w:rFonts w:hint="eastAsia" w:ascii="宋体" w:hAnsi="宋体" w:eastAsia="宋体" w:cs="Times New Roman"/>
                <w:b/>
                <w:bCs/>
                <w:color w:val="auto"/>
                <w:sz w:val="22"/>
                <w:szCs w:val="24"/>
                <w:highlight w:val="none"/>
              </w:rPr>
              <w:t xml:space="preserve">序号</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设备名称</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规格</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单位</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 w:val="22"/>
                <w:szCs w:val="24"/>
                <w:highlight w:val="none"/>
              </w:rPr>
              <w:t xml:space="preserve">数量</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单价上限（元）</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产品类型</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pacing w:line="560" w:lineRule="exact"/>
              <w:shd w:val="clear" w:color="auto"/>
              <w:rPr>
                <w:rFonts w:hint="eastAsia" w:ascii="宋体" w:hAnsi="宋体" w:eastAsia="宋体" w:cs="Times New Roman"/>
                <w:b/>
                <w:bCs/>
                <w:color w:val="auto"/>
                <w:sz w:val="22"/>
                <w:szCs w:val="24"/>
                <w:highlight w:val="none"/>
              </w:rPr>
            </w:pPr>
            <w:r>
              <w:rPr>
                <w:rFonts w:hint="eastAsia" w:ascii="宋体" w:hAnsi="宋体" w:eastAsia="宋体" w:cs="Times New Roman"/>
                <w:b/>
                <w:bCs/>
                <w:color w:val="auto"/>
                <w:szCs w:val="21"/>
                <w:highlight w:val="none"/>
              </w:rPr>
              <w:t xml:space="preserve">属性</w:t>
            </w:r>
            <w:r>
              <w:rPr>
                <w:highlight w:val="none"/>
              </w:rP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接入部分</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2.规格型号：Ⅳ型</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3212</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2.规格型号：VII型</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3903</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1.名称：车行道电缆保护管安装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2.规格型号：PE(6*200)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245</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1917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4</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1.名称：人行道电缆保护管安装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2.规格型号：HDPE(2*200)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67</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5</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户外环网柜设备基础</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1.户外环网柜设备基础</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2.户外环网柜安装前的配套设施</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3.具体做法参见图纸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18137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63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6</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1.电子标识球</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63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7</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1.电缆标示块</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8</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超高频标签</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1.RFID 超高频标签</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2.绑扎于电缆沟内的电缆上</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9</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黏贴标签</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1.RFID 黏贴标签</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2.固定于环网柜出线间隔处及进线柜门上</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10</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1.名称：铸铁窨井盖安装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2.规格：φ700</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870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受电部分</w:t>
            </w:r>
            <w:r>
              <w:rPr>
                <w:highlight w:val="none"/>
              </w:rP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11</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10kV电力电缆</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1.名称:电力电缆</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cs="Times New Roman"/>
                <w:color w:val="auto"/>
                <w:sz w:val="20"/>
                <w:szCs w:val="24"/>
                <w:highlight w:val="none"/>
                <w:lang w:val="en-US" w:eastAsia="zh-CN"/>
              </w:rPr>
              <w:t xml:space="preserve">2.</w:t>
            </w:r>
            <w:r>
              <w:rPr>
                <w:rFonts w:hint="eastAsia" w:ascii="宋体" w:hAnsi="宋体" w:eastAsia="宋体" w:cs="Times New Roman"/>
                <w:color w:val="auto"/>
                <w:sz w:val="20"/>
                <w:szCs w:val="24"/>
                <w:highlight w:val="none"/>
              </w:rPr>
              <w:t xml:space="preserve">型号:ZC-YJV22-8.7/15-3*70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3.电压等级（kV）:10kV</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45</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主要产品</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12</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10kV户内终端</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1.名称:电缆终端</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2.型号:户内冷缩</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3.规格:3*70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4.电压等级（kV）:10kV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1925</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13</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 T型终端</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1.名称:电缆T型头</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2.规格:3*70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3.电压等级（kV）:10kV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1838</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14</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插拔式终端冷缩组件</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1.名称:电缆终端</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2.型号:插拔式冷缩终端</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3.规格:3*70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4.电压等级（kV）:10kV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1260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15</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电缆试验</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1.电缆泄漏试验</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2.交流耐压试验</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根</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4400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16</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故障指示器</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1.名称:故障指示器</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2.电压等级：10kV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17</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2.规格型号：Ⅱ型</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2121</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18</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1.名称：人行道电缆保护管安装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2.规格型号：HDPE(2*200)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预制舱部分</w:t>
            </w:r>
            <w:r>
              <w:rPr>
                <w:highlight w:val="none"/>
              </w:rP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19</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预制舱电站800kVA</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1.预制舱电站</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2.规格，800kVA</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327946</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20</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预制舱配套基础</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1.800kVA预制舱基础</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2.预制舱安装前的配套设施</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3.具体做法参见图纸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23180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669"/>
        </w:trPr>
        <w:tc>
          <w:tcPr>
            <w:gridSpan w:val="8"/>
            <w:tcBorders>
              <w:top w:val="single" w:color="auto" w:sz="6" w:space="0"/>
              <w:left w:val="single" w:color="auto" w:sz="6" w:space="0"/>
              <w:bottom w:val="single" w:color="auto" w:sz="6" w:space="0"/>
              <w:right w:val="none" w:color="000000" w:sz="4" w:space="0"/>
            </w:tcBorders>
            <w:tcW w:w="869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低压部分</w:t>
            </w:r>
            <w:r>
              <w:rPr>
                <w:highlight w:val="none"/>
              </w:rP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21</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1.名称:低压电缆</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2.型号:ZRYJV22-0.6/1kV-4*120+1*70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255</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541</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shd w:val="solid" w:color="ffff00" w:fill="auto"/>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22</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1.名称:低压电缆</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2.型号:ZRYJV22-0.6/1kV-4*240+1*120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340</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976</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核心产品</w:t>
            </w:r>
            <w:r>
              <w:rPr>
                <w:highlight w:val="none"/>
              </w:rPr>
            </w:r>
          </w:p>
        </w:tc>
        <w:tc>
          <w:tcPr>
            <w:shd w:val="solid" w:color="ffff00" w:fill="auto"/>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23</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1.名称:低压户内终端</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2.型号:4*120+1*70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645</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24</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1.名称:低压户内终端</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2.型号:4*240+1*120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3.电压等级（kV）:1kV</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793</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25</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1.名称:双电源切换箱</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2.型号规格：GGD</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3.安装方式:落地式</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22247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26</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1.名称:电缆桥架</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2.规格：400*200</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280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9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27</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1.名称:电缆桥架</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2.规格：200*100</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8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28</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门口防鼠装置</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1.名称：门口防鼠装置，满足设计及验收要求</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2420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82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29</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成品甲级防火门</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1.名称：成品甲级防火门</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m2</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1289</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30</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2.规格型号：HDPE(2*100)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131</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333</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31</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2.规格型号：HDPE(4*100)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409</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32</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1.名称：电缆保护管安装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2.规格型号：HDPE(6*100)</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657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33</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2.规格型号：Ⅱ型</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2107</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34</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1.名称：电缆通道制作安装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2.规格型号：Ⅲ型</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2332</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110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35</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双电源切换箱基础</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1.双电源切换箱基础</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2.双电源切换箱安装前的配套设施</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3.具体做法详见设计图纸</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1239</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服务</w:t>
            </w:r>
            <w:r>
              <w:rPr>
                <w:highlight w:val="none"/>
              </w:rPr>
            </w:r>
          </w:p>
        </w:tc>
      </w:tr>
      <w:tr>
        <w:trPr>
          <w:trHeight w:val="914"/>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36</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1.名称：铸铁窨井盖安装</w:t>
            </w:r>
            <w:r>
              <w:rPr>
                <w:highlight w:val="none"/>
              </w:rPr>
            </w:r>
          </w:p>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2.规格：φ600</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803</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760"/>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37</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1.电子标识球</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r>
              <w:rPr>
                <w:highlight w:val="none"/>
              </w:rPr>
            </w:r>
          </w:p>
        </w:tc>
      </w:tr>
      <w:tr>
        <w:trPr>
          <w:trHeight w:val="419"/>
        </w:trPr>
        <w:tc>
          <w:tcPr>
            <w:tcBorders>
              <w:top w:val="single" w:color="auto" w:sz="6" w:space="0"/>
              <w:left w:val="single" w:color="auto" w:sz="6" w:space="0"/>
              <w:bottom w:val="single" w:color="auto" w:sz="6" w:space="0"/>
              <w:right w:val="single" w:color="auto" w:sz="6" w:space="0"/>
            </w:tcBorders>
            <w:tcW w:w="457" w:type="dxa"/>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38</w:t>
            </w:r>
            <w:r>
              <w:rPr>
                <w:highlight w:val="none"/>
              </w:rPr>
            </w:r>
          </w:p>
        </w:tc>
        <w:tc>
          <w:tcPr>
            <w:tcBorders>
              <w:top w:val="single" w:color="auto" w:sz="6" w:space="0"/>
              <w:left w:val="single" w:color="auto" w:sz="6" w:space="0"/>
              <w:bottom w:val="single" w:color="auto" w:sz="6" w:space="0"/>
              <w:right w:val="single" w:color="auto" w:sz="6" w:space="0"/>
            </w:tcBorders>
            <w:tcW w:w="1396"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rPr>
                <w:highlight w:val="none"/>
              </w:rPr>
            </w:r>
          </w:p>
        </w:tc>
        <w:tc>
          <w:tcPr>
            <w:tcBorders>
              <w:top w:val="single" w:color="auto" w:sz="6" w:space="0"/>
              <w:left w:val="single" w:color="auto" w:sz="6" w:space="0"/>
              <w:bottom w:val="single" w:color="auto" w:sz="6" w:space="0"/>
              <w:right w:val="single" w:color="auto" w:sz="6" w:space="0"/>
            </w:tcBorders>
            <w:tcW w:w="2811" w:type="dxa"/>
            <w:vAlign w:val="center"/>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1.电缆标示块</w:t>
            </w:r>
            <w:r>
              <w:rPr>
                <w:highlight w:val="none"/>
              </w:rP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rPr>
                <w:highlight w:val="none"/>
              </w:rPr>
            </w:r>
          </w:p>
        </w:tc>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w:t>
            </w:r>
            <w:r>
              <w:rPr>
                <w:highlight w:val="none"/>
              </w:rPr>
            </w:r>
          </w:p>
        </w:tc>
        <w:tc>
          <w:tcPr>
            <w:tcBorders>
              <w:top w:val="single" w:color="auto" w:sz="6" w:space="0"/>
              <w:left w:val="single" w:color="auto" w:sz="6" w:space="0"/>
              <w:bottom w:val="single" w:color="auto" w:sz="6" w:space="0"/>
              <w:right w:val="single" w:color="auto" w:sz="6" w:space="0"/>
            </w:tcBorders>
            <w:tcW w:w="874" w:type="dxa"/>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货物</w:t>
            </w:r>
            <w:bookmarkEnd w:id="34"/>
            <w:r>
              <w:rPr>
                <w:highlight w:val="none"/>
              </w:rPr>
            </w:r>
          </w:p>
        </w:tc>
      </w:tr>
    </w:tbl>
    <w:p>
      <w:pPr>
        <w:ind w:firstLine="562"/>
        <w:spacing w:line="560" w:lineRule="exact"/>
        <w:shd w:val="clear" w:color="auto"/>
        <w:rPr>
          <w:rFonts w:hint="eastAsia" w:ascii="宋体" w:hAnsi="宋体" w:cs="宋体"/>
          <w:b/>
          <w:bCs/>
          <w:color w:val="auto"/>
          <w:sz w:val="28"/>
          <w:szCs w:val="28"/>
          <w:highlight w:val="none"/>
        </w:rPr>
        <w:outlineLvl w:val="2"/>
      </w:pPr>
      <w:r>
        <w:rPr>
          <w:highlight w:val="none"/>
        </w:rPr>
      </w:r>
      <w:bookmarkStart w:id="35" w:name="_Toc28664"/>
      <w:r>
        <w:rPr>
          <w:highlight w:val="none"/>
        </w:rPr>
      </w:r>
      <w:bookmarkStart w:id="36" w:name="_Toc10911"/>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图纸</w:t>
      </w:r>
      <w:r>
        <w:rPr>
          <w:highlight w:val="none"/>
        </w:rPr>
      </w:r>
    </w:p>
    <w:p>
      <w:pPr>
        <w:rPr>
          <w:rFonts w:hint="eastAsia" w:ascii="宋体" w:hAnsi="宋体" w:eastAsia="宋体" w:cs="宋体"/>
          <w:b/>
          <w:bCs/>
          <w:color w:val="auto"/>
          <w:sz w:val="28"/>
          <w:szCs w:val="28"/>
          <w:highlight w:val="none"/>
        </w:rPr>
      </w:pPr>
      <w:r>
        <w:rPr>
          <w:highlight w:val="none"/>
        </w:rPr>
      </w:r>
      <w:bookmarkStart w:id="75" w:name="_GoBack"/>
      <w:r>
        <w:rPr>
          <w:rFonts w:hint="eastAsia" w:ascii="宋体" w:hAnsi="宋体" w:eastAsia="宋体" w:cs="宋体"/>
          <w:b/>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5pt;height:65.5pt;mso-wrap-distance-left:0.0pt;mso-wrap-distance-top:0.0pt;mso-wrap-distance-right:0.0pt;mso-wrap-distance-bottom:0.0pt;" filled="f" stroked="f">
            <v:path textboxrect="0,0,0,0"/>
            <v:imagedata r:id="rId13" o:title=""/>
          </v:shape>
          <o:OLEObject DrawAspect="Icon" r:id="rId14" ObjectID="_1525043" ProgID="Package" ShapeID="_x0000_i3" Type="Embed"/>
        </w:object>
      </w:r>
      <w:bookmarkEnd w:id="75"/>
      <w:r>
        <w:rPr>
          <w:rFonts w:hint="eastAsia" w:ascii="宋体" w:hAnsi="宋体" w:eastAsia="宋体" w:cs="宋体"/>
          <w:b/>
          <w:bCs/>
          <w:color w:val="auto"/>
          <w:sz w:val="28"/>
          <w:szCs w:val="28"/>
          <w:highlight w:val="none"/>
        </w:rPr>
        <w:br w:type="page" w:clear="all"/>
      </w:r>
      <w:r>
        <w:rPr>
          <w:highlight w:val="none"/>
        </w:rPr>
      </w:r>
    </w:p>
    <w:p>
      <w:pPr>
        <w:ind w:firstLine="562"/>
        <w:spacing w:line="560" w:lineRule="exact"/>
        <w:shd w:val="clear" w:color="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四、</w:t>
      </w:r>
      <w:r>
        <w:rPr>
          <w:rFonts w:hint="eastAsia" w:ascii="宋体" w:hAnsi="宋体" w:eastAsia="宋体" w:cs="宋体"/>
          <w:b/>
          <w:color w:val="auto"/>
          <w:sz w:val="28"/>
          <w:szCs w:val="28"/>
          <w:highlight w:val="none"/>
        </w:rPr>
        <w:t xml:space="preserve">拟采购标的需要满足的技术要求</w:t>
      </w:r>
      <w:bookmarkEnd w:id="35"/>
      <w:r>
        <w:rPr>
          <w:highlight w:val="none"/>
        </w:rPr>
      </w:r>
      <w:bookmarkEnd w:id="36"/>
      <w:r>
        <w:rPr>
          <w:highlight w:val="none"/>
        </w:rPr>
      </w:r>
      <w:r>
        <w:rPr>
          <w:highlight w:val="none"/>
        </w:rPr>
      </w:r>
    </w:p>
    <w:p>
      <w:pPr>
        <w:ind w:firstLine="482"/>
        <w:jc w:val="left"/>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1.产品的技术指标</w:t>
      </w:r>
      <w:r>
        <w:rPr>
          <w:highlight w:val="none"/>
        </w:rPr>
      </w:r>
    </w:p>
    <w:tbl>
      <w:tblPr>
        <w:tblStyle w:val="692"/>
        <w:tblW w:w="870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6694"/>
      </w:tblGrid>
      <w:tr>
        <w:trPr/>
        <w:tc>
          <w:tcPr>
            <w:tcW w:w="660"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highlight w:val="none"/>
              </w:rPr>
            </w:r>
          </w:p>
        </w:tc>
        <w:tc>
          <w:tcPr>
            <w:tcW w:w="1354"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rPr>
                <w:highlight w:val="none"/>
              </w:rPr>
            </w:r>
          </w:p>
        </w:tc>
        <w:tc>
          <w:tcPr>
            <w:tcW w:w="6694" w:type="dxa"/>
            <w:vAlign w:val="center"/>
            <w:textDirection w:val="lrTb"/>
            <w:noWrap w:val="false"/>
          </w:tcPr>
          <w:p>
            <w:pPr>
              <w:jc w:val="center"/>
              <w:spacing w:line="56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功能、性能、配置要求不低于以下要求</w:t>
            </w:r>
            <w:r>
              <w:rPr>
                <w:highlight w:val="none"/>
              </w:rPr>
            </w:r>
          </w:p>
        </w:tc>
      </w:tr>
      <w:tr>
        <w:trPr>
          <w:cantSplit/>
          <w:trHeight w:val="840"/>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highlight w:val="none"/>
              </w:rPr>
            </w:r>
          </w:p>
        </w:tc>
        <w:tc>
          <w:tcPr>
            <w:tcW w:w="1354" w:type="dxa"/>
            <w:vAlign w:val="center"/>
            <w:textDirection w:val="lrTb"/>
            <w:noWrap w:val="false"/>
          </w:tcPr>
          <w:p>
            <w:pPr>
              <w:jc w:val="left"/>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Times New Roman"/>
                <w:color w:val="auto"/>
                <w:szCs w:val="21"/>
                <w:highlight w:val="none"/>
              </w:rPr>
              <w:t xml:space="preserve">组合型成套箱式变电站800KVA（对应产品清单19项）</w:t>
            </w:r>
            <w:r>
              <w:rPr>
                <w:highlight w:val="none"/>
              </w:rPr>
            </w:r>
          </w:p>
        </w:tc>
        <w:tc>
          <w:tcPr>
            <w:tcW w:w="6694" w:type="dxa"/>
            <w:vAlign w:val="center"/>
            <w:textDirection w:val="lrTb"/>
            <w:noWrap w:val="false"/>
          </w:tcPr>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1.防护等级：</w:t>
            </w:r>
            <w:r>
              <w:rPr>
                <w:rFonts w:ascii="Times New Roman" w:hAnsi="Times New Roman" w:eastAsia="宋体" w:cs="Times New Roman"/>
                <w:color w:val="auto"/>
                <w:szCs w:val="24"/>
                <w:highlight w:val="none"/>
              </w:rPr>
              <w:t xml:space="preserve">IP33D</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rPr>
                <w:rFonts w:ascii="Times New Roman" w:hAnsi="Times New Roman" w:eastAsia="宋体" w:cs="Times New Roman"/>
                <w:color w:val="auto"/>
                <w:szCs w:val="24"/>
                <w:highlight w:val="none"/>
              </w:rPr>
              <w:t xml:space="preserve">外壳级别</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10</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 额定</w:t>
            </w:r>
            <w:r>
              <w:rPr>
                <w:rFonts w:ascii="Times New Roman" w:hAnsi="Times New Roman" w:eastAsia="宋体" w:cs="Times New Roman"/>
                <w:color w:val="auto"/>
                <w:szCs w:val="24"/>
                <w:highlight w:val="none"/>
              </w:rPr>
              <w:t xml:space="preserve">电压</w:t>
            </w:r>
            <w:r>
              <w:rPr>
                <w:rFonts w:hint="eastAsia" w:ascii="Times New Roman" w:hAnsi="Times New Roman" w:eastAsia="宋体" w:cs="Times New Roman"/>
                <w:color w:val="auto"/>
                <w:szCs w:val="24"/>
                <w:highlight w:val="none"/>
              </w:rPr>
              <w:t xml:space="preserve">：10kV</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w:t>
            </w:r>
            <w:r>
              <w:rPr>
                <w:rFonts w:ascii="Times New Roman" w:hAnsi="Times New Roman" w:eastAsia="宋体" w:cs="Times New Roman"/>
                <w:color w:val="auto"/>
                <w:szCs w:val="24"/>
                <w:highlight w:val="none"/>
              </w:rPr>
              <w:t xml:space="preserve">最高运行电压</w:t>
            </w:r>
            <w:r>
              <w:rPr>
                <w:rFonts w:hint="eastAsia" w:ascii="Times New Roman" w:hAnsi="Times New Roman" w:eastAsia="宋体" w:cs="Times New Roman"/>
                <w:color w:val="auto"/>
                <w:szCs w:val="24"/>
                <w:highlight w:val="none"/>
              </w:rPr>
              <w:t xml:space="preserve">：12kV</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w:t>
            </w:r>
            <w:r>
              <w:rPr>
                <w:rFonts w:ascii="Times New Roman" w:hAnsi="Times New Roman" w:eastAsia="宋体" w:cs="Times New Roman"/>
                <w:color w:val="auto"/>
                <w:szCs w:val="24"/>
                <w:highlight w:val="none"/>
              </w:rPr>
              <w:t xml:space="preserve">系统中性点接地方式</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6、额定</w:t>
            </w:r>
            <w:r>
              <w:rPr>
                <w:rFonts w:ascii="Times New Roman" w:hAnsi="Times New Roman" w:eastAsia="宋体" w:cs="Times New Roman"/>
                <w:color w:val="auto"/>
                <w:szCs w:val="24"/>
                <w:highlight w:val="none"/>
              </w:rPr>
              <w:t xml:space="preserve">频率</w:t>
            </w:r>
            <w:r>
              <w:rPr>
                <w:rFonts w:hint="eastAsia" w:ascii="Times New Roman" w:hAnsi="Times New Roman" w:eastAsia="宋体" w:cs="Times New Roman"/>
                <w:color w:val="auto"/>
                <w:szCs w:val="24"/>
                <w:highlight w:val="none"/>
              </w:rPr>
              <w:t xml:space="preserve">：50</w:t>
            </w:r>
            <w:r>
              <w:rPr>
                <w:rFonts w:ascii="Times New Roman" w:hAnsi="Times New Roman" w:eastAsia="宋体" w:cs="Times New Roman"/>
                <w:color w:val="auto"/>
                <w:szCs w:val="24"/>
                <w:highlight w:val="none"/>
              </w:rPr>
              <w:t xml:space="preserve"> Hz</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7、污秽等级:D</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8、环境温度：最高日温度40℃，最低日温度-40℃</w:t>
            </w:r>
            <w:r>
              <w:rPr>
                <w:highlight w:val="none"/>
              </w:rPr>
            </w:r>
          </w:p>
          <w:p>
            <w:pPr>
              <w:spacing w:line="560" w:lineRule="exact"/>
              <w:shd w:val="clear" w:color="auto"/>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color w:val="auto"/>
                <w:szCs w:val="24"/>
                <w:highlight w:val="none"/>
              </w:rPr>
              <w:t xml:space="preserve">9、▲</w:t>
            </w:r>
            <w:r>
              <w:rPr>
                <w:rFonts w:hint="eastAsia" w:ascii="Times New Roman" w:hAnsi="Times New Roman" w:eastAsia="宋体" w:cs="Times New Roman"/>
                <w:b/>
                <w:bCs/>
                <w:color w:val="auto"/>
                <w:szCs w:val="24"/>
                <w:highlight w:val="none"/>
              </w:rPr>
              <w:t xml:space="preserve">预装式变电站(容量不小于630KVA)</w:t>
            </w:r>
            <w:r>
              <w:rPr>
                <w:highlight w:val="none"/>
              </w:rPr>
            </w:r>
          </w:p>
          <w:p>
            <w:pPr>
              <w:spacing w:line="560" w:lineRule="exact"/>
              <w:shd w:val="clear" w:color="auto"/>
              <w:rPr>
                <w:rFonts w:hint="default" w:ascii="Times New Roman" w:hAnsi="Times New Roman" w:eastAsia="宋体" w:cs="Times New Roman"/>
                <w:color w:val="auto"/>
                <w:szCs w:val="24"/>
                <w:highlight w:val="none"/>
              </w:rPr>
            </w:pPr>
            <w:r>
              <w:rPr>
                <w:rFonts w:hint="eastAsia" w:ascii="Times New Roman" w:hAnsi="Times New Roman" w:cs="Times New Roman"/>
                <w:b/>
                <w:bCs/>
                <w:color w:val="auto"/>
                <w:szCs w:val="24"/>
                <w:highlight w:val="none"/>
                <w:lang w:eastAsia="zh-CN"/>
              </w:rPr>
              <w:t xml:space="preserve">（</w:t>
            </w:r>
            <w:r>
              <w:rPr>
                <w:rFonts w:hint="eastAsia" w:ascii="Times New Roman" w:hAnsi="Times New Roman" w:cs="Times New Roman"/>
                <w:b/>
                <w:bCs/>
                <w:color w:val="auto"/>
                <w:szCs w:val="24"/>
                <w:highlight w:val="none"/>
                <w:lang w:val="en-US" w:eastAsia="zh-CN"/>
              </w:rPr>
              <w:t xml:space="preserve">提供</w:t>
            </w:r>
            <w:r>
              <w:rPr>
                <w:rFonts w:hint="eastAsia" w:ascii="Times New Roman" w:hAnsi="Times New Roman" w:eastAsia="宋体" w:cs="Times New Roman"/>
                <w:b/>
                <w:bCs/>
                <w:color w:val="auto"/>
                <w:szCs w:val="24"/>
                <w:highlight w:val="none"/>
              </w:rPr>
              <w:t xml:space="preserve">第三方检测机构出具的标注资质认定标志(CMA)的检验检测报告扫描件</w:t>
            </w:r>
            <w:r>
              <w:rPr>
                <w:rFonts w:hint="eastAsia" w:ascii="Times New Roman" w:hAnsi="Times New Roman" w:cs="Times New Roman"/>
                <w:b/>
                <w:bCs/>
                <w:color w:val="auto"/>
                <w:szCs w:val="24"/>
                <w:highlight w:val="none"/>
                <w:lang w:val="en-US" w:eastAsia="zh-CN"/>
              </w:rPr>
              <w:t xml:space="preserve">并加盖公章</w:t>
            </w:r>
            <w:r>
              <w:rPr>
                <w:rFonts w:hint="eastAsia" w:ascii="Times New Roman" w:hAnsi="Times New Roman" w:cs="Times New Roman"/>
                <w:b/>
                <w:bCs/>
                <w:color w:val="auto"/>
                <w:szCs w:val="24"/>
                <w:highlight w:val="none"/>
                <w:lang w:eastAsia="zh-CN"/>
              </w:rPr>
              <w:t xml:space="preserve">）</w:t>
            </w:r>
            <w:r>
              <w:rPr>
                <w:highlight w:val="none"/>
              </w:rPr>
            </w:r>
          </w:p>
        </w:tc>
      </w:tr>
      <w:tr>
        <w:trPr>
          <w:cantSplit/>
          <w:trHeight w:val="985"/>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highlight w:val="none"/>
              </w:rPr>
            </w:r>
          </w:p>
        </w:tc>
        <w:tc>
          <w:tcPr>
            <w:tcW w:w="1354" w:type="dxa"/>
            <w:vAlign w:val="center"/>
            <w:textDirection w:val="lrTb"/>
            <w:noWrap w:val="false"/>
          </w:tcPr>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10kV电力电缆</w:t>
            </w:r>
            <w:r>
              <w:rPr>
                <w:highlight w:val="none"/>
              </w:rPr>
            </w:r>
          </w:p>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(对应产品清单11项)</w:t>
            </w:r>
            <w:r>
              <w:rPr>
                <w:highlight w:val="none"/>
              </w:rPr>
            </w:r>
          </w:p>
        </w:tc>
        <w:tc>
          <w:tcPr>
            <w:tcW w:w="6694" w:type="dxa"/>
            <w:vAlign w:val="center"/>
            <w:textDirection w:val="lrTb"/>
            <w:noWrap w:val="false"/>
          </w:tcPr>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1、导体屏蔽层老化前后</w:t>
            </w:r>
            <w:r>
              <w:rPr>
                <w:rFonts w:ascii="Times New Roman" w:hAnsi="Times New Roman" w:eastAsia="宋体" w:cs="Times New Roman"/>
                <w:color w:val="auto"/>
                <w:szCs w:val="24"/>
                <w:highlight w:val="none"/>
              </w:rPr>
              <w:t xml:space="preserve">90</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 xml:space="preserve">时电阻率：≤</w:t>
            </w:r>
            <w:r>
              <w:rPr>
                <w:rFonts w:ascii="Times New Roman" w:hAnsi="Times New Roman" w:eastAsia="宋体" w:cs="Times New Roman"/>
                <w:color w:val="auto"/>
                <w:szCs w:val="24"/>
                <w:highlight w:val="none"/>
              </w:rPr>
              <w:t xml:space="preserve">1000</w:t>
            </w:r>
            <w:r>
              <w:rPr>
                <w:rFonts w:hint="eastAsia" w:ascii="Times New Roman" w:hAnsi="Times New Roman" w:eastAsia="宋体" w:cs="Times New Roman"/>
                <w:color w:val="auto"/>
                <w:szCs w:val="24"/>
                <w:highlight w:val="none"/>
              </w:rPr>
              <w:t xml:space="preserve">Ω</w:t>
            </w:r>
            <w:r>
              <w:rPr>
                <w:rFonts w:ascii="Times New Roman" w:hAnsi="Times New Roman" w:eastAsia="宋体" w:cs="Times New Roman"/>
                <w:color w:val="auto"/>
                <w:szCs w:val="24"/>
                <w:highlight w:val="none"/>
              </w:rPr>
              <w:t xml:space="preserve">·m</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2、绝缘屏蔽层老化前后</w:t>
            </w:r>
            <w:r>
              <w:rPr>
                <w:rFonts w:ascii="Times New Roman" w:hAnsi="Times New Roman" w:eastAsia="宋体" w:cs="Times New Roman"/>
                <w:color w:val="auto"/>
                <w:szCs w:val="24"/>
                <w:highlight w:val="none"/>
              </w:rPr>
              <w:t xml:space="preserve">90</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 </w:t>
            </w:r>
            <w:r>
              <w:rPr>
                <w:rFonts w:hint="eastAsia" w:ascii="Times New Roman" w:hAnsi="Times New Roman" w:eastAsia="宋体" w:cs="Times New Roman"/>
                <w:color w:val="auto"/>
                <w:szCs w:val="24"/>
                <w:highlight w:val="none"/>
              </w:rPr>
              <w:t xml:space="preserve">时电阻率</w:t>
            </w:r>
            <w:r>
              <w:rPr>
                <w:rFonts w:ascii="Times New Roman" w:hAnsi="Times New Roman" w:eastAsia="宋体" w:cs="Times New Roman"/>
                <w:color w:val="auto"/>
                <w:szCs w:val="24"/>
                <w:highlight w:val="none"/>
              </w:rPr>
              <w:tab/>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500</w:t>
            </w:r>
            <w:r>
              <w:rPr>
                <w:rFonts w:hint="eastAsia" w:ascii="Times New Roman" w:hAnsi="Times New Roman" w:eastAsia="宋体" w:cs="Times New Roman"/>
                <w:color w:val="auto"/>
                <w:szCs w:val="24"/>
                <w:highlight w:val="none"/>
              </w:rPr>
              <w:t xml:space="preserve">Ω</w:t>
            </w:r>
            <w:r>
              <w:rPr>
                <w:rFonts w:ascii="Times New Roman" w:hAnsi="Times New Roman" w:eastAsia="宋体" w:cs="Times New Roman"/>
                <w:color w:val="auto"/>
                <w:szCs w:val="24"/>
                <w:highlight w:val="none"/>
              </w:rPr>
              <w:t xml:space="preserve">·m</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3、出厂工频电压试验：30.5/5 kV/min</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4、安装后耐压试验主绝缘交流电压试验：22/5或17.5/60 kV/min</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5、安装后耐压试验外护套直流耐压试验：10/1 kV/min</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6、电缆敷设时允许环境温度： -</w:t>
            </w:r>
            <w:r>
              <w:rPr>
                <w:rFonts w:ascii="Times New Roman" w:hAnsi="Times New Roman" w:eastAsia="宋体" w:cs="Times New Roman"/>
                <w:color w:val="auto"/>
                <w:szCs w:val="24"/>
                <w:highlight w:val="none"/>
              </w:rPr>
              <w:t xml:space="preserve">5</w:t>
            </w:r>
            <w:r>
              <w:rPr>
                <w:rFonts w:hint="eastAsia" w:ascii="Times New Roman" w:hAnsi="Times New Roman" w:eastAsia="宋体" w:cs="Times New Roman"/>
                <w:color w:val="auto"/>
                <w:szCs w:val="24"/>
                <w:highlight w:val="none"/>
              </w:rPr>
              <w:t xml:space="preserve">～＋</w:t>
            </w:r>
            <w:r>
              <w:rPr>
                <w:rFonts w:ascii="Times New Roman" w:hAnsi="Times New Roman" w:eastAsia="宋体" w:cs="Times New Roman"/>
                <w:color w:val="auto"/>
                <w:szCs w:val="24"/>
                <w:highlight w:val="none"/>
              </w:rPr>
              <w:t xml:space="preserve">40</w:t>
            </w:r>
            <w:r>
              <w:rPr>
                <w:rFonts w:hint="eastAsia" w:ascii="Times New Roman" w:hAnsi="Times New Roman" w:eastAsia="宋体" w:cs="Times New Roman"/>
                <w:color w:val="auto"/>
                <w:szCs w:val="24"/>
                <w:highlight w:val="none"/>
              </w:rPr>
              <w:t xml:space="preserve">℃</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7、电缆在正常使用条件下的寿命：≥30年</w:t>
            </w:r>
            <w:r>
              <w:rPr>
                <w:highlight w:val="none"/>
              </w:rPr>
            </w:r>
          </w:p>
        </w:tc>
      </w:tr>
      <w:tr>
        <w:trPr>
          <w:cantSplit/>
          <w:trHeight w:val="976"/>
        </w:trPr>
        <w:tc>
          <w:tcPr>
            <w:tcW w:w="660" w:type="dxa"/>
            <w:vAlign w:val="center"/>
            <w:textDirection w:val="lrTb"/>
            <w:noWrap w:val="false"/>
          </w:tcPr>
          <w:p>
            <w:pPr>
              <w:jc w:val="cente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highlight w:val="none"/>
              </w:rPr>
            </w:r>
          </w:p>
        </w:tc>
        <w:tc>
          <w:tcPr>
            <w:tcW w:w="1354" w:type="dxa"/>
            <w:vAlign w:val="center"/>
            <w:textDirection w:val="lrTb"/>
            <w:noWrap w:val="false"/>
          </w:tcPr>
          <w:p>
            <w:pPr>
              <w:jc w:val="center"/>
              <w:shd w:val="clear" w:color="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1kV电力电缆</w:t>
            </w:r>
            <w:r>
              <w:rPr>
                <w:highlight w:val="none"/>
              </w:rPr>
            </w:r>
          </w:p>
          <w:p>
            <w:pPr>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Times New Roman"/>
                <w:color w:val="auto"/>
                <w:szCs w:val="21"/>
                <w:highlight w:val="none"/>
              </w:rPr>
              <w:t xml:space="preserve">(对应产品清单21/22项)</w:t>
            </w:r>
            <w:r>
              <w:rPr>
                <w:highlight w:val="none"/>
              </w:rPr>
            </w:r>
          </w:p>
        </w:tc>
        <w:tc>
          <w:tcPr>
            <w:tcW w:w="6694" w:type="dxa"/>
            <w:vAlign w:val="center"/>
            <w:textDirection w:val="lrTb"/>
            <w:noWrap w:val="false"/>
          </w:tcPr>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1、出厂工频电压试验（5min）： 3.5 kV</w:t>
            </w:r>
            <w:r>
              <w:rPr>
                <w:rFonts w:hint="eastAsia" w:ascii="Times New Roman" w:hAnsi="Times New Roman" w:eastAsia="宋体" w:cs="Times New Roman"/>
                <w:color w:val="auto"/>
                <w:szCs w:val="24"/>
                <w:highlight w:val="none"/>
              </w:rPr>
              <w:tab/>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2、电缆敷设时允许环境温度：≥0℃</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3、电缆在正常使用条件下的寿命：≥30年</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4、pH 值，最小值：4.3</w:t>
            </w:r>
            <w:r>
              <w:rPr>
                <w:highlight w:val="none"/>
              </w:rPr>
            </w:r>
          </w:p>
          <w:p>
            <w:pPr>
              <w:spacing w:line="560" w:lineRule="exact"/>
              <w:shd w:val="clear" w:color="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5、电导率，最大值：10µs/mm</w:t>
            </w:r>
            <w:r>
              <w:rPr>
                <w:highlight w:val="none"/>
              </w:rPr>
            </w:r>
          </w:p>
          <w:p>
            <w:pPr>
              <w:spacing w:line="560" w:lineRule="exact"/>
              <w:shd w:val="clear" w:color="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6、最小透光率（低烟）：60%</w:t>
            </w:r>
            <w:r>
              <w:rPr>
                <w:highlight w:val="none"/>
              </w:rPr>
            </w:r>
          </w:p>
        </w:tc>
      </w:tr>
    </w:tbl>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highlight w:val="none"/>
        </w:rPr>
      </w:r>
      <w:bookmarkStart w:id="37" w:name="_Toc28225"/>
      <w:r>
        <w:rPr>
          <w:highlight w:val="none"/>
        </w:rPr>
      </w:r>
      <w:bookmarkStart w:id="38" w:name="_Toc6840"/>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2.项目实施要求</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提供承诺函</w:t>
      </w:r>
      <w:r>
        <w:rPr>
          <w:rFonts w:hint="eastAsia" w:ascii="宋体" w:hAnsi="宋体" w:eastAsia="宋体" w:cs="宋体"/>
          <w:b/>
          <w:bCs w:val="0"/>
          <w:color w:val="auto"/>
          <w:sz w:val="24"/>
          <w:szCs w:val="24"/>
          <w:highlight w:val="none"/>
          <w:lang w:val="en-US" w:eastAsia="zh-CN"/>
        </w:rPr>
        <w:t xml:space="preserve">并加盖公章</w:t>
      </w:r>
      <w:r>
        <w:rPr>
          <w:rFonts w:hint="eastAsia" w:ascii="宋体" w:hAnsi="宋体" w:cs="宋体"/>
          <w:b/>
          <w:bCs w:val="0"/>
          <w:color w:val="auto"/>
          <w:sz w:val="24"/>
          <w:szCs w:val="24"/>
          <w:highlight w:val="none"/>
          <w:lang w:eastAsia="zh-CN"/>
        </w:rPr>
        <w:t xml:space="preserve">）</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人必须满足所有功能要求，有义务保证采购人系统的功能性和完整性，未在招标文件中明示的附配件，投标人应在响应时予以补充。本项目为“交钥匙”项目，如项目实施过程中因缺少线材辅料、配件或服务导致采购人系统无法正常运行，中标人须免费提供。</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（2）投标人承诺所投产品质量符合供电部门的验收要求，项目整体通过供电部门的验收，并确保按时送电。</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（3）投标人应及时与采购人联系，对本项目所有设备的规格等要求进一步确认后方可供货安装，并确保产品质量。 </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（4）签订合同后60个自然日内完成本项目，将所有设备安装到位通过相关部门验收并交付使用，严格按照响应文件与招标文件对比验收，采购人保留邀请第三方质检部门验收的权利。</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（5）投标人应为其项目实施人员办理各项保险，保险费由供应商承担，加强安全管理，严格操作规程，在货物运输、实施过程中如出现任何安全事故，责任由供应商承担。</w:t>
      </w:r>
      <w:r>
        <w:rPr>
          <w:highlight w:val="none"/>
        </w:rPr>
      </w:r>
    </w:p>
    <w:p>
      <w:pPr>
        <w:ind w:firstLine="480"/>
        <w:spacing w:line="560" w:lineRule="exact"/>
        <w:shd w:val="clear" w:color="auto"/>
        <w:tabs>
          <w:tab w:val="left" w:pos="7005" w:leader="none"/>
        </w:tabs>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（6）中标人须协助采购人完成本项目所有相关部门手续申报、验收审批流程。</w:t>
      </w:r>
      <w:r>
        <w:rPr>
          <w:highlight w:val="none"/>
        </w:rPr>
      </w:r>
    </w:p>
    <w:p>
      <w:pPr>
        <w:ind w:firstLine="480"/>
        <w:spacing w:line="560" w:lineRule="exact"/>
        <w:shd w:val="clear" w:color="auto"/>
        <w:tabs>
          <w:tab w:val="left" w:pos="7005" w:leader="none"/>
        </w:tabs>
        <w:rPr>
          <w:rFonts w:hint="eastAsia" w:ascii="宋体" w:hAnsi="宋体" w:cs="宋体"/>
          <w:b/>
          <w:bCs w:val="0"/>
          <w:color w:val="auto"/>
          <w:sz w:val="24"/>
          <w:szCs w:val="24"/>
          <w:highlight w:val="none"/>
        </w:rPr>
        <w:outlineLvl w:val="9"/>
      </w:pPr>
      <w:r>
        <w:rPr>
          <w:rFonts w:hint="eastAsia" w:ascii="宋体" w:hAnsi="宋体" w:eastAsia="宋体" w:cs="宋体"/>
          <w:bCs/>
          <w:color w:val="auto"/>
          <w:sz w:val="24"/>
          <w:szCs w:val="24"/>
          <w:highlight w:val="none"/>
        </w:rPr>
        <w:t xml:space="preserve">（7）本项目供应商须负责在南京市供电公司办理停电等相关手续，不得以手续未全问题影响工期，如未按采购人要求按期完成本项目，需承担由此造成的全部损失。</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3.服务要求</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交货方式：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rPr>
          <w:highlight w:val="none"/>
        </w:rPr>
      </w:r>
    </w:p>
    <w:p>
      <w:pPr>
        <w:ind w:firstLine="480"/>
        <w:spacing w:line="560" w:lineRule="exact"/>
        <w:shd w:val="clear" w:color="auto"/>
        <w:tabs>
          <w:tab w:val="left" w:pos="700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rPr>
        <w:t xml:space="preserve">（2）质保要求：投标人应为本项目提供不少于三年的整体质保，从验收合格之日起计算</w:t>
      </w:r>
      <w:r>
        <w:rPr>
          <w:rFonts w:hint="eastAsia" w:ascii="宋体" w:hAnsi="宋体" w:cs="宋体"/>
          <w:bCs/>
          <w:color w:val="auto"/>
          <w:sz w:val="24"/>
          <w:szCs w:val="24"/>
          <w:highlight w:val="none"/>
          <w:lang w:eastAsia="zh-CN"/>
        </w:rPr>
        <w:t xml:space="preserve">。</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（3）售后服务要求：</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1）质保期内因设备本身缺陷造成各种故障应由投标人免费技术服务和维修。</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2）投标人接到保修请求，维修应在1小时内响应，4小时内维修人员到达现场，必要时应向采购人提供应急备用设备。质保期后，投标人提供终生服务，保证零配件的供给。</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（4）验收标准与要求</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1）项目实施完成，投标人应完成文档整理，竣工文档是验收的必要条件。</w:t>
      </w:r>
      <w:r>
        <w:rPr>
          <w:highlight w:val="none"/>
        </w:rPr>
      </w:r>
    </w:p>
    <w:p>
      <w:pPr>
        <w:ind w:firstLine="480"/>
        <w:spacing w:line="560" w:lineRule="exact"/>
        <w:shd w:val="clear" w:color="auto"/>
        <w:tabs>
          <w:tab w:val="left" w:pos="700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所供货物必须是全新的，原装正品，完全符合国家规定的质量标准。因产品质量或安装不当导致验收不合格，应及时处理直至验收合格，期间产生的一切费用由投标人承担；若二次验收不合格，采购人有权退货。采购人在此期间保留对投标人的索赔权利。</w:t>
      </w:r>
      <w:r>
        <w:rPr>
          <w:highlight w:val="none"/>
        </w:rPr>
      </w:r>
    </w:p>
    <w:p>
      <w:pPr>
        <w:ind w:firstLine="480"/>
        <w:spacing w:line="560" w:lineRule="exact"/>
        <w:shd w:val="clear" w:color="auto"/>
        <w:tabs>
          <w:tab w:val="left" w:pos="7005" w:leader="none"/>
        </w:tabs>
        <w:rPr>
          <w:rFonts w:hint="eastAsia" w:ascii="宋体" w:hAnsi="宋体" w:eastAsia="宋体" w:cs="宋体"/>
          <w:b/>
          <w:color w:val="auto"/>
          <w:sz w:val="32"/>
          <w:szCs w:val="32"/>
          <w:highlight w:val="none"/>
        </w:rPr>
        <w:outlineLvl w:val="1"/>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color w:val="auto"/>
          <w:sz w:val="28"/>
          <w:szCs w:val="28"/>
          <w:highlight w:val="none"/>
        </w:rPr>
        <w:t xml:space="preserve">五、拟采购标的需要满足的商务要求</w:t>
      </w:r>
      <w:bookmarkEnd w:id="37"/>
      <w:r>
        <w:rPr>
          <w:highlight w:val="none"/>
        </w:rPr>
      </w:r>
      <w:bookmarkEnd w:id="38"/>
      <w:r>
        <w:rPr>
          <w:highlight w:val="none"/>
        </w:rPr>
      </w:r>
      <w:r>
        <w:rPr>
          <w:highlight w:val="none"/>
        </w:rPr>
      </w:r>
    </w:p>
    <w:p>
      <w:pPr>
        <w:ind w:firstLine="482"/>
        <w:jc w:val="left"/>
        <w:spacing w:line="5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1.报价要求</w:t>
      </w:r>
      <w:r>
        <w:rPr>
          <w:highlight w:val="none"/>
        </w:rP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highlight w:val="none"/>
        </w:rP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（2）投标人的任何错漏、优惠、竞争性报价不得作为减轻责任、减少服务、增加收费、降低服务质量的理由。</w:t>
      </w:r>
      <w:r>
        <w:rPr>
          <w:highlight w:val="none"/>
        </w:rP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（3）投标人报价除包含招标文件中列明的项目外，还应包括保障产品正常使用应当具有的物资和服务，对产品正常使用应当具有的物资和服务理解不一致的以采购单位理解为准。</w:t>
      </w:r>
      <w:r>
        <w:rPr>
          <w:highlight w:val="none"/>
        </w:rPr>
      </w:r>
    </w:p>
    <w:p>
      <w:pPr>
        <w:numPr>
          <w:ilvl w:val="0"/>
          <w:numId w:val="0"/>
        </w:numPr>
        <w:ind w:left="0" w:right="0" w:firstLine="482"/>
        <w:jc w:val="left"/>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付款条件</w:t>
      </w:r>
      <w:r>
        <w:rPr>
          <w:highlight w:val="none"/>
        </w:rP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（1）签订合同后，采购人向成交供应商支付合同总金额的30%；</w:t>
      </w:r>
      <w:r>
        <w:rPr>
          <w:highlight w:val="none"/>
        </w:rP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（2）所有设备安装到位通过相关部门验收并</w:t>
      </w:r>
      <w:r>
        <w:rPr>
          <w:rFonts w:hint="eastAsia" w:ascii="宋体" w:hAnsi="宋体" w:cs="宋体"/>
          <w:color w:val="auto"/>
          <w:sz w:val="24"/>
          <w:highlight w:val="none"/>
          <w:lang w:val="en-US" w:eastAsia="zh-CN"/>
        </w:rPr>
        <w:t xml:space="preserve">通电</w:t>
      </w:r>
      <w:r>
        <w:rPr>
          <w:rFonts w:hint="eastAsia" w:ascii="宋体" w:hAnsi="宋体" w:eastAsia="宋体" w:cs="宋体"/>
          <w:color w:val="auto"/>
          <w:sz w:val="24"/>
          <w:highlight w:val="none"/>
          <w:lang w:eastAsia="zh-CN"/>
        </w:rPr>
        <w:t xml:space="preserve">交付使用</w:t>
      </w:r>
      <w:r>
        <w:rPr>
          <w:rFonts w:hint="eastAsia" w:ascii="宋体" w:hAnsi="宋体" w:cs="宋体"/>
          <w:color w:val="auto"/>
          <w:sz w:val="24"/>
          <w:highlight w:val="none"/>
          <w:lang w:val="en-US" w:eastAsia="zh-CN"/>
        </w:rPr>
        <w:t xml:space="preserve">一个月</w:t>
      </w:r>
      <w:r>
        <w:rPr>
          <w:rFonts w:hint="eastAsia" w:ascii="宋体" w:hAnsi="宋体" w:eastAsia="宋体" w:cs="宋体"/>
          <w:color w:val="auto"/>
          <w:sz w:val="24"/>
          <w:highlight w:val="none"/>
          <w:lang w:eastAsia="zh-CN"/>
        </w:rPr>
        <w:t xml:space="preserve">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采购人向成交供应商支付合同总金额的</w:t>
      </w:r>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lang w:eastAsia="zh-CN"/>
        </w:rPr>
        <w:t xml:space="preserve">%；</w:t>
      </w:r>
      <w:r>
        <w:rPr>
          <w:highlight w:val="none"/>
        </w:rP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（3）经采购人验收通过一年后，采购人向成交供应商支付至合同总金额的100%（含已支付）。</w:t>
      </w:r>
      <w:r>
        <w:rPr>
          <w:highlight w:val="none"/>
        </w:rPr>
      </w:r>
    </w:p>
    <w:p>
      <w:pPr>
        <w:numPr>
          <w:ilvl w:val="0"/>
          <w:numId w:val="0"/>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（4）每次付款前五个工作日，成交供应商须向采购人提供等额发票，相关的明细和清单，否则采购人有权拒绝付款。因财政审批导致的迟延支付，采购人不承担迟延支付的违约责任。</w:t>
      </w:r>
      <w:r>
        <w:rPr>
          <w:highlight w:val="none"/>
        </w:rPr>
      </w:r>
    </w:p>
    <w:p>
      <w:pPr>
        <w:numPr>
          <w:ilvl w:val="0"/>
          <w:numId w:val="0"/>
        </w:numPr>
        <w:ind w:left="0" w:right="0" w:firstLine="482"/>
        <w:jc w:val="left"/>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交付时间及地点</w:t>
      </w:r>
      <w:r>
        <w:rPr>
          <w:highlight w:val="none"/>
        </w:rPr>
      </w:r>
    </w:p>
    <w:p>
      <w:pPr>
        <w:numPr>
          <w:ilvl w:val="0"/>
          <w:numId w:val="2"/>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交付时间</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自合同签订之日起60个自然日完成设备安装调试及相关部门验收并交付使用。</w:t>
      </w:r>
      <w:r>
        <w:rPr>
          <w:highlight w:val="none"/>
        </w:rPr>
      </w:r>
    </w:p>
    <w:p>
      <w:pPr>
        <w:numPr>
          <w:ilvl w:val="0"/>
          <w:numId w:val="2"/>
        </w:num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采购人指定地点</w:t>
      </w:r>
      <w:r>
        <w:rPr>
          <w:rFonts w:hint="eastAsia" w:ascii="宋体" w:hAnsi="宋体" w:eastAsia="宋体" w:cs="宋体"/>
          <w:color w:val="auto"/>
          <w:sz w:val="24"/>
          <w:szCs w:val="24"/>
          <w:highlight w:val="none"/>
          <w:lang w:eastAsia="zh-CN"/>
        </w:rPr>
        <w:t xml:space="preserve">。</w:t>
      </w:r>
      <w:r>
        <w:rPr>
          <w:highlight w:val="none"/>
        </w:rPr>
      </w:r>
    </w:p>
    <w:p>
      <w:pPr>
        <w:numPr>
          <w:ilvl w:val="0"/>
          <w:numId w:val="0"/>
        </w:numPr>
        <w:shd w:val="clear" w:color="auto"/>
        <w:rPr>
          <w:rFonts w:hint="default"/>
          <w:color w:val="auto"/>
          <w:highlight w:val="none"/>
        </w:rPr>
      </w:pPr>
      <w:r>
        <w:rPr>
          <w:rFonts w:hint="default"/>
          <w:color w:val="auto"/>
          <w:highlight w:val="none"/>
          <w:lang w:val="en-US" w:eastAsia="zh-CN"/>
        </w:rPr>
      </w:r>
      <w:r>
        <w:rPr>
          <w:highlight w:val="none"/>
        </w:rPr>
      </w:r>
    </w:p>
    <w:p>
      <w:pPr>
        <w:ind w:left="0" w:right="0" w:firstLine="482"/>
        <w:pageBreakBefore w:val="0"/>
        <w:spacing w:line="56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本章</w:t>
      </w:r>
      <w:r>
        <w:rPr>
          <w:rFonts w:hint="eastAsia" w:ascii="宋体" w:hAnsi="宋体" w:eastAsia="宋体" w:cs="宋体"/>
          <w:b/>
          <w:bCs/>
          <w:color w:val="auto"/>
          <w:sz w:val="24"/>
          <w:szCs w:val="24"/>
          <w:highlight w:val="none"/>
          <w:lang w:val="en-US" w:eastAsia="zh-CN"/>
        </w:rPr>
        <w:t xml:space="preserve">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项</w:t>
      </w:r>
      <w:r>
        <w:rPr>
          <w:rFonts w:hint="eastAsia" w:ascii="宋体" w:hAnsi="宋体" w:eastAsia="宋体" w:cs="宋体"/>
          <w:b/>
          <w:bCs/>
          <w:color w:val="auto"/>
          <w:sz w:val="24"/>
          <w:szCs w:val="24"/>
          <w:highlight w:val="none"/>
        </w:rPr>
        <w:t xml:space="preserve">均为实质性要求，不允许负偏离，否则作无效</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处理。</w:t>
      </w:r>
      <w:r>
        <w:rPr>
          <w:highlight w:val="none"/>
        </w:rPr>
      </w:r>
    </w:p>
    <w:p>
      <w:pPr>
        <w:ind w:firstLine="482"/>
        <w:jc w:val="left"/>
        <w:spacing w:line="560" w:lineRule="exact"/>
        <w:shd w:val="clear" w:color="auto"/>
        <w:rPr>
          <w:rFonts w:asciiTheme="minorEastAsia" w:hAnsiTheme="minorEastAsia" w:eastAsiaTheme="minorEastAsia"/>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如有疑问请及时与招标人、代理机构联系。</w:t>
      </w:r>
      <w:r>
        <w:rPr>
          <w:highlight w:val="none"/>
        </w:rPr>
      </w:r>
    </w:p>
    <w:p>
      <w:pPr>
        <w:pStyle w:val="707"/>
        <w:ind w:firstLine="200"/>
        <w:shd w:val="clear" w:color="auto"/>
        <w:rPr>
          <w:color w:val="auto"/>
          <w:highlight w:val="none"/>
        </w:rPr>
      </w:pPr>
      <w:r>
        <w:rPr>
          <w:color w:val="auto"/>
          <w:highlight w:val="none"/>
        </w:rPr>
      </w:r>
      <w:r>
        <w:rPr>
          <w:highlight w:val="none"/>
        </w:rPr>
      </w:r>
    </w:p>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rPr>
          <w:highlight w:val="none"/>
        </w:rPr>
      </w:r>
    </w:p>
    <w:p>
      <w:pPr>
        <w:pStyle w:val="689"/>
        <w:jc w:val="center"/>
        <w:shd w:val="clear" w:color="auto"/>
        <w:rPr>
          <w:rFonts w:asciiTheme="minorEastAsia" w:hAnsiTheme="minorEastAsia" w:eastAsiaTheme="minorEastAsia"/>
          <w:b w:val="0"/>
          <w:color w:val="auto"/>
          <w:sz w:val="36"/>
          <w:highlight w:val="none"/>
        </w:rPr>
      </w:pPr>
      <w:r>
        <w:rPr>
          <w:highlight w:val="none"/>
        </w:rPr>
      </w:r>
      <w:bookmarkStart w:id="39" w:name="_Toc10828"/>
      <w:r>
        <w:rPr>
          <w:highlight w:val="none"/>
        </w:rPr>
      </w:r>
      <w:bookmarkStart w:id="40" w:name="_Toc20871"/>
      <w:r>
        <w:rPr>
          <w:rFonts w:asciiTheme="minorEastAsia" w:hAnsiTheme="minorEastAsia" w:eastAsiaTheme="minorEastAsia"/>
          <w:color w:val="auto"/>
          <w:highlight w:val="none"/>
        </w:rPr>
        <w:t xml:space="preserve">第五章 合同主要条款及格式</w:t>
      </w:r>
      <w:bookmarkEnd w:id="39"/>
      <w:r>
        <w:rPr>
          <w:highlight w:val="none"/>
        </w:rPr>
      </w:r>
      <w:bookmarkEnd w:id="40"/>
      <w:r>
        <w:rPr>
          <w:highlight w:val="none"/>
        </w:rPr>
      </w:r>
      <w:r>
        <w:rPr>
          <w:highlight w:val="none"/>
        </w:rPr>
      </w:r>
    </w:p>
    <w:p>
      <w:pPr>
        <w:ind w:firstLine="480"/>
        <w:spacing w:line="560" w:lineRule="exact"/>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val="zh-CN"/>
        </w:rPr>
      </w:r>
      <w:r>
        <w:rPr>
          <w:highlight w:val="none"/>
        </w:rPr>
      </w:r>
    </w:p>
    <w:p>
      <w:pPr>
        <w:ind w:firstLine="480"/>
        <w:spacing w:line="560" w:lineRule="exact"/>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val="zh-CN"/>
        </w:rPr>
      </w:r>
      <w:r>
        <w:rPr>
          <w:highlight w:val="none"/>
        </w:rPr>
      </w:r>
    </w:p>
    <w:p>
      <w:pPr>
        <w:ind w:firstLine="480"/>
        <w:spacing w:line="560" w:lineRule="exact"/>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val="zh-CN"/>
        </w:rPr>
      </w:r>
      <w:r>
        <w:rPr>
          <w:highlight w:val="none"/>
        </w:rPr>
      </w:r>
    </w:p>
    <w:p>
      <w:pPr>
        <w:ind w:firstLine="480"/>
        <w:spacing w:line="560" w:lineRule="exact"/>
        <w:shd w:val="clear" w:color="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val="zh-CN"/>
        </w:rPr>
      </w:r>
      <w:r>
        <w:rPr>
          <w:highlight w:val="none"/>
        </w:rPr>
      </w:r>
    </w:p>
    <w:p>
      <w:pPr>
        <w:jc w:val="center"/>
        <w:shd w:val="clear" w:color="auto"/>
        <w:rPr>
          <w:rFonts w:ascii="宋体" w:hAnsi="宋体"/>
          <w:b/>
          <w:color w:val="auto"/>
          <w:sz w:val="44"/>
          <w:szCs w:val="44"/>
          <w:highlight w:val="none"/>
        </w:rPr>
      </w:pPr>
      <w:r>
        <w:rPr>
          <w:rFonts w:hint="eastAsia" w:ascii="宋体" w:hAnsi="宋体"/>
          <w:b/>
          <w:color w:val="auto"/>
          <w:sz w:val="44"/>
          <w:szCs w:val="44"/>
          <w:highlight w:val="none"/>
        </w:rPr>
        <w:t xml:space="preserve">招标项目合同</w:t>
      </w:r>
      <w:r>
        <w:rPr>
          <w:highlight w:val="none"/>
        </w:rPr>
      </w:r>
    </w:p>
    <w:p>
      <w:pPr>
        <w:pStyle w:val="720"/>
        <w:ind w:firstLine="560"/>
        <w:shd w:val="clear" w:color="auto"/>
        <w:rPr>
          <w:color w:val="auto"/>
          <w:highlight w:val="none"/>
        </w:rPr>
      </w:pPr>
      <w:r>
        <w:rPr>
          <w:color w:val="auto"/>
          <w:highlight w:val="none"/>
        </w:rPr>
      </w:r>
      <w:r>
        <w:rPr>
          <w:highlight w:val="none"/>
        </w:rPr>
      </w:r>
    </w:p>
    <w:p>
      <w:pPr>
        <w:pStyle w:val="720"/>
        <w:ind w:firstLine="560"/>
        <w:shd w:val="clear" w:color="auto"/>
        <w:rPr>
          <w:color w:val="auto"/>
          <w:highlight w:val="none"/>
        </w:rPr>
      </w:pPr>
      <w:r>
        <w:rPr>
          <w:color w:val="auto"/>
          <w:highlight w:val="none"/>
        </w:rPr>
      </w:r>
      <w:r>
        <w:rPr>
          <w:highlight w:val="none"/>
        </w:rPr>
      </w:r>
    </w:p>
    <w:p>
      <w:pPr>
        <w:pStyle w:val="720"/>
        <w:ind w:firstLine="218"/>
        <w:shd w:val="clear" w:color="auto"/>
        <w:rPr>
          <w:color w:val="auto"/>
          <w:highlight w:val="none"/>
        </w:rPr>
      </w:pPr>
      <w:r>
        <w:rPr>
          <w:color w:val="auto"/>
          <w:highlight w:val="none"/>
        </w:rPr>
      </w:r>
      <w:r>
        <w:rPr>
          <w:highlight w:val="none"/>
        </w:rPr>
      </w:r>
    </w:p>
    <w:p>
      <w:pPr>
        <w:pStyle w:val="720"/>
        <w:ind w:firstLine="218"/>
        <w:shd w:val="clear" w:color="auto"/>
        <w:rPr>
          <w:color w:val="auto"/>
          <w:highlight w:val="none"/>
        </w:rPr>
      </w:pPr>
      <w:r>
        <w:rPr>
          <w:color w:val="auto"/>
          <w:highlight w:val="none"/>
        </w:rPr>
      </w:r>
      <w:r>
        <w:rPr>
          <w:highlight w:val="none"/>
        </w:rPr>
      </w:r>
    </w:p>
    <w:p>
      <w:pPr>
        <w:pStyle w:val="720"/>
        <w:ind w:firstLine="218"/>
        <w:shd w:val="clear" w:color="auto"/>
        <w:rPr>
          <w:color w:val="auto"/>
          <w:highlight w:val="none"/>
        </w:rPr>
      </w:pPr>
      <w:r>
        <w:rPr>
          <w:color w:val="auto"/>
          <w:highlight w:val="none"/>
        </w:rPr>
      </w:r>
      <w:r>
        <w:rPr>
          <w:highlight w:val="none"/>
        </w:rPr>
      </w:r>
    </w:p>
    <w:p>
      <w:pPr>
        <w:pStyle w:val="720"/>
        <w:ind w:firstLine="218"/>
        <w:shd w:val="clear" w:color="auto"/>
        <w:rPr>
          <w:color w:val="auto"/>
          <w:highlight w:val="none"/>
        </w:rPr>
      </w:pPr>
      <w:r>
        <w:rPr>
          <w:color w:val="auto"/>
          <w:highlight w:val="none"/>
        </w:rPr>
      </w:r>
      <w:r>
        <w:rPr>
          <w:highlight w:val="none"/>
        </w:rP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合同编号 ：</w:t>
      </w:r>
      <w:r>
        <w:rPr>
          <w:rFonts w:hint="eastAsia" w:ascii="宋体" w:hAnsi="宋体"/>
          <w:color w:val="auto"/>
          <w:sz w:val="30"/>
          <w:szCs w:val="30"/>
          <w:highlight w:val="none"/>
          <w:u w:val="single"/>
        </w:rPr>
        <w:t xml:space="preserve">                                   </w:t>
      </w:r>
      <w:r>
        <w:rPr>
          <w:highlight w:val="none"/>
        </w:rP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项目名称 ：</w:t>
      </w:r>
      <w:r>
        <w:rPr>
          <w:rFonts w:hint="eastAsia" w:ascii="宋体" w:hAnsi="宋体"/>
          <w:color w:val="auto"/>
          <w:sz w:val="30"/>
          <w:szCs w:val="30"/>
          <w:highlight w:val="none"/>
          <w:u w:val="single"/>
        </w:rPr>
        <w:t xml:space="preserve">                                   </w:t>
      </w:r>
      <w:r>
        <w:rPr>
          <w:highlight w:val="none"/>
        </w:rPr>
      </w:r>
    </w:p>
    <w:p>
      <w:pPr>
        <w:ind w:firstLine="234"/>
        <w:spacing w:line="360" w:lineRule="auto"/>
        <w:shd w:val="clear" w:color="auto"/>
        <w:rPr>
          <w:rFonts w:hint="eastAsia" w:ascii="宋体" w:hAnsi="宋体" w:eastAsia="宋体"/>
          <w:color w:val="auto"/>
          <w:sz w:val="30"/>
          <w:szCs w:val="30"/>
          <w:highlight w:val="none"/>
          <w:u w:val="single"/>
        </w:rPr>
      </w:pPr>
      <w:r>
        <w:rPr>
          <w:rFonts w:hint="eastAsia" w:ascii="宋体" w:hAnsi="宋体"/>
          <w:color w:val="auto"/>
          <w:sz w:val="30"/>
          <w:szCs w:val="30"/>
          <w:highlight w:val="none"/>
        </w:rPr>
        <w:t xml:space="preserve">采购单位 ：</w:t>
      </w:r>
      <w:r>
        <w:rPr>
          <w:rFonts w:hint="eastAsia" w:ascii="宋体" w:hAnsi="宋体"/>
          <w:color w:val="auto"/>
          <w:sz w:val="30"/>
          <w:szCs w:val="30"/>
          <w:highlight w:val="none"/>
          <w:u w:val="single"/>
        </w:rPr>
        <w:t xml:space="preserve">南京市鼓楼区幕府山社区卫生服务中心</w:t>
      </w:r>
      <w:r>
        <w:rPr>
          <w:rFonts w:hint="eastAsia" w:ascii="宋体" w:hAnsi="宋体"/>
          <w:color w:val="auto"/>
          <w:sz w:val="30"/>
          <w:szCs w:val="30"/>
          <w:highlight w:val="none"/>
          <w:u w:val="single"/>
          <w:lang w:val="en-US" w:eastAsia="zh-CN"/>
        </w:rPr>
        <w:t xml:space="preserve"> </w:t>
      </w:r>
      <w:r>
        <w:rPr>
          <w:highlight w:val="none"/>
        </w:rPr>
      </w:r>
    </w:p>
    <w:p>
      <w:pPr>
        <w:ind w:firstLine="234"/>
        <w:spacing w:line="360" w:lineRule="auto"/>
        <w:shd w:val="clear" w:color="auto"/>
        <w:rPr>
          <w:rFonts w:ascii="宋体" w:hAnsi="宋体"/>
          <w:color w:val="auto"/>
          <w:sz w:val="30"/>
          <w:szCs w:val="30"/>
          <w:highlight w:val="none"/>
          <w:u w:val="single"/>
        </w:rPr>
      </w:pPr>
      <w:r>
        <w:rPr>
          <w:rFonts w:hint="eastAsia" w:ascii="宋体" w:hAnsi="宋体"/>
          <w:color w:val="auto"/>
          <w:sz w:val="30"/>
          <w:szCs w:val="30"/>
          <w:highlight w:val="none"/>
        </w:rPr>
        <w:t xml:space="preserve">中标单位 ：</w:t>
      </w:r>
      <w:r>
        <w:rPr>
          <w:rFonts w:hint="eastAsia" w:ascii="宋体" w:hAnsi="宋体"/>
          <w:color w:val="auto"/>
          <w:sz w:val="30"/>
          <w:szCs w:val="30"/>
          <w:highlight w:val="none"/>
          <w:u w:val="single"/>
        </w:rPr>
        <w:t xml:space="preserve">                                   </w:t>
      </w:r>
      <w:r>
        <w:rPr>
          <w:highlight w:val="none"/>
        </w:rPr>
      </w:r>
    </w:p>
    <w:p>
      <w:pPr>
        <w:shd w:val="clear" w:color="auto"/>
        <w:rPr>
          <w:rFonts w:ascii="宋体" w:hAnsi="宋体"/>
          <w:color w:val="auto"/>
          <w:sz w:val="30"/>
          <w:szCs w:val="30"/>
          <w:highlight w:val="none"/>
        </w:rPr>
      </w:pPr>
      <w:r>
        <w:rPr>
          <w:rFonts w:ascii="宋体" w:hAnsi="宋体"/>
          <w:color w:val="auto"/>
          <w:sz w:val="30"/>
          <w:szCs w:val="30"/>
          <w:highlight w:val="none"/>
        </w:rPr>
      </w:r>
      <w:r>
        <w:rPr>
          <w:highlight w:val="none"/>
        </w:rPr>
      </w:r>
    </w:p>
    <w:p>
      <w:pPr>
        <w:shd w:val="clear" w:color="auto"/>
        <w:rPr>
          <w:rFonts w:ascii="宋体" w:hAnsi="宋体"/>
          <w:color w:val="auto"/>
          <w:sz w:val="30"/>
          <w:szCs w:val="30"/>
          <w:highlight w:val="none"/>
        </w:rPr>
      </w:pPr>
      <w:r>
        <w:rPr>
          <w:rFonts w:ascii="宋体" w:hAnsi="宋体"/>
          <w:color w:val="auto"/>
          <w:sz w:val="30"/>
          <w:szCs w:val="30"/>
          <w:highlight w:val="none"/>
        </w:rPr>
      </w:r>
      <w:r>
        <w:rPr>
          <w:highlight w:val="none"/>
        </w:rPr>
      </w:r>
    </w:p>
    <w:p>
      <w:pPr>
        <w:shd w:val="clear" w:color="auto"/>
        <w:rPr>
          <w:rFonts w:ascii="宋体" w:hAnsi="宋体"/>
          <w:color w:val="auto"/>
          <w:sz w:val="30"/>
          <w:szCs w:val="30"/>
          <w:highlight w:val="none"/>
        </w:rPr>
      </w:pPr>
      <w:r>
        <w:rPr>
          <w:rFonts w:ascii="宋体" w:hAnsi="宋体"/>
          <w:color w:val="auto"/>
          <w:sz w:val="30"/>
          <w:szCs w:val="30"/>
          <w:highlight w:val="none"/>
        </w:rPr>
      </w:r>
      <w:r>
        <w:rPr>
          <w:highlight w:val="none"/>
        </w:rPr>
      </w:r>
    </w:p>
    <w:p>
      <w:pPr>
        <w:shd w:val="clear" w:color="auto"/>
        <w:rPr>
          <w:rFonts w:ascii="宋体" w:hAnsi="宋体"/>
          <w:color w:val="auto"/>
          <w:sz w:val="30"/>
          <w:szCs w:val="30"/>
          <w:highlight w:val="none"/>
        </w:rPr>
      </w:pPr>
      <w:r>
        <w:rPr>
          <w:rFonts w:ascii="宋体" w:hAnsi="宋体"/>
          <w:color w:val="auto"/>
          <w:sz w:val="30"/>
          <w:szCs w:val="30"/>
          <w:highlight w:val="none"/>
        </w:rPr>
      </w:r>
      <w:r>
        <w:rPr>
          <w:highlight w:val="none"/>
        </w:rPr>
      </w:r>
    </w:p>
    <w:p>
      <w:pPr>
        <w:ind w:firstLine="1916"/>
        <w:shd w:val="clear" w:color="auto"/>
        <w:rPr>
          <w:rFonts w:ascii="宋体" w:hAnsi="宋体"/>
          <w:color w:val="auto"/>
          <w:sz w:val="30"/>
          <w:szCs w:val="30"/>
          <w:highlight w:val="none"/>
        </w:rPr>
      </w:pPr>
      <w:r>
        <w:rPr>
          <w:rFonts w:hint="eastAsia" w:ascii="宋体" w:hAnsi="宋体"/>
          <w:color w:val="auto"/>
          <w:sz w:val="30"/>
          <w:szCs w:val="30"/>
          <w:highlight w:val="none"/>
        </w:rPr>
        <w:t xml:space="preserve">签订日期 ：</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年</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月</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rPr>
        <w:t xml:space="preserve">日</w:t>
      </w:r>
      <w:r>
        <w:rPr>
          <w:highlight w:val="none"/>
        </w:rPr>
      </w:r>
    </w:p>
    <w:p>
      <w:pPr>
        <w:spacing w:line="560" w:lineRule="exact"/>
        <w:shd w:val="clear" w:color="auto"/>
        <w:rPr>
          <w:rFonts w:asciiTheme="minorEastAsia" w:hAnsiTheme="minorEastAsia" w:eastAsiaTheme="minorEastAsia"/>
          <w:color w:val="auto"/>
          <w:sz w:val="24"/>
          <w:szCs w:val="24"/>
          <w:highlight w:val="none"/>
        </w:rPr>
      </w:pPr>
      <w:r>
        <w:rPr>
          <w:rFonts w:ascii="宋体" w:hAnsi="宋体"/>
          <w:color w:val="auto"/>
          <w:sz w:val="28"/>
          <w:szCs w:val="28"/>
          <w:highlight w:val="none"/>
          <w:lang w:val="zh-CN"/>
        </w:rPr>
        <w:br w:type="page" w:clear="all"/>
      </w:r>
      <w:r>
        <w:rPr>
          <w:highlight w:val="none"/>
        </w:rPr>
      </w:r>
    </w:p>
    <w:p>
      <w:pPr>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（以下为中标后签订本项目合同的通用条款，中标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zh-CN"/>
        </w:rPr>
        <w:t xml:space="preserve">不得提出实质性修改，关于专用条款将由采购人与中标</w:t>
      </w:r>
      <w:r>
        <w:rPr>
          <w:rFonts w:hint="eastAsia" w:asciiTheme="minorEastAsia" w:hAnsiTheme="minorEastAsia" w:eastAsiaTheme="minorEastAsia" w:cstheme="minorEastAsia"/>
          <w:color w:val="auto"/>
          <w:sz w:val="24"/>
          <w:szCs w:val="24"/>
          <w:highlight w:val="none"/>
          <w:lang w:val="en-US" w:eastAsia="zh-CN"/>
        </w:rPr>
        <w:t xml:space="preserve">人</w:t>
      </w:r>
      <w:r>
        <w:rPr>
          <w:rFonts w:hint="eastAsia" w:asciiTheme="minorEastAsia" w:hAnsiTheme="minorEastAsia" w:eastAsiaTheme="minorEastAsia" w:cstheme="minorEastAsia"/>
          <w:color w:val="auto"/>
          <w:sz w:val="24"/>
          <w:szCs w:val="24"/>
          <w:highlight w:val="none"/>
          <w:lang w:val="zh-CN"/>
        </w:rPr>
        <w:t xml:space="preserve">结合本项目具体情况协商后签订）</w:t>
      </w:r>
      <w:r>
        <w:rPr>
          <w:highlight w:val="none"/>
        </w:rPr>
      </w:r>
    </w:p>
    <w:p>
      <w:pPr>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合同编号：</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政府采购计划号：</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采购人：（以下简称甲方）</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住所地：</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供应商：（以下简称乙方）</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住所地：</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根据《中华人民共和国政府采购法》《中华人民共和国民法典》等法律法规规定，甲乙双方经协商签订本合同。</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第一条 合同标的</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乙方根据甲方需求提供下列</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rPr>
        <w:t xml:space="preserve">：</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详见乙方</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第二条 合同总价款</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本合同项下</w:t>
      </w:r>
      <w:r>
        <w:rPr>
          <w:rFonts w:hint="eastAsia" w:asciiTheme="minorEastAsia" w:hAnsiTheme="minorEastAsia" w:eastAsiaTheme="minorEastAsia" w:cstheme="minorEastAsia"/>
          <w:color w:val="auto"/>
          <w:sz w:val="24"/>
          <w:szCs w:val="24"/>
          <w:highlight w:val="none"/>
          <w:lang w:val="en-US" w:eastAsia="zh-CN"/>
        </w:rPr>
        <w:t xml:space="preserve">货物总</w:t>
      </w:r>
      <w:r>
        <w:rPr>
          <w:rFonts w:hint="eastAsia" w:asciiTheme="minorEastAsia" w:hAnsiTheme="minorEastAsia" w:eastAsiaTheme="minorEastAsia" w:cstheme="minorEastAsia"/>
          <w:color w:val="auto"/>
          <w:sz w:val="24"/>
          <w:szCs w:val="24"/>
          <w:highlight w:val="none"/>
        </w:rPr>
        <w:t xml:space="preserve">价</w:t>
      </w:r>
      <w:r>
        <w:rPr>
          <w:rFonts w:hint="eastAsia" w:asciiTheme="minorEastAsia" w:hAnsiTheme="minorEastAsia" w:eastAsia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为___________（大写）人民币，分项价款在“分项报价表”中有明确规定。</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本合同价款是完成本项目所发生的所有含税费用、支付给员工的工资和国家强制缴纳的各种社会保障资金，以及乙方认为需要的其他费用等。</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本合同总价款还包含乙方应当提供的伴随服务/售后服务费用。</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本合同执行期间合同总价款不变。</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第三条 合同期限</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日</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第四条 组成本合同的有关文件</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下列关于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号的招标文件、投标文件，以及与本次采购活动相关的文件及有关附件是本合同不可分割的组成部分，与本合同具有同等法律效力，这些文件包括但不限于：</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（1）投标文件和报价表；</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（2）项目实施或</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lang w:val="zh-CN"/>
        </w:rPr>
        <w:t xml:space="preserve">方案；</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（3）采购需求偏离表；</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（4）投标承诺；</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（5）服务承诺；</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（6）中标通知书；</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（7）甲乙双方商定的其他文件。</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第五条 权利保证</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乙方应保证甲方在使用该</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或其任何一部分时不受第三方提出侵犯其专利权、版权、商标权或其他权利的起诉。一旦出现侵权，乙方应承担全部责任。</w:t>
      </w:r>
      <w:r>
        <w:rPr>
          <w:highlight w:val="none"/>
        </w:rPr>
      </w:r>
    </w:p>
    <w:p>
      <w:pPr>
        <w:ind w:firstLine="482"/>
        <w:keepLines w:val="0"/>
        <w:keepNext w:val="0"/>
        <w:pageBreakBefore w:val="0"/>
        <w:spacing w:line="560" w:lineRule="exact"/>
        <w:shd w:val="clear" w:color="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第六条 供货及安装要求 </w:t>
      </w:r>
      <w:r>
        <w:rPr>
          <w:highlight w:val="none"/>
        </w:rPr>
      </w:r>
    </w:p>
    <w:p>
      <w:pPr>
        <w:contextualSpacing/>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1、现场作业中其他市政设施设备的保护工作由乙方负责，如有损坏应照价赔偿并原样修复。</w:t>
      </w:r>
      <w:r>
        <w:rPr>
          <w:highlight w:val="none"/>
        </w:rPr>
      </w:r>
    </w:p>
    <w:p>
      <w:pPr>
        <w:contextualSpacing/>
        <w:ind w:firstLine="48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未验收前，货物保管、安全均由乙方负责。</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、甲方为配送工作提供必要的交通条件。乙方应遵守甲方的安全管理规定，送货车辆严格按照甲方规定的路线行驶，不得随意停放。</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4、在合同期内，乙方按甲方订购的品种、数量、质量、规格准时向甲方提供配送服务，提前或推迟送货，甲方有权拒收，并严格按照违约责任条款约定的进行处罚。</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、乙方因日常工作中造成的物品损坏或遗失，由乙方负责照价赔偿。</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、履行供货任务中发生的意外情况及伤害，由乙方负责。</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七</w:t>
      </w:r>
      <w:r>
        <w:rPr>
          <w:rFonts w:hint="eastAsia" w:asciiTheme="minorEastAsia" w:hAnsiTheme="minorEastAsia" w:eastAsiaTheme="minorEastAsia" w:cstheme="minorEastAsia"/>
          <w:b/>
          <w:color w:val="auto"/>
          <w:sz w:val="24"/>
          <w:szCs w:val="24"/>
          <w:highlight w:val="none"/>
          <w:lang w:val="zh-CN"/>
        </w:rPr>
        <w:t xml:space="preserve">条 质量保证</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zh-CN"/>
        </w:rPr>
        <w:t xml:space="preserve">乙方所提供的</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的技术规格应与招标（采购）文件规定的技术规格及所附的“</w:t>
      </w:r>
      <w:r>
        <w:rPr>
          <w:rFonts w:hint="eastAsia" w:asciiTheme="minorEastAsia" w:hAnsiTheme="minorEastAsia" w:eastAsiaTheme="minorEastAsia" w:cstheme="minorEastAsia"/>
          <w:color w:val="auto"/>
          <w:sz w:val="24"/>
          <w:szCs w:val="24"/>
          <w:highlight w:val="none"/>
          <w:lang w:val="en-US" w:eastAsia="zh-CN"/>
        </w:rPr>
        <w:t xml:space="preserve">技术要求响应及偏离表</w:t>
      </w:r>
      <w:r>
        <w:rPr>
          <w:rFonts w:hint="eastAsia" w:asciiTheme="minorEastAsia" w:hAnsiTheme="minorEastAsia" w:eastAsiaTheme="minorEastAsia" w:cstheme="minorEastAsia"/>
          <w:color w:val="auto"/>
          <w:sz w:val="24"/>
          <w:szCs w:val="24"/>
          <w:highlight w:val="none"/>
          <w:lang w:val="zh-CN"/>
        </w:rPr>
        <w:t xml:space="preserve">”相一致；若技术性能无特殊说明，则按国家有关部门最新颁布的标准及规范为准。</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八</w:t>
      </w:r>
      <w:r>
        <w:rPr>
          <w:rFonts w:hint="eastAsia" w:asciiTheme="minorEastAsia" w:hAnsiTheme="minorEastAsia" w:eastAsiaTheme="minorEastAsia" w:cstheme="minorEastAsia"/>
          <w:b/>
          <w:color w:val="auto"/>
          <w:sz w:val="24"/>
          <w:szCs w:val="24"/>
          <w:highlight w:val="none"/>
          <w:lang w:val="zh-CN"/>
        </w:rPr>
        <w:t xml:space="preserve">条 交付和验收</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1、乙方应当在合同签订后</w:t>
      </w:r>
      <w:r>
        <w:rPr>
          <w:rFonts w:hint="eastAsia" w:asciiTheme="minorEastAsia" w:hAnsiTheme="minorEastAsia" w:eastAsiaTheme="minorEastAsia" w:cstheme="minorEastAsia"/>
          <w:color w:val="auto"/>
          <w:sz w:val="24"/>
          <w:szCs w:val="24"/>
          <w:highlight w:val="none"/>
          <w:u w:val="single"/>
          <w:lang w:val="en-US" w:eastAsia="zh-CN"/>
        </w:rPr>
        <w:t xml:space="preserve">60</w:t>
      </w:r>
      <w:r>
        <w:rPr>
          <w:rFonts w:hint="eastAsia" w:asciiTheme="minorEastAsia" w:hAnsiTheme="minorEastAsia" w:eastAsiaTheme="minorEastAsia" w:cstheme="minorEastAsia"/>
          <w:color w:val="auto"/>
          <w:sz w:val="24"/>
          <w:szCs w:val="24"/>
          <w:highlight w:val="none"/>
          <w:lang w:val="zh-CN"/>
        </w:rPr>
        <w:t xml:space="preserve">个</w:t>
      </w:r>
      <w:r>
        <w:rPr>
          <w:rFonts w:hint="eastAsia" w:asciiTheme="minorEastAsia" w:hAnsiTheme="minorEastAsia" w:eastAsiaTheme="minorEastAsia" w:cstheme="minorEastAsia"/>
          <w:color w:val="auto"/>
          <w:sz w:val="24"/>
          <w:szCs w:val="24"/>
          <w:highlight w:val="none"/>
          <w:lang w:val="en-US" w:eastAsia="zh-CN"/>
        </w:rPr>
        <w:t xml:space="preserve">自然日</w:t>
      </w:r>
      <w:r>
        <w:rPr>
          <w:rFonts w:hint="eastAsia" w:asciiTheme="minorEastAsia" w:hAnsiTheme="minorEastAsia" w:eastAsiaTheme="minorEastAsia" w:cstheme="minorEastAsia"/>
          <w:color w:val="auto"/>
          <w:sz w:val="24"/>
          <w:szCs w:val="24"/>
          <w:highlight w:val="none"/>
        </w:rPr>
        <w:t xml:space="preserve">内交付并完成安装调试及</w:t>
      </w:r>
      <w:r>
        <w:rPr>
          <w:rFonts w:hint="eastAsia" w:asciiTheme="minorEastAsia" w:hAnsiTheme="minorEastAsia" w:eastAsiaTheme="minorEastAsia" w:cstheme="minorEastAsia"/>
          <w:color w:val="auto"/>
          <w:sz w:val="24"/>
          <w:szCs w:val="24"/>
          <w:highlight w:val="none"/>
          <w:lang w:val="zh-CN"/>
        </w:rPr>
        <w:t xml:space="preserve">相关部门</w:t>
      </w:r>
      <w:r>
        <w:rPr>
          <w:rFonts w:hint="eastAsia" w:asciiTheme="minorEastAsia" w:hAnsiTheme="minorEastAsia" w:eastAsiaTheme="minorEastAsia" w:cstheme="minorEastAsia"/>
          <w:color w:val="auto"/>
          <w:sz w:val="24"/>
          <w:szCs w:val="24"/>
          <w:highlight w:val="none"/>
        </w:rPr>
        <w:t xml:space="preserve">验收</w:t>
      </w:r>
      <w:r>
        <w:rPr>
          <w:rFonts w:hint="eastAsia" w:asciiTheme="minorEastAsia" w:hAnsiTheme="minorEastAsia" w:eastAsiaTheme="minorEastAsia" w:cstheme="minorEastAsia"/>
          <w:color w:val="auto"/>
          <w:sz w:val="24"/>
          <w:szCs w:val="24"/>
          <w:highlight w:val="none"/>
          <w:lang w:val="zh-CN"/>
        </w:rPr>
        <w:t xml:space="preserve">并交付使用</w:t>
      </w:r>
      <w:r>
        <w:rPr>
          <w:rFonts w:hint="eastAsia" w:asciiTheme="minorEastAsia" w:hAnsiTheme="minorEastAsia" w:eastAsiaTheme="minorEastAsia" w:cstheme="minorEastAsia"/>
          <w:color w:val="auto"/>
          <w:sz w:val="24"/>
          <w:szCs w:val="24"/>
          <w:highlight w:val="none"/>
        </w:rPr>
        <w:t xml:space="preserve">等相关工作</w:t>
      </w:r>
      <w:r>
        <w:rPr>
          <w:rFonts w:hint="eastAsia" w:asciiTheme="minorEastAsia" w:hAnsiTheme="minorEastAsia" w:eastAsiaTheme="minorEastAsia" w:cstheme="minorEastAsia"/>
          <w:color w:val="auto"/>
          <w:sz w:val="24"/>
          <w:szCs w:val="24"/>
          <w:highlight w:val="none"/>
          <w:lang w:val="zh-CN"/>
        </w:rPr>
        <w:t xml:space="preserve">。</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2、验收标准：按行业通行标准和乙方投标文件的承诺（详见合同附件载明的标准，并不低于国家相关标准）。</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九</w:t>
      </w:r>
      <w:r>
        <w:rPr>
          <w:rFonts w:hint="eastAsia" w:asciiTheme="minorEastAsia" w:hAnsiTheme="minorEastAsia" w:eastAsiaTheme="minorEastAsia" w:cstheme="minorEastAsia"/>
          <w:b/>
          <w:color w:val="auto"/>
          <w:sz w:val="24"/>
          <w:szCs w:val="24"/>
          <w:highlight w:val="none"/>
          <w:lang w:val="zh-CN"/>
        </w:rPr>
        <w:t xml:space="preserve">条 履约保证金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1、乙方应按以下第（1）种方式向甲方缴纳履约保证金：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（1）无需缴纳履约保证金；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lang w:val="zh-CN"/>
        </w:rPr>
        <w:t xml:space="preserve">保证金转为履约保证金；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（3）自合同签订之日起</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个工作日内以支票、汇票、本票或者金融机构、担保机构出具的保函等非现金形式缴纳履约保证金，金额为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万元。</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w:t>
      </w:r>
      <w:r>
        <w:rPr>
          <w:rFonts w:hint="eastAsia" w:asciiTheme="minorEastAsia" w:hAnsiTheme="minorEastAsia" w:eastAsiaTheme="minorEastAsia" w:cstheme="minorEastAsia"/>
          <w:b/>
          <w:color w:val="auto"/>
          <w:sz w:val="24"/>
          <w:szCs w:val="24"/>
          <w:highlight w:val="none"/>
        </w:rPr>
        <w:t xml:space="preserve">十</w:t>
      </w:r>
      <w:r>
        <w:rPr>
          <w:rFonts w:hint="eastAsia" w:asciiTheme="minorEastAsia" w:hAnsiTheme="minorEastAsia" w:eastAsiaTheme="minorEastAsia" w:cstheme="minorEastAsia"/>
          <w:b/>
          <w:color w:val="auto"/>
          <w:sz w:val="24"/>
          <w:szCs w:val="24"/>
          <w:highlight w:val="none"/>
          <w:lang w:val="zh-CN"/>
        </w:rPr>
        <w:t xml:space="preserve">条 合同款支付</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1、本合同项下所有款项均以人民币支付。</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2、本合同项下的采购资金由甲方自行支付。</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3、付款条件：</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（1）签订合同后，甲方向乙方支付合同总金额的30%；</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（2）所有设备安装到位通过相关部门验收并通电交付使用一个月后，甲方向乙方支付合同总金额的</w:t>
      </w:r>
      <w:r>
        <w:rPr>
          <w:rFonts w:hint="eastAsia" w:asciiTheme="minorEastAsia" w:hAnsiTheme="minorEastAsia" w:eastAsiaTheme="minorEastAsia" w:cstheme="minorEastAsia"/>
          <w:color w:val="auto"/>
          <w:sz w:val="24"/>
          <w:szCs w:val="24"/>
          <w:highlight w:val="none"/>
          <w:lang w:val="en-US" w:eastAsia="zh-CN"/>
        </w:rPr>
        <w:t xml:space="preserve">60</w:t>
      </w:r>
      <w:r>
        <w:rPr>
          <w:rFonts w:hint="eastAsia" w:asciiTheme="minorEastAsia" w:hAnsiTheme="minorEastAsia" w:eastAsiaTheme="minorEastAsia" w:cstheme="minorEastAsia"/>
          <w:color w:val="auto"/>
          <w:sz w:val="24"/>
          <w:szCs w:val="24"/>
          <w:highlight w:val="none"/>
          <w:lang w:val="zh-CN"/>
        </w:rPr>
        <w:t xml:space="preserve">%；</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（3）经甲方验收通过一年后，甲方向乙方支付至合同总金额的100%（含已支付）。</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（4）每次付款前五个工作日，乙方须向甲方提供等额发票，相关的明细和清单，否则甲方有权拒绝付款。因财政审批导致的迟延支付，甲方不承担迟延支付的违约责任。</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一</w:t>
      </w:r>
      <w:r>
        <w:rPr>
          <w:rFonts w:hint="eastAsia" w:asciiTheme="minorEastAsia" w:hAnsiTheme="minorEastAsia" w:eastAsiaTheme="minorEastAsia" w:cstheme="minorEastAsia"/>
          <w:b/>
          <w:color w:val="auto"/>
          <w:sz w:val="24"/>
          <w:szCs w:val="24"/>
          <w:highlight w:val="none"/>
          <w:lang w:val="zh-CN"/>
        </w:rPr>
        <w:t xml:space="preserve">条 违约责任</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1、甲方无正当理由拒绝接受</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、拒付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款的，甲方向乙方偿付合同总价的5%违约金。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2、甲方未按合同规定的期限向乙方支付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款的，每逾期1天甲方向乙方偿付欠款总额的5‰滞纳金，但累计滞纳金总额不超过欠款总额的5% 。</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3、如乙方不能交付</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的，乙方应向甲方支付合同总价5%的违约金。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４、乙方所交付的</w:t>
      </w:r>
      <w:r>
        <w:rPr>
          <w:rFonts w:hint="eastAsia" w:asciiTheme="minorEastAsia" w:hAnsiTheme="minorEastAsia" w:eastAsiaTheme="minorEastAsia" w:cstheme="minorEastAsia"/>
          <w:color w:val="auto"/>
          <w:sz w:val="24"/>
          <w:szCs w:val="24"/>
          <w:highlight w:val="none"/>
        </w:rPr>
        <w:t xml:space="preserve">货物</w:t>
      </w:r>
      <w:r>
        <w:rPr>
          <w:rFonts w:hint="eastAsia" w:asciiTheme="minorEastAsia" w:hAnsiTheme="minorEastAsia" w:eastAsiaTheme="minorEastAsia" w:cstheme="minorEastAsia"/>
          <w:color w:val="auto"/>
          <w:sz w:val="24"/>
          <w:szCs w:val="24"/>
          <w:highlight w:val="none"/>
          <w:lang w:val="zh-CN"/>
        </w:rPr>
        <w:t xml:space="preserve">不符合合同规定的，甲方有权拒绝接受。甲方拒绝接受的，乙方应向甲方支付合同总额5%的违约金。</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、乙方未按本合同的规定和“服务承诺”提供伴随服务/售后服务的，应按合同总价款的5%向甲方承担违约责任。</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zh-CN"/>
        </w:rPr>
        <w:t xml:space="preserve">、乙方在承担上述</w:t>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、乙方响应属虚假承诺，或经权威部门检测提供的服务不能满足招标文件要求，或是由于乙方的过错造成合同无法继续履行的，乙方应向甲方支付不少于合同总价30%赔偿金。</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color w:val="auto"/>
          <w:sz w:val="24"/>
          <w:szCs w:val="24"/>
          <w:highlight w:val="none"/>
          <w:lang w:val="zh-CN"/>
        </w:rPr>
        <w:t xml:space="preserve">条 合同的变更和终止</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1、除《政府采购法》第50条规定的情形外，本合同一经签订，甲乙双方不得擅自变更、中止或终止。</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2、除发生法律规定的不能预见、不能避免并不能克服的客观情况外，甲乙双方不得放弃或拒绝履行合同。</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三</w:t>
      </w:r>
      <w:r>
        <w:rPr>
          <w:rFonts w:hint="eastAsia" w:asciiTheme="minorEastAsia" w:hAnsiTheme="minorEastAsia" w:eastAsiaTheme="minorEastAsia" w:cstheme="minorEastAsia"/>
          <w:b/>
          <w:color w:val="auto"/>
          <w:sz w:val="24"/>
          <w:szCs w:val="24"/>
          <w:highlight w:val="none"/>
          <w:lang w:val="zh-CN"/>
        </w:rPr>
        <w:t xml:space="preserve">条 合同的转让</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乙方不得擅自部分或全部转让其应履行的合同义务。</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四</w:t>
      </w:r>
      <w:r>
        <w:rPr>
          <w:rFonts w:hint="eastAsia" w:asciiTheme="minorEastAsia" w:hAnsiTheme="minorEastAsia" w:eastAsiaTheme="minorEastAsia" w:cstheme="minorEastAsia"/>
          <w:b/>
          <w:color w:val="auto"/>
          <w:sz w:val="24"/>
          <w:szCs w:val="24"/>
          <w:highlight w:val="none"/>
          <w:lang w:val="zh-CN"/>
        </w:rPr>
        <w:t xml:space="preserve">条 争议的解决</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1、因</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的质量问题发生争议的，应当邀请国家认可的质量检测机构对</w:t>
      </w:r>
      <w:r>
        <w:rPr>
          <w:rFonts w:hint="eastAsia" w:asciiTheme="minorEastAsia" w:hAnsiTheme="minorEastAsia" w:eastAsia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lang w:val="zh-CN"/>
        </w:rPr>
        <w:t xml:space="preserve">质量进行鉴定。符合标准的，鉴定费由甲方承担；不符合标准的，鉴定费由乙方承担。</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zh-CN"/>
        </w:rPr>
        <w:t xml:space="preserve">）种方式解决争议：</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（1）向甲方所在地有管辖权的人民法院提起诉讼；</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（2）向南京仲裁委员会按其仲裁规则申请仲裁。</w:t>
      </w:r>
      <w:r>
        <w:rPr>
          <w:highlight w:val="none"/>
        </w:rPr>
      </w:r>
    </w:p>
    <w:p>
      <w:pPr>
        <w:ind w:left="0" w:right="0" w:firstLine="480"/>
        <w:jc w:val="left"/>
        <w:keepLines w:val="0"/>
        <w:keepNext w:val="0"/>
        <w:pageBreakBefore w:val="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zh-CN"/>
        </w:rPr>
        <w:t xml:space="preserve">如没有约定，默认采取第2种方式解决争议。</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w:t>
      </w:r>
      <w:r>
        <w:rPr>
          <w:rFonts w:hint="eastAsia" w:asciiTheme="minorEastAsia" w:hAnsiTheme="minorEastAsia" w:eastAsiaTheme="minorEastAsia" w:cstheme="minorEastAsia"/>
          <w:color w:val="auto"/>
          <w:sz w:val="24"/>
          <w:szCs w:val="24"/>
          <w:highlight w:val="none"/>
        </w:rPr>
        <w:t xml:space="preserve">诉讼</w:t>
      </w:r>
      <w:r>
        <w:rPr>
          <w:rFonts w:hint="eastAsia" w:asciiTheme="minorEastAsia" w:hAnsiTheme="minorEastAsia" w:eastAsiaTheme="minorEastAsia" w:cstheme="minorEastAsia"/>
          <w:color w:val="auto"/>
          <w:sz w:val="24"/>
          <w:szCs w:val="24"/>
          <w:highlight w:val="none"/>
          <w:lang w:val="zh-CN"/>
        </w:rPr>
        <w:t xml:space="preserve">期间本合同应继续履行。</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五</w:t>
      </w:r>
      <w:r>
        <w:rPr>
          <w:rFonts w:hint="eastAsia" w:asciiTheme="minorEastAsia" w:hAnsiTheme="minorEastAsia" w:eastAsiaTheme="minorEastAsia" w:cstheme="minorEastAsia"/>
          <w:b/>
          <w:color w:val="auto"/>
          <w:sz w:val="24"/>
          <w:szCs w:val="24"/>
          <w:highlight w:val="none"/>
          <w:lang w:val="zh-CN"/>
        </w:rPr>
        <w:t xml:space="preserve">条 诚实信用</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乙方应诚实信用，严格按照招标文件要求和投标承诺履行合同，不向甲方进行商业贿赂或者提供不正当利益。</w:t>
      </w:r>
      <w:r>
        <w:rPr>
          <w:highlight w:val="none"/>
        </w:rPr>
      </w:r>
    </w:p>
    <w:p>
      <w:pPr>
        <w:ind w:firstLine="482"/>
        <w:jc w:val="left"/>
        <w:keepLines w:val="0"/>
        <w:keepNext w:val="0"/>
        <w:pageBreakBefore w:val="0"/>
        <w:spacing w:line="560" w:lineRule="exact"/>
        <w:shd w:val="clear" w:color="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第十</w:t>
      </w:r>
      <w:r>
        <w:rPr>
          <w:rFonts w:hint="eastAsia" w:asciiTheme="minorEastAsia" w:hAnsiTheme="minorEastAsia" w:eastAsiaTheme="minorEastAsia" w:cstheme="minorEastAsia"/>
          <w:b/>
          <w:color w:val="auto"/>
          <w:sz w:val="24"/>
          <w:szCs w:val="24"/>
          <w:highlight w:val="none"/>
        </w:rPr>
        <w:t xml:space="preserve">六</w:t>
      </w:r>
      <w:r>
        <w:rPr>
          <w:rFonts w:hint="eastAsia" w:asciiTheme="minorEastAsia" w:hAnsiTheme="minorEastAsia" w:eastAsiaTheme="minorEastAsia" w:cstheme="minorEastAsia"/>
          <w:b/>
          <w:color w:val="auto"/>
          <w:sz w:val="24"/>
          <w:szCs w:val="24"/>
          <w:highlight w:val="none"/>
          <w:lang w:val="zh-CN"/>
        </w:rPr>
        <w:t xml:space="preserve">条 合同生效及其他</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1、本合同自甲乙双方代表签字并加盖单位公章或合同专用章之日起生效，两个工作日内在财政部门指定的媒体上公告。</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2、本合同一式三份，甲乙双方及代理机构各执一份。</w:t>
      </w:r>
      <w:r>
        <w:rPr>
          <w:highlight w:val="none"/>
        </w:rPr>
      </w:r>
    </w:p>
    <w:p>
      <w:pPr>
        <w:ind w:firstLine="480"/>
        <w:jc w:val="left"/>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3、本合同按照中华人民共和国的现行法律进行解释。</w:t>
      </w:r>
      <w:r>
        <w:rPr>
          <w:highlight w:val="none"/>
        </w:rPr>
      </w:r>
    </w:p>
    <w:p>
      <w:pPr>
        <w:pStyle w:val="696"/>
        <w:ind w:firstLine="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p>
      <w:pPr>
        <w:pStyle w:val="696"/>
        <w:ind w:firstLine="0"/>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bl>
      <w:tblPr>
        <w:tblStyle w:val="692"/>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甲  方（采购人）：（盖章）</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  方（供应商）：（盖章）</w:t>
            </w:r>
            <w:r>
              <w:rPr>
                <w:highlight w:val="none"/>
              </w:rP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代表人：</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代表人：</w:t>
            </w:r>
            <w:r>
              <w:rPr>
                <w:highlight w:val="none"/>
              </w:rP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电  话：</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电  话：</w:t>
            </w:r>
            <w:r>
              <w:rPr>
                <w:highlight w:val="none"/>
              </w:rP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开户银行：</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开户银行：</w:t>
            </w:r>
            <w:r>
              <w:rPr>
                <w:highlight w:val="none"/>
              </w:rP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账  号：</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账  号：</w:t>
            </w:r>
            <w:r>
              <w:rPr>
                <w:highlight w:val="none"/>
              </w:rP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代理机构：（盖章）</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招标文件编制： </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投标文件接收及合同签订： </w:t>
            </w:r>
            <w:r>
              <w:rPr>
                <w:highlight w:val="none"/>
              </w:rP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firstLine="480"/>
              <w:jc w:val="left"/>
              <w:spacing w:line="56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bl>
    <w:p>
      <w:pPr>
        <w:shd w:val="clear" w:color="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br w:type="page" w:clear="all"/>
      </w:r>
      <w:r>
        <w:rPr>
          <w:highlight w:val="none"/>
        </w:rPr>
      </w:r>
    </w:p>
    <w:p>
      <w:pPr>
        <w:pStyle w:val="689"/>
        <w:ind w:left="0" w:right="0" w:firstLine="0"/>
        <w:jc w:val="center"/>
        <w:keepLines/>
        <w:keepNext/>
        <w:pageBreakBefore w:val="0"/>
        <w:spacing w:before="313" w:after="313" w:line="560" w:lineRule="exact"/>
        <w:shd w:val="clear" w:color="auto"/>
        <w:widowControl w:val="off"/>
        <w:rPr>
          <w:rFonts w:hint="eastAsia" w:ascii="宋体" w:hAnsi="宋体" w:eastAsia="宋体" w:cs="宋体"/>
          <w:color w:val="auto"/>
          <w:highlight w:val="none"/>
        </w:rPr>
      </w:pPr>
      <w:r>
        <w:rPr>
          <w:highlight w:val="none"/>
        </w:rPr>
      </w:r>
      <w:bookmarkStart w:id="41" w:name="_Toc12597"/>
      <w:r>
        <w:rPr>
          <w:highlight w:val="none"/>
        </w:rPr>
      </w:r>
      <w:bookmarkStart w:id="42" w:name="_Toc29724"/>
      <w:r>
        <w:rPr>
          <w:highlight w:val="none"/>
        </w:rPr>
      </w:r>
      <w:bookmarkStart w:id="43" w:name="_Toc13552"/>
      <w:r>
        <w:rPr>
          <w:highlight w:val="none"/>
        </w:rPr>
      </w:r>
      <w:bookmarkStart w:id="44" w:name="_Toc15836"/>
      <w:r>
        <w:rPr>
          <w:rFonts w:hint="eastAsia" w:ascii="宋体" w:hAnsi="宋体" w:eastAsia="宋体" w:cs="宋体"/>
          <w:color w:val="auto"/>
          <w:highlight w:val="none"/>
        </w:rPr>
        <w:t xml:space="preserve">第六章 投标文件格式及附件</w:t>
      </w:r>
      <w:bookmarkEnd w:id="41"/>
      <w:r>
        <w:rPr>
          <w:highlight w:val="none"/>
        </w:rPr>
      </w:r>
      <w:bookmarkEnd w:id="42"/>
      <w:r>
        <w:rPr>
          <w:highlight w:val="none"/>
        </w:rPr>
      </w:r>
      <w:bookmarkEnd w:id="43"/>
      <w:r>
        <w:rPr>
          <w:highlight w:val="none"/>
        </w:rPr>
      </w:r>
      <w:bookmarkEnd w:id="44"/>
      <w:r>
        <w:rPr>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ind w:left="0" w:right="0" w:firstLine="0"/>
        <w:jc w:val="center"/>
        <w:keepLines w:val="0"/>
        <w:keepNext w:val="0"/>
        <w:pageBreakBefore w:val="0"/>
        <w:spacing w:line="1000" w:lineRule="exact"/>
        <w:shd w:val="clear" w:color="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right="0" w:firstLine="0"/>
        <w:keepLines w:val="0"/>
        <w:keepNext w:val="0"/>
        <w:pageBreakBefore w:val="0"/>
        <w:spacing w:line="560" w:lineRule="exact"/>
        <w:shd w:val="clear" w:color="auto"/>
        <w:widowControl w:val="off"/>
        <w:rPr>
          <w:rFonts w:hint="eastAsia" w:ascii="宋体" w:hAnsi="宋体" w:eastAsia="宋体" w:cs="宋体"/>
          <w:b/>
          <w:color w:val="auto"/>
          <w:sz w:val="36"/>
          <w:highlight w:val="none"/>
        </w:rPr>
      </w:pPr>
      <w:r>
        <w:rPr>
          <w:rFonts w:hint="eastAsia" w:ascii="宋体" w:hAnsi="宋体" w:eastAsia="宋体" w:cs="宋体"/>
          <w:b/>
          <w:color w:val="auto"/>
          <w:spacing w:val="60"/>
          <w:sz w:val="36"/>
          <w:highlight w:val="none"/>
        </w:rPr>
        <w:t xml:space="preserve">项目编</w:t>
      </w:r>
      <w:r>
        <w:rPr>
          <w:rFonts w:hint="eastAsia" w:ascii="宋体" w:hAnsi="宋体" w:eastAsia="宋体" w:cs="宋体"/>
          <w:b/>
          <w:color w:val="auto"/>
          <w:spacing w:val="0"/>
          <w:sz w:val="36"/>
          <w:highlight w:val="none"/>
        </w:rPr>
        <w:t xml:space="preserve">号</w:t>
      </w:r>
      <w:r>
        <w:rPr>
          <w:rFonts w:hint="eastAsia" w:ascii="宋体" w:hAnsi="宋体" w:eastAsia="宋体" w:cs="宋体"/>
          <w:b/>
          <w:color w:val="auto"/>
          <w:sz w:val="36"/>
          <w:highlight w:val="none"/>
        </w:rPr>
        <w:t xml:space="preserve">：</w:t>
      </w:r>
      <w:r>
        <w:rPr>
          <w:highlight w:val="none"/>
        </w:rPr>
      </w:r>
    </w:p>
    <w:p>
      <w:pPr>
        <w:ind w:right="0" w:firstLine="0"/>
        <w:keepLines w:val="0"/>
        <w:keepNext w:val="0"/>
        <w:pageBreakBefore w:val="0"/>
        <w:spacing w:line="560" w:lineRule="exact"/>
        <w:shd w:val="clear" w:color="auto"/>
        <w:widowControl w:val="off"/>
        <w:rPr>
          <w:rFonts w:hint="eastAsia" w:ascii="宋体" w:hAnsi="宋体" w:eastAsia="宋体" w:cs="宋体"/>
          <w:b/>
          <w:color w:val="auto"/>
          <w:spacing w:val="120"/>
          <w:sz w:val="36"/>
          <w:highlight w:val="none"/>
        </w:rPr>
      </w:pPr>
      <w:r>
        <w:rPr>
          <w:rFonts w:hint="eastAsia" w:ascii="宋体" w:hAnsi="宋体" w:eastAsia="宋体" w:cs="宋体"/>
          <w:b/>
          <w:color w:val="auto"/>
          <w:spacing w:val="120"/>
          <w:sz w:val="36"/>
          <w:highlight w:val="none"/>
        </w:rPr>
      </w:r>
      <w:r>
        <w:rPr>
          <w:highlight w:val="none"/>
        </w:rPr>
      </w:r>
    </w:p>
    <w:p>
      <w:pPr>
        <w:ind w:right="0" w:firstLine="0"/>
        <w:keepLines w:val="0"/>
        <w:keepNext w:val="0"/>
        <w:pageBreakBefore w:val="0"/>
        <w:spacing w:line="560" w:lineRule="exact"/>
        <w:shd w:val="clear" w:color="auto"/>
        <w:widowControl w:val="off"/>
        <w:rPr>
          <w:rFonts w:hint="eastAsia" w:ascii="宋体" w:hAnsi="宋体" w:eastAsia="宋体" w:cs="宋体"/>
          <w:b/>
          <w:color w:val="auto"/>
          <w:sz w:val="36"/>
          <w:highlight w:val="none"/>
          <w:u w:val="single"/>
        </w:rPr>
      </w:pPr>
      <w:r>
        <w:rPr>
          <w:rFonts w:hint="eastAsia" w:ascii="宋体" w:hAnsi="宋体" w:eastAsia="宋体" w:cs="宋体"/>
          <w:b/>
          <w:color w:val="auto"/>
          <w:spacing w:val="60"/>
          <w:sz w:val="36"/>
          <w:highlight w:val="none"/>
        </w:rPr>
        <w:t xml:space="preserve">项目名</w:t>
      </w:r>
      <w:r>
        <w:rPr>
          <w:rFonts w:hint="eastAsia" w:ascii="宋体" w:hAnsi="宋体" w:eastAsia="宋体" w:cs="宋体"/>
          <w:b/>
          <w:color w:val="auto"/>
          <w:spacing w:val="0"/>
          <w:sz w:val="36"/>
          <w:highlight w:val="none"/>
        </w:rPr>
        <w:t xml:space="preserve">称</w:t>
      </w:r>
      <w:r>
        <w:rPr>
          <w:rFonts w:hint="eastAsia" w:ascii="宋体" w:hAnsi="宋体" w:eastAsia="宋体" w:cs="宋体"/>
          <w:b/>
          <w:color w:val="auto"/>
          <w:sz w:val="36"/>
          <w:highlight w:val="none"/>
        </w:rPr>
        <w:t xml:space="preserve">：</w:t>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left="0" w:right="0" w:firstLine="723"/>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eastAsia="zh-CN"/>
        </w:rPr>
        <w:t xml:space="preserve">投标人</w:t>
      </w:r>
      <w:r>
        <w:rPr>
          <w:rFonts w:hint="eastAsia" w:ascii="宋体" w:hAnsi="宋体" w:eastAsia="宋体" w:cs="宋体"/>
          <w:b/>
          <w:color w:val="auto"/>
          <w:sz w:val="36"/>
          <w:highlight w:val="none"/>
        </w:rPr>
        <w:t xml:space="preserve">名称：</w:t>
      </w:r>
      <w:r>
        <w:rPr>
          <w:highlight w:val="none"/>
        </w:rP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highlight w:val="none"/>
        </w:rPr>
      </w:r>
    </w:p>
    <w:p>
      <w:pPr>
        <w:ind w:right="0"/>
        <w:pageBreakBefore w:val="0"/>
        <w:spacing w:line="560" w:lineRule="exact"/>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rPr>
          <w:highlight w:val="none"/>
        </w:rP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highlight w:val="none"/>
        </w:rPr>
      </w:r>
    </w:p>
    <w:p>
      <w:pPr>
        <w:ind w:left="0" w:right="0" w:firstLine="0"/>
        <w:jc w:val="center"/>
        <w:keepLines w:val="0"/>
        <w:keepNext w:val="0"/>
        <w:pageBreakBefore w:val="0"/>
        <w:spacing w:line="560" w:lineRule="exact"/>
        <w:shd w:val="clear" w:color="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录</w:t>
      </w:r>
      <w:r>
        <w:rPr>
          <w:highlight w:val="none"/>
        </w:rPr>
      </w:r>
    </w:p>
    <w:p>
      <w:pPr>
        <w:ind w:left="0" w:right="0" w:firstLine="0"/>
        <w:jc w:val="center"/>
        <w:keepLines w:val="0"/>
        <w:keepNext w:val="0"/>
        <w:pageBreakBefore w:val="0"/>
        <w:spacing w:line="560" w:lineRule="exact"/>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0"/>
        <w:jc w:val="center"/>
        <w:keepLines w:val="0"/>
        <w:keepNext w:val="0"/>
        <w:pageBreakBefore w:val="0"/>
        <w:spacing w:line="560" w:lineRule="exact"/>
        <w:shd w:val="clear" w:color="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自行编制投标文件并制作目录）</w:t>
      </w:r>
      <w:r>
        <w:rPr>
          <w:highlight w:val="none"/>
        </w:rPr>
      </w:r>
    </w:p>
    <w:p>
      <w:pPr>
        <w:ind w:left="0" w:right="0" w:firstLine="42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zh-CN"/>
        </w:rPr>
      </w:r>
      <w:r>
        <w:rPr>
          <w:highlight w:val="none"/>
        </w:rPr>
      </w:r>
    </w:p>
    <w:p>
      <w:pPr>
        <w:ind w:left="0" w:right="0" w:firstLine="560"/>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ind w:left="0" w:right="0" w:firstLine="562"/>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28"/>
          <w:highlight w:val="none"/>
        </w:rPr>
        <w:br w:type="page" w:clear="all"/>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4"/>
          <w:highlight w:val="none"/>
        </w:rPr>
      </w:pPr>
      <w:r>
        <w:rPr>
          <w:rFonts w:hint="eastAsia" w:ascii="宋体" w:hAnsi="宋体" w:eastAsia="宋体" w:cs="宋体"/>
          <w:b/>
          <w:color w:val="auto"/>
          <w:sz w:val="28"/>
          <w:szCs w:val="28"/>
          <w:highlight w:val="none"/>
        </w:rPr>
        <w:t xml:space="preserve">评标索引表</w:t>
      </w:r>
      <w:r>
        <w:rPr>
          <w:highlight w:val="none"/>
        </w:rPr>
      </w:r>
    </w:p>
    <w:tbl>
      <w:tblPr>
        <w:tblStyle w:val="692"/>
        <w:tblpPr w:horzAnchor="page" w:tblpX="1845" w:vertAnchor="text" w:tblpY="532" w:leftFromText="180" w:topFromText="0" w:rightFromText="180" w:bottomFromText="0"/>
        <w:tblW w:w="8414" w:type="dxa"/>
        <w:tblInd w:w="0" w:type="dxa"/>
        <w:tblLayout w:type="fixed"/>
        <w:tblCellMar>
          <w:left w:w="10" w:type="dxa"/>
          <w:top w:w="0" w:type="dxa"/>
          <w:right w:w="10" w:type="dxa"/>
          <w:bottom w:w="0" w:type="dxa"/>
        </w:tblCellMar>
        <w:tblLook w:val="04A0" w:firstRow="1" w:lastRow="0" w:firstColumn="1" w:lastColumn="0" w:noHBand="0" w:noVBand="1"/>
      </w:tblPr>
      <w:tblGrid>
        <w:gridCol w:w="5768"/>
        <w:gridCol w:w="2646"/>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highlight w:val="none"/>
                <w:shd w:val="clear" w:color="auto" w:fill="ffffff"/>
              </w:rPr>
              <w:t xml:space="preserve">评标项目</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在投标文件中的页码位置</w:t>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5768"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6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p>
        </w:tc>
      </w:tr>
    </w:tbl>
    <w:p>
      <w:pPr>
        <w:pStyle w:val="695"/>
        <w:ind w:left="0" w:right="0" w:firstLine="420"/>
        <w:pageBreakBefore w:val="0"/>
        <w:spacing w:after="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560"/>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pStyle w:val="696"/>
        <w:ind w:left="0" w:right="0" w:firstLine="56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643"/>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highlight w:val="none"/>
        </w:rPr>
      </w:r>
    </w:p>
    <w:p>
      <w:pPr>
        <w:ind w:left="0" w:right="0" w:firstLine="643"/>
        <w:jc w:val="center"/>
        <w:pageBreakBefore w:val="0"/>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highlight w:val="none"/>
        </w:rPr>
      </w:r>
    </w:p>
    <w:p>
      <w:pPr>
        <w:ind w:left="0" w:right="0" w:firstLine="643"/>
        <w:jc w:val="left"/>
        <w:pageBreakBefore w:val="0"/>
        <w:spacing w:line="560" w:lineRule="exact"/>
        <w:shd w:val="clear" w:color="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rPr>
          <w:highlight w:val="none"/>
        </w:rP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szCs w:val="28"/>
          <w:highlight w:val="none"/>
        </w:rPr>
        <w:outlineLvl w:val="1"/>
      </w:pPr>
      <w:r>
        <w:rPr>
          <w:highlight w:val="none"/>
        </w:rPr>
      </w:r>
      <w:bookmarkStart w:id="45" w:name="_Toc267"/>
      <w:r>
        <w:rPr>
          <w:highlight w:val="none"/>
        </w:rPr>
      </w:r>
      <w:bookmarkStart w:id="46" w:name="_Toc19197"/>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rPr>
        <w:t xml:space="preserve">一、</w:t>
      </w:r>
      <w:bookmarkEnd w:id="45"/>
      <w:r>
        <w:rPr>
          <w:highlight w:val="none"/>
        </w:rPr>
      </w:r>
      <w:bookmarkEnd w:id="46"/>
      <w:r>
        <w:rPr>
          <w:rFonts w:hint="eastAsia" w:ascii="宋体" w:hAnsi="宋体" w:cs="宋体"/>
          <w:b/>
          <w:color w:val="auto"/>
          <w:sz w:val="28"/>
          <w:szCs w:val="28"/>
          <w:highlight w:val="none"/>
          <w:lang w:val="en-US" w:eastAsia="zh-CN"/>
        </w:rPr>
        <w:t xml:space="preserve">投标函</w:t>
      </w:r>
      <w:r>
        <w:rPr>
          <w:highlight w:val="none"/>
        </w:rP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投标函</w:t>
      </w:r>
      <w:r>
        <w:rPr>
          <w:highlight w:val="none"/>
        </w:rPr>
      </w:r>
    </w:p>
    <w:p>
      <w:pPr>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致：</w:t>
      </w:r>
      <w:r>
        <w:rPr>
          <w:rFonts w:hint="eastAsia" w:ascii="宋体" w:hAnsi="宋体" w:eastAsia="宋体" w:cs="宋体"/>
          <w:color w:val="auto"/>
          <w:sz w:val="24"/>
          <w:szCs w:val="24"/>
          <w:highlight w:val="none"/>
        </w:rPr>
        <w:t xml:space="preserve">南京市鼓楼区幕府山社区卫生服务中心</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江苏本誉项目管理有限公司</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zh-CN"/>
        </w:rPr>
        <w:t xml:space="preserve">根据贵方</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（项目名称） </w:t>
      </w:r>
      <w:r>
        <w:rPr>
          <w:rFonts w:hint="eastAsia" w:asciiTheme="minorEastAsia" w:hAnsiTheme="minorEastAsia" w:cstheme="minorEastAsia"/>
          <w:b/>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（项目编号）</w:t>
      </w:r>
      <w:r>
        <w:rPr>
          <w:rFonts w:hint="eastAsia" w:asciiTheme="minorEastAsia" w:hAnsiTheme="minorEastAsia" w:cstheme="minorEastAsia"/>
          <w:color w:val="auto"/>
          <w:sz w:val="24"/>
          <w:szCs w:val="24"/>
          <w:highlight w:val="none"/>
          <w:lang w:val="en-US" w:eastAsia="zh-CN"/>
        </w:rPr>
        <w:t xml:space="preserve">投标</w:t>
      </w:r>
      <w:r>
        <w:rPr>
          <w:rFonts w:hint="eastAsia" w:asciiTheme="minorEastAsia" w:hAnsiTheme="minorEastAsia" w:cstheme="minorEastAsia"/>
          <w:color w:val="auto"/>
          <w:sz w:val="24"/>
          <w:szCs w:val="24"/>
          <w:highlight w:val="none"/>
          <w:lang w:val="zh-CN"/>
        </w:rPr>
        <w:t xml:space="preserve">邀请，正式授权</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（姓名和职务）代表</w:t>
      </w:r>
      <w:r>
        <w:rPr>
          <w:rFonts w:hint="eastAsia" w:asciiTheme="minorEastAsia" w:hAnsiTheme="minorEastAsia" w:cstheme="minorEastAsia"/>
          <w:color w:val="auto"/>
          <w:sz w:val="24"/>
          <w:szCs w:val="24"/>
          <w:highlight w:val="none"/>
          <w:u w:val="single"/>
          <w:lang w:val="zh-CN"/>
        </w:rPr>
        <w:t xml:space="preserve">                </w:t>
      </w:r>
      <w:r>
        <w:rPr>
          <w:rFonts w:hint="eastAsia" w:asciiTheme="minorEastAsia" w:hAnsiTheme="minorEastAsia" w:cstheme="minorEastAsia"/>
          <w:color w:val="auto"/>
          <w:sz w:val="24"/>
          <w:szCs w:val="24"/>
          <w:highlight w:val="none"/>
          <w:lang w:val="zh-CN"/>
        </w:rPr>
        <w:t xml:space="preserve">（投标人名称），</w:t>
      </w:r>
      <w:r>
        <w:rPr>
          <w:rFonts w:hint="eastAsia" w:asciiTheme="minorEastAsia" w:hAnsiTheme="minorEastAsia" w:eastAsiaTheme="minorEastAsia"/>
          <w:color w:val="auto"/>
          <w:szCs w:val="21"/>
          <w:highlight w:val="none"/>
        </w:rPr>
        <w:t xml:space="preserve">提交投标文件。</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据此函，我公司兹宣布同意如下：</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1</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zh-CN"/>
        </w:rPr>
        <w:t xml:space="preserve">我公司的资格条件完全符合政府采购法和本次采购要求，</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公司同意并向贵方提供了与本次采购活动有关的所有证据和资料</w:t>
      </w:r>
      <w:r>
        <w:rPr>
          <w:rFonts w:hint="eastAsia" w:asciiTheme="minorEastAsia" w:hAnsiTheme="minorEastAsia" w:cstheme="minorEastAsia"/>
          <w:color w:val="auto"/>
          <w:sz w:val="24"/>
          <w:szCs w:val="24"/>
          <w:highlight w:val="none"/>
        </w:rPr>
        <w:t xml:space="preserve">。</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rPr>
          <w:highlight w:val="none"/>
        </w:rP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Theme="minorEastAsia" w:hAnsiTheme="minorEastAsia" w:cstheme="minorEastAsia"/>
          <w:color w:val="auto"/>
          <w:sz w:val="24"/>
          <w:szCs w:val="24"/>
          <w:highlight w:val="none"/>
        </w:rPr>
        <w:t xml:space="preserve">3</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我方的</w:t>
      </w:r>
      <w:r>
        <w:rPr>
          <w:rFonts w:hint="eastAsia" w:ascii="宋体" w:hAnsi="宋体" w:eastAsia="宋体" w:cs="宋体"/>
          <w:color w:val="auto"/>
          <w:sz w:val="24"/>
          <w:szCs w:val="24"/>
          <w:highlight w:val="none"/>
          <w:lang w:val="en-US" w:eastAsia="zh-CN"/>
        </w:rPr>
        <w:t xml:space="preserve">总报价为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highlight w:val="none"/>
        </w:rPr>
      </w:r>
    </w:p>
    <w:p>
      <w:pPr>
        <w:ind w:firstLine="480"/>
        <w:keepLines w:val="0"/>
        <w:keepNext w:val="0"/>
        <w:pageBreakBefore w:val="0"/>
        <w:spacing w:line="560" w:lineRule="exact"/>
        <w:shd w:val="clear" w:color="auto"/>
        <w:widowControl w:val="off"/>
        <w:rPr>
          <w:rFonts w:hint="eastAsia" w:asciiTheme="minorEastAsia" w:hAnsiTheme="minorEastAsia" w:cstheme="minorEastAsia"/>
          <w:color w:val="auto"/>
          <w:sz w:val="24"/>
          <w:szCs w:val="24"/>
          <w:highlight w:val="none"/>
        </w:rPr>
        <w:outlineLvl w:val="9"/>
      </w:pPr>
      <w:r>
        <w:rPr>
          <w:highlight w:val="none"/>
        </w:rPr>
      </w:r>
      <w:bookmarkStart w:id="47" w:name="_Hlk44577678"/>
      <w:r>
        <w:rPr>
          <w:rFonts w:hint="eastAsia" w:eastAsia="宋体" w:asciiTheme="minorEastAsia" w:hAnsiTheme="minorEastAsia" w:cstheme="minorEastAsia"/>
          <w:color w:val="auto"/>
          <w:sz w:val="24"/>
          <w:szCs w:val="24"/>
          <w:highlight w:val="none"/>
          <w:lang w:val="en-US" w:eastAsia="zh-CN"/>
        </w:rPr>
        <w:t xml:space="preserve">4</w:t>
      </w:r>
      <w:r>
        <w:rPr>
          <w:rFonts w:hint="eastAsia" w:eastAsia="宋体" w:asciiTheme="minorEastAsia" w:hAnsiTheme="minorEastAsia" w:cstheme="minorEastAsia"/>
          <w:color w:val="auto"/>
          <w:sz w:val="24"/>
          <w:szCs w:val="24"/>
          <w:highlight w:val="none"/>
          <w:lang w:val="zh-CN"/>
        </w:rPr>
        <w:t xml:space="preserve">.本项目交付时间为：</w:t>
      </w:r>
      <w:r>
        <w:rPr>
          <w:rFonts w:hint="eastAsia" w:eastAsia="宋体" w:asciiTheme="minorEastAsia" w:hAnsiTheme="minorEastAsia" w:cstheme="minorEastAsia"/>
          <w:color w:val="auto"/>
          <w:sz w:val="24"/>
          <w:szCs w:val="24"/>
          <w:highlight w:val="none"/>
          <w:u w:val="single"/>
          <w:lang w:val="zh-CN"/>
        </w:rPr>
        <w:t xml:space="preserve">满足招标文件要求</w:t>
      </w:r>
      <w:r>
        <w:rPr>
          <w:rFonts w:hint="eastAsia" w:eastAsia="宋体" w:asciiTheme="minorEastAsia" w:hAnsiTheme="minorEastAsia" w:cstheme="minorEastAsia"/>
          <w:color w:val="auto"/>
          <w:sz w:val="24"/>
          <w:szCs w:val="24"/>
          <w:highlight w:val="none"/>
          <w:lang w:val="zh-CN"/>
        </w:rPr>
        <w:t xml:space="preserve">。</w:t>
      </w:r>
      <w:bookmarkEnd w:id="47"/>
      <w:r>
        <w:rPr>
          <w:highlight w:val="none"/>
        </w:rPr>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cstheme="minorEastAsia"/>
          <w:color w:val="auto"/>
          <w:sz w:val="24"/>
          <w:szCs w:val="24"/>
          <w:highlight w:val="none"/>
          <w:lang w:val="zh-CN"/>
        </w:rPr>
        <w:t xml:space="preserve">我公司已详细审核全部</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及其有效补充文件，我公司放弃对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任何误解的权利，提交投标文件后，不对</w:t>
      </w:r>
      <w:r>
        <w:rPr>
          <w:rFonts w:hint="eastAsia" w:asciiTheme="minorEastAsia" w:hAnsiTheme="minorEastAsia" w:cstheme="minorEastAsia"/>
          <w:color w:val="auto"/>
          <w:sz w:val="24"/>
          <w:szCs w:val="24"/>
          <w:highlight w:val="none"/>
          <w:lang w:eastAsia="zh-CN"/>
        </w:rPr>
        <w:t xml:space="preserve">招标</w:t>
      </w:r>
      <w:r>
        <w:rPr>
          <w:rFonts w:hint="eastAsia" w:asciiTheme="minorEastAsia" w:hAnsiTheme="minorEastAsia" w:cstheme="minorEastAsia"/>
          <w:color w:val="auto"/>
          <w:sz w:val="24"/>
          <w:szCs w:val="24"/>
          <w:highlight w:val="none"/>
        </w:rPr>
        <w:t xml:space="preserve">文件</w:t>
      </w:r>
      <w:r>
        <w:rPr>
          <w:rFonts w:hint="eastAsia" w:asciiTheme="minorEastAsia" w:hAnsiTheme="minorEastAsia" w:cstheme="minorEastAsia"/>
          <w:color w:val="auto"/>
          <w:sz w:val="24"/>
          <w:szCs w:val="24"/>
          <w:highlight w:val="none"/>
          <w:lang w:val="zh-CN"/>
        </w:rPr>
        <w:t xml:space="preserve">本身提出质疑。否则，属于不诚信和故意扰乱政府采购活动行为，我公司将无条件接受处罚。</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6.一旦我方中标，我方将根据招标文件的规定严格履行合同，并保证于承诺的时间完成合同全部内容，交付采购人验收、使用。</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决不提供虚假材料谋取</w:t>
      </w:r>
      <w:r>
        <w:rPr>
          <w:rFonts w:hint="eastAsia" w:asciiTheme="minorEastAsia" w:hAnsiTheme="minorEastAsia" w:cstheme="minorEastAsia"/>
          <w:color w:val="auto"/>
          <w:sz w:val="24"/>
          <w:szCs w:val="24"/>
          <w:highlight w:val="none"/>
          <w:lang w:eastAsia="zh-CN"/>
        </w:rPr>
        <w:t xml:space="preserve">中标</w:t>
      </w:r>
      <w:r>
        <w:rPr>
          <w:rFonts w:hint="eastAsia" w:asciiTheme="minorEastAsia" w:hAnsiTheme="minorEastAsia" w:cstheme="minorEastAsia"/>
          <w:color w:val="auto"/>
          <w:sz w:val="24"/>
          <w:szCs w:val="24"/>
          <w:highlight w:val="none"/>
        </w:rPr>
        <w:t xml:space="preserve">、决不采取不正当手段诋毁、排挤其他供应商、决不与采购人、其它供应商或者代理机构恶意串通、决不向采购人、代理机构工作人员和</w:t>
      </w:r>
      <w:r>
        <w:rPr>
          <w:rFonts w:hint="eastAsia" w:asciiTheme="minorEastAsia" w:hAnsiTheme="minorEastAsia" w:cstheme="minorEastAsia"/>
          <w:color w:val="auto"/>
          <w:sz w:val="24"/>
          <w:szCs w:val="24"/>
          <w:highlight w:val="none"/>
          <w:lang w:val="en-US" w:eastAsia="zh-CN"/>
        </w:rPr>
        <w:t xml:space="preserve">评标</w:t>
      </w:r>
      <w:r>
        <w:rPr>
          <w:rFonts w:hint="eastAsia" w:asciiTheme="minorEastAsia" w:hAnsiTheme="minorEastAsia" w:cstheme="minorEastAsia"/>
          <w:color w:val="auto"/>
          <w:sz w:val="24"/>
          <w:szCs w:val="24"/>
          <w:highlight w:val="none"/>
        </w:rPr>
        <w:t xml:space="preserve">小组进行商业贿赂、决不拒绝有关部门监督检查或提供虚假情况，如有违反，无条件接受贵方及相关管理部门的处罚。</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正式通讯方式为：</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地   址：</w:t>
      </w:r>
      <w:r>
        <w:rPr>
          <w:rFonts w:hint="eastAsia" w:asciiTheme="minorEastAsia" w:hAnsiTheme="minorEastAsia" w:cstheme="minorEastAsia"/>
          <w:color w:val="auto"/>
          <w:sz w:val="24"/>
          <w:szCs w:val="24"/>
          <w:highlight w:val="none"/>
          <w:u w:val="single"/>
        </w:rPr>
        <w:t xml:space="preserve">                        </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电   话：</w:t>
      </w:r>
      <w:r>
        <w:rPr>
          <w:rFonts w:hint="eastAsia" w:asciiTheme="minorEastAsia" w:hAnsiTheme="minorEastAsia" w:cstheme="minorEastAsia"/>
          <w:color w:val="auto"/>
          <w:sz w:val="24"/>
          <w:szCs w:val="24"/>
          <w:highlight w:val="none"/>
          <w:u w:val="single"/>
        </w:rPr>
        <w:t xml:space="preserve">                        </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传   真：</w:t>
      </w:r>
      <w:r>
        <w:rPr>
          <w:rFonts w:hint="eastAsia" w:asciiTheme="minorEastAsia" w:hAnsiTheme="minorEastAsia" w:cstheme="minorEastAsia"/>
          <w:color w:val="auto"/>
          <w:sz w:val="24"/>
          <w:szCs w:val="24"/>
          <w:highlight w:val="none"/>
          <w:u w:val="single"/>
        </w:rPr>
        <w:t xml:space="preserve">                        </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cstheme="minorEastAsia"/>
          <w:color w:val="auto"/>
          <w:sz w:val="24"/>
          <w:szCs w:val="24"/>
          <w:highlight w:val="none"/>
        </w:rPr>
        <w:t xml:space="preserve">我</w:t>
      </w:r>
      <w:r>
        <w:rPr>
          <w:rFonts w:hint="eastAsia" w:asciiTheme="minorEastAsia" w:hAnsiTheme="minorEastAsia" w:cstheme="minorEastAsia"/>
          <w:color w:val="auto"/>
          <w:sz w:val="24"/>
          <w:szCs w:val="24"/>
          <w:highlight w:val="none"/>
          <w:lang w:val="zh-CN"/>
        </w:rPr>
        <w:t xml:space="preserve">公司</w:t>
      </w:r>
      <w:r>
        <w:rPr>
          <w:rFonts w:hint="eastAsia" w:asciiTheme="minorEastAsia" w:hAnsiTheme="minorEastAsia" w:cstheme="minorEastAsia"/>
          <w:color w:val="auto"/>
          <w:sz w:val="24"/>
          <w:szCs w:val="24"/>
          <w:highlight w:val="none"/>
        </w:rPr>
        <w:t xml:space="preserve">正式开户银行和帐号为：</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u w:val="single"/>
        </w:rPr>
        <w:outlineLvl w:val="9"/>
      </w:pPr>
      <w:r>
        <w:rPr>
          <w:rFonts w:hint="eastAsia" w:asciiTheme="minorEastAsia" w:hAnsiTheme="minorEastAsia" w:cstheme="minorEastAsia"/>
          <w:color w:val="auto"/>
          <w:sz w:val="24"/>
          <w:szCs w:val="24"/>
          <w:highlight w:val="none"/>
        </w:rPr>
        <w:t xml:space="preserve">开户银行：</w:t>
      </w:r>
      <w:r>
        <w:rPr>
          <w:rFonts w:hint="eastAsia" w:asciiTheme="minorEastAsia" w:hAnsiTheme="minorEastAsia" w:cstheme="minorEastAsia"/>
          <w:color w:val="auto"/>
          <w:sz w:val="24"/>
          <w:szCs w:val="24"/>
          <w:highlight w:val="none"/>
          <w:u w:val="single"/>
        </w:rPr>
        <w:t xml:space="preserve">                       </w:t>
      </w:r>
      <w:r>
        <w:rPr>
          <w:highlight w:val="none"/>
        </w:rPr>
      </w:r>
    </w:p>
    <w:p>
      <w:pPr>
        <w:ind w:firstLine="480"/>
        <w:keepLines w:val="0"/>
        <w:keepNext w:val="0"/>
        <w:pageBreakBefore w:val="0"/>
        <w:spacing w:line="560" w:lineRule="exact"/>
        <w:shd w:val="clear" w:color="auto"/>
        <w:widowControl w:val="off"/>
        <w:rPr>
          <w:rFonts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rPr>
        <w:t xml:space="preserve">帐    号：</w:t>
      </w:r>
      <w:r>
        <w:rPr>
          <w:rFonts w:hint="eastAsia" w:asciiTheme="minorEastAsia" w:hAnsiTheme="minorEastAsia" w:cstheme="minorEastAsia"/>
          <w:color w:val="auto"/>
          <w:sz w:val="24"/>
          <w:szCs w:val="24"/>
          <w:highlight w:val="none"/>
          <w:u w:val="single"/>
        </w:rPr>
        <w:t xml:space="preserve">                       </w:t>
      </w:r>
      <w:r>
        <w:rPr>
          <w:highlight w:val="none"/>
        </w:rPr>
      </w:r>
    </w:p>
    <w:p>
      <w:pPr>
        <w:ind w:firstLine="480"/>
        <w:keepLines w:val="0"/>
        <w:keepNext w:val="0"/>
        <w:pageBreakBefore w:val="0"/>
        <w:spacing w:line="560" w:lineRule="exact"/>
        <w:shd w:val="clear" w:color="auto"/>
        <w:widowControl w:val="off"/>
        <w:rPr>
          <w:rFonts w:hint="eastAsia" w:asciiTheme="minorEastAsia" w:hAnsiTheme="minorEastAsia" w:cstheme="minorEastAsia"/>
          <w:color w:val="auto"/>
          <w:sz w:val="24"/>
          <w:szCs w:val="24"/>
          <w:highlight w:val="none"/>
        </w:rPr>
        <w:outlineLvl w:val="9"/>
      </w:pP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cstheme="minorEastAsia"/>
          <w:color w:val="auto"/>
          <w:sz w:val="24"/>
          <w:szCs w:val="24"/>
          <w:highlight w:val="none"/>
        </w:rPr>
        <w:t xml:space="preserve">.我方具有独立承担民事责任的能力（法人或其他组织提供营业执照，自然人提供身份证明）。</w:t>
      </w:r>
      <w:r>
        <w:rPr>
          <w:highlight w:val="none"/>
        </w:rPr>
      </w:r>
    </w:p>
    <w:p>
      <w:pPr>
        <w:ind w:firstLine="422"/>
        <w:jc w:val="cente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营业执照扫描件：</w:t>
      </w:r>
      <w:r>
        <w:rPr>
          <w:highlight w:val="none"/>
        </w:rP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highlight w:val="none"/>
        </w:rP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u w:val="single"/>
        </w:rPr>
      </w:pPr>
      <w:r>
        <w:rPr>
          <w:rFonts w:hint="eastAsia" w:asciiTheme="minorEastAsia" w:hAnsiTheme="minorEastAsia" w:cstheme="minorEastAsia"/>
          <w:color w:val="auto"/>
          <w:sz w:val="24"/>
          <w:szCs w:val="24"/>
          <w:highlight w:val="none"/>
          <w:lang w:eastAsia="zh-CN"/>
        </w:rPr>
        <w:t xml:space="preserve">投标人名称</w:t>
      </w:r>
      <w:r>
        <w:rPr>
          <w:rFonts w:hint="eastAsia" w:asciiTheme="minorEastAsia" w:hAnsiTheme="minorEastAsia" w:cstheme="minorEastAsia"/>
          <w:color w:val="auto"/>
          <w:sz w:val="24"/>
          <w:szCs w:val="24"/>
          <w:highlight w:val="none"/>
        </w:rPr>
        <w:t xml:space="preserve">（加盖电子公章）：</w:t>
      </w:r>
      <w:r>
        <w:rPr>
          <w:rFonts w:hint="eastAsia" w:ascii="宋体" w:hAnsi="宋体" w:eastAsia="宋体" w:cs="宋体"/>
          <w:color w:val="auto"/>
          <w:szCs w:val="21"/>
          <w:highlight w:val="none"/>
          <w:u w:val="single"/>
        </w:rPr>
        <w:t xml:space="preserve">                      </w:t>
      </w:r>
      <w:r>
        <w:rPr>
          <w:highlight w:val="none"/>
        </w:rP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highlight w:val="none"/>
        </w:rPr>
      </w:r>
    </w:p>
    <w:p>
      <w:pPr>
        <w:ind w:firstLine="420"/>
        <w:keepLines w:val="0"/>
        <w:keepNext w:val="0"/>
        <w:pageBreakBefore w:val="0"/>
        <w:spacing w:line="560" w:lineRule="exact"/>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highlight w:val="none"/>
        </w:rPr>
      </w:r>
    </w:p>
    <w:p>
      <w:pPr>
        <w:ind w:left="0" w:right="0" w:firstLine="560"/>
        <w:jc w:val="left"/>
        <w:keepLines w:val="0"/>
        <w:keepNext w:val="0"/>
        <w:pageBreakBefore w:val="0"/>
        <w:spacing w:beforeAutospacing="0"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ind w:left="0" w:right="0" w:firstLine="562"/>
        <w:jc w:val="left"/>
        <w:keepLines w:val="0"/>
        <w:keepNext w:val="0"/>
        <w:pageBreakBefore w:val="0"/>
        <w:spacing w:beforeAutospacing="0" w:line="560" w:lineRule="exact"/>
        <w:shd w:val="clear" w:color="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highlight w:val="none"/>
        </w:rP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szCs w:val="28"/>
          <w:highlight w:val="none"/>
        </w:rPr>
        <w:outlineLvl w:val="1"/>
      </w:pPr>
      <w:r>
        <w:rPr>
          <w:highlight w:val="none"/>
        </w:rPr>
      </w:r>
      <w:bookmarkStart w:id="48" w:name="_Toc3986"/>
      <w:r>
        <w:rPr>
          <w:highlight w:val="none"/>
        </w:rPr>
      </w:r>
      <w:bookmarkStart w:id="49" w:name="_Toc11882"/>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rPr>
        <w:t xml:space="preserve">二、法定代表人授权书格式</w:t>
      </w:r>
      <w:bookmarkEnd w:id="48"/>
      <w:r>
        <w:rPr>
          <w:highlight w:val="none"/>
        </w:rPr>
      </w:r>
      <w:bookmarkEnd w:id="49"/>
      <w:r>
        <w:rPr>
          <w:highlight w:val="none"/>
        </w:rPr>
      </w:r>
      <w:r>
        <w:rPr>
          <w:highlight w:val="none"/>
        </w:rP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法定代表人授权委托书</w:t>
      </w:r>
      <w:r>
        <w:rPr>
          <w:highlight w:val="none"/>
        </w:rPr>
      </w:r>
    </w:p>
    <w:p>
      <w:pPr>
        <w:ind w:right="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rPr>
        <w:t xml:space="preserve">南京市鼓楼区幕府山社区卫生服务中心</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rPr>
          <w:highlight w:val="none"/>
        </w:rPr>
      </w:r>
    </w:p>
    <w:p>
      <w:pPr>
        <w:pStyle w:val="697"/>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住址）的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）法定代表人（法定代表人姓名、职务）代表本公司授权</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代表姓名、职务）为本公司的合法代理人，就贵方组织的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hAnsi="宋体" w:eastAsia="宋体" w:cs="宋体"/>
          <w:color w:val="auto"/>
          <w:sz w:val="24"/>
          <w:szCs w:val="24"/>
          <w:highlight w:val="none"/>
          <w:lang w:val="en-US" w:eastAsia="zh-CN"/>
        </w:rPr>
        <w:t xml:space="preserve">采购项目</w:t>
      </w:r>
      <w:r>
        <w:rPr>
          <w:rFonts w:hint="eastAsia" w:ascii="宋体" w:hAnsi="宋体" w:eastAsia="宋体" w:cs="宋体"/>
          <w:color w:val="auto"/>
          <w:sz w:val="24"/>
          <w:szCs w:val="24"/>
          <w:highlight w:val="none"/>
        </w:rPr>
        <w:t xml:space="preserve">，以本公司名义处理一切与之有关的事务。</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bidi="ar-SA"/>
        </w:rPr>
        <w:t xml:space="preserve">日加盖电子公章生效，特此声明。</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right="0" w:firstLine="480"/>
        <w:jc w:val="both"/>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pageBreakBefore w:val="0"/>
        <w:spacing w:line="560" w:lineRule="exact"/>
        <w:shd w:val="clear" w:color="auto"/>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p>
    <w:p>
      <w:pPr>
        <w:pStyle w:val="696"/>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法定代表人身份证：</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zh-CN"/>
        </w:rPr>
        <w:t xml:space="preserve">代理人身份证：</w:t>
      </w:r>
      <w:r>
        <w:rPr>
          <w:highlight w:val="none"/>
        </w:rPr>
      </w:r>
    </w:p>
    <w:p>
      <w:pPr>
        <w:pStyle w:val="696"/>
        <w:ind w:left="0" w:right="0" w:firstLine="560"/>
        <w:keepLines w:val="0"/>
        <w:keepNext w:val="0"/>
        <w:pageBreakBefore w:val="0"/>
        <w:spacing w:beforeAutospacing="0"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rPr>
          <w:rFonts w:hint="eastAsia" w:ascii="宋体" w:hAnsi="宋体" w:eastAsia="宋体" w:cs="宋体"/>
          <w:b/>
          <w:color w:val="auto"/>
          <w:sz w:val="28"/>
          <w:szCs w:val="28"/>
          <w:highlight w:val="none"/>
        </w:rPr>
        <w:br w:type="page" w:clear="all"/>
      </w:r>
      <w:r>
        <w:rPr>
          <w:highlight w:val="none"/>
        </w:rPr>
      </w:r>
    </w:p>
    <w:p>
      <w:pPr>
        <w:ind w:left="0" w:right="0" w:firstLine="0"/>
        <w:jc w:val="left"/>
        <w:keepLines w:val="0"/>
        <w:keepNext w:val="0"/>
        <w:pageBreakBefore w:val="0"/>
        <w:spacing w:beforeAutospacing="0" w:line="560" w:lineRule="exact"/>
        <w:shd w:val="clear" w:color="auto"/>
        <w:widowControl w:val="off"/>
        <w:rPr>
          <w:rFonts w:hint="eastAsia" w:ascii="宋体" w:hAnsi="宋体" w:eastAsia="宋体" w:cs="宋体"/>
          <w:b/>
          <w:color w:val="auto"/>
          <w:sz w:val="28"/>
          <w:highlight w:val="none"/>
        </w:rPr>
        <w:outlineLvl w:val="1"/>
      </w:pPr>
      <w:r>
        <w:rPr>
          <w:highlight w:val="none"/>
        </w:rPr>
      </w:r>
      <w:bookmarkStart w:id="50" w:name="_Toc16234"/>
      <w:r>
        <w:rPr>
          <w:highlight w:val="none"/>
        </w:rPr>
      </w:r>
      <w:bookmarkStart w:id="51" w:name="_Toc2785"/>
      <w:r>
        <w:rPr>
          <w:rFonts w:hint="eastAsia" w:ascii="宋体" w:hAnsi="宋体" w:cs="宋体"/>
          <w:b/>
          <w:color w:val="auto"/>
          <w:sz w:val="28"/>
          <w:highlight w:val="none"/>
          <w:lang w:val="en-US" w:eastAsia="zh-CN"/>
        </w:rPr>
        <w:t xml:space="preserve">附件三</w:t>
      </w:r>
      <w:r>
        <w:rPr>
          <w:rFonts w:hint="eastAsia" w:ascii="宋体" w:hAnsi="宋体" w:eastAsia="宋体" w:cs="宋体"/>
          <w:b/>
          <w:color w:val="auto"/>
          <w:sz w:val="28"/>
          <w:highlight w:val="none"/>
          <w:lang w:val="en-US" w:eastAsia="zh-CN"/>
        </w:rPr>
        <w:t xml:space="preserve">、</w:t>
      </w:r>
      <w:r>
        <w:rPr>
          <w:rFonts w:hint="eastAsia" w:ascii="宋体" w:hAnsi="宋体" w:eastAsia="宋体" w:cs="宋体"/>
          <w:b/>
          <w:color w:val="auto"/>
          <w:sz w:val="28"/>
          <w:highlight w:val="none"/>
        </w:rPr>
        <w:t xml:space="preserve">开标一览表</w:t>
      </w:r>
      <w:bookmarkEnd w:id="50"/>
      <w:r>
        <w:rPr>
          <w:highlight w:val="none"/>
        </w:rPr>
      </w:r>
      <w:bookmarkEnd w:id="51"/>
      <w:r>
        <w:rPr>
          <w:highlight w:val="none"/>
        </w:rPr>
      </w:r>
      <w:r>
        <w:rPr>
          <w:highlight w:val="none"/>
        </w:rPr>
      </w:r>
    </w:p>
    <w:p>
      <w:pPr>
        <w:ind w:left="0" w:right="0" w:firstLine="0"/>
        <w:jc w:val="center"/>
        <w:keepLines w:val="0"/>
        <w:keepNext w:val="0"/>
        <w:pageBreakBefore w:val="0"/>
        <w:spacing w:beforeAutospacing="0"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开标一览表</w:t>
      </w:r>
      <w:r>
        <w:rPr>
          <w:highlight w:val="none"/>
        </w:rPr>
      </w:r>
    </w:p>
    <w:tbl>
      <w:tblPr>
        <w:tblStyle w:val="692"/>
        <w:tblW w:w="8312" w:type="dxa"/>
        <w:tblInd w:w="85" w:type="dxa"/>
        <w:tblLayout w:type="fixed"/>
        <w:tblCellMar>
          <w:left w:w="10" w:type="dxa"/>
          <w:top w:w="0" w:type="dxa"/>
          <w:right w:w="10" w:type="dxa"/>
          <w:bottom w:w="0" w:type="dxa"/>
        </w:tblCellMar>
        <w:tblLook w:val="04A0" w:firstRow="1" w:lastRow="0" w:firstColumn="1" w:lastColumn="0" w:noHBand="0" w:noVBand="1"/>
      </w:tblPr>
      <w:tblGrid>
        <w:gridCol w:w="3553"/>
        <w:gridCol w:w="4759"/>
      </w:tblGrid>
      <w:tr>
        <w:trPr>
          <w:trHeight w:val="73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8312"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项目编号：</w:t>
            </w:r>
            <w:r>
              <w:rPr>
                <w:highlight w:val="none"/>
              </w:rPr>
            </w:r>
          </w:p>
        </w:tc>
      </w:tr>
      <w:tr>
        <w:trPr>
          <w:trHeight w:val="737"/>
        </w:trPr>
        <w:tc>
          <w:tcPr>
            <w:shd w:val="clear" w:color="000000" w:fill="ffffff"/>
            <w:tcBorders>
              <w:top w:val="single" w:color="000000" w:sz="6" w:space="0"/>
              <w:left w:val="single" w:color="000000" w:sz="6" w:space="0"/>
              <w:right w:val="single" w:color="000000" w:sz="6" w:space="0"/>
            </w:tcBorders>
            <w:tcMar>
              <w:left w:w="108" w:type="dxa"/>
              <w:right w:w="108" w:type="dxa"/>
            </w:tcMar>
            <w:tcW w:w="3553" w:type="dxa"/>
            <w:vAlign w:val="center"/>
            <w:vMerge w:val="restart"/>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投标总报价</w:t>
            </w:r>
            <w:r>
              <w:rPr>
                <w:highlight w:val="none"/>
              </w:rP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小写：人民币                     </w:t>
            </w:r>
            <w:r>
              <w:rPr>
                <w:highlight w:val="none"/>
              </w:rPr>
            </w:r>
          </w:p>
        </w:tc>
      </w:tr>
      <w:tr>
        <w:trPr>
          <w:trHeight w:val="737"/>
        </w:trPr>
        <w:tc>
          <w:tcPr>
            <w:shd w:val="clear" w:color="000000" w:fill="ffffff"/>
            <w:tcBorders>
              <w:left w:val="single" w:color="000000" w:sz="6" w:space="0"/>
              <w:bottom w:val="single" w:color="000000" w:sz="6" w:space="0"/>
              <w:right w:val="single" w:color="000000" w:sz="6" w:space="0"/>
            </w:tcBorders>
            <w:tcMar>
              <w:left w:w="108" w:type="dxa"/>
              <w:right w:w="108" w:type="dxa"/>
            </w:tcMar>
            <w:tcW w:w="3553" w:type="dxa"/>
            <w:vAlign w:val="center"/>
            <w:vMerge w:val="continue"/>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大写：人民币</w:t>
            </w:r>
            <w:r>
              <w:rPr>
                <w:highlight w:val="none"/>
              </w:rPr>
            </w:r>
          </w:p>
        </w:tc>
      </w:tr>
      <w:tr>
        <w:trPr>
          <w:trHeight w:val="737"/>
        </w:trPr>
        <w:tc>
          <w:tcPr>
            <w:shd w:val="clear" w:color="auto" w:fill="auto"/>
            <w:tcBorders>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693"/>
              <w:ind w:left="0" w:right="0" w:firstLine="0"/>
              <w:jc w:val="center"/>
              <w:keepLines w:val="0"/>
              <w:keepNext w:val="0"/>
              <w:pageBreakBefore w:val="0"/>
              <w:spacing w:line="560" w:lineRule="exact"/>
              <w:shd w:val="clear" w:color="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交付使用时间</w:t>
            </w:r>
            <w:r>
              <w:rPr>
                <w:highlight w:val="none"/>
              </w:rPr>
            </w:r>
          </w:p>
        </w:tc>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pStyle w:val="693"/>
              <w:ind w:left="0" w:right="0" w:firstLine="0"/>
              <w:keepLines w:val="0"/>
              <w:keepNext w:val="0"/>
              <w:pageBreakBefore w:val="0"/>
              <w:spacing w:line="560" w:lineRule="exact"/>
              <w:shd w:val="clear" w:color="auto"/>
              <w:widowControl w:val="off"/>
              <w:tabs>
                <w:tab w:val="left" w:pos="3624" w:leader="none"/>
              </w:tabs>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 xml:space="preserve">满足</w:t>
            </w:r>
            <w:r>
              <w:rPr>
                <w:rFonts w:hint="eastAsia" w:ascii="宋体" w:hAnsi="宋体" w:eastAsia="宋体" w:cs="宋体"/>
                <w:b w:val="0"/>
                <w:bCs/>
                <w:color w:val="auto"/>
                <w:sz w:val="21"/>
                <w:szCs w:val="21"/>
                <w:highlight w:val="none"/>
                <w:u w:val="single"/>
                <w:lang w:val="en-US" w:eastAsia="zh-CN"/>
              </w:rPr>
              <w:t xml:space="preserve">招标</w:t>
            </w:r>
            <w:r>
              <w:rPr>
                <w:rFonts w:hint="eastAsia" w:ascii="宋体" w:hAnsi="宋体" w:eastAsia="宋体" w:cs="宋体"/>
                <w:b w:val="0"/>
                <w:bCs/>
                <w:color w:val="auto"/>
                <w:sz w:val="21"/>
                <w:szCs w:val="21"/>
                <w:highlight w:val="none"/>
                <w:u w:val="single"/>
              </w:rPr>
              <w:t xml:space="preserve">文件要求</w:t>
            </w:r>
            <w:r>
              <w:rPr>
                <w:highlight w:val="none"/>
              </w:rP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rPr>
                <w:highlight w:val="none"/>
              </w:rP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投标人是否属于小微型企业</w:t>
            </w:r>
            <w:r>
              <w:rPr>
                <w:highlight w:val="none"/>
              </w:rP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693"/>
              <w:ind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投标人是否属于残疾人福利性单位</w:t>
            </w:r>
            <w:r>
              <w:rPr>
                <w:highlight w:val="none"/>
              </w:rP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p>
        </w:tc>
      </w:tr>
      <w:tr>
        <w:trPr>
          <w:trHeight w:val="73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3553" w:type="dxa"/>
            <w:vAlign w:val="center"/>
            <w:textDirection w:val="lrTb"/>
            <w:noWrap w:val="false"/>
          </w:tcPr>
          <w:p>
            <w:pPr>
              <w:pStyle w:val="693"/>
              <w:ind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投标人是否属于监狱企业</w:t>
            </w:r>
            <w:r>
              <w:rPr>
                <w:highlight w:val="none"/>
              </w:rP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75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       </w:t>
            </w:r>
            <w:r>
              <w:rPr>
                <w:rFonts w:ascii="Wingdings 2" w:hAnsi="Wingdings 2" w:eastAsia="Wingdings 2" w:cs="Wingdings 2"/>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rPr>
                <w:highlight w:val="none"/>
              </w:rPr>
            </w:r>
          </w:p>
        </w:tc>
      </w:tr>
    </w:tbl>
    <w:p>
      <w:pPr>
        <w:ind w:left="0" w:right="0" w:firstLine="560"/>
        <w:jc w:val="left"/>
        <w:keepLines w:val="0"/>
        <w:keepNext w:val="0"/>
        <w:pageBreakBefore w:val="0"/>
        <w:spacing w:line="560" w:lineRule="exact"/>
        <w:shd w:val="clear" w:color="auto"/>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ind w:left="0" w:right="0" w:firstLine="560"/>
        <w:jc w:val="left"/>
        <w:keepLines w:val="0"/>
        <w:keepNext w:val="0"/>
        <w:pageBreakBefore w:val="0"/>
        <w:spacing w:line="560" w:lineRule="exact"/>
        <w:shd w:val="clear" w:color="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rPr>
          <w:highlight w:val="none"/>
        </w:rPr>
      </w:r>
    </w:p>
    <w:p>
      <w:pPr>
        <w:ind w:left="0" w:right="0" w:firstLine="482"/>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是否属于小微型企业</w:t>
      </w:r>
      <w:r>
        <w:rPr>
          <w:rFonts w:hint="eastAsia" w:asciiTheme="minorEastAsia" w:hAnsiTheme="minorEastAsia" w:eastAsiaTheme="minorEastAsia" w:cstheme="minorEastAsia"/>
          <w:b/>
          <w:bCs/>
          <w:color w:val="auto"/>
          <w:sz w:val="24"/>
          <w:szCs w:val="24"/>
          <w:highlight w:val="none"/>
          <w:lang w:val="zh-CN"/>
        </w:rPr>
        <w:t xml:space="preserve">”</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lang w:val="zh-CN"/>
        </w:rPr>
        <w:t xml:space="preserve">是否属于残疾人福利性单位</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是否属于监狱企业”栏后“是”或“否”</w:t>
      </w:r>
      <w:r>
        <w:rPr>
          <w:rFonts w:hint="eastAsia" w:asciiTheme="minorEastAsia" w:hAnsiTheme="minorEastAsia" w:eastAsiaTheme="minorEastAsia" w:cstheme="minorEastAsia"/>
          <w:b/>
          <w:bCs/>
          <w:color w:val="auto"/>
          <w:sz w:val="24"/>
          <w:szCs w:val="24"/>
          <w:highlight w:val="none"/>
          <w:lang w:val="en-US" w:eastAsia="zh-CN"/>
        </w:rPr>
        <w:t xml:space="preserve">前（</w:t>
      </w:r>
      <w:r>
        <w:rPr>
          <w:rFonts w:hint="eastAsia" w:asciiTheme="minorEastAsia" w:hAnsiTheme="minorEastAsia" w:eastAsiaTheme="minorEastAsia" w:cstheme="minorEastAsia"/>
          <w:b/>
          <w:bCs/>
          <w:color w:val="auto"/>
          <w:sz w:val="24"/>
          <w:szCs w:val="24"/>
          <w:highlight w:val="none"/>
        </w:rPr>
        <w:t xml:space="preserve">打“√”</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zh-CN"/>
        </w:rPr>
        <w:t xml:space="preserve">。如“是”，</w:t>
      </w:r>
      <w:r>
        <w:rPr>
          <w:rFonts w:hint="eastAsia" w:asciiTheme="minorEastAsia" w:hAnsiTheme="minorEastAsia" w:eastAsiaTheme="minorEastAsia" w:cstheme="minorEastAsia"/>
          <w:b/>
          <w:bCs/>
          <w:color w:val="auto"/>
          <w:sz w:val="24"/>
          <w:szCs w:val="24"/>
          <w:highlight w:val="none"/>
        </w:rPr>
        <w:t xml:space="preserve">供应商需提供《中小企业声明函》、《残疾人福利性单位声明函》、属于监狱企业的证明文件，如未按要求提供、填写，或相关内容表述不清前后矛盾的，不享受价格扣除</w:t>
      </w:r>
      <w:r>
        <w:rPr>
          <w:rFonts w:hint="eastAsia" w:asciiTheme="minorEastAsia" w:hAnsiTheme="minorEastAsia" w:eastAsiaTheme="minorEastAsia" w:cstheme="minorEastAsia"/>
          <w:b/>
          <w:bCs/>
          <w:color w:val="auto"/>
          <w:sz w:val="24"/>
          <w:szCs w:val="24"/>
          <w:highlight w:val="none"/>
        </w:rPr>
        <w:t xml:space="preserve">。</w:t>
      </w:r>
      <w:r>
        <w:rPr>
          <w:highlight w:val="none"/>
        </w:rP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clear="all"/>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highlight w:val="none"/>
        </w:rPr>
      </w:r>
      <w:bookmarkStart w:id="52" w:name="_Toc12763"/>
      <w:r>
        <w:rPr>
          <w:highlight w:val="none"/>
        </w:rPr>
      </w:r>
      <w:bookmarkStart w:id="53" w:name="_Toc19323"/>
      <w:r>
        <w:rPr>
          <w:rFonts w:hint="eastAsia" w:ascii="宋体" w:hAnsi="宋体" w:cs="宋体"/>
          <w:b/>
          <w:color w:val="auto"/>
          <w:sz w:val="28"/>
          <w:szCs w:val="28"/>
          <w:highlight w:val="none"/>
          <w:lang w:val="en-US" w:eastAsia="zh-CN"/>
        </w:rPr>
        <w:t xml:space="preserve">附件四</w:t>
      </w:r>
      <w:r>
        <w:rPr>
          <w:rFonts w:hint="eastAsia" w:ascii="宋体" w:hAnsi="宋体" w:eastAsia="宋体" w:cs="宋体"/>
          <w:b/>
          <w:color w:val="auto"/>
          <w:sz w:val="28"/>
          <w:szCs w:val="28"/>
          <w:highlight w:val="none"/>
        </w:rPr>
        <w:t xml:space="preserve">、分项报价表</w:t>
      </w:r>
      <w:bookmarkEnd w:id="52"/>
      <w:r>
        <w:rPr>
          <w:highlight w:val="none"/>
        </w:rPr>
      </w:r>
      <w:bookmarkEnd w:id="53"/>
      <w:r>
        <w:rPr>
          <w:highlight w:val="none"/>
        </w:rPr>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分项报价表</w:t>
      </w:r>
      <w:r>
        <w:rPr>
          <w:highlight w:val="none"/>
        </w:rPr>
      </w:r>
    </w:p>
    <w:tbl>
      <w:tblPr>
        <w:tblStyle w:val="692"/>
        <w:tblW w:w="0" w:type="auto"/>
        <w:tblInd w:w="79"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346"/>
        <w:gridCol w:w="1044"/>
        <w:gridCol w:w="532"/>
        <w:gridCol w:w="577"/>
        <w:gridCol w:w="1259"/>
        <w:gridCol w:w="873"/>
        <w:gridCol w:w="1211"/>
        <w:gridCol w:w="532"/>
        <w:gridCol w:w="532"/>
      </w:tblGrid>
      <w:tr>
        <w:trPr>
          <w:trHeight w:val="669"/>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序号</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设备名称</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规格</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单位</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数量</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单价上限（元）</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投标</w:t>
            </w:r>
            <w:r>
              <w:rPr>
                <w:highlight w:val="none"/>
              </w:rPr>
            </w:r>
          </w:p>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单价</w:t>
            </w:r>
            <w:r>
              <w:rPr>
                <w:highlight w:val="none"/>
              </w:rPr>
            </w:r>
          </w:p>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（元）</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小计（元）</w:t>
            </w:r>
            <w:r>
              <w:rPr>
                <w:highlight w:val="none"/>
              </w:rPr>
            </w:r>
          </w:p>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数量*投标单价</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品牌</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18"/>
              <w:jc w:val="center"/>
              <w:keepLines w:val="0"/>
              <w:keepNext w:val="0"/>
              <w:pageBreakBefore w:val="0"/>
              <w:spacing w:before="20" w:line="360" w:lineRule="auto"/>
              <w:shd w:val="clear" w:color="auto"/>
              <w:widowControl/>
              <w:rPr>
                <w:rFonts w:hint="eastAsia" w:ascii="宋体" w:hAnsi="宋体" w:eastAsia="宋体" w:cs="宋体"/>
                <w:b/>
                <w:bCs/>
                <w:color w:val="auto"/>
                <w:spacing w:val="4"/>
                <w:position w:val="-1"/>
                <w:sz w:val="21"/>
                <w:szCs w:val="21"/>
                <w:highlight w:val="none"/>
              </w:rPr>
            </w:pPr>
            <w:r>
              <w:rPr>
                <w:rFonts w:hint="eastAsia" w:ascii="宋体" w:hAnsi="宋体" w:eastAsia="宋体" w:cs="宋体"/>
                <w:b/>
                <w:bCs/>
                <w:color w:val="auto"/>
                <w:spacing w:val="4"/>
                <w:position w:val="-1"/>
                <w:sz w:val="21"/>
                <w:szCs w:val="21"/>
                <w:highlight w:val="none"/>
                <w:lang w:val="en-US" w:eastAsia="zh-CN"/>
              </w:rPr>
              <w:t xml:space="preserve">备注</w:t>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shd w:val="clear" w:color="auto" w:fill="auto"/>
            <w:tcBorders>
              <w:top w:val="single" w:color="auto" w:sz="6" w:space="0"/>
              <w:left w:val="single" w:color="auto" w:sz="6" w:space="0"/>
              <w:right w:val="single" w:color="auto" w:sz="6" w:space="0"/>
            </w:tcBorders>
            <w:tcW w:w="0" w:type="auto"/>
            <w:vAlign w:val="center"/>
            <w:vMerge w:val="restart"/>
            <w:textDirection w:val="lrTb"/>
            <w:noWrap w:val="false"/>
          </w:tcPr>
          <w:p>
            <w:pPr>
              <w:shd w:val="clear" w:color="auto"/>
              <w:rPr>
                <w:rFonts w:hint="default"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lang w:val="en-US" w:eastAsia="zh-CN"/>
              </w:rPr>
              <w:t xml:space="preserve">满足招标文件要求</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3212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3903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1917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户外环网柜设备基础</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18137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63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63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超高频标签</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RFID 黏贴标签</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870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10kV电力电缆</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10kV户内终端</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1925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10kV T型终端</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1838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插拔式终端冷缩组件</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1260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电缆试验</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根</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4400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故障指示器</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2121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848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19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预制舱电站800kVA</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327946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预制舱配套基础</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23180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255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541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低压电力电缆</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340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976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645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低压户内终端</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793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台</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22247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280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电缆桥架</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8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门口防鼠装置</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2420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82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29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成品甲级防火门</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1289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333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31</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电缆保护管安装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657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2107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34</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电缆通道制作安装</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m</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2332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110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35</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双电源切换箱基础</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座</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2</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1239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914"/>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窨井盖</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套</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803</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760"/>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37</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电子标识球</w:t>
            </w:r>
            <w:r>
              <w:rPr>
                <w:highlight w:val="none"/>
              </w:rPr>
            </w:r>
          </w:p>
        </w:tc>
        <w:tc>
          <w:tcPr>
            <w:shd w:val="clear" w:color="auto" w:fill="auto"/>
            <w:tcBorders>
              <w:left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10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30</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419"/>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2"/>
                <w:szCs w:val="24"/>
                <w:highlight w:val="none"/>
              </w:rPr>
            </w:pPr>
            <w:r>
              <w:rPr>
                <w:rFonts w:hint="eastAsia" w:ascii="宋体" w:hAnsi="宋体" w:eastAsia="宋体" w:cs="Times New Roman"/>
                <w:color w:val="auto"/>
                <w:sz w:val="22"/>
                <w:szCs w:val="24"/>
                <w:highlight w:val="none"/>
              </w:rPr>
              <w:t xml:space="preserve">38</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电缆标示块</w:t>
            </w:r>
            <w:r>
              <w:rPr>
                <w:highlight w:val="none"/>
              </w:rPr>
            </w:r>
          </w:p>
        </w:tc>
        <w:tc>
          <w:tcPr>
            <w:shd w:val="clear" w:color="auto" w:fill="auto"/>
            <w:tcBorders>
              <w:left w:val="single" w:color="auto" w:sz="6" w:space="0"/>
              <w:bottom w:val="single" w:color="auto" w:sz="6" w:space="0"/>
              <w:right w:val="single" w:color="auto" w:sz="6" w:space="0"/>
            </w:tcBorders>
            <w:tcW w:w="0" w:type="auto"/>
            <w:vAlign w:val="center"/>
            <w:vMerge w:val="continue"/>
            <w:textDirection w:val="lrTb"/>
            <w:noWrap w:val="false"/>
          </w:tcPr>
          <w:p>
            <w:pP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只</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9</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t xml:space="preserve">46</w:t>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eastAsia"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rPr>
            </w:r>
            <w:r>
              <w:rPr>
                <w:highlight w:val="none"/>
              </w:rPr>
            </w:r>
          </w:p>
        </w:tc>
      </w:tr>
      <w:tr>
        <w:trPr>
          <w:trHeight w:val="419"/>
        </w:trPr>
        <w:tc>
          <w:tcPr>
            <w:gridSpan w:val="10"/>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hd w:val="clear" w:color="auto"/>
              <w:rPr>
                <w:rFonts w:hint="default" w:ascii="宋体" w:hAnsi="宋体" w:eastAsia="宋体" w:cs="Times New Roman"/>
                <w:color w:val="auto"/>
                <w:sz w:val="20"/>
                <w:szCs w:val="24"/>
                <w:highlight w:val="none"/>
              </w:rPr>
            </w:pPr>
            <w:r>
              <w:rPr>
                <w:rFonts w:hint="eastAsia" w:ascii="宋体" w:hAnsi="宋体" w:eastAsia="宋体" w:cs="Times New Roman"/>
                <w:color w:val="auto"/>
                <w:sz w:val="20"/>
                <w:szCs w:val="24"/>
                <w:highlight w:val="none"/>
                <w:lang w:val="en-US" w:eastAsia="zh-CN"/>
              </w:rPr>
              <w:t xml:space="preserve">合计：               元</w:t>
            </w:r>
            <w:r>
              <w:rPr>
                <w:highlight w:val="none"/>
              </w:rPr>
            </w:r>
          </w:p>
        </w:tc>
      </w:tr>
    </w:tbl>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rPr>
          <w:highlight w:val="none"/>
        </w:rPr>
      </w:r>
    </w:p>
    <w:p>
      <w:pPr>
        <w:ind w:left="0" w:right="0" w:firstLine="482"/>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注：</w:t>
      </w:r>
      <w:r>
        <w:rPr>
          <w:rFonts w:hint="eastAsia" w:ascii="宋体" w:hAnsi="宋体" w:eastAsia="宋体" w:cs="宋体"/>
          <w:b/>
          <w:bCs/>
          <w:color w:val="auto"/>
          <w:sz w:val="24"/>
          <w:szCs w:val="22"/>
          <w:highlight w:val="none"/>
          <w:lang w:val="en-US" w:eastAsia="zh-CN"/>
        </w:rPr>
        <w:t xml:space="preserve">1.</w:t>
      </w:r>
      <w:r>
        <w:rPr>
          <w:rFonts w:hint="eastAsia" w:ascii="宋体" w:hAnsi="宋体" w:eastAsia="宋体" w:cs="宋体"/>
          <w:b/>
          <w:bCs/>
          <w:color w:val="auto"/>
          <w:sz w:val="24"/>
          <w:szCs w:val="24"/>
          <w:highlight w:val="none"/>
        </w:rPr>
        <w:t xml:space="preserve">在“是否属于小、微型企业的服务”栏内，填写“是”或“否”，如果小微型企业的服务报价无法划分计算的，</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rPr>
        <w:t xml:space="preserve">时将不予认可。小型和微型企业服务是指</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为小企业，且符合中小企业划分标准，提供本企业提供的服务。</w:t>
      </w:r>
      <w:r>
        <w:rPr>
          <w:highlight w:val="none"/>
        </w:rPr>
      </w:r>
    </w:p>
    <w:p>
      <w:pPr>
        <w:pStyle w:val="721"/>
        <w:ind w:left="0" w:right="0" w:firstLine="482"/>
        <w:jc w:val="both"/>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如果</w:t>
      </w:r>
      <w:r>
        <w:rPr>
          <w:rFonts w:hint="eastAsia" w:asciiTheme="minorEastAsia" w:hAnsiTheme="minorEastAsia" w:eastAsiaTheme="minorEastAsia" w:cstheme="minorEastAsia"/>
          <w:b/>
          <w:bCs/>
          <w:color w:val="auto"/>
          <w:sz w:val="24"/>
          <w:szCs w:val="24"/>
          <w:highlight w:val="none"/>
          <w:lang w:val="en-US" w:eastAsia="zh-CN" w:bidi="ar-SA"/>
        </w:rPr>
        <w:t xml:space="preserve">行数不够，</w:t>
      </w:r>
      <w:r>
        <w:rPr>
          <w:rFonts w:hint="eastAsia" w:asciiTheme="minorEastAsia" w:hAnsiTheme="minorEastAsia" w:cstheme="minorEastAsia"/>
          <w:b/>
          <w:bCs/>
          <w:color w:val="auto"/>
          <w:sz w:val="24"/>
          <w:szCs w:val="24"/>
          <w:highlight w:val="none"/>
          <w:lang w:val="en-US" w:eastAsia="zh-CN" w:bidi="ar-SA"/>
        </w:rPr>
        <w:t xml:space="preserve">供应商</w:t>
      </w:r>
      <w:r>
        <w:rPr>
          <w:rFonts w:hint="eastAsia" w:asciiTheme="minorEastAsia" w:hAnsiTheme="minorEastAsia" w:eastAsiaTheme="minorEastAsia" w:cstheme="minorEastAsia"/>
          <w:b/>
          <w:bCs/>
          <w:color w:val="auto"/>
          <w:sz w:val="24"/>
          <w:szCs w:val="24"/>
          <w:highlight w:val="none"/>
          <w:lang w:val="en-US" w:eastAsia="zh-CN" w:bidi="ar-SA"/>
        </w:rPr>
        <w:t xml:space="preserve">可自行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Theme="minorEastAsia" w:hAnsiTheme="minorEastAsia" w:eastAsiaTheme="minorEastAsia" w:cstheme="minorEastAsia"/>
          <w:b/>
          <w:bCs/>
          <w:color w:val="auto"/>
          <w:sz w:val="24"/>
          <w:szCs w:val="24"/>
          <w:highlight w:val="none"/>
          <w:lang w:val="en-US" w:eastAsia="zh-CN" w:bidi="ar-SA"/>
        </w:rPr>
        <w:t xml:space="preserve">。</w:t>
      </w:r>
      <w:r>
        <w:rPr>
          <w:highlight w:val="none"/>
        </w:rPr>
      </w:r>
    </w:p>
    <w:p>
      <w:pPr>
        <w:ind w:left="0" w:right="0" w:firstLine="480"/>
        <w:jc w:val="left"/>
        <w:keepLines w:val="0"/>
        <w:keepNext w:val="0"/>
        <w:pageBreakBefore w:val="0"/>
        <w:spacing w:line="560" w:lineRule="exact"/>
        <w:shd w:val="clear" w:color="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rPr>
          <w:highlight w:val="none"/>
        </w:rPr>
      </w:r>
    </w:p>
    <w:p>
      <w:pPr>
        <w:ind w:left="0" w:right="0" w:firstLine="42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422"/>
        <w:jc w:val="left"/>
        <w:keepLines w:val="0"/>
        <w:keepNext w:val="0"/>
        <w:pageBreakBefore w:val="0"/>
        <w:spacing w:line="560" w:lineRule="exact"/>
        <w:shd w:val="clear" w:color="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rPr>
          <w:highlight w:val="none"/>
        </w:rPr>
      </w:r>
    </w:p>
    <w:p>
      <w:pPr>
        <w:ind w:firstLine="0"/>
        <w:keepLines w:val="0"/>
        <w:keepNext w:val="0"/>
        <w:pageBreakBefore w:val="0"/>
        <w:spacing w:line="560" w:lineRule="exact"/>
        <w:shd w:val="clear" w:color="auto"/>
        <w:widowControl w:val="off"/>
        <w:rPr>
          <w:rFonts w:ascii="宋体" w:hAnsi="宋体"/>
          <w:b/>
          <w:color w:val="auto"/>
          <w:sz w:val="28"/>
          <w:szCs w:val="24"/>
          <w:highlight w:val="none"/>
        </w:rPr>
        <w:outlineLvl w:val="1"/>
      </w:pPr>
      <w:r>
        <w:rPr>
          <w:highlight w:val="none"/>
        </w:rPr>
      </w:r>
      <w:bookmarkStart w:id="54" w:name="_Toc362"/>
      <w:r>
        <w:rPr>
          <w:highlight w:val="none"/>
        </w:rPr>
      </w:r>
      <w:bookmarkStart w:id="55" w:name="_Toc10548"/>
      <w:r>
        <w:rPr>
          <w:highlight w:val="none"/>
        </w:rPr>
      </w:r>
      <w:bookmarkStart w:id="56" w:name="_Toc26875"/>
      <w:r>
        <w:rPr>
          <w:highlight w:val="none"/>
        </w:rPr>
      </w:r>
      <w:bookmarkStart w:id="57" w:name="_Toc10329"/>
      <w:r>
        <w:rPr>
          <w:highlight w:val="none"/>
        </w:rPr>
      </w:r>
      <w:bookmarkStart w:id="58" w:name="_Toc13917"/>
      <w:r>
        <w:rPr>
          <w:highlight w:val="none"/>
        </w:rPr>
      </w:r>
      <w:bookmarkStart w:id="59" w:name="_Toc10016"/>
      <w:r>
        <w:rPr>
          <w:rFonts w:hint="eastAsia" w:ascii="宋体" w:hAnsi="宋体" w:cs="宋体"/>
          <w:b/>
          <w:color w:val="auto"/>
          <w:sz w:val="28"/>
          <w:szCs w:val="28"/>
          <w:highlight w:val="none"/>
          <w:lang w:val="en-US" w:eastAsia="zh-CN"/>
        </w:rPr>
        <w:t xml:space="preserve">附件五</w:t>
      </w:r>
      <w:r>
        <w:rPr>
          <w:rFonts w:hint="eastAsia" w:ascii="宋体" w:hAnsi="宋体" w:eastAsia="宋体" w:cs="宋体"/>
          <w:b/>
          <w:color w:val="auto"/>
          <w:sz w:val="28"/>
          <w:szCs w:val="28"/>
          <w:highlight w:val="none"/>
          <w:lang w:val="zh-CN"/>
        </w:rPr>
        <w:t xml:space="preserve">、核心产品一览表</w:t>
      </w:r>
      <w:bookmarkEnd w:id="54"/>
      <w:r>
        <w:rPr>
          <w:highlight w:val="none"/>
        </w:rPr>
      </w:r>
      <w:bookmarkEnd w:id="55"/>
      <w:r>
        <w:rPr>
          <w:highlight w:val="none"/>
        </w:rPr>
      </w:r>
      <w:bookmarkEnd w:id="56"/>
      <w:r>
        <w:rPr>
          <w:rFonts w:hint="eastAsia" w:ascii="宋体" w:hAnsi="宋体"/>
          <w:b/>
          <w:color w:val="auto"/>
          <w:sz w:val="28"/>
          <w:szCs w:val="24"/>
          <w:highlight w:val="none"/>
          <w:lang w:val="zh-CN"/>
        </w:rPr>
        <w:t xml:space="preserve"> </w:t>
      </w:r>
      <w:r>
        <w:rPr>
          <w:highlight w:val="none"/>
        </w:rPr>
      </w:r>
    </w:p>
    <w:p>
      <w:pPr>
        <w:pStyle w:val="696"/>
        <w:ind w:firstLine="0"/>
        <w:jc w:val="center"/>
        <w:keepLines w:val="0"/>
        <w:keepNext w:val="0"/>
        <w:pageBreakBefore w:val="0"/>
        <w:spacing w:line="560" w:lineRule="exact"/>
        <w:shd w:val="clear" w:color="auto"/>
        <w:widowControl w:val="off"/>
        <w:rPr>
          <w:color w:val="auto"/>
          <w:highlight w:val="none"/>
        </w:rPr>
      </w:pPr>
      <w:r>
        <w:rPr>
          <w:rFonts w:hint="eastAsia" w:hAnsi="宋体"/>
          <w:b/>
          <w:color w:val="auto"/>
          <w:szCs w:val="24"/>
          <w:highlight w:val="none"/>
          <w:lang w:val="zh-CN"/>
        </w:rPr>
        <w:t xml:space="preserve">核心产品一览表</w:t>
      </w:r>
      <w:r>
        <w:rPr>
          <w:highlight w:val="none"/>
        </w:rPr>
      </w:r>
    </w:p>
    <w:tbl>
      <w:tblPr>
        <w:tblStyle w:val="692"/>
        <w:tblpPr w:horzAnchor="margin" w:tblpXSpec="center" w:vertAnchor="text" w:tblpY="133"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99"/>
        <w:gridCol w:w="1511"/>
        <w:gridCol w:w="887"/>
        <w:gridCol w:w="880"/>
        <w:gridCol w:w="1242"/>
        <w:gridCol w:w="1211"/>
        <w:gridCol w:w="786"/>
      </w:tblGrid>
      <w:tr>
        <w:trPr>
          <w:jc w:val="center"/>
          <w:trHeight w:val="278"/>
        </w:trPr>
        <w:tc>
          <w:tcPr>
            <w:gridSpan w:val="8"/>
            <w:tcBorders>
              <w:top w:val="single" w:color="auto" w:sz="4" w:space="0"/>
              <w:left w:val="single" w:color="auto" w:sz="4" w:space="0"/>
              <w:bottom w:val="single" w:color="auto" w:sz="4" w:space="0"/>
              <w:right w:val="single" w:color="auto" w:sz="4" w:space="0"/>
            </w:tcBorders>
            <w:tcW w:w="5000" w:type="pct"/>
            <w:textDirection w:val="lrTb"/>
            <w:noWrap w:val="false"/>
          </w:tcPr>
          <w:p>
            <w:pP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                                        项目编号：</w:t>
            </w:r>
            <w:r>
              <w:rPr>
                <w:highlight w:val="none"/>
              </w:rP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序号</w:t>
            </w:r>
            <w:r>
              <w:rPr>
                <w:highlight w:val="none"/>
              </w:rPr>
            </w:r>
          </w:p>
        </w:tc>
        <w:tc>
          <w:tcPr>
            <w:shd w:val="clear" w:color="auto" w:fill="auto"/>
            <w:tcBorders>
              <w:top w:val="single" w:color="auto" w:sz="4" w:space="0"/>
              <w:left w:val="single" w:color="auto" w:sz="4" w:space="0"/>
              <w:right w:val="single" w:color="auto" w:sz="4" w:space="0"/>
            </w:tcBorders>
            <w:tcW w:w="704"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产品名称</w:t>
            </w:r>
            <w:r>
              <w:rPr>
                <w:highlight w:val="none"/>
              </w:rPr>
            </w:r>
          </w:p>
        </w:tc>
        <w:tc>
          <w:tcPr>
            <w:shd w:val="clear" w:color="auto" w:fill="auto"/>
            <w:tcBorders>
              <w:top w:val="single" w:color="auto" w:sz="4" w:space="0"/>
              <w:left w:val="single" w:color="auto" w:sz="4" w:space="0"/>
              <w:right w:val="single" w:color="auto" w:sz="4" w:space="0"/>
            </w:tcBorders>
            <w:tcW w:w="887"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品牌、规格或型号</w:t>
            </w:r>
            <w:r>
              <w:rPr>
                <w:highlight w:val="none"/>
              </w:rPr>
            </w:r>
          </w:p>
        </w:tc>
        <w:tc>
          <w:tcPr>
            <w:shd w:val="clear" w:color="auto" w:fill="auto"/>
            <w:tcBorders>
              <w:top w:val="single" w:color="auto" w:sz="4" w:space="0"/>
              <w:left w:val="single" w:color="auto" w:sz="4" w:space="0"/>
              <w:right w:val="single" w:color="auto" w:sz="4" w:space="0"/>
            </w:tcBorders>
            <w:tcW w:w="520"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rPr>
                <w:highlight w:val="none"/>
              </w:rPr>
            </w:r>
          </w:p>
        </w:tc>
        <w:tc>
          <w:tcPr>
            <w:tcBorders>
              <w:top w:val="single" w:color="auto" w:sz="4" w:space="0"/>
              <w:left w:val="single" w:color="auto" w:sz="4" w:space="0"/>
              <w:right w:val="single" w:color="auto" w:sz="4" w:space="0"/>
            </w:tcBorders>
            <w:tcW w:w="516"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单位</w:t>
            </w:r>
            <w:r>
              <w:rPr>
                <w:highlight w:val="none"/>
              </w:rPr>
            </w:r>
          </w:p>
        </w:tc>
        <w:tc>
          <w:tcPr>
            <w:shd w:val="clear" w:color="auto" w:fill="auto"/>
            <w:tcBorders>
              <w:top w:val="single" w:color="auto" w:sz="4" w:space="0"/>
              <w:left w:val="single" w:color="auto" w:sz="4" w:space="0"/>
              <w:right w:val="single" w:color="auto" w:sz="4" w:space="0"/>
            </w:tcBorders>
            <w:tcW w:w="729"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单价（元）</w:t>
            </w:r>
            <w:r>
              <w:rPr>
                <w:highlight w:val="none"/>
              </w:rPr>
            </w:r>
          </w:p>
        </w:tc>
        <w:tc>
          <w:tcPr>
            <w:tcBorders>
              <w:top w:val="single" w:color="auto" w:sz="4" w:space="0"/>
              <w:left w:val="single" w:color="auto" w:sz="4" w:space="0"/>
              <w:right w:val="single" w:color="auto" w:sz="4" w:space="0"/>
            </w:tcBorders>
            <w:tcW w:w="711" w:type="pct"/>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总价（元）</w:t>
            </w:r>
            <w:r>
              <w:rPr>
                <w:highlight w:val="none"/>
              </w:rP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质保年限</w:t>
            </w:r>
            <w:r>
              <w:rPr>
                <w:highlight w:val="none"/>
              </w:rP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1</w:t>
            </w:r>
            <w:r>
              <w:rPr>
                <w:highlight w:val="none"/>
              </w:rPr>
            </w:r>
          </w:p>
        </w:tc>
        <w:tc>
          <w:tcPr>
            <w:shd w:val="clear" w:color="auto" w:fill="auto"/>
            <w:tcBorders>
              <w:left w:val="single" w:color="auto" w:sz="4" w:space="0"/>
              <w:right w:val="single" w:color="auto" w:sz="4" w:space="0"/>
            </w:tcBorders>
            <w:tcW w:w="704"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预制舱电站800kVA</w:t>
            </w:r>
            <w:r>
              <w:rPr>
                <w:highlight w:val="none"/>
              </w:rPr>
            </w:r>
          </w:p>
        </w:tc>
        <w:tc>
          <w:tcPr>
            <w:shd w:val="clear" w:color="auto" w:fill="auto"/>
            <w:tcBorders>
              <w:left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shd w:val="clear" w:color="auto" w:fill="auto"/>
            <w:tcBorders>
              <w:left w:val="single" w:color="auto" w:sz="4" w:space="0"/>
              <w:right w:val="single" w:color="auto" w:sz="4" w:space="0"/>
            </w:tcBorders>
            <w:tcW w:w="520"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highlight w:val="none"/>
              </w:rPr>
            </w:r>
          </w:p>
        </w:tc>
        <w:tc>
          <w:tcPr>
            <w:tcBorders>
              <w:left w:val="single" w:color="auto" w:sz="4" w:space="0"/>
              <w:right w:val="single" w:color="auto" w:sz="4" w:space="0"/>
            </w:tcBorders>
            <w:tcW w:w="516"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台</w:t>
            </w:r>
            <w:r>
              <w:rPr>
                <w:highlight w:val="none"/>
              </w:rPr>
            </w:r>
          </w:p>
        </w:tc>
        <w:tc>
          <w:tcPr>
            <w:shd w:val="clear" w:color="auto" w:fill="auto"/>
            <w:tcBorders>
              <w:left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left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2</w:t>
            </w:r>
            <w:r>
              <w:rPr>
                <w:highlight w:val="none"/>
              </w:rPr>
            </w:r>
          </w:p>
        </w:tc>
        <w:tc>
          <w:tcPr>
            <w:shd w:val="clear" w:color="auto" w:fill="auto"/>
            <w:tcBorders>
              <w:left w:val="single" w:color="auto" w:sz="4" w:space="0"/>
              <w:bottom w:val="single" w:color="auto" w:sz="4" w:space="0"/>
              <w:right w:val="single" w:color="auto" w:sz="4" w:space="0"/>
            </w:tcBorders>
            <w:tcW w:w="704"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低压电力电缆</w:t>
            </w:r>
            <w:r>
              <w:rPr>
                <w:highlight w:val="none"/>
              </w:rPr>
            </w:r>
          </w:p>
        </w:tc>
        <w:tc>
          <w:tcPr>
            <w:shd w:val="clear" w:color="auto" w:fill="auto"/>
            <w:tcBorders>
              <w:left w:val="single" w:color="auto" w:sz="4" w:space="0"/>
              <w:bottom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shd w:val="clear" w:color="auto" w:fill="auto"/>
            <w:tcBorders>
              <w:left w:val="single" w:color="auto" w:sz="4" w:space="0"/>
              <w:bottom w:val="single" w:color="auto" w:sz="4" w:space="0"/>
              <w:right w:val="single" w:color="auto" w:sz="4" w:space="0"/>
            </w:tcBorders>
            <w:tcW w:w="520"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255</w:t>
            </w:r>
            <w:r>
              <w:rPr>
                <w:highlight w:val="none"/>
              </w:rPr>
            </w:r>
          </w:p>
        </w:tc>
        <w:tc>
          <w:tcPr>
            <w:tcBorders>
              <w:left w:val="single" w:color="auto" w:sz="4" w:space="0"/>
              <w:bottom w:val="single" w:color="auto" w:sz="4" w:space="0"/>
              <w:right w:val="single" w:color="auto" w:sz="4" w:space="0"/>
            </w:tcBorders>
            <w:tcW w:w="516"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m</w:t>
            </w:r>
            <w:r>
              <w:rPr>
                <w:highlight w:val="none"/>
              </w:rPr>
            </w:r>
          </w:p>
        </w:tc>
        <w:tc>
          <w:tcPr>
            <w:shd w:val="clear" w:color="auto" w:fill="auto"/>
            <w:tcBorders>
              <w:left w:val="single" w:color="auto" w:sz="4" w:space="0"/>
              <w:bottom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left w:val="single" w:color="auto" w:sz="4" w:space="0"/>
              <w:bottom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r>
        <w:trPr>
          <w:jc w:val="center"/>
          <w:trHeight w:val="278"/>
        </w:trPr>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t xml:space="preserve">3</w:t>
            </w:r>
            <w:r>
              <w:rPr>
                <w:highlight w:val="none"/>
              </w:rPr>
            </w:r>
          </w:p>
        </w:tc>
        <w:tc>
          <w:tcPr>
            <w:shd w:val="clear" w:color="auto" w:fill="auto"/>
            <w:tcBorders>
              <w:left w:val="single" w:color="auto" w:sz="4" w:space="0"/>
              <w:right w:val="single" w:color="auto" w:sz="4" w:space="0"/>
            </w:tcBorders>
            <w:tcW w:w="704"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低压电力电缆</w:t>
            </w:r>
            <w:r>
              <w:rPr>
                <w:highlight w:val="none"/>
              </w:rPr>
            </w:r>
          </w:p>
        </w:tc>
        <w:tc>
          <w:tcPr>
            <w:shd w:val="clear" w:color="auto" w:fill="auto"/>
            <w:tcBorders>
              <w:left w:val="single" w:color="auto" w:sz="4" w:space="0"/>
              <w:right w:val="single" w:color="auto" w:sz="4" w:space="0"/>
            </w:tcBorders>
            <w:tcW w:w="887"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shd w:val="clear" w:color="auto" w:fill="auto"/>
            <w:tcBorders>
              <w:left w:val="single" w:color="auto" w:sz="4" w:space="0"/>
              <w:right w:val="single" w:color="auto" w:sz="4" w:space="0"/>
            </w:tcBorders>
            <w:tcW w:w="520"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340</w:t>
            </w:r>
            <w:r>
              <w:rPr>
                <w:highlight w:val="none"/>
              </w:rPr>
            </w:r>
          </w:p>
        </w:tc>
        <w:tc>
          <w:tcPr>
            <w:tcBorders>
              <w:left w:val="single" w:color="auto" w:sz="4" w:space="0"/>
              <w:right w:val="single" w:color="auto" w:sz="4" w:space="0"/>
            </w:tcBorders>
            <w:tcW w:w="516" w:type="pct"/>
            <w:vAlign w:val="center"/>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m</w:t>
            </w:r>
            <w:r>
              <w:rPr>
                <w:highlight w:val="none"/>
              </w:rPr>
            </w:r>
          </w:p>
        </w:tc>
        <w:tc>
          <w:tcPr>
            <w:shd w:val="clear" w:color="auto" w:fill="auto"/>
            <w:tcBorders>
              <w:left w:val="single" w:color="auto" w:sz="4" w:space="0"/>
              <w:right w:val="single" w:color="auto" w:sz="4" w:space="0"/>
            </w:tcBorders>
            <w:tcW w:w="729"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left w:val="single" w:color="auto" w:sz="4" w:space="0"/>
              <w:right w:val="single" w:color="auto" w:sz="4" w:space="0"/>
            </w:tcBorders>
            <w:tcW w:w="71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eastAsia="zh-CN"/>
              </w:rPr>
            </w:r>
            <w:r>
              <w:rPr>
                <w:highlight w:val="none"/>
              </w:rP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left"/>
              <w:keepLines w:val="0"/>
              <w:keepNext w:val="0"/>
              <w:pageBreakBefore w:val="0"/>
              <w:spacing w:line="560" w:lineRule="exact"/>
              <w:shd w:val="clear" w:color="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tc>
      </w:tr>
    </w:tbl>
    <w:p>
      <w:pPr>
        <w:pStyle w:val="696"/>
        <w:ind w:firstLine="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pStyle w:val="696"/>
        <w:ind w:firstLine="0"/>
        <w:keepLines w:val="0"/>
        <w:keepNext w:val="0"/>
        <w:pageBreakBefore w:val="0"/>
        <w:spacing w:line="560" w:lineRule="exact"/>
        <w:shd w:val="clear" w:color="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highlight w:val="none"/>
        </w:rPr>
      </w:r>
    </w:p>
    <w:p>
      <w:pPr>
        <w:jc w:val="left"/>
        <w:keepLines w:val="0"/>
        <w:keepNext w:val="0"/>
        <w:pageBreakBefore w:val="0"/>
        <w:spacing w:line="560" w:lineRule="exact"/>
        <w:shd w:val="clear" w:color="auto"/>
        <w:rPr>
          <w:rFonts w:hint="eastAsia" w:ascii="宋体" w:hAnsi="宋体"/>
          <w:b/>
          <w:color w:val="auto"/>
          <w:sz w:val="28"/>
          <w:szCs w:val="28"/>
          <w:highlight w:val="none"/>
        </w:rPr>
        <w:sectPr>
          <w:footerReference w:type="default" r:id="rId9"/>
          <w:footnotePr/>
          <w:endnotePr/>
          <w:type w:val="nextPage"/>
          <w:pgSz w:w="11906" w:h="16838" w:orient="portrait"/>
          <w:pgMar w:top="1440" w:right="1803" w:bottom="1440" w:left="1803" w:header="851" w:footer="992" w:gutter="0"/>
          <w:cols w:num="1" w:sep="0" w:space="0" w:equalWidth="1"/>
          <w:docGrid w:linePitch="360"/>
        </w:sectPr>
        <w:outlineLvl w:val="1"/>
      </w:pPr>
      <w:r>
        <w:rPr>
          <w:rFonts w:hint="eastAsia" w:ascii="宋体" w:hAnsi="宋体"/>
          <w:b/>
          <w:color w:val="auto"/>
          <w:sz w:val="28"/>
          <w:szCs w:val="28"/>
          <w:highlight w:val="none"/>
        </w:rPr>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highlight w:val="none"/>
        </w:rPr>
      </w:r>
      <w:bookmarkStart w:id="60" w:name="_Toc26442"/>
      <w:r>
        <w:rPr>
          <w:rFonts w:hint="eastAsia" w:ascii="宋体" w:hAnsi="宋体" w:cs="宋体"/>
          <w:b/>
          <w:color w:val="auto"/>
          <w:sz w:val="28"/>
          <w:szCs w:val="28"/>
          <w:highlight w:val="none"/>
          <w:lang w:val="en-US" w:eastAsia="zh-CN"/>
        </w:rPr>
        <w:t xml:space="preserve">附件六</w:t>
      </w:r>
      <w:r>
        <w:rPr>
          <w:rFonts w:hint="eastAsia" w:ascii="宋体" w:hAnsi="宋体" w:eastAsia="宋体" w:cs="宋体"/>
          <w:b/>
          <w:color w:val="auto"/>
          <w:sz w:val="28"/>
          <w:szCs w:val="28"/>
          <w:highlight w:val="none"/>
        </w:rPr>
        <w:t xml:space="preserve">、技术要求响应及偏离表</w:t>
      </w:r>
      <w:bookmarkEnd w:id="57"/>
      <w:r>
        <w:rPr>
          <w:highlight w:val="none"/>
        </w:rPr>
      </w:r>
      <w:bookmarkEnd w:id="58"/>
      <w:r>
        <w:rPr>
          <w:highlight w:val="none"/>
        </w:rPr>
      </w:r>
      <w:bookmarkEnd w:id="59"/>
      <w:r>
        <w:rPr>
          <w:highlight w:val="none"/>
        </w:rPr>
      </w:r>
      <w:bookmarkEnd w:id="60"/>
      <w:r>
        <w:rPr>
          <w:highlight w:val="none"/>
        </w:rPr>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技术要求响应及偏离表</w:t>
      </w:r>
      <w:r>
        <w:rPr>
          <w:highlight w:val="none"/>
        </w:rP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1829"/>
        <w:gridCol w:w="3090"/>
      </w:tblGrid>
      <w:tr>
        <w:trPr>
          <w:cantSplit/>
        </w:trPr>
        <w:tc>
          <w:tcPr>
            <w:tcW w:w="815"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p>
        </w:tc>
        <w:tc>
          <w:tcPr>
            <w:tcW w:w="28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en-US" w:eastAsia="zh-CN"/>
              </w:rPr>
              <w:t xml:space="preserve">中的技术</w:t>
            </w:r>
            <w:r>
              <w:rPr>
                <w:rFonts w:hint="eastAsia" w:ascii="宋体" w:hAnsi="宋体" w:eastAsia="宋体" w:cs="宋体"/>
                <w:color w:val="auto"/>
                <w:sz w:val="21"/>
                <w:szCs w:val="21"/>
                <w:highlight w:val="none"/>
              </w:rPr>
              <w:t xml:space="preserve">要求</w:t>
            </w:r>
            <w:r>
              <w:rPr>
                <w:highlight w:val="none"/>
              </w:rPr>
            </w:r>
          </w:p>
        </w:tc>
        <w:tc>
          <w:tcPr>
            <w:tcW w:w="1829"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rPr>
                <w:highlight w:val="none"/>
              </w:rPr>
            </w:r>
          </w:p>
        </w:tc>
        <w:tc>
          <w:tcPr>
            <w:tcW w:w="309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81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46"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tc>
        <w:tc>
          <w:tcPr>
            <w:tcW w:w="1829"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9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bl>
    <w:p>
      <w:pPr>
        <w:ind w:left="0" w:right="0" w:firstLine="480"/>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须对招标文件技术要求中的实质性要求做出明确响应，</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未对实质性要求作出明确响应的，视为无效投标。</w:t>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.行数不够，可自行添加。</w:t>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562"/>
        <w:jc w:val="left"/>
        <w:keepLines w:val="0"/>
        <w:keepNext w:val="0"/>
        <w:pageBreakBefore w:val="0"/>
        <w:spacing w:line="560" w:lineRule="exact"/>
        <w:shd w:val="clear" w:color="auto"/>
        <w:rPr>
          <w:rFonts w:hint="eastAsia" w:ascii="宋体" w:hAnsi="宋体" w:eastAsia="宋体" w:cs="宋体"/>
          <w:b/>
          <w:color w:val="auto"/>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highlight w:val="none"/>
        </w:rPr>
      </w:r>
      <w:bookmarkStart w:id="61" w:name="_Toc28529"/>
      <w:r>
        <w:rPr>
          <w:highlight w:val="none"/>
        </w:rPr>
      </w:r>
      <w:bookmarkStart w:id="62" w:name="_Toc4559"/>
      <w:r>
        <w:rPr>
          <w:highlight w:val="none"/>
        </w:rPr>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highlight w:val="none"/>
        </w:rPr>
      </w:r>
      <w:bookmarkStart w:id="63" w:name="_Toc24917"/>
      <w:r>
        <w:rPr>
          <w:highlight w:val="none"/>
        </w:rPr>
      </w:r>
      <w:bookmarkStart w:id="64" w:name="_Toc7281"/>
      <w:r>
        <w:rPr>
          <w:rFonts w:hint="eastAsia" w:ascii="宋体" w:hAnsi="宋体" w:cs="宋体"/>
          <w:b/>
          <w:color w:val="auto"/>
          <w:sz w:val="28"/>
          <w:szCs w:val="28"/>
          <w:highlight w:val="none"/>
          <w:lang w:val="en-US" w:eastAsia="zh-CN"/>
        </w:rPr>
        <w:t xml:space="preserve">附件七</w:t>
      </w:r>
      <w:r>
        <w:rPr>
          <w:rFonts w:hint="eastAsia" w:ascii="宋体" w:hAnsi="宋体" w:eastAsia="宋体" w:cs="宋体"/>
          <w:b/>
          <w:color w:val="auto"/>
          <w:sz w:val="28"/>
          <w:szCs w:val="28"/>
          <w:highlight w:val="none"/>
        </w:rPr>
        <w:t xml:space="preserve">、商务要求响应及偏离表</w:t>
      </w:r>
      <w:bookmarkEnd w:id="61"/>
      <w:r>
        <w:rPr>
          <w:highlight w:val="none"/>
        </w:rPr>
      </w:r>
      <w:bookmarkEnd w:id="62"/>
      <w:r>
        <w:rPr>
          <w:highlight w:val="none"/>
        </w:rPr>
      </w:r>
      <w:bookmarkEnd w:id="63"/>
      <w:r>
        <w:rPr>
          <w:highlight w:val="none"/>
        </w:rPr>
      </w:r>
      <w:bookmarkEnd w:id="64"/>
      <w:r>
        <w:rPr>
          <w:highlight w:val="none"/>
        </w:rPr>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商务要求响应及偏离表</w:t>
      </w:r>
      <w:r>
        <w:rPr>
          <w:highlight w:val="none"/>
        </w:rPr>
      </w:r>
    </w:p>
    <w:tbl>
      <w:tblPr>
        <w:tblStyle w:val="692"/>
        <w:tblW w:w="87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102"/>
        <w:gridCol w:w="3000"/>
      </w:tblGrid>
      <w:tr>
        <w:trPr>
          <w:cantSplit/>
        </w:trPr>
        <w:tc>
          <w:tcPr>
            <w:tcW w:w="795"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p>
        </w:tc>
        <w:tc>
          <w:tcPr>
            <w:tcW w:w="2878"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的商务要求</w:t>
            </w:r>
            <w:r>
              <w:rPr>
                <w:highlight w:val="none"/>
              </w:rPr>
            </w:r>
          </w:p>
        </w:tc>
        <w:tc>
          <w:tcPr>
            <w:tcW w:w="2102"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rPr>
                <w:highlight w:val="none"/>
              </w:rPr>
            </w:r>
          </w:p>
        </w:tc>
        <w:tc>
          <w:tcPr>
            <w:tcW w:w="300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w:t>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r>
        <w:trPr>
          <w:cantSplit/>
          <w:trHeight w:val="640"/>
        </w:trPr>
        <w:tc>
          <w:tcPr>
            <w:tcW w:w="795"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2878"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tc>
        <w:tc>
          <w:tcPr>
            <w:tcW w:w="2102"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3000" w:type="dxa"/>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r>
    </w:tbl>
    <w:p>
      <w:pPr>
        <w:ind w:left="0" w:right="0" w:firstLine="480"/>
        <w:keepLines w:val="0"/>
        <w:keepNext w:val="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pStyle w:val="721"/>
        <w:ind w:left="0" w:right="0" w:firstLine="480"/>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pStyle w:val="721"/>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注：</w:t>
      </w:r>
      <w:r>
        <w:rPr>
          <w:highlight w:val="none"/>
        </w:rPr>
      </w:r>
    </w:p>
    <w:p>
      <w:pPr>
        <w:pStyle w:val="721"/>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须对招标文件</w:t>
      </w:r>
      <w:r>
        <w:rPr>
          <w:rFonts w:hint="eastAsia" w:ascii="宋体" w:hAnsi="宋体" w:eastAsia="宋体" w:cs="宋体"/>
          <w:b/>
          <w:bCs/>
          <w:color w:val="auto"/>
          <w:highlight w:val="none"/>
          <w:lang w:val="en-US" w:eastAsia="zh-CN"/>
        </w:rPr>
        <w:t xml:space="preserve">商务</w:t>
      </w:r>
      <w:r>
        <w:rPr>
          <w:rFonts w:hint="eastAsia" w:ascii="宋体" w:hAnsi="宋体" w:eastAsia="宋体" w:cs="宋体"/>
          <w:b/>
          <w:bCs/>
          <w:color w:val="auto"/>
          <w:highlight w:val="none"/>
        </w:rPr>
        <w:t xml:space="preserve">要求中的实质性要求做出明确响应，</w:t>
      </w: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未对实质性要求作出明确响应的，视为无效投标。</w:t>
      </w:r>
      <w:r>
        <w:rPr>
          <w:highlight w:val="none"/>
        </w:rPr>
      </w:r>
    </w:p>
    <w:p>
      <w:pPr>
        <w:pStyle w:val="721"/>
        <w:ind w:left="0" w:right="0" w:firstLine="482"/>
        <w:jc w:val="both"/>
        <w:keepLines w:val="0"/>
        <w:keepNext w:val="0"/>
        <w:pageBreakBefore w:val="0"/>
        <w:spacing w:before="0" w:beforeAutospacing="0" w:after="0" w:afterAutospacing="0" w:line="560" w:lineRule="exact"/>
        <w:shd w:val="clear" w:color="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.行数不够，可自行添加。</w:t>
      </w:r>
      <w:r>
        <w:rPr>
          <w:highlight w:val="none"/>
        </w:rPr>
      </w:r>
    </w:p>
    <w:p>
      <w:pPr>
        <w:ind w:left="0" w:right="0" w:firstLine="560"/>
        <w:jc w:val="left"/>
        <w:keepLines w:val="0"/>
        <w:keepNext w:val="0"/>
        <w:pageBreakBefore w:val="0"/>
        <w:spacing w:line="560" w:lineRule="exact"/>
        <w:shd w:val="clear" w:color="auto"/>
        <w:widowControl w:val="off"/>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rPr>
          <w:highlight w:val="none"/>
        </w:rPr>
      </w:r>
    </w:p>
    <w:p>
      <w:pPr>
        <w:pStyle w:val="696"/>
        <w:ind w:left="0" w:right="0" w:firstLine="560"/>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ind w:left="0" w:right="0" w:firstLine="562"/>
        <w:keepLines w:val="0"/>
        <w:keepNext w:val="0"/>
        <w:pageBreakBefore w:val="0"/>
        <w:spacing w:line="560" w:lineRule="exact"/>
        <w:shd w:val="clear" w:color="auto"/>
        <w:rPr>
          <w:rFonts w:hint="eastAsia" w:ascii="宋体" w:hAnsi="宋体" w:eastAsia="宋体" w:cs="宋体"/>
          <w:b/>
          <w:color w:val="auto"/>
          <w:sz w:val="28"/>
          <w:highlight w:val="none"/>
        </w:rPr>
      </w:pPr>
      <w:r>
        <w:rPr>
          <w:highlight w:val="none"/>
        </w:rPr>
      </w:r>
      <w:bookmarkStart w:id="65" w:name="_Toc126773677"/>
      <w:r>
        <w:rPr>
          <w:highlight w:val="none"/>
        </w:rPr>
      </w:r>
      <w:bookmarkStart w:id="66" w:name="_Toc126773676"/>
      <w:r>
        <w:rPr>
          <w:rFonts w:hint="eastAsia" w:ascii="宋体" w:hAnsi="宋体" w:eastAsia="宋体" w:cs="宋体"/>
          <w:b/>
          <w:color w:val="auto"/>
          <w:sz w:val="28"/>
          <w:highlight w:val="none"/>
        </w:rPr>
        <w:br w:type="page" w:clear="all"/>
      </w:r>
      <w:bookmarkEnd w:id="65"/>
      <w:r/>
      <w:bookmarkEnd w:id="66"/>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rPr>
          <w:highlight w:val="none"/>
        </w:rPr>
      </w:r>
      <w:bookmarkStart w:id="67" w:name="_Hlk66378104"/>
      <w:r>
        <w:rPr>
          <w:rFonts w:hint="eastAsia" w:ascii="宋体" w:hAnsi="宋体" w:eastAsia="宋体" w:cs="宋体"/>
          <w:b/>
          <w:color w:val="auto"/>
          <w:sz w:val="28"/>
          <w:szCs w:val="28"/>
          <w:highlight w:val="none"/>
        </w:rPr>
        <w:t xml:space="preserve">项目</w:t>
      </w:r>
      <w:r>
        <w:rPr>
          <w:rFonts w:hint="eastAsia" w:ascii="宋体" w:hAnsi="宋体" w:eastAsia="宋体" w:cs="宋体"/>
          <w:b/>
          <w:color w:val="auto"/>
          <w:sz w:val="28"/>
          <w:szCs w:val="28"/>
          <w:highlight w:val="none"/>
          <w:lang w:val="en-US" w:eastAsia="zh-CN"/>
        </w:rPr>
        <w:t xml:space="preserve">团队</w:t>
      </w:r>
      <w:r>
        <w:rPr>
          <w:rFonts w:hint="eastAsia" w:ascii="宋体" w:hAnsi="宋体" w:eastAsia="宋体" w:cs="宋体"/>
          <w:b/>
          <w:color w:val="auto"/>
          <w:sz w:val="28"/>
          <w:szCs w:val="28"/>
          <w:highlight w:val="none"/>
        </w:rPr>
        <w:t xml:space="preserve">人员</w:t>
      </w:r>
      <w:r>
        <w:rPr>
          <w:rFonts w:hint="eastAsia" w:ascii="宋体" w:hAnsi="宋体" w:eastAsia="宋体" w:cs="宋体"/>
          <w:b/>
          <w:color w:val="auto"/>
          <w:sz w:val="28"/>
          <w:szCs w:val="28"/>
          <w:highlight w:val="none"/>
          <w:lang w:val="en-US" w:eastAsia="zh-CN"/>
        </w:rPr>
        <w:t xml:space="preserve">配置</w:t>
      </w:r>
      <w:r>
        <w:rPr>
          <w:rFonts w:hint="eastAsia" w:ascii="宋体" w:hAnsi="宋体" w:eastAsia="宋体" w:cs="宋体"/>
          <w:b/>
          <w:color w:val="auto"/>
          <w:sz w:val="28"/>
          <w:szCs w:val="28"/>
          <w:highlight w:val="none"/>
        </w:rPr>
        <w:t xml:space="preserve">表</w:t>
      </w:r>
      <w:bookmarkEnd w:id="67"/>
      <w:r/>
      <w:r>
        <w:rPr>
          <w:highlight w:val="none"/>
        </w:rPr>
      </w:r>
    </w:p>
    <w:p>
      <w:pPr>
        <w:jc w:val="center"/>
        <w:shd w:val="clear" w:color="auto"/>
        <w:widowControl/>
        <w:rPr>
          <w:rFonts w:asciiTheme="minorEastAsia" w:hAnsiTheme="minorEastAsia" w:eastAsiaTheme="minorEastAsia"/>
          <w:b/>
          <w:bCs/>
          <w:color w:val="auto"/>
          <w:sz w:val="24"/>
          <w:highlight w:val="none"/>
        </w:rPr>
        <w:outlineLvl w:val="9"/>
      </w:pPr>
      <w:r>
        <w:rPr>
          <w:rFonts w:asciiTheme="minorEastAsia" w:hAnsiTheme="minorEastAsia" w:eastAsiaTheme="minorEastAsia"/>
          <w:b/>
          <w:bCs/>
          <w:color w:val="auto"/>
          <w:sz w:val="24"/>
          <w:highlight w:val="none"/>
        </w:rPr>
      </w:r>
      <w:r>
        <w:rPr>
          <w:highlight w:val="none"/>
        </w:rPr>
      </w:r>
    </w:p>
    <w:p>
      <w:pPr>
        <w:shd w:val="clear" w:color="auto"/>
        <w:widowControl/>
        <w:rPr>
          <w:rFonts w:asciiTheme="minorEastAsia" w:hAnsiTheme="minorEastAsia" w:eastAsiaTheme="minorEastAsia"/>
          <w:color w:val="auto"/>
          <w:szCs w:val="21"/>
          <w:highlight w:val="none"/>
        </w:rPr>
        <w:outlineLvl w:val="9"/>
      </w:pPr>
      <w:r>
        <w:rPr>
          <w:highlight w:val="none"/>
        </w:rPr>
      </w:r>
      <w:bookmarkStart w:id="68" w:name="_Hlk66784308"/>
      <w:r>
        <w:rPr>
          <w:rFonts w:hint="eastAsia" w:asciiTheme="minorEastAsia" w:hAnsiTheme="minorEastAsia" w:eastAsiaTheme="minorEastAsia"/>
          <w:color w:val="auto"/>
          <w:szCs w:val="21"/>
          <w:highlight w:val="none"/>
        </w:rPr>
        <w:t xml:space="preserve">项目名称：                                 项目编号：</w:t>
      </w:r>
      <w:bookmarkEnd w:id="68"/>
      <w:r/>
      <w:r>
        <w:rPr>
          <w:highlight w:val="none"/>
        </w:rPr>
      </w:r>
    </w:p>
    <w:tbl>
      <w:tblPr>
        <w:tblStyle w:val="692"/>
        <w:tblW w:w="9636" w:type="dxa"/>
        <w:jc w:val="center"/>
        <w:tblLayout w:type="fixed"/>
        <w:tblCellMar>
          <w:left w:w="108" w:type="dxa"/>
          <w:top w:w="0" w:type="dxa"/>
          <w:right w:w="108" w:type="dxa"/>
          <w:bottom w:w="0" w:type="dxa"/>
        </w:tblCellMar>
        <w:tblLook w:val="04A0" w:firstRow="1" w:lastRow="0" w:firstColumn="1" w:lastColumn="0" w:noHBand="0" w:noVBand="1"/>
      </w:tblPr>
      <w:tblGrid>
        <w:gridCol w:w="729"/>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rPr>
                <w:highlight w:val="none"/>
              </w:rP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姓名</w:t>
            </w:r>
            <w:r>
              <w:rPr>
                <w:highlight w:val="none"/>
              </w:rP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性别</w:t>
            </w:r>
            <w:r>
              <w:rPr>
                <w:highlight w:val="none"/>
              </w:rP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年龄</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学历</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执业</w:t>
            </w:r>
            <w:r>
              <w:rPr>
                <w:highlight w:val="none"/>
              </w:rPr>
            </w:r>
          </w:p>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资格</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证书号</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技术职称</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相关工作年限</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hint="default"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在本项目</w:t>
            </w:r>
            <w:r>
              <w:rPr>
                <w:rFonts w:hint="eastAsia" w:asciiTheme="minorEastAsia" w:hAnsiTheme="minorEastAsia"/>
                <w:b/>
                <w:bCs/>
                <w:color w:val="auto"/>
                <w:szCs w:val="21"/>
                <w:highlight w:val="none"/>
                <w:lang w:val="en-US" w:eastAsia="zh-CN"/>
              </w:rPr>
              <w:t xml:space="preserve">的岗位职责</w:t>
            </w:r>
            <w:r>
              <w:rPr>
                <w:highlight w:val="none"/>
              </w:rP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shd w:val="clear" w:color="auto"/>
              <w:widowControl/>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29"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shd w:val="clear" w:color="auto"/>
              <w:widowControl/>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bl>
    <w:p>
      <w:pPr>
        <w:jc w:val="left"/>
        <w:spacing w:line="360" w:lineRule="auto"/>
        <w:shd w:val="clear" w:color="auto"/>
        <w:widowControl/>
        <w:rPr>
          <w:rFonts w:cs="宋体" w:asciiTheme="minorEastAsia" w:hAnsiTheme="minorEastAsia" w:eastAsiaTheme="minorEastAsia"/>
          <w:color w:val="auto"/>
          <w:szCs w:val="21"/>
          <w:highlight w:val="none"/>
        </w:rPr>
        <w:outlineLvl w:val="9"/>
      </w:pPr>
      <w:r>
        <w:rPr>
          <w:rFonts w:cs="宋体" w:asciiTheme="minorEastAsia" w:hAnsiTheme="minorEastAsia" w:eastAsiaTheme="minorEastAsia"/>
          <w:color w:val="auto"/>
          <w:szCs w:val="21"/>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highlight w:val="none"/>
        </w:rP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zh-CN" w:eastAsia="zh-CN"/>
        </w:rPr>
        <w:t xml:space="preserve">项目</w:t>
      </w:r>
      <w:r>
        <w:rPr>
          <w:rFonts w:hint="eastAsia" w:ascii="宋体" w:hAnsi="宋体" w:eastAsia="宋体" w:cs="宋体"/>
          <w:b/>
          <w:bCs/>
          <w:color w:val="auto"/>
          <w:sz w:val="24"/>
          <w:szCs w:val="24"/>
          <w:highlight w:val="none"/>
          <w:lang w:val="en-US" w:eastAsia="zh-CN"/>
        </w:rPr>
        <w:t xml:space="preserve">团队</w:t>
      </w:r>
      <w:r>
        <w:rPr>
          <w:rFonts w:hint="eastAsia" w:ascii="宋体" w:hAnsi="宋体" w:eastAsia="宋体" w:cs="宋体"/>
          <w:b/>
          <w:bCs/>
          <w:color w:val="auto"/>
          <w:sz w:val="24"/>
          <w:szCs w:val="24"/>
          <w:highlight w:val="none"/>
          <w:lang w:val="zh-CN" w:eastAsia="zh-CN"/>
        </w:rPr>
        <w:t xml:space="preserve">人员</w:t>
      </w:r>
      <w:r>
        <w:rPr>
          <w:rFonts w:hint="eastAsia" w:ascii="宋体" w:hAnsi="宋体" w:eastAsia="宋体" w:cs="宋体"/>
          <w:b/>
          <w:bCs/>
          <w:color w:val="auto"/>
          <w:sz w:val="24"/>
          <w:szCs w:val="24"/>
          <w:highlight w:val="none"/>
          <w:lang w:val="en-US" w:eastAsia="zh-CN"/>
        </w:rPr>
        <w:t xml:space="preserve">配置</w:t>
      </w:r>
      <w:r>
        <w:rPr>
          <w:rFonts w:hint="eastAsia" w:ascii="宋体" w:hAnsi="宋体" w:eastAsia="宋体" w:cs="宋体"/>
          <w:b/>
          <w:bCs/>
          <w:color w:val="auto"/>
          <w:sz w:val="24"/>
          <w:szCs w:val="24"/>
          <w:highlight w:val="none"/>
          <w:lang w:val="zh-CN" w:eastAsia="zh-CN"/>
        </w:rPr>
        <w:t xml:space="preserve">表格式和内容自拟，上表可供参考。</w:t>
      </w:r>
      <w:r>
        <w:rPr>
          <w:highlight w:val="none"/>
        </w:rPr>
      </w:r>
    </w:p>
    <w:p>
      <w:pPr>
        <w:ind w:left="0" w:right="0" w:firstLine="482"/>
        <w:jc w:val="left"/>
        <w:keepLines w:val="0"/>
        <w:keepNext w:val="0"/>
        <w:pageBreakBefore w:val="0"/>
        <w:spacing w:line="56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2.如果行数不够，投标人</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rPr>
          <w:highlight w:val="none"/>
        </w:rPr>
      </w:r>
    </w:p>
    <w:p>
      <w:pP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r>
        <w:rPr>
          <w:highlight w:val="none"/>
        </w:rPr>
      </w:r>
    </w:p>
    <w:p>
      <w:pPr>
        <w:ind w:left="0" w:right="0" w:firstLine="0"/>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类似业绩情况表</w:t>
      </w:r>
      <w:r>
        <w:rPr>
          <w:highlight w:val="none"/>
        </w:rPr>
      </w:r>
    </w:p>
    <w:p>
      <w:pPr>
        <w:jc w:val="center"/>
        <w:spacing w:line="360" w:lineRule="auto"/>
        <w:shd w:val="clear" w:color="auto"/>
        <w:widowControl/>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rPr>
          <w:highlight w:val="none"/>
        </w:rPr>
      </w:r>
    </w:p>
    <w:p>
      <w:pPr>
        <w:jc w:val="center"/>
        <w:spacing w:line="360" w:lineRule="auto"/>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lang w:eastAsia="zh-CN"/>
        </w:rPr>
        <w:t xml:space="preserve">投标人</w:t>
      </w:r>
      <w:r>
        <w:rPr>
          <w:rFonts w:hint="eastAsia" w:asciiTheme="minorEastAsia" w:hAnsiTheme="minorEastAsia" w:eastAsiaTheme="minorEastAsia"/>
          <w:b/>
          <w:color w:val="auto"/>
          <w:sz w:val="32"/>
          <w:szCs w:val="32"/>
          <w:highlight w:val="none"/>
        </w:rPr>
        <w:t xml:space="preserve">类似业绩情况表</w:t>
      </w:r>
      <w:r>
        <w:rPr>
          <w:highlight w:val="none"/>
        </w:rPr>
      </w:r>
    </w:p>
    <w:p>
      <w:pPr>
        <w:jc w:val="left"/>
        <w:spacing w:line="360" w:lineRule="auto"/>
        <w:shd w:val="clear" w:color="auto"/>
        <w:widowControl/>
        <w:tabs>
          <w:tab w:val="left" w:pos="5366" w:leader="none"/>
        </w:tabs>
        <w:rPr>
          <w:rFonts w:asciiTheme="minorEastAsia" w:hAnsiTheme="minorEastAsia" w:eastAsiaTheme="minorEastAsia"/>
          <w:color w:val="auto"/>
          <w:szCs w:val="21"/>
          <w:highlight w:val="none"/>
        </w:rPr>
        <w:outlineLvl w:val="9"/>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rPr>
          <w:highlight w:val="none"/>
        </w:rPr>
      </w:r>
    </w:p>
    <w:tbl>
      <w:tblPr>
        <w:tblStyle w:val="692"/>
        <w:tblW w:w="9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191"/>
        <w:gridCol w:w="2000"/>
        <w:gridCol w:w="1158"/>
        <w:gridCol w:w="1494"/>
        <w:gridCol w:w="1280"/>
        <w:gridCol w:w="900"/>
      </w:tblGrid>
      <w:tr>
        <w:trPr>
          <w:jc w:val="center"/>
        </w:trPr>
        <w:tc>
          <w:tcPr>
            <w:tcW w:w="678"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序号</w:t>
            </w:r>
            <w:r>
              <w:rPr>
                <w:highlight w:val="none"/>
              </w:rPr>
            </w:r>
          </w:p>
        </w:tc>
        <w:tc>
          <w:tcPr>
            <w:tcW w:w="2191"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项目名称</w:t>
            </w:r>
            <w:r>
              <w:rPr>
                <w:highlight w:val="none"/>
              </w:rPr>
            </w:r>
          </w:p>
        </w:tc>
        <w:tc>
          <w:tcPr>
            <w:tcW w:w="2000"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采购单位</w:t>
            </w:r>
            <w:r>
              <w:rPr>
                <w:highlight w:val="none"/>
              </w:rPr>
            </w:r>
          </w:p>
        </w:tc>
        <w:tc>
          <w:tcPr>
            <w:tcW w:w="1158"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w:t>
            </w:r>
            <w:r>
              <w:rPr>
                <w:highlight w:val="none"/>
              </w:rPr>
            </w:r>
          </w:p>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金额</w:t>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合同签定</w:t>
            </w:r>
            <w:r>
              <w:rPr>
                <w:highlight w:val="none"/>
              </w:rPr>
            </w:r>
          </w:p>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时间</w:t>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联系人及电话</w:t>
            </w:r>
            <w:r>
              <w:rPr>
                <w:highlight w:val="none"/>
              </w:rPr>
            </w:r>
          </w:p>
        </w:tc>
        <w:tc>
          <w:tcPr>
            <w:tcW w:w="900" w:type="dxa"/>
            <w:vAlign w:val="center"/>
            <w:textDirection w:val="lrTb"/>
            <w:noWrap w:val="false"/>
          </w:tcPr>
          <w:p>
            <w:pPr>
              <w:jc w:val="center"/>
              <w:spacing w:line="360" w:lineRule="auto"/>
              <w:shd w:val="clear" w:color="auto"/>
              <w:rPr>
                <w:rFonts w:asciiTheme="minorEastAsia" w:hAnsiTheme="minorEastAsia" w:eastAsiaTheme="minorEastAsia"/>
                <w:b/>
                <w:bCs/>
                <w:color w:val="auto"/>
                <w:szCs w:val="21"/>
                <w:highlight w:val="none"/>
              </w:rPr>
              <w:outlineLvl w:val="9"/>
            </w:pPr>
            <w:r>
              <w:rPr>
                <w:rFonts w:hint="eastAsia" w:asciiTheme="minorEastAsia" w:hAnsiTheme="minorEastAsia" w:eastAsiaTheme="minorEastAsia"/>
                <w:b/>
                <w:bCs/>
                <w:color w:val="auto"/>
                <w:szCs w:val="21"/>
                <w:highlight w:val="none"/>
              </w:rPr>
              <w:t xml:space="preserve">备注</w:t>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ind w:firstLine="105"/>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r>
        <w:trPr>
          <w:jc w:val="center"/>
        </w:trPr>
        <w:tc>
          <w:tcPr>
            <w:tcW w:w="67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191"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20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158"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494"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128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c>
          <w:tcPr>
            <w:tcW w:w="900" w:type="dxa"/>
            <w:textDirection w:val="lrTb"/>
            <w:noWrap w:val="false"/>
          </w:tcPr>
          <w:p>
            <w:pPr>
              <w:jc w:val="center"/>
              <w:spacing w:line="360" w:lineRule="auto"/>
              <w:shd w:val="clear" w:color="auto"/>
              <w:rPr>
                <w:rFonts w:asciiTheme="minorEastAsia" w:hAnsiTheme="minorEastAsia" w:eastAsiaTheme="minorEastAsia"/>
                <w:color w:val="auto"/>
                <w:szCs w:val="21"/>
                <w:highlight w:val="none"/>
              </w:rPr>
              <w:outlineLvl w:val="9"/>
            </w:pPr>
            <w:r>
              <w:rPr>
                <w:rFonts w:asciiTheme="minorEastAsia" w:hAnsiTheme="minorEastAsia" w:eastAsiaTheme="minorEastAsia"/>
                <w:color w:val="auto"/>
                <w:szCs w:val="21"/>
                <w:highlight w:val="none"/>
              </w:rPr>
            </w:r>
            <w:r>
              <w:rPr>
                <w:highlight w:val="none"/>
              </w:rPr>
            </w:r>
          </w:p>
        </w:tc>
      </w:tr>
    </w:tbl>
    <w:p>
      <w:pPr>
        <w:spacing w:line="360" w:lineRule="auto"/>
        <w:shd w:val="clear" w:color="auto"/>
        <w:rPr>
          <w:rFonts w:asciiTheme="minorEastAsia" w:hAnsiTheme="minorEastAsia" w:eastAsiaTheme="minorEastAsia"/>
          <w:b/>
          <w:color w:val="auto"/>
          <w:szCs w:val="21"/>
          <w:highlight w:val="none"/>
        </w:rPr>
        <w:outlineLvl w:val="9"/>
      </w:pPr>
      <w:r>
        <w:rPr>
          <w:rFonts w:asciiTheme="minorEastAsia" w:hAnsiTheme="minorEastAsia" w:eastAsiaTheme="minorEastAsia"/>
          <w:b/>
          <w:color w:val="auto"/>
          <w:szCs w:val="21"/>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投标人名称：</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left"/>
        <w:keepLines w:val="0"/>
        <w:keepNext w:val="0"/>
        <w:pageBreakBefore w:val="0"/>
        <w:spacing w:line="560" w:lineRule="exact"/>
        <w:shd w:val="clear" w:color="auto"/>
        <w:widowControl/>
        <w:rPr>
          <w:rFonts w:hint="eastAsia" w:asciiTheme="minorEastAsia" w:hAnsiTheme="minorEastAsia" w:eastAsiaTheme="minorEastAsia"/>
          <w:b/>
          <w:color w:val="auto"/>
          <w:szCs w:val="21"/>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ind w:left="0" w:right="0" w:firstLine="0"/>
        <w:keepLines w:val="0"/>
        <w:keepNext w:val="0"/>
        <w:pageBreakBefore w:val="0"/>
        <w:spacing w:line="560" w:lineRule="exact"/>
        <w:shd w:val="clear" w:color="auto"/>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Cs w:val="21"/>
          <w:highlight w:val="none"/>
        </w:rPr>
      </w:r>
      <w:r>
        <w:rPr>
          <w:highlight w:val="none"/>
        </w:rPr>
      </w:r>
    </w:p>
    <w:p>
      <w:pPr>
        <w:ind w:left="0" w:right="0" w:firstLine="0"/>
        <w:keepLines w:val="0"/>
        <w:keepNext w:val="0"/>
        <w:pageBreakBefore w:val="0"/>
        <w:spacing w:line="560" w:lineRule="exact"/>
        <w:shd w:val="clear" w:color="auto"/>
        <w:widowControl w:val="off"/>
        <w:rPr>
          <w:rFonts w:hint="eastAsia" w:asciiTheme="minorEastAsia" w:hAnsiTheme="minorEastAsia" w:eastAsiaTheme="minorEastAsia"/>
          <w:b/>
          <w:color w:val="auto"/>
          <w:szCs w:val="21"/>
          <w:highlight w:val="none"/>
        </w:rPr>
        <w:outlineLvl w:val="9"/>
      </w:pPr>
      <w:r>
        <w:rPr>
          <w:rFonts w:hint="eastAsia" w:asciiTheme="minorEastAsia" w:hAnsiTheme="minorEastAsia" w:eastAsiaTheme="minorEastAsia"/>
          <w:b/>
          <w:color w:val="auto"/>
          <w:sz w:val="24"/>
          <w:szCs w:val="24"/>
          <w:highlight w:val="none"/>
          <w:lang w:val="en-US" w:eastAsia="zh-CN"/>
        </w:rPr>
        <w:t xml:space="preserve">注</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b/>
          <w:color w:val="auto"/>
          <w:sz w:val="24"/>
          <w:szCs w:val="24"/>
          <w:highlight w:val="none"/>
          <w:lang w:val="en-US" w:eastAsia="zh-CN"/>
        </w:rPr>
        <w:t xml:space="preserve">1.</w:t>
      </w:r>
      <w:r>
        <w:rPr>
          <w:rFonts w:hint="eastAsia" w:asciiTheme="minorEastAsia" w:hAnsiTheme="minorEastAsia" w:eastAsiaTheme="minorEastAsia"/>
          <w:b/>
          <w:color w:val="auto"/>
          <w:sz w:val="24"/>
          <w:szCs w:val="24"/>
          <w:highlight w:val="none"/>
          <w:lang w:eastAsia="zh-CN"/>
        </w:rPr>
        <w:t xml:space="preserve">投标人</w:t>
      </w:r>
      <w:r>
        <w:rPr>
          <w:rFonts w:hint="eastAsia" w:asciiTheme="minorEastAsia" w:hAnsiTheme="minorEastAsia" w:eastAsiaTheme="minorEastAsia"/>
          <w:b/>
          <w:color w:val="auto"/>
          <w:sz w:val="24"/>
          <w:szCs w:val="24"/>
          <w:highlight w:val="none"/>
        </w:rPr>
        <w:t xml:space="preserve">根据本格式要求如实填写业绩情况表，并根据</w:t>
      </w:r>
      <w:r>
        <w:rPr>
          <w:rFonts w:hint="eastAsia" w:asciiTheme="minorEastAsia" w:hAnsiTheme="minorEastAsia" w:eastAsiaTheme="minorEastAsia"/>
          <w:b/>
          <w:color w:val="auto"/>
          <w:sz w:val="24"/>
          <w:szCs w:val="24"/>
          <w:highlight w:val="none"/>
          <w:lang w:eastAsia="zh-CN"/>
        </w:rPr>
        <w:t xml:space="preserve">招标文件</w:t>
      </w:r>
      <w:r>
        <w:rPr>
          <w:rFonts w:hint="eastAsia" w:asciiTheme="minorEastAsia" w:hAnsiTheme="minorEastAsia" w:eastAsiaTheme="minorEastAsia"/>
          <w:b/>
          <w:color w:val="auto"/>
          <w:sz w:val="24"/>
          <w:szCs w:val="24"/>
          <w:highlight w:val="none"/>
        </w:rPr>
        <w:t xml:space="preserve">要求附业绩证明材料</w:t>
      </w:r>
      <w:r>
        <w:rPr>
          <w:rFonts w:hint="eastAsia" w:asciiTheme="minorEastAsia" w:hAnsiTheme="minorEastAsia" w:eastAsiaTheme="minorEastAsia"/>
          <w:b/>
          <w:color w:val="auto"/>
          <w:szCs w:val="21"/>
          <w:highlight w:val="none"/>
        </w:rPr>
        <w:t xml:space="preserve">。</w:t>
      </w:r>
      <w:r>
        <w:rPr>
          <w:highlight w:val="none"/>
        </w:rPr>
      </w:r>
    </w:p>
    <w:p>
      <w:pPr>
        <w:ind w:left="0" w:right="0" w:firstLine="0"/>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2.如果行数不够，投标人</w:t>
      </w:r>
      <w:r>
        <w:rPr>
          <w:rFonts w:hint="eastAsia" w:asciiTheme="minorEastAsia" w:hAnsiTheme="minorEastAsia" w:eastAsiaTheme="minorEastAsia" w:cstheme="minorEastAsia"/>
          <w:b/>
          <w:bCs/>
          <w:color w:val="auto"/>
          <w:sz w:val="24"/>
          <w:szCs w:val="24"/>
          <w:highlight w:val="none"/>
          <w:lang w:val="en-US" w:eastAsia="zh-CN" w:bidi="ar-SA"/>
        </w:rPr>
        <w:t xml:space="preserve">可</w:t>
      </w:r>
      <w:r>
        <w:rPr>
          <w:rFonts w:hint="eastAsia" w:ascii="宋体" w:hAnsi="宋体" w:eastAsia="宋体" w:cs="宋体"/>
          <w:b/>
          <w:bCs/>
          <w:color w:val="auto"/>
          <w:sz w:val="24"/>
          <w:szCs w:val="24"/>
          <w:highlight w:val="none"/>
          <w:lang w:val="en-US" w:eastAsia="zh-CN"/>
        </w:rPr>
        <w:t xml:space="preserve">自行</w:t>
      </w:r>
      <w:r>
        <w:rPr>
          <w:rFonts w:hint="eastAsia" w:asciiTheme="minorEastAsia" w:hAnsiTheme="minorEastAsia" w:cstheme="minorEastAsia"/>
          <w:b/>
          <w:bCs/>
          <w:color w:val="auto"/>
          <w:sz w:val="24"/>
          <w:szCs w:val="24"/>
          <w:highlight w:val="none"/>
          <w:lang w:val="en-US" w:eastAsia="zh-CN" w:bidi="ar-SA"/>
        </w:rPr>
        <w:t xml:space="preserve">增加</w:t>
      </w:r>
      <w:r>
        <w:rPr>
          <w:rFonts w:hint="eastAsia" w:ascii="宋体" w:hAnsi="宋体" w:eastAsia="宋体" w:cs="宋体"/>
          <w:b/>
          <w:bCs/>
          <w:color w:val="auto"/>
          <w:sz w:val="24"/>
          <w:szCs w:val="24"/>
          <w:highlight w:val="none"/>
          <w:lang w:val="en-US" w:eastAsia="zh-CN"/>
        </w:rPr>
        <w:t xml:space="preserve">。</w:t>
      </w:r>
      <w:r>
        <w:rPr>
          <w:highlight w:val="none"/>
        </w:rPr>
      </w:r>
    </w:p>
    <w:p>
      <w:pP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br w:type="page" w:clear="all"/>
      </w:r>
      <w:r>
        <w:rPr>
          <w:highlight w:val="none"/>
        </w:rPr>
      </w:r>
    </w:p>
    <w:p>
      <w:pPr>
        <w:ind w:left="0" w:right="0" w:firstLine="0"/>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十、项目实施</w:t>
      </w:r>
      <w:r>
        <w:rPr>
          <w:rFonts w:hint="eastAsia" w:ascii="宋体" w:hAnsi="宋体" w:cs="宋体"/>
          <w:b/>
          <w:color w:val="auto"/>
          <w:sz w:val="28"/>
          <w:szCs w:val="28"/>
          <w:highlight w:val="none"/>
          <w:lang w:val="en-US" w:eastAsia="zh-CN"/>
        </w:rPr>
        <w:t xml:space="preserve">或服务</w:t>
      </w:r>
      <w:r>
        <w:rPr>
          <w:rFonts w:hint="eastAsia" w:ascii="宋体" w:hAnsi="宋体" w:eastAsia="宋体" w:cs="宋体"/>
          <w:b/>
          <w:color w:val="auto"/>
          <w:sz w:val="28"/>
          <w:szCs w:val="28"/>
          <w:highlight w:val="none"/>
          <w:lang w:val="en-US" w:eastAsia="zh-CN"/>
        </w:rPr>
        <w:t xml:space="preserve">方案</w:t>
      </w:r>
      <w:r>
        <w:rPr>
          <w:highlight w:val="none"/>
        </w:rPr>
      </w:r>
    </w:p>
    <w:p>
      <w:pP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rPr>
          <w:highlight w:val="none"/>
        </w:rPr>
      </w:r>
    </w:p>
    <w:p>
      <w:pPr>
        <w:ind w:left="0" w:right="0" w:firstLine="0"/>
        <w:jc w:val="left"/>
        <w:keepLines w:val="0"/>
        <w:keepNext w:val="0"/>
        <w:pageBreakBefore w:val="0"/>
        <w:spacing w:beforeAutospacing="0" w:line="560" w:lineRule="exact"/>
        <w:shd w:val="clear" w:color="auto"/>
        <w:widowControl w:val="off"/>
        <w:rPr>
          <w:rFonts w:hint="default" w:ascii="宋体" w:hAnsi="宋体" w:eastAsia="宋体" w:cs="宋体"/>
          <w:b/>
          <w:color w:val="auto"/>
          <w:sz w:val="28"/>
          <w:szCs w:val="28"/>
          <w:highlight w:val="none"/>
        </w:rPr>
        <w:outlineLvl w:val="1"/>
      </w:pPr>
      <w:r>
        <w:rPr>
          <w:highlight w:val="none"/>
        </w:rPr>
      </w:r>
      <w:bookmarkStart w:id="69" w:name="_Toc29336"/>
      <w:r>
        <w:rPr>
          <w:rFonts w:hint="eastAsia" w:ascii="宋体" w:hAnsi="宋体" w:eastAsia="宋体" w:cs="宋体"/>
          <w:b/>
          <w:color w:val="auto"/>
          <w:sz w:val="28"/>
          <w:szCs w:val="28"/>
          <w:highlight w:val="none"/>
          <w:lang w:val="en-US" w:eastAsia="zh-CN"/>
        </w:rPr>
        <w:t xml:space="preserve">附件十一</w:t>
      </w:r>
      <w:r>
        <w:rPr>
          <w:rFonts w:hint="eastAsia" w:ascii="宋体" w:hAnsi="宋体" w:eastAsia="宋体" w:cs="宋体"/>
          <w:b/>
          <w:color w:val="auto"/>
          <w:sz w:val="28"/>
          <w:szCs w:val="28"/>
          <w:highlight w:val="none"/>
        </w:rPr>
        <w:t xml:space="preserve">、</w:t>
      </w:r>
      <w:bookmarkEnd w:id="69"/>
      <w:r>
        <w:rPr>
          <w:rFonts w:hint="eastAsia" w:ascii="宋体" w:hAnsi="宋体" w:eastAsia="宋体" w:cs="宋体"/>
          <w:b/>
          <w:color w:val="auto"/>
          <w:sz w:val="28"/>
          <w:szCs w:val="28"/>
          <w:highlight w:val="none"/>
          <w:lang w:val="en-US" w:eastAsia="zh-CN"/>
        </w:rPr>
        <w:t xml:space="preserve">投标人信用承诺函格式</w:t>
      </w:r>
      <w:r>
        <w:rPr>
          <w:highlight w:val="none"/>
        </w:rPr>
      </w:r>
    </w:p>
    <w:p>
      <w:pPr>
        <w:jc w:val="center"/>
        <w:spacing w:line="360" w:lineRule="auto"/>
        <w:shd w:val="clear" w:color="auto"/>
        <w:rPr>
          <w:rFonts w:hint="eastAsia" w:ascii="方正小标宋简体" w:hAnsi="方正小标宋简体" w:eastAsia="方正小标宋简体" w:cs="方正小标宋简体"/>
          <w:color w:val="auto"/>
          <w:sz w:val="32"/>
          <w:szCs w:val="32"/>
          <w:highlight w:val="none"/>
        </w:rPr>
        <w:outlineLvl w:val="9"/>
      </w:pPr>
      <w:r>
        <w:rPr>
          <w:rFonts w:hint="eastAsia" w:ascii="宋体" w:hAnsi="宋体" w:eastAsia="宋体" w:cs="宋体"/>
          <w:b/>
          <w:color w:val="auto"/>
          <w:sz w:val="28"/>
          <w:szCs w:val="28"/>
          <w:highlight w:val="none"/>
          <w:lang w:val="en-US" w:eastAsia="zh-CN"/>
        </w:rPr>
        <w:t xml:space="preserve">投标人信用承诺函</w:t>
      </w:r>
      <w:r>
        <w:rPr>
          <w:highlight w:val="none"/>
        </w:rPr>
      </w:r>
    </w:p>
    <w:p>
      <w:pPr>
        <w:ind w:right="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南京市鼓楼区幕府山社区卫生服务中心</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江苏本誉项目管理有限公司：</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我公司符合下列要求：</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(一)具有独立承担民事责任的能力；</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rPr>
          <w:rFonts w:hint="eastAsia" w:ascii="宋体" w:hAnsi="宋体" w:eastAsia="宋体" w:cs="宋体"/>
          <w:color w:val="auto"/>
          <w:sz w:val="24"/>
          <w:szCs w:val="24"/>
          <w:highlight w:val="none"/>
          <w:lang w:eastAsia="zh-CN"/>
        </w:rPr>
        <w:t xml:space="preserve">。</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结果公示后七个工作日内向采购人提供下列材料核验：</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rPr>
          <w:highlight w:val="none"/>
        </w:rPr>
      </w:r>
    </w:p>
    <w:p>
      <w:pPr>
        <w:ind w:righ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highlight w:val="none"/>
        </w:rPr>
      </w:r>
    </w:p>
    <w:p>
      <w:pPr>
        <w:ind w:right="0" w:firstLine="480"/>
        <w:jc w:val="right"/>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rPr>
          <w:highlight w:val="none"/>
        </w:rPr>
      </w:r>
    </w:p>
    <w:p>
      <w:pPr>
        <w:ind w:left="0" w:right="0" w:firstLine="480"/>
        <w:jc w:val="right"/>
        <w:keepLines w:val="0"/>
        <w:keepNext w:val="0"/>
        <w:pageBreakBefore w:val="0"/>
        <w:spacing w:beforeAutospacing="0"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p>
    <w:p>
      <w:pPr>
        <w:shd w:val="clear" w:color="auto"/>
        <w:rPr>
          <w:rFonts w:hint="eastAsia" w:ascii="宋体" w:hAnsi="宋体" w:eastAsia="宋体" w:cs="宋体"/>
          <w:b/>
          <w:color w:val="auto"/>
          <w:sz w:val="28"/>
          <w:szCs w:val="28"/>
          <w:highlight w:val="none"/>
        </w:rPr>
      </w:pPr>
      <w:r>
        <w:rPr>
          <w:highlight w:val="none"/>
        </w:rPr>
      </w:r>
      <w:bookmarkStart w:id="70" w:name="_Toc4960"/>
      <w:r>
        <w:rPr>
          <w:rFonts w:hint="eastAsia" w:ascii="宋体" w:hAnsi="宋体" w:eastAsia="宋体" w:cs="宋体"/>
          <w:b/>
          <w:color w:val="auto"/>
          <w:sz w:val="28"/>
          <w:szCs w:val="28"/>
          <w:highlight w:val="none"/>
          <w:lang w:eastAsia="zh-CN"/>
        </w:rPr>
        <w:br w:type="page" w:clear="all"/>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资格证明文件</w:t>
      </w:r>
      <w:r>
        <w:rPr>
          <w:highlight w:val="none"/>
        </w:rPr>
      </w:r>
    </w:p>
    <w:p>
      <w:pPr>
        <w:ind w:right="0"/>
        <w:jc w:val="left"/>
        <w:pageBreakBefore w:val="0"/>
        <w:spacing w:line="560" w:lineRule="exact"/>
        <w:shd w:val="clear" w:color="auto"/>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一、满足《中华人民共和国政府采购法》第二十二条规定</w:t>
      </w:r>
      <w:r>
        <w:rPr>
          <w:highlight w:val="none"/>
        </w:rPr>
      </w:r>
    </w:p>
    <w:p>
      <w:pPr>
        <w:jc w:val="center"/>
        <w:spacing w:line="360" w:lineRule="auto"/>
        <w:shd w:val="clear" w:color="auto"/>
        <w:rPr>
          <w:rFonts w:hint="eastAsia" w:ascii="方正小标宋简体" w:hAnsi="方正小标宋简体" w:eastAsia="方正小标宋简体" w:cs="方正小标宋简体"/>
          <w:color w:val="auto"/>
          <w:sz w:val="32"/>
          <w:szCs w:val="32"/>
          <w:highlight w:val="none"/>
        </w:rPr>
        <w:outlineLvl w:val="9"/>
      </w:pPr>
      <w:r>
        <w:rPr>
          <w:rFonts w:hint="eastAsia" w:ascii="方正小标宋简体" w:hAnsi="方正小标宋简体" w:eastAsia="方正小标宋简体" w:cs="方正小标宋简体"/>
          <w:color w:val="auto"/>
          <w:sz w:val="32"/>
          <w:szCs w:val="32"/>
          <w:highlight w:val="none"/>
          <w:lang w:val="en-US"/>
        </w:rPr>
        <w:t xml:space="preserve">供应商信用承诺函</w:t>
      </w:r>
      <w:r>
        <w:rPr>
          <w:highlight w:val="none"/>
        </w:rPr>
      </w:r>
    </w:p>
    <w:p>
      <w:pPr>
        <w:jc w:val="left"/>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南京市鼓楼区幕府山社区卫生服务中心</w:t>
      </w:r>
      <w:r>
        <w:rPr>
          <w:highlight w:val="none"/>
        </w:rPr>
      </w:r>
    </w:p>
    <w:p>
      <w:pPr>
        <w:jc w:val="left"/>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江苏本誉项目管理有限公司：</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我公司符合下列要求：</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(五)参加政府采购活动前三年内，在经营活动中没有重大违法记录</w:t>
      </w:r>
      <w:r>
        <w:rPr>
          <w:rFonts w:hint="eastAsia" w:ascii="宋体" w:hAnsi="宋体" w:eastAsia="宋体" w:cs="Times New Roman"/>
          <w:color w:val="auto"/>
          <w:sz w:val="24"/>
          <w:szCs w:val="24"/>
          <w:highlight w:val="none"/>
          <w:lang w:eastAsia="zh-CN"/>
        </w:rPr>
        <w:t xml:space="preserve">。</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如果我公司中标，将在中标结果公示后七个工作日内向采购人提供下列材料核验：</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rPr>
          <w:highlight w:val="none"/>
        </w:rPr>
      </w:r>
    </w:p>
    <w:p>
      <w:pPr>
        <w:ind w:firstLine="492"/>
        <w:spacing w:line="46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rPr>
          <w:highlight w:val="none"/>
        </w:rPr>
      </w:r>
    </w:p>
    <w:p>
      <w:pPr>
        <w:ind w:firstLine="492"/>
        <w:spacing w:line="460" w:lineRule="exact"/>
        <w:shd w:val="clear" w:color="auto"/>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rPr>
          <w:highlight w:val="none"/>
        </w:rPr>
      </w:r>
    </w:p>
    <w:p>
      <w:pPr>
        <w:ind w:firstLine="492"/>
        <w:spacing w:line="460" w:lineRule="exact"/>
        <w:shd w:val="clear" w:color="auto"/>
        <w:rPr>
          <w:color w:val="auto"/>
          <w:sz w:val="24"/>
          <w:szCs w:val="24"/>
          <w:highlight w:val="none"/>
        </w:rPr>
      </w:pPr>
      <w:r>
        <w:rPr>
          <w:color w:val="auto"/>
          <w:sz w:val="24"/>
          <w:szCs w:val="24"/>
          <w:highlight w:val="none"/>
        </w:rPr>
      </w:r>
      <w:r>
        <w:rPr>
          <w:highlight w:val="none"/>
        </w:rPr>
      </w:r>
    </w:p>
    <w:p>
      <w:pPr>
        <w:pStyle w:val="728"/>
        <w:shd w:val="clear" w:color="auto"/>
        <w:rPr>
          <w:color w:val="auto"/>
          <w:sz w:val="24"/>
          <w:szCs w:val="24"/>
          <w:highlight w:val="none"/>
        </w:rPr>
      </w:pPr>
      <w:r>
        <w:rPr>
          <w:color w:val="auto"/>
          <w:sz w:val="24"/>
          <w:szCs w:val="24"/>
          <w:highlight w:val="none"/>
        </w:rPr>
      </w:r>
      <w:r>
        <w:rPr>
          <w:highlight w:val="none"/>
        </w:rPr>
      </w:r>
    </w:p>
    <w:p>
      <w:pPr>
        <w:ind w:right="180" w:firstLine="360"/>
        <w:jc w:val="right"/>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（加盖公章）</w:t>
      </w:r>
      <w:r>
        <w:rPr>
          <w:highlight w:val="none"/>
        </w:rPr>
      </w:r>
    </w:p>
    <w:p>
      <w:pPr>
        <w:ind w:right="180" w:firstLine="360"/>
        <w:jc w:val="right"/>
        <w:spacing w:line="560" w:lineRule="exact"/>
        <w:shd w:val="clear" w:color="auto"/>
        <w:rPr>
          <w:color w:val="auto"/>
          <w:highlight w:val="none"/>
        </w:rPr>
      </w:pPr>
      <w:r>
        <w:rPr>
          <w:rFonts w:hint="eastAsia"/>
          <w:color w:val="auto"/>
          <w:sz w:val="24"/>
          <w:szCs w:val="24"/>
          <w:highlight w:val="none"/>
        </w:rPr>
        <w:t xml:space="preserve">日  期：</w:t>
      </w:r>
      <w:r>
        <w:rPr>
          <w:highlight w:val="none"/>
        </w:rPr>
      </w:r>
    </w:p>
    <w:p>
      <w:pPr>
        <w:shd w:val="clear" w:color="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zh-CN" w:eastAsia="zh-CN"/>
        </w:rPr>
        <w:br w:type="page" w:clear="all"/>
      </w:r>
      <w:r>
        <w:rPr>
          <w:highlight w:val="none"/>
        </w:rPr>
      </w:r>
    </w:p>
    <w:p>
      <w:pPr>
        <w:shd w:val="clear" w:color="auto"/>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zh-CN" w:eastAsia="zh-CN"/>
        </w:rPr>
        <w:t xml:space="preserve">南京市政府采购供应商信用记录表暨信用承诺书</w:t>
      </w:r>
      <w:r>
        <w:rPr>
          <w:highlight w:val="none"/>
        </w:rPr>
      </w:r>
    </w:p>
    <w:p>
      <w:pP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rPr>
          <w:highlight w:val="none"/>
        </w:rPr>
      </w:r>
    </w:p>
    <w:p>
      <w:pPr>
        <w:shd w:val="clear" w:color="auto"/>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zh-CN" w:eastAsia="zh-CN"/>
        </w:rPr>
        <w:t xml:space="preserve">落实政府采购政策需满足的资格要求：本项目为非预留份额的采购项目或采购包，执行价格扣除优惠政策，具体详见</w:t>
      </w:r>
      <w:r>
        <w:rPr>
          <w:rFonts w:hint="eastAsia" w:ascii="宋体" w:hAnsi="宋体" w:eastAsia="宋体" w:cs="宋体"/>
          <w:b/>
          <w:color w:val="auto"/>
          <w:sz w:val="28"/>
          <w:szCs w:val="28"/>
          <w:highlight w:val="none"/>
          <w:lang w:val="en-US" w:eastAsia="zh-CN"/>
        </w:rPr>
        <w:t xml:space="preserve">招标文件第二章</w:t>
      </w:r>
      <w:r>
        <w:rPr>
          <w:rFonts w:hint="eastAsia" w:ascii="宋体" w:hAnsi="宋体" w:eastAsia="宋体" w:cs="宋体"/>
          <w:b/>
          <w:color w:val="auto"/>
          <w:sz w:val="28"/>
          <w:szCs w:val="28"/>
          <w:highlight w:val="none"/>
          <w:lang w:val="zh-CN" w:eastAsia="zh-CN"/>
        </w:rPr>
        <w:t xml:space="preserve">。</w:t>
      </w:r>
      <w:r>
        <w:rPr>
          <w:highlight w:val="none"/>
        </w:rPr>
      </w:r>
    </w:p>
    <w:p>
      <w:pP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rPr>
          <w:highlight w:val="none"/>
        </w:rPr>
      </w:r>
      <w:bookmarkStart w:id="71" w:name="_Toc18221"/>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企业声明函格式</w:t>
      </w:r>
      <w:bookmarkEnd w:id="71"/>
      <w:r>
        <w:rPr>
          <w:highlight w:val="none"/>
        </w:rPr>
      </w:r>
      <w:r>
        <w:rPr>
          <w:highlight w:val="none"/>
        </w:rPr>
      </w:r>
    </w:p>
    <w:p>
      <w:pPr>
        <w:jc w:val="left"/>
        <w:keepLines w:val="0"/>
        <w:keepNext w:val="0"/>
        <w:pageBreakBefore w:val="0"/>
        <w:spacing w:line="560" w:lineRule="exact"/>
        <w:shd w:val="clear" w:color="auto"/>
        <w:rPr>
          <w:rFonts w:hint="eastAsia" w:cs="Arial" w:asciiTheme="minorEastAsia" w:hAnsiTheme="minorEastAsia" w:eastAsiaTheme="minorEastAsia"/>
          <w:b/>
          <w:bCs/>
          <w:color w:val="auto"/>
          <w:sz w:val="24"/>
          <w:szCs w:val="24"/>
          <w:highlight w:val="none"/>
          <w:u w:val="single"/>
        </w:rPr>
      </w:pPr>
      <w:r>
        <w:rPr>
          <w:highlight w:val="none"/>
        </w:rPr>
      </w:r>
      <w:bookmarkStart w:id="72" w:name="_Hlk84581158"/>
      <w:r>
        <w:rPr>
          <w:rFonts w:hint="eastAsia" w:ascii="宋体" w:hAnsi="宋体" w:eastAsia="宋体" w:cs="宋体"/>
          <w:b/>
          <w:color w:val="auto"/>
          <w:sz w:val="24"/>
          <w:szCs w:val="24"/>
          <w:highlight w:val="none"/>
          <w:u w:val="single"/>
          <w:lang w:val="zh-CN"/>
        </w:rPr>
        <w:t xml:space="preserve">注：如投标人符合下列声明函内容，响应文件目录中注明相关声明函页码。</w:t>
      </w:r>
      <w:bookmarkEnd w:id="72"/>
      <w:r/>
      <w:r>
        <w:rPr>
          <w:highlight w:val="none"/>
        </w:rPr>
      </w:r>
    </w:p>
    <w:p>
      <w:pPr>
        <w:ind w:left="0" w:right="0" w:firstLine="0"/>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中小企业声明函</w:t>
      </w:r>
      <w:r>
        <w:rPr>
          <w:highlight w:val="none"/>
        </w:rP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rPr>
          <w:highlight w:val="none"/>
        </w:rP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highlight w:val="none"/>
        </w:rP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招标文件</w:t>
      </w:r>
      <w:r>
        <w:rPr>
          <w:rFonts w:hint="eastAsia" w:ascii="宋体" w:hAnsi="宋体" w:eastAsia="宋体" w:cs="宋体"/>
          <w:color w:val="auto"/>
          <w:sz w:val="24"/>
          <w:szCs w:val="24"/>
          <w:highlight w:val="none"/>
          <w:u w:val="single"/>
        </w:rPr>
        <w:t xml:space="preserve">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highlight w:val="none"/>
        </w:rP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highlight w:val="none"/>
        </w:rPr>
      </w:r>
    </w:p>
    <w:p>
      <w:pPr>
        <w:ind w:firstLine="420"/>
        <w:jc w:val="right"/>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420"/>
        <w:jc w:val="right"/>
        <w:spacing w:line="56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企业名称：（加盖电子公章）</w:t>
      </w:r>
      <w:r>
        <w:rPr>
          <w:highlight w:val="none"/>
        </w:rPr>
      </w:r>
    </w:p>
    <w:p>
      <w:pPr>
        <w:ind w:firstLine="480"/>
        <w:jc w:val="center"/>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ascii="宋体" w:hAnsi="宋体" w:eastAsia="宋体" w:cs="宋体"/>
          <w:color w:val="auto"/>
          <w:sz w:val="24"/>
          <w:szCs w:val="24"/>
          <w:highlight w:val="none"/>
        </w:rPr>
        <w:t xml:space="preserve">                       日  期：</w:t>
      </w:r>
      <w:r>
        <w:rPr>
          <w:highlight w:val="none"/>
        </w:rPr>
      </w:r>
    </w:p>
    <w:p>
      <w:pPr>
        <w:numPr>
          <w:ilvl w:val="0"/>
          <w:numId w:val="0"/>
        </w:numPr>
        <w:ind w:right="0"/>
        <w:jc w:val="left"/>
        <w:pageBreakBefore w:val="0"/>
        <w:spacing w:line="560" w:lineRule="exact"/>
        <w:shd w:val="clear" w:color="auto"/>
        <w:rPr>
          <w:rFonts w:hint="eastAsia" w:ascii="宋体" w:hAnsi="宋体" w:eastAsia="宋体" w:cs="宋体"/>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56515</wp:posOffset>
                </wp:positionH>
                <wp:positionV relativeFrom="paragraph">
                  <wp:posOffset>1048385</wp:posOffset>
                </wp:positionV>
                <wp:extent cx="1800225" cy="0"/>
                <wp:effectExtent l="0" t="4445" r="0" b="5080"/>
                <wp:wrapNone/>
                <wp:docPr id="5" name="直接连接符 7"/>
                <wp:cNvGraphicFramePr/>
                <a:graphic xmlns:a="http://schemas.openxmlformats.org/drawingml/2006/main">
                  <a:graphicData uri="http://schemas.microsoft.com/office/word/2010/wordprocessingShape">
                    <wps:wsp>
                      <wps:cNvPr id="0" name=""/>
                      <wps:cNvSpPr/>
                      <wps:spPr bwMode="auto">
                        <a:xfrm>
                          <a:off x="1108075" y="9625965"/>
                          <a:ext cx="1800225"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4.5pt,82.5pt" to="146.2pt,82.5pt" filled="f" strokecolor="#000000" strokeweight="0.25pt">
                <v:stroke dashstyle="solid"/>
              </v:line>
            </w:pict>
          </mc:Fallback>
        </mc:AlternateContent>
      </w: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1061720</wp:posOffset>
                </wp:positionV>
                <wp:extent cx="5311140" cy="278130"/>
                <wp:effectExtent l="0" t="0" r="10160" b="1270"/>
                <wp:wrapNone/>
                <wp:docPr id="6" name="文本框 4"/>
                <wp:cNvGraphicFramePr/>
                <a:graphic xmlns:a="http://schemas.openxmlformats.org/drawingml/2006/main">
                  <a:graphicData uri="http://schemas.microsoft.com/office/word/2010/wordprocessingShape">
                    <wps:wsp>
                      <wps:cNvPr id="0" name=""/>
                      <wps:cNvSpPr txBox="1"/>
                      <wps:spPr bwMode="auto">
                        <a:xfrm>
                          <a:off x="1085215" y="9456420"/>
                          <a:ext cx="5311140" cy="2781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703"/>
                              <w:rPr>
                                <w:color w:val="auto"/>
                                <w14:textFill>
                                  <w14:noFill/>
                                </w14:textFill>
                              </w:rPr>
                            </w:pPr>
                            <w:r>
                              <w:rPr>
                                <w:rFonts w:hint="eastAsia"/>
                              </w:rPr>
                              <w:t xml:space="preserve">从业人员、营业收入、资产总额填报上一年度数据，无上一年度数据的新成立企业可不填报。</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59264;o:allowoverlap:true;o:allowincell:true;mso-position-horizontal-relative:text;margin-left:-3.9pt;mso-position-horizontal:absolute;mso-position-vertical-relative:text;margin-top:83.6pt;mso-position-vertical:absolute;width:418.2pt;height:21.9pt;mso-wrap-distance-left:9.0pt;mso-wrap-distance-top:0.0pt;mso-wrap-distance-right:9.0pt;mso-wrap-distance-bottom:0.0pt;v-text-anchor:top;visibility:visible;" fillcolor="#FFFFFF" stroked="f" strokeweight="0.50pt">
                <v:textbox inset="0,0,0,0">
                  <w:txbxContent>
                    <w:p>
                      <w:pPr>
                        <w:pStyle w:val="703"/>
                        <w:rPr>
                          <w:color w:val="auto"/>
                          <w14:textFill>
                            <w14:noFill/>
                          </w14:textFill>
                        </w:rPr>
                      </w:pPr>
                      <w:r>
                        <w:rPr>
                          <w:rFonts w:hint="eastAsia"/>
                        </w:rPr>
                        <w:t xml:space="preserve">从业人员、营业收入、资产总额填报上一年度数据，无上一年度数据的新成立企业可不填报。</w:t>
                      </w:r>
                      <w:r/>
                    </w:p>
                    <w:p>
                      <w:r/>
                      <w:r/>
                    </w:p>
                  </w:txbxContent>
                </v:textbox>
              </v:shape>
            </w:pict>
          </mc:Fallback>
        </mc:AlternateContent>
      </w:r>
      <w:r>
        <w:rPr>
          <w:rFonts w:hint="eastAsia" w:ascii="宋体" w:hAnsi="宋体" w:eastAsia="宋体" w:cs="宋体"/>
          <w:b/>
          <w:bCs/>
          <w:color w:val="auto"/>
          <w:sz w:val="28"/>
          <w:szCs w:val="28"/>
          <w:highlight w:val="none"/>
          <w:lang w:val="zh-CN"/>
        </w:rPr>
        <w:br w:type="page" w:clear="all"/>
      </w:r>
      <w:r>
        <w:rPr>
          <w:highlight w:val="none"/>
        </w:rPr>
      </w:r>
    </w:p>
    <w:p>
      <w:pPr>
        <w:ind w:left="0" w:right="0" w:firstLine="0"/>
        <w:jc w:val="center"/>
        <w:keepLines w:val="0"/>
        <w:keepNext w:val="0"/>
        <w:pageBreakBefore w:val="0"/>
        <w:spacing w:line="560" w:lineRule="exact"/>
        <w:shd w:val="clear" w:color="auto"/>
        <w:widowControl w:val="off"/>
        <w:rPr>
          <w:rFonts w:ascii="仿宋_GB2312" w:eastAsia="仿宋_GB2312"/>
          <w:b/>
          <w:color w:val="auto"/>
          <w:spacing w:val="6"/>
          <w:sz w:val="30"/>
          <w:szCs w:val="30"/>
          <w:highlight w:val="none"/>
        </w:rPr>
      </w:pPr>
      <w:r>
        <w:rPr>
          <w:highlight w:val="none"/>
        </w:rPr>
      </w:r>
      <w:bookmarkStart w:id="73" w:name="OLE_LINK14"/>
      <w:r>
        <w:rPr>
          <w:highlight w:val="none"/>
        </w:rPr>
      </w:r>
      <w:bookmarkStart w:id="74" w:name="OLE_LINK13"/>
      <w:r>
        <w:rPr>
          <w:rFonts w:hint="eastAsia" w:ascii="宋体" w:hAnsi="宋体" w:eastAsia="宋体" w:cs="宋体"/>
          <w:b/>
          <w:bCs/>
          <w:color w:val="auto"/>
          <w:sz w:val="28"/>
          <w:szCs w:val="28"/>
          <w:highlight w:val="none"/>
          <w:lang w:val="zh-CN"/>
        </w:rPr>
        <w:t xml:space="preserve">残疾人福利性单位声明函</w:t>
      </w:r>
      <w:bookmarkEnd w:id="73"/>
      <w:r>
        <w:rPr>
          <w:highlight w:val="none"/>
        </w:rPr>
      </w:r>
      <w:bookmarkEnd w:id="74"/>
      <w:r>
        <w:rPr>
          <w:highlight w:val="none"/>
        </w:rPr>
      </w:r>
      <w:r>
        <w:rPr>
          <w:highlight w:val="none"/>
        </w:rP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本单位对上述声明的真实性负责。如有虚假，将依法承担相应责任。</w:t>
      </w:r>
      <w:r>
        <w:rPr>
          <w:highlight w:val="none"/>
        </w:rP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rPr>
          <w:highlight w:val="none"/>
        </w:rPr>
      </w:r>
    </w:p>
    <w:p>
      <w:pPr>
        <w:ind w:firstLine="420"/>
        <w:jc w:val="lef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r>
      <w:r>
        <w:rPr>
          <w:highlight w:val="none"/>
        </w:rPr>
      </w:r>
    </w:p>
    <w:p>
      <w:pPr>
        <w:ind w:firstLine="420"/>
        <w:jc w:val="right"/>
        <w:keepLines w:val="0"/>
        <w:keepNext w:val="0"/>
        <w:pageBreakBefore w:val="0"/>
        <w:spacing w:line="560" w:lineRule="exact"/>
        <w:shd w:val="clear" w:color="auto"/>
        <w:widowControl/>
        <w:rPr>
          <w:rFonts w:hint="eastAsia" w:cs="Arial" w:asciiTheme="minorEastAsia" w:hAnsiTheme="minorEastAsia" w:eastAsiaTheme="minorEastAsia"/>
          <w:color w:val="auto"/>
          <w:sz w:val="24"/>
          <w:szCs w:val="24"/>
          <w:highlight w:val="none"/>
        </w:rPr>
      </w:pPr>
      <w:r>
        <w:rPr>
          <w:rFonts w:hint="eastAsia" w:cs="Arial" w:asciiTheme="minorEastAsia" w:hAnsiTheme="minorEastAsia" w:eastAsiaTheme="minorEastAsia"/>
          <w:color w:val="auto"/>
          <w:sz w:val="24"/>
          <w:szCs w:val="24"/>
          <w:highlight w:val="none"/>
        </w:rPr>
        <w:t xml:space="preserve">               单位名称（盖章）：</w:t>
      </w:r>
      <w:r>
        <w:rPr>
          <w:highlight w:val="none"/>
        </w:rPr>
      </w:r>
    </w:p>
    <w:p>
      <w:pPr>
        <w:ind w:firstLine="420"/>
        <w:jc w:val="center"/>
        <w:keepLines w:val="0"/>
        <w:keepNext w:val="0"/>
        <w:pageBreakBefore w:val="0"/>
        <w:spacing w:line="560" w:lineRule="exact"/>
        <w:shd w:val="clear" w:color="auto"/>
        <w:widowControl/>
        <w:rPr>
          <w:rFonts w:hint="eastAsia" w:ascii="宋体" w:hAnsi="宋体" w:eastAsia="宋体" w:cs="宋体"/>
          <w:color w:val="auto"/>
          <w:sz w:val="24"/>
          <w:szCs w:val="24"/>
          <w:highlight w:val="none"/>
        </w:rPr>
      </w:pPr>
      <w:r>
        <w:rPr>
          <w:rFonts w:hint="eastAsia" w:cs="Arial" w:asciiTheme="minorEastAsia" w:hAnsiTheme="minorEastAsia" w:eastAsiaTheme="minorEastAsia"/>
          <w:color w:val="auto"/>
          <w:sz w:val="24"/>
          <w:szCs w:val="24"/>
          <w:highlight w:val="none"/>
          <w:lang w:val="en-US" w:eastAsia="zh-CN"/>
        </w:rPr>
        <w:t xml:space="preserve">                                        </w:t>
      </w:r>
      <w:r>
        <w:rPr>
          <w:rFonts w:hint="eastAsia" w:cs="Arial" w:asciiTheme="minorEastAsia" w:hAnsiTheme="minorEastAsia" w:eastAsiaTheme="minorEastAsia"/>
          <w:color w:val="auto"/>
          <w:sz w:val="24"/>
          <w:szCs w:val="24"/>
          <w:highlight w:val="none"/>
        </w:rPr>
        <w:t xml:space="preserve">日  期：</w:t>
      </w:r>
      <w:r>
        <w:rPr>
          <w:highlight w:val="none"/>
        </w:rPr>
      </w:r>
    </w:p>
    <w:p>
      <w:pPr>
        <w:ind w:left="0" w:right="0" w:firstLine="560"/>
        <w:jc w:val="left"/>
        <w:pageBreakBefore w:val="0"/>
        <w:spacing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pStyle w:val="714"/>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pStyle w:val="714"/>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属于监狱企业的证明文件</w:t>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（提供由省级以上监狱管理局、戒毒管理局（含新疆生产建设兵团）出具的属于监狱企业的证明 文件）</w:t>
      </w:r>
      <w:r>
        <w:rPr>
          <w:highlight w:val="none"/>
        </w:rP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p>
    <w:p>
      <w:pPr>
        <w:ind w:left="0" w:right="0" w:firstLine="0"/>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关于符合本国产品标准的声明函</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（产品名称1）</w:t>
      </w:r>
      <w:r>
        <w:rPr>
          <w:rStyle w:val="729"/>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生产厂为</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（厂名）</w:t>
      </w:r>
      <w:r>
        <w:rPr>
          <w:rStyle w:val="729"/>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的中国境内生产的组件成本占比≥</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（规定比例）</w:t>
      </w:r>
      <w:r>
        <w:rPr>
          <w:rStyle w:val="729"/>
          <w:rFonts w:hint="eastAsia" w:ascii="宋体" w:hAnsi="宋体" w:eastAsia="宋体" w:cs="宋体"/>
          <w:i w:val="0"/>
          <w:iCs w:val="0"/>
          <w:caps w:val="0"/>
          <w:strike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（关键组件）</w:t>
      </w:r>
      <w:r>
        <w:rPr>
          <w:rStyle w:val="729"/>
          <w:rFonts w:hint="eastAsia" w:ascii="宋体" w:hAnsi="宋体" w:eastAsia="宋体" w:cs="宋体"/>
          <w:i w:val="0"/>
          <w:iCs w:val="0"/>
          <w:caps w:val="0"/>
          <w:strike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在中国境内生产。</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（关键工序）</w:t>
      </w:r>
      <w:r>
        <w:rPr>
          <w:rStyle w:val="729"/>
          <w:rFonts w:hint="eastAsia" w:ascii="宋体" w:hAnsi="宋体" w:eastAsia="宋体" w:cs="宋体"/>
          <w:i w:val="0"/>
          <w:iCs w:val="0"/>
          <w:caps w:val="0"/>
          <w:strike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在中国境内完成。</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strike/>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，生产厂为</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729"/>
          <w:rFonts w:hint="eastAsia" w:ascii="宋体" w:hAnsi="宋体" w:eastAsia="宋体" w:cs="宋体"/>
          <w:i w:val="0"/>
          <w:iCs w:val="0"/>
          <w: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的中国境内生产的组件成本占比≥</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在中国境内生产。</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的</w:t>
      </w:r>
      <w:r>
        <w:rPr>
          <w:rStyle w:val="729"/>
          <w:rFonts w:hint="eastAsia" w:ascii="宋体" w:hAnsi="宋体" w:eastAsia="宋体" w:cs="宋体"/>
          <w:i w:val="0"/>
          <w:iCs w:val="0"/>
          <w:caps w:val="0"/>
          <w:strike/>
          <w:color w:val="auto"/>
          <w:spacing w:val="0"/>
          <w:sz w:val="24"/>
          <w:szCs w:val="24"/>
          <w:highlight w:val="none"/>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highlight w:val="none"/>
          <w:shd w:val="clear" w:color="auto" w:fill="ffffff"/>
          <w:vertAlign w:val="baseline"/>
        </w:rPr>
        <w:t xml:space="preserve">在中国境内完成。</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w:t>
      </w:r>
      <w:r>
        <w:rPr>
          <w:rStyle w:val="729"/>
          <w:color w:val="auto"/>
          <w:highlight w:val="none"/>
          <w:vertAlign w:val="superscript"/>
        </w:rPr>
        <w:t xml:space="preserve">6</w:t>
      </w:r>
      <w:r>
        <w:rPr>
          <w:highlight w:val="none"/>
        </w:rPr>
      </w:r>
    </w:p>
    <w:p>
      <w:pPr>
        <w:pStyle w:val="721"/>
        <w:ind w:left="0" w:right="0" w:firstLine="420"/>
        <w:keepLines w:val="0"/>
        <w:keepNext w:val="0"/>
        <w:pageBreakBefore w:val="0"/>
        <w:spacing w:before="24" w:beforeAutospacing="0" w:after="24" w:afterAutospacing="0" w:line="56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rPr>
          <w:highlight w:val="none"/>
        </w:rPr>
      </w:r>
    </w:p>
    <w:p>
      <w:pPr>
        <w:pStyle w:val="721"/>
        <w:ind w:left="0" w:right="0" w:firstLine="0"/>
        <w:jc w:val="right"/>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公司（单位）名称（盖章）：</w:t>
      </w:r>
      <w:r>
        <w:rPr>
          <w:highlight w:val="none"/>
        </w:rPr>
      </w:r>
    </w:p>
    <w:p>
      <w:pPr>
        <w:pStyle w:val="721"/>
        <w:ind w:left="0" w:right="0" w:firstLine="0"/>
        <w:jc w:val="right"/>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highlight w:val="none"/>
        </w:rPr>
      </w:r>
    </w:p>
    <w:p>
      <w:pPr>
        <w:pStyle w:val="721"/>
        <w:ind w:left="0" w:right="0" w:firstLine="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highlight w:val="none"/>
          <w:shd w:val="clear" w:color="auto" w:fill="ffffff"/>
          <w:vertAlign w:val="baseline"/>
        </w:rPr>
        <w:t xml:space="preserve">__________________</w:t>
      </w:r>
      <w:r>
        <w:rPr>
          <w:highlight w:val="none"/>
        </w:rPr>
      </w:r>
    </w:p>
    <w:p>
      <w:pPr>
        <w:pStyle w:val="721"/>
        <w:ind w:left="0" w:right="0" w:firstLine="42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vertAlign w:val="baseline"/>
        </w:rPr>
        <w:t xml:space="preserve">1.产品如有型号，请在“产品名称”栏一并填写。</w:t>
      </w:r>
      <w:r>
        <w:rPr>
          <w:highlight w:val="none"/>
        </w:rPr>
      </w:r>
    </w:p>
    <w:p>
      <w:pPr>
        <w:pStyle w:val="721"/>
        <w:ind w:left="0" w:right="0" w:firstLine="420"/>
        <w:keepLines w:val="0"/>
        <w:keepNext w:val="0"/>
        <w:spacing w:before="24" w:beforeAutospacing="0" w:after="24" w:afterAutospacing="0" w:line="360" w:lineRule="auto"/>
        <w:shd w:val="clear" w:color="auto"/>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vertAlign w:val="baseline"/>
        </w:rPr>
        <w:t xml:space="preserve">2.生产厂名与厂址应与生产厂营业执照载明的相关信息保持一致。</w:t>
      </w:r>
      <w:r>
        <w:rPr>
          <w:highlight w:val="none"/>
        </w:rPr>
      </w:r>
    </w:p>
    <w:p>
      <w:pPr>
        <w:pStyle w:val="721"/>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3.该产品的中国境内生产的组件成本占比相关要求实施前，“规定比例”栏可不填。</w:t>
      </w:r>
      <w:r>
        <w:rPr>
          <w:highlight w:val="none"/>
        </w:rPr>
      </w:r>
    </w:p>
    <w:p>
      <w:pPr>
        <w:pStyle w:val="721"/>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4.该产品的关键组件要求实施前，“关键组件”栏可不填。</w:t>
      </w:r>
      <w:r>
        <w:rPr>
          <w:highlight w:val="none"/>
        </w:rPr>
      </w:r>
    </w:p>
    <w:p>
      <w:pPr>
        <w:pStyle w:val="721"/>
        <w:ind w:left="0" w:right="0" w:firstLine="420"/>
        <w:keepLines w:val="0"/>
        <w:keepNext w:val="0"/>
        <w:spacing w:before="24" w:beforeAutospacing="0" w:after="24" w:afterAutospacing="0" w:line="360" w:lineRule="auto"/>
        <w:shd w:val="clear" w:color="auto"/>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vertAlign w:val="baseline"/>
        </w:rPr>
        <w:t xml:space="preserve">5.该产品的关键工序要求实施前，“关键工序”栏可不填。</w:t>
      </w:r>
      <w:r>
        <w:rPr>
          <w:highlight w:val="none"/>
        </w:rPr>
      </w:r>
    </w:p>
    <w:p>
      <w:pPr>
        <w:pStyle w:val="721"/>
        <w:ind w:left="0" w:right="0" w:firstLine="420"/>
        <w:keepLines w:val="0"/>
        <w:keepNext w:val="0"/>
        <w:spacing w:before="24" w:beforeAutospacing="0" w:after="24" w:afterAutospacing="0" w:line="360" w:lineRule="auto"/>
        <w:shd w:val="clear" w:color="auto"/>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rPr>
          <w:highlight w:val="none"/>
        </w:rPr>
      </w:r>
    </w:p>
    <w:p>
      <w:pPr>
        <w:shd w:val="clear" w:color="auto"/>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zh-CN" w:eastAsia="zh-CN"/>
        </w:rPr>
        <w:t xml:space="preserve">本项目的特定资格要求：</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val="en-US" w:eastAsia="zh-CN"/>
        </w:rPr>
        <w:t xml:space="preserve">须具有</w:t>
      </w:r>
      <w:r>
        <w:rPr>
          <w:rFonts w:hint="eastAsia" w:ascii="宋体" w:hAnsi="宋体" w:eastAsia="宋体" w:cs="宋体"/>
          <w:color w:val="auto"/>
          <w:sz w:val="24"/>
          <w:szCs w:val="24"/>
          <w:highlight w:val="none"/>
        </w:rPr>
        <w:t xml:space="preserve">建筑机电安装工程专业承包二级及以上资质（提供资质证书复印件加盖公章）；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（2）企业具备安全生产条件，并取得安全生产许可证（提供证书复印件加盖公章）；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（3）企业具备《承装（修、试）电力设施许可证》，承装三级及以上、承修三级及以上、承试三级及以上资质（提供证书复印件加盖公章）；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（4）项目经理资质类别和等级：注册建造师证机电工程二级(含)以上资质且具有安全生产考核合格证书（B类）（提供证书复印件</w:t>
      </w:r>
      <w:r>
        <w:rPr>
          <w:rFonts w:hint="eastAsia" w:ascii="宋体" w:hAnsi="宋体" w:cs="宋体"/>
          <w:color w:val="auto"/>
          <w:sz w:val="24"/>
          <w:szCs w:val="24"/>
          <w:highlight w:val="none"/>
          <w:lang w:val="en-US" w:eastAsia="zh-CN"/>
        </w:rPr>
        <w:t xml:space="preserve">及供应商为其缴纳社保证明材料</w:t>
      </w:r>
      <w:r>
        <w:rPr>
          <w:rFonts w:hint="eastAsia" w:ascii="宋体" w:hAnsi="宋体" w:eastAsia="宋体" w:cs="宋体"/>
          <w:color w:val="auto"/>
          <w:sz w:val="24"/>
          <w:szCs w:val="24"/>
          <w:highlight w:val="none"/>
        </w:rPr>
        <w:t xml:space="preserve">加盖公章）</w:t>
      </w:r>
      <w:r>
        <w:rPr>
          <w:highlight w:val="none"/>
        </w:rPr>
      </w:r>
    </w:p>
    <w:p>
      <w:pPr>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zh-CN" w:eastAsia="zh-CN"/>
        </w:rPr>
        <w:br w:type="page" w:clear="all"/>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符合性审查索引表</w:t>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en-US" w:eastAsia="zh-CN"/>
        </w:rPr>
      </w:r>
      <w:r>
        <w:rPr>
          <w:highlight w:val="none"/>
        </w:rPr>
      </w:r>
    </w:p>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en-US" w:eastAsia="zh-CN"/>
        </w:rPr>
        <w:t xml:space="preserve">符合性审查索引表</w:t>
      </w:r>
      <w:r>
        <w:rPr>
          <w:highlight w:val="none"/>
        </w:rPr>
      </w:r>
    </w:p>
    <w:tbl>
      <w:tblPr>
        <w:tblStyle w:val="692"/>
        <w:tblW w:w="9453" w:type="dxa"/>
        <w:jc w:val="center"/>
        <w:tblLayout w:type="fixed"/>
        <w:tblCellMar>
          <w:left w:w="10" w:type="dxa"/>
          <w:top w:w="0" w:type="dxa"/>
          <w:right w:w="10" w:type="dxa"/>
          <w:bottom w:w="0" w:type="dxa"/>
        </w:tblCellMar>
        <w:tblLook w:val="04A0" w:firstRow="1" w:lastRow="0" w:firstColumn="1" w:lastColumn="0" w:noHBand="0" w:noVBand="1"/>
      </w:tblPr>
      <w:tblGrid>
        <w:gridCol w:w="760"/>
        <w:gridCol w:w="5947"/>
        <w:gridCol w:w="2746"/>
      </w:tblGrid>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t xml:space="preserve">序号</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t xml:space="preserve">资格性审查项目</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t xml:space="preserve">在响应文件中的页码位置</w:t>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一</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商务要求中“★”号商务条款满足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技术要求中“★”号技术条款满足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三</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其他实质性内容</w:t>
            </w:r>
            <w:r>
              <w:rPr>
                <w:rFonts w:hint="eastAsia" w:ascii="宋体" w:hAnsi="宋体" w:eastAsia="宋体" w:cs="宋体"/>
                <w:color w:val="auto"/>
                <w:highlight w:val="none"/>
                <w:lang w:val="en-US" w:eastAsia="zh-CN"/>
              </w:rPr>
              <w:t xml:space="preserve">不招标文件</w:t>
            </w:r>
            <w:r>
              <w:rPr>
                <w:rFonts w:hint="eastAsia" w:ascii="宋体" w:hAnsi="宋体" w:eastAsia="宋体" w:cs="宋体"/>
                <w:color w:val="auto"/>
                <w:highlight w:val="none"/>
              </w:rPr>
              <w:t xml:space="preserve">要求</w:t>
            </w:r>
            <w:r>
              <w:rPr>
                <w:rFonts w:hint="eastAsia" w:ascii="宋体" w:hAnsi="宋体" w:eastAsia="宋体" w:cs="宋体"/>
                <w:color w:val="auto"/>
                <w:highlight w:val="none"/>
                <w:lang w:val="en-US" w:eastAsia="zh-CN"/>
              </w:rPr>
              <w:t xml:space="preserve">的按照无效投标处理</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lang w:val="en-US" w:eastAsia="zh-CN"/>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jc w:val="center"/>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jc w:val="left"/>
              <w:keepLines w:val="0"/>
              <w:keepNext w:val="0"/>
              <w:pageBreakBefore w:val="0"/>
              <w:spacing w:line="56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未按照招标文件规定要求密封、签署、盖章的；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highlight w:val="none"/>
              </w:rPr>
              <w:t xml:space="preserve">报价超过招标文件中规定的预算金额或者最高限价的；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highlight w:val="none"/>
              </w:rPr>
              <w:t xml:space="preserve">投标文件含有采购人不能接受的附加条件的；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highlight w:val="none"/>
              </w:rPr>
              <w:outlineLvl w:val="9"/>
            </w:pPr>
            <w:r>
              <w:rPr>
                <w:rFonts w:hint="eastAsia"/>
                <w:color w:val="auto"/>
                <w:highlight w:val="none"/>
              </w:rPr>
              <w:t xml:space="preserve">不同投标人的投标文件由同一单位或者个人编制；</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不同投标人委托同一单位或者个人办理投标事宜；</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不同投标人的投标文件载明的项目管理成员或者联系人员为同一人；</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不同投标人的投标文件异常一致或者投标报价呈规律性差异；</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不同投标人的投标文件相互混装；</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服务承诺和付款条件未响应招标要求的；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提供虚假材料的（包括营业执照、财务报表、资格证明文件等）；</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投标文件内容不全或不符合招标文件中规定的其他实质性要求的；</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760"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5947" w:type="dxa"/>
            <w:vAlign w:val="center"/>
            <w:textDirection w:val="lrTb"/>
            <w:noWrap w:val="false"/>
          </w:tcPr>
          <w:p>
            <w:pPr>
              <w:ind w:left="0" w:right="0" w:firstLine="0"/>
              <w:jc w:val="left"/>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法律、法规和招标文件规定的其他无效情形；</w:t>
            </w:r>
            <w:r>
              <w:rPr>
                <w:highlight w:val="none"/>
              </w:rP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746" w:type="dxa"/>
            <w:vAlign w:val="center"/>
            <w:textDirection w:val="lrTb"/>
            <w:noWrap w:val="false"/>
          </w:tcPr>
          <w:p>
            <w:pPr>
              <w:ind w:left="0" w:right="0" w:firstLine="0"/>
              <w:jc w:val="center"/>
              <w:keepLines w:val="0"/>
              <w:keepNext w:val="0"/>
              <w:pageBreakBefore w:val="0"/>
              <w:spacing w:line="56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bl>
    <w:p>
      <w:pPr>
        <w:pStyle w:val="714"/>
        <w:shd w:val="clear" w:color="auto"/>
        <w:rPr>
          <w:rFonts w:hint="eastAsia"/>
          <w:color w:val="auto"/>
          <w:highlight w:val="none"/>
        </w:rPr>
      </w:pPr>
      <w:r>
        <w:rPr>
          <w:rFonts w:hint="eastAsia"/>
          <w:color w:val="auto"/>
          <w:highlight w:val="none"/>
        </w:rPr>
      </w:r>
      <w:r>
        <w:rPr>
          <w:highlight w:val="none"/>
        </w:rPr>
      </w:r>
    </w:p>
    <w:p>
      <w:pPr>
        <w:ind w:left="0" w:right="0" w:firstLine="480"/>
        <w:jc w:val="left"/>
        <w:keepLines w:val="0"/>
        <w:keepNext w:val="0"/>
        <w:pageBreakBefore w:val="0"/>
        <w:spacing w:line="560" w:lineRule="exact"/>
        <w:shd w:val="clear" w:color="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名称（公章）：</w:t>
      </w:r>
      <w:r>
        <w:rPr>
          <w:highlight w:val="none"/>
        </w:rPr>
      </w:r>
    </w:p>
    <w:p>
      <w:pPr>
        <w:ind w:left="0" w:right="0" w:firstLine="480"/>
        <w:jc w:val="left"/>
        <w:pageBreakBefore w:val="0"/>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 xml:space="preserve">日    期：   年    月    日</w:t>
      </w:r>
      <w:r>
        <w:rPr>
          <w:highlight w:val="none"/>
        </w:rP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highlight w:val="none"/>
        </w:rPr>
      </w:r>
    </w:p>
    <w:p>
      <w:pPr>
        <w:ind w:firstLine="482"/>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投标人应当根据实际情况和招标文件内容提供符合性审查证明文件，并标注相关证明材料在响应文件的位置页码。“按照招标文件要求密封、签署、盖章”等无法填写具体页码的符合性审查项目，可以不填写。投标人不得虚报、瞒报、漏报或虚假承诺。</w:t>
      </w:r>
      <w:r>
        <w:rPr>
          <w:highlight w:val="none"/>
        </w:rPr>
      </w:r>
    </w:p>
    <w:p>
      <w:pPr>
        <w:ind w:left="0" w:right="0" w:firstLine="0"/>
        <w:jc w:val="left"/>
        <w:keepLines w:val="0"/>
        <w:keepNext w:val="0"/>
        <w:pageBreakBefore w:val="0"/>
        <w:spacing w:line="560" w:lineRule="exact"/>
        <w:shd w:val="clear" w:color="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28"/>
          <w:szCs w:val="28"/>
          <w:highlight w:val="none"/>
          <w:lang w:eastAsia="zh-CN"/>
        </w:rPr>
        <w:t xml:space="preserve">附件</w:t>
      </w:r>
      <w:r>
        <w:rPr>
          <w:rFonts w:hint="eastAsia" w:ascii="宋体" w:hAnsi="宋体" w:eastAsia="宋体" w:cs="宋体"/>
          <w:b/>
          <w:color w:val="auto"/>
          <w:sz w:val="28"/>
          <w:szCs w:val="28"/>
          <w:highlight w:val="none"/>
          <w:lang w:val="en-US" w:eastAsia="zh-CN"/>
        </w:rPr>
        <w:t xml:space="preserve">十三</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需要的其他证明文件及材料（格式自拟）</w:t>
      </w:r>
      <w:bookmarkEnd w:id="70"/>
      <w:r>
        <w:rPr>
          <w:highlight w:val="none"/>
        </w:rPr>
      </w:r>
      <w:r>
        <w:rPr>
          <w:highlight w:val="none"/>
        </w:rPr>
      </w:r>
    </w:p>
    <w:p>
      <w:pPr>
        <w:shd w:val="clear" w:color="auto"/>
        <w:rPr>
          <w:rFonts w:hint="default" w:asciiTheme="minorEastAsia" w:hAnsiTheme="minorEastAsia" w:eastAsiaTheme="minorEastAsia" w:cstheme="minorEastAsia"/>
          <w:b/>
          <w:color w:val="auto"/>
          <w:sz w:val="28"/>
          <w:szCs w:val="28"/>
          <w:highlight w:val="none"/>
        </w:rPr>
        <w:outlineLvl w:val="1"/>
      </w:pPr>
      <w:r>
        <w:rPr>
          <w:rFonts w:hint="eastAsia" w:asciiTheme="minorEastAsia" w:hAnsiTheme="minorEastAsia" w:eastAsiaTheme="minorEastAsia" w:cstheme="minorEastAsia"/>
          <w:b/>
          <w:color w:val="auto"/>
          <w:sz w:val="28"/>
          <w:szCs w:val="28"/>
          <w:highlight w:val="none"/>
          <w:lang w:val="en-US" w:eastAsia="zh-CN"/>
        </w:rPr>
        <w:t xml:space="preserve">1、项目实施承诺函（格式自拟）</w:t>
      </w:r>
      <w:r>
        <w:rPr>
          <w:highlight w:val="none"/>
        </w:rPr>
      </w:r>
    </w:p>
    <w:sectPr>
      <w:foot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 w:line="213" w:lineRule="auto"/>
      <w:rPr>
        <w:rFonts w:ascii="仿宋" w:hAnsi="仿宋" w:eastAsia="仿宋" w:cs="仿宋"/>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 w:line="213" w:lineRule="auto"/>
      <w:rPr>
        <w:rFonts w:ascii="仿宋" w:hAnsi="仿宋" w:eastAsia="仿宋" w:cs="仿宋"/>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1"/>
    <w:link w:val="689"/>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1"/>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1"/>
    <w:link w:val="16"/>
    <w:uiPriority w:val="9"/>
    <w:rPr>
      <w:rFonts w:ascii="Arial" w:hAnsi="Arial" w:eastAsia="Arial" w:cs="Arial"/>
      <w:sz w:val="30"/>
      <w:szCs w:val="30"/>
    </w:rPr>
  </w:style>
  <w:style w:type="character" w:styleId="19">
    <w:name w:val="Heading 4 Char"/>
    <w:basedOn w:val="691"/>
    <w:link w:val="690"/>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1"/>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1"/>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1"/>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1"/>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1"/>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1"/>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1"/>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1"/>
    <w:link w:val="701"/>
    <w:uiPriority w:val="99"/>
  </w:style>
  <w:style w:type="character" w:styleId="44">
    <w:name w:val="Footer Char"/>
    <w:basedOn w:val="691"/>
    <w:link w:val="699"/>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8">
    <w:name w:val="Table Grid Light"/>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03"/>
    <w:uiPriority w:val="99"/>
    <w:rPr>
      <w:sz w:val="18"/>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1"/>
    <w:uiPriority w:val="99"/>
    <w:semiHidden/>
    <w:unhideWhenUsed/>
    <w:rPr>
      <w:vertAlign w:val="superscript"/>
    </w:r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Calibri" w:hAnsi="Calibri" w:eastAsia="宋体" w:cs="宋体"/>
      <w:sz w:val="21"/>
      <w:szCs w:val="22"/>
      <w:lang w:val="en-US" w:eastAsia="zh-CN" w:bidi="ar-SA"/>
    </w:rPr>
  </w:style>
  <w:style w:type="paragraph" w:styleId="689">
    <w:name w:val="Heading 1"/>
    <w:basedOn w:val="688"/>
    <w:next w:val="688"/>
    <w:uiPriority w:val="0"/>
    <w:qFormat/>
    <w:pPr>
      <w:keepLines/>
      <w:keepNext/>
      <w:spacing w:before="340" w:after="330" w:line="578" w:lineRule="auto"/>
      <w:outlineLvl w:val="0"/>
    </w:pPr>
    <w:rPr>
      <w:b/>
      <w:bCs/>
      <w:sz w:val="44"/>
      <w:szCs w:val="44"/>
    </w:rPr>
  </w:style>
  <w:style w:type="paragraph" w:styleId="690">
    <w:name w:val="Heading 4"/>
    <w:basedOn w:val="688"/>
    <w:next w:val="688"/>
    <w:uiPriority w:val="0"/>
    <w:qFormat/>
    <w:pPr>
      <w:keepLines/>
      <w:keepNext/>
      <w:spacing w:before="280" w:after="290" w:line="376" w:lineRule="auto"/>
      <w:outlineLvl w:val="3"/>
    </w:pPr>
    <w:rPr>
      <w:rFonts w:ascii="Arial" w:hAnsi="Arial" w:eastAsia="黑体" w:cs="Arial"/>
      <w:b/>
      <w:bCs/>
      <w:sz w:val="28"/>
      <w:szCs w:val="28"/>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8"/>
    <w:uiPriority w:val="0"/>
    <w:qFormat/>
    <w:pPr>
      <w:ind w:firstLine="420"/>
    </w:pPr>
    <w:rPr>
      <w:rFonts w:cs="Times New Roman"/>
      <w:szCs w:val="20"/>
    </w:rPr>
  </w:style>
  <w:style w:type="paragraph" w:styleId="694">
    <w:name w:val="annotation text"/>
    <w:basedOn w:val="688"/>
    <w:link w:val="723"/>
    <w:uiPriority w:val="0"/>
    <w:qFormat/>
    <w:pPr>
      <w:jc w:val="left"/>
    </w:pPr>
  </w:style>
  <w:style w:type="paragraph" w:styleId="695">
    <w:name w:val="Body Text"/>
    <w:basedOn w:val="688"/>
    <w:uiPriority w:val="0"/>
    <w:unhideWhenUsed/>
    <w:qFormat/>
    <w:pPr>
      <w:spacing w:after="120"/>
    </w:pPr>
  </w:style>
  <w:style w:type="paragraph" w:styleId="696">
    <w:name w:val="Body Text Indent"/>
    <w:basedOn w:val="688"/>
    <w:uiPriority w:val="99"/>
    <w:qFormat/>
    <w:pPr>
      <w:ind w:firstLine="574"/>
      <w:spacing w:line="312" w:lineRule="atLeast"/>
    </w:pPr>
    <w:rPr>
      <w:rFonts w:ascii="宋体"/>
      <w:sz w:val="28"/>
    </w:rPr>
  </w:style>
  <w:style w:type="paragraph" w:styleId="697">
    <w:name w:val="Plain Text"/>
    <w:basedOn w:val="688"/>
    <w:uiPriority w:val="0"/>
    <w:qFormat/>
    <w:rPr>
      <w:rFonts w:ascii="宋体" w:hAnsi="Courier New" w:cs="Times New Roman"/>
      <w:sz w:val="20"/>
      <w:szCs w:val="21"/>
    </w:rPr>
  </w:style>
  <w:style w:type="paragraph" w:styleId="698">
    <w:name w:val="Balloon Text"/>
    <w:basedOn w:val="688"/>
    <w:link w:val="722"/>
    <w:uiPriority w:val="0"/>
    <w:qFormat/>
    <w:rPr>
      <w:sz w:val="18"/>
      <w:szCs w:val="18"/>
    </w:rPr>
  </w:style>
  <w:style w:type="paragraph" w:styleId="699">
    <w:name w:val="Footer"/>
    <w:basedOn w:val="688"/>
    <w:uiPriority w:val="0"/>
    <w:qFormat/>
    <w:pPr>
      <w:jc w:val="left"/>
      <w:tabs>
        <w:tab w:val="center" w:pos="4153" w:leader="none"/>
        <w:tab w:val="right" w:pos="8306" w:leader="none"/>
      </w:tabs>
    </w:pPr>
    <w:rPr>
      <w:sz w:val="18"/>
    </w:rPr>
  </w:style>
  <w:style w:type="paragraph" w:styleId="700">
    <w:name w:val="envelope return"/>
    <w:basedOn w:val="688"/>
    <w:uiPriority w:val="0"/>
    <w:qFormat/>
    <w:rPr>
      <w:rFonts w:ascii="Arial" w:hAnsi="Arial" w:eastAsia="宋体" w:cs="宋体"/>
    </w:rPr>
  </w:style>
  <w:style w:type="paragraph" w:styleId="701">
    <w:name w:val="Header"/>
    <w:basedOn w:val="68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2">
    <w:name w:val="toc 1"/>
    <w:basedOn w:val="688"/>
    <w:next w:val="688"/>
    <w:uiPriority w:val="39"/>
    <w:qFormat/>
  </w:style>
  <w:style w:type="paragraph" w:styleId="703">
    <w:name w:val="footnote text"/>
    <w:basedOn w:val="688"/>
    <w:uiPriority w:val="0"/>
    <w:qFormat/>
    <w:pPr>
      <w:jc w:val="left"/>
    </w:pPr>
    <w:rPr>
      <w:rFonts w:ascii="Times New Roman" w:hAnsi="Times New Roman" w:cs="Times New Roman"/>
      <w:sz w:val="18"/>
      <w:szCs w:val="18"/>
    </w:rPr>
  </w:style>
  <w:style w:type="paragraph" w:styleId="704">
    <w:name w:val="toc 2"/>
    <w:basedOn w:val="688"/>
    <w:next w:val="688"/>
    <w:uiPriority w:val="0"/>
    <w:qFormat/>
    <w:pPr>
      <w:ind w:left="420"/>
    </w:pPr>
  </w:style>
  <w:style w:type="paragraph" w:styleId="705">
    <w:name w:val="Body Text 2"/>
    <w:basedOn w:val="688"/>
    <w:uiPriority w:val="0"/>
    <w:qFormat/>
    <w:pPr>
      <w:jc w:val="center"/>
    </w:pPr>
    <w:rPr>
      <w:rFonts w:ascii="Times New Roman" w:hAnsi="Times New Roman" w:cs="Times New Roman"/>
      <w:b/>
      <w:bCs/>
      <w:sz w:val="72"/>
      <w:szCs w:val="20"/>
    </w:rPr>
  </w:style>
  <w:style w:type="paragraph" w:styleId="706">
    <w:name w:val="annotation subject"/>
    <w:basedOn w:val="694"/>
    <w:next w:val="694"/>
    <w:link w:val="724"/>
    <w:uiPriority w:val="0"/>
    <w:qFormat/>
    <w:rPr>
      <w:b/>
      <w:bCs/>
    </w:rPr>
  </w:style>
  <w:style w:type="paragraph" w:styleId="707">
    <w:name w:val="Body Text First Indent"/>
    <w:basedOn w:val="695"/>
    <w:uiPriority w:val="0"/>
    <w:qFormat/>
    <w:pPr>
      <w:ind w:firstLine="420"/>
    </w:pPr>
    <w:rPr>
      <w:rFonts w:ascii="Times New Roman" w:hAnsi="Times New Roman" w:cs="Times New Roman"/>
      <w:sz w:val="20"/>
      <w:szCs w:val="24"/>
    </w:rPr>
  </w:style>
  <w:style w:type="paragraph" w:styleId="708">
    <w:name w:val="Body Text First Indent 2"/>
    <w:basedOn w:val="696"/>
    <w:uiPriority w:val="99"/>
    <w:qFormat/>
    <w:pPr>
      <w:ind w:firstLine="420"/>
    </w:pPr>
    <w:rPr>
      <w:rFonts w:ascii="Times New Roman" w:hAnsi="Times New Roman" w:eastAsia="宋体" w:cs="宋体"/>
      <w:szCs w:val="24"/>
    </w:rPr>
  </w:style>
  <w:style w:type="table" w:styleId="709">
    <w:name w:val="Table Grid"/>
    <w:basedOn w:val="6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Hyperlink"/>
    <w:basedOn w:val="691"/>
    <w:uiPriority w:val="99"/>
    <w:qFormat/>
    <w:rPr>
      <w:color w:val="0000ff"/>
      <w:u w:val="single"/>
    </w:rPr>
  </w:style>
  <w:style w:type="character" w:styleId="711">
    <w:name w:val="annotation reference"/>
    <w:basedOn w:val="691"/>
    <w:uiPriority w:val="0"/>
    <w:qFormat/>
    <w:rPr>
      <w:sz w:val="21"/>
      <w:szCs w:val="21"/>
    </w:rPr>
  </w:style>
  <w:style w:type="character" w:styleId="712">
    <w:name w:val="footnote reference"/>
    <w:uiPriority w:val="0"/>
    <w:qFormat/>
    <w:rPr>
      <w:vertAlign w:val="superscript"/>
    </w:rPr>
  </w:style>
  <w:style w:type="paragraph" w:styleId="713" w:customStyle="1">
    <w:name w:val="_Style 1"/>
    <w:basedOn w:val="688"/>
    <w:uiPriority w:val="0"/>
    <w:qFormat/>
    <w:pPr>
      <w:ind w:firstLine="420"/>
    </w:pPr>
  </w:style>
  <w:style w:type="paragraph" w:styleId="714" w:customStyle="1">
    <w:name w:val="首行缩进"/>
    <w:basedOn w:val="688"/>
    <w:uiPriority w:val="99"/>
    <w:qFormat/>
    <w:pPr>
      <w:ind w:firstLine="480"/>
      <w:spacing w:line="360" w:lineRule="auto"/>
    </w:pPr>
    <w:rPr>
      <w:sz w:val="24"/>
      <w:szCs w:val="24"/>
    </w:rPr>
  </w:style>
  <w:style w:type="paragraph" w:styleId="715" w:customStyle="1">
    <w:name w:val="索引 411"/>
    <w:basedOn w:val="688"/>
    <w:next w:val="688"/>
    <w:uiPriority w:val="99"/>
    <w:unhideWhenUsed/>
    <w:qFormat/>
    <w:pPr>
      <w:jc w:val="left"/>
    </w:pPr>
    <w:rPr>
      <w:sz w:val="24"/>
      <w:szCs w:val="24"/>
    </w:rPr>
  </w:style>
  <w:style w:type="paragraph" w:styleId="716" w:customStyle="1">
    <w:name w:val="索引 41"/>
    <w:basedOn w:val="688"/>
    <w:next w:val="688"/>
    <w:uiPriority w:val="0"/>
    <w:semiHidden/>
    <w:qFormat/>
    <w:pPr>
      <w:ind w:left="1260"/>
    </w:pPr>
    <w:rPr>
      <w:rFonts w:eastAsia="Calibri"/>
      <w:sz w:val="20"/>
      <w:lang w:val="zh-CN"/>
    </w:rPr>
  </w:style>
  <w:style w:type="character" w:styleId="717" w:customStyle="1">
    <w:name w:val="NormalCharacter"/>
    <w:uiPriority w:val="0"/>
    <w:qFormat/>
  </w:style>
  <w:style w:type="paragraph" w:styleId="718" w:customStyle="1">
    <w:name w:val="Table Text"/>
    <w:basedOn w:val="688"/>
    <w:uiPriority w:val="0"/>
    <w:semiHidden/>
    <w:qFormat/>
    <w:rPr>
      <w:rFonts w:ascii="宋体" w:hAnsi="宋体"/>
      <w:sz w:val="14"/>
      <w:szCs w:val="14"/>
      <w:lang w:eastAsia="en-US"/>
    </w:rPr>
  </w:style>
  <w:style w:type="table" w:styleId="719" w:customStyle="1">
    <w:name w:val="Table Normal"/>
    <w:uiPriority w:val="0"/>
    <w:semiHidden/>
    <w:unhideWhenUsed/>
    <w:qFormat/>
    <w:tblPr>
      <w:tblCellMar>
        <w:left w:w="0" w:type="dxa"/>
        <w:top w:w="0" w:type="dxa"/>
        <w:right w:w="0" w:type="dxa"/>
        <w:bottom w:w="0" w:type="dxa"/>
      </w:tblCellMar>
    </w:tblPr>
  </w:style>
  <w:style w:type="paragraph" w:styleId="720"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721" w:customStyle="1">
    <w:name w:val="普通(网站)1"/>
    <w:basedOn w:val="688"/>
    <w:uiPriority w:val="99"/>
    <w:qFormat/>
    <w:pPr>
      <w:jc w:val="left"/>
      <w:spacing w:before="100" w:beforeAutospacing="1" w:after="100" w:afterAutospacing="1"/>
      <w:widowControl/>
    </w:pPr>
    <w:rPr>
      <w:rFonts w:ascii="宋体" w:hAnsi="宋体"/>
      <w:sz w:val="24"/>
      <w:szCs w:val="24"/>
    </w:rPr>
  </w:style>
  <w:style w:type="character" w:styleId="722" w:customStyle="1">
    <w:name w:val="批注框文本 Char"/>
    <w:basedOn w:val="691"/>
    <w:link w:val="698"/>
    <w:uiPriority w:val="0"/>
    <w:qFormat/>
    <w:rPr>
      <w:rFonts w:ascii="Calibri" w:hAnsi="Calibri" w:eastAsia="宋体" w:cs="宋体"/>
      <w:sz w:val="18"/>
      <w:szCs w:val="18"/>
    </w:rPr>
  </w:style>
  <w:style w:type="character" w:styleId="723" w:customStyle="1">
    <w:name w:val="批注文字 Char"/>
    <w:basedOn w:val="691"/>
    <w:link w:val="694"/>
    <w:uiPriority w:val="0"/>
    <w:qFormat/>
    <w:rPr>
      <w:rFonts w:ascii="Calibri" w:hAnsi="Calibri" w:eastAsia="宋体" w:cs="宋体"/>
      <w:sz w:val="21"/>
      <w:szCs w:val="22"/>
    </w:rPr>
  </w:style>
  <w:style w:type="character" w:styleId="724" w:customStyle="1">
    <w:name w:val="批注主题 Char"/>
    <w:basedOn w:val="723"/>
    <w:link w:val="706"/>
    <w:uiPriority w:val="0"/>
    <w:qFormat/>
    <w:rPr>
      <w:rFonts w:ascii="Calibri" w:hAnsi="Calibri" w:eastAsia="宋体" w:cs="宋体"/>
      <w:b/>
      <w:bCs/>
      <w:sz w:val="21"/>
      <w:szCs w:val="22"/>
    </w:rPr>
  </w:style>
  <w:style w:type="paragraph" w:styleId="725" w:customStyle="1">
    <w:name w:val="正文首行缩进 21"/>
    <w:basedOn w:val="726"/>
    <w:next w:val="688"/>
    <w:uiPriority w:val="0"/>
    <w:qFormat/>
    <w:pPr>
      <w:ind w:left="0" w:firstLine="420"/>
      <w:spacing w:after="0" w:line="360" w:lineRule="auto"/>
    </w:pPr>
    <w:rPr>
      <w:rFonts w:ascii="宋体" w:hAnsi="宋体" w:eastAsia="宋体" w:cs="Times New Roman"/>
      <w:szCs w:val="20"/>
    </w:rPr>
  </w:style>
  <w:style w:type="paragraph" w:styleId="726" w:customStyle="1">
    <w:name w:val="正文文本缩进11"/>
    <w:basedOn w:val="688"/>
    <w:next w:val="727"/>
    <w:uiPriority w:val="0"/>
    <w:unhideWhenUsed/>
    <w:qFormat/>
    <w:pPr>
      <w:ind w:left="420"/>
      <w:spacing w:after="120"/>
    </w:pPr>
  </w:style>
  <w:style w:type="paragraph" w:styleId="727" w:customStyle="1">
    <w:name w:val="寄信人地址1"/>
    <w:basedOn w:val="688"/>
    <w:uiPriority w:val="0"/>
    <w:qFormat/>
    <w:rPr>
      <w:rFonts w:ascii="Arial" w:hAnsi="Arial" w:eastAsia="宋体" w:cs="宋体"/>
    </w:rPr>
  </w:style>
  <w:style w:type="paragraph" w:styleId="728" w:customStyle="1">
    <w:name w:val="正文文本 211"/>
    <w:basedOn w:val="688"/>
    <w:uiPriority w:val="99"/>
    <w:qFormat/>
    <w:pPr>
      <w:jc w:val="center"/>
    </w:pPr>
    <w:rPr>
      <w:b/>
      <w:bCs/>
      <w:sz w:val="20"/>
      <w:szCs w:val="20"/>
    </w:rPr>
  </w:style>
  <w:style w:type="character" w:styleId="729" w:customStyle="1">
    <w:name w:val="强调1"/>
    <w:uiPriority w:val="0"/>
    <w:qFormat/>
    <w:rPr>
      <w:i/>
    </w:rPr>
  </w:style>
  <w:style w:type="numbering" w:styleId="17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45506</dc:creator>
  <cp:lastModifiedBy>张欣欣</cp:lastModifiedBy>
  <cp:revision>12</cp:revision>
  <dcterms:created xsi:type="dcterms:W3CDTF">2024-10-25T04:14:00Z</dcterms:created>
  <dcterms:modified xsi:type="dcterms:W3CDTF">2026-05-27T10:00:47Z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3B75ABE8D39B420996B599D636447AA9_13</vt:lpwstr>
  </property>
  <property fmtid="{D5CDD505-2E9C-101B-9397-08002B2CF9AE}" pid="4" name="KSOTemplateDocerSaveRecord">
    <vt:lpwstr>eyJoZGlkIjoiMGNmNmE2Y2RmYTAxZDU1NGNlYWQwNmQ4NTEwYTEwMGEiLCJ1c2VySWQiOiI0NDc2ODQwOTEifQ==</vt:lpwstr>
  </property>
</Properties>
</file>