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hint="default" w:ascii="Times New Roman" w:hAnsi="Times New Roman" w:eastAsia="黑体"/>
          <w:b/>
          <w:bCs/>
          <w:color w:val="000000" w:themeColor="text1"/>
          <w:sz w:val="84"/>
          <w:highlight w:val="none"/>
          <w:lang w:val="en-US" w:eastAsia="zh-CN"/>
          <w14:textFill>
            <w14:solidFill>
              <w14:schemeClr w14:val="tx1"/>
            </w14:solidFill>
          </w14:textFill>
        </w:rPr>
      </w:pPr>
      <w:r>
        <w:rPr>
          <w:rFonts w:hint="default" w:ascii="Times New Roman" w:hAnsi="Times New Roman" w:eastAsia="黑体"/>
          <w:b/>
          <w:bCs/>
          <w:color w:val="000000" w:themeColor="text1"/>
          <w:sz w:val="84"/>
          <w:highlight w:val="none"/>
          <w:lang w:val="en-US" w:eastAsia="zh-CN"/>
          <w14:textFill>
            <w14:solidFill>
              <w14:schemeClr w14:val="tx1"/>
            </w14:solidFill>
          </w14:textFill>
        </w:rPr>
      </w:r>
      <w:r/>
    </w:p>
    <w:p>
      <w:pPr>
        <w:pStyle w:val="1100"/>
        <w:ind w:firstLine="0"/>
        <w:jc w:val="center"/>
        <w:rPr>
          <w:rFonts w:hint="eastAsia" w:ascii="Times New Roman" w:hAnsi="Times New Roman" w:eastAsia="黑体"/>
          <w:b/>
          <w:bCs/>
          <w:color w:val="000000" w:themeColor="text1"/>
          <w:sz w:val="84"/>
          <w:highlight w:val="none"/>
          <w14:textFill>
            <w14:solidFill>
              <w14:schemeClr w14:val="tx1"/>
            </w14:solidFill>
          </w14:textFill>
        </w:rPr>
      </w:pPr>
      <w:r>
        <w:rPr>
          <w:rFonts w:hint="eastAsia" w:ascii="Times New Roman" w:hAnsi="Times New Roman" w:eastAsia="黑体"/>
          <w:b/>
          <w:bCs/>
          <w:color w:val="000000" w:themeColor="text1"/>
          <w:sz w:val="84"/>
          <w:highlight w:val="none"/>
          <w14:textFill>
            <w14:solidFill>
              <w14:schemeClr w14:val="tx1"/>
            </w14:solidFill>
          </w14:textFill>
        </w:rPr>
        <w:t xml:space="preserve">招　标　文　件</w:t>
      </w:r>
      <w:r/>
    </w:p>
    <w:p>
      <w:pPr>
        <w:pStyle w:val="1100"/>
        <w:ind w:left="319" w:firstLine="411"/>
        <w:jc w:val="left"/>
        <w:rPr>
          <w:rFonts w:hint="eastAsia" w:ascii="Times New Roman" w:hAnsi="Times New Roman" w:eastAsia="宋体"/>
          <w:b/>
          <w:bCs/>
          <w:color w:val="000000" w:themeColor="text1"/>
          <w:sz w:val="32"/>
          <w:highlight w:val="non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项目名称：宿豫区各乡镇环卫作业服务外包采购项目（2026年—2029年）</w:t>
      </w:r>
      <w:r/>
    </w:p>
    <w:p>
      <w:pPr>
        <w:ind w:left="-2100" w:firstLine="2570"/>
        <w:spacing w:line="360" w:lineRule="auto"/>
        <w:rPr>
          <w:rFonts w:hint="default" w:eastAsia="宋体"/>
          <w:b/>
          <w:color w:val="000000" w:themeColor="text1"/>
          <w:sz w:val="30"/>
          <w:szCs w:val="30"/>
          <w:highlight w:val="none"/>
          <w:lang w:val="en-US" w:eastAsia="zh-CN"/>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项目编号：JSZC-321311-JSSM-G2026-0001</w:t>
      </w:r>
      <w:r/>
    </w:p>
    <w:p>
      <w:pPr>
        <w:ind w:left="-420" w:firstLine="1656"/>
        <w:jc w:val="both"/>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（服务类项目</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本项目非专门面向中小企业）</w:t>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olor w:val="000000" w:themeColor="text1"/>
          <w:highlight w:val="none"/>
          <w:lang w:val="en-US" w:eastAsia="zh-CN"/>
          <w14:textFill>
            <w14:solidFill>
              <w14:schemeClr w14:val="tx1"/>
            </w14:solidFill>
          </w14:textFill>
        </w:rPr>
        <w:t xml:space="preserve">                                                                                                                                                                                                                                                                </w:t>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采购人：</w:t>
      </w:r>
      <w:r>
        <w:rPr>
          <w:rFonts w:hint="eastAsia" w:ascii="Times New Roman" w:hAnsi="Times New Roman"/>
          <w:b/>
          <w:bCs/>
          <w:color w:val="000000" w:themeColor="text1"/>
          <w:sz w:val="32"/>
          <w:highlight w:val="none"/>
          <w:u w:val="single"/>
          <w:lang w:eastAsia="zh-CN"/>
          <w14:textFill>
            <w14:solidFill>
              <w14:schemeClr w14:val="tx1"/>
            </w14:solidFill>
          </w14:textFill>
        </w:rPr>
        <w:t xml:space="preserve">宿迁市宿豫区城市管理局</w:t>
      </w:r>
      <w:r/>
    </w:p>
    <w:p>
      <w:pPr>
        <w:pStyle w:val="1100"/>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采购代理机构：</w:t>
      </w:r>
      <w:r>
        <w:rPr>
          <w:rFonts w:hint="eastAsia" w:ascii="Times New Roman" w:hAnsi="Times New Roman"/>
          <w:b/>
          <w:bCs/>
          <w:color w:val="000000" w:themeColor="text1"/>
          <w:sz w:val="32"/>
          <w:highlight w:val="none"/>
          <w:u w:val="single"/>
          <w14:textFill>
            <w14:solidFill>
              <w14:schemeClr w14:val="tx1"/>
            </w14:solidFill>
          </w14:textFill>
        </w:rPr>
        <w:t xml:space="preserve">江苏思迈工程咨询管理有限公司</w:t>
      </w:r>
      <w:r/>
    </w:p>
    <w:p>
      <w:pPr>
        <w:pStyle w:val="1100"/>
        <w:ind w:firstLine="3373"/>
        <w:jc w:val="both"/>
        <w:rPr>
          <w:rFonts w:hint="eastAsia" w:ascii="Times New Roman" w:hAnsi="Times New Roman"/>
          <w:b/>
          <w:bCs/>
          <w:color w:val="000000" w:themeColor="text1"/>
          <w:sz w:val="32"/>
          <w:highlight w:val="none"/>
          <w14:textFill>
            <w14:solidFill>
              <w14:schemeClr w14:val="tx1"/>
            </w14:solidFill>
          </w14:textFill>
        </w:rPr>
      </w:pPr>
      <w:r>
        <w:rPr>
          <w:rFonts w:hint="eastAsia" w:ascii="Times New Roman" w:hAnsi="Times New Roman"/>
          <w:b/>
          <w:bCs/>
          <w:color w:val="000000" w:themeColor="text1"/>
          <w:sz w:val="32"/>
          <w:highlight w:val="none"/>
          <w:u w:val="single"/>
          <w14:textFill>
            <w14:solidFill>
              <w14:schemeClr w14:val="tx1"/>
            </w14:solidFill>
          </w14:textFill>
        </w:rPr>
        <w:t xml:space="preserve">202</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年</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月</w:t>
      </w:r>
      <w:r/>
    </w:p>
    <w:p>
      <w:pPr>
        <w:pStyle w:val="1100"/>
        <w:ind w:firstLine="0"/>
        <w:rPr>
          <w:rFonts w:hint="eastAsia" w:ascii="Times New Roman" w:hAnsi="Times New Roman"/>
          <w:color w:val="000000" w:themeColor="text1"/>
          <w:highlight w:val="none"/>
          <w:u w:val="singl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w:t>
      </w:r>
      <w:r/>
    </w:p>
    <w:p>
      <w:pPr>
        <w:pStyle w:val="1100"/>
        <w:ind w:firstLine="0"/>
        <w:jc w:val="cente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1262"/>
        <w:jc w:val="both"/>
        <w:rPr>
          <w:rFonts w:hint="eastAsia"/>
          <w:color w:val="000000" w:themeColor="text1"/>
          <w:highlight w:val="none"/>
          <w14:textFill>
            <w14:solidFill>
              <w14:schemeClr w14:val="tx1"/>
            </w14:solidFill>
          </w14:textFill>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479757206"/>
      <w:r/>
      <w:bookmarkStart w:id="2" w:name="_Toc20823272"/>
      <w:r/>
      <w:bookmarkStart w:id="3" w:name="_Toc513029200"/>
      <w:r/>
      <w:bookmarkStart w:id="4" w:name="_Toc523127445"/>
      <w:r/>
      <w:bookmarkStart w:id="5" w:name="_Toc16938516"/>
      <w:r/>
      <w:r/>
    </w:p>
    <w:p>
      <w:pPr>
        <w:pStyle w:val="1100"/>
        <w:ind w:firstLine="1262"/>
        <w:jc w:val="both"/>
        <w:rPr>
          <w:rFonts w:ascii="Times New Roman" w:hAnsi="Times New Roman"/>
          <w:b/>
          <w:bCs/>
          <w:color w:val="000000" w:themeColor="text1"/>
          <w:sz w:val="44"/>
          <w:szCs w:val="4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目</w:t>
      </w:r>
      <w:r>
        <w:rPr>
          <w:rFonts w:hint="eastAsia" w:ascii="Times New Roman" w:hAnsi="Times New Roman"/>
          <w:b/>
          <w:bCs/>
          <w:color w:val="000000" w:themeColor="text1"/>
          <w:sz w:val="44"/>
          <w:szCs w:val="44"/>
          <w:highlight w:val="none"/>
          <w:lang w:val="en-US" w:eastAsia="zh-CN"/>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录</w:t>
      </w:r>
      <w:r/>
    </w:p>
    <w:p>
      <w:pPr>
        <w:pStyle w:val="837"/>
        <w:tabs>
          <w:tab w:val="right" w:pos="8532"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\z \u</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_Toc20746 </w:instrText>
      </w:r>
      <w:r>
        <w:rPr>
          <w:color w:val="000000" w:themeColor="text1"/>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_Toc20746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_Toc26456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_Toc24612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_Toc4812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三、获取招标文件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_Toc29468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四、提交投标文件截止时间、开标时间和地点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_Toc29468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_Toc15106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五、公告期限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_Toc29629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六、其他补充事宜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_Toc30578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w:t>
      </w:r>
      <w:r>
        <w:rPr>
          <w:rFonts w:hint="eastAsia"/>
          <w:color w:val="000000" w:themeColor="text1"/>
          <w:szCs w:val="30"/>
          <w:highlight w:val="none"/>
          <w14:textFill>
            <w14:solidFill>
              <w14:schemeClr w14:val="tx1"/>
            </w14:solidFill>
          </w14:textFill>
        </w:rPr>
        <w:t xml:space="preserve">本次招标联系方式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_Toc1299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八、其他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_Toc27300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_Toc17539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_Toc17539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_Toc13665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_Toc19654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_Toc22598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_Toc20905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_Toc7948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六、定标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_Toc8881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_Toc8881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_Toc19207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第三章  </w:t>
      </w:r>
      <w:r>
        <w:rPr>
          <w:rFonts w:hint="eastAsia" w:ascii="Times New Roman" w:eastAsia="黑体"/>
          <w:color w:val="000000" w:themeColor="text1"/>
          <w:szCs w:val="44"/>
          <w:highlight w:val="none"/>
          <w:lang w:val="en-US" w:eastAsia="zh-CN"/>
          <w14:textFill>
            <w14:solidFill>
              <w14:schemeClr w14:val="tx1"/>
            </w14:solidFill>
          </w14:textFill>
        </w:rPr>
        <w:t xml:space="preserve">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_Toc5153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_Toc5153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_Toc7852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第五章 评标方法与评标标准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_Toc7852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_Toc2293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第六章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_Toc14866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一、投标声明及承诺函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_Toc28096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二、投标人基本情况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_Toc30935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_Toc13215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_Toc13215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_Toc17357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_Toc17357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_Toc5021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六、投标报价明细表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_Toc7508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七、中小企业声明函（服务）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_Toc26157 </w:instrText>
      </w:r>
      <w:r>
        <w:rPr>
          <w:rFonts w:ascii="宋体" w:hAnsi="宋体"/>
          <w:color w:val="000000" w:themeColor="text1"/>
          <w:szCs w:val="24"/>
          <w:highlight w:val="none"/>
          <w14:textFill>
            <w14:solidFill>
              <w14:schemeClr w14:val="tx1"/>
            </w14:solidFill>
          </w14:textFill>
        </w:rPr>
        <w:fldChar w:fldCharType="separate"/>
      </w:r>
      <w:r>
        <w:rPr>
          <w:rFonts w:hint="eastAsia" w:eastAsia="黑体"/>
          <w:color w:val="000000" w:themeColor="text1"/>
          <w:szCs w:val="32"/>
          <w:highlight w:val="none"/>
          <w14:textFill>
            <w14:solidFill>
              <w14:schemeClr w14:val="tx1"/>
            </w14:solidFill>
          </w14:textFill>
        </w:rPr>
        <w:t xml:space="preserve">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_Toc9556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八、技术要求响应及偏离表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_Toc9556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_Toc30650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_Toc31278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_Toc19023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_Toc19023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jc w:val="center"/>
        <w:spacing w:line="480" w:lineRule="auto"/>
        <w:rPr>
          <w:rFonts w:hint="eastAsia"/>
          <w:color w:val="000000" w:themeColor="text1"/>
          <w:highlight w:val="none"/>
          <w14:textFill>
            <w14:solidFill>
              <w14:schemeClr w14:val="tx1"/>
            </w14:solidFill>
          </w14:textFill>
        </w:rPr>
        <w:outlineLvl w:val="0"/>
      </w:pPr>
      <w:r>
        <w:rPr>
          <w:rFonts w:ascii="宋体" w:hAnsi="宋体"/>
          <w:color w:val="000000" w:themeColor="text1"/>
          <w:szCs w:val="24"/>
          <w:highlight w:val="none"/>
          <w14:textFill>
            <w14:solidFill>
              <w14:schemeClr w14:val="tx1"/>
            </w14:solidFill>
          </w14:textFill>
        </w:rPr>
        <w:fldChar w:fldCharType="end"/>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themeColor="text1"/>
          <w:highlight w:val="none"/>
          <w14:textFill>
            <w14:solidFill>
              <w14:schemeClr w14:val="tx1"/>
            </w14:solidFill>
          </w14:textFill>
        </w:rPr>
      </w:r>
      <w:bookmarkEnd w:id="0"/>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7"/>
        <w:rPr>
          <w:rFonts w:hint="eastAsia" w:ascii="Times New Roman" w:eastAsia="黑体"/>
          <w:color w:val="000000" w:themeColor="text1"/>
          <w:sz w:val="44"/>
          <w:szCs w:val="44"/>
          <w:highlight w:val="none"/>
          <w14:textFill>
            <w14:solidFill>
              <w14:schemeClr w14:val="tx1"/>
            </w14:solidFill>
          </w14:textFill>
        </w:rPr>
      </w:pPr>
      <w:r/>
      <w:bookmarkStart w:id="6" w:name="_Toc20746"/>
      <w:r>
        <w:rPr>
          <w:rFonts w:hint="eastAsia" w:ascii="Times New Roman" w:eastAsia="黑体"/>
          <w:color w:val="000000" w:themeColor="text1"/>
          <w:sz w:val="44"/>
          <w:szCs w:val="44"/>
          <w:highlight w:val="none"/>
          <w14:textFill>
            <w14:solidFill>
              <w14:schemeClr w14:val="tx1"/>
            </w14:solidFill>
          </w14:textFill>
        </w:rPr>
        <w:t xml:space="preserve">第一章  投标邀请</w:t>
      </w:r>
      <w:bookmarkEnd w:id="6"/>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color w:val="000000" w:themeColor="text1"/>
          <w:sz w:val="24"/>
          <w:szCs w:val="24"/>
          <w:highlight w:val="none"/>
          <w:u w:val="singl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］的委托，［</w:t>
      </w:r>
      <w:r>
        <w:rPr>
          <w:rFonts w:hint="eastAsia"/>
          <w:color w:val="000000" w:themeColor="text1"/>
          <w:sz w:val="24"/>
          <w:szCs w:val="24"/>
          <w:highlight w:val="none"/>
          <w:u w:val="single"/>
          <w14:textFill>
            <w14:solidFill>
              <w14:schemeClr w14:val="tx1"/>
            </w14:solidFill>
          </w14:textFill>
        </w:rPr>
        <w:t xml:space="preserve">江苏思迈工程咨询管理有限公司</w:t>
      </w:r>
      <w:r>
        <w:rPr>
          <w:rFonts w:hint="eastAsia"/>
          <w:color w:val="000000" w:themeColor="text1"/>
          <w:sz w:val="24"/>
          <w:szCs w:val="24"/>
          <w:highlight w:val="none"/>
          <w14:textFill>
            <w14:solidFill>
              <w14:schemeClr w14:val="tx1"/>
            </w14:solidFill>
          </w14:textFill>
        </w:rPr>
        <w:t xml:space="preserve">］就［</w:t>
      </w: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］）进行公开招标采购，欢迎符合条件的投标人投标。</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14:textFill>
            <w14:solidFill>
              <w14:schemeClr w14:val="tx1"/>
            </w14:solidFill>
          </w14:textFill>
        </w:rPr>
        <w:t xml:space="preserve">项目概况</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rPr>
          <w:rFonts w:hint="eastAsia"/>
          <w:color w:val="000000" w:themeColor="text1"/>
          <w:sz w:val="24"/>
          <w:szCs w:val="24"/>
          <w:highlight w:val="none"/>
          <w14:textFill>
            <w14:solidFill>
              <w14:schemeClr w14:val="tx1"/>
            </w14:solidFill>
          </w14:textFill>
        </w:rPr>
        <w:t xml:space="preserve">的潜在投标人可在</w:t>
      </w:r>
      <w:r>
        <w:rPr>
          <w:rFonts w:hint="eastAsia"/>
          <w:color w:val="000000" w:themeColor="text1"/>
          <w:sz w:val="24"/>
          <w:szCs w:val="24"/>
          <w:highlight w:val="none"/>
          <w:u w:val="single"/>
          <w14:textFill>
            <w14:solidFill>
              <w14:schemeClr w14:val="tx1"/>
            </w14:solidFill>
          </w14:textFill>
        </w:rPr>
        <w:t xml:space="preserve">“宿迁市政府采购网”自行免费下载</w:t>
      </w:r>
      <w:r>
        <w:rPr>
          <w:rFonts w:hint="eastAsia"/>
          <w:color w:val="000000" w:themeColor="text1"/>
          <w:sz w:val="24"/>
          <w:szCs w:val="24"/>
          <w:highlight w:val="none"/>
          <w14:textFill>
            <w14:solidFill>
              <w14:schemeClr w14:val="tx1"/>
            </w14:solidFill>
          </w14:textFill>
        </w:rPr>
        <w:t xml:space="preserve">招标文件，并于</w:t>
      </w:r>
      <w:r>
        <w:rPr>
          <w:rFonts w:hint="eastAsia"/>
          <w:color w:val="000000" w:themeColor="text1"/>
          <w:sz w:val="24"/>
          <w:szCs w:val="24"/>
          <w:highlight w:val="none"/>
          <w:u w:val="single"/>
          <w14:textFill>
            <w14:solidFill>
              <w14:schemeClr w14:val="tx1"/>
            </w14:solidFill>
          </w14:textFill>
        </w:rPr>
        <w:t xml:space="preserve">202</w:t>
      </w:r>
      <w:r>
        <w:rPr>
          <w:rFonts w:hint="eastAsia"/>
          <w:color w:val="000000" w:themeColor="text1"/>
          <w:sz w:val="24"/>
          <w:szCs w:val="24"/>
          <w:highlight w:val="none"/>
          <w:u w:val="single"/>
          <w:lang w:val="en-US" w:eastAsia="zh-CN"/>
          <w14:textFill>
            <w14:solidFill>
              <w14:schemeClr w14:val="tx1"/>
            </w14:solidFill>
          </w14:textFill>
        </w:rPr>
        <w:t xml:space="preserve">6</w:t>
      </w:r>
      <w:r>
        <w:rPr>
          <w:rFonts w:hint="eastAsia"/>
          <w:bCs/>
          <w:color w:val="000000" w:themeColor="text1"/>
          <w:sz w:val="24"/>
          <w:szCs w:val="24"/>
          <w:highlight w:val="none"/>
          <w:u w:val="single"/>
          <w14:textFill>
            <w14:solidFill>
              <w14:schemeClr w14:val="tx1"/>
            </w14:solidFill>
          </w14:textFill>
        </w:rPr>
        <w:t xml:space="preserve">年</w:t>
      </w:r>
      <w:r>
        <w:rPr>
          <w:rFonts w:hint="eastAsia"/>
          <w:bCs/>
          <w:color w:val="000000" w:themeColor="text1"/>
          <w:sz w:val="24"/>
          <w:szCs w:val="24"/>
          <w:highlight w:val="none"/>
          <w:u w:val="single"/>
          <w:lang w:val="en-US" w:eastAsia="zh-CN"/>
          <w14:textFill>
            <w14:solidFill>
              <w14:schemeClr w14:val="tx1"/>
            </w14:solidFill>
          </w14:textFill>
        </w:rPr>
        <w:t xml:space="preserve">06</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25</w:t>
      </w:r>
      <w:r>
        <w:rPr>
          <w:rFonts w:hint="eastAsia"/>
          <w:bCs/>
          <w:color w:val="000000" w:themeColor="text1"/>
          <w:sz w:val="24"/>
          <w:szCs w:val="24"/>
          <w:highlight w:val="none"/>
          <w:u w:val="single"/>
          <w14:textFill>
            <w14:solidFill>
              <w14:schemeClr w14:val="tx1"/>
            </w14:solidFill>
          </w14:textFill>
        </w:rPr>
        <w:t xml:space="preserve">日09点</w:t>
      </w:r>
      <w:r>
        <w:rPr>
          <w:rFonts w:hint="eastAsia"/>
          <w:bCs/>
          <w:color w:val="000000" w:themeColor="text1"/>
          <w:sz w:val="24"/>
          <w:szCs w:val="24"/>
          <w:highlight w:val="none"/>
          <w:u w:val="single"/>
          <w:lang w:val="en-US" w:eastAsia="zh-CN"/>
          <w14:textFill>
            <w14:solidFill>
              <w14:schemeClr w14:val="tx1"/>
            </w14:solidFill>
          </w14:textFill>
        </w:rPr>
        <w:t xml:space="preserve">3</w:t>
      </w:r>
      <w:r>
        <w:rPr>
          <w:rFonts w:hint="eastAsia"/>
          <w:bCs/>
          <w:color w:val="000000" w:themeColor="text1"/>
          <w:sz w:val="24"/>
          <w:szCs w:val="24"/>
          <w:highlight w:val="none"/>
          <w:u w:val="single"/>
          <w14:textFill>
            <w14:solidFill>
              <w14:schemeClr w14:val="tx1"/>
            </w14:solidFill>
          </w14:textFill>
        </w:rPr>
        <w:t xml:space="preserve">0分（</w:t>
      </w:r>
      <w:r>
        <w:rPr>
          <w:rFonts w:hint="eastAsia"/>
          <w:bCs/>
          <w:color w:val="000000" w:themeColor="text1"/>
          <w:sz w:val="24"/>
          <w:szCs w:val="24"/>
          <w:highlight w:val="none"/>
          <w14:textFill>
            <w14:solidFill>
              <w14:schemeClr w14:val="tx1"/>
            </w14:solidFill>
          </w14:textFill>
        </w:rPr>
        <w:t xml:space="preserve">北京时间）前递交投标</w:t>
      </w:r>
      <w:r>
        <w:rPr>
          <w:bCs/>
          <w:color w:val="000000" w:themeColor="text1"/>
          <w:sz w:val="24"/>
          <w:szCs w:val="24"/>
          <w:highlight w:val="none"/>
          <w14:textFill>
            <w14:solidFill>
              <w14:schemeClr w14:val="tx1"/>
            </w14:solidFill>
          </w14:textFill>
        </w:rPr>
        <w:t xml:space="preserve">文件</w:t>
      </w:r>
      <w:r>
        <w:rPr>
          <w:rFonts w:hint="eastAsia"/>
          <w:color w:val="000000" w:themeColor="text1"/>
          <w:sz w:val="24"/>
          <w:szCs w:val="24"/>
          <w:highlight w:val="none"/>
          <w14:textFill>
            <w14:solidFill>
              <w14:schemeClr w14:val="tx1"/>
            </w14:solidFill>
          </w14:textFill>
        </w:rPr>
        <w:t xml:space="preserve">。 </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7" w:name="_Toc38985263"/>
      <w:r/>
      <w:bookmarkStart w:id="8" w:name="_Toc158281540"/>
      <w:r/>
      <w:bookmarkStart w:id="9" w:name="_Toc26456"/>
      <w:r/>
      <w:bookmarkStart w:id="10" w:name="_Toc35393790"/>
      <w:r/>
      <w:bookmarkStart w:id="11" w:name="_Toc28359002"/>
      <w:r/>
      <w:bookmarkStart w:id="12" w:name="_Toc28359079"/>
      <w:r/>
      <w:bookmarkStart w:id="13" w:name="_Toc35393621"/>
      <w:r/>
      <w:bookmarkStart w:id="14" w:name="_Hlk24379207"/>
      <w:r>
        <w:rPr>
          <w:rFonts w:hint="eastAsia"/>
          <w:color w:val="000000" w:themeColor="text1"/>
          <w:sz w:val="30"/>
          <w:szCs w:val="30"/>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1.项目编号：JSZC-321311-JSSM-G2026-0001</w:t>
      </w:r>
      <w:r/>
    </w:p>
    <w:p>
      <w:pPr>
        <w:ind w:firstLine="600"/>
        <w:spacing w:line="560" w:lineRule="exact"/>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w:t>
      </w:r>
      <w:bookmarkEnd w:id="14"/>
      <w:r>
        <w:rPr>
          <w:rFonts w:hint="eastAsia"/>
          <w:color w:val="000000" w:themeColor="text1"/>
          <w:sz w:val="24"/>
          <w:szCs w:val="24"/>
          <w:highlight w:val="none"/>
          <w14:textFill>
            <w14:solidFill>
              <w14:schemeClr w14:val="tx1"/>
            </w14:solidFill>
          </w14:textFill>
        </w:rPr>
        <w:t xml:space="preserve">宿豫区各乡镇环卫作业服务外包采购项目（2026年—2029年）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eastAsia="zh-CN"/>
          <w14:textFill>
            <w14:solidFill>
              <w14:schemeClr w14:val="tx1"/>
            </w14:solidFill>
          </w14:textFill>
        </w:rPr>
        <w:t xml:space="preserve">9224</w:t>
      </w:r>
      <w:r>
        <w:rPr>
          <w:rFonts w:hint="eastAsia"/>
          <w:color w:val="000000" w:themeColor="text1"/>
          <w:sz w:val="24"/>
          <w:szCs w:val="24"/>
          <w:highlight w:val="none"/>
          <w14:textFill>
            <w14:solidFill>
              <w14:schemeClr w14:val="tx1"/>
            </w14:solidFill>
          </w14:textFill>
        </w:rPr>
        <w:t xml:space="preserve">万元</w:t>
      </w:r>
      <w:r/>
    </w:p>
    <w:p>
      <w:pPr>
        <w:ind w:firstLine="602"/>
        <w:spacing w:line="560" w:lineRule="exact"/>
        <w:rPr>
          <w:rFonts w:hint="eastAsia"/>
          <w:b/>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4.本项目最高限价：</w:t>
      </w:r>
      <w:r>
        <w:rPr>
          <w:rFonts w:hint="eastAsia"/>
          <w:b w:val="0"/>
          <w:bCs/>
          <w:color w:val="000000" w:themeColor="text1"/>
          <w:sz w:val="24"/>
          <w:szCs w:val="24"/>
          <w:highlight w:val="none"/>
          <w:lang w:val="en-US" w:eastAsia="zh-CN"/>
          <w14:textFill>
            <w14:solidFill>
              <w14:schemeClr w14:val="tx1"/>
            </w14:solidFill>
          </w14:textFill>
        </w:rPr>
        <w:t xml:space="preserve">8500</w:t>
      </w:r>
      <w:r>
        <w:rPr>
          <w:rFonts w:hint="eastAsia"/>
          <w:b w:val="0"/>
          <w:bCs/>
          <w:color w:val="000000" w:themeColor="text1"/>
          <w:sz w:val="24"/>
          <w:szCs w:val="24"/>
          <w:highlight w:val="none"/>
          <w14:textFill>
            <w14:solidFill>
              <w14:schemeClr w14:val="tx1"/>
            </w14:solidFill>
          </w14:textFill>
        </w:rPr>
        <w:t xml:space="preserve">万元</w:t>
      </w:r>
      <w:r>
        <w:rPr>
          <w:rFonts w:hint="eastAsia"/>
          <w:b w:val="0"/>
          <w:bCs/>
          <w:color w:val="000000" w:themeColor="text1"/>
          <w:sz w:val="24"/>
          <w:szCs w:val="24"/>
          <w:highlight w:val="none"/>
          <w:lang w:eastAsia="zh-CN"/>
          <w14:textFill>
            <w14:solidFill>
              <w14:schemeClr w14:val="tx1"/>
            </w14:solidFill>
          </w14:textFill>
        </w:rPr>
        <w:t xml:space="preserve">，高于此限价作无效标处理</w:t>
      </w:r>
      <w:r>
        <w:rPr>
          <w:rFonts w:hint="eastAsia"/>
          <w:b w:val="0"/>
          <w:bCs/>
          <w:color w:val="000000" w:themeColor="text1"/>
          <w:sz w:val="24"/>
          <w:szCs w:val="24"/>
          <w:highlight w:val="none"/>
          <w14:textFill>
            <w14:solidFill>
              <w14:schemeClr w14:val="tx1"/>
            </w14:solidFill>
          </w14:textFill>
        </w:rPr>
        <w:t xml:space="preserve">。</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简介）：宿豫区各乡镇（含涉农街道）镇区建成区161条道路清扫保洁（总面积约252.63万平方米）、镇区11座生活垃圾中转站运行维护；各乡镇生活垃圾转运；各乡镇50座公厕日常管护及保洁等。具体内容详见采购需求。</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w:t>
      </w:r>
      <w:bookmarkStart w:id="15" w:name="EBb920db3eebc44049b2d27a5203bb6f6d"/>
      <w:r>
        <w:rPr>
          <w:rFonts w:hint="eastAsia"/>
          <w:color w:val="000000" w:themeColor="text1"/>
          <w:sz w:val="24"/>
          <w:szCs w:val="24"/>
          <w:highlight w:val="none"/>
          <w:lang w:val="en-US" w:eastAsia="zh-CN"/>
          <w14:textFill>
            <w14:solidFill>
              <w14:schemeClr w14:val="tx1"/>
            </w14:solidFill>
          </w14:textFill>
        </w:rPr>
        <w:t xml:space="preserve">三</w:t>
      </w:r>
      <w:r>
        <w:rPr>
          <w:rFonts w:hint="eastAsia"/>
          <w:color w:val="000000" w:themeColor="text1"/>
          <w:sz w:val="24"/>
          <w:szCs w:val="24"/>
          <w:highlight w:val="none"/>
          <w:lang w:eastAsia="zh-CN"/>
          <w14:textFill>
            <w14:solidFill>
              <w14:schemeClr w14:val="tx1"/>
            </w14:solidFill>
          </w14:textFill>
        </w:rPr>
        <w:t xml:space="preserve">年，自合同签订之日起至项目完成</w:t>
      </w:r>
      <w:r>
        <w:rPr>
          <w:rFonts w:hint="eastAsia"/>
          <w:color w:val="000000" w:themeColor="text1"/>
          <w:sz w:val="24"/>
          <w:szCs w:val="24"/>
          <w:highlight w:val="none"/>
          <w14:textFill>
            <w14:solidFill>
              <w14:schemeClr w14:val="tx1"/>
            </w14:solidFill>
          </w14:textFill>
        </w:rPr>
        <w:t xml:space="preserve">。</w:t>
      </w:r>
      <w:bookmarkEnd w:id="15"/>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7.本项目</w:t>
      </w:r>
      <w:r>
        <w:rPr>
          <w:rFonts w:hint="eastAsia"/>
          <w:color w:val="000000" w:themeColor="text1"/>
          <w:sz w:val="24"/>
          <w:szCs w:val="24"/>
          <w:highlight w:val="none"/>
          <w:u w:val="single"/>
          <w14:textFill>
            <w14:solidFill>
              <w14:schemeClr w14:val="tx1"/>
            </w14:solidFill>
          </w14:textFill>
        </w:rPr>
        <w:t xml:space="preserve">不接</w:t>
      </w:r>
      <w:r>
        <w:rPr>
          <w:rFonts w:hint="eastAsia"/>
          <w:color w:val="000000" w:themeColor="text1"/>
          <w:sz w:val="24"/>
          <w:szCs w:val="24"/>
          <w:highlight w:val="none"/>
          <w:u w:val="single"/>
          <w:lang w:eastAsia="zh-CN"/>
          <w14:textFill>
            <w14:solidFill>
              <w14:schemeClr w14:val="tx1"/>
            </w14:solidFill>
          </w14:textFill>
        </w:rPr>
        <w:t xml:space="preserve">受</w:t>
      </w:r>
      <w:r>
        <w:rPr>
          <w:rFonts w:hint="eastAsia"/>
          <w:color w:val="000000" w:themeColor="text1"/>
          <w:sz w:val="24"/>
          <w:szCs w:val="24"/>
          <w:highlight w:val="none"/>
          <w14:textFill>
            <w14:solidFill>
              <w14:schemeClr w14:val="tx1"/>
            </w14:solidFill>
          </w14:textFill>
        </w:rPr>
        <w:t xml:space="preserve">联合体投标。</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16" w:name="_Toc24612"/>
      <w:r/>
      <w:bookmarkStart w:id="17" w:name="_Toc158281541"/>
      <w:r/>
      <w:bookmarkStart w:id="18" w:name="_Toc28359003"/>
      <w:r/>
      <w:bookmarkStart w:id="19" w:name="_Toc35393791"/>
      <w:r/>
      <w:bookmarkStart w:id="20" w:name="_Toc38985264"/>
      <w:r/>
      <w:bookmarkStart w:id="21" w:name="_Toc35393622"/>
      <w:r/>
      <w:bookmarkStart w:id="22" w:name="_Toc28359080"/>
      <w:r>
        <w:rPr>
          <w:rFonts w:hint="eastAsia"/>
          <w:color w:val="000000" w:themeColor="text1"/>
          <w:sz w:val="30"/>
          <w:szCs w:val="30"/>
          <w:highlight w:val="none"/>
          <w14:textFill>
            <w14:solidFill>
              <w14:schemeClr w14:val="tx1"/>
            </w14:solidFill>
          </w14:textFill>
        </w:rPr>
        <w:t xml:space="preserve">二、申请人的资格要求：</w:t>
      </w:r>
      <w:bookmarkEnd w:id="16"/>
      <w:r/>
      <w:bookmarkEnd w:id="17"/>
      <w:r/>
      <w:bookmarkEnd w:id="18"/>
      <w:r/>
      <w:bookmarkEnd w:id="19"/>
      <w:r/>
      <w:bookmarkEnd w:id="20"/>
      <w:r/>
      <w:bookmarkEnd w:id="21"/>
      <w:r/>
      <w:bookmarkEnd w:id="22"/>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23" w:name="_Toc28359004"/>
      <w:r/>
      <w:bookmarkStart w:id="24" w:name="_Toc28359081"/>
      <w:r/>
      <w:bookmarkStart w:id="25" w:name="_Toc35393623"/>
      <w:r/>
      <w:bookmarkStart w:id="26" w:name="_Toc38985265"/>
      <w:r/>
      <w:bookmarkStart w:id="27" w:name="_Toc35393792"/>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3.落实政府采购政策需满足的资格要求：投标人提供的货物、工程或者服务符合规定情形的，对小微企业报价给予</w:t>
      </w:r>
      <w:r>
        <w:rPr>
          <w:rFonts w:hint="eastAsia"/>
          <w:color w:val="000000" w:themeColor="text1"/>
          <w:sz w:val="24"/>
          <w:szCs w:val="24"/>
          <w:highlight w:val="none"/>
          <w:lang w:val="en-US" w:eastAsia="zh-CN"/>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%（工程项目为5%）扣除，用扣除后的价格参加评审。</w:t>
      </w:r>
      <w:r/>
    </w:p>
    <w:p>
      <w:pPr>
        <w:ind w:firstLine="480"/>
        <w:spacing w:line="500" w:lineRule="exact"/>
        <w:rPr>
          <w:rFonts w:hint="eastAsia"/>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w:t>
      </w:r>
      <w:r>
        <w:rPr>
          <w:rFonts w:hint="eastAsia"/>
          <w:b/>
          <w:color w:val="000000" w:themeColor="text1"/>
          <w:sz w:val="24"/>
          <w:szCs w:val="24"/>
          <w:highlight w:val="none"/>
          <w14:textFill>
            <w14:solidFill>
              <w14:schemeClr w14:val="tx1"/>
            </w14:solidFill>
          </w14:textFill>
        </w:rPr>
        <w:t xml:space="preserve">本项目的特定资格要求：</w:t>
      </w:r>
      <w:bookmarkStart w:id="28" w:name="_Toc158281542"/>
      <w:r>
        <w:rPr>
          <w:rFonts w:hint="eastAsia"/>
          <w:b/>
          <w:color w:val="000000" w:themeColor="text1"/>
          <w:sz w:val="24"/>
          <w:szCs w:val="24"/>
          <w:highlight w:val="none"/>
          <w14:textFill>
            <w14:solidFill>
              <w14:schemeClr w14:val="tx1"/>
            </w14:solidFill>
          </w14:textFill>
        </w:rPr>
        <w:t xml:space="preserve">无</w:t>
      </w:r>
      <w:r>
        <w:rPr>
          <w:rFonts w:hint="eastAsia"/>
          <w:bCs/>
          <w:color w:val="000000" w:themeColor="text1"/>
          <w:sz w:val="24"/>
          <w:szCs w:val="24"/>
          <w:highlight w:val="none"/>
          <w14:textFill>
            <w14:solidFill>
              <w14:schemeClr w14:val="tx1"/>
            </w14:solidFill>
          </w14:textFill>
        </w:rPr>
        <w:t xml:space="preserve">。</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29" w:name="_Toc4812"/>
      <w:r>
        <w:rPr>
          <w:rFonts w:hint="eastAsia"/>
          <w:color w:val="000000" w:themeColor="text1"/>
          <w:sz w:val="30"/>
          <w:szCs w:val="30"/>
          <w:highlight w:val="none"/>
          <w14:textFill>
            <w14:solidFill>
              <w14:schemeClr w14:val="tx1"/>
            </w14:solidFill>
          </w14:textFill>
        </w:rPr>
        <w:t xml:space="preserve">三、获取招标文件</w:t>
      </w:r>
      <w:bookmarkEnd w:id="23"/>
      <w:r/>
      <w:bookmarkEnd w:id="24"/>
      <w:r/>
      <w:bookmarkEnd w:id="25"/>
      <w:r/>
      <w:bookmarkEnd w:id="26"/>
      <w:r/>
      <w:bookmarkEnd w:id="27"/>
      <w:r/>
      <w:bookmarkEnd w:id="28"/>
      <w:r/>
      <w:bookmarkEnd w:id="29"/>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0" w:name="_Toc28359082"/>
      <w:r/>
      <w:bookmarkStart w:id="31" w:name="_Toc28359005"/>
      <w:r/>
      <w:bookmarkStart w:id="32" w:name="_Toc38985266"/>
      <w:r/>
      <w:bookmarkStart w:id="33" w:name="_Toc35393624"/>
      <w:r/>
      <w:bookmarkStart w:id="34" w:name="_Toc35393793"/>
      <w:r>
        <w:rPr>
          <w:rFonts w:hint="eastAsia"/>
          <w:color w:val="000000" w:themeColor="text1"/>
          <w:sz w:val="24"/>
          <w:szCs w:val="24"/>
          <w:highlight w:val="none"/>
          <w14:textFill>
            <w14:solidFill>
              <w14:schemeClr w14:val="tx1"/>
            </w14:solidFill>
          </w14:textFill>
        </w:rPr>
        <w:t xml:space="preserve">1.时间：202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日至</w:t>
      </w:r>
      <w:bookmarkStart w:id="35" w:name="EB4a82fe30d91a48338ebb02b9012d939c"/>
      <w:r>
        <w:rPr>
          <w:rFonts w:hint="eastAsia"/>
          <w:color w:val="000000" w:themeColor="text1"/>
          <w:sz w:val="24"/>
          <w:szCs w:val="24"/>
          <w:highlight w:val="none"/>
          <w14:textFill>
            <w14:solidFill>
              <w14:schemeClr w14:val="tx1"/>
            </w14:solidFill>
          </w14:textFill>
        </w:rPr>
        <w:t xml:space="preserve">202</w:t>
      </w:r>
      <w:bookmarkEnd w:id="35"/>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11</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17:30</w:t>
      </w:r>
      <w:r>
        <w:rPr>
          <w:rFonts w:hint="eastAsia"/>
          <w:color w:val="000000" w:themeColor="text1"/>
          <w:sz w:val="24"/>
          <w:szCs w:val="24"/>
          <w:highlight w:val="none"/>
          <w14:textFill>
            <w14:solidFill>
              <w14:schemeClr w14:val="tx1"/>
            </w14:solidFill>
          </w14:textFill>
        </w:rPr>
        <w:t xml:space="preserve">。</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6" w:name="EB0c44ff4da61f4af989d119fe214be450"/>
      <w:r>
        <w:rPr>
          <w:rFonts w:hint="eastAsia"/>
          <w:color w:val="000000" w:themeColor="text1"/>
          <w:sz w:val="24"/>
          <w:szCs w:val="24"/>
          <w:highlight w:val="none"/>
          <w14:textFill>
            <w14:solidFill>
              <w14:schemeClr w14:val="tx1"/>
            </w14:solidFill>
          </w14:textFill>
        </w:rPr>
        <w:t xml:space="preserve">3.本项目共分一个包。投标人未按要求获取招标文件导致无法投标的，后果自负（其投标文件不予接受）。</w:t>
      </w:r>
      <w:bookmarkEnd w:id="36"/>
      <w:r/>
      <w:bookmarkStart w:id="286" w:name="_GoBack"/>
      <w:r/>
      <w:bookmarkEnd w:id="286"/>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37" w:name="_Toc158281543"/>
      <w:r/>
      <w:bookmarkStart w:id="38" w:name="_Toc29468"/>
      <w:r>
        <w:rPr>
          <w:rFonts w:hint="eastAsia"/>
          <w:color w:val="000000" w:themeColor="text1"/>
          <w:sz w:val="30"/>
          <w:szCs w:val="30"/>
          <w:highlight w:val="none"/>
          <w14:textFill>
            <w14:solidFill>
              <w14:schemeClr w14:val="tx1"/>
            </w14:solidFill>
          </w14:textFill>
        </w:rPr>
        <w:t xml:space="preserve">四、提交投标文件</w:t>
      </w:r>
      <w:bookmarkEnd w:id="30"/>
      <w:r/>
      <w:bookmarkEnd w:id="31"/>
      <w:r>
        <w:rPr>
          <w:rFonts w:hint="eastAsia"/>
          <w:color w:val="000000" w:themeColor="text1"/>
          <w:sz w:val="30"/>
          <w:szCs w:val="30"/>
          <w:highlight w:val="none"/>
          <w14:textFill>
            <w14:solidFill>
              <w14:schemeClr w14:val="tx1"/>
            </w14:solidFill>
          </w14:textFill>
        </w:rPr>
        <w:t xml:space="preserve">截止时间、开标时间和地点</w:t>
      </w:r>
      <w:bookmarkEnd w:id="32"/>
      <w:r/>
      <w:bookmarkEnd w:id="33"/>
      <w:r/>
      <w:bookmarkEnd w:id="34"/>
      <w:r/>
      <w:bookmarkEnd w:id="37"/>
      <w:r/>
      <w:bookmarkEnd w:id="38"/>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1.提交投标文件截止时间、开标时间：202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06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09</w:t>
      </w:r>
      <w:r>
        <w:rPr>
          <w:rFonts w:hint="eastAsia"/>
          <w:color w:val="000000" w:themeColor="text1"/>
          <w:sz w:val="24"/>
          <w:szCs w:val="24"/>
          <w:highlight w:val="none"/>
          <w14:textFill>
            <w14:solidFill>
              <w14:schemeClr w14:val="tx1"/>
            </w14:solidFill>
          </w14:textFill>
        </w:rPr>
        <w:t xml:space="preserve">点</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0分（北京时间）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2.地点：“苏采云”政府采购交易系统网上开标大厅。</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39" w:name="_Toc158281544"/>
      <w:r/>
      <w:bookmarkStart w:id="40" w:name="_Toc28359084"/>
      <w:r/>
      <w:bookmarkStart w:id="41" w:name="_Toc28359007"/>
      <w:r/>
      <w:bookmarkStart w:id="42" w:name="_Toc38985267"/>
      <w:r/>
      <w:bookmarkStart w:id="43" w:name="_Toc35393794"/>
      <w:r/>
      <w:bookmarkStart w:id="44" w:name="_Toc15106"/>
      <w:r/>
      <w:bookmarkStart w:id="45" w:name="_Toc35393625"/>
      <w:r>
        <w:rPr>
          <w:rFonts w:hint="eastAsia"/>
          <w:color w:val="000000" w:themeColor="text1"/>
          <w:sz w:val="30"/>
          <w:szCs w:val="30"/>
          <w:highlight w:val="none"/>
          <w14:textFill>
            <w14:solidFill>
              <w14:schemeClr w14:val="tx1"/>
            </w14:solidFill>
          </w14:textFill>
        </w:rPr>
        <w:t xml:space="preserve">五、公告期限</w:t>
      </w:r>
      <w:bookmarkEnd w:id="39"/>
      <w:r/>
      <w:bookmarkEnd w:id="40"/>
      <w:r/>
      <w:bookmarkEnd w:id="41"/>
      <w:r/>
      <w:bookmarkEnd w:id="42"/>
      <w:r/>
      <w:bookmarkEnd w:id="43"/>
      <w:r/>
      <w:bookmarkEnd w:id="44"/>
      <w:r/>
      <w:bookmarkEnd w:id="45"/>
      <w:r/>
      <w:r/>
    </w:p>
    <w:p>
      <w:pPr>
        <w:ind w:firstLine="600"/>
        <w:spacing w:line="560" w:lineRule="exact"/>
        <w:rPr>
          <w:color w:val="000000" w:themeColor="text1"/>
          <w:sz w:val="24"/>
          <w:szCs w:val="24"/>
          <w:highlight w:val="none"/>
          <w14:textFill>
            <w14:solidFill>
              <w14:schemeClr w14:val="tx1"/>
            </w14:solidFill>
          </w14:textFill>
        </w:rPr>
      </w:pPr>
      <w:r/>
      <w:bookmarkStart w:id="46" w:name="_Toc35393626"/>
      <w:r/>
      <w:bookmarkStart w:id="47" w:name="_Toc38985268"/>
      <w:r/>
      <w:bookmarkStart w:id="48" w:name="_Toc35393795"/>
      <w:r>
        <w:rPr>
          <w:rFonts w:hint="eastAsia"/>
          <w:color w:val="000000" w:themeColor="text1"/>
          <w:sz w:val="24"/>
          <w:szCs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49" w:name="_Toc29629"/>
      <w:r/>
      <w:bookmarkStart w:id="50" w:name="_Toc158281545"/>
      <w:r>
        <w:rPr>
          <w:rFonts w:hint="eastAsia"/>
          <w:color w:val="000000" w:themeColor="text1"/>
          <w:sz w:val="30"/>
          <w:szCs w:val="30"/>
          <w:highlight w:val="none"/>
          <w14:textFill>
            <w14:solidFill>
              <w14:schemeClr w14:val="tx1"/>
            </w14:solidFill>
          </w14:textFill>
        </w:rPr>
        <w:t xml:space="preserve">六、其他补充事宜</w:t>
      </w:r>
      <w:bookmarkEnd w:id="46"/>
      <w:r/>
      <w:bookmarkEnd w:id="47"/>
      <w:r/>
      <w:bookmarkEnd w:id="48"/>
      <w:r/>
      <w:bookmarkEnd w:id="49"/>
      <w:r/>
      <w:bookmarkEnd w:id="50"/>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51" w:name="EB64e1f522fd8c43fcb4d3ba471386b3e7"/>
      <w:r/>
      <w:bookmarkStart w:id="52" w:name="_Toc35393627"/>
      <w:r/>
      <w:bookmarkStart w:id="53" w:name="_Toc28359008"/>
      <w:r/>
      <w:bookmarkStart w:id="54" w:name="_Toc38985269"/>
      <w:r/>
      <w:bookmarkStart w:id="55" w:name="_Toc28359085"/>
      <w:r/>
      <w:bookmarkStart w:id="56" w:name="_Toc35393796"/>
      <w:r>
        <w:rPr>
          <w:rFonts w:hint="eastAsia"/>
          <w:color w:val="000000" w:themeColor="text1"/>
          <w:sz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.财政部门监督电话：0527-84465519。</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3.宿迁地区“苏采云”技术支持客服电话：0527-84225125、0519-86722806。</w:t>
      </w:r>
      <w:r/>
    </w:p>
    <w:p>
      <w:pPr>
        <w:ind w:firstLine="600"/>
        <w:jc w:val="left"/>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4.如果投标人通过苏采云系统参与政府采购项目，相关操作手册详见链接：http://www.ccgp-jiangsu.gov.cn/jiangsu/zlxz/ee/ee3a4bc5a3454aa2b0d9312230633ce9.html</w:t>
      </w:r>
      <w:bookmarkEnd w:id="51"/>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5.现场勘察及答疑：本项目不组织集中勘察及答疑，投标人如对采购需求有疑问，请咨询采购单位联系人。 </w:t>
      </w:r>
      <w:r/>
    </w:p>
    <w:p>
      <w:pPr>
        <w:pStyle w:val="1009"/>
        <w:ind w:firstLine="498"/>
        <w:spacing w:before="0" w:after="0" w:line="560" w:lineRule="exact"/>
        <w:rPr>
          <w:color w:val="000000" w:themeColor="text1"/>
          <w:highlight w:val="none"/>
          <w14:textFill>
            <w14:solidFill>
              <w14:schemeClr w14:val="tx1"/>
            </w14:solidFill>
          </w14:textFill>
        </w:rPr>
      </w:pPr>
      <w:r/>
      <w:bookmarkStart w:id="57" w:name="_Toc30578"/>
      <w:r/>
      <w:bookmarkStart w:id="58" w:name="_Toc158281546"/>
      <w:r>
        <w:rPr>
          <w:rFonts w:hint="eastAsia"/>
          <w:color w:val="000000" w:themeColor="text1"/>
          <w:highlight w:val="none"/>
          <w14:textFill>
            <w14:solidFill>
              <w14:schemeClr w14:val="tx1"/>
            </w14:solidFill>
          </w14:textFill>
        </w:rPr>
        <w:t xml:space="preserve">七、</w:t>
      </w:r>
      <w:r>
        <w:rPr>
          <w:rFonts w:hint="eastAsia"/>
          <w:color w:val="000000" w:themeColor="text1"/>
          <w:sz w:val="30"/>
          <w:szCs w:val="30"/>
          <w:highlight w:val="none"/>
          <w14:textFill>
            <w14:solidFill>
              <w14:schemeClr w14:val="tx1"/>
            </w14:solidFill>
          </w14:textFill>
        </w:rPr>
        <w:t xml:space="preserve">本次招标联系方式</w:t>
      </w:r>
      <w:bookmarkEnd w:id="52"/>
      <w:r/>
      <w:bookmarkEnd w:id="53"/>
      <w:r/>
      <w:bookmarkEnd w:id="54"/>
      <w:r/>
      <w:bookmarkEnd w:id="55"/>
      <w:r/>
      <w:bookmarkEnd w:id="56"/>
      <w:r/>
      <w:bookmarkEnd w:id="57"/>
      <w:r/>
      <w:bookmarkEnd w:id="58"/>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bookmarkStart w:id="59" w:name="_Toc158281547"/>
      <w:r>
        <w:rPr>
          <w:rFonts w:hint="eastAsia" w:ascii="方正仿宋_GBK" w:hAnsi="方正仿宋_GBK" w:cs="方正仿宋_GBK"/>
          <w:color w:val="000000" w:themeColor="text1"/>
          <w:sz w:val="24"/>
          <w:highlight w:val="none"/>
          <w:lang w:bidi="ar"/>
          <w14:textFill>
            <w14:solidFill>
              <w14:schemeClr w14:val="tx1"/>
            </w14:solidFill>
          </w14:textFill>
        </w:rPr>
        <w:t xml:space="preserve">1.采购人信息</w:t>
      </w:r>
      <w:r/>
    </w:p>
    <w:p>
      <w:pPr>
        <w:ind w:firstLine="480"/>
        <w:spacing w:line="500" w:lineRule="exact"/>
        <w:rPr>
          <w:rFonts w:hint="eastAsia" w:ascii="方正仿宋_GBK" w:hAnsi="方正仿宋_GBK" w:eastAsia="宋体" w:cs="方正仿宋_GBK"/>
          <w:color w:val="000000" w:themeColor="text1"/>
          <w:sz w:val="24"/>
          <w:highlight w:val="none"/>
          <w:lang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宿迁市宿豫区城市管理局</w:t>
      </w:r>
      <w:r/>
    </w:p>
    <w:p>
      <w:pPr>
        <w:ind w:firstLine="480"/>
        <w:spacing w:line="500" w:lineRule="exact"/>
        <w:rPr>
          <w:rFonts w:hint="default" w:ascii="方正仿宋_GBK" w:hAnsi="方正仿宋_GBK" w:cs="方正仿宋_GBK"/>
          <w:color w:val="000000" w:themeColor="text1"/>
          <w:sz w:val="24"/>
          <w:highlight w:val="none"/>
          <w:lang w:val="en-US"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w:t>
      </w:r>
      <w:r>
        <w:rPr>
          <w:rFonts w:hint="eastAsia" w:ascii="方正仿宋_GBK" w:hAnsi="方正仿宋_GBK" w:cs="方正仿宋_GBK"/>
          <w:color w:val="000000" w:themeColor="text1"/>
          <w:sz w:val="24"/>
          <w:highlight w:val="none"/>
          <w:lang w:val="en-US" w:eastAsia="zh-CN" w:bidi="ar"/>
          <w14:textFill>
            <w14:solidFill>
              <w14:schemeClr w14:val="tx1"/>
            </w14:solidFill>
          </w14:textFill>
        </w:rPr>
        <w:t xml:space="preserve">湘江路30号</w:t>
      </w:r>
      <w:r/>
    </w:p>
    <w:p>
      <w:pPr>
        <w:ind w:firstLine="480"/>
        <w:spacing w:line="500" w:lineRule="exact"/>
        <w:rPr>
          <w:rFonts w:hint="eastAsia" w:ascii="方正仿宋_GBK" w:hAnsi="方正仿宋_GBK" w:cs="方正仿宋_GBK"/>
          <w:color w:val="000000" w:themeColor="text1"/>
          <w:sz w:val="24"/>
          <w:highlight w:val="none"/>
          <w:lang w:val="en-US"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联系人：蔡敦贵</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 0527-84468827</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2.采购代理机构信息</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名称：江苏思迈工程咨询管理有限公司</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地址：宿迁经开区虞姬公园玻璃房二楼</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联系方式：18936908444</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3.项目联系方式</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项目联系人： 贺瑞瑞 </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电话：18936908444</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60" w:name="_Toc1299"/>
      <w:r>
        <w:rPr>
          <w:rFonts w:hint="eastAsia"/>
          <w:color w:val="000000" w:themeColor="text1"/>
          <w:sz w:val="30"/>
          <w:szCs w:val="30"/>
          <w:highlight w:val="none"/>
          <w14:textFill>
            <w14:solidFill>
              <w14:schemeClr w14:val="tx1"/>
            </w14:solidFill>
          </w14:textFill>
        </w:rPr>
        <w:t xml:space="preserve">八、其他</w:t>
      </w:r>
      <w:bookmarkEnd w:id="59"/>
      <w:r/>
      <w:bookmarkEnd w:id="60"/>
      <w:r/>
      <w:r/>
    </w:p>
    <w:p>
      <w:pPr>
        <w:ind w:firstLine="480"/>
        <w:spacing w:line="560" w:lineRule="exact"/>
        <w:rPr>
          <w:rFonts w:hint="eastAsia" w:cs="仿宋_GB2312"/>
          <w:iCs/>
          <w:color w:val="000000" w:themeColor="text1"/>
          <w:sz w:val="24"/>
          <w:highlight w:val="none"/>
          <w14:textFill>
            <w14:solidFill>
              <w14:schemeClr w14:val="tx1"/>
            </w14:solidFill>
          </w14:textFill>
        </w:rPr>
      </w:pPr>
      <w:r>
        <w:rPr>
          <w:rFonts w:hint="eastAsia" w:cs="仿宋_GB2312"/>
          <w:iCs/>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000000" w:themeColor="text1"/>
          <w:sz w:val="24"/>
          <w:szCs w:val="24"/>
          <w:highlight w:val="none"/>
          <w14:textFill>
            <w14:solidFill>
              <w14:schemeClr w14:val="tx1"/>
            </w14:solidFill>
          </w14:textFill>
        </w:rPr>
      </w:pPr>
      <w:r>
        <w:rPr>
          <w:rFonts w:hint="eastAsia" w:cs="仿宋_GB2312"/>
          <w:b/>
          <w:bCs/>
          <w:iCs/>
          <w:color w:val="000000" w:themeColor="text1"/>
          <w:sz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.本次招标不收取投标保证金。</w:t>
      </w:r>
      <w:r/>
    </w:p>
    <w:p>
      <w:pPr>
        <w:pStyle w:val="1007"/>
        <w:rPr>
          <w:rFonts w:hint="eastAsia" w:ascii="Times New Roman" w:eastAsia="黑体"/>
          <w:b/>
          <w:bCs/>
          <w:color w:val="000000" w:themeColor="text1"/>
          <w:highlight w:val="none"/>
          <w14:textFill>
            <w14:solidFill>
              <w14:schemeClr w14:val="tx1"/>
            </w14:solidFill>
          </w14:textFill>
        </w:rPr>
      </w:pPr>
      <w:r/>
      <w:bookmarkStart w:id="61" w:name="_Toc120614211"/>
      <w:r>
        <w:rPr>
          <w:rFonts w:hint="eastAsia" w:ascii="Times New Roman" w:eastAsia="黑体"/>
          <w:color w:val="000000" w:themeColor="text1"/>
          <w:highlight w:val="none"/>
          <w14:textFill>
            <w14:solidFill>
              <w14:schemeClr w14:val="tx1"/>
            </w14:solidFill>
          </w14:textFill>
        </w:rPr>
        <w:br w:type="page" w:clear="all"/>
      </w:r>
      <w:bookmarkStart w:id="62" w:name="_Toc27300"/>
      <w:r>
        <w:rPr>
          <w:rFonts w:hint="eastAsia" w:asci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61"/>
      <w:r/>
      <w:bookmarkStart w:id="63" w:name="_Toc20823274"/>
      <w:r/>
      <w:bookmarkStart w:id="64" w:name="_Toc16938518"/>
      <w:r/>
      <w:bookmarkStart w:id="65" w:name="_Toc120614213"/>
      <w:r/>
      <w:bookmarkStart w:id="66" w:name="_Toc513029202"/>
      <w:r>
        <w:rPr>
          <w:rFonts w:hint="eastAsia" w:ascii="Times New Roman" w:eastAsia="黑体"/>
          <w:color w:val="000000" w:themeColor="text1"/>
          <w:sz w:val="44"/>
          <w:szCs w:val="44"/>
          <w:highlight w:val="none"/>
          <w14:textFill>
            <w14:solidFill>
              <w14:schemeClr w14:val="tx1"/>
            </w14:solidFill>
          </w14:textFill>
        </w:rPr>
        <w:t xml:space="preserve">投标人须知</w:t>
      </w:r>
      <w:bookmarkEnd w:id="62"/>
      <w:r/>
      <w:bookmarkEnd w:id="63"/>
      <w:r/>
      <w:bookmarkEnd w:id="64"/>
      <w:r/>
      <w:bookmarkEnd w:id="65"/>
      <w:r/>
      <w:bookmarkEnd w:id="66"/>
      <w:r/>
      <w:r/>
    </w:p>
    <w:p>
      <w:pPr>
        <w:pStyle w:val="1009"/>
        <w:ind w:firstLine="498"/>
        <w:spacing w:before="0" w:after="0" w:line="560" w:lineRule="exact"/>
        <w:rPr>
          <w:rFonts w:hint="eastAsia"/>
          <w:color w:val="000000" w:themeColor="text1"/>
          <w:highlight w:val="none"/>
          <w14:textFill>
            <w14:solidFill>
              <w14:schemeClr w14:val="tx1"/>
            </w14:solidFill>
          </w14:textFill>
        </w:rPr>
      </w:pPr>
      <w:r/>
      <w:bookmarkStart w:id="67" w:name="_Toc513029203"/>
      <w:r/>
      <w:bookmarkStart w:id="68" w:name="_Toc17539"/>
      <w:r/>
      <w:bookmarkStart w:id="69" w:name="_Toc120614214"/>
      <w:r/>
      <w:bookmarkStart w:id="70" w:name="_Toc16938519"/>
      <w:r/>
      <w:bookmarkStart w:id="71" w:name="_Toc158281549"/>
      <w:r/>
      <w:bookmarkStart w:id="72" w:name="_Toc20823275"/>
      <w:r>
        <w:rPr>
          <w:rFonts w:hint="eastAsia"/>
          <w:color w:val="000000" w:themeColor="text1"/>
          <w:highlight w:val="none"/>
          <w14:textFill>
            <w14:solidFill>
              <w14:schemeClr w14:val="tx1"/>
            </w14:solidFill>
          </w14:textFill>
        </w:rPr>
        <w:t xml:space="preserve">一、总则</w:t>
      </w:r>
      <w:bookmarkEnd w:id="67"/>
      <w:r/>
      <w:bookmarkEnd w:id="68"/>
      <w:r/>
      <w:bookmarkEnd w:id="69"/>
      <w:r/>
      <w:bookmarkEnd w:id="70"/>
      <w:r/>
      <w:bookmarkEnd w:id="71"/>
      <w:r/>
      <w:bookmarkEnd w:id="72"/>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3" w:name="_Hlt16619475"/>
      <w:r/>
      <w:bookmarkEnd w:id="73"/>
      <w:r/>
      <w:bookmarkStart w:id="74" w:name="_Toc458694821"/>
      <w:r/>
      <w:bookmarkStart w:id="75" w:name="_Toc16938520"/>
      <w:r/>
      <w:bookmarkStart w:id="76" w:name="_Toc20823276"/>
      <w:r/>
      <w:bookmarkStart w:id="77" w:name="_Toc513029204"/>
      <w:r>
        <w:rPr>
          <w:rFonts w:hint="eastAsia" w:ascii="Times New Roman" w:hAnsi="Times New Roman"/>
          <w:b w:val="0"/>
          <w:bCs w:val="0"/>
          <w:color w:val="000000" w:themeColor="text1"/>
          <w:highlight w:val="none"/>
          <w14:textFill>
            <w14:solidFill>
              <w14:schemeClr w14:val="tx1"/>
            </w14:solidFill>
          </w14:textFill>
        </w:rPr>
        <w:t xml:space="preserve">1</w:t>
      </w:r>
      <w:bookmarkEnd w:id="74"/>
      <w:r>
        <w:rPr>
          <w:rFonts w:hint="eastAsia" w:ascii="Times New Roman" w:hAnsi="Times New Roman"/>
          <w:b w:val="0"/>
          <w:bCs w:val="0"/>
          <w:color w:val="000000" w:themeColor="text1"/>
          <w:highlight w:val="none"/>
          <w14:textFill>
            <w14:solidFill>
              <w14:schemeClr w14:val="tx1"/>
            </w14:solidFill>
          </w14:textFill>
        </w:rPr>
        <w:t xml:space="preserve">、招标方式</w:t>
      </w:r>
      <w:bookmarkEnd w:id="75"/>
      <w:r/>
      <w:bookmarkEnd w:id="76"/>
      <w:r/>
      <w:bookmarkEnd w:id="77"/>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8" w:name="_Toc16938521"/>
      <w:r/>
      <w:bookmarkStart w:id="79" w:name="_Toc513029205"/>
      <w:r/>
      <w:bookmarkStart w:id="80" w:name="_Toc20823277"/>
      <w:r>
        <w:rPr>
          <w:rFonts w:hint="eastAsia" w:ascii="Times New Roman" w:hAnsi="Times New Roman"/>
          <w:b w:val="0"/>
          <w:bCs w:val="0"/>
          <w:color w:val="000000" w:themeColor="text1"/>
          <w:highlight w:val="none"/>
          <w14:textFill>
            <w14:solidFill>
              <w14:schemeClr w14:val="tx1"/>
            </w14:solidFill>
          </w14:textFill>
        </w:rPr>
        <w:t xml:space="preserve">2、合格的投标人</w:t>
      </w:r>
      <w:bookmarkEnd w:id="78"/>
      <w:r/>
      <w:bookmarkEnd w:id="79"/>
      <w:r/>
      <w:bookmarkEnd w:id="80"/>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2.1满足招标公告中投标人的资格要求的规定。</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满足本文件实质性要求和条件的规定。</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1" w:name="_Toc20823278"/>
      <w:r/>
      <w:bookmarkStart w:id="82" w:name="_Toc16938522"/>
      <w:r/>
      <w:bookmarkStart w:id="83" w:name="_Toc513029206"/>
      <w:r>
        <w:rPr>
          <w:rFonts w:hint="eastAsia" w:ascii="Times New Roman" w:hAnsi="Times New Roman"/>
          <w:b w:val="0"/>
          <w:bCs w:val="0"/>
          <w:color w:val="000000" w:themeColor="text1"/>
          <w:highlight w:val="none"/>
          <w14:textFill>
            <w14:solidFill>
              <w14:schemeClr w14:val="tx1"/>
            </w14:solidFill>
          </w14:textFill>
        </w:rPr>
        <w:t xml:space="preserve">3、适用法律</w:t>
      </w:r>
      <w:bookmarkEnd w:id="81"/>
      <w:r/>
      <w:bookmarkEnd w:id="82"/>
      <w:r/>
      <w:bookmarkEnd w:id="83"/>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4" w:name="_Toc20823279"/>
      <w:r/>
      <w:bookmarkStart w:id="85" w:name="_Toc16938523"/>
      <w:r/>
      <w:bookmarkStart w:id="86" w:name="_Toc462564067"/>
      <w:r/>
      <w:bookmarkStart w:id="87" w:name="_Toc513029207"/>
      <w:r>
        <w:rPr>
          <w:rFonts w:hint="eastAsia" w:ascii="Times New Roman" w:hAnsi="Times New Roman"/>
          <w:b w:val="0"/>
          <w:bCs w:val="0"/>
          <w:color w:val="000000" w:themeColor="text1"/>
          <w:highlight w:val="none"/>
          <w14:textFill>
            <w14:solidFill>
              <w14:schemeClr w14:val="tx1"/>
            </w14:solidFill>
          </w14:textFill>
        </w:rPr>
        <w:t xml:space="preserve">4、投标费用</w:t>
      </w:r>
      <w:bookmarkEnd w:id="84"/>
      <w:r/>
      <w:bookmarkEnd w:id="85"/>
      <w:r/>
      <w:bookmarkEnd w:id="86"/>
      <w:r/>
      <w:bookmarkEnd w:id="87"/>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color w:val="000000" w:themeColor="text1"/>
          <w:sz w:val="24"/>
          <w:highlight w:val="none"/>
          <w:u w:val="single"/>
          <w14:textFill>
            <w14:solidFill>
              <w14:schemeClr w14:val="tx1"/>
            </w14:solidFill>
          </w14:textFill>
        </w:rPr>
        <w:t xml:space="preserve">江苏思迈工程咨询管理有限公司</w:t>
      </w:r>
      <w:r>
        <w:rPr>
          <w:rFonts w:hint="eastAsia"/>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4.2代理费用收取方式及标准：按以下第</w:t>
      </w:r>
      <w:r>
        <w:rPr>
          <w:rFonts w:hint="eastAsia"/>
          <w:color w:val="000000" w:themeColor="text1"/>
          <w:sz w:val="24"/>
          <w:highlight w:val="none"/>
          <w:u w:val="singl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种方式执行</w:t>
      </w:r>
      <w:r/>
    </w:p>
    <w:p>
      <w:pPr>
        <w:ind w:firstLine="480"/>
        <w:spacing w:line="560" w:lineRule="exact"/>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（1）无需支付；</w:t>
      </w:r>
      <w:r/>
    </w:p>
    <w:p>
      <w:pPr>
        <w:ind w:firstLine="480"/>
        <w:spacing w:line="560" w:lineRule="exact"/>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（2）具体方式及标准为：</w:t>
      </w:r>
      <w:r>
        <w:rPr>
          <w:rFonts w:hint="eastAsia"/>
          <w:color w:val="000000" w:themeColor="text1"/>
          <w:sz w:val="24"/>
          <w:highlight w:val="none"/>
          <w:lang w:val="en-US" w:eastAsia="zh-CN"/>
          <w14:textFill>
            <w14:solidFill>
              <w14:schemeClr w14:val="tx1"/>
            </w14:solidFill>
          </w14:textFill>
        </w:rPr>
        <w:t xml:space="preserve">由采购人支付，</w:t>
      </w:r>
      <w:r>
        <w:rPr>
          <w:rFonts w:hint="eastAsia"/>
          <w:color w:val="000000" w:themeColor="text1"/>
          <w:sz w:val="24"/>
          <w:highlight w:val="none"/>
          <w:lang w:val="zh-CN"/>
          <w14:textFill>
            <w14:solidFill>
              <w14:schemeClr w14:val="tx1"/>
            </w14:solidFill>
          </w14:textFill>
        </w:rPr>
        <w:t xml:space="preserve">按苏招协【</w:t>
      </w:r>
      <w:r>
        <w:rPr>
          <w:rFonts w:hint="eastAsia"/>
          <w:color w:val="000000" w:themeColor="text1"/>
          <w:sz w:val="24"/>
          <w:highlight w:val="none"/>
          <w14:textFill>
            <w14:solidFill>
              <w14:schemeClr w14:val="tx1"/>
            </w14:solidFill>
          </w14:textFill>
        </w:rPr>
        <w:t xml:space="preserve">2022</w:t>
      </w:r>
      <w:r>
        <w:rPr>
          <w:rFonts w:hint="eastAsia"/>
          <w:color w:val="000000" w:themeColor="text1"/>
          <w:sz w:val="24"/>
          <w:highlight w:val="none"/>
          <w:lang w:val="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002号</w:t>
      </w:r>
      <w:r>
        <w:rPr>
          <w:rFonts w:hint="eastAsia"/>
          <w:color w:val="000000" w:themeColor="text1"/>
          <w:sz w:val="24"/>
          <w:highlight w:val="none"/>
          <w:lang w:val="zh-CN"/>
          <w14:textFill>
            <w14:solidFill>
              <w14:schemeClr w14:val="tx1"/>
            </w14:solidFill>
          </w14:textFill>
        </w:rPr>
        <w:t xml:space="preserve">文件规定标准</w:t>
      </w:r>
      <w:r>
        <w:rPr>
          <w:rFonts w:hint="eastAsia"/>
          <w:color w:val="000000" w:themeColor="text1"/>
          <w:sz w:val="24"/>
          <w:highlight w:val="none"/>
          <w:lang w:val="en-US" w:eastAsia="zh-CN"/>
          <w14:textFill>
            <w14:solidFill>
              <w14:schemeClr w14:val="tx1"/>
            </w14:solidFill>
          </w14:textFill>
        </w:rPr>
        <w:t xml:space="preserve">54%</w:t>
      </w:r>
      <w:r>
        <w:rPr>
          <w:rFonts w:hint="eastAsia"/>
          <w:color w:val="000000" w:themeColor="text1"/>
          <w:sz w:val="24"/>
          <w:highlight w:val="none"/>
          <w:lang w:val="zh-CN"/>
          <w14:textFill>
            <w14:solidFill>
              <w14:schemeClr w14:val="tx1"/>
            </w14:solidFill>
          </w14:textFill>
        </w:rPr>
        <w:t xml:space="preserve">向采购代理机构支付代理服务费、评审费。支付方式可以通过转账或数字人民币等方式。</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5、招标文件的约束力</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5.1</w:t>
      </w:r>
      <w:r>
        <w:rPr>
          <w:rFonts w:hint="eastAsia"/>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09"/>
        <w:ind w:firstLine="321"/>
        <w:spacing w:before="0" w:after="0" w:line="560" w:lineRule="exact"/>
        <w:rPr>
          <w:rFonts w:hint="eastAsia"/>
          <w:color w:val="000000" w:themeColor="text1"/>
          <w:highlight w:val="none"/>
          <w14:textFill>
            <w14:solidFill>
              <w14:schemeClr w14:val="tx1"/>
            </w14:solidFill>
          </w14:textFill>
        </w:rPr>
      </w:pPr>
      <w:r/>
      <w:bookmarkStart w:id="88" w:name="_Toc120614215"/>
      <w:r/>
      <w:bookmarkStart w:id="89" w:name="_Toc16938525"/>
      <w:r/>
      <w:bookmarkStart w:id="90" w:name="_Toc158281550"/>
      <w:r/>
      <w:bookmarkStart w:id="91" w:name="_Toc513029209"/>
      <w:r/>
      <w:bookmarkStart w:id="92" w:name="_Toc13665"/>
      <w:r/>
      <w:bookmarkStart w:id="93" w:name="_Toc20823281"/>
      <w:r>
        <w:rPr>
          <w:rFonts w:hint="eastAsia"/>
          <w:color w:val="000000" w:themeColor="text1"/>
          <w:highlight w:val="none"/>
          <w14:textFill>
            <w14:solidFill>
              <w14:schemeClr w14:val="tx1"/>
            </w14:solidFill>
          </w14:textFill>
        </w:rPr>
        <w:t xml:space="preserve">二、招标文件</w:t>
      </w:r>
      <w:bookmarkEnd w:id="88"/>
      <w:r/>
      <w:bookmarkEnd w:id="89"/>
      <w:r/>
      <w:bookmarkEnd w:id="90"/>
      <w:r/>
      <w:bookmarkEnd w:id="91"/>
      <w:r/>
      <w:bookmarkEnd w:id="92"/>
      <w:r/>
      <w:bookmarkEnd w:id="93"/>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4" w:name="_Toc513029210"/>
      <w:r/>
      <w:bookmarkStart w:id="95" w:name="_Toc20823282"/>
      <w:r/>
      <w:bookmarkStart w:id="96" w:name="_Toc16938526"/>
      <w:r>
        <w:rPr>
          <w:rFonts w:hint="eastAsia" w:ascii="Times New Roman" w:hAnsi="Times New Roman"/>
          <w:b w:val="0"/>
          <w:bCs w:val="0"/>
          <w:color w:val="000000" w:themeColor="text1"/>
          <w:highlight w:val="none"/>
          <w14:textFill>
            <w14:solidFill>
              <w14:schemeClr w14:val="tx1"/>
            </w14:solidFill>
          </w14:textFill>
        </w:rPr>
        <w:t xml:space="preserve">6、招标文件构成</w:t>
      </w:r>
      <w:bookmarkEnd w:id="94"/>
      <w:r/>
      <w:bookmarkEnd w:id="95"/>
      <w:r/>
      <w:bookmarkEnd w:id="96"/>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6.1</w:t>
      </w:r>
      <w:r>
        <w:rPr>
          <w:rFonts w:hint="eastAsia"/>
          <w:color w:val="000000" w:themeColor="text1"/>
          <w:sz w:val="24"/>
          <w:highlight w:val="none"/>
          <w14:textFill>
            <w14:solidFill>
              <w14:schemeClr w14:val="tx1"/>
            </w14:solidFill>
          </w14:textFill>
        </w:rPr>
        <w:t xml:space="preserve"> 招标文件由以下部分组成：</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w:t>
      </w:r>
      <w:r>
        <w:rPr>
          <w:color w:val="000000" w:themeColor="text1"/>
          <w:sz w:val="24"/>
          <w:szCs w:val="24"/>
          <w:highlight w:val="none"/>
          <w14:textFill>
            <w14:solidFill>
              <w14:schemeClr w14:val="tx1"/>
            </w14:solidFill>
          </w14:textFill>
        </w:rPr>
        <w:t xml:space="preserve">邀请</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（2）投标人须知</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6.2</w:t>
      </w:r>
      <w:r>
        <w:rPr>
          <w:rFonts w:hint="eastAsia"/>
          <w:color w:val="000000" w:themeColor="text1"/>
          <w:sz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7" w:name="_Toc513029211"/>
      <w:r/>
      <w:bookmarkStart w:id="98" w:name="_Toc20823283"/>
      <w:r/>
      <w:bookmarkStart w:id="99" w:name="_Toc16938527"/>
      <w:r/>
      <w:bookmarkStart w:id="100" w:name="_Toc462564070"/>
      <w:r>
        <w:rPr>
          <w:rFonts w:hint="eastAsia" w:ascii="Times New Roman" w:hAnsi="Times New Roman"/>
          <w:b w:val="0"/>
          <w:bCs w:val="0"/>
          <w:color w:val="000000" w:themeColor="text1"/>
          <w:highlight w:val="none"/>
          <w14:textFill>
            <w14:solidFill>
              <w14:schemeClr w14:val="tx1"/>
            </w14:solidFill>
          </w14:textFill>
        </w:rPr>
        <w:t xml:space="preserve">7、招标文件的澄清</w:t>
      </w:r>
      <w:bookmarkEnd w:id="97"/>
      <w:r/>
      <w:bookmarkEnd w:id="98"/>
      <w:r/>
      <w:bookmarkEnd w:id="99"/>
      <w:r/>
      <w:bookmarkEnd w:id="100"/>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7.1</w:t>
      </w:r>
      <w:r>
        <w:rPr>
          <w:rFonts w:hint="eastAsia"/>
          <w:color w:val="000000" w:themeColor="text1"/>
          <w:sz w:val="24"/>
          <w:highlight w:val="none"/>
          <w14:textFill>
            <w14:solidFill>
              <w14:schemeClr w14:val="tx1"/>
            </w14:solidFill>
          </w14:textFill>
        </w:rPr>
        <w:t xml:space="preserve"> 任何要求对招标文件进行澄清的投标人，应在投标截止期</w:t>
      </w:r>
      <w:r>
        <w:rPr>
          <w:rFonts w:hint="eastAsia"/>
          <w:b/>
          <w:color w:val="000000" w:themeColor="text1"/>
          <w:sz w:val="24"/>
          <w:highlight w:val="none"/>
          <w14:textFill>
            <w14:solidFill>
              <w14:schemeClr w14:val="tx1"/>
            </w14:solidFill>
          </w14:textFill>
        </w:rPr>
        <w:t xml:space="preserve">十日</w:t>
      </w:r>
      <w:r>
        <w:rPr>
          <w:rFonts w:hint="eastAsia"/>
          <w:color w:val="000000" w:themeColor="text1"/>
          <w:sz w:val="24"/>
          <w:highlight w:val="none"/>
          <w14:textFill>
            <w14:solidFill>
              <w14:schemeClr w14:val="tx1"/>
            </w14:solidFill>
          </w14:textFill>
        </w:rPr>
        <w:t xml:space="preserve">前按招标公告中的通讯地址，以书面形式通知采购代理机构。</w:t>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01" w:name="_Toc20823284"/>
      <w:r/>
      <w:bookmarkStart w:id="102" w:name="_Toc16938528"/>
      <w:r/>
      <w:bookmarkStart w:id="103" w:name="_Toc462564071"/>
      <w:r/>
      <w:bookmarkStart w:id="104" w:name="_Toc513029212"/>
      <w:r>
        <w:rPr>
          <w:rFonts w:hint="eastAsia" w:ascii="Times New Roman" w:hAnsi="Times New Roman"/>
          <w:b w:val="0"/>
          <w:bCs w:val="0"/>
          <w:color w:val="000000" w:themeColor="text1"/>
          <w:highlight w:val="none"/>
          <w14:textFill>
            <w14:solidFill>
              <w14:schemeClr w14:val="tx1"/>
            </w14:solidFill>
          </w14:textFill>
        </w:rPr>
        <w:t xml:space="preserve">8、招标文件的修改</w:t>
      </w:r>
      <w:bookmarkEnd w:id="101"/>
      <w:r/>
      <w:bookmarkEnd w:id="102"/>
      <w:r/>
      <w:bookmarkEnd w:id="103"/>
      <w:r/>
      <w:bookmarkEnd w:id="104"/>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8.2 在投标截止时</w:t>
      </w:r>
      <w:r>
        <w:rPr>
          <w:rFonts w:hint="eastAsia"/>
          <w:bCs/>
          <w:color w:val="000000" w:themeColor="text1"/>
          <w:sz w:val="24"/>
          <w:highlight w:val="none"/>
          <w:lang w:eastAsia="zh-CN"/>
          <w14:textFill>
            <w14:solidFill>
              <w14:schemeClr w14:val="tx1"/>
            </w14:solidFill>
          </w14:textFill>
        </w:rPr>
        <w:t xml:space="preserve">间之</w:t>
      </w:r>
      <w:r>
        <w:rPr>
          <w:rFonts w:hint="eastAsia"/>
          <w:bCs/>
          <w:color w:val="000000" w:themeColor="text1"/>
          <w:sz w:val="24"/>
          <w:highlight w:val="none"/>
          <w14:textFill>
            <w14:solidFill>
              <w14:schemeClr w14:val="tx1"/>
            </w14:solidFill>
          </w14:textFill>
        </w:rPr>
        <w:t xml:space="preserve">前，采购代理机构可以对招标文件进行修改。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8.3 采购代理机构有权按照法定的要求推迟投标截止日期和开标日期。</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05" w:name="_Toc158281551"/>
      <w:r/>
      <w:bookmarkStart w:id="106" w:name="_Toc513029213"/>
      <w:r/>
      <w:bookmarkStart w:id="107" w:name="_Toc19654"/>
      <w:r/>
      <w:bookmarkStart w:id="108" w:name="_Toc120614216"/>
      <w:r/>
      <w:bookmarkStart w:id="109" w:name="_Toc20823285"/>
      <w:r/>
      <w:bookmarkStart w:id="110" w:name="_Toc462564072"/>
      <w:r/>
      <w:bookmarkStart w:id="111" w:name="_Toc16938529"/>
      <w:r>
        <w:rPr>
          <w:rFonts w:hint="eastAsia"/>
          <w:color w:val="000000" w:themeColor="text1"/>
          <w:highlight w:val="none"/>
          <w14:textFill>
            <w14:solidFill>
              <w14:schemeClr w14:val="tx1"/>
            </w14:solidFill>
          </w14:textFill>
        </w:rPr>
        <w:t xml:space="preserve">三、投标文件的编制</w:t>
      </w:r>
      <w:bookmarkEnd w:id="105"/>
      <w:r/>
      <w:bookmarkEnd w:id="106"/>
      <w:r/>
      <w:bookmarkEnd w:id="107"/>
      <w:r/>
      <w:bookmarkEnd w:id="108"/>
      <w:r/>
      <w:bookmarkEnd w:id="109"/>
      <w:r/>
      <w:bookmarkEnd w:id="110"/>
      <w:r/>
      <w:bookmarkEnd w:id="111"/>
      <w:r/>
      <w:r/>
    </w:p>
    <w:p>
      <w:pPr>
        <w:pStyle w:val="1010"/>
        <w:ind w:firstLine="560"/>
        <w:spacing w:before="0" w:after="0" w:line="560" w:lineRule="exact"/>
        <w:rPr>
          <w:rFonts w:hint="eastAsia" w:ascii="Times New Roman" w:hAnsi="Times New Roman"/>
          <w:bCs w:val="0"/>
          <w:color w:val="000000" w:themeColor="text1"/>
          <w:highlight w:val="none"/>
          <w14:textFill>
            <w14:solidFill>
              <w14:schemeClr w14:val="tx1"/>
            </w14:solidFill>
          </w14:textFill>
        </w:rPr>
      </w:pPr>
      <w:r/>
      <w:bookmarkStart w:id="112" w:name="_Toc513029214"/>
      <w:r/>
      <w:bookmarkStart w:id="113" w:name="_Toc16938530"/>
      <w:r/>
      <w:bookmarkStart w:id="114" w:name="_Toc20823286"/>
      <w:r/>
      <w:bookmarkStart w:id="115" w:name="_Toc462564073"/>
      <w:r>
        <w:rPr>
          <w:rFonts w:hint="eastAsia" w:ascii="Times New Roman" w:hAnsi="Times New Roman"/>
          <w:b w:val="0"/>
          <w:bCs w:val="0"/>
          <w:color w:val="000000" w:themeColor="text1"/>
          <w:highlight w:val="none"/>
          <w14:textFill>
            <w14:solidFill>
              <w14:schemeClr w14:val="tx1"/>
            </w14:solidFill>
          </w14:textFill>
        </w:rPr>
        <w:t xml:space="preserve">9、投标文件的语言及度量衡单位</w:t>
      </w:r>
      <w:bookmarkEnd w:id="112"/>
      <w:r/>
      <w:bookmarkEnd w:id="113"/>
      <w:r/>
      <w:bookmarkEnd w:id="114"/>
      <w:r/>
      <w:bookmarkEnd w:id="115"/>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9.1</w:t>
      </w:r>
      <w:r>
        <w:rPr>
          <w:rFonts w:hint="eastAsia"/>
          <w:color w:val="000000" w:themeColor="text1"/>
          <w:sz w:val="24"/>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b/>
          <w:bCs/>
          <w:color w:val="000000" w:themeColor="text1"/>
          <w:sz w:val="24"/>
          <w:highlight w:val="none"/>
          <w14:textFill>
            <w14:solidFill>
              <w14:schemeClr w14:val="tx1"/>
            </w14:solidFill>
          </w14:textFill>
        </w:rPr>
        <w:t xml:space="preserve">简体中文</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9.2</w:t>
      </w:r>
      <w:r>
        <w:rPr>
          <w:rFonts w:hint="eastAsia"/>
          <w:color w:val="000000" w:themeColor="text1"/>
          <w:sz w:val="24"/>
          <w:highlight w:val="none"/>
          <w14:textFill>
            <w14:solidFill>
              <w14:schemeClr w14:val="tx1"/>
            </w14:solidFill>
          </w14:textFill>
        </w:rPr>
        <w:t xml:space="preserve"> 除技术性能另有规定外，投标文件所使用的度量衡单位，均须采用国家法定计量单位。</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16" w:name="_Toc20823287"/>
      <w:r/>
      <w:bookmarkStart w:id="117" w:name="_Toc16938531"/>
      <w:r/>
      <w:bookmarkStart w:id="118" w:name="_Toc513029215"/>
      <w:r/>
      <w:bookmarkStart w:id="119" w:name="_Toc462564074"/>
      <w:r>
        <w:rPr>
          <w:rFonts w:hint="eastAsia" w:ascii="Times New Roman" w:hAnsi="Times New Roman"/>
          <w:b w:val="0"/>
          <w:bCs w:val="0"/>
          <w:color w:val="000000" w:themeColor="text1"/>
          <w:highlight w:val="none"/>
          <w14:textFill>
            <w14:solidFill>
              <w14:schemeClr w14:val="tx1"/>
            </w14:solidFill>
          </w14:textFill>
        </w:rPr>
        <w:t xml:space="preserve">10、投标文件构成</w:t>
      </w:r>
      <w:bookmarkEnd w:id="116"/>
      <w:r/>
      <w:bookmarkEnd w:id="117"/>
      <w:r/>
      <w:bookmarkEnd w:id="118"/>
      <w:r/>
      <w:bookmarkEnd w:id="119"/>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各投标人在编制投标文件时请按照招标文件第六</w:t>
      </w:r>
      <w:r>
        <w:rPr>
          <w:rFonts w:hint="eastAsia"/>
          <w:bCs/>
          <w:color w:val="000000" w:themeColor="text1"/>
          <w:sz w:val="24"/>
          <w:highlight w:val="none"/>
          <w14:textFill>
            <w14:solidFill>
              <w14:schemeClr w14:val="tx1"/>
            </w14:solidFill>
          </w14:textFill>
        </w:rPr>
        <w:t xml:space="preserve">章</w:t>
      </w:r>
      <w:r>
        <w:rPr>
          <w:rFonts w:hint="eastAsia"/>
          <w:bCs/>
          <w:color w:val="000000" w:themeColor="text1"/>
          <w:sz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（即电子投标）。</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使用政府采购客户端工具制作并通过“苏采云”系统提交，未进行</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提交并解密的投标人，按照无效响应处理(因“苏采云”系统导致解密失败的除外)。</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60" w:lineRule="exact"/>
        <w:rPr>
          <w:bCs/>
          <w:color w:val="000000" w:themeColor="text1"/>
          <w:sz w:val="24"/>
          <w:highlight w:val="none"/>
          <w14:textFill>
            <w14:solidFill>
              <w14:schemeClr w14:val="tx1"/>
            </w14:solidFill>
          </w14:textFill>
        </w:rPr>
      </w:pPr>
      <w:r/>
      <w:bookmarkStart w:id="120" w:name="EBc50e2bb832bb43068403b10c1cce6141"/>
      <w:r>
        <w:rPr>
          <w:rFonts w:hint="eastAsia"/>
          <w:bCs/>
          <w:color w:val="000000" w:themeColor="text1"/>
          <w:sz w:val="24"/>
          <w:highlight w:val="none"/>
          <w14:textFill>
            <w14:solidFill>
              <w14:schemeClr w14:val="tx1"/>
            </w14:solidFill>
          </w14:textFill>
        </w:rPr>
        <w:t xml:space="preserve">注：（1）投标文件构成资料为非中文时应提供中文译版；（2）招标文件要求提供证书证件等</w:t>
      </w:r>
      <w:r>
        <w:rPr>
          <w:rFonts w:hint="eastAsia"/>
          <w:bCs/>
          <w:color w:val="000000" w:themeColor="text1"/>
          <w:sz w:val="24"/>
          <w:highlight w:val="none"/>
          <w:lang w:eastAsia="zh-CN"/>
          <w14:textFill>
            <w14:solidFill>
              <w14:schemeClr w14:val="tx1"/>
            </w14:solidFill>
          </w14:textFill>
        </w:rPr>
        <w:t xml:space="preserve">原件扫描件</w:t>
      </w:r>
      <w:r>
        <w:rPr>
          <w:rFonts w:hint="eastAsia"/>
          <w:bCs/>
          <w:color w:val="000000" w:themeColor="text1"/>
          <w:sz w:val="24"/>
          <w:highlight w:val="none"/>
          <w14:textFill>
            <w14:solidFill>
              <w14:schemeClr w14:val="tx1"/>
            </w14:solidFill>
          </w14:textFill>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0"/>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21" w:name="_Hlt26954838"/>
      <w:r/>
      <w:bookmarkEnd w:id="121"/>
      <w:r/>
      <w:bookmarkStart w:id="122" w:name="_Hlt26668975"/>
      <w:r/>
      <w:bookmarkEnd w:id="122"/>
      <w:r/>
      <w:bookmarkStart w:id="123" w:name="_Hlt26670360"/>
      <w:r/>
      <w:bookmarkEnd w:id="123"/>
      <w:r/>
      <w:bookmarkStart w:id="124" w:name="_Toc513029216"/>
      <w:r/>
      <w:bookmarkStart w:id="125" w:name="_Toc49090509"/>
      <w:r/>
      <w:bookmarkStart w:id="126" w:name="_Toc513029219"/>
      <w:r/>
      <w:bookmarkStart w:id="127" w:name="_Toc49090507"/>
      <w:r/>
      <w:bookmarkStart w:id="128" w:name="_Toc14577354"/>
      <w:r/>
      <w:bookmarkStart w:id="129" w:name="_Toc14577357"/>
      <w:r>
        <w:rPr>
          <w:rFonts w:hint="eastAsia" w:ascii="Times New Roman" w:hAnsi="Times New Roman"/>
          <w:b w:val="0"/>
          <w:bCs w:val="0"/>
          <w:color w:val="000000" w:themeColor="text1"/>
          <w:highlight w:val="none"/>
          <w14:textFill>
            <w14:solidFill>
              <w14:schemeClr w14:val="tx1"/>
            </w14:solidFill>
          </w14:textFill>
        </w:rPr>
        <w:t xml:space="preserve">11、证明投标人及投标标的符合招标文件规定的文件</w:t>
      </w:r>
      <w:bookmarkEnd w:id="124"/>
      <w:r/>
      <w:bookmarkEnd w:id="125"/>
      <w:r/>
      <w:bookmarkEnd w:id="126"/>
      <w:r/>
      <w:bookmarkEnd w:id="127"/>
      <w:r/>
      <w:bookmarkEnd w:id="128"/>
      <w:r/>
      <w:bookmarkEnd w:id="129"/>
      <w:r/>
      <w:r/>
    </w:p>
    <w:p>
      <w:pPr>
        <w:spacing w:line="560" w:lineRule="exact"/>
        <w:rPr>
          <w:rFonts w:hint="eastAsia"/>
          <w:color w:val="000000" w:themeColor="text1"/>
          <w:sz w:val="24"/>
          <w:szCs w:val="24"/>
          <w:highlight w:val="none"/>
          <w14:textFill>
            <w14:solidFill>
              <w14:schemeClr w14:val="tx1"/>
            </w14:solidFill>
          </w14:textFill>
        </w:rPr>
      </w:pPr>
      <w:r/>
      <w:bookmarkStart w:id="130" w:name="_Toc14577355"/>
      <w:r/>
      <w:bookmarkStart w:id="131" w:name="_Toc49090508"/>
      <w:r>
        <w:rPr>
          <w:rFonts w:hint="eastAsia"/>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12、投标分项报价</w:t>
      </w:r>
      <w:bookmarkEnd w:id="130"/>
      <w:r/>
      <w:bookmarkStart w:id="132" w:name="_Hlt26670373"/>
      <w:r/>
      <w:bookmarkEnd w:id="132"/>
      <w:r>
        <w:rPr>
          <w:rFonts w:hint="eastAsia" w:ascii="Times New Roman" w:hAnsi="Times New Roman"/>
          <w:b w:val="0"/>
          <w:bCs w:val="0"/>
          <w:color w:val="000000" w:themeColor="text1"/>
          <w:highlight w:val="none"/>
          <w14:textFill>
            <w14:solidFill>
              <w14:schemeClr w14:val="tx1"/>
            </w14:solidFill>
          </w14:textFill>
        </w:rPr>
        <w:t xml:space="preserve">表</w:t>
      </w:r>
      <w:bookmarkEnd w:id="131"/>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12.1</w:t>
      </w:r>
      <w:r>
        <w:rPr>
          <w:rFonts w:hint="eastAsia"/>
          <w:color w:val="000000" w:themeColor="text1"/>
          <w:sz w:val="24"/>
          <w:highlight w:val="none"/>
          <w14:textFill>
            <w14:solidFill>
              <w14:schemeClr w14:val="tx1"/>
            </w14:solidFill>
          </w14:textFill>
        </w:rPr>
        <w:t xml:space="preserve"> 投</w:t>
      </w:r>
      <w:bookmarkStart w:id="133" w:name="_Hlt26954840"/>
      <w:r/>
      <w:bookmarkEnd w:id="133"/>
      <w:r>
        <w:rPr>
          <w:rFonts w:hint="eastAsia"/>
          <w:color w:val="000000" w:themeColor="text1"/>
          <w:sz w:val="24"/>
          <w:highlight w:val="none"/>
          <w14:textFill>
            <w14:solidFill>
              <w14:schemeClr w14:val="tx1"/>
            </w14:solidFill>
          </w14:textFill>
        </w:rPr>
        <w:t xml:space="preserve">标人应按照招标文件规定格式填报投标分项报价表</w:t>
      </w:r>
      <w:bookmarkStart w:id="134" w:name="_Hlt26670399"/>
      <w:r/>
      <w:bookmarkEnd w:id="134"/>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12.2</w:t>
      </w:r>
      <w:r>
        <w:rPr>
          <w:rFonts w:hint="eastAsia"/>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highlight w:val="none"/>
          <w14:textFill>
            <w14:solidFill>
              <w14:schemeClr w14:val="tx1"/>
            </w14:solidFill>
          </w14:textFill>
        </w:rPr>
        <w:t xml:space="preserve">招标文件中另有规定的按规定执行。</w:t>
      </w:r>
      <w:r/>
    </w:p>
    <w:p>
      <w:pPr>
        <w:pStyle w:val="1010"/>
        <w:ind w:firstLine="420"/>
        <w:spacing w:before="0" w:after="0" w:line="560" w:lineRule="exact"/>
        <w:rPr>
          <w:rFonts w:hint="eastAsia" w:ascii="Times New Roman" w:hAnsi="Times New Roman" w:eastAsia="宋体"/>
          <w:b w:val="0"/>
          <w:color w:val="000000" w:themeColor="text1"/>
          <w:sz w:val="24"/>
          <w:szCs w:val="21"/>
          <w:highlight w:val="none"/>
          <w14:textFill>
            <w14:solidFill>
              <w14:schemeClr w14:val="tx1"/>
            </w14:solidFill>
          </w14:textFill>
        </w:rPr>
      </w:pPr>
      <w:r>
        <w:rPr>
          <w:rFonts w:hint="eastAsia" w:ascii="Times New Roman" w:hAnsi="Times New Roman" w:eastAsia="宋体"/>
          <w:b w:val="0"/>
          <w:color w:val="000000" w:themeColor="text1"/>
          <w:sz w:val="24"/>
          <w:szCs w:val="21"/>
          <w:highlight w:val="none"/>
          <w14:textFill>
            <w14:solidFill>
              <w14:schemeClr w14:val="tx1"/>
            </w14:solidFill>
          </w14:textFill>
        </w:rPr>
        <w:t xml:space="preserve">12.3本项目不接受备选的投标方案或有选择的报价，只允许有一个报价。投标报价内容包括：</w:t>
      </w:r>
      <w:bookmarkStart w:id="135" w:name="_Hlt26954731"/>
      <w:r/>
      <w:bookmarkEnd w:id="135"/>
      <w:r/>
      <w:bookmarkStart w:id="136" w:name="_Hlt26954848"/>
      <w:r/>
      <w:bookmarkEnd w:id="136"/>
      <w:r/>
      <w:bookmarkStart w:id="137" w:name="_Hlt26670482"/>
      <w:r/>
      <w:bookmarkEnd w:id="137"/>
      <w:r/>
      <w:bookmarkStart w:id="138" w:name="_Hlt26670425"/>
      <w:r/>
      <w:bookmarkEnd w:id="138"/>
      <w:r/>
      <w:bookmarkStart w:id="139" w:name="_Hlt26668983"/>
      <w:r/>
      <w:bookmarkEnd w:id="139"/>
      <w:r/>
      <w:bookmarkStart w:id="140" w:name="_Hlt26670486"/>
      <w:r/>
      <w:bookmarkEnd w:id="140"/>
      <w:r/>
      <w:bookmarkStart w:id="141" w:name="_Hlt26954844"/>
      <w:r/>
      <w:bookmarkEnd w:id="141"/>
      <w:r/>
      <w:bookmarkStart w:id="142" w:name="_Hlt26670403"/>
      <w:r/>
      <w:bookmarkEnd w:id="142"/>
      <w:r/>
      <w:bookmarkStart w:id="143" w:name="_Hlt26954846"/>
      <w:r/>
      <w:bookmarkEnd w:id="143"/>
      <w:r/>
      <w:bookmarkStart w:id="144" w:name="_Hlt26954842"/>
      <w:r/>
      <w:bookmarkEnd w:id="144"/>
      <w:r>
        <w:rPr>
          <w:rFonts w:hint="eastAsia" w:ascii="Times New Roman" w:hAnsi="Times New Roman" w:eastAsia="宋体"/>
          <w:b w:val="0"/>
          <w:color w:val="000000" w:themeColor="text1"/>
          <w:sz w:val="24"/>
          <w:szCs w:val="21"/>
          <w:highlight w:val="none"/>
          <w14:textFill>
            <w14:solidFill>
              <w14:schemeClr w14:val="tx1"/>
            </w14:solidFill>
          </w14:textFill>
        </w:rPr>
        <w:t xml:space="preserve">服务本身的费用以及在提供服务过程中涉及到的其他一切费用。</w:t>
      </w:r>
      <w:r/>
    </w:p>
    <w:p>
      <w:pPr>
        <w:pStyle w:val="1010"/>
        <w:ind w:firstLine="420"/>
        <w:spacing w:before="0" w:after="0" w:line="560" w:lineRule="exac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560" w:lineRule="exact"/>
        <w:rPr>
          <w:rFonts w:hint="eastAsia" w:ascii="宋体" w:hAnsi="Arial" w:cs="宋体"/>
          <w:color w:val="000000" w:themeColor="text1"/>
          <w:sz w:val="24"/>
          <w:highlight w:val="none"/>
          <w:lang w:val="zh-CN"/>
          <w14:textFill>
            <w14:solidFill>
              <w14:schemeClr w14:val="tx1"/>
            </w14:solidFill>
          </w14:textFill>
        </w:rPr>
      </w:pPr>
      <w:r/>
      <w:bookmarkStart w:id="145" w:name="_Toc14577359"/>
      <w:r/>
      <w:bookmarkStart w:id="146" w:name="_Toc49090510"/>
      <w:r>
        <w:rPr>
          <w:rFonts w:ascii="宋体" w:hAnsi="Arial" w:cs="宋体"/>
          <w:bCs/>
          <w:color w:val="000000" w:themeColor="text1"/>
          <w:sz w:val="24"/>
          <w:highlight w:val="none"/>
          <w:lang w:val="zh-CN"/>
          <w14:textFill>
            <w14:solidFill>
              <w14:schemeClr w14:val="tx1"/>
            </w14:solidFill>
          </w14:textFill>
        </w:rPr>
        <w:t xml:space="preserve">1</w:t>
      </w:r>
      <w:r>
        <w:rPr>
          <w:rFonts w:hint="eastAsia" w:ascii="宋体" w:hAnsi="Arial" w:cs="宋体"/>
          <w:bCs/>
          <w:color w:val="000000" w:themeColor="text1"/>
          <w:sz w:val="24"/>
          <w:highlight w:val="none"/>
          <w:lang w:val="zh-CN"/>
          <w14:textFill>
            <w14:solidFill>
              <w14:schemeClr w14:val="tx1"/>
            </w14:solidFill>
          </w14:textFill>
        </w:rPr>
        <w:t xml:space="preserve">3</w:t>
      </w:r>
      <w:r>
        <w:rPr>
          <w:rFonts w:ascii="宋体" w:hAnsi="Arial" w:cs="宋体"/>
          <w:bCs/>
          <w:color w:val="000000" w:themeColor="text1"/>
          <w:sz w:val="24"/>
          <w:highlight w:val="none"/>
          <w:lang w:val="zh-CN"/>
          <w14:textFill>
            <w14:solidFill>
              <w14:schemeClr w14:val="tx1"/>
            </w14:solidFill>
          </w14:textFill>
        </w:rPr>
        <w:t xml:space="preserve">.1</w:t>
      </w:r>
      <w:r>
        <w:rPr>
          <w:rFonts w:ascii="宋体" w:hAnsi="Arial" w:cs="宋体"/>
          <w:color w:val="000000" w:themeColor="text1"/>
          <w:sz w:val="24"/>
          <w:highlight w:val="none"/>
          <w:lang w:val="zh-CN"/>
          <w14:textFill>
            <w14:solidFill>
              <w14:schemeClr w14:val="tx1"/>
            </w14:solidFill>
          </w14:textFill>
        </w:rPr>
        <w:t xml:space="preserve"> </w:t>
      </w:r>
      <w:r>
        <w:rPr>
          <w:rFonts w:hint="eastAsia" w:ascii="宋体" w:hAnsi="Arial" w:cs="宋体"/>
          <w:color w:val="000000" w:themeColor="text1"/>
          <w:sz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lang w:val="zh-CN"/>
          <w14:textFill>
            <w14:solidFill>
              <w14:schemeClr w14:val="tx1"/>
            </w14:solidFill>
          </w14:textFill>
        </w:rPr>
        <w:t xml:space="preserve">13.2 投标人可在投标文件中提供认为需要的其他技术文件或说明。</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14、投标声明及承诺函和开标一览表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14.1</w:t>
      </w:r>
      <w:r>
        <w:rPr>
          <w:rFonts w:hint="eastAsia"/>
          <w:color w:val="000000" w:themeColor="text1"/>
          <w:sz w:val="24"/>
          <w:highlight w:val="none"/>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14.2</w:t>
      </w:r>
      <w:r>
        <w:rPr>
          <w:rFonts w:hint="eastAsia"/>
          <w:color w:val="000000" w:themeColor="text1"/>
          <w:sz w:val="24"/>
          <w:highlight w:val="none"/>
          <w14:textFill>
            <w14:solidFill>
              <w14:schemeClr w14:val="tx1"/>
            </w14:solidFill>
          </w14:textFill>
        </w:rPr>
        <w:t xml:space="preserve"> 对于采用货币报价的项目，</w:t>
      </w:r>
      <w:r>
        <w:rPr>
          <w:rFonts w:hint="eastAsia"/>
          <w:bCs/>
          <w:color w:val="000000" w:themeColor="text1"/>
          <w:sz w:val="24"/>
          <w:highlight w:val="none"/>
          <w14:textFill>
            <w14:solidFill>
              <w14:schemeClr w14:val="tx1"/>
            </w14:solidFill>
          </w14:textFill>
        </w:rPr>
        <w:t xml:space="preserve">开标一览表中的投标总报价应与投标分项报价表中的投标总报价一致，如不一致，</w:t>
      </w:r>
      <w:r>
        <w:rPr>
          <w:rFonts w:hint="eastAsia"/>
          <w:color w:val="000000" w:themeColor="text1"/>
          <w:sz w:val="24"/>
          <w:szCs w:val="24"/>
          <w:highlight w:val="none"/>
          <w14:textFill>
            <w14:solidFill>
              <w14:schemeClr w14:val="tx1"/>
            </w14:solidFill>
          </w14:textFill>
        </w:rPr>
        <w:t xml:space="preserve">不作为无效投标处理</w:t>
      </w:r>
      <w:r>
        <w:rPr>
          <w:rFonts w:hint="eastAsia"/>
          <w:bCs/>
          <w:color w:val="000000" w:themeColor="text1"/>
          <w:sz w:val="24"/>
          <w:highlight w:val="none"/>
          <w14:textFill>
            <w14:solidFill>
              <w14:schemeClr w14:val="tx1"/>
            </w14:solidFill>
          </w14:textFill>
        </w:rPr>
        <w:t xml:space="preserve">，但评标时按开标一览表中价格为准</w:t>
      </w:r>
      <w:r>
        <w:rPr>
          <w:rFonts w:hint="eastAsia"/>
          <w:b/>
          <w:bCs/>
          <w:color w:val="000000" w:themeColor="text1"/>
          <w:sz w:val="24"/>
          <w:highlight w:val="none"/>
          <w14:textFill>
            <w14:solidFill>
              <w14:schemeClr w14:val="tx1"/>
            </w14:solidFill>
          </w14:textFill>
        </w:rPr>
        <w:t xml:space="preserve">。</w:t>
      </w:r>
      <w:bookmarkEnd w:id="145"/>
      <w:r/>
      <w:bookmarkEnd w:id="146"/>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47" w:name="_Hlt26954850"/>
      <w:r/>
      <w:bookmarkEnd w:id="147"/>
      <w:r/>
      <w:bookmarkStart w:id="148" w:name="_Hlt26954734"/>
      <w:r/>
      <w:bookmarkEnd w:id="148"/>
      <w:r/>
      <w:bookmarkStart w:id="149" w:name="_Hlt26670489"/>
      <w:r/>
      <w:bookmarkEnd w:id="149"/>
      <w:r/>
      <w:bookmarkStart w:id="150" w:name="_Toc49090511"/>
      <w:r/>
      <w:bookmarkStart w:id="151" w:name="_Toc14577360"/>
      <w:r>
        <w:rPr>
          <w:rFonts w:hint="eastAsia" w:ascii="Times New Roman" w:hAnsi="Times New Roman"/>
          <w:b w:val="0"/>
          <w:bCs w:val="0"/>
          <w:color w:val="000000" w:themeColor="text1"/>
          <w:highlight w:val="none"/>
          <w14:textFill>
            <w14:solidFill>
              <w14:schemeClr w14:val="tx1"/>
            </w14:solidFill>
          </w14:textFill>
        </w:rPr>
        <w:t xml:space="preserve">15、投标有效期</w:t>
      </w:r>
      <w:bookmarkEnd w:id="150"/>
      <w:r/>
      <w:bookmarkEnd w:id="151"/>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15.1</w:t>
      </w:r>
      <w:r>
        <w:rPr>
          <w:rFonts w:hint="eastAsia"/>
          <w:bCs/>
          <w:color w:val="000000" w:themeColor="text1"/>
          <w:sz w:val="24"/>
          <w:highlight w:val="none"/>
          <w14:textFill>
            <w14:solidFill>
              <w14:schemeClr w14:val="tx1"/>
            </w14:solidFill>
          </w14:textFill>
        </w:rPr>
        <w:t xml:space="preserve"> 投标有效期为开标之日后</w:t>
      </w:r>
      <w:r>
        <w:rPr>
          <w:rFonts w:hint="eastAsia"/>
          <w:b/>
          <w:color w:val="000000" w:themeColor="text1"/>
          <w:sz w:val="24"/>
          <w:highlight w:val="none"/>
          <w:u w:val="single"/>
          <w14:textFill>
            <w14:solidFill>
              <w14:schemeClr w14:val="tx1"/>
            </w14:solidFill>
          </w14:textFill>
        </w:rPr>
        <w:t xml:space="preserve">六十（60）天</w:t>
      </w:r>
      <w:r>
        <w:rPr>
          <w:rFonts w:hint="eastAsia"/>
          <w:bCs/>
          <w:color w:val="000000" w:themeColor="text1"/>
          <w:sz w:val="24"/>
          <w:highlight w:val="none"/>
          <w14:textFill>
            <w14:solidFill>
              <w14:schemeClr w14:val="tx1"/>
            </w14:solidFill>
          </w14:textFill>
        </w:rPr>
        <w:t xml:space="preserve">。投标有效期比规定短的将被视为未实质性响应招标</w:t>
      </w:r>
      <w:r>
        <w:rPr>
          <w:bCs/>
          <w:color w:val="000000" w:themeColor="text1"/>
          <w:sz w:val="24"/>
          <w:highlight w:val="none"/>
          <w14:textFill>
            <w14:solidFill>
              <w14:schemeClr w14:val="tx1"/>
            </w14:solidFill>
          </w14:textFill>
        </w:rPr>
        <w:t xml:space="preserve">文件</w:t>
      </w:r>
      <w:r>
        <w:rPr>
          <w:rFonts w:hint="eastAsia"/>
          <w:bCs/>
          <w:color w:val="000000" w:themeColor="text1"/>
          <w:sz w:val="24"/>
          <w:highlight w:val="none"/>
          <w14:textFill>
            <w14:solidFill>
              <w14:schemeClr w14:val="tx1"/>
            </w14:solidFill>
          </w14:textFill>
        </w:rPr>
        <w:t xml:space="preserve">而予以拒绝。</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16、投标有效期的延长</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16.1</w:t>
      </w:r>
      <w:r>
        <w:rPr>
          <w:rFonts w:hint="eastAsia"/>
          <w:bCs/>
          <w:color w:val="000000" w:themeColor="text1"/>
          <w:sz w:val="24"/>
          <w:highlight w:val="none"/>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16.2中标人的投标文件作为项目服务合同的附件，其有效期至中标人全部合同义务履行完毕为止。 </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52" w:name="_Hlt26954852"/>
      <w:r/>
      <w:bookmarkEnd w:id="152"/>
      <w:r/>
      <w:bookmarkStart w:id="153" w:name="_Hlt26954739"/>
      <w:r/>
      <w:bookmarkEnd w:id="153"/>
      <w:r/>
      <w:bookmarkStart w:id="154" w:name="_Toc120614217"/>
      <w:r/>
      <w:bookmarkStart w:id="155" w:name="_Toc513029224"/>
      <w:r/>
      <w:bookmarkStart w:id="156" w:name="_Toc20823296"/>
      <w:r/>
      <w:bookmarkStart w:id="157" w:name="_Toc16938540"/>
      <w:r/>
      <w:bookmarkStart w:id="158" w:name="_Toc158281552"/>
      <w:r/>
      <w:bookmarkStart w:id="159" w:name="_Toc22598"/>
      <w:r>
        <w:rPr>
          <w:rFonts w:hint="eastAsia"/>
          <w:color w:val="000000" w:themeColor="text1"/>
          <w:highlight w:val="none"/>
          <w14:textFill>
            <w14:solidFill>
              <w14:schemeClr w14:val="tx1"/>
            </w14:solidFill>
          </w14:textFill>
        </w:rPr>
        <w:t xml:space="preserve">四、投标文件的递交</w:t>
      </w:r>
      <w:bookmarkEnd w:id="154"/>
      <w:r/>
      <w:bookmarkEnd w:id="155"/>
      <w:r/>
      <w:bookmarkEnd w:id="156"/>
      <w:r/>
      <w:bookmarkEnd w:id="157"/>
      <w:r/>
      <w:bookmarkEnd w:id="158"/>
      <w:r/>
      <w:bookmarkEnd w:id="159"/>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0" w:name="_Toc462564084"/>
      <w:r/>
      <w:bookmarkStart w:id="161" w:name="_Toc16938541"/>
      <w:r/>
      <w:bookmarkStart w:id="162" w:name="_Toc513029225"/>
      <w:r/>
      <w:bookmarkStart w:id="163" w:name="_Toc20823297"/>
      <w:r>
        <w:rPr>
          <w:rFonts w:hint="eastAsia" w:ascii="Times New Roman" w:hAnsi="Times New Roman"/>
          <w:b w:val="0"/>
          <w:bCs w:val="0"/>
          <w:color w:val="000000" w:themeColor="text1"/>
          <w:highlight w:val="none"/>
          <w14:textFill>
            <w14:solidFill>
              <w14:schemeClr w14:val="tx1"/>
            </w14:solidFill>
          </w14:textFill>
        </w:rPr>
        <w:t xml:space="preserve">17、投标文件</w:t>
      </w:r>
      <w:bookmarkEnd w:id="160"/>
      <w:r/>
      <w:bookmarkEnd w:id="161"/>
      <w:r/>
      <w:bookmarkEnd w:id="162"/>
      <w:r/>
      <w:bookmarkEnd w:id="163"/>
      <w:r>
        <w:rPr>
          <w:rFonts w:hint="eastAsia" w:ascii="Times New Roman" w:hAnsi="Times New Roman"/>
          <w:b w:val="0"/>
          <w:bCs w:val="0"/>
          <w:color w:val="000000" w:themeColor="text1"/>
          <w:highlight w:val="none"/>
          <w14:textFill>
            <w14:solidFill>
              <w14:schemeClr w14:val="tx1"/>
            </w14:solidFill>
          </w14:textFill>
        </w:rPr>
        <w:t xml:space="preserve">的递交</w:t>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17.1投标人应当按照《操作手册》规定，在投标截止时间前制作并上传电子投标文件。</w:t>
      </w:r>
      <w:bookmarkStart w:id="164" w:name="_Toc16938542"/>
      <w:r/>
      <w:bookmarkStart w:id="165" w:name="_Toc20823298"/>
      <w:r/>
      <w:bookmarkStart w:id="166" w:name="_Toc513029226"/>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highlight w:val="none"/>
          <w14:textFill>
            <w14:solidFill>
              <w14:schemeClr w14:val="tx1"/>
            </w14:solidFill>
          </w14:textFill>
        </w:rPr>
        <w:t xml:space="preserve">http://www.ccgp-jiangsu.gov.cn//webfile/jiangsu/202311/1699268553318052447.pdf）</w:t>
      </w:r>
      <w:r/>
    </w:p>
    <w:p>
      <w:pPr>
        <w:pStyle w:val="1010"/>
        <w:ind w:firstLine="420"/>
        <w:spacing w:before="0" w:after="0" w:line="560" w:lineRule="exact"/>
        <w:rPr>
          <w:rFonts w:hint="eastAsia" w:ascii="Times New Roman" w:hAnsi="Times New Roman" w:cs="Arial"/>
          <w:b w:val="0"/>
          <w:bCs w:val="0"/>
          <w:color w:val="000000" w:themeColor="text1"/>
          <w:highlight w:val="none"/>
          <w14:textFill>
            <w14:solidFill>
              <w14:schemeClr w14:val="tx1"/>
            </w14:solidFill>
          </w14:textFill>
        </w:rPr>
      </w:pPr>
      <w:r>
        <w:rPr>
          <w:rFonts w:hint="eastAsia" w:ascii="Times New Roman" w:hAnsi="Times New Roman" w:cs="Arial"/>
          <w:b w:val="0"/>
          <w:bCs w:val="0"/>
          <w:color w:val="000000" w:themeColor="text1"/>
          <w:highlight w:val="none"/>
          <w14:textFill>
            <w14:solidFill>
              <w14:schemeClr w14:val="tx1"/>
            </w14:solidFill>
          </w14:textFill>
        </w:rPr>
        <w:t xml:space="preserve">18、投标截止</w:t>
      </w:r>
      <w:bookmarkEnd w:id="164"/>
      <w:r/>
      <w:bookmarkEnd w:id="165"/>
      <w:r/>
      <w:bookmarkEnd w:id="166"/>
      <w:r>
        <w:rPr>
          <w:rFonts w:hint="eastAsia" w:ascii="Times New Roman" w:hAnsi="Times New Roman" w:cs="Arial"/>
          <w:b w:val="0"/>
          <w:bCs w:val="0"/>
          <w:color w:val="000000" w:themeColor="text1"/>
          <w:highlight w:val="none"/>
          <w14:textFill>
            <w14:solidFill>
              <w14:schemeClr w14:val="tx1"/>
            </w14:solidFill>
          </w14:textFill>
        </w:rPr>
        <w:t xml:space="preserve">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18.1</w:t>
      </w:r>
      <w:r>
        <w:rPr>
          <w:rFonts w:hint="eastAsia"/>
          <w:bCs/>
          <w:iCs/>
          <w:color w:val="000000" w:themeColor="text1"/>
          <w:sz w:val="24"/>
          <w:highlight w:val="none"/>
          <w14:textFill>
            <w14:solidFill>
              <w14:schemeClr w14:val="tx1"/>
            </w14:solidFill>
          </w14:textFill>
        </w:rPr>
        <w:t xml:space="preserve"> 投标人上传电子投标文件的时间不得迟于招标公告中规定的投标截止时间。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18.2</w:t>
      </w:r>
      <w:r>
        <w:rPr>
          <w:rFonts w:hint="eastAsia"/>
          <w:bCs/>
          <w:color w:val="000000" w:themeColor="text1"/>
          <w:sz w:val="24"/>
          <w:highlight w:val="none"/>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7" w:name="_Toc513029227"/>
      <w:r/>
      <w:bookmarkStart w:id="168" w:name="_Toc16938543"/>
      <w:r/>
      <w:bookmarkStart w:id="169" w:name="_Toc20823299"/>
      <w:r>
        <w:rPr>
          <w:rFonts w:hint="eastAsia" w:ascii="Times New Roman" w:hAnsi="Times New Roman"/>
          <w:b w:val="0"/>
          <w:bCs w:val="0"/>
          <w:color w:val="000000" w:themeColor="text1"/>
          <w:highlight w:val="none"/>
          <w14:textFill>
            <w14:solidFill>
              <w14:schemeClr w14:val="tx1"/>
            </w14:solidFill>
          </w14:textFill>
        </w:rPr>
        <w:t xml:space="preserve">19、投标文件</w:t>
      </w:r>
      <w:bookmarkEnd w:id="167"/>
      <w:r/>
      <w:bookmarkEnd w:id="168"/>
      <w:r/>
      <w:bookmarkEnd w:id="169"/>
      <w:r>
        <w:rPr>
          <w:rFonts w:hint="eastAsia" w:ascii="Times New Roman" w:hAnsi="Times New Roman"/>
          <w:b w:val="0"/>
          <w:bCs w:val="0"/>
          <w:color w:val="000000" w:themeColor="text1"/>
          <w:highlight w:val="none"/>
          <w14:textFill>
            <w14:solidFill>
              <w14:schemeClr w14:val="tx1"/>
            </w14:solidFill>
          </w14:textFill>
        </w:rPr>
        <w:t xml:space="preserve">的拒收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19.1</w:t>
      </w:r>
      <w:r>
        <w:rPr>
          <w:rFonts w:hint="eastAsia"/>
          <w:bCs/>
          <w:color w:val="000000" w:themeColor="text1"/>
          <w:sz w:val="24"/>
          <w:highlight w:val="none"/>
          <w14:textFill>
            <w14:solidFill>
              <w14:schemeClr w14:val="tx1"/>
            </w14:solidFill>
          </w14:textFill>
        </w:rPr>
        <w:t xml:space="preserve">采购代理机构拒绝接收在其规定的投标截止时间后上传的任何投标文件。</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0" w:name="_Toc513029228"/>
      <w:r/>
      <w:bookmarkStart w:id="171" w:name="_Toc16938544"/>
      <w:r/>
      <w:bookmarkStart w:id="172" w:name="_Toc20823300"/>
      <w:r>
        <w:rPr>
          <w:rFonts w:hint="eastAsia" w:ascii="Times New Roman" w:hAnsi="Times New Roman"/>
          <w:b w:val="0"/>
          <w:bCs w:val="0"/>
          <w:color w:val="000000" w:themeColor="text1"/>
          <w:highlight w:val="none"/>
          <w14:textFill>
            <w14:solidFill>
              <w14:schemeClr w14:val="tx1"/>
            </w14:solidFill>
          </w14:textFill>
        </w:rPr>
        <w:t xml:space="preserve">20、投标文件的撤回和修改</w:t>
      </w:r>
      <w:bookmarkEnd w:id="170"/>
      <w:r/>
      <w:bookmarkEnd w:id="171"/>
      <w:r/>
      <w:bookmarkEnd w:id="172"/>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 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20.1.1 电子投标文件的撤回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投标文件的修改</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20.2.2</w:t>
      </w:r>
      <w:r>
        <w:rPr>
          <w:rFonts w:hint="eastAsia"/>
          <w:bCs/>
          <w:color w:val="000000" w:themeColor="text1"/>
          <w:sz w:val="24"/>
          <w:highlight w:val="none"/>
          <w14:textFill>
            <w14:solidFill>
              <w14:schemeClr w14:val="tx1"/>
            </w14:solidFill>
          </w14:textFill>
        </w:rPr>
        <w:t xml:space="preserve"> 在投标截止时间之后，投标人不得对其电子投标文件作任何修改。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20.3</w:t>
      </w:r>
      <w:r>
        <w:rPr>
          <w:rFonts w:hint="eastAsia"/>
          <w:bCs/>
          <w:color w:val="000000" w:themeColor="text1"/>
          <w:sz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73" w:name="_Toc16938545"/>
      <w:r/>
      <w:bookmarkStart w:id="174" w:name="_Toc20905"/>
      <w:r/>
      <w:bookmarkStart w:id="175" w:name="_Toc20823301"/>
      <w:r/>
      <w:bookmarkStart w:id="176" w:name="_Toc120614218"/>
      <w:r/>
      <w:bookmarkStart w:id="177" w:name="_Toc158281553"/>
      <w:r/>
      <w:bookmarkStart w:id="178" w:name="_Toc513029229"/>
      <w:r>
        <w:rPr>
          <w:rFonts w:hint="eastAsia"/>
          <w:color w:val="000000" w:themeColor="text1"/>
          <w:highlight w:val="none"/>
          <w14:textFill>
            <w14:solidFill>
              <w14:schemeClr w14:val="tx1"/>
            </w14:solidFill>
          </w14:textFill>
        </w:rPr>
        <w:t xml:space="preserve">五、开标与评标</w:t>
      </w:r>
      <w:bookmarkEnd w:id="173"/>
      <w:r/>
      <w:bookmarkEnd w:id="174"/>
      <w:r/>
      <w:bookmarkEnd w:id="175"/>
      <w:r/>
      <w:bookmarkEnd w:id="176"/>
      <w:r/>
      <w:bookmarkEnd w:id="177"/>
      <w:r/>
      <w:bookmarkEnd w:id="178"/>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9" w:name="_Toc16938546"/>
      <w:r/>
      <w:bookmarkStart w:id="180" w:name="_Toc20823302"/>
      <w:r/>
      <w:bookmarkStart w:id="181" w:name="_Toc513029230"/>
      <w:r>
        <w:rPr>
          <w:rFonts w:hint="eastAsia" w:ascii="Times New Roman" w:hAnsi="Times New Roman"/>
          <w:b w:val="0"/>
          <w:bCs w:val="0"/>
          <w:color w:val="000000" w:themeColor="text1"/>
          <w:highlight w:val="none"/>
          <w14:textFill>
            <w14:solidFill>
              <w14:schemeClr w14:val="tx1"/>
            </w14:solidFill>
          </w14:textFill>
        </w:rPr>
        <w:t xml:space="preserve">21、开标</w:t>
      </w:r>
      <w:bookmarkEnd w:id="179"/>
      <w:r/>
      <w:bookmarkEnd w:id="180"/>
      <w:r/>
      <w:bookmarkEnd w:id="181"/>
      <w:r/>
      <w:r/>
    </w:p>
    <w:p>
      <w:pPr>
        <w:pStyle w:val="1132"/>
        <w:ind w:firstLine="420"/>
        <w:spacing w:line="560" w:lineRule="exact"/>
        <w:rPr>
          <w:rFonts w:hint="eastAsia"/>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21.1</w:t>
      </w:r>
      <w:r>
        <w:rPr>
          <w:rFonts w:hint="eastAsia"/>
          <w:bCs/>
          <w:color w:val="000000" w:themeColor="text1"/>
          <w:sz w:val="24"/>
          <w:highlight w:val="none"/>
          <w14:textFill>
            <w14:solidFill>
              <w14:schemeClr w14:val="tx1"/>
            </w14:solidFill>
          </w14:textFill>
        </w:rPr>
        <w:t xml:space="preserve"> 采购代理机构将在招标公告中规定的时间和地点组织公开开标</w:t>
      </w:r>
      <w:r>
        <w:rPr>
          <w:rFonts w:hint="eastAsia"/>
          <w:color w:val="000000" w:themeColor="text1"/>
          <w:sz w:val="24"/>
          <w:highlight w:val="none"/>
          <w:lang w:val="en-US"/>
          <w14:textFill>
            <w14:solidFill>
              <w14:schemeClr w14:val="tx1"/>
            </w14:solidFill>
          </w14:textFill>
        </w:rPr>
        <w:t xml:space="preserve">。投标人应当按照《“苏采云”系统投标人操作手册》规定，参加开标活动和在“苏采云”系统规定的时间内对投标文件进行解密。</w:t>
      </w:r>
      <w:r/>
    </w:p>
    <w:p>
      <w:pPr>
        <w:pStyle w:val="1132"/>
        <w:ind w:firstLine="42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2" w:name="_Toc16938547"/>
      <w:r/>
      <w:bookmarkStart w:id="183" w:name="_Toc513029231"/>
      <w:r/>
      <w:bookmarkStart w:id="184" w:name="_Toc20823303"/>
      <w:r>
        <w:rPr>
          <w:rFonts w:hint="eastAsia" w:ascii="Times New Roman" w:hAnsi="Times New Roman"/>
          <w:b w:val="0"/>
          <w:bCs w:val="0"/>
          <w:color w:val="000000" w:themeColor="text1"/>
          <w:highlight w:val="none"/>
          <w14:textFill>
            <w14:solidFill>
              <w14:schemeClr w14:val="tx1"/>
            </w14:solidFill>
          </w14:textFill>
        </w:rPr>
        <w:t xml:space="preserve">22、评委会</w:t>
      </w:r>
      <w:r/>
    </w:p>
    <w:p>
      <w:pPr>
        <w:spacing w:line="56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22.1</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开标后，采购代理机构将立即组织评委会（以下简称评委会）进行评标。</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22.3评委会独立工作，负责评审所有投标文件并确定中标候选人。</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23、评标过程的保密与公正</w:t>
      </w:r>
      <w:bookmarkEnd w:id="182"/>
      <w:r/>
      <w:bookmarkEnd w:id="183"/>
      <w:r/>
      <w:bookmarkEnd w:id="184"/>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23.1</w:t>
      </w:r>
      <w:r>
        <w:rPr>
          <w:rFonts w:hint="eastAsia"/>
          <w:bCs/>
          <w:color w:val="000000" w:themeColor="text1"/>
          <w:sz w:val="24"/>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23.2</w:t>
      </w:r>
      <w:r>
        <w:rPr>
          <w:rFonts w:hint="eastAsia"/>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5" w:name="_Toc16938548"/>
      <w:r/>
      <w:bookmarkStart w:id="186" w:name="_Toc20823304"/>
      <w:r/>
      <w:bookmarkStart w:id="187" w:name="_Toc513029232"/>
      <w:r>
        <w:rPr>
          <w:rFonts w:hint="eastAsia" w:ascii="Times New Roman" w:hAnsi="Times New Roman"/>
          <w:b w:val="0"/>
          <w:bCs w:val="0"/>
          <w:color w:val="000000" w:themeColor="text1"/>
          <w:highlight w:val="none"/>
          <w14:textFill>
            <w14:solidFill>
              <w14:schemeClr w14:val="tx1"/>
            </w14:solidFill>
          </w14:textFill>
        </w:rPr>
        <w:t xml:space="preserve">24、投标文件的澄清</w:t>
      </w:r>
      <w:bookmarkEnd w:id="185"/>
      <w:r/>
      <w:bookmarkEnd w:id="186"/>
      <w:r/>
      <w:bookmarkEnd w:id="187"/>
      <w:r/>
      <w:r/>
    </w:p>
    <w:p>
      <w:pPr>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w:t>
      </w:r>
      <w:r>
        <w:rPr>
          <w:color w:val="000000" w:themeColor="text1"/>
          <w:sz w:val="24"/>
          <w:szCs w:val="24"/>
          <w:highlight w:val="none"/>
          <w14:textFill>
            <w14:solidFill>
              <w14:schemeClr w14:val="tx1"/>
            </w14:solidFill>
          </w14:textFill>
        </w:rPr>
        <w:t xml:space="preserve">并非对每个投标人都做澄清要求</w:t>
      </w:r>
      <w:r>
        <w:rPr>
          <w:rFonts w:hint="eastAsia"/>
          <w:color w:val="000000" w:themeColor="text1"/>
          <w:sz w:val="24"/>
          <w:szCs w:val="24"/>
          <w:highlight w:val="none"/>
          <w14:textFill>
            <w14:solidFill>
              <w14:schemeClr w14:val="tx1"/>
            </w14:solidFill>
          </w14:textFill>
        </w:rPr>
        <w:t xml:space="preserve">。</w:t>
      </w:r>
      <w:r/>
    </w:p>
    <w:p>
      <w:pPr>
        <w:pStyle w:val="1132"/>
        <w:ind w:firstLine="422"/>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24.2需要投标人进行澄清、说明和补正的，</w:t>
      </w:r>
      <w:r>
        <w:rPr>
          <w:rFonts w:hint="eastAsia"/>
          <w:color w:val="000000" w:themeColor="text1"/>
          <w:sz w:val="24"/>
          <w:highlight w:val="none"/>
          <w:lang w:val="en-US"/>
          <w14:textFill>
            <w14:solidFill>
              <w14:schemeClr w14:val="tx1"/>
            </w14:solidFill>
          </w14:textFill>
        </w:rPr>
        <w:t xml:space="preserve">本项目投标人的澄清、说明或者补正采用线上澄清，</w:t>
      </w:r>
      <w:r>
        <w:rPr>
          <w:rFonts w:hint="eastAsia"/>
          <w:color w:val="000000" w:themeColor="text1"/>
          <w:sz w:val="24"/>
          <w:szCs w:val="24"/>
          <w:highlight w:val="none"/>
          <w14:textFill>
            <w14:solidFill>
              <w14:schemeClr w14:val="tx1"/>
            </w14:solidFill>
          </w14:textFill>
        </w:rPr>
        <w:t xml:space="preserve">评委会将通过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向投标人发出“澄清要求函”，接到“澄清要求函”的投标人应当按照要求</w:t>
      </w:r>
      <w:r>
        <w:rPr>
          <w:rFonts w:hint="eastAsia"/>
          <w:color w:val="000000" w:themeColor="text1"/>
          <w:sz w:val="24"/>
          <w:highlight w:val="none"/>
          <w:lang w:val="en-US"/>
          <w14:textFill>
            <w14:solidFill>
              <w14:schemeClr w14:val="tx1"/>
            </w14:solidFill>
          </w14:textFill>
        </w:rPr>
        <w:t xml:space="preserve">在规定时间内</w:t>
      </w:r>
      <w:r>
        <w:rPr>
          <w:rFonts w:hint="eastAsia"/>
          <w:color w:val="000000" w:themeColor="text1"/>
          <w:sz w:val="24"/>
          <w:szCs w:val="24"/>
          <w:highlight w:val="none"/>
          <w:lang w:val="en-US"/>
          <w14:textFill>
            <w14:solidFill>
              <w14:schemeClr w14:val="tx1"/>
            </w14:solidFill>
          </w14:textFill>
        </w:rPr>
        <w:t xml:space="preserve">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24.3 接到评委会澄清、说明和补正要求的投标人如未按规定</w:t>
      </w:r>
      <w:r>
        <w:rPr>
          <w:rFonts w:hint="eastAsia"/>
          <w:color w:val="000000" w:themeColor="text1"/>
          <w:sz w:val="24"/>
          <w:szCs w:val="24"/>
          <w:highlight w:val="none"/>
          <w:lang w:eastAsia="zh-CN"/>
          <w14:textFill>
            <w14:solidFill>
              <w14:schemeClr w14:val="tx1"/>
            </w14:solidFill>
          </w14:textFill>
        </w:rPr>
        <w:t xml:space="preserve">作出</w:t>
      </w:r>
      <w:r>
        <w:rPr>
          <w:rFonts w:hint="eastAsia"/>
          <w:color w:val="000000" w:themeColor="text1"/>
          <w:sz w:val="24"/>
          <w:szCs w:val="24"/>
          <w:highlight w:val="none"/>
          <w14:textFill>
            <w14:solidFill>
              <w14:schemeClr w14:val="tx1"/>
            </w14:solidFill>
          </w14:textFill>
        </w:rPr>
        <w:t xml:space="preserve">澄清、说明和补正，其风险由投标人自行承担。</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8" w:name="_Toc513029233"/>
      <w:r/>
      <w:bookmarkStart w:id="189" w:name="_Toc20823305"/>
      <w:r/>
      <w:bookmarkStart w:id="190" w:name="_Toc16938549"/>
      <w:r>
        <w:rPr>
          <w:rFonts w:hint="eastAsia" w:ascii="Times New Roman" w:hAnsi="Times New Roman"/>
          <w:b w:val="0"/>
          <w:bCs w:val="0"/>
          <w:color w:val="000000" w:themeColor="text1"/>
          <w:highlight w:val="none"/>
          <w14:textFill>
            <w14:solidFill>
              <w14:schemeClr w14:val="tx1"/>
            </w14:solidFill>
          </w14:textFill>
        </w:rPr>
        <w:t xml:space="preserve">25、对投标文件的初审</w:t>
      </w:r>
      <w:bookmarkEnd w:id="188"/>
      <w:r/>
      <w:bookmarkEnd w:id="189"/>
      <w:r/>
      <w:bookmarkEnd w:id="190"/>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w:t>
      </w:r>
      <w:r>
        <w:rPr>
          <w:rFonts w:hint="eastAsia"/>
          <w:bCs/>
          <w:color w:val="000000" w:themeColor="text1"/>
          <w:sz w:val="24"/>
          <w:highlight w:val="none"/>
          <w14:textFill>
            <w14:solidFill>
              <w14:schemeClr w14:val="tx1"/>
            </w14:solidFill>
          </w14:textFill>
        </w:rPr>
        <w:t xml:space="preserve">投标文件初审分为资格审查和符合性审查。</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25.1.1 资格审查：依据法律法规和招标文件的规定，</w:t>
      </w:r>
      <w:r>
        <w:rPr>
          <w:rFonts w:hint="eastAsia"/>
          <w:color w:val="000000" w:themeColor="text1"/>
          <w:sz w:val="24"/>
          <w:highlight w:val="none"/>
          <w14:textFill>
            <w14:solidFill>
              <w14:schemeClr w14:val="tx1"/>
            </w14:solidFill>
          </w14:textFill>
        </w:rPr>
        <w:t xml:space="preserve">由采购人或其委托的代理机构对投标文件中的资格证明文件进行审查，以确定投标人是否具备投标资格。</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highlight w:val="none"/>
          <w:lang w:val="zh-CN"/>
          <w14:textFill>
            <w14:solidFill>
              <w14:schemeClr w14:val="tx1"/>
            </w14:solidFill>
          </w14:textFill>
        </w:rPr>
        <w:t xml:space="preserve">“苏采云”系统告知未通过符合性审查的原因，评标结束后，将不再告知未通过符合性审查的原因</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.3如果投标文件实质上没有响应招标文件的要求，评委会将予以拒绝，投标人不得通过修改或撤销</w:t>
      </w:r>
      <w:r>
        <w:rPr>
          <w:rFonts w:hint="eastAsia"/>
          <w:color w:val="000000" w:themeColor="text1"/>
          <w:sz w:val="24"/>
          <w:highlight w:val="none"/>
          <w:lang w:eastAsia="zh-CN"/>
          <w14:textFill>
            <w14:solidFill>
              <w14:schemeClr w14:val="tx1"/>
            </w14:solidFill>
          </w14:textFill>
        </w:rPr>
        <w:t xml:space="preserve">不符</w:t>
      </w:r>
      <w:r>
        <w:rPr>
          <w:rFonts w:hint="eastAsia"/>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评委会将按上述修正错误的方法调整投标文件中的投标报价，并</w:t>
      </w:r>
      <w:r>
        <w:rPr>
          <w:bCs/>
          <w:color w:val="000000" w:themeColor="text1"/>
          <w:sz w:val="24"/>
          <w:highlight w:val="none"/>
          <w14:textFill>
            <w14:solidFill>
              <w14:schemeClr w14:val="tx1"/>
            </w14:solidFill>
          </w14:textFill>
        </w:rPr>
        <w:t xml:space="preserve">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告知</w:t>
      </w:r>
      <w:r>
        <w:rPr>
          <w:bCs/>
          <w:color w:val="000000" w:themeColor="text1"/>
          <w:sz w:val="24"/>
          <w:highlight w:val="none"/>
          <w14:textFill>
            <w14:solidFill>
              <w14:schemeClr w14:val="tx1"/>
            </w14:solidFill>
          </w14:textFill>
        </w:rPr>
        <w:t xml:space="preserve">投标人，</w:t>
      </w:r>
      <w:r>
        <w:rPr>
          <w:rFonts w:hint="eastAsia"/>
          <w:bCs/>
          <w:color w:val="000000" w:themeColor="text1"/>
          <w:sz w:val="24"/>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60" w:lineRule="exact"/>
        <w:rPr>
          <w:rFonts w:hint="eastAsia"/>
          <w:color w:val="000000" w:themeColor="text1"/>
          <w:sz w:val="24"/>
          <w:highlight w:val="none"/>
          <w14:textFill>
            <w14:solidFill>
              <w14:schemeClr w14:val="tx1"/>
            </w14:solidFill>
          </w14:textFill>
        </w:rPr>
      </w:pPr>
      <w:r/>
      <w:bookmarkStart w:id="191" w:name="_Toc16938550"/>
      <w:r/>
      <w:bookmarkStart w:id="192" w:name="_Toc20823306"/>
      <w:r/>
      <w:bookmarkStart w:id="193" w:name="_Toc513029234"/>
      <w:r>
        <w:rPr>
          <w:rFonts w:hint="eastAsia"/>
          <w:color w:val="000000" w:themeColor="text1"/>
          <w:sz w:val="24"/>
          <w:highlight w:val="none"/>
          <w14:textFill>
            <w14:solidFill>
              <w14:schemeClr w14:val="tx1"/>
            </w14:solidFill>
          </w14:textFill>
        </w:rPr>
        <w:t xml:space="preserve">25.6投标人在开、评标全过程中应随时保持系统在线，及时在</w:t>
      </w:r>
      <w:r>
        <w:rPr>
          <w:rFonts w:hint="eastAsia"/>
          <w:color w:val="000000" w:themeColor="text1"/>
          <w:sz w:val="24"/>
          <w:szCs w:val="24"/>
          <w:highlight w:val="none"/>
          <w14:textFill>
            <w14:solidFill>
              <w14:schemeClr w14:val="tx1"/>
            </w14:solidFill>
          </w14:textFill>
        </w:rPr>
        <w:t xml:space="preserve">“苏采云”系统</w:t>
      </w:r>
      <w:r>
        <w:rPr>
          <w:rFonts w:hint="eastAsia"/>
          <w:color w:val="000000" w:themeColor="text1"/>
          <w:sz w:val="24"/>
          <w:highlight w:val="none"/>
          <w14:textFill>
            <w14:solidFill>
              <w14:schemeClr w14:val="tx1"/>
            </w14:solidFill>
          </w14:textFill>
        </w:rPr>
        <w:t xml:space="preserve">查阅</w:t>
      </w:r>
      <w:r>
        <w:rPr>
          <w:color w:val="000000" w:themeColor="text1"/>
          <w:sz w:val="24"/>
          <w:highlight w:val="none"/>
          <w14:textFill>
            <w14:solidFill>
              <w14:schemeClr w14:val="tx1"/>
            </w14:solidFill>
          </w14:textFill>
        </w:rPr>
        <w:t xml:space="preserve">、答复相关</w:t>
      </w:r>
      <w:r>
        <w:rPr>
          <w:rFonts w:hint="eastAsia"/>
          <w:color w:val="000000" w:themeColor="text1"/>
          <w:sz w:val="24"/>
          <w:highlight w:val="none"/>
          <w14:textFill>
            <w14:solidFill>
              <w14:schemeClr w14:val="tx1"/>
            </w14:solidFill>
          </w14:textFill>
        </w:rPr>
        <w:t xml:space="preserve">信息。</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26、</w:t>
      </w:r>
      <w:bookmarkEnd w:id="191"/>
      <w:r/>
      <w:bookmarkEnd w:id="192"/>
      <w:r/>
      <w:bookmarkEnd w:id="193"/>
      <w:r>
        <w:rPr>
          <w:rFonts w:hint="eastAsia" w:ascii="Times New Roman" w:hAnsi="Times New Roman"/>
          <w:b w:val="0"/>
          <w:bCs w:val="0"/>
          <w:color w:val="000000" w:themeColor="text1"/>
          <w:highlight w:val="none"/>
          <w14:textFill>
            <w14:solidFill>
              <w14:schemeClr w14:val="tx1"/>
            </w14:solidFill>
          </w14:textFill>
        </w:rPr>
        <w:t xml:space="preserve">无效投标条款和废标条款</w:t>
      </w:r>
      <w:r/>
    </w:p>
    <w:p>
      <w:pPr>
        <w:ind w:firstLine="480"/>
        <w:spacing w:line="560" w:lineRule="exact"/>
        <w:rPr>
          <w:rFonts w:hint="eastAsia"/>
          <w:bCs/>
          <w:color w:val="000000" w:themeColor="text1"/>
          <w:sz w:val="24"/>
          <w:highlight w:val="none"/>
          <w14:textFill>
            <w14:solidFill>
              <w14:schemeClr w14:val="tx1"/>
            </w14:solidFill>
          </w14:textFill>
        </w:rPr>
      </w:pPr>
      <w:r/>
      <w:bookmarkStart w:id="194" w:name="_Toc16938551"/>
      <w:r/>
      <w:bookmarkStart w:id="195" w:name="_Toc20823307"/>
      <w:r/>
      <w:bookmarkStart w:id="196" w:name="_Toc513029235"/>
      <w:r>
        <w:rPr>
          <w:rFonts w:hint="eastAsia"/>
          <w:bCs/>
          <w:color w:val="000000" w:themeColor="text1"/>
          <w:sz w:val="24"/>
          <w:highlight w:val="none"/>
          <w14:textFill>
            <w14:solidFill>
              <w14:schemeClr w14:val="tx1"/>
            </w14:solidFill>
          </w14:textFill>
        </w:rPr>
        <w:t xml:space="preserve">26.1无效投标条款</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26.1.1 投标人在“苏采云”系统规定的时间内未成功解密电子投标文件的。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26.1.2 投标人未按照招标文件要求上传电子投标文件的。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26.1.3同一投标人提交两个（含两个）以上不同的投标报价的。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26.1.4投标人不具备招标文件中规定资格要求的。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26.1.5投标人的报价超过了采购预算或最高限价的。</w:t>
      </w:r>
      <w:r/>
    </w:p>
    <w:p>
      <w:pPr>
        <w:ind w:firstLine="480"/>
        <w:spacing w:line="560" w:lineRule="exact"/>
        <w:rPr>
          <w:rFonts w:hint="eastAsia"/>
          <w:bCs/>
          <w:i/>
          <w:color w:val="000000" w:themeColor="text1"/>
          <w:sz w:val="24"/>
          <w:highlight w:val="none"/>
          <w:u w:val="singl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26.1.6未通过符合性审查的。</w:t>
      </w:r>
      <w:r/>
    </w:p>
    <w:p>
      <w:pPr>
        <w:ind w:firstLine="360"/>
        <w:spacing w:line="560" w:lineRule="exact"/>
        <w:rPr>
          <w:rFonts w:hint="default"/>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26.1.7不符合招标文件中规定的实质性要求和条件的（本招标文件中加★项为实质性要求和条件）。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26.1.9 投标文件含有采购人不能接受的附加条件的。</w:t>
      </w:r>
      <w:r/>
    </w:p>
    <w:p>
      <w:pPr>
        <w:ind w:firstLine="42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themeColor="text1"/>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26.1.11本项目采购产品被财政部、国家发改委、生态环境部等列入“节能产品品目清单”、“环境标志产品品目清单”强制采购范围，而</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人所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产品不在强制采购范围内的。（所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产品如属于政府强制采购节能产品品目清单范围内，</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26.1.12 投标文件未按照招标文件要求加盖CA</w:t>
      </w:r>
      <w:r>
        <w:rPr>
          <w:bCs/>
          <w:color w:val="000000" w:themeColor="text1"/>
          <w:sz w:val="24"/>
          <w:highlight w:val="none"/>
          <w14:textFill>
            <w14:solidFill>
              <w14:schemeClr w14:val="tx1"/>
            </w14:solidFill>
          </w14:textFill>
        </w:rPr>
        <w:t xml:space="preserve">电子公章的</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26.1.13其他法律、法规及本招标文件规定的属无效投标的情形。</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26.2废标条款</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26.2.1符合专业条件的投标人或者对招标文件作实质响应的投标人不足三家的。</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26.2.2出现影响采购公正的违法、违规行为的。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26.2.3因重大变故，采购任务取消的。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26.2.4评委会认定招标文件存在歧义、重大缺陷导致评审工作无法进行。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26.2.5 因</w:t>
      </w:r>
      <w:r>
        <w:rPr>
          <w:rFonts w:hint="eastAsia"/>
          <w:color w:val="000000" w:themeColor="text1"/>
          <w:sz w:val="24"/>
          <w:szCs w:val="24"/>
          <w:highlight w:val="none"/>
          <w14:textFill>
            <w14:solidFill>
              <w14:schemeClr w14:val="tx1"/>
            </w14:solidFill>
          </w14:textFill>
        </w:rPr>
        <w:t xml:space="preserve">“苏采云”系统</w:t>
      </w:r>
      <w:r>
        <w:rPr>
          <w:bCs/>
          <w:color w:val="000000" w:themeColor="text1"/>
          <w:sz w:val="24"/>
          <w:highlight w:val="none"/>
          <w14:textFill>
            <w14:solidFill>
              <w14:schemeClr w14:val="tx1"/>
            </w14:solidFill>
          </w14:textFill>
        </w:rPr>
        <w:t xml:space="preserve">系统故障原因造成开标不成功</w:t>
      </w:r>
      <w:r>
        <w:rPr>
          <w:rFonts w:hint="eastAsia"/>
          <w:bCs/>
          <w:color w:val="000000" w:themeColor="text1"/>
          <w:sz w:val="24"/>
          <w:highlight w:val="none"/>
          <w14:textFill>
            <w14:solidFill>
              <w14:schemeClr w14:val="tx1"/>
            </w14:solidFill>
          </w14:textFill>
        </w:rPr>
        <w:t xml:space="preserve">的</w:t>
      </w:r>
      <w:r>
        <w:rPr>
          <w:bCs/>
          <w:color w:val="000000" w:themeColor="text1"/>
          <w:sz w:val="24"/>
          <w:highlight w:val="none"/>
          <w14:textFill>
            <w14:solidFill>
              <w14:schemeClr w14:val="tx1"/>
            </w14:solidFill>
          </w14:textFill>
        </w:rPr>
        <w:t xml:space="preserve">。</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 投标截止时间结束后参加投标的投标人不足三家的处理：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97" w:name="_Toc158281554"/>
      <w:r/>
      <w:bookmarkStart w:id="198" w:name="_Toc7948"/>
      <w:r/>
      <w:bookmarkStart w:id="199" w:name="_Toc120614219"/>
      <w:r>
        <w:rPr>
          <w:rFonts w:hint="eastAsia"/>
          <w:color w:val="000000" w:themeColor="text1"/>
          <w:highlight w:val="none"/>
          <w14:textFill>
            <w14:solidFill>
              <w14:schemeClr w14:val="tx1"/>
            </w14:solidFill>
          </w14:textFill>
        </w:rPr>
        <w:t xml:space="preserve">六、</w:t>
      </w:r>
      <w:bookmarkEnd w:id="194"/>
      <w:r/>
      <w:bookmarkEnd w:id="195"/>
      <w:r/>
      <w:bookmarkEnd w:id="196"/>
      <w:r>
        <w:rPr>
          <w:rFonts w:hint="eastAsia"/>
          <w:color w:val="000000" w:themeColor="text1"/>
          <w:highlight w:val="none"/>
          <w14:textFill>
            <w14:solidFill>
              <w14:schemeClr w14:val="tx1"/>
            </w14:solidFill>
          </w14:textFill>
        </w:rPr>
        <w:t xml:space="preserve">定标</w:t>
      </w:r>
      <w:bookmarkEnd w:id="197"/>
      <w:r/>
      <w:bookmarkEnd w:id="198"/>
      <w:r/>
      <w:bookmarkEnd w:id="199"/>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200" w:name="_Toc513029238"/>
      <w:r/>
      <w:bookmarkStart w:id="201" w:name="_Toc20823310"/>
      <w:r/>
      <w:bookmarkStart w:id="202" w:name="_Toc16938554"/>
      <w:r>
        <w:rPr>
          <w:rFonts w:hint="eastAsia" w:ascii="Times New Roman" w:hAnsi="Times New Roman"/>
          <w:b w:val="0"/>
          <w:bCs w:val="0"/>
          <w:color w:val="000000" w:themeColor="text1"/>
          <w:highlight w:val="none"/>
          <w14:textFill>
            <w14:solidFill>
              <w14:schemeClr w14:val="tx1"/>
            </w14:solidFill>
          </w14:textFill>
        </w:rPr>
        <w:t xml:space="preserve">27、</w:t>
      </w:r>
      <w:bookmarkEnd w:id="200"/>
      <w:r>
        <w:rPr>
          <w:rFonts w:hint="eastAsia" w:ascii="Times New Roman" w:hAnsi="Times New Roman"/>
          <w:b w:val="0"/>
          <w:bCs w:val="0"/>
          <w:color w:val="000000" w:themeColor="text1"/>
          <w:highlight w:val="none"/>
          <w14:textFill>
            <w14:solidFill>
              <w14:schemeClr w14:val="tx1"/>
            </w14:solidFill>
          </w14:textFill>
        </w:rPr>
        <w:t xml:space="preserve">确定</w:t>
      </w:r>
      <w:bookmarkEnd w:id="201"/>
      <w:r/>
      <w:bookmarkEnd w:id="202"/>
      <w:r>
        <w:rPr>
          <w:rFonts w:hint="eastAsia" w:ascii="Times New Roman" w:hAnsi="Times New Roman"/>
          <w:b w:val="0"/>
          <w:bCs w:val="0"/>
          <w:color w:val="000000" w:themeColor="text1"/>
          <w:highlight w:val="none"/>
          <w14:textFill>
            <w14:solidFill>
              <w14:schemeClr w14:val="tx1"/>
            </w14:solidFill>
          </w14:textFill>
        </w:rPr>
        <w:t xml:space="preserve">中标单位</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27.1中标候选人的选取原则和数量见招标文件第五章规定。 </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27.2 按以下第</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1</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种方式确定中标人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（1）评委会直接确定排名第一的中标候选人为中标人；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按第</w:t>
      </w:r>
      <w:r>
        <w:rPr>
          <w:rFonts w:hint="eastAsia"/>
          <w:bCs/>
          <w:color w:val="000000" w:themeColor="text1"/>
          <w:sz w:val="24"/>
          <w:highlight w:val="none"/>
          <w14:textFill>
            <w14:solidFill>
              <w14:schemeClr w14:val="tx1"/>
            </w14:solidFill>
          </w14:textFill>
        </w:rPr>
        <w:t xml:space="preserve">2</w:t>
      </w:r>
      <w:r>
        <w:rPr>
          <w:rFonts w:hint="eastAsia"/>
          <w:bCs/>
          <w:color w:val="000000" w:themeColor="text1"/>
          <w:sz w:val="24"/>
          <w:highlight w:val="none"/>
          <w:lang w:val="zh-CN"/>
          <w14:textFill>
            <w14:solidFill>
              <w14:schemeClr w14:val="tx1"/>
            </w14:solidFill>
          </w14:textFill>
        </w:rPr>
        <w:t xml:space="preserve">种方式确定中标人的，</w:t>
      </w:r>
      <w:r>
        <w:rPr>
          <w:rFonts w:hint="eastAsia"/>
          <w:bCs/>
          <w:color w:val="000000" w:themeColor="text1"/>
          <w:sz w:val="24"/>
          <w:highlight w:val="none"/>
          <w14:textFill>
            <w14:solidFill>
              <w14:schemeClr w14:val="tx1"/>
            </w14:solidFill>
          </w14:textFill>
        </w:rPr>
        <w:t xml:space="preserve">采购代理机构</w:t>
      </w:r>
      <w:r>
        <w:rPr>
          <w:rFonts w:hint="eastAsia"/>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27.3 </w:t>
      </w:r>
      <w:r>
        <w:rPr>
          <w:rFonts w:hint="eastAsia"/>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27.4.1提供虚假材料谋取中标的。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27.4.4与采购人或者其他投标人恶意串通的。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highlight w:val="none"/>
          <w14:textFill>
            <w14:solidFill>
              <w14:schemeClr w14:val="tx1"/>
            </w14:solidFill>
          </w14:textFill>
        </w:rPr>
      </w:pPr>
      <w:r/>
      <w:bookmarkStart w:id="203" w:name="_Toc200451960"/>
      <w:r>
        <w:rPr>
          <w:rFonts w:hint="eastAsia"/>
          <w:color w:val="000000" w:themeColor="text1"/>
          <w:sz w:val="24"/>
          <w:szCs w:val="24"/>
          <w:highlight w:val="none"/>
          <w14:textFill>
            <w14:solidFill>
              <w14:schemeClr w14:val="tx1"/>
            </w14:solidFill>
          </w14:textFill>
        </w:rPr>
        <w:t xml:space="preserve">27.5 </w:t>
      </w:r>
      <w:r>
        <w:rPr>
          <w:rFonts w:cs="宋体"/>
          <w:color w:val="000000" w:themeColor="text1"/>
          <w:sz w:val="24"/>
          <w:szCs w:val="24"/>
          <w:highlight w:val="none"/>
          <w14:textFill>
            <w14:solidFill>
              <w14:schemeClr w14:val="tx1"/>
            </w14:solidFill>
          </w14:textFill>
        </w:rPr>
        <w:t xml:space="preserve">有下列情形之一的，</w:t>
      </w:r>
      <w:r>
        <w:rPr>
          <w:rFonts w:hint="eastAsia" w:cs="宋体"/>
          <w:color w:val="000000" w:themeColor="text1"/>
          <w:sz w:val="24"/>
          <w:szCs w:val="24"/>
          <w:highlight w:val="none"/>
          <w14:textFill>
            <w14:solidFill>
              <w14:schemeClr w14:val="tx1"/>
            </w14:solidFill>
          </w14:textFill>
        </w:rPr>
        <w:t xml:space="preserve">视为投标人</w:t>
      </w:r>
      <w:r>
        <w:rPr>
          <w:rFonts w:cs="宋体"/>
          <w:color w:val="000000" w:themeColor="text1"/>
          <w:sz w:val="24"/>
          <w:szCs w:val="24"/>
          <w:highlight w:val="none"/>
          <w14:textFill>
            <w14:solidFill>
              <w14:schemeClr w14:val="tx1"/>
            </w14:solidFill>
          </w14:textFill>
        </w:rPr>
        <w:t xml:space="preserve">串通</w:t>
      </w:r>
      <w:r>
        <w:rPr>
          <w:rFonts w:hint="eastAsia" w:cs="宋体"/>
          <w:color w:val="000000" w:themeColor="text1"/>
          <w:sz w:val="24"/>
          <w:szCs w:val="24"/>
          <w:highlight w:val="none"/>
          <w14:textFill>
            <w14:solidFill>
              <w14:schemeClr w14:val="tx1"/>
            </w14:solidFill>
          </w14:textFill>
        </w:rPr>
        <w:t xml:space="preserve">投标，投标无效：</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28、质疑处理</w:t>
      </w:r>
      <w:bookmarkEnd w:id="203"/>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28.2.1</w:t>
      </w:r>
      <w:r>
        <w:rPr>
          <w:rFonts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28.2.2</w:t>
      </w:r>
      <w:r>
        <w:rPr>
          <w:rFonts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28.2.3</w:t>
      </w:r>
      <w:r>
        <w:rPr>
          <w:rFonts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highlight w:val="none"/>
          <w14:textFill>
            <w14:solidFill>
              <w14:schemeClr w14:val="tx1"/>
            </w14:solidFill>
          </w14:textFill>
        </w:rPr>
        <w:t xml:space="preserve">采购人</w:t>
      </w:r>
      <w:r>
        <w:rPr>
          <w:rFonts w:hint="eastAsia" w:cs="宋体"/>
          <w:color w:val="000000" w:themeColor="text1"/>
          <w:sz w:val="24"/>
          <w:szCs w:val="24"/>
          <w:highlight w:val="none"/>
          <w14:textFill>
            <w14:solidFill>
              <w14:schemeClr w14:val="tx1"/>
            </w14:solidFill>
          </w14:textFill>
        </w:rPr>
        <w:t xml:space="preserve">将只对投标人第一次质疑作出答复。</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联系部门：</w:t>
      </w:r>
      <w:r>
        <w:rPr>
          <w:rFonts w:hint="eastAsia"/>
          <w:color w:val="000000" w:themeColor="text1"/>
          <w:sz w:val="24"/>
          <w:szCs w:val="24"/>
          <w:highlight w:val="non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、江苏思迈工程咨询管理有限公司                 </w:t>
      </w:r>
      <w:r/>
    </w:p>
    <w:p>
      <w:pPr>
        <w:ind w:firstLine="480"/>
        <w:spacing w:line="50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bookmarkStart w:id="204" w:name="EB5b41b423f63941cebdd46b3e34fcab34"/>
      <w:r>
        <w:rPr>
          <w:rFonts w:hint="eastAsia"/>
          <w:color w:val="000000" w:themeColor="text1"/>
          <w:sz w:val="24"/>
          <w:szCs w:val="24"/>
          <w:highlight w:val="none"/>
          <w14:textFill>
            <w14:solidFill>
              <w14:schemeClr w14:val="tx1"/>
            </w14:solidFill>
          </w14:textFill>
        </w:rPr>
        <w:t xml:space="preserve">0527-84468827/</w:t>
      </w:r>
      <w:bookmarkEnd w:id="204"/>
      <w:r>
        <w:rPr>
          <w:rFonts w:hint="eastAsia"/>
          <w:color w:val="000000" w:themeColor="text1"/>
          <w:sz w:val="24"/>
          <w:szCs w:val="24"/>
          <w:highlight w:val="none"/>
          <w14:textFill>
            <w14:solidFill>
              <w14:schemeClr w14:val="tx1"/>
            </w14:solidFill>
          </w14:textFill>
        </w:rPr>
        <w:t xml:space="preserve">18936908444</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通讯地址：宿迁市宿豫区</w:t>
      </w:r>
      <w:r>
        <w:rPr>
          <w:rFonts w:hint="eastAsia"/>
          <w:color w:val="000000" w:themeColor="text1"/>
          <w:sz w:val="24"/>
          <w:szCs w:val="24"/>
          <w:highlight w:val="none"/>
          <w:lang w:val="en-US" w:eastAsia="zh-CN"/>
          <w14:textFill>
            <w14:solidFill>
              <w14:schemeClr w14:val="tx1"/>
            </w14:solidFill>
          </w14:textFill>
        </w:rPr>
        <w:t xml:space="preserve">湘江路30号</w:t>
      </w:r>
      <w:r>
        <w:rPr>
          <w:rFonts w:hint="eastAsia"/>
          <w:color w:val="000000" w:themeColor="text1"/>
          <w:sz w:val="24"/>
          <w:szCs w:val="24"/>
          <w:highlight w:val="none"/>
          <w14:textFill>
            <w14:solidFill>
              <w14:schemeClr w14:val="tx1"/>
            </w14:solidFill>
          </w14:textFill>
        </w:rPr>
        <w:t xml:space="preserve">、宿迁经开区虞姬公园玻璃房二楼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 以下情形的质疑不予受理</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28.5.2 超出政府采购法定期限的质疑。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w:t>
      </w:r>
      <w:r>
        <w:rPr>
          <w:color w:val="000000" w:themeColor="text1"/>
          <w:sz w:val="24"/>
          <w:szCs w:val="24"/>
          <w:highlight w:val="none"/>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质疑投标人对采购人、采购代理机构的答复不满意，或者采购人、采购代理机构未在规定时间内作出答复的，可以在答复期满后15个工作日内向同级财政部门提起投诉。</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29、中标通知书</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29.l</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09"/>
        <w:spacing w:before="0" w:after="0" w:line="560" w:lineRule="exact"/>
        <w:rPr>
          <w:rFonts w:hint="eastAsia"/>
          <w:color w:val="000000" w:themeColor="text1"/>
          <w:highlight w:val="none"/>
          <w14:textFill>
            <w14:solidFill>
              <w14:schemeClr w14:val="tx1"/>
            </w14:solidFill>
          </w14:textFill>
        </w:rPr>
      </w:pPr>
      <w:r/>
      <w:bookmarkStart w:id="205" w:name="_Toc158281555"/>
      <w:r/>
      <w:bookmarkStart w:id="206" w:name="_Toc513029236"/>
      <w:r/>
      <w:bookmarkStart w:id="207" w:name="_Toc120614220"/>
      <w:r/>
      <w:bookmarkStart w:id="208" w:name="_Toc20823308"/>
      <w:r/>
      <w:bookmarkStart w:id="209" w:name="_Toc8881"/>
      <w:r/>
      <w:bookmarkStart w:id="210" w:name="_Toc16938552"/>
      <w:r>
        <w:rPr>
          <w:rFonts w:hint="eastAsia"/>
          <w:color w:val="000000" w:themeColor="text1"/>
          <w:highlight w:val="none"/>
          <w14:textFill>
            <w14:solidFill>
              <w14:schemeClr w14:val="tx1"/>
            </w14:solidFill>
          </w14:textFill>
        </w:rPr>
        <w:t xml:space="preserve">七、授予合同</w:t>
      </w:r>
      <w:bookmarkEnd w:id="205"/>
      <w:r/>
      <w:bookmarkEnd w:id="206"/>
      <w:r/>
      <w:bookmarkEnd w:id="207"/>
      <w:r/>
      <w:bookmarkEnd w:id="208"/>
      <w:r/>
      <w:bookmarkEnd w:id="209"/>
      <w:r/>
      <w:bookmarkEnd w:id="210"/>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bookmarkStart w:id="211" w:name="_Toc16938553"/>
      <w:r/>
      <w:bookmarkStart w:id="212" w:name="_Toc513029237"/>
      <w:r/>
      <w:bookmarkStart w:id="213" w:name="_Toc20823309"/>
      <w:r>
        <w:rPr>
          <w:rFonts w:hint="eastAsia" w:ascii="Times New Roman" w:hAnsi="Times New Roman"/>
          <w:b w:val="0"/>
          <w:color w:val="000000" w:themeColor="text1"/>
          <w:sz w:val="30"/>
          <w:szCs w:val="30"/>
          <w:highlight w:val="none"/>
          <w14:textFill>
            <w14:solidFill>
              <w14:schemeClr w14:val="tx1"/>
            </w14:solidFill>
          </w14:textFill>
        </w:rPr>
        <w:t xml:space="preserve">30. 签订合同</w:t>
      </w:r>
      <w:r/>
    </w:p>
    <w:p>
      <w:pPr>
        <w:ind w:firstLine="60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30</w:t>
      </w:r>
      <w:r>
        <w:rPr>
          <w:rFonts w:hint="eastAsia"/>
          <w:color w:val="000000" w:themeColor="text1"/>
          <w:sz w:val="24"/>
          <w:szCs w:val="24"/>
          <w:highlight w:val="none"/>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30.2</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30.4本项目的非主体、非关键性工作是否允许分包按以下第</w:t>
      </w:r>
      <w:r>
        <w:rPr>
          <w:rFonts w:hint="eastAsia"/>
          <w:color w:val="000000" w:themeColor="text1"/>
          <w:sz w:val="24"/>
          <w:szCs w:val="24"/>
          <w:highlight w:val="none"/>
          <w:u w:val="single"/>
          <w14:textFill>
            <w14:solidFill>
              <w14:schemeClr w14:val="tx1"/>
            </w14:solidFill>
          </w14:textFill>
        </w:rPr>
        <w:t xml:space="preserve"> 2 </w:t>
      </w:r>
      <w:r>
        <w:rPr>
          <w:rFonts w:hint="eastAsia"/>
          <w:color w:val="000000" w:themeColor="text1"/>
          <w:sz w:val="24"/>
          <w:szCs w:val="24"/>
          <w:highlight w:val="none"/>
          <w14:textFill>
            <w14:solidFill>
              <w14:schemeClr w14:val="tx1"/>
            </w14:solidFill>
          </w14:textFill>
        </w:rPr>
        <w:t xml:space="preserve">种方式确定：</w:t>
      </w:r>
      <w:r/>
    </w:p>
    <w:p>
      <w:pPr>
        <w:ind w:firstLine="480"/>
        <w:spacing w:line="56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30.5履约保证金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按照以下第（2） 方式确定履约保证收取方式。</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(1)不收取履约保证金。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(2)本项目收取履约保证</w:t>
      </w:r>
      <w:r>
        <w:rPr>
          <w:rFonts w:hint="eastAsia"/>
          <w:color w:val="000000" w:themeColor="text1"/>
          <w:sz w:val="24"/>
          <w:szCs w:val="24"/>
          <w:highlight w:val="none"/>
          <w:lang w:val="en-US" w:eastAsia="zh-CN"/>
          <w14:textFill>
            <w14:solidFill>
              <w14:schemeClr w14:val="tx1"/>
            </w14:solidFill>
          </w14:textFill>
        </w:rPr>
        <w:t xml:space="preserve">金</w:t>
      </w:r>
      <w:r>
        <w:rPr>
          <w:rFonts w:hint="eastAsia"/>
          <w:color w:val="000000" w:themeColor="text1"/>
          <w:sz w:val="24"/>
          <w:szCs w:val="24"/>
          <w:highlight w:val="none"/>
          <w:lang w:val="zh-CN"/>
          <w14:textFill>
            <w14:solidFill>
              <w14:schemeClr w14:val="tx1"/>
            </w14:solidFill>
          </w14:textFill>
        </w:rPr>
        <w:t xml:space="preserve">在采购合同签订前提交，履约保证金的金额:按采购合同总价的</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14:textFill>
            <w14:solidFill>
              <w14:schemeClr w14:val="tx1"/>
            </w14:solidFill>
          </w14:textFill>
        </w:rPr>
        <w:t xml:space="preserve">%(使用江苏政府采购电子履约保函代替缴纳履约保证金，按采购合同价的</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val="zh-CN"/>
          <w14:textFill>
            <w14:solidFill>
              <w14:schemeClr w14:val="tx1"/>
            </w14:solidFill>
          </w14:textFill>
        </w:rPr>
        <w:t xml:space="preserve">%)计取。除银行电汇、网上银行、数字</w:t>
      </w:r>
      <w:r>
        <w:rPr>
          <w:rFonts w:hint="eastAsia"/>
          <w:color w:val="000000" w:themeColor="text1"/>
          <w:sz w:val="24"/>
          <w:szCs w:val="24"/>
          <w:highlight w:val="none"/>
          <w:lang w:val="en-US" w:eastAsia="zh-CN"/>
          <w14:textFill>
            <w14:solidFill>
              <w14:schemeClr w14:val="tx1"/>
            </w14:solidFill>
          </w14:textFill>
        </w:rPr>
        <w:t xml:space="preserve">人民币</w:t>
      </w:r>
      <w:r>
        <w:rPr>
          <w:rFonts w:hint="eastAsia"/>
          <w:color w:val="000000" w:themeColor="text1"/>
          <w:sz w:val="24"/>
          <w:szCs w:val="24"/>
          <w:highlight w:val="none"/>
          <w:lang w:val="zh-CN"/>
          <w14:textFill>
            <w14:solidFill>
              <w14:schemeClr w14:val="tx1"/>
            </w14:solidFill>
          </w14:textFill>
        </w:rPr>
        <w:t xml:space="preserve">外，供应商还可选用银行保函</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lang w:val="zh-CN"/>
          <w14:textFill>
            <w14:solidFill>
              <w14:schemeClr w14:val="tx1"/>
            </w14:solidFill>
          </w14:textFill>
        </w:rPr>
        <w:t xml:space="preserve">形式向采购人缴纳;</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履约保证金退还的条件：</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逾期退还履约保证金的违约责任：除应当退还履约保证金外，还应当按中国人民银行同期贷款</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31、服务（包含与服务相关的货物）的追加</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1"/>
      <w:r/>
      <w:bookmarkEnd w:id="212"/>
      <w:r/>
      <w:bookmarkEnd w:id="213"/>
      <w:r/>
      <w:r/>
    </w:p>
    <w:p>
      <w:pPr>
        <w:pStyle w:val="1010"/>
        <w:ind w:firstLine="600"/>
        <w:spacing w:before="0" w:after="0" w:line="560" w:lineRule="exact"/>
        <w:rPr>
          <w:rFonts w:ascii="Times New Roman" w:hAnsi="Times New Roman"/>
          <w:b w:val="0"/>
          <w:color w:val="000000" w:themeColor="text1"/>
          <w:sz w:val="30"/>
          <w:szCs w:val="30"/>
          <w:highlight w:val="none"/>
          <w14:textFill>
            <w14:solidFill>
              <w14:schemeClr w14:val="tx1"/>
            </w14:solidFill>
          </w14:textFill>
        </w:rPr>
      </w:pPr>
      <w:r/>
      <w:bookmarkStart w:id="214" w:name="_Toc513029242"/>
      <w:r/>
      <w:bookmarkStart w:id="215" w:name="_Toc479757207"/>
      <w:r/>
      <w:bookmarkStart w:id="216" w:name="_Toc120614221"/>
      <w:r/>
      <w:bookmarkStart w:id="217" w:name="_Toc16938558"/>
      <w:r/>
      <w:bookmarkStart w:id="218" w:name="_Toc20823314"/>
      <w:r>
        <w:rPr>
          <w:rFonts w:hint="eastAsia" w:ascii="Times New Roman" w:hAnsi="Times New Roman"/>
          <w:b w:val="0"/>
          <w:color w:val="000000" w:themeColor="text1"/>
          <w:sz w:val="30"/>
          <w:szCs w:val="30"/>
          <w:highlight w:val="none"/>
          <w14:textFill>
            <w14:solidFill>
              <w14:schemeClr w14:val="tx1"/>
            </w14:solidFill>
          </w14:textFill>
        </w:rPr>
        <w:t xml:space="preserve">32、政府采购履约资金扶持政策</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32.1依</w:t>
      </w:r>
      <w:r>
        <w:rPr>
          <w:rFonts w:hint="eastAsia"/>
          <w:bCs/>
          <w:color w:val="000000" w:themeColor="text1"/>
          <w:sz w:val="24"/>
          <w:highlight w:val="none"/>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10"/>
        <w:ind w:firstLine="602"/>
        <w:spacing w:before="0" w:after="0" w:line="560" w:lineRule="exact"/>
        <w:rPr>
          <w:rFonts w:hint="eastAsia" w:ascii="Times New Roman" w:hAnsi="Times New Roman"/>
          <w:color w:val="000000" w:themeColor="text1"/>
          <w:sz w:val="30"/>
          <w:szCs w:val="30"/>
          <w:highlight w:val="none"/>
          <w14:textFill>
            <w14:solidFill>
              <w14:schemeClr w14:val="tx1"/>
            </w14:solidFill>
          </w14:textFill>
        </w:rPr>
      </w:pPr>
      <w:r>
        <w:rPr>
          <w:rFonts w:hint="eastAsia" w:ascii="Times New Roman" w:hAnsi="Times New Roman"/>
          <w:color w:val="000000" w:themeColor="text1"/>
          <w:sz w:val="30"/>
          <w:szCs w:val="30"/>
          <w:highlight w:val="none"/>
          <w14:textFill>
            <w14:solidFill>
              <w14:schemeClr w14:val="tx1"/>
            </w14:solidFill>
          </w14:textFill>
        </w:rPr>
        <w:t xml:space="preserve">33、验收及付款</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33.2</w:t>
      </w:r>
      <w:r>
        <w:rPr>
          <w:rFonts w:hint="eastAsia"/>
          <w:bCs/>
          <w:color w:val="000000" w:themeColor="text1"/>
          <w:sz w:val="24"/>
          <w:highlight w:val="none"/>
          <w14:textFill>
            <w14:solidFill>
              <w14:schemeClr w14:val="tx1"/>
            </w14:solidFill>
          </w14:textFill>
        </w:rPr>
        <w:t xml:space="preserve">对于实际使用人和甲方分离项目，甲方邀请实际使用人参与验收，实际使用人意见决定验收结果。</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付款</w:t>
      </w:r>
      <w:r/>
    </w:p>
    <w:p>
      <w:pPr>
        <w:ind w:firstLine="482"/>
        <w:spacing w:line="560" w:lineRule="exact"/>
        <w:rPr>
          <w:rFonts w:hint="eastAsia"/>
          <w:bCs/>
          <w:color w:val="000000" w:themeColor="text1"/>
          <w:sz w:val="24"/>
          <w:highlight w:val="none"/>
          <w14:textFill>
            <w14:solidFill>
              <w14:schemeClr w14:val="tx1"/>
            </w14:solidFill>
          </w14:textFill>
        </w:rPr>
      </w:pPr>
      <w:r/>
      <w:bookmarkStart w:id="219" w:name="EBec7f529f50594afd871ea9378869e456"/>
      <w:r>
        <w:rPr>
          <w:rFonts w:hint="eastAsia"/>
          <w:bCs/>
          <w:color w:val="000000" w:themeColor="text1"/>
          <w:sz w:val="24"/>
          <w:highlight w:val="none"/>
          <w14:textFill>
            <w14:solidFill>
              <w14:schemeClr w14:val="tx1"/>
            </w14:solidFill>
          </w14:textFill>
        </w:rPr>
        <w:t xml:space="preserve">按照</w:t>
      </w:r>
      <w:r>
        <w:rPr>
          <w:rFonts w:hint="eastAsia"/>
          <w:bCs/>
          <w:color w:val="000000" w:themeColor="text1"/>
          <w:sz w:val="24"/>
          <w:highlight w:val="none"/>
          <w:u w:val="single"/>
          <w14:textFill>
            <w14:solidFill>
              <w14:schemeClr w14:val="tx1"/>
            </w14:solidFill>
          </w14:textFill>
        </w:rPr>
        <w:t xml:space="preserve">服务类</w:t>
      </w:r>
      <w:r>
        <w:rPr>
          <w:rFonts w:hint="eastAsia"/>
          <w:bCs/>
          <w:color w:val="000000" w:themeColor="text1"/>
          <w:sz w:val="24"/>
          <w:highlight w:val="none"/>
          <w14:textFill>
            <w14:solidFill>
              <w14:schemeClr w14:val="tx1"/>
            </w14:solidFill>
          </w14:textFill>
        </w:rPr>
        <w:t xml:space="preserve">确定的付款方式，采购人及时办理付款手续。对于满足合同约定支付条件的，自收到发票后10个工作日内将资金支付到合同约定的投标人账户或投标人数字人民币账户。</w:t>
      </w:r>
      <w:bookmarkEnd w:id="219"/>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（1）货物类项目</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 </w:t>
      </w:r>
      <w:r/>
    </w:p>
    <w:p>
      <w:pPr>
        <w:ind w:firstLine="482"/>
        <w:spacing w:line="560" w:lineRule="exact"/>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bookmarkStart w:id="220" w:name="EBf1f8b954f7504a2cb44cef25707c76a6"/>
      <w:r/>
      <w:bookmarkEnd w:id="220"/>
      <w:r>
        <w:rPr>
          <w:rFonts w:hint="eastAsia" w:ascii="宋体" w:hAnsi="宋体" w:cs="宋体"/>
          <w:bCs/>
          <w:color w:val="000000" w:themeColor="text1"/>
          <w:sz w:val="24"/>
          <w:highlight w:val="none"/>
          <w:u w:val="single"/>
          <w14:textFill>
            <w14:solidFill>
              <w14:schemeClr w14:val="tx1"/>
            </w14:solidFill>
          </w14:textFill>
        </w:rPr>
        <w:t xml:space="preserve">  /  。</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（2）服务类项目</w:t>
      </w:r>
      <w:r/>
    </w:p>
    <w:p>
      <w:pPr>
        <w:ind w:firstLine="482"/>
        <w:spacing w:line="560" w:lineRule="exact"/>
        <w:rPr>
          <w:rFonts w:eastAsia="仿宋_GB2312" w:cs="仿宋_GB2312"/>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预付款：合同款的</w:t>
      </w:r>
      <w:bookmarkStart w:id="221" w:name="EBe373fd05aa034cc3a1a41aadf8509e01"/>
      <w:r>
        <w:rPr>
          <w:rFonts w:hint="eastAsia"/>
          <w:bCs/>
          <w:color w:val="000000" w:themeColor="text1"/>
          <w:sz w:val="24"/>
          <w:highlight w:val="none"/>
          <w:u w:val="single"/>
          <w14:textFill>
            <w14:solidFill>
              <w14:schemeClr w14:val="tx1"/>
            </w14:solidFill>
          </w14:textFill>
        </w:rPr>
        <w:t xml:space="preserve">10%</w:t>
      </w:r>
      <w:bookmarkEnd w:id="221"/>
      <w:r>
        <w:rPr>
          <w:rFonts w:hint="eastAsia"/>
          <w:bCs/>
          <w:color w:val="000000" w:themeColor="text1"/>
          <w:sz w:val="24"/>
          <w:highlight w:val="none"/>
          <w14:textFill>
            <w14:solidFill>
              <w14:schemeClr w14:val="tx1"/>
            </w14:solidFill>
          </w14:textFill>
        </w:rPr>
        <w:t xml:space="preserve">，合同签订后按规定支付；</w:t>
      </w:r>
      <w:r>
        <w:rPr>
          <w:rFonts w:hint="eastAsia" w:eastAsia="仿宋_GB2312" w:cs="仿宋_GB2312"/>
          <w:color w:val="000000" w:themeColor="text1"/>
          <w:sz w:val="24"/>
          <w:highlight w:val="none"/>
          <w14:textFill>
            <w14:solidFill>
              <w14:schemeClr w14:val="tx1"/>
            </w14:solidFill>
          </w14:textFill>
        </w:rPr>
        <w:t xml:space="preserve"> </w:t>
      </w:r>
      <w:r/>
    </w:p>
    <w:p>
      <w:pPr>
        <w:ind w:firstLine="480"/>
        <w:jc w:val="left"/>
        <w:spacing w:line="560" w:lineRule="exact"/>
        <w:widowControl/>
        <w:rPr>
          <w:color w:val="000000" w:themeColor="text1"/>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进度款：本项目服务费用采取按季度支付的方式，乙方考核分值实行月度百分制，所扣分数与甲方支付服务费金额挂钩。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注</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：1.每季度付款额=合同每季度应付款（合同总价/12）-</w:t>
      </w: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季度</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考核后扣除的费用。</w:t>
      </w:r>
      <w:r/>
    </w:p>
    <w:p>
      <w:pPr>
        <w:ind w:firstLine="42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2.前面季度的付款从预付款中抵扣，扣完为止。</w:t>
      </w:r>
      <w:r/>
    </w:p>
    <w:p>
      <w:pPr>
        <w:ind w:firstLine="42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bCs/>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4.中标人未按要求提供符合要求的发票的，采购人有权暂停付款，且不免除中标人继续合同约定的义务。</w:t>
      </w:r>
      <w:r/>
    </w:p>
    <w:p>
      <w:pPr>
        <w:numPr>
          <w:ilvl w:val="0"/>
          <w:numId w:val="5"/>
        </w:num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工程类项目</w:t>
      </w:r>
      <w:r/>
    </w:p>
    <w:p>
      <w:pPr>
        <w:ind w:firstLine="482"/>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w:t>
      </w:r>
      <w:r>
        <w:rPr>
          <w:rFonts w:hint="eastAsia" w:ascii="宋体" w:hAnsi="宋体" w:cs="宋体"/>
          <w:color w:val="000000" w:themeColor="text1"/>
          <w:sz w:val="24"/>
          <w:highlight w:val="none"/>
          <w14:textFill>
            <w14:solidFill>
              <w14:schemeClr w14:val="tx1"/>
            </w14:solidFill>
          </w14:textFill>
        </w:rPr>
        <w:t xml:space="preserve"> </w:t>
      </w:r>
      <w:r/>
    </w:p>
    <w:p>
      <w:pPr>
        <w:ind w:firstLine="482"/>
        <w:spacing w:line="5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w:t>
      </w:r>
      <w:r/>
    </w:p>
    <w:p>
      <w:p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注：在签订合同时，中标人明确表示无需预付款或者主动要求降低预付款比例的金额，采购人可不适用预付款规定。</w:t>
      </w:r>
      <w:r/>
    </w:p>
    <w:p>
      <w:pPr>
        <w:pStyle w:val="1007"/>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bCs/>
          <w:color w:val="000000" w:themeColor="text1"/>
          <w:sz w:val="44"/>
          <w:highlight w:val="none"/>
          <w14:textFill>
            <w14:solidFill>
              <w14:schemeClr w14:val="tx1"/>
            </w14:solidFill>
          </w14:textFill>
        </w:rPr>
        <w:br w:type="page" w:clear="all"/>
      </w:r>
      <w:r>
        <w:rPr>
          <w:rFonts w:hint="eastAsia" w:ascii="Times New Roman" w:eastAsia="黑体"/>
          <w:color w:val="000000" w:themeColor="text1"/>
          <w:sz w:val="44"/>
          <w:szCs w:val="44"/>
          <w:highlight w:val="none"/>
          <w:lang w:val="en-US" w:eastAsia="zh-CN"/>
          <w14:textFill>
            <w14:solidFill>
              <w14:schemeClr w14:val="tx1"/>
            </w14:solidFill>
          </w14:textFill>
        </w:rPr>
        <w:t xml:space="preserve"> </w:t>
      </w:r>
      <w:bookmarkStart w:id="222" w:name="_Toc19207"/>
      <w:r>
        <w:rPr>
          <w:rFonts w:hint="eastAsia" w:ascii="Times New Roman" w:eastAsia="黑体"/>
          <w:color w:val="000000" w:themeColor="text1"/>
          <w:sz w:val="44"/>
          <w:szCs w:val="44"/>
          <w:highlight w:val="none"/>
          <w14:textFill>
            <w14:solidFill>
              <w14:schemeClr w14:val="tx1"/>
            </w14:solidFill>
          </w14:textFill>
        </w:rPr>
        <w:t xml:space="preserve">第三章  </w:t>
      </w:r>
      <w:bookmarkEnd w:id="214"/>
      <w:r/>
      <w:bookmarkEnd w:id="215"/>
      <w:r/>
      <w:bookmarkEnd w:id="216"/>
      <w:r/>
      <w:bookmarkEnd w:id="217"/>
      <w:r/>
      <w:bookmarkEnd w:id="218"/>
      <w:r/>
      <w:bookmarkStart w:id="223" w:name="_Toc16938590"/>
      <w:r/>
      <w:bookmarkStart w:id="224" w:name="_Toc20823346"/>
      <w:r/>
      <w:bookmarkStart w:id="225" w:name="_Toc120614244"/>
      <w:r/>
      <w:bookmarkStart w:id="226" w:name="_Hlt16619350"/>
      <w:r/>
      <w:bookmarkStart w:id="227" w:name="_Toc479757211"/>
      <w:r/>
      <w:bookmarkStart w:id="228" w:name="_Toc462564139"/>
      <w:r>
        <w:rPr>
          <w:rFonts w:hint="eastAsia" w:ascii="Times New Roman" w:eastAsia="黑体"/>
          <w:color w:val="000000" w:themeColor="text1"/>
          <w:sz w:val="44"/>
          <w:szCs w:val="44"/>
          <w:highlight w:val="none"/>
          <w:lang w:val="en-US" w:eastAsia="zh-CN"/>
          <w14:textFill>
            <w14:solidFill>
              <w14:schemeClr w14:val="tx1"/>
            </w14:solidFill>
          </w14:textFill>
        </w:rPr>
        <w:t xml:space="preserve">合同文本</w:t>
      </w:r>
      <w:bookmarkEnd w:id="222"/>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960"/>
        <w:jc w:val="both"/>
        <w:spacing w:after="0" w:line="440" w:lineRule="atLeast"/>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32"/>
          <w:szCs w:val="22"/>
          <w:highlight w:val="none"/>
          <w14:textFill>
            <w14:solidFill>
              <w14:schemeClr w14:val="tx1"/>
            </w14:solidFill>
          </w14:textFill>
        </w:rPr>
        <w:t xml:space="preserve">合同编号：</w:t>
      </w:r>
      <w:r>
        <w:rPr>
          <w:rFonts w:hint="eastAsia" w:ascii="仿宋" w:hAnsi="仿宋" w:eastAsia="仿宋"/>
          <w:color w:val="000000" w:themeColor="text1"/>
          <w:sz w:val="32"/>
          <w:szCs w:val="22"/>
          <w:highlight w:val="none"/>
          <w:lang w:val="en-US" w:eastAsia="zh-CN"/>
          <w14:textFill>
            <w14:solidFill>
              <w14:schemeClr w14:val="tx1"/>
            </w14:solidFill>
          </w14:textFill>
        </w:rPr>
        <w:t xml:space="preserve"> </w:t>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52"/>
          <w:szCs w:val="52"/>
          <w:highlight w:val="none"/>
          <w14:textFill>
            <w14:solidFill>
              <w14:schemeClr w14:val="tx1"/>
            </w14:solidFill>
          </w14:textFill>
        </w:rPr>
      </w:pPr>
      <w:r>
        <w:rPr>
          <w:rFonts w:ascii="仿宋" w:hAnsi="仿宋" w:eastAsia="仿宋"/>
          <w:b/>
          <w:color w:val="000000" w:themeColor="text1"/>
          <w:sz w:val="52"/>
          <w:szCs w:val="52"/>
          <w:highlight w:val="none"/>
          <w14:textFill>
            <w14:solidFill>
              <w14:schemeClr w14:val="tx1"/>
            </w14:solidFill>
          </w14:textFill>
        </w:rPr>
        <w:t xml:space="preserve">政府采购合同</w:t>
      </w:r>
      <w:r/>
    </w:p>
    <w:p>
      <w:pPr>
        <w:jc w:val="center"/>
        <w:spacing w:after="0" w:line="440" w:lineRule="atLeast"/>
        <w:rPr>
          <w:rFonts w:hint="eastAsia" w:ascii="仿宋" w:hAnsi="仿宋" w:eastAsia="仿宋"/>
          <w:b/>
          <w:color w:val="000000" w:themeColor="text1"/>
          <w:sz w:val="44"/>
          <w:szCs w:val="52"/>
          <w:highlight w:val="none"/>
          <w14:textFill>
            <w14:solidFill>
              <w14:schemeClr w14:val="tx1"/>
            </w14:solidFill>
          </w14:textFill>
        </w:rPr>
      </w:pPr>
      <w:r>
        <w:rPr>
          <w:rFonts w:hint="eastAsia" w:ascii="仿宋" w:hAnsi="仿宋" w:eastAsia="仿宋"/>
          <w:b/>
          <w:color w:val="000000" w:themeColor="text1"/>
          <w:sz w:val="44"/>
          <w:szCs w:val="52"/>
          <w:highlight w:val="none"/>
          <w14:textFill>
            <w14:solidFill>
              <w14:schemeClr w14:val="tx1"/>
            </w14:solidFill>
          </w14:textFill>
        </w:rPr>
        <w:t xml:space="preserve">（服务类）</w:t>
      </w:r>
      <w:r/>
    </w:p>
    <w:p>
      <w:pPr>
        <w:pStyle w:val="1139"/>
        <w:ind w:firstLine="2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jc w:val="both"/>
        <w:rPr>
          <w:rFonts w:ascii="楷体" w:hAnsi="楷体" w:eastAsia="楷体"/>
          <w:color w:val="000000" w:themeColor="text1"/>
          <w:szCs w:val="24"/>
          <w:highlight w:val="none"/>
          <w14:textFill>
            <w14:solidFill>
              <w14:schemeClr w14:val="tx1"/>
            </w14:solidFill>
          </w14:textFill>
        </w:rPr>
      </w:pPr>
      <w:r/>
      <w:bookmarkStart w:id="229" w:name="_Toc331685783"/>
      <w:r/>
      <w:r/>
    </w:p>
    <w:p>
      <w:pPr>
        <w:pStyle w:val="1187"/>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87"/>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项目名称：</w:t>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甲方：</w:t>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乙方：</w:t>
      </w:r>
      <w:r/>
    </w:p>
    <w:p>
      <w:pPr>
        <w:pStyle w:val="1138"/>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签订地点：</w:t>
      </w:r>
      <w:r/>
    </w:p>
    <w:p>
      <w:pPr>
        <w:pStyle w:val="1138"/>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签订日期：   年  月  日</w:t>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bookmarkEnd w:id="229"/>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目名称：</w:t>
      </w:r>
      <w:r>
        <w:rPr>
          <w:rFonts w:hint="eastAsia" w:ascii="宋体" w:hAnsi="宋体" w:eastAsia="宋体" w:cs="宋体"/>
          <w:color w:val="000000" w:themeColor="text1"/>
          <w:sz w:val="24"/>
          <w:szCs w:val="24"/>
          <w:u w:val="single"/>
          <w14:textFill>
            <w14:solidFill>
              <w14:schemeClr w14:val="tx1"/>
            </w14:solidFill>
          </w14:textFill>
        </w:rPr>
        <w:t xml:space="preserve">宿豫区各乡镇环卫作业服务外包采购项目（2026年—2029年）</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采购单位（全称): </w:t>
      </w:r>
      <w:r>
        <w:rPr>
          <w:rFonts w:hint="eastAsia" w:ascii="宋体" w:hAnsi="宋体" w:eastAsia="宋体" w:cs="宋体"/>
          <w:color w:val="000000" w:themeColor="text1"/>
          <w:sz w:val="24"/>
          <w:u w:val="single"/>
          <w14:textFill>
            <w14:solidFill>
              <w14:schemeClr w14:val="tx1"/>
            </w14:solidFill>
          </w14:textFill>
        </w:rPr>
        <w:t xml:space="preserve"> 宿迁市宿豫区城市管理局（</w:t>
      </w:r>
      <w:r>
        <w:rPr>
          <w:rFonts w:hint="eastAsia" w:ascii="宋体" w:hAnsi="宋体" w:eastAsia="宋体" w:cs="宋体"/>
          <w:color w:val="000000" w:themeColor="text1"/>
          <w:sz w:val="24"/>
          <w14:textFill>
            <w14:solidFill>
              <w14:schemeClr w14:val="tx1"/>
            </w14:solidFill>
          </w14:textFill>
        </w:rPr>
        <w:t xml:space="preserve">简称甲方）</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中标单位（全称):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（简称乙方）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甲、乙双方根据</w:t>
      </w:r>
      <w:r>
        <w:rPr>
          <w:rFonts w:hint="eastAsia" w:ascii="宋体" w:hAnsi="宋体" w:eastAsia="宋体" w:cs="宋体"/>
          <w:color w:val="000000" w:themeColor="text1"/>
          <w:sz w:val="24"/>
          <w:szCs w:val="24"/>
          <w:u w:val="single"/>
          <w14:textFill>
            <w14:solidFill>
              <w14:schemeClr w14:val="tx1"/>
            </w14:solidFill>
          </w14:textFill>
        </w:rPr>
        <w:t xml:space="preserve">宿豫区各乡镇环卫作业服务外包采购项目（2026年—2029年）</w:t>
      </w:r>
      <w:r>
        <w:rPr>
          <w:rFonts w:hint="eastAsia" w:ascii="宋体" w:hAnsi="宋体" w:eastAsia="宋体" w:cs="宋体"/>
          <w:color w:val="000000" w:themeColor="text1"/>
          <w:sz w:val="24"/>
          <w:szCs w:val="24"/>
          <w14:textFill>
            <w14:solidFill>
              <w14:schemeClr w14:val="tx1"/>
            </w14:solidFill>
          </w14:textFill>
        </w:rPr>
        <w:t xml:space="preserve">公开招标的结果，签署本合同。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一、合同内容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1.1标的名称：宿豫区各乡镇环卫作业服务外包采购项目（2026年—2029年）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标的质量：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w:t>
      </w:r>
      <w:r/>
    </w:p>
    <w:p>
      <w:pPr>
        <w:pStyle w:val="1044"/>
        <w:ind w:firstLine="480"/>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1.3标的数量（规模）：1项。</w:t>
      </w:r>
      <w:r/>
    </w:p>
    <w:p>
      <w:pPr>
        <w:ind w:firstLine="480"/>
        <w:jc w:val="left"/>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1.4履行时间（期限）：三年，自合同签订之日起至项目完成。</w:t>
      </w:r>
      <w:r>
        <w:rPr>
          <w:rFonts w:hint="eastAsia" w:ascii="宋体" w:hAnsi="宋体" w:eastAsia="宋体" w:cs="宋体"/>
          <w:bCs/>
          <w:color w:val="000000" w:themeColor="text1"/>
          <w:sz w:val="24"/>
          <w:szCs w:val="24"/>
          <w14:textFill>
            <w14:solidFill>
              <w14:schemeClr w14:val="tx1"/>
            </w14:solidFill>
          </w14:textFill>
        </w:rPr>
        <w:br/>
      </w:r>
      <w:r>
        <w:rPr>
          <w:rFonts w:hint="eastAsia" w:ascii="宋体" w:hAnsi="宋体" w:eastAsia="宋体" w:cs="宋体"/>
          <w:bCs/>
          <w:color w:val="000000" w:themeColor="text1"/>
          <w:sz w:val="24"/>
          <w:szCs w:val="24"/>
          <w14:textFill>
            <w14:solidFill>
              <w14:schemeClr w14:val="tx1"/>
            </w14:solidFill>
          </w14:textFill>
        </w:rPr>
        <w:t xml:space="preserve">    1.5履行地点：甲方指定地点。</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1.6履行方式：按照招标文件要求、投标文件内容及合同履行条款履行本合同。</w:t>
      </w:r>
      <w:r/>
    </w:p>
    <w:p>
      <w:pPr>
        <w:ind w:firstLine="480"/>
        <w:spacing w:line="48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1.7服务区域范围：</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宿豫区下辖乡镇：</w:t>
      </w:r>
      <w:r>
        <w:rPr>
          <w:rFonts w:hint="eastAsia" w:ascii="宋体" w:hAnsi="宋体" w:eastAsia="宋体" w:cs="宋体"/>
          <w:color w:val="000000" w:themeColor="text1"/>
          <w:sz w:val="24"/>
          <w:szCs w:val="24"/>
          <w14:textFill>
            <w14:solidFill>
              <w14:schemeClr w14:val="tx1"/>
            </w14:solidFill>
          </w14:textFill>
        </w:rPr>
        <w:t xml:space="preserve">顺河街道和陆集街道、仰化镇、新庄镇、来龙镇(包括侍岭集镇区和保安集镇区)、大兴镇(包括丁嘴集镇区)、关庙镇、曹集乡。</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1.8服务主要内容：含五部分：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1、宿豫区各乡镇（涉农街道）内161条道路清扫保洁：</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①主次道路（含桥梁）的清扫、清洗、保洁、洒水降尘；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②道路之间所有构筑物和构件乱张贴和乱涂写的清理和保洁；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③路名牌、指路牌等以及路灯杆、交通指示牌杆、路灯配电箱等清洗保洁，以及牛皮癣等野广告清除，公共设施保洁（灯杆擦拭、隔离带、防护栏保洁等）；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 道路清扫作业和沿途垃圾的分类、收集和清运。</w:t>
      </w:r>
      <w:r/>
    </w:p>
    <w:p>
      <w:pPr>
        <w:ind w:firstLine="480"/>
        <w:spacing w:line="480" w:lineRule="exact"/>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1.9项目负责人：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姓名：</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w:t>
      </w:r>
      <w:r/>
    </w:p>
    <w:p>
      <w:pPr>
        <w:ind w:firstLine="0"/>
        <w:spacing w:line="480" w:lineRule="exact"/>
        <w:rPr>
          <w:rFonts w:hint="default" w:ascii="宋体" w:hAnsi="宋体" w:eastAsia="宋体" w:cs="宋体"/>
          <w:b w:val="0"/>
          <w:bCs w:val="0"/>
          <w:color w:val="000000" w:themeColor="text1"/>
          <w:sz w:val="24"/>
          <w:szCs w:val="24"/>
          <w:highlight w:val="none"/>
          <w:u w:val="singl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       身份证号码：</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w:t>
      </w:r>
      <w:r>
        <w:rPr>
          <w:rFonts w:hint="eastAsia" w:ascii="宋体" w:hAnsi="宋体" w:cs="宋体"/>
          <w:color w:val="000000" w:themeColor="text1"/>
          <w:sz w:val="24"/>
          <w:szCs w:val="24"/>
          <w:lang w:val="en-US" w:eastAsia="zh-CN"/>
          <w14:textFill>
            <w14:solidFill>
              <w14:schemeClr w14:val="tx1"/>
            </w14:solidFill>
          </w14:textFill>
        </w:rPr>
        <w:t xml:space="preserve">座</w:t>
      </w:r>
      <w:r>
        <w:rPr>
          <w:rFonts w:hint="eastAsia" w:ascii="宋体" w:hAnsi="宋体" w:eastAsia="宋体" w:cs="宋体"/>
          <w:color w:val="000000" w:themeColor="text1"/>
          <w:sz w:val="24"/>
          <w:szCs w:val="24"/>
          <w14:textFill>
            <w14:solidFill>
              <w14:schemeClr w14:val="tx1"/>
            </w14:solidFill>
          </w14:textFill>
        </w:rPr>
        <w:t xml:space="preserve">垃圾中转站运营管理：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①中转站专人管理，做好日常保洁；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②中转站的维护保养、维修、修缮等，中转站场地（外墙粉刷，地面平整等）进行修缮的，乙方应在一周内完成修缮，费用包含在报价中，服务期满后完好移交甲方；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③中转站内的所有设施设备由乙方提供，并承担维护保养的费用；</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④运营管理过程中所涉及的一切费用由乙方承担，包括但不限于：人员工资，水电费，维护保养费等。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注：大兴镇中转站原有箱体为垂直压缩，现要求乙方对本站满足拉臂式转运车使用需求。相关费用包含在本次投标报价中，甲方不另行支付，请乙方自行勘查现场。</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3、50座公厕的运营管理：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①专人管理，做好日常保洁；做好冬季的防寒保暖措施；</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②公厕的维护保养、设备更换、改造等（包含但不限于水、电、内部设施设备等），公厕进行修缮的，乙方应在一周内完成维修改造，费用包含在报价中，服务期满后完好移交甲方；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③化粪池清理；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④运营管理过程中所涉及的一切费用由乙方承担，包括但不限于：人员工资，水电费，维护保养费等。相关费用包含在本次投标报价中，采购人不另行支付，请投标人自行勘察现场。</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4、生活垃圾收运：</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①道路清扫作业和沿途垃圾桶、果皮箱所产生的垃圾收集；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②保洁范围内生活垃圾桶由乙方提供；</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③生活垃圾从各乡镇（涉农街道）中转至垃圾焚烧厂的转运服务。</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5、应急保障：</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对重大活动安全、本地气候特点（四季极端天气）及其他突发事件的应急响应。需建立24小时应急响应机制，遇突发环境卫生事件时，应在1小时内启动预案，2小时内完成初步处置，并及时通报甲方。</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1.9服务涉及清单配置（人员、设施、耗材配置等要求）：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详见采购需求及招标文件要求。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1.10服务要求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详见采购需求及招标文件要求。</w:t>
      </w:r>
      <w:r/>
    </w:p>
    <w:p>
      <w:pPr>
        <w:ind w:firstLine="482"/>
        <w:spacing w:line="480" w:lineRule="exact"/>
        <w:tabs>
          <w:tab w:val="left" w:pos="5391"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二、合同金额</w:t>
      </w:r>
      <w:r>
        <w:rPr>
          <w:rFonts w:hint="eastAsia" w:ascii="宋体" w:hAnsi="宋体" w:eastAsia="宋体" w:cs="宋体"/>
          <w:b/>
          <w:bCs/>
          <w:color w:val="000000" w:themeColor="text1"/>
          <w:sz w:val="24"/>
          <w:szCs w:val="24"/>
          <w14:textFill>
            <w14:solidFill>
              <w14:schemeClr w14:val="tx1"/>
            </w14:solidFill>
          </w14:textFill>
        </w:rPr>
        <w:tab/>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乙方向甲方提供总价值为人民币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）的标的服务。</w:t>
      </w:r>
      <w:r/>
    </w:p>
    <w:p>
      <w:pPr>
        <w:ind w:firstLine="482"/>
        <w:spacing w:line="480" w:lineRule="exact"/>
        <w:tabs>
          <w:tab w:val="left" w:pos="5391" w:leader="none"/>
        </w:tabs>
        <w:rPr>
          <w:rFonts w:hint="eastAsia" w:ascii="宋体" w:hAnsi="宋体" w:eastAsia="宋体" w:cs="宋体"/>
          <w:b/>
          <w:bCs/>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w:t>
      </w:r>
      <w:r>
        <w:rPr>
          <w:rFonts w:hint="eastAsia" w:ascii="宋体" w:hAnsi="宋体" w:eastAsia="宋体" w:cs="宋体"/>
          <w:b/>
          <w:bCs/>
          <w:color w:val="000000" w:themeColor="text1"/>
          <w:sz w:val="24"/>
          <w:szCs w:val="24"/>
          <w:lang w:val="zh-CN"/>
          <w14:textFill>
            <w14:solidFill>
              <w14:schemeClr w14:val="tx1"/>
            </w14:solidFill>
          </w14:textFill>
        </w:rPr>
        <w:t xml:space="preserve">付款方式：</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预付款：</w:t>
      </w:r>
      <w:r>
        <w:rPr>
          <w:rFonts w:hint="eastAsia" w:ascii="宋体" w:hAnsi="宋体" w:eastAsia="宋体" w:cs="宋体"/>
          <w:color w:val="000000" w:themeColor="text1"/>
          <w:sz w:val="24"/>
          <w:szCs w:val="32"/>
          <w:u w:val="single"/>
          <w14:textFill>
            <w14:solidFill>
              <w14:schemeClr w14:val="tx1"/>
            </w14:solidFill>
          </w14:textFill>
        </w:rPr>
        <w:t xml:space="preserve">合同签订后，收到供应商发票10个工作日内支付合同价款的10%作为预付款；；</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进度款：</w:t>
      </w:r>
      <w:r>
        <w:rPr>
          <w:rFonts w:hint="eastAsia" w:ascii="宋体" w:hAnsi="宋体" w:eastAsia="宋体" w:cs="宋体"/>
          <w:color w:val="000000" w:themeColor="text1"/>
          <w:sz w:val="24"/>
          <w:szCs w:val="32"/>
          <w:u w:val="single"/>
          <w14:textFill>
            <w14:solidFill>
              <w14:schemeClr w14:val="tx1"/>
            </w14:solidFill>
          </w14:textFill>
        </w:rPr>
        <w:t xml:space="preserve">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color w:val="000000" w:themeColor="text1"/>
          <w:sz w:val="24"/>
          <w:szCs w:val="32"/>
          <w:highlight w:val="yellow"/>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注：1.每</w:t>
      </w:r>
      <w:r>
        <w:rPr>
          <w:rFonts w:hint="eastAsia" w:ascii="宋体" w:hAnsi="宋体" w:eastAsia="宋体" w:cs="宋体"/>
          <w:color w:val="000000" w:themeColor="text1"/>
          <w:sz w:val="24"/>
          <w:szCs w:val="32"/>
          <w:highlight w:val="none"/>
          <w14:textFill>
            <w14:solidFill>
              <w14:schemeClr w14:val="tx1"/>
            </w14:solidFill>
          </w14:textFill>
        </w:rPr>
        <w:t xml:space="preserve">季度付款额=合同每季度应付款（合同总价/12）-</w:t>
      </w:r>
      <w:r>
        <w:rPr>
          <w:rFonts w:hint="eastAsia" w:ascii="宋体" w:hAnsi="宋体" w:cs="宋体"/>
          <w:color w:val="000000" w:themeColor="text1"/>
          <w:sz w:val="24"/>
          <w:szCs w:val="32"/>
          <w:highlight w:val="none"/>
          <w:lang w:val="en-US" w:eastAsia="zh-CN"/>
          <w14:textFill>
            <w14:solidFill>
              <w14:schemeClr w14:val="tx1"/>
            </w14:solidFill>
          </w14:textFill>
        </w:rPr>
        <w:t xml:space="preserve">季度</w:t>
      </w:r>
      <w:r>
        <w:rPr>
          <w:rFonts w:hint="eastAsia" w:ascii="宋体" w:hAnsi="宋体" w:eastAsia="宋体" w:cs="宋体"/>
          <w:color w:val="000000" w:themeColor="text1"/>
          <w:sz w:val="24"/>
          <w:szCs w:val="32"/>
          <w:highlight w:val="none"/>
          <w14:textFill>
            <w14:solidFill>
              <w14:schemeClr w14:val="tx1"/>
            </w14:solidFill>
          </w14:textFill>
        </w:rPr>
        <w:t xml:space="preserve">考核后扣除的费用。</w:t>
      </w:r>
      <w:r/>
    </w:p>
    <w:p>
      <w:pPr>
        <w:ind w:firstLine="42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2.前面季度的付款从预付款中抵扣，扣完为止。</w:t>
      </w:r>
      <w:r/>
    </w:p>
    <w:p>
      <w:pPr>
        <w:ind w:firstLine="42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3.在签订合同时，中标人明确表示无需预付款或者主动要</w:t>
      </w:r>
      <w:r>
        <w:rPr>
          <w:rFonts w:hint="eastAsia" w:ascii="宋体" w:hAnsi="宋体" w:eastAsia="宋体" w:cs="宋体"/>
          <w:color w:val="000000" w:themeColor="text1"/>
          <w:sz w:val="24"/>
          <w:szCs w:val="32"/>
          <w14:textFill>
            <w14:solidFill>
              <w14:schemeClr w14:val="tx1"/>
            </w14:solidFill>
          </w14:textFill>
        </w:rPr>
        <w:t xml:space="preserve">求降低预付款比例的金额，采购人可不适用预付款规定。</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3.中标人未按要求提供符合要求的发票的，采购人有权暂停付款，且不免除中标人继续合同约定的义务。</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资金支付的时间：收到乙方发票10个工作日内；</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资金支付的条件：满足相应阶段的要求且收到乙方发票；</w:t>
      </w:r>
      <w:r/>
    </w:p>
    <w:p>
      <w:pPr>
        <w:ind w:firstLine="482"/>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四、管理机制</w:t>
      </w:r>
      <w:r/>
    </w:p>
    <w:p>
      <w:pPr>
        <w:ind w:firstLine="480"/>
        <w:spacing w:line="50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甲方负责建立统一的管理和服务标准，实施环卫服务的考核监督和处罚。同时负责指导、管理以及考核乙方的运营工作，乙方根据甲方的要求进行环卫体系的运营优化、需满足日常环卫保洁需求。</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考核</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1、考核方式与权重</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本项目由采购人与各乡镇联合开展月度考核，考核结果作为支付中标人服务经费、实施奖惩的主要依据。</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考核总分：100 分</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权重分配：乡镇评分占 60%，宿豫区城管局评分占 40%</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2、考核与违约责任及服务费扣减规则（按单个乡镇计算）</w:t>
      </w:r>
      <w:r/>
    </w:p>
    <w:tbl>
      <w:tblPr>
        <w:tblStyle w:val="848"/>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2070"/>
        <w:gridCol w:w="2377"/>
        <w:gridCol w:w="2258"/>
      </w:tblGrid>
      <w:tr>
        <w:trPr/>
        <w:tc>
          <w:tcPr>
            <w:tcW w:w="1944"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考核类型</w:t>
            </w:r>
            <w:r/>
          </w:p>
        </w:tc>
        <w:tc>
          <w:tcPr>
            <w:tcW w:w="2070" w:type="dxa"/>
            <w:vAlign w:val="center"/>
            <w:textDirection w:val="lrTb"/>
            <w:noWrap w:val="false"/>
          </w:tcPr>
          <w:p>
            <w:pPr>
              <w:pStyle w:val="1157"/>
              <w:jc w:val="center"/>
              <w:spacing w:after="0" w:line="32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得分条件（按单个乡镇计算）</w:t>
            </w:r>
            <w:r/>
          </w:p>
        </w:tc>
        <w:tc>
          <w:tcPr>
            <w:tcW w:w="2377"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处理方式</w:t>
            </w:r>
            <w:r/>
          </w:p>
        </w:tc>
        <w:tc>
          <w:tcPr>
            <w:tcW w:w="2258"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备注</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月度常规考核</w:t>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得分≥90 分（含）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不扣减当月对应乡镇的服务费。</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得分＜90 分</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每低 0.1 分，扣减对应乡镇当月服务费 500 元。</w:t>
            </w:r>
            <w:r/>
          </w:p>
        </w:tc>
        <w:tc>
          <w:tcPr>
            <w:tcW w:w="2258" w:type="dxa"/>
            <w:vAlign w:val="center"/>
            <w:textDirection w:val="lrTb"/>
            <w:noWrap w:val="false"/>
          </w:tcPr>
          <w:p>
            <w:pPr>
              <w:pStyle w:val="1157"/>
              <w:spacing w:after="0" w:line="32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示例：新庄镇当月考评得分89分，扣减服务费5000元；仰化镇当月考评得分88分，扣减服务费10000元；两镇合计扣减服务费15000元。</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严重违约考核</w:t>
            </w:r>
            <w:r/>
          </w:p>
        </w:tc>
        <w:tc>
          <w:tcPr>
            <w:tcW w:w="2070" w:type="dxa"/>
            <w:vAlign w:val="center"/>
            <w:textDirection w:val="lrTb"/>
            <w:noWrap w:val="false"/>
          </w:tcPr>
          <w:p>
            <w:pPr>
              <w:pStyle w:val="1157"/>
              <w:spacing w:after="0" w:line="360" w:lineRule="exac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单次得分＜60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扣除中标人年中标总额的</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Cs w:val="21"/>
                <w:highlight w:val="none"/>
                <w14:textFill>
                  <w14:solidFill>
                    <w14:schemeClr w14:val="tx1"/>
                  </w14:solidFill>
                </w14:textFill>
              </w:rPr>
              <w:t xml:space="preserve">%</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连续两次得分＜60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对中标人进行约谈，并扣除年中标总额的40%</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连续三次及以上得分＜60 分（不含）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采购人有权要求中标人直接退场</w:t>
            </w:r>
            <w:r/>
          </w:p>
        </w:tc>
        <w:tc>
          <w:tcPr>
            <w:tcW w:w="2258" w:type="dxa"/>
            <w:vAlign w:val="center"/>
            <w:textDirection w:val="lrTb"/>
            <w:noWrap w:val="false"/>
          </w:tcPr>
          <w:p>
            <w:pPr>
              <w:pStyle w:val="1157"/>
              <w:spacing w:after="0" w:line="32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全部损失由中标人承担，中标人不得主张相关权益</w:t>
            </w:r>
            <w:r/>
          </w:p>
        </w:tc>
      </w:tr>
    </w:tbl>
    <w:p>
      <w:pPr>
        <w:pStyle w:val="1157"/>
        <w:ind w:firstLine="482"/>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（考核细则详见合同附表1）</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六、履约保证金</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按照以下第</w:t>
      </w:r>
      <w:r>
        <w:rPr>
          <w:rFonts w:hint="eastAsia" w:ascii="宋体" w:hAnsi="宋体" w:eastAsia="宋体" w:cs="宋体"/>
          <w:bCs/>
          <w:color w:val="000000" w:themeColor="text1"/>
          <w:sz w:val="24"/>
          <w:u w:val="single"/>
          <w14:textFill>
            <w14:solidFill>
              <w14:schemeClr w14:val="tx1"/>
            </w14:solidFill>
          </w14:textFill>
        </w:rPr>
        <w:t xml:space="preserve">（2）</w:t>
      </w:r>
      <w:r>
        <w:rPr>
          <w:rFonts w:hint="eastAsia" w:ascii="宋体" w:hAnsi="宋体" w:eastAsia="宋体" w:cs="宋体"/>
          <w:bCs/>
          <w:color w:val="000000" w:themeColor="text1"/>
          <w:sz w:val="24"/>
          <w:lang w:val="zh-CN"/>
          <w14:textFill>
            <w14:solidFill>
              <w14:schemeClr w14:val="tx1"/>
            </w14:solidFill>
          </w14:textFill>
        </w:rPr>
        <w:t xml:space="preserve">方式确定履约保证收取方式。</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（1）不收取履约保证金。</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（2）履约保证金应在采购合同签订前提交，按采购合同总价的</w:t>
      </w:r>
      <w:r>
        <w:rPr>
          <w:rFonts w:hint="eastAsia" w:ascii="宋体" w:hAnsi="宋体" w:eastAsia="宋体" w:cs="宋体"/>
          <w:bCs/>
          <w:color w:val="000000" w:themeColor="text1"/>
          <w:sz w:val="24"/>
          <w:u w:val="single"/>
          <w14:textFill>
            <w14:solidFill>
              <w14:schemeClr w14:val="tx1"/>
            </w14:solidFill>
          </w14:textFill>
        </w:rPr>
        <w:t xml:space="preserve">  5  </w:t>
      </w:r>
      <w:r>
        <w:rPr>
          <w:rFonts w:hint="eastAsia" w:ascii="宋体" w:hAnsi="宋体" w:eastAsia="宋体" w:cs="宋体"/>
          <w:bCs/>
          <w:color w:val="000000" w:themeColor="text1"/>
          <w:sz w:val="24"/>
          <w:lang w:val="zh-CN"/>
          <w14:textFill>
            <w14:solidFill>
              <w14:schemeClr w14:val="tx1"/>
            </w14:solidFill>
          </w14:textFill>
        </w:rPr>
        <w:t xml:space="preserve">%计取（如使用江苏政府采购电子履约保函（保险）代替缴纳履约保证金的，按采购合同总价的</w:t>
      </w:r>
      <w:r>
        <w:rPr>
          <w:rFonts w:hint="eastAsia" w:ascii="宋体" w:hAnsi="宋体" w:eastAsia="宋体" w:cs="宋体"/>
          <w:bCs/>
          <w:color w:val="000000" w:themeColor="text1"/>
          <w:sz w:val="24"/>
          <w:u w:val="single"/>
          <w:lang w:val="zh-CN"/>
          <w14:textFill>
            <w14:solidFill>
              <w14:schemeClr w14:val="tx1"/>
            </w14:solidFill>
          </w14:textFill>
        </w:rPr>
        <w:t xml:space="preserve">3%</w:t>
      </w:r>
      <w:r>
        <w:rPr>
          <w:rFonts w:hint="eastAsia" w:ascii="宋体" w:hAnsi="宋体" w:eastAsia="宋体" w:cs="宋体"/>
          <w:bCs/>
          <w:color w:val="000000" w:themeColor="text1"/>
          <w:sz w:val="24"/>
          <w:lang w:val="zh-CN"/>
          <w14:textFill>
            <w14:solidFill>
              <w14:schemeClr w14:val="tx1"/>
            </w14:solidFill>
          </w14:textFill>
        </w:rPr>
        <w:t xml:space="preserve">计取）。除银行电汇、网上银行、数字人民币外，投标人还可选用银行保函、担保公司的保证担保或保险公司的保证保险、等多种形式向采购人缴纳；</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履约保证金退还的条件：按以下方式实行：</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服务类项目，项目履约期满评价合格，出具</w:t>
      </w:r>
      <w:r>
        <w:rPr>
          <w:rFonts w:hint="eastAsia" w:ascii="宋体" w:hAnsi="宋体" w:eastAsia="宋体" w:cs="宋体"/>
          <w:bCs/>
          <w:color w:val="000000" w:themeColor="text1"/>
          <w:sz w:val="24"/>
          <w14:textFill>
            <w14:solidFill>
              <w14:schemeClr w14:val="tx1"/>
            </w14:solidFill>
          </w14:textFill>
        </w:rPr>
        <w:t xml:space="preserve">验收报告（</w:t>
      </w:r>
      <w:r>
        <w:rPr>
          <w:rFonts w:hint="eastAsia" w:ascii="宋体" w:hAnsi="宋体" w:eastAsia="宋体" w:cs="宋体"/>
          <w:bCs/>
          <w:color w:val="000000" w:themeColor="text1"/>
          <w:sz w:val="24"/>
          <w:lang w:val="zh-CN"/>
          <w14:textFill>
            <w14:solidFill>
              <w14:schemeClr w14:val="tx1"/>
            </w14:solidFill>
          </w14:textFill>
        </w:rPr>
        <w:t xml:space="preserve">履约评价报告</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lang w:val="zh-CN"/>
          <w14:textFill>
            <w14:solidFill>
              <w14:schemeClr w14:val="tx1"/>
            </w14:solidFill>
          </w14:textFill>
        </w:rPr>
        <w:t xml:space="preserve">及履约保证金收据申请退付；</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履约保证金退还时间：</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收到</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退付申请后5个工作日内退还；</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履约保证金不予退还情形：除不可抗力外，</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不履行与</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订立的采购合同的，履约保证金不予退还，给</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造成的损失超过履约保证金数额的，还应当对超过部分予以赔偿；</w:t>
      </w:r>
      <w:r/>
    </w:p>
    <w:p>
      <w:pPr>
        <w:ind w:firstLine="482"/>
        <w:spacing w:line="48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自身原因导致无法及时退还的除外。</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七、合同转包或分包</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7.1乙方不得将合同标的转包给他人履行。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7.2乙方不得将合同标的分包给他人履行。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7.3乙方如有转包或未经甲方同意的分包行为，甲方有权解除合同。</w:t>
      </w:r>
      <w:r/>
    </w:p>
    <w:p>
      <w:pPr>
        <w:ind w:firstLine="480"/>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7.4本项目的</w:t>
      </w:r>
      <w:r>
        <w:rPr>
          <w:rFonts w:hint="eastAsia" w:ascii="宋体" w:hAnsi="宋体" w:eastAsia="宋体" w:cs="宋体"/>
          <w:b/>
          <w:bCs/>
          <w:color w:val="000000" w:themeColor="text1"/>
          <w:sz w:val="24"/>
          <w:szCs w:val="24"/>
          <w14:textFill>
            <w14:solidFill>
              <w14:schemeClr w14:val="tx1"/>
            </w14:solidFill>
          </w14:textFill>
        </w:rPr>
        <w:t xml:space="preserve">任何非主体、非关键性工作不允许向具备相应资质的中小企业分包。</w:t>
      </w:r>
      <w:r/>
    </w:p>
    <w:p>
      <w:pPr>
        <w:ind w:firstLine="482"/>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八、合同的终止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（一）正常终止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1、根据本合同规定期限，运营期满。</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2、双方就提前终止本合同经协商达成一致。</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3、因发生不可抗力而导致本合同已无法履行或无履行必要。</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（二）提前终止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1、由甲方提出的终止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下述任一条款，如果因乙方自身原因所致，如果有允许的期限而在该期限内未能得到纠正，即构成乙方违约事件，甲方有权发出终止合同通知。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（1）乙方擅自转让本项目；</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（2）未经甲方事先书面同意，乙方连续七十二小时或任一运营年累计三百小时，无故中止运营整个项目，经甲方书面警告后三日内仍未恢复运营；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（3）乙方未履行本合同的义务构成实质性违约，并且在收到甲方要求说明其违约，并予以补救的书面通知后六十日内仍未能补救该实质性违约。</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2、由乙方提出的终止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下述任一条款，如果不是由于不可抗力或乙方违约所致，如果有允许的期限而在该期限内未能得到纠正，即构成甲方违约事件，乙方有权发出终止合同通知：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（1）甲方或其指定机构由于与其他部门机构调整、合并或被撤销，且无相应的部门及其指定机构能够承继本合同约定的权利和义务，从而实质上使乙方在本合同下的权利受到严重不利影响；</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甲方非依本合同所约定的情况擅自撤销了本合同，或将本合同转让给乙方以外的公司或经济实体；</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（3）甲方未履行本合同的义务构成实质性违约；并且在收到乙方要求说明其违约，并予以补救的书面通知后六十日内仍未能补救该实质性违约。</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九、税费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9.1本合同执行中相关的一切税费均由乙方负担。</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十、项目验收 </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1.符合甲方有关要求，符合项目验收标准后，甲方</w:t>
      </w:r>
      <w:r>
        <w:rPr>
          <w:rFonts w:hint="eastAsia" w:ascii="宋体" w:hAnsi="宋体" w:eastAsia="宋体" w:cs="宋体"/>
          <w:bCs/>
          <w:color w:val="000000" w:themeColor="text1"/>
          <w:sz w:val="24"/>
          <w:szCs w:val="24"/>
          <w:u w:val="single"/>
          <w14:textFill>
            <w14:solidFill>
              <w14:schemeClr w14:val="tx1"/>
            </w14:solidFill>
          </w14:textFill>
        </w:rPr>
        <w:t xml:space="preserve"> 3 个工作日</w:t>
      </w:r>
      <w:r>
        <w:rPr>
          <w:rFonts w:hint="eastAsia" w:ascii="宋体" w:hAnsi="宋体" w:eastAsia="宋体" w:cs="宋体"/>
          <w:bCs/>
          <w:color w:val="000000" w:themeColor="text1"/>
          <w:sz w:val="24"/>
          <w:szCs w:val="24"/>
          <w14:textFill>
            <w14:solidFill>
              <w14:schemeClr w14:val="tx1"/>
            </w14:solidFill>
          </w14:textFill>
        </w:rPr>
        <w:t xml:space="preserve">内组织验收，并出具验收书；甲方依法组织履约验收工作。</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3.对于实际使用人和采购人分离的项目，采购人邀请实际使用人参与验收。</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4.如有必要，采购人邀请参加本项目的其他投标单位或第三方专业机构及专家参与验收，相关意见将作为验收书的参考资料。</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ind w:firstLine="482"/>
        <w:jc w:val="left"/>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十一、双方权利与责任义务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11.1甲方的权利与责任义务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11.1.1甲方有权按照本项目的质量要求、管理要求等对乙方的环卫服务情况进行考核检查、整改及</w:t>
      </w:r>
      <w:r>
        <w:rPr>
          <w:rFonts w:hint="eastAsia" w:ascii="宋体" w:hAnsi="宋体" w:cs="宋体"/>
          <w:color w:val="000000" w:themeColor="text1"/>
          <w:sz w:val="24"/>
          <w:szCs w:val="24"/>
          <w:lang w:val="en-US" w:eastAsia="zh-CN"/>
          <w14:textFill>
            <w14:solidFill>
              <w14:schemeClr w14:val="tx1"/>
            </w14:solidFill>
          </w14:textFill>
        </w:rPr>
        <w:t xml:space="preserve">向</w:t>
      </w:r>
      <w:r>
        <w:rPr>
          <w:rFonts w:hint="eastAsia" w:ascii="宋体" w:hAnsi="宋体" w:eastAsia="宋体" w:cs="宋体"/>
          <w:color w:val="000000" w:themeColor="text1"/>
          <w:sz w:val="24"/>
          <w:szCs w:val="24"/>
          <w14:textFill>
            <w14:solidFill>
              <w14:schemeClr w14:val="tx1"/>
            </w14:solidFill>
          </w14:textFill>
        </w:rPr>
        <w:t xml:space="preserve">社会公布整改情况。</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11.1.2甲方有权要求乙方对重大活动、突发事件及时作出应急反应的权利。属于本项目服务范围内的应急实施方案和应急措施产生的相关费用，含在本项目综合报价内不予另行支付；</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特殊的事务和突发事务：乙方首先须予以执行落实到位，否则视为不服从甲方安排；结合应急和突发情况，相关费用双方协商解决（不得超越常规服务范围和服务费用）。</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11.1.3甲方有权：在乙方违反本协议的相关约定造成严重后果的情况下，对环卫服务临时接管的权利，临时接管期间的运营费用以及给甲方带来的一切损失由乙方全面承担，且乙方不得主张与之关联的有益于乙方的任何权益。</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11.1.4如遇到不可抗力，甲方有权自行终止合同；或遇本项目第二年合同时间有缩短要求时，甲方有权自行调整第二年合同时间，且无须支付乙方任何补偿。</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11.1.5甲方有按照本协议的约定及时支付项目服务费的义务（财政资金短缺特殊情况除外）。</w:t>
      </w:r>
      <w:r/>
    </w:p>
    <w:p>
      <w:pPr>
        <w:ind w:left="479" w:firstLine="67"/>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11.2乙方的权利与责任义务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11.2.1项目服务期内，经甲方书面同意，乙方有获得国家、省、市规定的各项环卫优惠政策的权利。</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11.2.2在本项目服务协议期内，乙方有自主招聘员工的权利，但员工录用须报经甲方同意且具备本项目要求后，方可上岗并严格遵守执行项目服务要求。</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11.2.3乙方有按照甲方要求提供优质环卫服务的义务。按时向甲方上报运营情况，配合甲方完成各级相关部门对环卫作业服务进行的检查、考核等工作，并接受甲方的检查监督考核。有义务参加甲方通知的相关作业会议，通报作业情况，完善作业措施,提高作业水平。</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11.2.4乙方有按照并服从甲方完成重大活动保障服务、各项应急、突发、临时性检查督查、考核等服务的义务。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11.2.5经营期满后，乙方有配合甲方顺利完成交接工作的义务。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11.2.6在本项目服务协议期内，乙方应为本项目服务员工购买保险（包括但不限于医疗、工伤、意外、第三者责任等），如乙方人员在经营范围内发生的任何责任（包含但不限于含行政、经济、安全及治安等所有）、纠纷、均与甲方无关。该责任和赔偿均由乙方全面承担（含赔偿费用）。</w:t>
      </w:r>
      <w:r/>
    </w:p>
    <w:p>
      <w:pPr>
        <w:ind w:firstLine="482"/>
        <w:jc w:val="left"/>
        <w:spacing w:line="48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十二、违约责任</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12.1甲方无故逾期验收和办理合同款项支付手续的，甲方应按逾期付款总额万分之一每日向乙方支付违约金，总额不超过千分之一的违约金。</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12.2日常服务或甲方下达阶段性任务，乙方逾期提供服务的，乙方应按逾期提供服务合同总额每日千分之一向甲方支付违约金，由甲方从</w:t>
      </w:r>
      <w:r>
        <w:rPr>
          <w:rFonts w:hint="eastAsia" w:ascii="宋体" w:hAnsi="宋体" w:eastAsia="宋体" w:cs="宋体"/>
          <w:bCs/>
          <w:color w:val="000000" w:themeColor="text1"/>
          <w:sz w:val="24"/>
          <w14:textFill>
            <w14:solidFill>
              <w14:schemeClr w14:val="tx1"/>
            </w14:solidFill>
          </w14:textFill>
        </w:rPr>
        <w:t xml:space="preserve">应付款中直接扣除</w:t>
      </w:r>
      <w:r>
        <w:rPr>
          <w:rFonts w:hint="eastAsia" w:ascii="宋体" w:hAnsi="宋体" w:eastAsia="宋体" w:cs="宋体"/>
          <w:color w:val="000000" w:themeColor="text1"/>
          <w:sz w:val="24"/>
          <w:szCs w:val="24"/>
          <w14:textFill>
            <w14:solidFill>
              <w14:schemeClr w14:val="tx1"/>
            </w14:solidFill>
          </w14:textFill>
        </w:rPr>
        <w:t xml:space="preserve">。逾期超过约定日期10个工作日不能提供服务的，甲方可解除本合同。乙方因逾期提供服务或因其他违约行为导致甲方解除合同的，乙方应向甲方支付合同价款总额百分之五的违约金，且甲方有权没收乙方本项目全额履约保证金（提取履约保函中的全部金额）；如造成甲方损失超过违约金的，超出部分由乙方继续承担赔偿责任。</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12.3不达标服务，乙方所提供服务的标准不符合合同规定及招标文件规定标准的，甲方责令乙方整改后乙方如期不改时，甲方有权扣除乙方当月服务经费总额的百分之十。如期不改每逾期一日的，乙方须向甲方承担每日当月服务经费万分之五的违约金。逾期达30日仍不整改的，甲方有权单方解除本合同，并没收乙方本项目全额履约保证金（提取履约保函中的全部金额）。</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12.4发生因乙方原因导致甲方提前终止本协议或本协议解除的，甲方有权没收乙方本项目全额履约保证金（提取履约保函中的全部金额）。</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12.5在重大活动保障期间，如乙方发生保洁不到位的，乙方自愿向甲方支付10万元/次违约金。</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注：关于以上条款约定“甲方有权没收乙方本项目全额履约保证金（提取履约保函中的全部金额）”，乙方不得主张与之关联的有益于乙方的任何权益。</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十三、项目到期移交</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1、项目服务期届满2个月前，甲方、乙方双方共同成立移交小组，移交工作小组在双方确定的时间内，举行会谈并商定项目设施移交的详尽程序、缺陷修改计划以及移交范围的详细清单。</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2、正式接收前，在乙方工作期间所产生的与乙方关联的劳动纠纷、安全责任、以及其他关联的责任事务，均由乙方全面负责并承担。</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合理要求的与本运营项目相关的其他物品与资料，如管理和运营维护项目设施所必需的技术文件，所有的运营维护手册、记录、档案、质量保修书等有关资料，乙方雇佣的雇员名单，包括每个雇员的资格、职位、收入和福利等的详细资料，所有项目设施资产清册、所有权所需的文件等。</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4、移交责任</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（1）乙方承担移交日前项目设施的全部或部分损失或损坏的风险，非乙方过错所致除外。</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5、移交效力</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（1）自移交日起，乙方在本服务期协议项下的权利即行终止，乙方无权取得自移交日起的服务费。</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（2）自移交日起，所有项目设施的所有权和其他相关权益均转移给甲方或其指定的机构。</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（3）自移交日起，由甲方或其指定的机构全面负责项目设施的管理和运维。</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（4）双方在本服务期协议项下未履行完毕的其他权利和义务应当继续履行。</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（5）双方于移交日之前发生及未付的债务不得移交。</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移走乙方的其他无关物品，除非双方另有协议，乙方应于移交日起六十（60）日内，自费从项目场地移走乙方雇员的个人用品以及与项目设施的养护和管理无关的物品。若乙方在上述时间内未能移走这些物品，甲方在书面通知乙方后，有权将该物品予以提存，乙方承担搬移、运输和保管的合理费用和风险。</w:t>
      </w:r>
      <w:r/>
    </w:p>
    <w:p>
      <w:pPr>
        <w:ind w:firstLine="480"/>
        <w:spacing w:line="500" w:lineRule="exact"/>
        <w:rPr>
          <w:rFonts w:hint="eastAsia" w:ascii="宋体" w:hAnsi="宋体" w:eastAsia="宋体" w:cs="宋体"/>
          <w:color w:val="000000" w:themeColor="text1"/>
          <w:sz w:val="24"/>
          <w:szCs w:val="24"/>
          <w:highlight w:val="gree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7、正式接收前在乙方工作期间所产生的因乙方主要责任的劳动纠纷由乙方负责。</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十四、不可抗力事件处理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合同期内，如发生法律规定的不可抗力，导致本协议无法正常履行，双方均不承担违约责任。发生不可抗力一方须在不可抗力发生后应通知相对方，否则应承担由此造成的扩大损失。不可抗力包括：</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（一）自然灾害（包括但不限于地震、洪水、水灾、台风、雷击等）；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（二）由于适用法律的变更或任何使用的后继法规的颁布导致本合同的履行不再合法；</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（三）国家或地方性政策性调整；</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（四）大规模流行病、饥荒或者瘟疫；</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（五）战争行为、封锁、暴乱、恐怖行为或军事力量的使用；</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（六）全国性、地区性或行业性罢工；</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（七）双方一致认可的属于不可抗力的事件；</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（八）除双方另有约定外，双方应各自承担由于不可抗力事件的发生对其造成的损失；</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（九）发生不可抗力事件后，双方应本着诚信平等的原则，立即对不可抗力事件进行协商。遭受不可抗力影响的一方在不可抗力的影响消除之后应尽快恢复履行本合同规定的义务。</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十五、</w:t>
      </w:r>
      <w:r>
        <w:rPr>
          <w:rFonts w:hint="eastAsia" w:ascii="宋体" w:hAnsi="宋体" w:eastAsia="宋体" w:cs="宋体"/>
          <w:b/>
          <w:color w:val="000000" w:themeColor="text1"/>
          <w:sz w:val="24"/>
          <w:szCs w:val="24"/>
          <w14:textFill>
            <w14:solidFill>
              <w14:schemeClr w14:val="tx1"/>
            </w14:solidFill>
          </w14:textFill>
        </w:rPr>
        <w:t xml:space="preserve">合同的组成部分</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本合同条款、中标通知书、投标文件及乙方在投标时的承诺、招标文件等构成合同的组成部分。 </w:t>
      </w:r>
      <w:r/>
    </w:p>
    <w:p>
      <w:pPr>
        <w:ind w:firstLine="482"/>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十六</w:t>
      </w:r>
      <w:r>
        <w:rPr>
          <w:rFonts w:hint="eastAsia" w:ascii="宋体" w:hAnsi="宋体" w:eastAsia="宋体" w:cs="宋体"/>
          <w:color w:val="000000" w:themeColor="text1"/>
          <w:sz w:val="24"/>
          <w:szCs w:val="24"/>
          <w14:textFill>
            <w14:solidFill>
              <w14:schemeClr w14:val="tx1"/>
            </w14:solidFill>
          </w14:textFill>
        </w:rPr>
        <w:t xml:space="preserve">、本合同一式</w:t>
      </w:r>
      <w:r>
        <w:rPr>
          <w:rFonts w:hint="eastAsia" w:ascii="宋体" w:hAnsi="宋体" w:eastAsia="宋体" w:cs="宋体"/>
          <w:color w:val="000000" w:themeColor="text1"/>
          <w:sz w:val="24"/>
          <w:szCs w:val="24"/>
          <w:u w:val="single"/>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份，以中文书写，甲方、乙方各执二份，代理机构备案一份，具有同等法律效力。</w:t>
      </w:r>
      <w:r/>
    </w:p>
    <w:p>
      <w:pPr>
        <w:ind w:firstLine="482"/>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十七、</w:t>
      </w:r>
      <w:r>
        <w:rPr>
          <w:rFonts w:hint="eastAsia" w:ascii="宋体" w:hAnsi="宋体" w:eastAsia="宋体" w:cs="宋体"/>
          <w:color w:val="000000" w:themeColor="text1"/>
          <w:sz w:val="24"/>
          <w:szCs w:val="24"/>
          <w14:textFill>
            <w14:solidFill>
              <w14:schemeClr w14:val="tx1"/>
            </w14:solidFill>
          </w14:textFill>
        </w:rPr>
        <w:t xml:space="preserve">本合同一切未尽事宜，按民法典有关规定执行，无相关规定的，由甲乙双方协商解决。</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十八、合同争议</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民法典（第三编合同）》”规定向甲方所在地的人民法院提起诉讼。</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十九、适用法律</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本合同应按照中华人民共和国的现行法律进行解释。</w:t>
      </w:r>
      <w:r/>
    </w:p>
    <w:tbl>
      <w:tblPr>
        <w:tblStyle w:val="825"/>
        <w:tblpPr w:horzAnchor="page" w:tblpX="1852" w:vertAnchor="text" w:tblpY="272"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甲方：（盖章）</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乙方：（盖章）</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法定（授权）代表人：</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法定（授权）代表人：</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tc>
      </w:tr>
      <w:tr>
        <w:trPr>
          <w:trHeight w:val="452"/>
        </w:trPr>
        <w:tc>
          <w:tcPr>
            <w:gridSpan w:val="2"/>
            <w:tcW w:w="8479" w:type="dxa"/>
            <w:textDirection w:val="lrTb"/>
            <w:noWrap w:val="false"/>
          </w:tcPr>
          <w:p>
            <w:pPr>
              <w:jc w:val="righ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年月日</w:t>
            </w:r>
            <w:r/>
          </w:p>
        </w:tc>
      </w:tr>
    </w:tbl>
    <w:p>
      <w:pPr>
        <w:pStyle w:val="1138"/>
        <w:ind w:firstLine="480"/>
        <w:spacing w:line="560" w:lineRule="exact"/>
        <w:rPr>
          <w:rFonts w:hint="eastAsia" w:ascii="宋体" w:hAnsi="宋体" w:eastAsia="宋体" w:cs="宋体"/>
          <w:b w:val="0"/>
          <w:bCs/>
          <w:color w:val="000000" w:themeColor="text1"/>
          <w:sz w:val="24"/>
          <w:szCs w:val="22"/>
          <w:highlight w:val="none"/>
          <w14:textFill>
            <w14:solidFill>
              <w14:schemeClr w14:val="tx1"/>
            </w14:solidFill>
          </w14:textFill>
        </w:rPr>
      </w:pPr>
      <w:r>
        <w:rPr>
          <w:rFonts w:hint="eastAsia" w:ascii="宋体" w:hAnsi="宋体" w:eastAsia="宋体" w:cs="宋体"/>
          <w:b w:val="0"/>
          <w:bCs/>
          <w:color w:val="000000" w:themeColor="text1"/>
          <w:sz w:val="24"/>
          <w:szCs w:val="22"/>
          <w:highlight w:val="none"/>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附表1</w:t>
      </w:r>
      <w:r/>
    </w:p>
    <w:p>
      <w:pPr>
        <w:jc w:val="center"/>
        <w:spacing w:line="500" w:lineRule="exact"/>
        <w:rPr>
          <w:rStyle w:val="85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考核细则</w:t>
      </w:r>
      <w:r/>
    </w:p>
    <w:p>
      <w:pPr>
        <w:jc w:val="center"/>
        <w:spacing w:line="500" w:lineRule="exact"/>
        <w:rPr>
          <w:rStyle w:val="853"/>
          <w:rFonts w:hint="eastAsia" w:ascii="宋体" w:hAnsi="宋体" w:eastAsia="宋体" w:cs="宋体"/>
          <w:color w:val="000000" w:themeColor="text1"/>
          <w:sz w:val="24"/>
          <w:szCs w:val="24"/>
          <w14:textFill>
            <w14:solidFill>
              <w14:schemeClr w14:val="tx1"/>
            </w14:solidFill>
          </w14:textFill>
        </w:rPr>
      </w:pPr>
      <w:r>
        <w:rPr>
          <w:rStyle w:val="853"/>
          <w:rFonts w:hint="eastAsia" w:ascii="宋体" w:hAnsi="宋体" w:eastAsia="宋体" w:cs="宋体"/>
          <w:color w:val="000000" w:themeColor="text1"/>
          <w:sz w:val="24"/>
          <w:szCs w:val="24"/>
          <w14:textFill>
            <w14:solidFill>
              <w14:schemeClr w14:val="tx1"/>
            </w14:solidFill>
          </w14:textFill>
        </w:rPr>
        <w:t xml:space="preserve">（考核单位乡镇占比60%，宿豫区城管局占比40%）</w:t>
      </w:r>
      <w:r/>
    </w:p>
    <w:tbl>
      <w:tblPr>
        <w:tblStyle w:val="825"/>
        <w:tblW w:w="9246"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90"/>
        <w:gridCol w:w="4521"/>
        <w:gridCol w:w="3000"/>
      </w:tblGrid>
      <w:tr>
        <w:trPr>
          <w:cantSplit/>
          <w:trHeight w:val="534"/>
        </w:trPr>
        <w:tc>
          <w:tcPr>
            <w:gridSpan w:val="2"/>
            <w:tcW w:w="1725"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项目及分值</w:t>
            </w:r>
            <w:r/>
          </w:p>
        </w:tc>
        <w:tc>
          <w:tcPr>
            <w:tcW w:w="4521"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考核要点</w:t>
            </w:r>
            <w:r/>
          </w:p>
        </w:tc>
        <w:tc>
          <w:tcPr>
            <w:tcW w:w="3000"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扣分标准</w:t>
            </w:r>
            <w:r/>
          </w:p>
        </w:tc>
      </w:tr>
      <w:tr>
        <w:trPr>
          <w:cantSplit/>
          <w:trHeight w:val="312"/>
        </w:trPr>
        <w:tc>
          <w:tcPr>
            <w:tcW w:w="835"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基础管理（25分）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人员制度管理（11分）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保洁员要按照要求作业，统一着装，作业期间内不得脱岗、离岗、聚岗。（1分）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工作期间应使用文明用语、不得与他人争吵、辱骂、斗殴等行为。（2分）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作业工具规范，不乱摆乱放，存放在隐蔽位置，不得影响市容。（1分）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保洁车辆车况完好，车体整洁，停放有序，车身设置反光条，安全操作。（2分）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严禁饮酒、酗酒。（3分）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发现一次扣0.5分。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所有岗位人员配备齐全（2分）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每少1人扣0.1分。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作业单位内部管理（14分）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分工明确；各项管理、安全教育、考核和奖惩等规章制度建立健全；工作有计划安排、有执行记录、有总结汇报。（2分）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分工不明确的，扣0.1分；没有建立各类规章制度的，扣0.2分；规章制度不完善或执行不力的，扣0.1分；工作计划安排、记录总结等不齐全的，扣0.1分。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设施设备、作业安排等各类台账资料齐全、真实详细，及时上报各类环卫信息（2分）。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未建立台账资料的，扣0.2分，不齐全的扣0.1分；信息统计数据上报不及时、准确的，扣0.1分。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所有作业车辆（含应急保障和备用车辆）配备齐全（2分）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每缺少1辆扣0.5分。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有畅通的投诉举报接待处置渠道（4分）。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没有投诉举报处置渠道或落实不力的，扣0.5分，没有应急预案的扣0.5分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单位安全生产，无安全责任事故。（4分）。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发生一般安全责任事故的，扣0.2分，发生重大安全责任事故的，扣0.3分</w:t>
            </w:r>
            <w:r/>
          </w:p>
        </w:tc>
      </w:tr>
      <w:tr>
        <w:trPr>
          <w:cantSplit/>
          <w:trHeight w:val="312"/>
        </w:trPr>
        <w:tc>
          <w:tcPr>
            <w:tcW w:w="835" w:type="dxa"/>
            <w:vAlign w:val="center"/>
            <w:vMerge w:val="restart"/>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道路清扫保洁（20分）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道路清扫保洁时间及要求</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在规定的时间内完成普扫作业。（2分）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一级道路保洁时间不低于1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小时、二级道路保洁时间不低于1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小时，三、四级道路保洁时间不低于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按照路面废弃物控制指标，及时清理路面废弃物（含果皮、纸屑、塑膜、烟头等）和遗撒。（2分）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雨水篦定期进行清掏，确保垂直立面不堵塞（2分）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清扫后路面干净、无漏扫现象。（4分）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硬化路面、行道树穴内应无积存垃圾、砖块和人畜粪便等。（4分）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及时清理堆放的垃圾死角。（2分）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路面垃圾要做到随扫随清，不得倒入树池、绿化带或直接扫入雨水口内。（2分）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公共设施（7分）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公共设施清洗及维修（7分）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公交候车站台、交通护栏等道路隔离设施应整洁，并定期擦洗，无明显灰尘污物；道路隔离设施底部应无散落垃圾和明显尘土。（1分）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道路两侧路名牌、指路牌，以及路灯杆、交通指示牌杆等两米以下部分无污迹、积尘。（1分）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道路两侧的建筑物两米以下外墙无乱张贴、乱涂写和破损标语（1分）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道路两侧及公共广场内休闲椅、康体娱乐设施、雕塑等无积尘、无明显污迹。（1分）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垃圾桶、果皮箱及时清掏，周边无垃圾堆存。（1分）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未及时清掏垃圾箱的，出现垃圾满溢的每处扣0.1分。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垃圾桶、果皮箱及时清洁，箱体无明显污迹。（1分）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废物箱箱体有明显污迹，每个扣0.1分。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未及时更换或修复，有歪斜、破损、残缺的，每个扣0.1分。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垃圾桶、果皮箱及时维修、更换，外观基本无破损。（1分）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89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制度牌、引导牌完好齐全；（1分）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无异味，无虫蝇；（2分）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卫生整洁，地面及周边环境无垃圾或烟头；（2分）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第三卫生间正常开放；（1分）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按要求有序摆放杂物或打扫工具；（1分）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水龙头、把手、门板等设施损坏及时维修；（</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便池通畅无积粪、垃圾桶及时清理；（</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按规定摆放毒饵站。（1分）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保持水电正常运行（</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化粪池及时清理（1分）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垃圾中转站（15分）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垃圾中转站（15分）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运行正常，垃圾基本做到日产日清（1分）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卫生整洁，地面及周边环境无垃圾或烟头；（1分）</w:t>
            </w:r>
            <w:r/>
          </w:p>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当日产生的渗沥液要当日转运处理（2分）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外墙保持整洁无脱落（2分）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场地保持平整，无破损（2分）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安全操作，工作期间佩戴安全帽（1分）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定时消杀，无刺鼻异味（1分）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垃圾到站后随即倒入运输车辆箱体或压缩设备内，不堆积（2分）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按要求有序摆放杂物或打扫工具；（1分）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垃圾进入转运站时应作好记录（1分）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中转站垃圾积存未转运的，每次扣1分；车辆严重脏污的，每次扣0.2分；其他事项发现每处（项）不合格扣0.1分。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中转站箱体配备齐全，完好并正常使用（1分）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每有1个不符合扣0.5分</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道路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垃圾收集、清运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890" w:type="dxa"/>
            <w:vAlign w:val="center"/>
            <w:vMerge w:val="restart"/>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道路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生活垃圾收集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收集点及周围5m内应整洁，无散落、存留垃圾和污水（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3000" w:type="dxa"/>
            <w:vAlign w:val="center"/>
            <w:vMerge w:val="restart"/>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发现每处（项）不合格扣0.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定时定点、日产日清，不得堆积、滞留</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无主生活垃圾应及时收集、清运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垃圾收集箱应无残缺、破损，封闭性好，外体干净，完好率应不低于95%。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垃圾收集站（点）应定期清洗、喷洒消毒、灭蚊蝇药物。在可视范围内，苍蝇应少于3只/次，并无活鼠等。（1分）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运送垃圾的过程应覆盖密闭，实行“垃圾不落地”作业，不得有滴冒撒漏现象。（1分）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不得乱倒、乱卸、乱抛垃圾，居民住宅附近的垃圾站装运时应避免扰民。（1分）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垃圾车辆车容整洁，车况良好，车牌号码完整，不得遮挡。（1分）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69"/>
        </w:trPr>
        <w:tc>
          <w:tcPr>
            <w:tcW w:w="835" w:type="dxa"/>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各项创建、重要活动保障及突发事件应急保障（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c>
          <w:tcPr>
            <w:tcW w:w="890" w:type="dxa"/>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各项创建、重要活动保障及突发事件应急保障（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1、按上级主管部门通知要求，做好各类重要活动保障；（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2、对雨雪灾害天气，季节落叶等突发情况，成立应急分队进行快速处置，突发事件环卫主管部门有权调用作业单位人员和车辆参与应急；（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3、按时参加上级主管部门召集的工作例会；（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4、完成上级主管部门交办的各项工作任务。（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tc>
        <w:tc>
          <w:tcPr>
            <w:tcW w:w="3000"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遇有创建、各类重要活动保障及雨雪灾难天气、季节落叶等突发情况，组织不力，环境卫生不到位，在检查时被扣分，视情节一次扣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 分；不准时参加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环卫主管部门</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召集的工作例会，1 次扣 2分；无故缺席的，1 次扣 3 分；不按时完成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环卫主管部门</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交办的工作任务的，一项扣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 </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最高扣完单项分值</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r>
      <w:tr>
        <w:trPr>
          <w:cantSplit/>
          <w:trHeight w:val="2500"/>
        </w:trPr>
        <w:tc>
          <w:tcPr>
            <w:tcW w:w="835" w:type="dxa"/>
            <w:textDirection w:val="lrTb"/>
            <w:noWrap w:val="false"/>
          </w:tcPr>
          <w:p>
            <w:pPr>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绿化带捡拾（5分）</w:t>
            </w:r>
            <w:r/>
          </w:p>
        </w:tc>
        <w:tc>
          <w:tcPr>
            <w:tcW w:w="890" w:type="dxa"/>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绿化带捡拾（5分）</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路旁绿地、绿化隔离带、行道树穴内应无积存垃圾、砖块和人畜粪便等。</w:t>
            </w:r>
            <w:r/>
          </w:p>
        </w:tc>
        <w:tc>
          <w:tcPr>
            <w:tcW w:w="3000"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发现每处（项）不合格扣0.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最高扣完单项分值</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r>
    </w:tbl>
    <w:p>
      <w:pPr>
        <w:pStyle w:val="1048"/>
        <w:ind w:firstLine="2640"/>
        <w:spacing w:line="360" w:lineRule="auto"/>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49"/>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1048"/>
        <w:spacing w:line="360" w:lineRule="auto"/>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bookmarkEnd w:id="223"/>
      <w:r/>
      <w:bookmarkEnd w:id="224"/>
      <w:r/>
      <w:bookmarkEnd w:id="225"/>
      <w:r/>
      <w:bookmarkEnd w:id="226"/>
      <w:r/>
      <w:r/>
    </w:p>
    <w:p>
      <w:pPr>
        <w:jc w:val="center"/>
        <w:keepLines/>
        <w:keepNext/>
        <w:pageBreakBefore/>
        <w:rPr>
          <w:rFonts w:hint="eastAsia" w:ascii="宋体" w:hAnsi="宋体" w:eastAsia="宋体" w:cs="宋体"/>
          <w:b/>
          <w:sz w:val="44"/>
          <w:szCs w:val="44"/>
        </w:rPr>
        <w:outlineLvl w:val="0"/>
      </w:pPr>
      <w:r/>
      <w:bookmarkStart w:id="230" w:name="_Toc81575205"/>
      <w:r/>
      <w:bookmarkStart w:id="231" w:name="_Toc2916"/>
      <w:r/>
      <w:bookmarkStart w:id="232" w:name="_Toc81575168"/>
      <w:r/>
      <w:bookmarkStart w:id="233" w:name="_Toc23973"/>
      <w:r/>
      <w:bookmarkStart w:id="234" w:name="_Toc12255"/>
      <w:r/>
      <w:bookmarkStart w:id="235" w:name="_Toc49090575"/>
      <w:r/>
      <w:bookmarkStart w:id="236" w:name="_Toc26554093"/>
      <w:r/>
      <w:bookmarkStart w:id="237" w:name="_Toc120614281"/>
      <w:r>
        <w:rPr>
          <w:rFonts w:hint="eastAsia" w:ascii="宋体" w:hAnsi="宋体" w:eastAsia="宋体" w:cs="宋体"/>
          <w:b/>
          <w:sz w:val="44"/>
          <w:szCs w:val="44"/>
        </w:rPr>
        <w:t xml:space="preserve">第四章  采购需求</w:t>
      </w:r>
      <w:bookmarkEnd w:id="230"/>
      <w:r/>
      <w:bookmarkEnd w:id="231"/>
      <w:r/>
      <w:bookmarkEnd w:id="232"/>
      <w:r/>
      <w:bookmarkEnd w:id="233"/>
      <w:r/>
      <w:bookmarkEnd w:id="234"/>
      <w:r/>
      <w:r/>
    </w:p>
    <w:p>
      <w:pPr>
        <w:ind w:firstLine="480"/>
        <w:jc w:val="left"/>
        <w:spacing w:line="400" w:lineRule="exact"/>
        <w:rPr>
          <w:rFonts w:hint="eastAsia" w:ascii="宋体" w:hAnsi="宋体" w:eastAsia="宋体" w:cs="宋体"/>
          <w:bCs/>
          <w:sz w:val="24"/>
          <w:szCs w:val="24"/>
        </w:rPr>
      </w:pPr>
      <w:r/>
      <w:bookmarkStart w:id="238" w:name="EB9808651db01c4c9e8a9e9b446004ffc2"/>
      <w:r>
        <w:rPr>
          <w:rFonts w:hint="eastAsia" w:ascii="宋体" w:hAnsi="宋体" w:eastAsia="宋体" w:cs="宋体"/>
          <w:bCs/>
          <w:sz w:val="24"/>
          <w:szCs w:val="24"/>
        </w:rPr>
        <w:t xml:space="preserve">项目属性：服务类项目</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本项目采购标的对应的中小企业划分标准所属行业：其他未列明行业。</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本项目不接受进口产品。</w:t>
      </w:r>
      <w:bookmarkEnd w:id="238"/>
      <w:r/>
      <w:r/>
    </w:p>
    <w:p>
      <w:pPr>
        <w:ind w:firstLine="482"/>
        <w:spacing w:line="480" w:lineRule="exact"/>
        <w:rPr>
          <w:rFonts w:hint="eastAsia" w:ascii="宋体" w:hAnsi="宋体" w:eastAsia="宋体" w:cs="宋体"/>
          <w:b/>
          <w:sz w:val="24"/>
          <w:szCs w:val="32"/>
        </w:rPr>
      </w:pPr>
      <w:r/>
      <w:bookmarkStart w:id="239" w:name="EB7816f6fdbc96408ea7b735c177a21493"/>
      <w:r>
        <w:rPr>
          <w:rFonts w:hint="eastAsia" w:ascii="宋体" w:hAnsi="宋体" w:eastAsia="宋体" w:cs="宋体"/>
          <w:b/>
          <w:sz w:val="24"/>
          <w:szCs w:val="32"/>
        </w:rPr>
        <w:t xml:space="preserve">一、项目概况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宿豫区各乡镇（含涉农街道）镇区建成区161条道路清扫保洁（总面积约</w:t>
      </w:r>
      <w:r>
        <w:rPr>
          <w:rFonts w:hint="eastAsia" w:ascii="宋体" w:hAnsi="宋体" w:eastAsia="宋体" w:cs="宋体"/>
          <w:sz w:val="24"/>
          <w:szCs w:val="24"/>
        </w:rPr>
        <w:t xml:space="preserve">252.63万平方米</w:t>
      </w:r>
      <w:r>
        <w:rPr>
          <w:rFonts w:hint="eastAsia" w:ascii="宋体" w:hAnsi="宋体" w:eastAsia="宋体" w:cs="宋体"/>
          <w:sz w:val="24"/>
        </w:rPr>
        <w:t xml:space="preserve">）、镇区11座生活垃圾中转站运行维护；各乡镇生活垃圾转运；各乡镇50座公厕日常管护及保洁等。</w:t>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二、</w:t>
      </w:r>
      <w:r>
        <w:rPr>
          <w:rFonts w:hint="eastAsia" w:ascii="宋体" w:hAnsi="宋体" w:eastAsia="宋体" w:cs="宋体"/>
          <w:b/>
          <w:bCs/>
          <w:sz w:val="24"/>
        </w:rPr>
        <w:t xml:space="preserve">合同履行期限及地点</w:t>
      </w:r>
      <w:r/>
    </w:p>
    <w:p>
      <w:pPr>
        <w:ind w:firstLine="480"/>
        <w:spacing w:line="480" w:lineRule="exact"/>
        <w:tabs>
          <w:tab w:val="left" w:pos="4680" w:leader="none"/>
        </w:tabs>
        <w:rPr>
          <w:rFonts w:hint="default" w:ascii="宋体" w:hAnsi="宋体" w:eastAsia="宋体" w:cs="宋体"/>
          <w:bCs/>
          <w:sz w:val="24"/>
          <w:szCs w:val="32"/>
          <w:lang w:val="en-US" w:eastAsia="zh-CN"/>
        </w:rPr>
      </w:pPr>
      <w:r>
        <w:rPr>
          <w:rFonts w:hint="eastAsia" w:ascii="宋体" w:hAnsi="宋体" w:eastAsia="宋体" w:cs="宋体"/>
          <w:bCs/>
          <w:sz w:val="24"/>
          <w:szCs w:val="32"/>
        </w:rPr>
        <w:t xml:space="preserve">合同履行期限：三年，自合同签订之日起至项目完成。</w:t>
      </w:r>
      <w:r/>
    </w:p>
    <w:p>
      <w:pPr>
        <w:ind w:firstLine="480"/>
        <w:spacing w:line="480" w:lineRule="exact"/>
        <w:tabs>
          <w:tab w:val="left" w:pos="4680" w:leader="none"/>
        </w:tabs>
        <w:rPr>
          <w:rFonts w:hint="eastAsia" w:ascii="宋体" w:hAnsi="宋体" w:eastAsia="宋体" w:cs="宋体"/>
          <w:bCs/>
          <w:sz w:val="24"/>
          <w:szCs w:val="32"/>
        </w:rPr>
      </w:pPr>
      <w:r>
        <w:rPr>
          <w:rFonts w:hint="eastAsia" w:ascii="宋体" w:hAnsi="宋体" w:eastAsia="宋体" w:cs="宋体"/>
          <w:bCs/>
          <w:sz w:val="24"/>
          <w:szCs w:val="32"/>
        </w:rPr>
        <w:t xml:space="preserve">服务地点：宿迁市</w:t>
      </w:r>
      <w:r>
        <w:rPr>
          <w:rFonts w:hint="eastAsia" w:ascii="宋体" w:hAnsi="宋体" w:eastAsia="宋体" w:cs="宋体"/>
          <w:sz w:val="24"/>
        </w:rPr>
        <w:t xml:space="preserve">宿豫区</w:t>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三、付款方式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预付款：合同签订后，收到供应商发票</w:t>
      </w:r>
      <w:r>
        <w:rPr>
          <w:rFonts w:hint="eastAsia" w:ascii="宋体" w:hAnsi="宋体" w:eastAsia="宋体" w:cs="宋体"/>
          <w:sz w:val="24"/>
          <w:szCs w:val="32"/>
          <w:u w:val="single"/>
        </w:rPr>
        <w:t xml:space="preserve">10</w:t>
      </w:r>
      <w:r>
        <w:rPr>
          <w:rFonts w:hint="eastAsia" w:ascii="宋体" w:hAnsi="宋体" w:eastAsia="宋体" w:cs="宋体"/>
          <w:sz w:val="24"/>
          <w:szCs w:val="32"/>
        </w:rPr>
        <w:t xml:space="preserve">个工作日内支付合同价款的</w:t>
      </w:r>
      <w:r>
        <w:rPr>
          <w:rFonts w:hint="eastAsia" w:ascii="宋体" w:hAnsi="宋体" w:eastAsia="宋体" w:cs="宋体"/>
          <w:sz w:val="24"/>
          <w:szCs w:val="32"/>
          <w:u w:val="single"/>
        </w:rPr>
        <w:t xml:space="preserve">10%</w:t>
      </w:r>
      <w:r>
        <w:rPr>
          <w:rFonts w:hint="eastAsia" w:ascii="宋体" w:hAnsi="宋体" w:eastAsia="宋体" w:cs="宋体"/>
          <w:sz w:val="24"/>
          <w:szCs w:val="32"/>
        </w:rPr>
        <w:t xml:space="preserve">作为预付款；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进度款：本项目服务费用采取按季度支付的方式，乙方考核分值实行月度百分制，所扣分数与甲方支付服务费金额挂钩。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b w:val="0"/>
          <w:bCs w:val="0"/>
          <w:sz w:val="24"/>
          <w:szCs w:val="32"/>
          <w:highlight w:val="none"/>
        </w:rPr>
      </w:pPr>
      <w:r>
        <w:rPr>
          <w:rFonts w:hint="eastAsia" w:ascii="宋体" w:hAnsi="宋体" w:eastAsia="宋体" w:cs="宋体"/>
          <w:b w:val="0"/>
          <w:bCs w:val="0"/>
          <w:sz w:val="24"/>
          <w:szCs w:val="32"/>
          <w:highlight w:val="none"/>
        </w:rPr>
        <w:t xml:space="preserve">注：1.每季度付款额=合同每季度应付款（合同总价/12）-</w:t>
      </w:r>
      <w:r>
        <w:rPr>
          <w:rFonts w:hint="eastAsia" w:ascii="宋体" w:hAnsi="宋体" w:cs="宋体"/>
          <w:b w:val="0"/>
          <w:bCs w:val="0"/>
          <w:sz w:val="24"/>
          <w:szCs w:val="32"/>
          <w:highlight w:val="none"/>
          <w:lang w:val="en-US" w:eastAsia="zh-CN"/>
        </w:rPr>
        <w:t xml:space="preserve">季度</w:t>
      </w:r>
      <w:r>
        <w:rPr>
          <w:rFonts w:hint="eastAsia" w:ascii="宋体" w:hAnsi="宋体" w:eastAsia="宋体" w:cs="宋体"/>
          <w:b w:val="0"/>
          <w:bCs w:val="0"/>
          <w:sz w:val="24"/>
          <w:szCs w:val="32"/>
          <w:highlight w:val="none"/>
        </w:rPr>
        <w:t xml:space="preserve">考核后扣除的费用。</w:t>
      </w:r>
      <w:r/>
    </w:p>
    <w:p>
      <w:pPr>
        <w:ind w:firstLine="420"/>
        <w:spacing w:line="48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2.前面季度的付款从预付款中抵扣，扣完为止。</w:t>
      </w:r>
      <w:r/>
    </w:p>
    <w:p>
      <w:pPr>
        <w:ind w:firstLine="420"/>
        <w:spacing w:line="480" w:lineRule="exact"/>
        <w:rPr>
          <w:rFonts w:hint="eastAsia" w:ascii="宋体" w:hAnsi="宋体" w:eastAsia="宋体" w:cs="宋体"/>
          <w:sz w:val="24"/>
          <w:szCs w:val="32"/>
        </w:rPr>
      </w:pPr>
      <w:r>
        <w:rPr>
          <w:rFonts w:hint="eastAsia" w:ascii="宋体" w:hAnsi="宋体" w:eastAsia="宋体" w:cs="宋体"/>
          <w:sz w:val="24"/>
          <w:szCs w:val="32"/>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bCs/>
          <w:sz w:val="24"/>
          <w:szCs w:val="32"/>
        </w:rPr>
      </w:pPr>
      <w:r>
        <w:rPr>
          <w:rFonts w:hint="eastAsia" w:ascii="宋体" w:hAnsi="宋体" w:eastAsia="宋体" w:cs="宋体"/>
          <w:sz w:val="24"/>
          <w:szCs w:val="32"/>
        </w:rPr>
        <w:t xml:space="preserve">4.中标人未按要求提供符合要求的发票的，采购人有权暂停付款，且不免除中标人继续合同约定的义务。</w:t>
      </w:r>
      <w:bookmarkEnd w:id="239"/>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四、服务范围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宿豫区下辖乡镇：顺河街道和陆集街道、仰化镇、新庄镇、来龙镇(包括侍岭集镇区和保安集镇区)、大兴镇(包括丁嘴集镇区)、关庙镇、曹集乡。</w:t>
      </w:r>
      <w:r/>
    </w:p>
    <w:p>
      <w:pPr>
        <w:ind w:firstLine="482"/>
        <w:spacing w:line="480" w:lineRule="exact"/>
        <w:rPr>
          <w:rFonts w:hint="eastAsia" w:ascii="宋体" w:hAnsi="宋体" w:eastAsia="宋体" w:cs="宋体"/>
          <w:b/>
          <w:bCs/>
          <w:sz w:val="24"/>
          <w:szCs w:val="32"/>
        </w:rPr>
      </w:pPr>
      <w:r>
        <w:rPr>
          <w:rFonts w:hint="eastAsia" w:ascii="宋体" w:hAnsi="宋体" w:eastAsia="宋体" w:cs="宋体"/>
          <w:b/>
          <w:sz w:val="24"/>
          <w:szCs w:val="32"/>
        </w:rPr>
        <w:t xml:space="preserve">五、</w:t>
      </w:r>
      <w:r>
        <w:rPr>
          <w:rFonts w:hint="eastAsia" w:ascii="宋体" w:hAnsi="宋体" w:eastAsia="宋体" w:cs="宋体"/>
          <w:b/>
          <w:bCs/>
          <w:sz w:val="24"/>
          <w:szCs w:val="32"/>
        </w:rPr>
        <w:t xml:space="preserve">服务内容</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1、宿豫区各乡镇（涉农街道）内161条道路清扫保洁（附表5）：</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①主次道路（含桥梁）的清扫、清洗、保洁、洒水降尘；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②道路之间所有构筑物和构件乱张贴和乱涂写的清理和保洁；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③路名牌、指路牌等以及路灯杆、交通指示牌杆、路灯配电箱等清洗保洁，以及牛皮癣等野广告清除，公共设施保洁（灯杆擦拭、隔离带、防护栏保洁等）；</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④ 道路清扫作业和沿途垃圾的分类、收集和清运。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2、11座垃圾中转站运营管理（附表3）：</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①中转站专人管理，做好日常保洁；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②中转站的维护保养、维修、修缮等，中转站场地需要（外墙粉刷，地面平整等）进行修缮的，中标人应在一周内完成修缮，费用包含在报价中，服务期满后完好移交采购人；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③中转站内的所有设施设备由中标人提供，并承担维护保养的费用；</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④运营管理过程中所涉及的一切费用由中标人承担，包括但不限于：人员工资，水电费，维护保养费等。</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注：大兴镇中转站原有箱体为垂直压缩，现要求中标人对本站满足拉臂式转运车使用需求。相关费用包含在本次投标报价中，采购人不另行支付，请投标人自行勘察现场。</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3、</w:t>
      </w:r>
      <w:r>
        <w:rPr>
          <w:rFonts w:hint="eastAsia" w:ascii="宋体" w:hAnsi="宋体" w:eastAsia="宋体" w:cs="宋体"/>
          <w:sz w:val="24"/>
        </w:rPr>
        <w:t xml:space="preserve">50座公厕的运营管理（附表4）：</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①专人管理，做好日常保洁；做好冬季的防寒保暖措施；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②公厕的维护保养、设备更换、修缮等（包含但不限于水、电、内部设施设备等），公厕需要进行修缮的，中标人应在一周内完成，费用包含在报价中，服务期满后完好移交采购人；</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③化粪池清理；</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④运营管理过程中所涉及的一切费用由中标人承担，包括但不限于：人员工资，水电费，维护保养费等。相关费用包含在本次投标报价中，采购人不另行支付，请投标人自行勘察现场。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生活垃圾收运：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①道路清扫作业和沿途垃圾桶、果皮箱所产生的垃圾收运；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②保洁范围内生活垃圾桶由中标人提供；</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③生活垃圾从各乡镇（涉农街道）中转至光大垃圾焚烧厂的转运服务。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w:t>
      </w:r>
      <w:r>
        <w:rPr>
          <w:rFonts w:hint="eastAsia" w:ascii="宋体" w:hAnsi="宋体" w:eastAsia="宋体" w:cs="宋体"/>
          <w:sz w:val="24"/>
          <w:szCs w:val="32"/>
        </w:rPr>
        <w:t xml:space="preserve">应急保障：</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对重大活动安全、本地气候特点（四季极端天气）及其他突发事件的应急响应。需建立24小时应急响应机制，遇突发环境卫生事件时，应在1小时内启动预案，2小时内完成初步处置，并及时通报采购人。</w:t>
      </w:r>
      <w:r/>
    </w:p>
    <w:p>
      <w:pPr>
        <w:ind w:firstLine="482"/>
        <w:spacing w:line="480" w:lineRule="exact"/>
        <w:rPr>
          <w:rFonts w:hint="eastAsia" w:ascii="宋体" w:hAnsi="宋体" w:eastAsia="宋体" w:cs="宋体"/>
          <w:b/>
          <w:bCs/>
          <w:sz w:val="24"/>
          <w:szCs w:val="32"/>
        </w:rPr>
      </w:pPr>
      <w:r>
        <w:rPr>
          <w:rFonts w:hint="eastAsia" w:ascii="宋体" w:hAnsi="宋体" w:eastAsia="宋体" w:cs="宋体"/>
          <w:b/>
          <w:sz w:val="24"/>
          <w:szCs w:val="32"/>
        </w:rPr>
        <w:t xml:space="preserve">六、</w:t>
      </w:r>
      <w:r>
        <w:rPr>
          <w:rFonts w:hint="eastAsia" w:ascii="宋体" w:hAnsi="宋体" w:eastAsia="宋体" w:cs="宋体"/>
          <w:b/>
          <w:bCs/>
          <w:sz w:val="24"/>
          <w:szCs w:val="32"/>
        </w:rPr>
        <w:t xml:space="preserve">服务要求及标准</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1、作业标准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w:t>
      </w:r>
      <w:r/>
    </w:p>
    <w:tbl>
      <w:tblPr>
        <w:tblStyle w:val="825"/>
        <w:tblW w:w="9225"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0"/>
        <w:gridCol w:w="2355"/>
        <w:gridCol w:w="1125"/>
        <w:gridCol w:w="1485"/>
        <w:gridCol w:w="1590"/>
        <w:gridCol w:w="1260"/>
      </w:tblGrid>
      <w:tr>
        <w:trPr>
          <w:trHeight w:val="485"/>
        </w:trPr>
        <w:tc>
          <w:tcPr>
            <w:gridSpan w:val="2"/>
            <w:shd w:val="clear" w:color="auto" w:fill="ffffff"/>
            <w:tcW w:w="3765" w:type="dxa"/>
            <w:textDirection w:val="lrTb"/>
            <w:noWrap w:val="false"/>
          </w:tcPr>
          <w:p>
            <w:pPr>
              <w:ind w:left="1053"/>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类别道路级别</w:t>
            </w:r>
            <w:r/>
          </w:p>
        </w:tc>
        <w:tc>
          <w:tcPr>
            <w:shd w:val="clear" w:color="auto" w:fill="ffffff"/>
            <w:tcW w:w="1125" w:type="dxa"/>
            <w:textDirection w:val="lrTb"/>
            <w:noWrap w:val="false"/>
          </w:tcPr>
          <w:p>
            <w:pPr>
              <w:ind w:left="237" w:right="229"/>
              <w:jc w:val="center"/>
              <w:spacing w:before="102"/>
              <w:rPr>
                <w:rFonts w:hint="eastAsia" w:ascii="宋体" w:hAnsi="宋体" w:eastAsia="宋体" w:cs="宋体"/>
                <w:sz w:val="24"/>
                <w:szCs w:val="24"/>
                <w:lang w:bidi="zh-CN"/>
              </w:rPr>
            </w:pPr>
            <w:r>
              <w:rPr>
                <w:rFonts w:hint="eastAsia" w:ascii="宋体" w:hAnsi="宋体" w:eastAsia="宋体" w:cs="宋体"/>
                <w:sz w:val="24"/>
                <w:szCs w:val="24"/>
                <w:lang w:bidi="zh-CN"/>
              </w:rPr>
              <w:t xml:space="preserve">一级</w:t>
            </w:r>
            <w:r/>
          </w:p>
        </w:tc>
        <w:tc>
          <w:tcPr>
            <w:shd w:val="clear" w:color="auto" w:fill="ffffff"/>
            <w:tcW w:w="1485" w:type="dxa"/>
            <w:textDirection w:val="lrTb"/>
            <w:noWrap w:val="false"/>
          </w:tcPr>
          <w:p>
            <w:pPr>
              <w:ind w:left="237" w:right="229"/>
              <w:jc w:val="center"/>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二级</w:t>
            </w:r>
            <w:r/>
          </w:p>
        </w:tc>
        <w:tc>
          <w:tcPr>
            <w:shd w:val="clear" w:color="auto" w:fill="ffffff"/>
            <w:tcW w:w="1590" w:type="dxa"/>
            <w:textDirection w:val="lrTb"/>
            <w:noWrap w:val="false"/>
          </w:tcPr>
          <w:p>
            <w:pPr>
              <w:ind w:left="561" w:right="558"/>
              <w:jc w:val="center"/>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三级</w:t>
            </w:r>
            <w:r/>
          </w:p>
        </w:tc>
        <w:tc>
          <w:tcPr>
            <w:shd w:val="clear" w:color="auto" w:fill="ffffff"/>
            <w:tcW w:w="1260" w:type="dxa"/>
            <w:textDirection w:val="lrTb"/>
            <w:noWrap w:val="false"/>
          </w:tcPr>
          <w:p>
            <w:pPr>
              <w:ind w:left="233" w:right="229"/>
              <w:jc w:val="center"/>
              <w:spacing w:before="102"/>
              <w:rPr>
                <w:rFonts w:hint="eastAsia" w:ascii="宋体" w:hAnsi="宋体" w:eastAsia="宋体" w:cs="宋体"/>
                <w:sz w:val="24"/>
                <w:szCs w:val="24"/>
                <w:lang w:bidi="zh-CN"/>
              </w:rPr>
            </w:pPr>
            <w:r>
              <w:rPr>
                <w:rFonts w:hint="eastAsia" w:ascii="宋体" w:hAnsi="宋体" w:eastAsia="宋体" w:cs="宋体"/>
                <w:sz w:val="24"/>
                <w:szCs w:val="24"/>
                <w:lang w:bidi="zh-CN"/>
              </w:rPr>
              <w:t xml:space="preserve">四级</w:t>
            </w:r>
            <w:r/>
          </w:p>
        </w:tc>
      </w:tr>
      <w:tr>
        <w:trPr>
          <w:trHeight w:val="481"/>
        </w:trPr>
        <w:tc>
          <w:tcPr>
            <w:gridSpan w:val="2"/>
            <w:shd w:val="clear" w:color="auto" w:fill="ffffff"/>
            <w:tcW w:w="3765" w:type="dxa"/>
            <w:textDirection w:val="lrTb"/>
            <w:noWrap w:val="false"/>
          </w:tcPr>
          <w:p>
            <w:pPr>
              <w:ind w:left="369"/>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机械化保洁作业时间(时/日)</w:t>
            </w:r>
            <w:r/>
          </w:p>
        </w:tc>
        <w:tc>
          <w:tcPr>
            <w:shd w:val="clear" w:color="auto" w:fill="ffffff"/>
            <w:tcW w:w="1125" w:type="dxa"/>
            <w:textDirection w:val="lrTb"/>
            <w:noWrap w:val="false"/>
          </w:tcPr>
          <w:p>
            <w:pPr>
              <w:ind w:left="237"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1</w:t>
            </w:r>
            <w:r>
              <w:rPr>
                <w:rFonts w:hint="eastAsia" w:ascii="宋体" w:hAnsi="宋体" w:cs="宋体"/>
                <w:b w:val="0"/>
                <w:bCs w:val="0"/>
                <w:sz w:val="24"/>
                <w:szCs w:val="24"/>
                <w:highlight w:val="none"/>
                <w:lang w:val="en-US" w:bidi="zh-CN"/>
              </w:rPr>
              <w:t xml:space="preserve">6</w:t>
            </w:r>
            <w:r/>
          </w:p>
        </w:tc>
        <w:tc>
          <w:tcPr>
            <w:shd w:val="clear" w:color="auto" w:fill="ffffff"/>
            <w:tcW w:w="1485" w:type="dxa"/>
            <w:textDirection w:val="lrTb"/>
            <w:noWrap w:val="false"/>
          </w:tcPr>
          <w:p>
            <w:pPr>
              <w:ind w:left="237"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1</w:t>
            </w:r>
            <w:r>
              <w:rPr>
                <w:rFonts w:hint="eastAsia" w:ascii="宋体" w:hAnsi="宋体" w:cs="宋体"/>
                <w:b w:val="0"/>
                <w:bCs w:val="0"/>
                <w:sz w:val="24"/>
                <w:szCs w:val="24"/>
                <w:highlight w:val="none"/>
                <w:lang w:val="en-US" w:bidi="zh-CN"/>
              </w:rPr>
              <w:t xml:space="preserve">4</w:t>
            </w:r>
            <w:r/>
          </w:p>
        </w:tc>
        <w:tc>
          <w:tcPr>
            <w:shd w:val="clear" w:color="auto" w:fill="ffffff"/>
            <w:tcW w:w="1590" w:type="dxa"/>
            <w:textDirection w:val="lrTb"/>
            <w:noWrap w:val="false"/>
          </w:tcPr>
          <w:p>
            <w:pPr>
              <w:ind w:left="527"/>
              <w:spacing w:before="99"/>
              <w:rPr>
                <w:rFonts w:hint="default" w:ascii="宋体" w:hAnsi="宋体" w:eastAsia="宋体" w:cs="宋体"/>
                <w:b w:val="0"/>
                <w:bCs w:val="0"/>
                <w:sz w:val="24"/>
                <w:szCs w:val="24"/>
                <w:highlight w:val="none"/>
                <w:lang w:val="en-US" w:bidi="zh-CN"/>
              </w:rPr>
            </w:pPr>
            <w:r>
              <w:rPr>
                <w:rFonts w:hint="eastAsia" w:ascii="宋体" w:hAnsi="宋体" w:cs="宋体"/>
                <w:b w:val="0"/>
                <w:bCs w:val="0"/>
                <w:sz w:val="24"/>
                <w:szCs w:val="24"/>
                <w:highlight w:val="none"/>
                <w:lang w:val="en-US" w:bidi="zh-CN"/>
              </w:rPr>
              <w:t xml:space="preserve">12</w:t>
            </w:r>
            <w:r/>
          </w:p>
        </w:tc>
        <w:tc>
          <w:tcPr>
            <w:shd w:val="clear" w:color="auto" w:fill="ffffff"/>
            <w:tcW w:w="1260" w:type="dxa"/>
            <w:textDirection w:val="lrTb"/>
            <w:noWrap w:val="false"/>
          </w:tcPr>
          <w:p>
            <w:pPr>
              <w:ind w:left="233"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cs="宋体"/>
                <w:b w:val="0"/>
                <w:bCs w:val="0"/>
                <w:sz w:val="24"/>
                <w:szCs w:val="24"/>
                <w:highlight w:val="none"/>
                <w:lang w:val="en-US" w:bidi="zh-CN"/>
              </w:rPr>
              <w:t xml:space="preserve">12</w:t>
            </w:r>
            <w:r/>
          </w:p>
        </w:tc>
      </w:tr>
      <w:tr>
        <w:trPr>
          <w:trHeight w:val="481"/>
        </w:trPr>
        <w:tc>
          <w:tcPr>
            <w:shd w:val="clear" w:color="auto" w:fill="ffffff"/>
            <w:tcW w:w="1410" w:type="dxa"/>
            <w:vAlign w:val="center"/>
            <w:vMerge w:val="restart"/>
            <w:textDirection w:val="lrTb"/>
            <w:noWrap w:val="false"/>
          </w:tcPr>
          <w:p>
            <w:pPr>
              <w:ind w:left="107" w:right="-15" w:firstLine="2"/>
              <w:jc w:val="center"/>
              <w:spacing w:line="417"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环卫机械化作业频次明细（次/日）</w:t>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清扫</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保洁</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3</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冲洗</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2</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left"/>
              <w:spacing w:before="99"/>
              <w:rPr>
                <w:rFonts w:hint="eastAsia" w:ascii="宋体" w:hAnsi="宋体" w:eastAsia="宋体" w:cs="宋体"/>
                <w:sz w:val="24"/>
                <w:szCs w:val="24"/>
                <w:lang w:bidi="zh-CN"/>
              </w:rPr>
            </w:pPr>
            <w:r>
              <w:rPr>
                <w:rFonts w:hint="eastAsia" w:ascii="宋体" w:hAnsi="宋体" w:eastAsia="宋体" w:cs="宋体"/>
                <w:szCs w:val="21"/>
                <w:lang w:bidi="zh-CN"/>
              </w:rPr>
              <w:t xml:space="preserve">根据实际需要</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jc w:val="center"/>
              <w:spacing w:before="6"/>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洒水</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清洗（建议）</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bidi="zh-CN"/>
              </w:rPr>
            </w:pPr>
            <w:r>
              <w:rPr>
                <w:rFonts w:hint="eastAsia" w:ascii="宋体" w:hAnsi="宋体" w:eastAsia="宋体" w:cs="宋体"/>
                <w:sz w:val="24"/>
                <w:szCs w:val="24"/>
                <w:lang w:bidi="zh-CN"/>
              </w:rPr>
              <w:t xml:space="preserve">1</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p>
        </w:tc>
        <w:tc>
          <w:tcPr>
            <w:shd w:val="clear" w:color="auto" w:fill="ffffff"/>
            <w:tcW w:w="1590" w:type="dxa"/>
            <w:textDirection w:val="lrTb"/>
            <w:noWrap w:val="false"/>
          </w:tcPr>
          <w:p>
            <w:pPr>
              <w:ind w:left="212"/>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每两周不少于1次</w:t>
            </w:r>
            <w:r/>
          </w:p>
        </w:tc>
        <w:tc>
          <w:tcPr>
            <w:shd w:val="clear" w:color="auto" w:fill="ffffff"/>
            <w:tcW w:w="1260" w:type="dxa"/>
            <w:textDirection w:val="lrTb"/>
            <w:noWrap w:val="false"/>
          </w:tcPr>
          <w:p>
            <w:pPr>
              <w:ind w:left="253"/>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每月不少于1次</w:t>
            </w:r>
            <w:r/>
          </w:p>
        </w:tc>
      </w:tr>
      <w:tr>
        <w:trPr>
          <w:trHeight w:val="481"/>
        </w:trPr>
        <w:tc>
          <w:tcPr>
            <w:gridSpan w:val="2"/>
            <w:shd w:val="clear" w:color="auto" w:fill="ffffff"/>
            <w:tcW w:w="3765" w:type="dxa"/>
            <w:vAlign w:val="center"/>
            <w:textDirection w:val="lrTb"/>
            <w:noWrap w:val="false"/>
          </w:tcPr>
          <w:p>
            <w:pPr>
              <w:ind w:left="1053"/>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机械化覆盖率</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bidi="zh-CN"/>
              </w:rPr>
            </w:pPr>
            <w:r>
              <w:rPr>
                <w:rFonts w:hint="eastAsia" w:ascii="宋体" w:hAnsi="宋体" w:eastAsia="宋体" w:cs="宋体"/>
                <w:sz w:val="24"/>
                <w:szCs w:val="24"/>
                <w:lang w:bidi="zh-CN"/>
              </w:rPr>
              <w:t xml:space="preserve">100%</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70%</w:t>
            </w:r>
            <w:r/>
          </w:p>
        </w:tc>
        <w:tc>
          <w:tcPr>
            <w:shd w:val="clear" w:color="auto" w:fill="ffffff"/>
            <w:tcW w:w="1590" w:type="dxa"/>
            <w:textDirection w:val="lrTb"/>
            <w:noWrap w:val="false"/>
          </w:tcPr>
          <w:p>
            <w:pPr>
              <w:ind w:left="371"/>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50%～60%</w:t>
            </w:r>
            <w:r/>
          </w:p>
        </w:tc>
        <w:tc>
          <w:tcPr>
            <w:shd w:val="clear" w:color="auto" w:fill="ffffff"/>
            <w:tcW w:w="1260" w:type="dxa"/>
            <w:vAlign w:val="center"/>
            <w:textDirection w:val="lrTb"/>
            <w:noWrap w:val="false"/>
          </w:tcPr>
          <w:p>
            <w:pPr>
              <w:jc w:val="center"/>
              <w:rPr>
                <w:rFonts w:hint="eastAsia" w:ascii="宋体" w:hAnsi="宋体" w:eastAsia="宋体" w:cs="宋体"/>
                <w:sz w:val="24"/>
                <w:szCs w:val="24"/>
                <w:lang w:bidi="zh-CN"/>
              </w:rPr>
            </w:pPr>
            <w:r>
              <w:rPr>
                <w:rFonts w:hint="eastAsia" w:ascii="宋体" w:hAnsi="宋体" w:eastAsia="宋体" w:cs="宋体"/>
                <w:sz w:val="24"/>
                <w:szCs w:val="24"/>
                <w:lang w:bidi="zh-CN"/>
              </w:rPr>
              <w:t xml:space="preserve">/</w:t>
            </w:r>
            <w:r/>
          </w:p>
        </w:tc>
      </w:tr>
      <w:tr>
        <w:trPr>
          <w:trHeight w:val="952"/>
        </w:trPr>
        <w:tc>
          <w:tcPr>
            <w:shd w:val="clear" w:color="auto" w:fill="ffffff"/>
            <w:tcW w:w="1410" w:type="dxa"/>
            <w:vAlign w:val="center"/>
            <w:vMerge w:val="restart"/>
            <w:textDirection w:val="lrTb"/>
            <w:noWrap w:val="false"/>
          </w:tcPr>
          <w:p>
            <w:pPr>
              <w:ind w:left="530" w:right="518"/>
              <w:jc w:val="center"/>
              <w:spacing w:line="417"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路面感官量化要求</w:t>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纸屑果皮等白色垃</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圾（片/1000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485" w:type="dxa"/>
            <w:vAlign w:val="center"/>
            <w:textDirection w:val="lrTb"/>
            <w:noWrap w:val="false"/>
          </w:tcPr>
          <w:p>
            <w:pPr>
              <w:ind w:left="237" w:right="229"/>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c>
          <w:tcPr>
            <w:shd w:val="clear" w:color="auto" w:fill="ffffff"/>
            <w:tcW w:w="1590" w:type="dxa"/>
            <w:vAlign w:val="center"/>
            <w:textDirection w:val="lrTb"/>
            <w:noWrap w:val="false"/>
          </w:tcPr>
          <w:p>
            <w:pPr>
              <w:ind w:left="561" w:right="558"/>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≤16</w:t>
            </w:r>
            <w:r/>
          </w:p>
        </w:tc>
        <w:tc>
          <w:tcPr>
            <w:shd w:val="clear" w:color="auto" w:fill="ffffff"/>
            <w:tcW w:w="1260" w:type="dxa"/>
            <w:vAlign w:val="center"/>
            <w:textDirection w:val="lrTb"/>
            <w:noWrap w:val="false"/>
          </w:tcPr>
          <w:p>
            <w:pPr>
              <w:ind w:right="558"/>
              <w:jc w:val="center"/>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 </w:t>
            </w:r>
            <w:r>
              <w:rPr>
                <w:rFonts w:hint="eastAsia" w:ascii="宋体" w:hAnsi="宋体" w:eastAsia="宋体" w:cs="宋体"/>
                <w:sz w:val="24"/>
                <w:szCs w:val="24"/>
                <w:lang w:val="zh-CN" w:bidi="zh-CN"/>
              </w:rPr>
              <w:t xml:space="preserve">≤30</w:t>
            </w:r>
            <w:r/>
          </w:p>
        </w:tc>
      </w:tr>
      <w:tr>
        <w:trPr>
          <w:trHeight w:val="481"/>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烟蒂（个/1000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4</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590" w:type="dxa"/>
            <w:vAlign w:val="center"/>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shd w:val="clear" w:color="auto" w:fill="ffffff"/>
            <w:tcW w:w="1260" w:type="dxa"/>
            <w:vAlign w:val="center"/>
            <w:textDirection w:val="lrTb"/>
            <w:noWrap w:val="false"/>
          </w:tcPr>
          <w:p>
            <w:pPr>
              <w:ind w:left="233"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≤18</w:t>
            </w:r>
            <w:r/>
          </w:p>
        </w:tc>
      </w:tr>
      <w:tr>
        <w:trPr>
          <w:trHeight w:val="955"/>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污迹（口香糖等）</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（处/1000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r>
      <w:tr>
        <w:trPr>
          <w:trHeight w:val="957"/>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积泥（沙）</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（处/1000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微</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少许</w:t>
            </w:r>
            <w:r/>
          </w:p>
        </w:tc>
      </w:tr>
      <w:tr>
        <w:trPr>
          <w:trHeight w:val="481"/>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6"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侧石（包括窖井）</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干净</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干净</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基本干净</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基本干净</w:t>
            </w:r>
            <w:r/>
          </w:p>
        </w:tc>
      </w:tr>
      <w:tr>
        <w:trPr>
          <w:trHeight w:val="568"/>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路面</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见本色</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见本色</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基本见本色</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基本见本色</w:t>
            </w:r>
            <w:r/>
          </w:p>
        </w:tc>
      </w:tr>
    </w:tbl>
    <w:p>
      <w:pPr>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2、道路保洁质量要求</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highlight w:val="none"/>
        </w:rPr>
        <w:t xml:space="preserve">2.1</w:t>
      </w:r>
      <w:r>
        <w:rPr>
          <w:rFonts w:hint="eastAsia" w:ascii="宋体" w:hAnsi="宋体" w:eastAsia="宋体" w:cs="宋体"/>
          <w:b w:val="0"/>
          <w:bCs w:val="0"/>
          <w:color w:val="auto"/>
          <w:sz w:val="24"/>
          <w:szCs w:val="32"/>
          <w:highlight w:val="none"/>
        </w:rPr>
        <w:t xml:space="preserve">主</w:t>
      </w:r>
      <w:r>
        <w:rPr>
          <w:rFonts w:hint="eastAsia" w:ascii="宋体" w:hAnsi="宋体" w:cs="宋体"/>
          <w:b w:val="0"/>
          <w:bCs w:val="0"/>
          <w:color w:val="auto"/>
          <w:sz w:val="24"/>
          <w:szCs w:val="32"/>
          <w:highlight w:val="none"/>
          <w:lang w:val="en-US" w:eastAsia="zh-CN"/>
        </w:rPr>
        <w:t xml:space="preserve">次</w:t>
      </w:r>
      <w:r>
        <w:rPr>
          <w:rFonts w:hint="eastAsia" w:ascii="宋体" w:hAnsi="宋体" w:eastAsia="宋体" w:cs="宋体"/>
          <w:b w:val="0"/>
          <w:bCs w:val="0"/>
          <w:color w:val="auto"/>
          <w:sz w:val="24"/>
          <w:szCs w:val="32"/>
          <w:highlight w:val="none"/>
        </w:rPr>
        <w:t xml:space="preserve">干道</w:t>
      </w:r>
      <w:r>
        <w:rPr>
          <w:rFonts w:hint="eastAsia" w:ascii="宋体" w:hAnsi="宋体" w:cs="宋体"/>
          <w:b w:val="0"/>
          <w:bCs w:val="0"/>
          <w:color w:val="auto"/>
          <w:sz w:val="24"/>
          <w:szCs w:val="32"/>
          <w:highlight w:val="none"/>
          <w:lang w:eastAsia="zh-CN"/>
        </w:rPr>
        <w:t xml:space="preserve">、</w:t>
      </w:r>
      <w:r>
        <w:rPr>
          <w:rFonts w:hint="eastAsia" w:ascii="宋体" w:hAnsi="宋体" w:cs="宋体"/>
          <w:b w:val="0"/>
          <w:bCs w:val="0"/>
          <w:color w:val="auto"/>
          <w:sz w:val="24"/>
          <w:szCs w:val="32"/>
          <w:highlight w:val="none"/>
          <w:lang w:val="en-US" w:eastAsia="zh-CN"/>
        </w:rPr>
        <w:t xml:space="preserve">辅路、人行道、绿化带等</w:t>
      </w:r>
      <w:r>
        <w:rPr>
          <w:rFonts w:hint="eastAsia" w:ascii="宋体" w:hAnsi="宋体" w:eastAsia="宋体" w:cs="宋体"/>
          <w:b w:val="0"/>
          <w:bCs w:val="0"/>
          <w:color w:val="auto"/>
          <w:sz w:val="24"/>
          <w:szCs w:val="32"/>
          <w:highlight w:val="none"/>
        </w:rPr>
        <w:t xml:space="preserve">清扫保洁质量达到“六无”（即：无堆积物、无灰尘、无污染积水、无果皮纸屑塑膜、无烟头、无碎砖瓦砾）；“八净”（即：路面净、路牙净、人行道净、树</w:t>
      </w:r>
      <w:r>
        <w:rPr>
          <w:rFonts w:hint="eastAsia" w:ascii="宋体" w:hAnsi="宋体" w:cs="宋体"/>
          <w:b w:val="0"/>
          <w:bCs w:val="0"/>
          <w:color w:val="auto"/>
          <w:sz w:val="24"/>
          <w:szCs w:val="32"/>
          <w:highlight w:val="none"/>
          <w:lang w:val="en-US" w:eastAsia="zh-CN"/>
        </w:rPr>
        <w:t xml:space="preserve">池</w:t>
      </w:r>
      <w:r>
        <w:rPr>
          <w:rFonts w:hint="eastAsia" w:ascii="宋体" w:hAnsi="宋体" w:eastAsia="宋体" w:cs="宋体"/>
          <w:b w:val="0"/>
          <w:bCs w:val="0"/>
          <w:color w:val="auto"/>
          <w:sz w:val="24"/>
          <w:szCs w:val="32"/>
          <w:highlight w:val="none"/>
        </w:rPr>
        <w:t xml:space="preserve">净、雨水箅净、垃圾箱桶净、绿地净、墙基净）；“一通”：雨水口通、无积存垃圾。</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highlight w:val="none"/>
        </w:rPr>
        <w:t xml:space="preserve">2.2</w:t>
      </w:r>
      <w:r>
        <w:rPr>
          <w:rFonts w:hint="eastAsia" w:ascii="宋体" w:hAnsi="宋体" w:eastAsia="宋体" w:cs="宋体"/>
          <w:b w:val="0"/>
          <w:bCs w:val="0"/>
          <w:color w:val="auto"/>
          <w:sz w:val="24"/>
          <w:szCs w:val="32"/>
          <w:highlight w:val="none"/>
        </w:rPr>
        <w:t xml:space="preserve">“墙到墙”之间应无积存垃圾、人禽粪便、砖头、石头、树叶、树枝和废弃物等:墙到墙”之间所有构筑物和构件两米以下范围内(含路面)应无乱张贴和乱涂写等;路段上的砖头瓦块、垃圾</w:t>
      </w:r>
      <w:r>
        <w:rPr>
          <w:rFonts w:hint="eastAsia" w:ascii="宋体" w:hAnsi="宋体" w:cs="宋体"/>
          <w:b w:val="0"/>
          <w:bCs w:val="0"/>
          <w:color w:val="auto"/>
          <w:sz w:val="24"/>
          <w:szCs w:val="32"/>
          <w:highlight w:val="none"/>
          <w:lang w:val="en-US" w:eastAsia="zh-CN"/>
        </w:rPr>
        <w:t xml:space="preserve">堆</w:t>
      </w:r>
      <w:r>
        <w:rPr>
          <w:rFonts w:hint="eastAsia" w:ascii="宋体" w:hAnsi="宋体" w:eastAsia="宋体" w:cs="宋体"/>
          <w:b w:val="0"/>
          <w:bCs w:val="0"/>
          <w:color w:val="auto"/>
          <w:sz w:val="24"/>
          <w:szCs w:val="32"/>
          <w:highlight w:val="none"/>
        </w:rPr>
        <w:t xml:space="preserve">、建筑垃圾、大</w:t>
      </w:r>
      <w:r>
        <w:rPr>
          <w:rFonts w:hint="eastAsia" w:ascii="宋体" w:hAnsi="宋体" w:cs="宋体"/>
          <w:b w:val="0"/>
          <w:bCs w:val="0"/>
          <w:color w:val="auto"/>
          <w:sz w:val="24"/>
          <w:szCs w:val="32"/>
          <w:highlight w:val="none"/>
          <w:lang w:val="en-US" w:eastAsia="zh-CN"/>
        </w:rPr>
        <w:t xml:space="preserve">件</w:t>
      </w:r>
      <w:r>
        <w:rPr>
          <w:rFonts w:hint="eastAsia" w:ascii="宋体" w:hAnsi="宋体" w:eastAsia="宋体" w:cs="宋体"/>
          <w:b w:val="0"/>
          <w:bCs w:val="0"/>
          <w:color w:val="auto"/>
          <w:sz w:val="24"/>
          <w:szCs w:val="32"/>
          <w:highlight w:val="none"/>
        </w:rPr>
        <w:t xml:space="preserve">垃圾、滴洒漏污物等应及时组织清理。路</w:t>
      </w:r>
      <w:r>
        <w:rPr>
          <w:rFonts w:hint="eastAsia" w:ascii="宋体" w:hAnsi="宋体" w:cs="宋体"/>
          <w:b w:val="0"/>
          <w:bCs w:val="0"/>
          <w:color w:val="auto"/>
          <w:sz w:val="24"/>
          <w:szCs w:val="32"/>
          <w:highlight w:val="none"/>
          <w:lang w:val="en-US" w:eastAsia="zh-CN"/>
        </w:rPr>
        <w:t xml:space="preserve">沿</w:t>
      </w:r>
      <w:r>
        <w:rPr>
          <w:rFonts w:hint="eastAsia" w:ascii="宋体" w:hAnsi="宋体" w:eastAsia="宋体" w:cs="宋体"/>
          <w:b w:val="0"/>
          <w:bCs w:val="0"/>
          <w:color w:val="auto"/>
          <w:sz w:val="24"/>
          <w:szCs w:val="32"/>
          <w:highlight w:val="none"/>
        </w:rPr>
        <w:t xml:space="preserve">石边及人行道、树池杂草应及时清理;垃圾要倒入指定收集地点，不准随意倾倒，不得任意焚烧。</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cs="宋体"/>
          <w:b w:val="0"/>
          <w:bCs w:val="0"/>
          <w:color w:val="auto"/>
          <w:sz w:val="24"/>
          <w:szCs w:val="32"/>
          <w:highlight w:val="none"/>
          <w:lang w:val="en-US" w:eastAsia="zh-CN"/>
        </w:rPr>
        <w:t xml:space="preserve">2.3</w:t>
      </w:r>
      <w:r>
        <w:rPr>
          <w:rFonts w:hint="eastAsia" w:ascii="宋体" w:hAnsi="宋体" w:eastAsia="宋体" w:cs="宋体"/>
          <w:b w:val="0"/>
          <w:bCs w:val="0"/>
          <w:color w:val="auto"/>
          <w:sz w:val="24"/>
          <w:szCs w:val="32"/>
          <w:highlight w:val="none"/>
        </w:rPr>
        <w:t xml:space="preserve">辖区清扫保洁范围内与居委会、小区物业、单位等有交叉争议的地方、垃圾收集点、无主生活垃圾，服务单位必须清扫保洁、收集、清运，自行解决处理。</w:t>
      </w:r>
      <w:r/>
    </w:p>
    <w:p>
      <w:pPr>
        <w:ind w:firstLine="480"/>
        <w:spacing w:line="480" w:lineRule="exact"/>
        <w:rPr>
          <w:rFonts w:hint="eastAsia" w:ascii="宋体" w:hAnsi="宋体" w:eastAsia="宋体" w:cs="宋体"/>
          <w:color w:val="auto"/>
          <w:sz w:val="24"/>
          <w:szCs w:val="32"/>
        </w:rPr>
      </w:pPr>
      <w:r>
        <w:rPr>
          <w:rFonts w:hint="eastAsia" w:ascii="宋体" w:hAnsi="宋体" w:eastAsia="宋体" w:cs="宋体"/>
          <w:color w:val="auto"/>
          <w:sz w:val="24"/>
          <w:szCs w:val="32"/>
        </w:rPr>
        <w:t xml:space="preserve">2.</w:t>
      </w:r>
      <w:r>
        <w:rPr>
          <w:rFonts w:hint="eastAsia" w:ascii="宋体" w:hAnsi="宋体" w:cs="宋体"/>
          <w:color w:val="auto"/>
          <w:sz w:val="24"/>
          <w:szCs w:val="32"/>
          <w:lang w:val="en-US" w:eastAsia="zh-CN"/>
        </w:rPr>
        <w:t xml:space="preserve">4</w:t>
      </w:r>
      <w:r>
        <w:rPr>
          <w:rFonts w:hint="eastAsia" w:ascii="宋体" w:hAnsi="宋体" w:eastAsia="宋体" w:cs="宋体"/>
          <w:color w:val="auto"/>
          <w:sz w:val="24"/>
          <w:szCs w:val="32"/>
        </w:rPr>
        <w:t xml:space="preserve"> 洒水车冲洗道路应达到路见本色，无积沙、淤泥，无污迹的要求。</w:t>
      </w:r>
      <w:r/>
    </w:p>
    <w:p>
      <w:pPr>
        <w:ind w:firstLine="480"/>
        <w:spacing w:line="480" w:lineRule="exact"/>
        <w:rPr>
          <w:rFonts w:hint="eastAsia" w:ascii="宋体" w:hAnsi="宋体" w:eastAsia="宋体" w:cs="宋体"/>
          <w:color w:val="auto"/>
          <w:sz w:val="24"/>
          <w:szCs w:val="32"/>
        </w:rPr>
      </w:pPr>
      <w:r>
        <w:rPr>
          <w:rFonts w:hint="eastAsia" w:ascii="宋体" w:hAnsi="宋体" w:eastAsia="宋体" w:cs="宋体"/>
          <w:color w:val="auto"/>
          <w:sz w:val="24"/>
          <w:szCs w:val="32"/>
        </w:rPr>
        <w:t xml:space="preserve">2.</w:t>
      </w:r>
      <w:r>
        <w:rPr>
          <w:rFonts w:hint="eastAsia" w:ascii="宋体" w:hAnsi="宋体" w:cs="宋体"/>
          <w:color w:val="auto"/>
          <w:sz w:val="24"/>
          <w:szCs w:val="32"/>
          <w:lang w:val="en-US" w:eastAsia="zh-CN"/>
        </w:rPr>
        <w:t xml:space="preserve">5</w:t>
      </w:r>
      <w:r>
        <w:rPr>
          <w:rFonts w:hint="eastAsia" w:ascii="宋体" w:hAnsi="宋体" w:eastAsia="宋体" w:cs="宋体"/>
          <w:color w:val="auto"/>
          <w:sz w:val="24"/>
          <w:szCs w:val="32"/>
        </w:rPr>
        <w:t xml:space="preserve">主次干道临街立面要保持干净整洁，“牛皮癣”需在1小时内清除完毕。不漏扫，不见积水（无法排除的积水除外）、不见粪便、不乱倒垃圾、不焚烧垃圾。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垃圾桶、垃圾箱、果皮箱:</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摆放有序，随脏随擦，表面整洁无油污、无痰迹、无尘土、无小广告。保洁人员巡回清理桶箱垃圾，街区垃圾桶及果壳箱要加装垃圾袋，每天周围不得堆放垃圾和杂物，所有垃圾直接送至中转站，不得随意倾倒。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道路普扫作业时间符合下列要求：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实行普扫与捡拾保洁相结合的工作办法。上午7:00前完成作业区的第一次普扫，下午14:30完成作业区的第二次普扫，全天候进行垃圾收集和巡回捡拾保洁。有重大迎检活动，应适当延长作业时间。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8</w:t>
      </w:r>
      <w:r>
        <w:rPr>
          <w:rFonts w:hint="eastAsia" w:ascii="宋体" w:hAnsi="宋体" w:eastAsia="宋体" w:cs="宋体"/>
          <w:sz w:val="24"/>
          <w:szCs w:val="32"/>
        </w:rPr>
        <w:t xml:space="preserve">道路清扫保洁应符合下列要求：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路面、路牙、便道(包括树坑、公交站)及隔离墩周围的地面无污物，露出道路本色；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清扫保洁的垃圾随扫随清，不往下水井中扫垃圾，不往绿地倒垃圾，保持地面整洁无污物；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落叶季节清扫落叶要装袋，码放路边及时清运；</w:t>
      </w:r>
      <w:r/>
    </w:p>
    <w:p>
      <w:pPr>
        <w:ind w:firstLine="480"/>
        <w:spacing w:line="48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遇降雪天，雪后及时清除</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已使用融雪剂路段的积雪，可按长、宽、高不超过100cm的标准打堆，打堆不得影响道路交通安全，不得堵塞雨水井口的地点。未使用融雪剂的道路积雪，可以按不超过30cm的高度，均匀堆放在绿化带内，也可以按不超过100cm高度堆放在路边树穴或路牙边。</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绿地内通道无烟头、瓜果皮核、纸屑、包装筐、箱、盒、袋等污物；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9</w:t>
      </w:r>
      <w:r>
        <w:rPr>
          <w:rFonts w:hint="eastAsia" w:ascii="宋体" w:hAnsi="宋体" w:eastAsia="宋体" w:cs="宋体"/>
          <w:sz w:val="24"/>
          <w:szCs w:val="32"/>
        </w:rPr>
        <w:t xml:space="preserve">机械作业频次应符合下列要求：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主干道每日冲刷次数不少于1次（其他道路根据实际情况安排）；洒水降尘不少于2次（橙色污染预警天气增加频次）；主干道每日机械化清扫次数不少于2次；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辅路每日机械化清扫次数不少于1次；人行道每2周冲洗不少于1遍；垃圾桶、果皮箱每周清洗2次，每月冲洗消毒不少于1遍。</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10</w:t>
      </w:r>
      <w:r>
        <w:rPr>
          <w:rFonts w:hint="eastAsia" w:ascii="宋体" w:hAnsi="宋体" w:eastAsia="宋体" w:cs="宋体"/>
          <w:sz w:val="24"/>
          <w:szCs w:val="32"/>
        </w:rPr>
        <w:t xml:space="preserve">机械清扫作业规范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清扫作业前应检查车辆性能，加足水，并根据路面状况调整好机扫车侧刷和吸口。机械清扫车速为 5km/h-8km/h，机械保洁车速 8km/h-15km/h；</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作业时应避免“干扫”，做到清扫不扬尘，不漏土。禁止侧刷、吸口不落地空跑。清扫时注意观察路面清扫质量和路面障碍情况，对机扫车不能清除的大件垃圾或硬物，应及时下车清除，确保清扫质量和设备不受损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人工清扫作业规范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职工统一服装，统一车辆，工作服装整洁，身着安全标志。</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普扫时，应按人行道路面、树圈及周边、车行道路面、窖井口的顺序进行全面清扫。</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归拢的垃圾靠边打堆，及时清运，不漏收。清扫道路时不得将垃圾扫入窖井、喇叭口、绿地，并疏通窖井口。</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普扫时，应按人行道路面、树圈及周边、车行道路面、窖井口的顺序进行全面清扫。</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归拢的垃圾靠边打堆，及时清运，不漏收。清扫道路时不得将垃圾扫入窖井、喇叭口、绿地，并疏通窖井口。</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清扫道路时须小心执扫，不得漏扫、甩扫，控制扬尘，避免妨碍行人，保洁时，巡回走动，用小扫把、钳子等工具及时清除路面的垃圾。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发现路面被严重污染时，应马上向管理部门汇报,并立即组织清理。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洒水（ 冲刷 ）作业规范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路面作业时，洒水车车速：25km/h～30km/h；高压冲洗车车速： 5km/h ～10km/h。洒水时不得漏洒（漏冲）注意调整高度和水压，作业结束后、应做到路面、侧石、交通隔离带以及道路相关公共设施周围无泥沙和积水。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清洗作业时水压调整适当，洒水车、机扫车、人工洗刷相互配合，以消除路面的积泥、沙石、污迹。清洗污染严重的路面时，须反复冲洗，直至路面见本色。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清洗人行道时，洒水车须调整好水流幅宽，并配以人工洗刷路面，清洗被油污污染的路面时，可适当添加洗洁精等清洁液，反复冲洗，直至路面见本色。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洒水车不得倒车洒水。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3</w:t>
      </w:r>
      <w:r>
        <w:rPr>
          <w:rFonts w:hint="eastAsia" w:ascii="宋体" w:hAnsi="宋体" w:eastAsia="宋体" w:cs="宋体"/>
          <w:sz w:val="24"/>
          <w:szCs w:val="32"/>
        </w:rPr>
        <w:t xml:space="preserve">机械和人工配合清扫作业规范应符合上述要求。</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3、公厕运营管理要求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3.1公厕制度健全，实行专人保洁，每天</w:t>
      </w:r>
      <w:r>
        <w:rPr>
          <w:rFonts w:hint="eastAsia" w:ascii="宋体" w:hAnsi="宋体" w:cs="宋体"/>
          <w:sz w:val="24"/>
          <w:szCs w:val="32"/>
          <w:lang w:val="en-US" w:eastAsia="zh-CN"/>
        </w:rPr>
        <w:t xml:space="preserve">早上</w:t>
      </w:r>
      <w:r>
        <w:rPr>
          <w:rFonts w:hint="eastAsia" w:ascii="宋体" w:hAnsi="宋体" w:eastAsia="宋体" w:cs="宋体"/>
          <w:sz w:val="24"/>
          <w:szCs w:val="32"/>
        </w:rPr>
        <w:t xml:space="preserve">7点前完成一次整体保洁；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3.2</w:t>
      </w:r>
      <w:r>
        <w:rPr>
          <w:rFonts w:hint="eastAsia" w:ascii="宋体" w:hAnsi="宋体" w:eastAsia="宋体" w:cs="宋体"/>
          <w:color w:val="auto"/>
          <w:sz w:val="24"/>
          <w:szCs w:val="32"/>
        </w:rPr>
        <w:t xml:space="preserve">实行随清、即时保洁模式，采用定时清扫与巡回保洁相结合的作业方式，每 30 分钟开展一次全域巡查保洁；</w:t>
      </w:r>
      <w:r/>
    </w:p>
    <w:p>
      <w:pPr>
        <w:ind w:firstLine="480"/>
        <w:spacing w:line="480" w:lineRule="exact"/>
        <w:rPr>
          <w:rFonts w:hint="eastAsia" w:ascii="宋体" w:hAnsi="宋体" w:eastAsia="宋体" w:cs="宋体"/>
          <w:b w:val="0"/>
          <w:bCs w:val="0"/>
          <w:sz w:val="24"/>
          <w:szCs w:val="32"/>
          <w:highlight w:val="none"/>
          <w:lang w:eastAsia="zh-CN"/>
        </w:rPr>
      </w:pPr>
      <w:r>
        <w:rPr>
          <w:rFonts w:hint="eastAsia" w:ascii="宋体" w:hAnsi="宋体" w:cs="宋体"/>
          <w:b w:val="0"/>
          <w:bCs w:val="0"/>
          <w:sz w:val="24"/>
          <w:szCs w:val="32"/>
          <w:highlight w:val="none"/>
          <w:lang w:val="en-US" w:eastAsia="zh-CN"/>
        </w:rPr>
        <w:t xml:space="preserve">3.3每日时间06:00-18:00进行作业</w:t>
      </w:r>
      <w:r>
        <w:rPr>
          <w:rFonts w:hint="eastAsia" w:ascii="宋体" w:hAnsi="宋体" w:eastAsia="宋体" w:cs="宋体"/>
          <w:b w:val="0"/>
          <w:bCs w:val="0"/>
          <w:sz w:val="24"/>
          <w:szCs w:val="32"/>
          <w:highlight w:val="none"/>
        </w:rPr>
        <w:t xml:space="preserve"> </w:t>
      </w:r>
      <w:r>
        <w:rPr>
          <w:rFonts w:hint="eastAsia" w:ascii="宋体" w:hAnsi="宋体" w:cs="宋体"/>
          <w:b w:val="0"/>
          <w:bCs w:val="0"/>
          <w:sz w:val="24"/>
          <w:szCs w:val="32"/>
          <w:highlight w:val="none"/>
          <w:lang w:eastAsia="zh-CN"/>
        </w:rPr>
        <w:t xml:space="preserve">；</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eastAsia="宋体" w:cs="宋体"/>
          <w:sz w:val="24"/>
          <w:szCs w:val="32"/>
        </w:rPr>
        <w:t xml:space="preserve">4公厕地面、墙面、蹲位、小便池、洗手台每日冲洗擦拭，保持清洁卫生，无积尿、积水、无杂物；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公厕内整洁有序，无乱写乱画，无蚊蝇，无异味，无尿碱垢污，无暴露便纸，保洁工具放置整齐；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要求蹲位、坐便器、小便池、外墙、地面无黄迹、尿碱、污物、尘土及乱写乱画；</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公厕内垃圾每日定时收集、打包，杜绝垃圾满；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8</w:t>
      </w:r>
      <w:r>
        <w:rPr>
          <w:rFonts w:hint="eastAsia" w:ascii="宋体" w:hAnsi="宋体" w:eastAsia="宋体" w:cs="宋体"/>
          <w:sz w:val="24"/>
          <w:szCs w:val="32"/>
        </w:rPr>
        <w:t xml:space="preserve">公厕内生活垃圾每日转运至乡镇指定位置；</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9</w:t>
      </w:r>
      <w:r>
        <w:rPr>
          <w:rFonts w:hint="eastAsia" w:ascii="宋体" w:hAnsi="宋体" w:eastAsia="宋体" w:cs="宋体"/>
          <w:sz w:val="24"/>
          <w:szCs w:val="32"/>
        </w:rPr>
        <w:t xml:space="preserve">垃圾密闭运输，杜绝沿途抛洒；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10</w:t>
      </w:r>
      <w:r>
        <w:rPr>
          <w:rFonts w:hint="eastAsia" w:ascii="宋体" w:hAnsi="宋体" w:eastAsia="宋体" w:cs="宋体"/>
          <w:sz w:val="24"/>
          <w:szCs w:val="32"/>
        </w:rPr>
        <w:t xml:space="preserve">垃圾收集桶定期清洗、消毒；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1</w:t>
      </w:r>
      <w:r>
        <w:rPr>
          <w:rFonts w:hint="eastAsia" w:ascii="宋体" w:hAnsi="宋体" w:eastAsia="宋体" w:cs="宋体"/>
          <w:sz w:val="24"/>
          <w:szCs w:val="32"/>
        </w:rPr>
        <w:t xml:space="preserve">每日消杀2次（早、晚各1次），配备清洁剂、消毒液、洁厕灵、拖把、扫帚等保洁耗材。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2</w:t>
      </w:r>
      <w:r>
        <w:rPr>
          <w:rFonts w:hint="eastAsia" w:ascii="宋体" w:hAnsi="宋体" w:eastAsia="宋体" w:cs="宋体"/>
          <w:sz w:val="24"/>
          <w:szCs w:val="32"/>
        </w:rPr>
        <w:t xml:space="preserve">公厕内水龙头、冲水阀、照明灯具、门锁、隔板等小型设施维修更换；</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3</w:t>
      </w:r>
      <w:r>
        <w:rPr>
          <w:rFonts w:hint="eastAsia" w:ascii="宋体" w:hAnsi="宋体" w:eastAsia="宋体" w:cs="宋体"/>
          <w:sz w:val="24"/>
          <w:szCs w:val="32"/>
        </w:rPr>
        <w:t xml:space="preserve">公厕水电线路日常巡检维修，小故障及时抢修；</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4</w:t>
      </w:r>
      <w:r>
        <w:rPr>
          <w:rFonts w:hint="eastAsia" w:ascii="宋体" w:hAnsi="宋体" w:eastAsia="宋体" w:cs="宋体"/>
          <w:sz w:val="24"/>
          <w:szCs w:val="32"/>
        </w:rPr>
        <w:t xml:space="preserve">公厕门窗、墙面轻微破损修补，保持设施正常；</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定期检查公厕通风、除臭设备，保障正常运行。</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公厕化粪池每‌半年至少清理1次‌‌，若出现‌满溢、堵塞等紧急情况‌，应‌立即清理‌，不受周期限制‌。</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化粪池清理要求：沉淀物清理至池容‌15%以下‌，确保基本排空‌。进出管道需‌彻底疏通，确保排水通畅。‌防污染措施‌：使用‌防泄漏、防渗漏设备‌；作业中‌严禁污水外溢‌污染地面；清理后‌冲洗周边环境，消除异味。‌‌</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8</w:t>
      </w:r>
      <w:r>
        <w:rPr>
          <w:rFonts w:hint="eastAsia" w:ascii="宋体" w:hAnsi="宋体" w:eastAsia="宋体" w:cs="宋体"/>
          <w:sz w:val="24"/>
          <w:szCs w:val="32"/>
        </w:rPr>
        <w:t xml:space="preserve">安全与环保规范：作业人员须佩戴‌防滑鞋、手套、防毒口罩、安全帽、反光背心‌等；设置‌警示标识‌，夜间加装‌反光灯。清出污物须运至‌环卫部门指定的无害化处理厂‌，‌严禁随意倾倒。‌沼气池特别要求‌：揭盖禁止使用铁器，防止火花引发爆炸；下池前须通风并检测有毒气体。</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9</w:t>
      </w:r>
      <w:r>
        <w:rPr>
          <w:rFonts w:hint="eastAsia" w:ascii="宋体" w:hAnsi="宋体" w:eastAsia="宋体" w:cs="宋体"/>
          <w:sz w:val="24"/>
          <w:szCs w:val="32"/>
        </w:rPr>
        <w:t xml:space="preserve"> 其他：符合三类公厕保洁标准。</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4、垃圾中转站运营管理要求</w:t>
      </w:r>
      <w:r/>
    </w:p>
    <w:p>
      <w:pPr>
        <w:ind w:firstLine="480"/>
        <w:spacing w:line="480" w:lineRule="exact"/>
        <w:rPr>
          <w:rFonts w:hint="eastAsia" w:ascii="宋体" w:hAnsi="宋体" w:eastAsia="宋体" w:cs="宋体"/>
          <w:b w:val="0"/>
          <w:bCs w:val="0"/>
          <w:sz w:val="24"/>
          <w:szCs w:val="32"/>
          <w:highlight w:val="none"/>
        </w:rPr>
      </w:pPr>
      <w:r>
        <w:rPr>
          <w:rFonts w:hint="eastAsia" w:ascii="宋体" w:hAnsi="宋体" w:eastAsia="宋体" w:cs="宋体"/>
          <w:b w:val="0"/>
          <w:bCs w:val="0"/>
          <w:sz w:val="24"/>
          <w:szCs w:val="32"/>
          <w:highlight w:val="none"/>
        </w:rPr>
        <w:t xml:space="preserve">4.1垃圾中转站清运收集处理工作实行定人、定岗专人管理负责制</w:t>
      </w:r>
      <w:r>
        <w:rPr>
          <w:rFonts w:hint="eastAsia" w:ascii="宋体" w:hAnsi="宋体" w:cs="宋体"/>
          <w:b w:val="0"/>
          <w:bCs w:val="0"/>
          <w:sz w:val="24"/>
          <w:szCs w:val="32"/>
          <w:highlight w:val="none"/>
          <w:lang w:eastAsia="zh-CN"/>
        </w:rPr>
        <w:t xml:space="preserve">，每日</w:t>
      </w:r>
      <w:r>
        <w:rPr>
          <w:rFonts w:hint="eastAsia" w:ascii="宋体" w:hAnsi="宋体" w:cs="宋体"/>
          <w:b w:val="0"/>
          <w:bCs w:val="0"/>
          <w:sz w:val="24"/>
          <w:szCs w:val="32"/>
          <w:highlight w:val="none"/>
          <w:lang w:val="en-US" w:eastAsia="zh-CN"/>
        </w:rPr>
        <w:t xml:space="preserve">时间0</w:t>
      </w:r>
      <w:r>
        <w:rPr>
          <w:rFonts w:hint="eastAsia" w:ascii="宋体" w:hAnsi="宋体" w:cs="宋体"/>
          <w:b w:val="0"/>
          <w:bCs w:val="0"/>
          <w:sz w:val="24"/>
          <w:szCs w:val="32"/>
          <w:highlight w:val="none"/>
          <w:lang w:eastAsia="zh-CN"/>
        </w:rPr>
        <w:t xml:space="preserve">5:30-17:00进行作业</w:t>
      </w:r>
      <w:r>
        <w:rPr>
          <w:rFonts w:hint="eastAsia" w:ascii="宋体" w:hAnsi="宋体" w:eastAsia="宋体" w:cs="宋体"/>
          <w:b w:val="0"/>
          <w:bCs w:val="0"/>
          <w:sz w:val="24"/>
          <w:szCs w:val="32"/>
          <w:highlight w:val="none"/>
        </w:rPr>
        <w:t xml:space="preserve">。</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4.2进入站内的垃圾应当日转运，按工艺要求运送到相应后端处理厂，确保垃圾日产日清。</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4.3及时清理地面，确保地面干净无果皮纸屑、无污水。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4.4及时清洁墙面、天花板，应无积灰、污迹、蛛网、无乱涂乱画、墙面光洁、外墙面整洁。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4.5工作人员要认真做好交接班，并在规定时间到岗，不得迟到早退、脱岗，工作时要佩戴口罩。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4.6认真做好除“四害”防污染工作，每两天应对垃圾中转站进行消毒工作，不少于一次防虫害。</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4.7每日定时保洁2次，每日消杀1次、定期深度除臭，保持站内环境卫生。</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4.8有异常垃圾进入转运站时应作好记录。确保全年全天候接纳的垃圾来源、种类、数量符合转运站要求。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4.9垃圾转运站清运实行“垃圾不落地”作业，垃圾到站后随即倒入运输车辆箱体或压缩设备内，不得在站内堆积，避免造成二次污染，全面实施垃圾压缩箱转运方式。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4.10垃圾转运车及集装箱应密闭运输、无垃圾飞扬、无渗沥液遗洒、无垃圾粘挂现象。</w:t>
      </w:r>
      <w:r/>
    </w:p>
    <w:p>
      <w:pPr>
        <w:ind w:firstLine="480"/>
        <w:spacing w:line="480" w:lineRule="exact"/>
        <w:rPr>
          <w:rFonts w:hint="eastAsia" w:ascii="宋体" w:hAnsi="宋体" w:cs="宋体"/>
          <w:b/>
          <w:bCs/>
          <w:sz w:val="24"/>
          <w:szCs w:val="32"/>
          <w:highlight w:val="yellow"/>
          <w:lang w:val="en-US" w:eastAsia="zh-CN"/>
        </w:rPr>
      </w:pPr>
      <w:r>
        <w:rPr>
          <w:rFonts w:hint="eastAsia" w:ascii="宋体" w:hAnsi="宋体" w:eastAsia="宋体" w:cs="宋体"/>
          <w:sz w:val="24"/>
          <w:szCs w:val="32"/>
        </w:rPr>
        <w:t xml:space="preserve">4.11</w:t>
      </w:r>
      <w:r>
        <w:rPr>
          <w:rFonts w:hint="eastAsia" w:ascii="宋体" w:hAnsi="宋体" w:eastAsia="宋体" w:cs="宋体"/>
          <w:b w:val="0"/>
          <w:bCs w:val="0"/>
          <w:sz w:val="24"/>
          <w:szCs w:val="32"/>
          <w:highlight w:val="none"/>
        </w:rPr>
        <w:t xml:space="preserve">要有渗沥液的收集设施设备，当日产生的渗沥液要当日转运处理</w:t>
      </w:r>
      <w:r>
        <w:rPr>
          <w:rFonts w:hint="eastAsia" w:ascii="宋体" w:hAnsi="宋体" w:cs="宋体"/>
          <w:b w:val="0"/>
          <w:bCs w:val="0"/>
          <w:sz w:val="24"/>
          <w:szCs w:val="32"/>
          <w:highlight w:val="none"/>
          <w:lang w:eastAsia="zh-CN"/>
        </w:rPr>
        <w:t xml:space="preserve">，</w:t>
      </w:r>
      <w:r>
        <w:rPr>
          <w:rFonts w:hint="eastAsia" w:ascii="宋体" w:hAnsi="宋体" w:cs="宋体"/>
          <w:b w:val="0"/>
          <w:bCs w:val="0"/>
          <w:sz w:val="24"/>
          <w:szCs w:val="32"/>
          <w:highlight w:val="none"/>
          <w:lang w:val="en-US" w:eastAsia="zh-CN"/>
        </w:rPr>
        <w:t xml:space="preserve">处理根据</w:t>
      </w:r>
      <w:r>
        <w:rPr>
          <w:rFonts w:hint="eastAsia" w:ascii="宋体" w:hAnsi="宋体" w:eastAsia="宋体" w:cs="宋体"/>
          <w:b w:val="0"/>
          <w:bCs w:val="0"/>
          <w:sz w:val="24"/>
          <w:szCs w:val="32"/>
          <w:highlight w:val="none"/>
        </w:rPr>
        <w:t xml:space="preserve">《生活垃圾渗沥液处理技术标准》行业标准</w:t>
      </w:r>
      <w:r>
        <w:rPr>
          <w:rFonts w:hint="eastAsia" w:ascii="宋体" w:hAnsi="宋体" w:cs="宋体"/>
          <w:b w:val="0"/>
          <w:bCs w:val="0"/>
          <w:sz w:val="24"/>
          <w:szCs w:val="32"/>
          <w:highlight w:val="none"/>
          <w:lang w:val="en-US" w:eastAsia="zh-CN"/>
        </w:rPr>
        <w:t xml:space="preserve">要求进行处理。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4.12负责记录垃圾的进出站数量。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4.13人员要进行上岗培训，熟知用电知识、熟练操作流程，严格按安全程序操作，工作期间佩戴安全帽。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4.14管理人员严禁在清运车没有停稳时操作设备，严禁设备上料时伸头观看或者站在料斗下，要确保安全。</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4.15垃圾压缩箱装满后要及时把污水排放干净，拔下排放管和用电插头，确保垃圾压缩箱安全上车。</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4.16协助垃圾运输车及清运车辆安全的驶入和</w:t>
      </w:r>
      <w:r>
        <w:rPr>
          <w:rFonts w:hint="eastAsia" w:ascii="宋体" w:hAnsi="宋体" w:cs="宋体"/>
          <w:sz w:val="24"/>
          <w:szCs w:val="32"/>
          <w:lang w:val="en-US" w:eastAsia="zh-CN"/>
        </w:rPr>
        <w:t xml:space="preserve">驶</w:t>
      </w:r>
      <w:r>
        <w:rPr>
          <w:rFonts w:hint="eastAsia" w:ascii="宋体" w:hAnsi="宋体" w:eastAsia="宋体" w:cs="宋体"/>
          <w:sz w:val="24"/>
          <w:szCs w:val="32"/>
        </w:rPr>
        <w:t xml:space="preserve">出，做好驾驶员的观察员。</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4.17做好消杀工作，严格做到每天上午10:00左右消杀一次，下午4:00左右消杀一次，另视垃圾产量及垃圾成份等具体情况增加消杀次数，严禁苍蝇产生，车辆出入中转站必消杀。</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4.18如停电、机械、汽车发生故障等原因，手拉车清运人员倒垃圾时必须服从管理员统一指挥，不得擅自将垃圾倒入中转站场地内。</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4.19严禁建筑垃圾、易燃垃圾、有毒垃圾倒入压缩箱。</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4.20废品不得堆放在中转站内外，不得在垃圾场内燃烧废品，若发现垃圾堆不明起火要及时采取灭火措施。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4.21拾荒人员不得进入中转站拾废品。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4.22工作结束后搞好室内外环境卫生，切断电源，关闭水龙头，关锁好门窗。不得随意打开垃圾站大门和操作机器的。</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4.23及时更换零星损坏，保障站点正常运营。</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4.24中转站内建筑物、场地的维护，外墙保持整洁无脱落，场</w:t>
      </w:r>
      <w:r>
        <w:rPr>
          <w:rFonts w:hint="eastAsia" w:ascii="宋体" w:hAnsi="宋体" w:cs="宋体"/>
          <w:b w:val="0"/>
          <w:bCs w:val="0"/>
          <w:color w:val="auto"/>
          <w:sz w:val="24"/>
          <w:szCs w:val="32"/>
          <w:highlight w:val="none"/>
          <w:lang w:val="en-US" w:eastAsia="zh-CN"/>
        </w:rPr>
        <w:t xml:space="preserve">地</w:t>
      </w:r>
      <w:r>
        <w:rPr>
          <w:rFonts w:hint="eastAsia" w:ascii="宋体" w:hAnsi="宋体" w:eastAsia="宋体" w:cs="宋体"/>
          <w:b w:val="0"/>
          <w:bCs w:val="0"/>
          <w:color w:val="auto"/>
          <w:sz w:val="24"/>
          <w:szCs w:val="32"/>
          <w:highlight w:val="none"/>
        </w:rPr>
        <w:t xml:space="preserve">地面</w:t>
      </w:r>
      <w:r>
        <w:rPr>
          <w:rFonts w:hint="eastAsia" w:ascii="宋体" w:hAnsi="宋体" w:cs="宋体"/>
          <w:b w:val="0"/>
          <w:bCs w:val="0"/>
          <w:color w:val="auto"/>
          <w:sz w:val="24"/>
          <w:szCs w:val="32"/>
          <w:highlight w:val="none"/>
          <w:lang w:val="en-US" w:eastAsia="zh-CN"/>
        </w:rPr>
        <w:t xml:space="preserve">及院墙保持</w:t>
      </w:r>
      <w:r>
        <w:rPr>
          <w:rFonts w:hint="eastAsia" w:ascii="宋体" w:hAnsi="宋体" w:eastAsia="宋体" w:cs="宋体"/>
          <w:b w:val="0"/>
          <w:bCs w:val="0"/>
          <w:color w:val="auto"/>
          <w:sz w:val="24"/>
          <w:szCs w:val="32"/>
          <w:highlight w:val="none"/>
        </w:rPr>
        <w:t xml:space="preserve">完好、无破损坑洼</w:t>
      </w:r>
      <w:r>
        <w:rPr>
          <w:rFonts w:hint="eastAsia" w:ascii="宋体" w:hAnsi="宋体" w:cs="宋体"/>
          <w:b w:val="0"/>
          <w:bCs w:val="0"/>
          <w:color w:val="auto"/>
          <w:sz w:val="24"/>
          <w:szCs w:val="32"/>
          <w:highlight w:val="none"/>
          <w:lang w:val="en-US" w:eastAsia="zh-CN"/>
        </w:rPr>
        <w:t xml:space="preserve">，发现破损立即及时修缮</w:t>
      </w:r>
      <w:r>
        <w:rPr>
          <w:rFonts w:hint="eastAsia" w:ascii="宋体" w:hAnsi="宋体" w:eastAsia="宋体" w:cs="宋体"/>
          <w:b w:val="0"/>
          <w:bCs w:val="0"/>
          <w:color w:val="auto"/>
          <w:sz w:val="24"/>
          <w:szCs w:val="32"/>
          <w:highlight w:val="none"/>
        </w:rPr>
        <w:t xml:space="preserve">。</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5、垃圾收集、运输作业要求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5.1生活垃圾应日产日清，无积压。</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5.2垃圾收集容器位置适宜，摆放整齐，方便居民投放。收集作业完成后，应及时清理场地，并将垃圾桶复位，盖上桶盖，不得有地面零散垃圾，收集点及周围2-3m内应整洁，无散落、存留垃圾和污水。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5.3垃圾收集采取密闭方式，垃圾收集容器应无残缺、破损，封闭性好，外体干净。</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5.4收集搬运过程应无遗漏、无撒漏、无渗沥液滴漏。垃圾收集车向垃圾处置场运送垃圾的过程应覆盖密闭，实行“垃圾不落地”作业，避免造成二次污染。</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5.5垃圾转运车辆应当准时到达中转站接收保洁员运送的垃圾，并做好预防垃圾落地二次污染准备。</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5.6运输垃圾应尽量避开上下班高峰期。装卸垃圾符合作业要求，不得乱倒、乱卸、乱抛垃圾，在居民住宅附近的垃圾站装运垃圾时，应尽量避开早晨、中午时间、作业时注意减少噪声。</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5.7垃圾运输车辆应车容整洁，车况良好，车牌号码完整，车门喷印清晰的单位名称，车顶无乱焊铁架等现象。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5.8运输作业结束，应将车辆清洁干净。</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6、耗材装备</w:t>
      </w:r>
      <w:r/>
    </w:p>
    <w:tbl>
      <w:tblPr>
        <w:tblStyle w:val="825"/>
        <w:tblpPr w:horzAnchor="page" w:tblpX="2200" w:vertAnchor="text" w:tblpY="323" w:leftFromText="180" w:topFromText="0" w:rightFromText="180" w:bottomFromText="0"/>
        <w:tblW w:w="8000" w:type="dxa"/>
        <w:tblInd w:w="0" w:type="dxa"/>
        <w:tblLayout w:type="fixed"/>
        <w:tblCellMar>
          <w:left w:w="108" w:type="dxa"/>
          <w:top w:w="0" w:type="dxa"/>
          <w:right w:w="108" w:type="dxa"/>
          <w:bottom w:w="0" w:type="dxa"/>
        </w:tblCellMar>
        <w:tblLook w:val="04A0" w:firstRow="1" w:lastRow="0" w:firstColumn="1" w:lastColumn="0" w:noHBand="0" w:noVBand="1"/>
      </w:tblPr>
      <w:tblGrid>
        <w:gridCol w:w="2633"/>
        <w:gridCol w:w="5367"/>
      </w:tblGrid>
      <w:tr>
        <w:trPr>
          <w:trHeight w:val="228"/>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Style w:val="1196"/>
                <w:rFonts w:hint="eastAsia" w:ascii="宋体" w:hAnsi="宋体" w:eastAsia="宋体" w:cs="宋体"/>
                <w:bCs/>
                <w:color w:val="auto"/>
                <w:sz w:val="24"/>
                <w:szCs w:val="24"/>
              </w:rPr>
            </w:pPr>
            <w:r>
              <w:rPr>
                <w:rFonts w:hint="eastAsia" w:ascii="宋体" w:hAnsi="宋体" w:eastAsia="宋体" w:cs="宋体"/>
                <w:bCs/>
                <w:sz w:val="24"/>
                <w:szCs w:val="24"/>
              </w:rPr>
              <w:t xml:space="preserve">配置内容</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Style w:val="1195"/>
                <w:rFonts w:hint="eastAsia" w:ascii="宋体" w:hAnsi="宋体" w:eastAsia="宋体" w:cs="宋体"/>
                <w:bCs/>
                <w:color w:val="auto"/>
                <w:sz w:val="24"/>
                <w:szCs w:val="24"/>
              </w:rPr>
            </w:pPr>
            <w:r>
              <w:rPr>
                <w:rFonts w:hint="eastAsia" w:ascii="宋体" w:hAnsi="宋体" w:eastAsia="宋体" w:cs="宋体"/>
                <w:bCs/>
                <w:sz w:val="24"/>
                <w:szCs w:val="24"/>
              </w:rPr>
              <w:t xml:space="preserve">备注(标准)</w:t>
            </w:r>
            <w:r/>
          </w:p>
        </w:tc>
      </w:tr>
      <w:tr>
        <w:trPr>
          <w:trHeight w:val="445"/>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Fonts w:hint="eastAsia" w:ascii="宋体" w:hAnsi="宋体" w:eastAsia="宋体" w:cs="宋体"/>
                <w:bCs/>
                <w:sz w:val="24"/>
                <w:szCs w:val="24"/>
              </w:rPr>
            </w:pPr>
            <w:r>
              <w:rPr>
                <w:rStyle w:val="1196"/>
                <w:rFonts w:hint="eastAsia" w:ascii="宋体" w:hAnsi="宋体" w:eastAsia="宋体" w:cs="宋体"/>
                <w:bCs/>
                <w:color w:val="auto"/>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Fonts w:hint="eastAsia" w:ascii="宋体" w:hAnsi="宋体" w:eastAsia="宋体" w:cs="宋体"/>
                <w:bCs/>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358"/>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Style w:val="1196"/>
                <w:rFonts w:hint="eastAsia" w:ascii="宋体" w:hAnsi="宋体" w:eastAsia="宋体" w:cs="宋体"/>
                <w:bCs/>
                <w:color w:val="auto"/>
                <w:sz w:val="24"/>
                <w:szCs w:val="24"/>
              </w:rPr>
            </w:pPr>
            <w:r>
              <w:rPr>
                <w:rStyle w:val="1196"/>
                <w:rFonts w:hint="eastAsia" w:ascii="宋体" w:hAnsi="宋体" w:eastAsia="宋体" w:cs="宋体"/>
                <w:bCs/>
                <w:color w:val="auto"/>
                <w:sz w:val="24"/>
                <w:szCs w:val="24"/>
              </w:rPr>
              <w:t xml:space="preserve">配置街区垃圾桶塑料袋</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Style w:val="1195"/>
                <w:rFonts w:hint="eastAsia" w:ascii="宋体" w:hAnsi="宋体" w:eastAsia="宋体" w:cs="宋体"/>
                <w:bCs/>
                <w:color w:val="auto"/>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290"/>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劳保用品(含保洁环卫所有耗材)</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eastAsia" w:ascii="宋体" w:hAnsi="宋体" w:eastAsia="宋体" w:cs="宋体"/>
                <w:bCs/>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312"/>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工服</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eastAsia" w:ascii="宋体" w:hAnsi="宋体" w:eastAsia="宋体" w:cs="宋体"/>
                <w:bCs/>
                <w:sz w:val="24"/>
                <w:szCs w:val="24"/>
              </w:rPr>
            </w:pPr>
            <w:r>
              <w:rPr>
                <w:rStyle w:val="1195"/>
                <w:rFonts w:hint="eastAsia" w:ascii="宋体" w:hAnsi="宋体" w:eastAsia="宋体" w:cs="宋体"/>
                <w:b w:val="0"/>
                <w:bCs w:val="0"/>
                <w:color w:val="auto"/>
                <w:sz w:val="24"/>
                <w:szCs w:val="24"/>
              </w:rPr>
              <w:t xml:space="preserve">投标人全面</w:t>
            </w:r>
            <w:r>
              <w:rPr>
                <w:rFonts w:hint="eastAsia" w:ascii="宋体" w:hAnsi="宋体" w:eastAsia="宋体" w:cs="宋体"/>
                <w:bCs/>
                <w:sz w:val="24"/>
                <w:szCs w:val="24"/>
              </w:rPr>
              <w:t xml:space="preserve">自行承担，满足项目服务需求</w:t>
            </w:r>
            <w:r/>
          </w:p>
        </w:tc>
      </w:tr>
    </w:tbl>
    <w:p>
      <w:pPr>
        <w:pStyle w:val="11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57"/>
        <w:spacing w:line="48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32"/>
          <w:highlight w:val="none"/>
        </w:rPr>
        <w:t xml:space="preserve">七、</w:t>
      </w:r>
      <w:r>
        <w:rPr>
          <w:rFonts w:hint="eastAsia" w:ascii="宋体" w:hAnsi="宋体" w:eastAsia="宋体" w:cs="宋体"/>
          <w:b/>
          <w:bCs w:val="0"/>
          <w:sz w:val="24"/>
          <w:szCs w:val="24"/>
          <w:highlight w:val="none"/>
        </w:rPr>
        <w:t xml:space="preserve">人员及车辆配置要求</w:t>
      </w:r>
      <w:r/>
    </w:p>
    <w:p>
      <w:pPr>
        <w:ind w:firstLine="480"/>
        <w:jc w:val="left"/>
        <w:spacing w:line="360" w:lineRule="auto"/>
        <w:rPr>
          <w:rFonts w:ascii="宋体" w:hAnsi="宋体" w:cs="仿宋"/>
          <w:b w:val="0"/>
          <w:bCs/>
          <w:color w:val="auto"/>
          <w:sz w:val="24"/>
          <w:szCs w:val="24"/>
          <w:highlight w:val="none"/>
        </w:rPr>
      </w:pPr>
      <w:r>
        <w:rPr>
          <w:rFonts w:hint="eastAsia" w:ascii="宋体" w:hAnsi="宋体" w:cs="仿宋"/>
          <w:b w:val="0"/>
          <w:bCs/>
          <w:color w:val="auto"/>
          <w:sz w:val="24"/>
          <w:szCs w:val="24"/>
          <w:highlight w:val="none"/>
        </w:rPr>
        <w:t xml:space="preserve">环卫人员安置将采取并入企业，内部分流等方式予以安置。</w:t>
      </w:r>
      <w:r>
        <w:rPr>
          <w:rFonts w:hint="eastAsia" w:ascii="宋体" w:hAnsi="宋体" w:cs="仿宋"/>
          <w:b w:val="0"/>
          <w:bCs/>
          <w:color w:val="auto"/>
          <w:sz w:val="24"/>
          <w:szCs w:val="24"/>
          <w:highlight w:val="none"/>
          <w:lang w:eastAsia="zh-CN"/>
        </w:rPr>
        <w:t xml:space="preserve">现有环卫人员</w:t>
      </w:r>
      <w:r>
        <w:rPr>
          <w:rFonts w:hint="eastAsia" w:ascii="宋体" w:hAnsi="宋体" w:cs="仿宋"/>
          <w:b w:val="0"/>
          <w:bCs/>
          <w:color w:val="auto"/>
          <w:sz w:val="24"/>
          <w:szCs w:val="24"/>
          <w:highlight w:val="none"/>
          <w:lang w:val="en-US" w:eastAsia="zh-CN"/>
        </w:rPr>
        <w:t xml:space="preserve">共计376人。</w:t>
      </w:r>
      <w:r>
        <w:rPr>
          <w:rFonts w:hint="eastAsia" w:ascii="宋体" w:hAnsi="宋体" w:cs="仿宋"/>
          <w:b w:val="0"/>
          <w:bCs/>
          <w:color w:val="auto"/>
          <w:sz w:val="24"/>
          <w:szCs w:val="24"/>
          <w:highlight w:val="none"/>
        </w:rPr>
        <w:t xml:space="preserve">具体安置办法如下：</w:t>
      </w:r>
      <w:r/>
    </w:p>
    <w:p>
      <w:pPr>
        <w:ind w:firstLine="480"/>
        <w:jc w:val="left"/>
        <w:spacing w:line="360" w:lineRule="auto"/>
        <w:rPr>
          <w:rFonts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t xml:space="preserve">1</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聘用合同人员依据《劳动法》等及其他相关文件的规定，由中标公司一次性全员聘用，自聘用之日起，与原单位劳动关系依法终止，中标公司需与其依法签订新《劳动合同》，并按合同约定依法管理。在不违背国家相关法律法规的基础上，在员工自愿的前提下，全员接收且工资等于或高于原有标准。</w:t>
      </w:r>
      <w:r/>
    </w:p>
    <w:p>
      <w:pPr>
        <w:ind w:firstLine="0"/>
        <w:jc w:val="left"/>
        <w:spacing w:line="360" w:lineRule="auto"/>
        <w:rPr>
          <w:rFonts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t xml:space="preserve">  </w:t>
      </w:r>
      <w:r>
        <w:rPr>
          <w:rFonts w:ascii="SimSun" w:hAnsi="SimSun" w:eastAsia="SimSun" w:cs="SimSun"/>
          <w:color w:val="000000"/>
          <w:sz w:val="24"/>
        </w:rPr>
        <w:t xml:space="preserve">★</w:t>
      </w:r>
      <w:r>
        <w:rPr>
          <w:rFonts w:hint="eastAsia" w:ascii="宋体" w:hAnsi="宋体" w:cs="·ÂËÎ"/>
          <w:b w:val="0"/>
          <w:bCs/>
          <w:color w:val="auto"/>
          <w:sz w:val="24"/>
          <w:szCs w:val="24"/>
          <w:highlight w:val="none"/>
          <w:lang w:val="en-US" w:eastAsia="zh-CN"/>
        </w:rPr>
        <w:t xml:space="preserve">2</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参加社会保险情况和社会保险关系接续在市场化后，中标的环卫企业继续为适龄职工参加养老、失业、工伤、生育等各项社会保险，并按时足额缴纳各项社会保险费。积极做好职工社会保险关系的理顺和接续工作，切实保障职工的合法权益。</w:t>
      </w:r>
      <w:r/>
    </w:p>
    <w:p>
      <w:pPr>
        <w:ind w:firstLine="0"/>
        <w:jc w:val="left"/>
        <w:spacing w:line="360" w:lineRule="auto"/>
        <w:rPr>
          <w:rFonts w:hint="eastAsia"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r>
      <w:r>
        <w:rPr>
          <w:rFonts w:ascii="SimSun" w:hAnsi="SimSun" w:eastAsia="SimSun" w:cs="SimSun"/>
          <w:color w:val="000000"/>
          <w:sz w:val="24"/>
        </w:rPr>
        <w:t xml:space="preserve">  ★</w:t>
      </w:r>
      <w:r>
        <w:rPr>
          <w:rFonts w:hint="eastAsia" w:ascii="宋体" w:hAnsi="宋体" w:cs="·ÂËÎ"/>
          <w:b w:val="0"/>
          <w:bCs/>
          <w:color w:val="auto"/>
          <w:sz w:val="24"/>
          <w:szCs w:val="24"/>
          <w:highlight w:val="none"/>
          <w:lang w:val="en-US" w:eastAsia="zh-CN"/>
        </w:rPr>
        <w:t xml:space="preserve">3</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对已达到国家法定退休年龄的劳务用工人员，由中标公司全部接收，自接收之日起，与原单位雇</w:t>
      </w:r>
      <w:r>
        <w:rPr>
          <w:rFonts w:hint="eastAsia" w:ascii="宋体" w:hAnsi="宋体" w:cs="仿宋"/>
          <w:b w:val="0"/>
          <w:bCs/>
          <w:color w:val="auto"/>
          <w:sz w:val="24"/>
          <w:szCs w:val="24"/>
          <w:highlight w:val="none"/>
          <w:lang w:val="en-US" w:eastAsia="zh-CN"/>
        </w:rPr>
        <w:t xml:space="preserve">佣</w:t>
      </w:r>
      <w:r>
        <w:rPr>
          <w:rFonts w:hint="eastAsia" w:ascii="宋体" w:hAnsi="宋体" w:cs="仿宋"/>
          <w:b w:val="0"/>
          <w:bCs/>
          <w:color w:val="auto"/>
          <w:sz w:val="24"/>
          <w:szCs w:val="24"/>
          <w:highlight w:val="none"/>
        </w:rPr>
        <w:t xml:space="preserve">关系终止。中标公司每年必须为其购买意外伤害保险。</w:t>
      </w:r>
      <w:r/>
    </w:p>
    <w:p>
      <w:pPr>
        <w:ind w:firstLine="241"/>
        <w:jc w:val="left"/>
        <w:spacing w:line="360" w:lineRule="auto"/>
        <w:rPr>
          <w:rFonts w:hint="default" w:ascii="宋体" w:hAnsi="宋体" w:eastAsia="宋体" w:cs="仿宋"/>
          <w:b w:val="0"/>
          <w:bCs/>
          <w:color w:val="auto"/>
          <w:sz w:val="24"/>
          <w:szCs w:val="24"/>
          <w:highlight w:val="none"/>
          <w:lang w:val="en-US" w:eastAsia="zh-CN"/>
        </w:rPr>
      </w:pPr>
      <w:r>
        <w:rPr>
          <w:rFonts w:hint="eastAsia" w:ascii="宋体" w:hAnsi="宋体" w:eastAsia="宋体" w:cs="宋体"/>
          <w:b/>
          <w:bCs w:val="0"/>
          <w:sz w:val="24"/>
          <w:szCs w:val="32"/>
          <w:highlight w:val="none"/>
        </w:rPr>
        <w:t xml:space="preserve">★</w:t>
      </w:r>
      <w:r>
        <w:rPr>
          <w:rFonts w:hint="eastAsia" w:ascii="宋体" w:hAnsi="宋体" w:cs="仿宋"/>
          <w:b w:val="0"/>
          <w:bCs/>
          <w:color w:val="auto"/>
          <w:sz w:val="24"/>
          <w:szCs w:val="24"/>
          <w:highlight w:val="none"/>
          <w:lang w:val="en-US" w:eastAsia="zh-CN"/>
        </w:rPr>
        <w:t xml:space="preserve">4.</w:t>
      </w:r>
      <w:r>
        <w:rPr>
          <w:rFonts w:hint="eastAsia" w:ascii="宋体" w:hAnsi="宋体" w:cs="仿宋"/>
          <w:b w:val="0"/>
          <w:bCs/>
          <w:color w:val="auto"/>
          <w:sz w:val="24"/>
          <w:szCs w:val="24"/>
          <w:highlight w:val="none"/>
        </w:rPr>
        <w:t xml:space="preserve">工资待遇在现有基础上有所提高，且要按照“不低于宿迁最低工资标准的</w:t>
      </w:r>
      <w:r>
        <w:rPr>
          <w:rFonts w:ascii="宋体" w:hAnsi="宋体" w:cs="·ÂËÎ"/>
          <w:b w:val="0"/>
          <w:bCs/>
          <w:color w:val="auto"/>
          <w:sz w:val="24"/>
          <w:szCs w:val="24"/>
          <w:highlight w:val="none"/>
        </w:rPr>
        <w:t xml:space="preserve">110%</w:t>
      </w:r>
      <w:r>
        <w:rPr>
          <w:rFonts w:hint="eastAsia" w:ascii="宋体" w:hAnsi="宋体" w:cs="仿宋"/>
          <w:b w:val="0"/>
          <w:bCs/>
          <w:color w:val="auto"/>
          <w:sz w:val="24"/>
          <w:szCs w:val="24"/>
          <w:highlight w:val="none"/>
        </w:rPr>
        <w:t xml:space="preserve">建立工资正常增长机制”。一年内不得无故减员，确因机构改革增效减员的，必须按照国家法律政策妥善处置。</w:t>
      </w:r>
      <w:r/>
    </w:p>
    <w:p>
      <w:pPr>
        <w:pStyle w:val="1157"/>
        <w:ind w:firstLine="480"/>
        <w:spacing w:line="48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5、</w:t>
      </w:r>
      <w:r>
        <w:rPr>
          <w:rFonts w:hint="eastAsia" w:ascii="宋体" w:hAnsi="宋体" w:eastAsia="宋体" w:cs="宋体"/>
          <w:b w:val="0"/>
          <w:bCs w:val="0"/>
          <w:sz w:val="24"/>
          <w:szCs w:val="24"/>
          <w:highlight w:val="none"/>
        </w:rPr>
        <w:t xml:space="preserve">人员配置</w:t>
      </w:r>
      <w:r/>
    </w:p>
    <w:tbl>
      <w:tblPr>
        <w:tblStyle w:val="825"/>
        <w:tblW w:w="8188" w:type="dxa"/>
        <w:tblInd w:w="93" w:type="dxa"/>
        <w:tblLayout w:type="fixed"/>
        <w:tblCellMar>
          <w:left w:w="108" w:type="dxa"/>
          <w:top w:w="0" w:type="dxa"/>
          <w:right w:w="108" w:type="dxa"/>
          <w:bottom w:w="0" w:type="dxa"/>
        </w:tblCellMar>
        <w:tblLook w:val="04A0" w:firstRow="1" w:lastRow="0" w:firstColumn="1" w:lastColumn="0" w:noHBand="0" w:noVBand="1"/>
      </w:tblPr>
      <w:tblGrid>
        <w:gridCol w:w="2068"/>
        <w:gridCol w:w="2580"/>
        <w:gridCol w:w="2100"/>
        <w:gridCol w:w="1440"/>
      </w:tblGrid>
      <w:tr>
        <w:trPr>
          <w:trHeight w:val="44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地  点</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岗  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人  数</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合 计</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办公室</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副经理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车队长</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作业品质安全经理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维修主管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维修工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财务内勤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人事内勤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车辆内勤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仓库内勤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驾驶员机动岗</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吸污车司机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新庄镇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仰化镇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顺河街道</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侍岭片区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陆集街道</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来龙镇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关庙镇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丁嘴片区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大兴镇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63</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曹集乡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674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总  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474</w:t>
            </w:r>
            <w:r/>
          </w:p>
        </w:tc>
      </w:tr>
    </w:tbl>
    <w:p>
      <w:pPr>
        <w:ind w:firstLine="480"/>
        <w:spacing w:line="360" w:lineRule="auto"/>
        <w:rPr>
          <w:rFonts w:hint="eastAsia" w:ascii="宋体" w:hAnsi="宋体" w:eastAsia="宋体" w:cs="宋体"/>
          <w:bCs/>
          <w:sz w:val="24"/>
          <w:szCs w:val="24"/>
          <w:lang w:val="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车辆配置：</w:t>
      </w:r>
      <w:r/>
    </w:p>
    <w:tbl>
      <w:tblPr>
        <w:tblStyle w:val="825"/>
        <w:tblW w:w="7890" w:type="dxa"/>
        <w:tblInd w:w="93" w:type="dxa"/>
        <w:tblLayout w:type="fixed"/>
        <w:tblCellMar>
          <w:left w:w="108" w:type="dxa"/>
          <w:top w:w="0" w:type="dxa"/>
          <w:right w:w="108" w:type="dxa"/>
          <w:bottom w:w="0" w:type="dxa"/>
        </w:tblCellMar>
        <w:tblLook w:val="04A0" w:firstRow="1" w:lastRow="0" w:firstColumn="1" w:lastColumn="0" w:noHBand="0" w:noVBand="1"/>
      </w:tblPr>
      <w:tblGrid>
        <w:gridCol w:w="1875"/>
        <w:gridCol w:w="2318"/>
        <w:gridCol w:w="800"/>
        <w:gridCol w:w="700"/>
        <w:gridCol w:w="2197"/>
      </w:tblGrid>
      <w:tr>
        <w:trPr>
          <w:trHeight w:val="380"/>
        </w:trPr>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地点</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center"/>
              <w:widowControl/>
              <w:rPr>
                <w:rFonts w:hint="eastAsia" w:ascii="宋体" w:hAnsi="宋体" w:eastAsia="宋体" w:cs="宋体"/>
                <w:b/>
                <w:bCs/>
                <w:sz w:val="22"/>
                <w:lang w:val="en-US" w:eastAsia="zh-CN"/>
              </w:rPr>
            </w:pPr>
            <w:r>
              <w:rPr>
                <w:rFonts w:hint="eastAsia" w:ascii="宋体" w:hAnsi="宋体" w:eastAsia="宋体" w:cs="宋体"/>
                <w:b/>
                <w:bCs/>
                <w:sz w:val="22"/>
                <w:lang w:val="en-US" w:eastAsia="zh-CN" w:bidi="ar"/>
              </w:rPr>
              <w:t xml:space="preserve">技术参数及要求</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办公室</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电动两轮巡逻车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皮卡车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吸污车3吨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罐体有效容积：≥4m³；发动机功率≥110kW；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吸气量：≥15m³/min，吸程≥6m；吸污管：≥8m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吸污车5吨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罐体有效容积：≥6m³；发动机功率≥125kW；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吸气量：≥15m³/min，吸程≥6m；吸污管：≥8m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雪滚（应急保障）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最大除雪厚度：300mm作业速度：5~30km/h最大除雪效率：10500㎡/h清扫洁净率：≥95%</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雪铲（应急保障）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左右摆角：30±2度；避障高度≥150mm；铲刃材质 ：65Mn；最低作业温度：-30℃</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融雪盐撒播车（应急保障）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总质量不小于18000kg</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功率≥140kW</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料仓容积：≥10m³</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撒布宽度：2–12m，撒布量：融雪剂5–150g/㎡可调</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撒布盘：直径≥500mm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装载机1.2吨（应急保障）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额定载重量（kg)≥1.2吨；整机质量（kg)≥5.2吨；卸载高度（mm）≥3300；发动机功率 ≥55KW</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电动四轮后吊车（备用）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载荷能力：≧1500KG，备用车辆</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三轮高压冲洗车（备用）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载荷能力：≧1500KG，备用车辆</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新庄</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来龙</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大兴</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丁嘴</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顺河</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侍岭</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关庙</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仰化</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曹集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保安</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陆集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载荷能力：≧1500KG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rPr>
                <w:rFonts w:hint="eastAsia" w:ascii="宋体" w:hAnsi="宋体" w:eastAsia="宋体" w:cs="宋体"/>
                <w:b w:val="0"/>
                <w:bCs w:val="0"/>
                <w:sz w:val="24"/>
                <w:szCs w:val="24"/>
                <w:lang w:bidi="ar"/>
              </w:rPr>
              <w:t xml:space="preserve">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30" w:right="13"/>
              <w:spacing w:line="242" w:lineRule="auto"/>
              <w:rPr>
                <w:rFonts w:hint="eastAsia" w:ascii="宋体" w:hAnsi="宋体" w:eastAsia="宋体" w:cs="宋体"/>
                <w:b w:val="0"/>
                <w:bCs w:val="0"/>
                <w:spacing w:val="-9"/>
                <w:sz w:val="24"/>
                <w:szCs w:val="24"/>
                <w:highlight w:val="none"/>
                <w:lang w:val="zh-CN" w:bidi="zh-CN"/>
              </w:rPr>
            </w:pPr>
            <w:r>
              <w:rPr>
                <w:rFonts w:hint="eastAsia" w:ascii="宋体" w:hAnsi="宋体" w:eastAsia="宋体" w:cs="宋体"/>
                <w:b w:val="0"/>
                <w:bCs w:val="0"/>
                <w:spacing w:val="-4"/>
                <w:sz w:val="24"/>
                <w:szCs w:val="24"/>
                <w:highlight w:val="none"/>
                <w:lang w:val="zh-CN" w:bidi="zh-CN"/>
              </w:rPr>
              <w:t xml:space="preserve">注：</w:t>
            </w:r>
            <w:r>
              <w:rPr>
                <w:rFonts w:hint="eastAsia" w:ascii="宋体" w:hAnsi="宋体" w:eastAsia="宋体" w:cs="宋体"/>
                <w:b w:val="0"/>
                <w:bCs w:val="0"/>
                <w:spacing w:val="-8"/>
                <w:sz w:val="24"/>
                <w:szCs w:val="24"/>
                <w:highlight w:val="none"/>
                <w:lang w:val="zh-CN" w:bidi="zh-CN"/>
              </w:rPr>
              <w:t xml:space="preserve">1</w:t>
            </w:r>
            <w:r>
              <w:rPr>
                <w:rFonts w:hint="eastAsia" w:ascii="宋体" w:hAnsi="宋体" w:eastAsia="宋体" w:cs="宋体"/>
                <w:b w:val="0"/>
                <w:bCs w:val="0"/>
                <w:spacing w:val="-7"/>
                <w:sz w:val="24"/>
                <w:szCs w:val="24"/>
                <w:highlight w:val="none"/>
                <w:lang w:val="zh-CN" w:bidi="zh-CN"/>
              </w:rPr>
              <w:t xml:space="preserve">、</w:t>
            </w:r>
            <w:r>
              <w:rPr>
                <w:rFonts w:hint="eastAsia" w:ascii="宋体" w:hAnsi="宋体" w:eastAsia="宋体" w:cs="宋体"/>
                <w:b w:val="0"/>
                <w:bCs w:val="0"/>
                <w:spacing w:val="-9"/>
                <w:sz w:val="24"/>
                <w:szCs w:val="24"/>
                <w:highlight w:val="none"/>
                <w:lang w:val="zh-CN" w:bidi="zh-CN"/>
              </w:rPr>
              <w:t xml:space="preserve">以上车辆为本项目基本配置（车辆的维修、保养、折旧、使用费、保险等由</w:t>
            </w:r>
            <w:r>
              <w:rPr>
                <w:rFonts w:hint="eastAsia" w:ascii="宋体" w:hAnsi="宋体" w:eastAsia="宋体" w:cs="宋体"/>
                <w:b w:val="0"/>
                <w:bCs w:val="0"/>
                <w:spacing w:val="-9"/>
                <w:sz w:val="24"/>
                <w:szCs w:val="24"/>
                <w:highlight w:val="none"/>
                <w:lang w:bidi="zh-CN"/>
              </w:rPr>
              <w:t xml:space="preserve">投标人</w:t>
            </w:r>
            <w:r>
              <w:rPr>
                <w:rFonts w:hint="eastAsia" w:ascii="宋体" w:hAnsi="宋体" w:eastAsia="宋体" w:cs="宋体"/>
                <w:b w:val="0"/>
                <w:bCs w:val="0"/>
                <w:spacing w:val="-9"/>
                <w:sz w:val="24"/>
                <w:szCs w:val="24"/>
                <w:highlight w:val="none"/>
                <w:lang w:val="zh-CN" w:bidi="zh-CN"/>
              </w:rPr>
              <w:t xml:space="preserve">负责，采购人不再另行支付相关费用），需满足道路保洁、垃圾转运等日常需求，做到日产日清，不能造成垃圾堆积。投标人应充分考虑项目实际情况，防止出现车辆故障导致无法及时清理垃圾。</w:t>
            </w:r>
            <w:r/>
          </w:p>
          <w:p>
            <w:pPr>
              <w:numPr>
                <w:ilvl w:val="0"/>
                <w:numId w:val="6"/>
              </w:numPr>
              <w:ind w:left="30" w:right="13"/>
              <w:spacing w:line="242" w:lineRule="auto"/>
              <w:rPr>
                <w:rFonts w:hint="eastAsia" w:ascii="宋体" w:hAnsi="宋体" w:eastAsia="宋体" w:cs="宋体"/>
                <w:b w:val="0"/>
                <w:bCs w:val="0"/>
                <w:spacing w:val="-9"/>
                <w:sz w:val="24"/>
                <w:szCs w:val="24"/>
                <w:highlight w:val="none"/>
                <w:lang w:bidi="zh-CN"/>
              </w:rPr>
            </w:pPr>
            <w:r>
              <w:rPr>
                <w:rFonts w:hint="eastAsia" w:ascii="宋体" w:hAnsi="宋体" w:eastAsia="宋体" w:cs="宋体"/>
                <w:b w:val="0"/>
                <w:bCs w:val="0"/>
                <w:spacing w:val="-9"/>
                <w:sz w:val="24"/>
                <w:szCs w:val="24"/>
                <w:highlight w:val="none"/>
                <w:lang w:bidi="zh-CN"/>
              </w:rPr>
              <w:t xml:space="preserve">投标人</w:t>
            </w:r>
            <w:r>
              <w:rPr>
                <w:rFonts w:hint="eastAsia" w:ascii="宋体" w:hAnsi="宋体" w:eastAsia="宋体" w:cs="宋体"/>
                <w:b w:val="0"/>
                <w:bCs w:val="0"/>
                <w:spacing w:val="-9"/>
                <w:sz w:val="24"/>
                <w:szCs w:val="24"/>
                <w:highlight w:val="none"/>
                <w:lang w:val="zh-CN" w:bidi="zh-CN"/>
              </w:rPr>
              <w:t xml:space="preserve">提供的车辆</w:t>
            </w:r>
            <w:r>
              <w:rPr>
                <w:rFonts w:hint="eastAsia" w:ascii="宋体" w:hAnsi="宋体" w:eastAsia="宋体" w:cs="宋体"/>
                <w:b w:val="0"/>
                <w:bCs w:val="0"/>
                <w:spacing w:val="-9"/>
                <w:sz w:val="24"/>
                <w:szCs w:val="24"/>
                <w:highlight w:val="none"/>
                <w:lang w:bidi="zh-CN"/>
              </w:rPr>
              <w:t xml:space="preserve">应</w:t>
            </w:r>
            <w:r>
              <w:rPr>
                <w:rFonts w:hint="eastAsia" w:ascii="宋体" w:hAnsi="宋体" w:eastAsia="宋体" w:cs="宋体"/>
                <w:b w:val="0"/>
                <w:bCs w:val="0"/>
                <w:spacing w:val="-9"/>
                <w:sz w:val="24"/>
                <w:szCs w:val="24"/>
                <w:highlight w:val="none"/>
                <w:lang w:val="zh-CN" w:bidi="zh-CN"/>
              </w:rPr>
              <w:t xml:space="preserve">为自有购置车辆或租赁车辆（</w:t>
            </w:r>
            <w:r>
              <w:rPr>
                <w:rFonts w:hint="eastAsia" w:ascii="宋体" w:hAnsi="宋体" w:eastAsia="宋体" w:cs="宋体"/>
                <w:b w:val="0"/>
                <w:bCs w:val="0"/>
                <w:spacing w:val="-9"/>
                <w:sz w:val="24"/>
                <w:szCs w:val="24"/>
                <w:highlight w:val="none"/>
                <w:lang w:bidi="zh-CN"/>
              </w:rPr>
              <w:t xml:space="preserve">在合同履行期内投标人提供的车辆以行驶证初次上牌为准不超</w:t>
            </w:r>
            <w:r>
              <w:rPr>
                <w:rFonts w:hint="eastAsia" w:ascii="宋体" w:hAnsi="宋体" w:eastAsia="宋体" w:cs="宋体"/>
                <w:b w:val="0"/>
                <w:bCs w:val="0"/>
                <w:color w:val="000000" w:themeColor="text1"/>
                <w:spacing w:val="-9"/>
                <w:sz w:val="24"/>
                <w:szCs w:val="24"/>
                <w:highlight w:val="none"/>
                <w:lang w:bidi="zh-CN"/>
                <w14:textFill>
                  <w14:solidFill>
                    <w14:schemeClr w14:val="tx1"/>
                  </w14:solidFill>
                </w14:textFill>
              </w:rPr>
              <w:t xml:space="preserve">过四</w:t>
            </w:r>
            <w:r>
              <w:rPr>
                <w:rFonts w:hint="eastAsia" w:ascii="宋体" w:hAnsi="宋体" w:eastAsia="宋体" w:cs="宋体"/>
                <w:b w:val="0"/>
                <w:bCs w:val="0"/>
                <w:spacing w:val="-9"/>
                <w:sz w:val="24"/>
                <w:szCs w:val="24"/>
                <w:highlight w:val="none"/>
                <w:lang w:bidi="zh-CN"/>
              </w:rPr>
              <w:t xml:space="preserve">年，并提供</w:t>
            </w:r>
            <w:r>
              <w:rPr>
                <w:rFonts w:hint="eastAsia" w:ascii="宋体" w:hAnsi="宋体" w:eastAsia="宋体" w:cs="宋体"/>
                <w:b w:val="0"/>
                <w:bCs w:val="0"/>
                <w:sz w:val="24"/>
                <w:szCs w:val="24"/>
                <w:highlight w:val="none"/>
              </w:rPr>
              <w:t xml:space="preserve">车辆的购买发票或租赁合同</w:t>
            </w:r>
            <w:r>
              <w:rPr>
                <w:rFonts w:hint="eastAsia" w:ascii="宋体" w:hAnsi="宋体" w:cs="宋体"/>
                <w:b w:val="0"/>
                <w:bCs w:val="0"/>
                <w:sz w:val="24"/>
                <w:szCs w:val="24"/>
                <w:highlight w:val="none"/>
                <w:lang w:val="en-US" w:eastAsia="zh-CN"/>
              </w:rPr>
              <w:t xml:space="preserve">及行驶证</w:t>
            </w:r>
            <w:r>
              <w:rPr>
                <w:rFonts w:hint="eastAsia" w:ascii="宋体" w:hAnsi="宋体" w:eastAsia="宋体" w:cs="宋体"/>
                <w:b w:val="0"/>
                <w:bCs w:val="0"/>
                <w:spacing w:val="-9"/>
                <w:sz w:val="24"/>
                <w:szCs w:val="24"/>
                <w:highlight w:val="none"/>
                <w:lang w:bidi="zh-CN"/>
              </w:rPr>
              <w:t xml:space="preserve">）。</w:t>
            </w:r>
            <w:r/>
          </w:p>
          <w:p>
            <w:pPr>
              <w:numPr>
                <w:ilvl w:val="0"/>
                <w:numId w:val="6"/>
              </w:numPr>
              <w:ind w:left="30" w:right="13"/>
              <w:spacing w:line="242" w:lineRule="auto"/>
              <w:rPr>
                <w:rFonts w:hint="eastAsia" w:ascii="宋体" w:hAnsi="宋体" w:eastAsia="宋体" w:cs="宋体"/>
                <w:b w:val="0"/>
                <w:bCs w:val="0"/>
                <w:spacing w:val="-9"/>
                <w:sz w:val="24"/>
                <w:szCs w:val="24"/>
                <w:highlight w:val="none"/>
                <w:lang w:bidi="zh-CN"/>
              </w:rPr>
            </w:pPr>
            <w:r>
              <w:rPr>
                <w:rFonts w:hint="eastAsia" w:ascii="宋体" w:hAnsi="宋体" w:eastAsia="宋体" w:cs="宋体"/>
                <w:b w:val="0"/>
                <w:bCs w:val="0"/>
                <w:spacing w:val="-3"/>
                <w:sz w:val="24"/>
                <w:szCs w:val="24"/>
                <w:highlight w:val="none"/>
                <w:lang w:val="en-US" w:bidi="zh-CN"/>
              </w:rPr>
              <w:t xml:space="preserve">如中标人新购置车辆拟投入本项目的，拟投入的新能源车辆不低于新购置车辆总数的30%；如为租赁车辆的，提倡优先采用新能源车辆。</w:t>
            </w:r>
            <w:r/>
          </w:p>
          <w:p>
            <w:pPr>
              <w:ind w:left="30" w:right="13"/>
              <w:spacing w:line="242" w:lineRule="auto"/>
              <w:rPr>
                <w:rFonts w:hint="eastAsia" w:ascii="宋体" w:hAnsi="宋体" w:eastAsia="宋体" w:cs="宋体"/>
                <w:b w:val="0"/>
                <w:bCs w:val="0"/>
                <w:spacing w:val="-9"/>
                <w:sz w:val="24"/>
                <w:szCs w:val="24"/>
                <w:highlight w:val="none"/>
                <w:lang w:val="zh-CN" w:bidi="zh-CN"/>
              </w:rPr>
            </w:pPr>
            <w:r>
              <w:rPr>
                <w:rFonts w:hint="eastAsia" w:ascii="宋体" w:hAnsi="宋体" w:eastAsia="宋体" w:cs="宋体"/>
                <w:b w:val="0"/>
                <w:bCs w:val="0"/>
                <w:spacing w:val="-9"/>
                <w:sz w:val="24"/>
                <w:szCs w:val="24"/>
                <w:highlight w:val="none"/>
                <w:lang w:val="en-US" w:bidi="zh-CN"/>
              </w:rPr>
              <w:t xml:space="preserve">4</w:t>
            </w:r>
            <w:r>
              <w:rPr>
                <w:rFonts w:hint="eastAsia" w:ascii="宋体" w:hAnsi="宋体" w:eastAsia="宋体" w:cs="宋体"/>
                <w:b w:val="0"/>
                <w:bCs w:val="0"/>
                <w:spacing w:val="-9"/>
                <w:sz w:val="24"/>
                <w:szCs w:val="24"/>
                <w:highlight w:val="none"/>
                <w:lang w:val="zh-CN" w:bidi="zh-CN"/>
              </w:rPr>
              <w:t xml:space="preserve">、负责环卫各类机械化作业车辆（清扫、清洗、保洁、洒水、冲洗、降尘、垃圾清运）的配备优化、迭代更新、维修保养与常态化管理。</w:t>
            </w:r>
            <w:r/>
          </w:p>
          <w:p>
            <w:pPr>
              <w:jc w:val="left"/>
              <w:rPr>
                <w:rFonts w:hint="eastAsia" w:ascii="宋体" w:hAnsi="宋体" w:eastAsia="宋体" w:cs="宋体"/>
                <w:b w:val="0"/>
                <w:bCs w:val="0"/>
                <w:spacing w:val="-3"/>
                <w:sz w:val="24"/>
                <w:szCs w:val="24"/>
                <w:highlight w:val="none"/>
                <w:lang w:val="zh-CN" w:bidi="zh-CN"/>
              </w:rPr>
            </w:pPr>
            <w:r>
              <w:rPr>
                <w:rFonts w:hint="eastAsia" w:ascii="宋体" w:hAnsi="宋体" w:eastAsia="宋体" w:cs="宋体"/>
                <w:b w:val="0"/>
                <w:bCs w:val="0"/>
                <w:spacing w:val="-3"/>
                <w:sz w:val="24"/>
                <w:szCs w:val="24"/>
                <w:highlight w:val="none"/>
                <w:lang w:val="en-US" w:bidi="zh-CN"/>
              </w:rPr>
              <w:t xml:space="preserve">5</w:t>
            </w:r>
            <w:r>
              <w:rPr>
                <w:rFonts w:hint="eastAsia" w:ascii="宋体" w:hAnsi="宋体" w:eastAsia="宋体" w:cs="宋体"/>
                <w:b w:val="0"/>
                <w:bCs w:val="0"/>
                <w:spacing w:val="-3"/>
                <w:sz w:val="24"/>
                <w:szCs w:val="24"/>
                <w:highlight w:val="none"/>
                <w:lang w:val="zh-CN" w:bidi="zh-CN"/>
              </w:rPr>
              <w:t xml:space="preserve">、所有投入使用的</w:t>
            </w:r>
            <w:r>
              <w:rPr>
                <w:rFonts w:hint="eastAsia" w:ascii="宋体" w:hAnsi="宋体" w:eastAsia="宋体" w:cs="宋体"/>
                <w:b w:val="0"/>
                <w:bCs w:val="0"/>
                <w:spacing w:val="-3"/>
                <w:sz w:val="24"/>
                <w:szCs w:val="24"/>
                <w:highlight w:val="none"/>
                <w:lang w:bidi="zh-CN"/>
              </w:rPr>
              <w:t xml:space="preserve">大型</w:t>
            </w:r>
            <w:r>
              <w:rPr>
                <w:rFonts w:hint="eastAsia" w:ascii="宋体" w:hAnsi="宋体" w:eastAsia="宋体" w:cs="宋体"/>
                <w:b w:val="0"/>
                <w:bCs w:val="0"/>
                <w:spacing w:val="-3"/>
                <w:sz w:val="24"/>
                <w:szCs w:val="24"/>
                <w:highlight w:val="none"/>
                <w:lang w:val="zh-CN" w:bidi="zh-CN"/>
              </w:rPr>
              <w:t xml:space="preserve">环卫车辆设备要安装视频监控和GPS，</w:t>
            </w:r>
            <w:r>
              <w:rPr>
                <w:rFonts w:hint="eastAsia" w:ascii="宋体" w:hAnsi="宋体" w:eastAsia="宋体" w:cs="宋体"/>
                <w:b w:val="0"/>
                <w:bCs w:val="0"/>
                <w:spacing w:val="-3"/>
                <w:sz w:val="24"/>
                <w:szCs w:val="24"/>
                <w:highlight w:val="none"/>
                <w:lang w:bidi="zh-CN"/>
              </w:rPr>
              <w:t xml:space="preserve">搭建智慧平台，</w:t>
            </w:r>
            <w:r>
              <w:rPr>
                <w:rFonts w:hint="eastAsia" w:ascii="宋体" w:hAnsi="宋体" w:eastAsia="宋体" w:cs="宋体"/>
                <w:b w:val="0"/>
                <w:bCs w:val="0"/>
                <w:spacing w:val="-3"/>
                <w:sz w:val="24"/>
                <w:szCs w:val="24"/>
                <w:highlight w:val="none"/>
                <w:lang w:val="zh-CN" w:bidi="zh-CN"/>
              </w:rPr>
              <w:t xml:space="preserve">做好监管。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6、以上所有设备提供满足上述要求承诺函，格式自拟。中标后15日内对投入项目设备进行验收。</w:t>
            </w:r>
            <w:r/>
            <w:r>
              <w:rPr>
                <w:rFonts w:hint="eastAsia" w:ascii="宋体" w:hAnsi="宋体" w:eastAsia="宋体" w:cs="宋体"/>
                <w:b w:val="0"/>
                <w:bCs w:val="0"/>
                <w:spacing w:val="-3"/>
                <w:sz w:val="24"/>
                <w:szCs w:val="24"/>
                <w:highlight w:val="none"/>
                <w:lang w:val="zh-CN" w:bidi="zh-CN"/>
              </w:rPr>
            </w:r>
            <w:r>
              <w:rPr>
                <w:rFonts w:hint="eastAsia" w:ascii="宋体" w:hAnsi="宋体" w:eastAsia="宋体" w:cs="宋体"/>
                <w:b w:val="0"/>
                <w:bCs w:val="0"/>
                <w:spacing w:val="-3"/>
                <w:sz w:val="24"/>
                <w:szCs w:val="24"/>
                <w:highlight w:val="none"/>
                <w:lang w:val="zh-CN" w:bidi="zh-CN"/>
              </w:rPr>
            </w:r>
            <w:r>
              <w:rPr>
                <w:sz w:val="21"/>
              </w:rPr>
            </w:r>
          </w:p>
          <w:p>
            <w:pPr>
              <w:jc w:val="left"/>
              <w:rPr>
                <w:rFonts w:hint="eastAsia" w:ascii="宋体" w:hAnsi="宋体" w:eastAsia="宋体" w:cs="宋体"/>
                <w:b w:val="0"/>
                <w:bCs w:val="0"/>
                <w:spacing w:val="-3"/>
                <w:sz w:val="24"/>
                <w:szCs w:val="24"/>
                <w:highlight w:val="none"/>
                <w:lang w:val="en-US" w:bidi="zh-CN"/>
              </w:rPr>
            </w:pPr>
            <w:r>
              <w:rPr>
                <w:rFonts w:hint="eastAsia" w:ascii="宋体" w:hAnsi="宋体" w:eastAsia="宋体" w:cs="宋体"/>
                <w:b w:val="0"/>
                <w:bCs w:val="0"/>
                <w:spacing w:val="-3"/>
                <w:sz w:val="24"/>
                <w:szCs w:val="24"/>
                <w:highlight w:val="none"/>
                <w:lang w:val="en-US" w:bidi="zh-CN"/>
              </w:rPr>
              <w:t xml:space="preserve">7</w:t>
            </w:r>
            <w:r>
              <w:rPr>
                <w:rFonts w:hint="eastAsia" w:ascii="宋体" w:hAnsi="宋体" w:eastAsia="宋体" w:cs="宋体"/>
                <w:b w:val="0"/>
                <w:bCs w:val="0"/>
                <w:spacing w:val="-3"/>
                <w:sz w:val="24"/>
                <w:szCs w:val="24"/>
                <w:highlight w:val="none"/>
                <w:lang w:bidi="zh-CN"/>
              </w:rPr>
              <w:t xml:space="preserve">、以上所有设备产权归中标人所有。</w:t>
            </w:r>
            <w:r/>
          </w:p>
        </w:tc>
      </w:tr>
    </w:tbl>
    <w:p>
      <w:pPr>
        <w:pStyle w:val="1157"/>
        <w:ind w:firstLine="482"/>
        <w:spacing w:line="480" w:lineRule="exact"/>
        <w:rPr>
          <w:rFonts w:hint="eastAsia" w:ascii="宋体" w:hAnsi="宋体" w:eastAsia="宋体" w:cs="宋体"/>
          <w:b/>
          <w:bCs/>
          <w:sz w:val="24"/>
          <w:szCs w:val="24"/>
        </w:rPr>
      </w:pPr>
      <w:r>
        <w:rPr>
          <w:rFonts w:hint="eastAsia" w:ascii="宋体" w:hAnsi="宋体" w:eastAsia="宋体" w:cs="宋体"/>
          <w:b/>
          <w:sz w:val="24"/>
          <w:szCs w:val="32"/>
        </w:rPr>
        <w:t xml:space="preserve">八、</w:t>
      </w:r>
      <w:r>
        <w:rPr>
          <w:rFonts w:hint="eastAsia" w:ascii="宋体" w:hAnsi="宋体" w:eastAsia="宋体" w:cs="宋体"/>
          <w:b/>
          <w:bCs/>
          <w:sz w:val="24"/>
          <w:szCs w:val="24"/>
        </w:rPr>
        <w:t xml:space="preserve">环卫保洁市场化考核和管理机制</w:t>
      </w:r>
      <w:r/>
    </w:p>
    <w:p>
      <w:pPr>
        <w:pStyle w:val="11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采购人负责建立统一的管理和服务标准，实施环卫服务的考核监督和处罚。同时，采购人负责指导、管理以及考核中标人的服务工作，中标人根据采购人的要求进行环卫保洁，需满足日常环卫保洁需求。</w:t>
      </w:r>
      <w:r/>
    </w:p>
    <w:p>
      <w:pPr>
        <w:pStyle w:val="1157"/>
        <w:ind w:firstLine="482"/>
        <w:spacing w:line="480" w:lineRule="exact"/>
        <w:rPr>
          <w:rFonts w:hint="eastAsia" w:ascii="宋体" w:hAnsi="宋体" w:eastAsia="宋体" w:cs="宋体"/>
          <w:b/>
          <w:bCs/>
          <w:sz w:val="24"/>
          <w:szCs w:val="24"/>
        </w:rPr>
      </w:pPr>
      <w:r>
        <w:rPr>
          <w:rFonts w:hint="eastAsia" w:ascii="宋体" w:hAnsi="宋体" w:eastAsia="宋体" w:cs="宋体"/>
          <w:b/>
          <w:sz w:val="24"/>
          <w:szCs w:val="32"/>
        </w:rPr>
        <w:t xml:space="preserve">九、</w:t>
      </w:r>
      <w:r>
        <w:rPr>
          <w:rFonts w:hint="eastAsia" w:ascii="宋体" w:hAnsi="宋体" w:eastAsia="宋体" w:cs="宋体"/>
          <w:b/>
          <w:bCs/>
          <w:sz w:val="24"/>
          <w:szCs w:val="24"/>
        </w:rPr>
        <w:t xml:space="preserve">考核 </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1、考核方式与权重</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本项目由采购人与各乡镇联合开展月度考核，考核结果作为支付中标人服务经费、实施奖惩的主要依据。</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考核总分：100 分</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权重分配：乡镇评分占 60%，宿豫区城管局评分占 40%</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2、考核与违约责任及服务费扣减规则（按单个乡镇计算）</w:t>
      </w:r>
      <w:r/>
    </w:p>
    <w:tbl>
      <w:tblPr>
        <w:tblStyle w:val="848"/>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2070"/>
        <w:gridCol w:w="2377"/>
        <w:gridCol w:w="2258"/>
      </w:tblGrid>
      <w:tr>
        <w:trPr/>
        <w:tc>
          <w:tcPr>
            <w:tcW w:w="1944"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考核类型</w:t>
            </w:r>
            <w:r/>
          </w:p>
        </w:tc>
        <w:tc>
          <w:tcPr>
            <w:tcW w:w="2070" w:type="dxa"/>
            <w:vAlign w:val="center"/>
            <w:textDirection w:val="lrTb"/>
            <w:noWrap w:val="false"/>
          </w:tcPr>
          <w:p>
            <w:pPr>
              <w:pStyle w:val="1157"/>
              <w:jc w:val="center"/>
              <w:spacing w:after="0" w:line="32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得分条件（按单个乡镇计算）</w:t>
            </w:r>
            <w:r/>
          </w:p>
        </w:tc>
        <w:tc>
          <w:tcPr>
            <w:tcW w:w="2377"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处理方式</w:t>
            </w:r>
            <w:r/>
          </w:p>
        </w:tc>
        <w:tc>
          <w:tcPr>
            <w:tcW w:w="2258"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备注</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月度常规考核</w:t>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得分≥90 分（含）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不扣减当月对应乡镇的服务费。</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得分＜90 分</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每低 0.1 分，扣减对应乡镇当月服务费 500 元。</w:t>
            </w:r>
            <w:r/>
          </w:p>
        </w:tc>
        <w:tc>
          <w:tcPr>
            <w:tcW w:w="2258" w:type="dxa"/>
            <w:vAlign w:val="center"/>
            <w:textDirection w:val="lrTb"/>
            <w:noWrap w:val="false"/>
          </w:tcPr>
          <w:p>
            <w:pPr>
              <w:pStyle w:val="1157"/>
              <w:spacing w:after="0" w:line="320" w:lineRule="exact"/>
              <w:rPr>
                <w:rFonts w:hint="eastAsia" w:ascii="宋体" w:hAnsi="宋体" w:eastAsia="宋体" w:cs="宋体"/>
                <w:sz w:val="24"/>
                <w:szCs w:val="24"/>
              </w:rPr>
            </w:pPr>
            <w:r>
              <w:rPr>
                <w:rFonts w:hint="eastAsia" w:ascii="宋体" w:hAnsi="宋体" w:eastAsia="宋体" w:cs="宋体"/>
                <w:sz w:val="24"/>
                <w:szCs w:val="24"/>
              </w:rPr>
              <w:t xml:space="preserve">示例：新庄镇当月考评得分89分，扣减服务费5000元；仰化镇当月考评得分88分，扣减服务费10000元；两镇合计扣减服务费15000元。</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严重违约考核</w:t>
            </w:r>
            <w:r/>
          </w:p>
        </w:tc>
        <w:tc>
          <w:tcPr>
            <w:tcW w:w="2070" w:type="dxa"/>
            <w:vAlign w:val="center"/>
            <w:textDirection w:val="lrTb"/>
            <w:noWrap w:val="false"/>
          </w:tcPr>
          <w:p>
            <w:pPr>
              <w:pStyle w:val="1157"/>
              <w:spacing w:after="0" w:line="3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单次得分＜60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扣除中标人年中标总额的</w:t>
            </w:r>
            <w:r>
              <w:rPr>
                <w:rFonts w:hint="eastAsia" w:ascii="宋体" w:hAnsi="宋体" w:eastAsia="宋体" w:cs="宋体"/>
                <w:b w:val="0"/>
                <w:bCs w:val="0"/>
                <w:sz w:val="24"/>
                <w:szCs w:val="24"/>
                <w:highlight w:val="none"/>
                <w:lang w:val="en-US" w:eastAsia="zh-CN"/>
              </w:rPr>
              <w:t xml:space="preserve">20</w:t>
            </w:r>
            <w:r>
              <w:rPr>
                <w:rFonts w:hint="eastAsia" w:ascii="宋体" w:hAnsi="宋体" w:eastAsia="宋体" w:cs="宋体"/>
                <w:b w:val="0"/>
                <w:bCs w:val="0"/>
                <w:sz w:val="24"/>
                <w:szCs w:val="24"/>
                <w:highlight w:val="none"/>
              </w:rPr>
              <w:t xml:space="preserve">%</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连续两次得分＜60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对中标人进行约谈，并扣除年中标总额的 40%</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连续三次及以上得分＜60 分（不含）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采购人有权要求中标人直接退场</w:t>
            </w:r>
            <w:r/>
          </w:p>
        </w:tc>
        <w:tc>
          <w:tcPr>
            <w:tcW w:w="2258" w:type="dxa"/>
            <w:vAlign w:val="center"/>
            <w:textDirection w:val="lrTb"/>
            <w:noWrap w:val="false"/>
          </w:tcPr>
          <w:p>
            <w:pPr>
              <w:pStyle w:val="1157"/>
              <w:spacing w:after="0" w:line="320" w:lineRule="exact"/>
              <w:rPr>
                <w:rFonts w:hint="eastAsia" w:ascii="宋体" w:hAnsi="宋体" w:eastAsia="宋体" w:cs="宋体"/>
                <w:sz w:val="24"/>
                <w:szCs w:val="24"/>
              </w:rPr>
            </w:pPr>
            <w:r>
              <w:rPr>
                <w:rFonts w:hint="eastAsia" w:ascii="宋体" w:hAnsi="宋体" w:eastAsia="宋体" w:cs="宋体"/>
                <w:sz w:val="24"/>
                <w:szCs w:val="24"/>
              </w:rPr>
              <w:t xml:space="preserve">全部损失由中标人承担，中标人不得主张相关权益</w:t>
            </w:r>
            <w:r/>
          </w:p>
        </w:tc>
      </w:tr>
    </w:tbl>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考核细则见附件1。</w:t>
      </w:r>
      <w:r/>
    </w:p>
    <w:p>
      <w:pPr>
        <w:pStyle w:val="1157"/>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十、项目到期移交</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中标人在服务期内自行承担风险，负责本合同项下的服务、管理，服务期满后，移交方案如下：（1）项目服务期届满2个月前，采购人、中标人双方共同成立移交小组，移交工作小组在双方确定的时间内，举行会谈并商定项目设施移交的详尽程序、缺陷修改计划以及移交范围的详细清单。（2）正式接收前，在中标人工作期间所产生的与中标人关联的劳动纠纷、安全责任、以及其他关联的责任事务，均由中标人全面负责并承担。</w:t>
      </w:r>
      <w:r/>
    </w:p>
    <w:p>
      <w:pPr>
        <w:pStyle w:val="1157"/>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十一、项目实施方案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投标人根据项目情况及服务要求的内容为基础，编制详细的服务管理整体方案；</w:t>
      </w:r>
      <w:r>
        <w:rPr>
          <w:rFonts w:hint="eastAsia" w:ascii="宋体" w:hAnsi="宋体" w:eastAsia="宋体" w:cs="宋体"/>
          <w:b w:val="0"/>
          <w:bCs w:val="0"/>
          <w:sz w:val="24"/>
          <w:szCs w:val="32"/>
          <w:highlight w:val="none"/>
        </w:rPr>
        <w:t xml:space="preserve">清扫保洁</w:t>
      </w:r>
      <w:r>
        <w:rPr>
          <w:rFonts w:hint="eastAsia" w:ascii="宋体" w:hAnsi="宋体" w:eastAsia="宋体" w:cs="宋体"/>
          <w:b w:val="0"/>
          <w:bCs w:val="0"/>
          <w:sz w:val="24"/>
          <w:szCs w:val="32"/>
          <w:highlight w:val="none"/>
          <w:lang w:eastAsia="zh-CN"/>
        </w:rPr>
        <w:t xml:space="preserve">（</w:t>
      </w:r>
      <w:r>
        <w:rPr>
          <w:rFonts w:hint="eastAsia" w:ascii="宋体" w:hAnsi="宋体" w:cs="宋体"/>
          <w:b w:val="0"/>
          <w:bCs w:val="0"/>
          <w:sz w:val="24"/>
          <w:szCs w:val="32"/>
          <w:highlight w:val="none"/>
          <w:lang w:val="en-US" w:eastAsia="zh-CN"/>
        </w:rPr>
        <w:t xml:space="preserve">道路、</w:t>
      </w:r>
      <w:r>
        <w:rPr>
          <w:rFonts w:hint="eastAsia" w:ascii="宋体" w:hAnsi="宋体" w:eastAsia="宋体" w:cs="宋体"/>
          <w:b w:val="0"/>
          <w:bCs w:val="0"/>
          <w:sz w:val="24"/>
          <w:szCs w:val="32"/>
          <w:highlight w:val="none"/>
          <w:lang w:val="en-US" w:eastAsia="zh-CN"/>
        </w:rPr>
        <w:t xml:space="preserve">绿化带）</w:t>
      </w:r>
      <w:r>
        <w:rPr>
          <w:rFonts w:hint="eastAsia" w:ascii="宋体" w:hAnsi="宋体" w:eastAsia="宋体" w:cs="宋体"/>
          <w:b w:val="0"/>
          <w:bCs w:val="0"/>
          <w:sz w:val="24"/>
          <w:szCs w:val="32"/>
          <w:highlight w:val="none"/>
        </w:rPr>
        <w:t xml:space="preserve">方案及垃圾收集、清运方案；垃圾中专站运营管理方案</w:t>
      </w:r>
      <w:r>
        <w:rPr>
          <w:rFonts w:hint="eastAsia" w:ascii="宋体" w:hAnsi="宋体" w:cs="宋体"/>
          <w:b w:val="0"/>
          <w:bCs w:val="0"/>
          <w:sz w:val="24"/>
          <w:szCs w:val="32"/>
          <w:highlight w:val="none"/>
          <w:lang w:eastAsia="zh-CN"/>
        </w:rPr>
        <w:t xml:space="preserve">；公厕的运营管理</w:t>
      </w:r>
      <w:r>
        <w:rPr>
          <w:rFonts w:hint="eastAsia" w:ascii="宋体" w:hAnsi="宋体" w:cs="宋体"/>
          <w:b w:val="0"/>
          <w:bCs w:val="0"/>
          <w:sz w:val="24"/>
          <w:szCs w:val="32"/>
          <w:highlight w:val="none"/>
          <w:lang w:val="en-US" w:eastAsia="zh-CN"/>
        </w:rPr>
        <w:t xml:space="preserve">方案；</w:t>
      </w:r>
      <w:r>
        <w:rPr>
          <w:rFonts w:hint="eastAsia" w:ascii="宋体" w:hAnsi="宋体" w:eastAsia="宋体" w:cs="宋体"/>
          <w:sz w:val="24"/>
          <w:szCs w:val="32"/>
        </w:rPr>
        <w:t xml:space="preserve">应急保障机制；管理规章制度；进退场交接方案；运营车辆维护、管理方案；拟投入设备方案。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1、服务管理整体方案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针对本项目整体分析，管理模式，安全保障，管理理念、计划，总体模式及配套措施完整、细致等内容进行详尽描述。</w:t>
      </w:r>
      <w:r/>
    </w:p>
    <w:p>
      <w:pPr>
        <w:pStyle w:val="1157"/>
        <w:ind w:firstLine="480"/>
        <w:spacing w:line="480" w:lineRule="exact"/>
        <w:rPr>
          <w:rFonts w:hint="eastAsia" w:ascii="宋体" w:hAnsi="宋体" w:eastAsia="宋体" w:cs="宋体"/>
          <w:b/>
          <w:bCs/>
          <w:sz w:val="24"/>
          <w:szCs w:val="32"/>
          <w:highlight w:val="yellow"/>
        </w:rPr>
      </w:pPr>
      <w:r>
        <w:rPr>
          <w:rFonts w:hint="eastAsia" w:ascii="宋体" w:hAnsi="宋体" w:eastAsia="宋体" w:cs="宋体"/>
          <w:sz w:val="24"/>
          <w:szCs w:val="32"/>
        </w:rPr>
        <w:t xml:space="preserve">2、</w:t>
      </w:r>
      <w:r>
        <w:rPr>
          <w:rFonts w:hint="eastAsia" w:ascii="宋体" w:hAnsi="宋体" w:cs="宋体"/>
          <w:b w:val="0"/>
          <w:bCs w:val="0"/>
          <w:sz w:val="24"/>
          <w:szCs w:val="32"/>
          <w:highlight w:val="none"/>
          <w:lang w:val="en-US" w:eastAsia="zh-CN"/>
        </w:rPr>
        <w:t xml:space="preserve">道路、绿化带</w:t>
      </w:r>
      <w:r>
        <w:rPr>
          <w:rFonts w:hint="eastAsia" w:ascii="宋体" w:hAnsi="宋体" w:eastAsia="宋体" w:cs="宋体"/>
          <w:b w:val="0"/>
          <w:bCs w:val="0"/>
          <w:sz w:val="24"/>
          <w:szCs w:val="32"/>
          <w:highlight w:val="none"/>
        </w:rPr>
        <w:t xml:space="preserve">清扫保洁方案及垃圾收集、清运方案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根据道路等级，从机械化作业时间、频次、机械化覆盖率及路面感官量化对方案进行细化，对本项目重难点分析及应对措施。</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eastAsia="宋体" w:cs="宋体"/>
          <w:sz w:val="24"/>
          <w:szCs w:val="32"/>
        </w:rPr>
        <w:t xml:space="preserve">垃圾中</w:t>
      </w:r>
      <w:r>
        <w:rPr>
          <w:rFonts w:hint="eastAsia" w:ascii="宋体" w:hAnsi="宋体" w:cs="宋体"/>
          <w:sz w:val="24"/>
          <w:szCs w:val="32"/>
          <w:lang w:val="en-US" w:eastAsia="zh-CN"/>
        </w:rPr>
        <w:t xml:space="preserve">转</w:t>
      </w:r>
      <w:r>
        <w:rPr>
          <w:rFonts w:hint="eastAsia" w:ascii="宋体" w:hAnsi="宋体" w:eastAsia="宋体" w:cs="宋体"/>
          <w:sz w:val="24"/>
          <w:szCs w:val="32"/>
        </w:rPr>
        <w:t xml:space="preserve">站运营管理方案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投标人根据采购需求中的要求及标准，制定项目实施过程中各项工作的安排、工序管理措施、各项工作的质量保证措施等内容。</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w:t>
      </w:r>
      <w:r>
        <w:rPr>
          <w:rFonts w:hint="eastAsia" w:ascii="宋体" w:hAnsi="宋体" w:eastAsia="宋体" w:cs="宋体"/>
          <w:sz w:val="24"/>
          <w:szCs w:val="32"/>
        </w:rPr>
        <w:t xml:space="preserve">公厕的运营管理</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投标人根据采购需求中的要求及标准，制定项目实施过程中各项工作的安排、工序管理措施、各项工作的质量保证措施等内容。</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5、应急保障机制</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重大活动安全应急预案、本地气候特点及其他突发事件等有相对完善的组织机构和应急预案等内容进行详尽描述。例如文明创建等重要工作时，及时落实各项工作，确保作业质量的具体方案，以及道路灾害天气应急预案及其它应急抢险方案（含台风天气、暴雨天气、冰雪天气、冰冻、纠纷处置应急预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6、管理规章制度</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对本项目人员培训与岗位管理制度、待遇绩效考核制度、档案管理制度等内容进行详尽描述。</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7、进退场交接方案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针对本项目进退场交接过渡工作、保障措施、策划安排等内容进行详尽描述。</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8、拟投入设备方案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对本项目提供设备投入计划方案（含具体配置内容及要求）等内容进行详尽描述。</w:t>
      </w:r>
      <w:r/>
    </w:p>
    <w:p>
      <w:pPr>
        <w:ind w:firstLine="480"/>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十二、验收</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1.符合采购人有关要求，符合项目验收标准后，采购人</w:t>
      </w:r>
      <w:r>
        <w:rPr>
          <w:rFonts w:hint="eastAsia" w:hAnsi="宋体" w:cs="宋体"/>
          <w:bCs/>
          <w:sz w:val="24"/>
          <w:szCs w:val="24"/>
          <w:lang w:val="en-US" w:eastAsia="zh-CN"/>
        </w:rPr>
        <w:t xml:space="preserve">3</w:t>
      </w:r>
      <w:r>
        <w:rPr>
          <w:rFonts w:hint="eastAsia" w:ascii="宋体" w:hAnsi="宋体" w:eastAsia="宋体" w:cs="宋体"/>
          <w:bCs/>
          <w:sz w:val="24"/>
          <w:szCs w:val="24"/>
        </w:rPr>
        <w:t xml:space="preserve">个工作日内组织验收，并出具验收书；采购人依法组织履约验收工作。</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3.对于实际使用人和采购人分离的项目，采购人邀请实际使用人参与验收。</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4.如有必要，采购人邀请参加本项目的其他供应商或第三方专业机构及专家参与验收，相关意见将作为验收书的参考资料。</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ind w:firstLine="480"/>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十三、</w:t>
      </w:r>
      <w:r>
        <w:rPr>
          <w:rFonts w:hint="eastAsia" w:ascii="宋体" w:hAnsi="宋体" w:eastAsia="宋体" w:cs="宋体"/>
          <w:b/>
          <w:bCs/>
          <w:sz w:val="24"/>
          <w:szCs w:val="32"/>
        </w:rPr>
        <w:t xml:space="preserve">其他</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本项目不接受备选的实施方案或有选择的报价，只允许有一个报价。报价内容包括：完成本项工作所需的人员工资（不得低于宿迁市现行最低工资标准的110%）及加班费（含节假日）、社保、高温补贴、过节费服装费等补助和福利费、道路等公共区域（服务范围内的道路、人行道、垃圾收集点及村（</w:t>
      </w:r>
      <w:r>
        <w:rPr>
          <w:rFonts w:hint="eastAsia" w:ascii="宋体" w:hAnsi="宋体" w:eastAsia="宋体" w:cs="宋体"/>
          <w:sz w:val="24"/>
          <w:szCs w:val="32"/>
        </w:rPr>
        <w:t xml:space="preserve">社区）等）、公厕、环卫设施管护（含垃圾箱、果壳箱、及其他垃圾容器）清洗消毒保洁（包括人工清扫保洁，机械清扫保洁、步道清洗，护栏清洗及小广告清除），垃圾中转站管理运维等、垃圾收集运输分类费用、技术服务措施费、车辆（含折旧、年审保险、维修保养、油费、使用费）、保洁耗材（扫把、铁锹、垃圾袋等）、垃圾前端收集运输（含装车及运至中转站）、冬季除雪（含设备、融雪剂、人工）、重大活动及应急保障、管理费及合理利润。与项目相关的评审费、审核费、论证费、以及其他有关项目管理费用、税金等完成本项目所涉及到的一切招标投标相关费用。</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2、为保证服务队伍的整体素质和相对稳定性，投标人应充分考虑管理和服务人员的工资待遇。投标人要综合考虑宿迁劳动市场因素，激发员工积极性，不同岗位合理分配工资。</w:t>
      </w:r>
      <w:r/>
    </w:p>
    <w:p>
      <w:pPr>
        <w:pStyle w:val="1157"/>
        <w:ind w:firstLine="480"/>
        <w:spacing w:line="480" w:lineRule="exact"/>
        <w:rPr>
          <w:rFonts w:hint="eastAsia" w:ascii="宋体" w:hAnsi="宋体" w:eastAsia="宋体" w:cs="宋体"/>
          <w:b w:val="0"/>
          <w:bCs w:val="0"/>
          <w:color w:val="000000" w:themeColor="text1"/>
          <w:sz w:val="24"/>
          <w:szCs w:val="32"/>
          <w:highlight w:val="none"/>
          <w14:textFill>
            <w14:solidFill>
              <w14:schemeClr w14:val="tx1"/>
            </w14:solidFill>
          </w14:textFill>
        </w:rPr>
      </w:pP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3、</w:t>
      </w: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中标人根据项目经营需求在合同签订后10日内</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在项目所在地区域内设立固定办公场所，用于本项目的人员办公，满足日常沟通、应急响应、问题协调、车辆集中停放及设施设备仓储等工作需求。在项目所在地区域内成立项目公司，作为结算服务费账户，同时按规定成立农民工工资监管账户。(办公场所可以是投标人自有场地、租赁场地或与本地合法机构合作设立的服务点)</w:t>
      </w:r>
      <w:r/>
    </w:p>
    <w:p>
      <w:pPr>
        <w:pStyle w:val="1157"/>
        <w:ind w:firstLine="480"/>
        <w:spacing w:line="480" w:lineRule="exact"/>
        <w:rPr>
          <w:rFonts w:hint="eastAsia" w:ascii="宋体" w:hAnsi="宋体" w:eastAsia="宋体" w:cs="宋体"/>
          <w:b w:val="0"/>
          <w:bCs w:val="0"/>
          <w:color w:val="000000" w:themeColor="text1"/>
          <w:sz w:val="24"/>
          <w:szCs w:val="32"/>
          <w:highlight w:val="none"/>
          <w:lang w:val="en-US" w:eastAsia="zh-CN"/>
          <w14:textFill>
            <w14:solidFill>
              <w14:schemeClr w14:val="tx1"/>
            </w14:solidFill>
          </w14:textFill>
        </w:rPr>
      </w:pP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4、中标人须搭建环卫保洁、公厕管理、车辆行驶等智慧平台，并至少有1名专业人员维护。</w:t>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附表1</w:t>
      </w:r>
      <w:r/>
    </w:p>
    <w:p>
      <w:pPr>
        <w:jc w:val="center"/>
        <w:spacing w:line="500" w:lineRule="exact"/>
        <w:rPr>
          <w:rStyle w:val="853"/>
          <w:rFonts w:hint="eastAsia" w:ascii="宋体" w:hAnsi="宋体" w:eastAsia="宋体" w:cs="宋体"/>
          <w:sz w:val="24"/>
          <w:szCs w:val="24"/>
        </w:rPr>
      </w:pPr>
      <w:r>
        <w:rPr>
          <w:rFonts w:hint="eastAsia" w:ascii="宋体" w:hAnsi="宋体" w:eastAsia="宋体" w:cs="宋体"/>
          <w:b/>
          <w:sz w:val="24"/>
          <w:szCs w:val="24"/>
        </w:rPr>
        <w:t xml:space="preserve">考核细则</w:t>
      </w:r>
      <w:r/>
    </w:p>
    <w:p>
      <w:pPr>
        <w:jc w:val="center"/>
        <w:spacing w:line="500" w:lineRule="exact"/>
        <w:rPr>
          <w:rStyle w:val="853"/>
          <w:rFonts w:hint="eastAsia" w:ascii="宋体" w:hAnsi="宋体" w:eastAsia="宋体" w:cs="宋体"/>
          <w:sz w:val="24"/>
          <w:szCs w:val="24"/>
        </w:rPr>
      </w:pPr>
      <w:r>
        <w:rPr>
          <w:rStyle w:val="853"/>
          <w:rFonts w:hint="eastAsia" w:ascii="宋体" w:hAnsi="宋体" w:eastAsia="宋体" w:cs="宋体"/>
          <w:sz w:val="24"/>
          <w:szCs w:val="24"/>
        </w:rPr>
        <w:t xml:space="preserve">（考核单位乡镇占比60%，宿豫区城管局占比40%）</w:t>
      </w:r>
      <w:r/>
    </w:p>
    <w:tbl>
      <w:tblPr>
        <w:tblStyle w:val="825"/>
        <w:tblW w:w="9246"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90"/>
        <w:gridCol w:w="4521"/>
        <w:gridCol w:w="3000"/>
      </w:tblGrid>
      <w:tr>
        <w:trPr>
          <w:cantSplit/>
          <w:trHeight w:val="534"/>
        </w:trPr>
        <w:tc>
          <w:tcPr>
            <w:gridSpan w:val="2"/>
            <w:tcW w:w="1725"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项目及分值</w:t>
            </w:r>
            <w:r/>
          </w:p>
        </w:tc>
        <w:tc>
          <w:tcPr>
            <w:tcW w:w="4521"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考核要点</w:t>
            </w:r>
            <w:r/>
          </w:p>
        </w:tc>
        <w:tc>
          <w:tcPr>
            <w:tcW w:w="3000"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扣分标准</w:t>
            </w:r>
            <w:r/>
          </w:p>
        </w:tc>
      </w:tr>
      <w:tr>
        <w:trPr>
          <w:cantSplit/>
          <w:trHeight w:val="312"/>
        </w:trPr>
        <w:tc>
          <w:tcPr>
            <w:tcW w:w="835"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基础管理（25分）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人员制度管理（11分）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保洁员要按照要求作业，统一着装，作业期间内不得脱岗、离岗、聚岗。（1分）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工作期间应使用文明用语、不得与他人争吵、辱骂、斗殴等行为。（2分）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作业工具规范，不乱摆乱放，存放在隐蔽位置，不得影响市容。（1分）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保洁车辆车况完好，车体整洁，停放有序，车身设置反光条，安全操作。（2分）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严禁饮酒、酗酒。（3分）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所有岗位人员配备齐全（2分）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每少1人扣0.1分。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作业单位内部管理（14分）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分工明确；各项管理、安全教育、考核和奖惩等规章制度建立健全；工作有计划安排、有执行记录、有总结汇报。（2分）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分工不明确的，扣0.1分；没有建立各类规章制度的，扣0.2分；规章制度不完善或执行不力的，扣0.1分；工作计划安排、记录总结等不齐全的，扣0.1分。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设施设备、作业安排等各类台账资料齐全、真实详细，及时上报各类环卫信息（2分）。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未建立台账资料的，扣0.2分，不齐全的扣0.1分；信息统计数据上报不及时、准确的，扣0.1分。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所有作业车辆（含应急保障和备用车辆）配备齐全（2分）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每缺少1辆扣0.5分。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有畅通的投诉举报接待处置渠道（4分）。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没有投诉举报处置渠道或落实不力的，扣0.5分，没有应急预案的扣0.5分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单位安全生产，无安全责任事故。（4分）。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发生一般安全责任事故的，扣0.2分，发生重大安全责任事故的，扣0.3分</w:t>
            </w:r>
            <w:r/>
          </w:p>
        </w:tc>
      </w:tr>
      <w:tr>
        <w:trPr>
          <w:cantSplit/>
          <w:trHeight w:val="312"/>
        </w:trPr>
        <w:tc>
          <w:tcPr>
            <w:tcW w:w="835" w:type="dxa"/>
            <w:vAlign w:val="center"/>
            <w:vMerge w:val="restart"/>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道路清扫保洁（20分）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道路清扫保洁时间及要求</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（20分）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在规定的时间内完成普扫作业。（2分）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b w:val="0"/>
                <w:bCs w:val="0"/>
                <w:sz w:val="24"/>
                <w:szCs w:val="24"/>
                <w:highlight w:val="none"/>
              </w:rPr>
              <w:t xml:space="preserve">一级道路保洁时间不低于</w:t>
            </w:r>
            <w:r>
              <w:rPr>
                <w:rFonts w:hint="eastAsia" w:ascii="宋体" w:hAnsi="宋体" w:cs="宋体"/>
                <w:b w:val="0"/>
                <w:bCs w:val="0"/>
                <w:sz w:val="24"/>
                <w:szCs w:val="24"/>
                <w:highlight w:val="none"/>
                <w:lang w:val="en-US" w:eastAsia="zh-CN"/>
              </w:rPr>
              <w:t xml:space="preserve">16</w:t>
            </w:r>
            <w:r>
              <w:rPr>
                <w:rFonts w:hint="eastAsia" w:ascii="宋体" w:hAnsi="宋体" w:eastAsia="宋体" w:cs="宋体"/>
                <w:b w:val="0"/>
                <w:bCs w:val="0"/>
                <w:sz w:val="24"/>
                <w:szCs w:val="24"/>
                <w:highlight w:val="none"/>
              </w:rPr>
              <w:t xml:space="preserve">小时、二级道路保洁时间不低于1</w:t>
            </w: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小时，三、四级道路保洁时间不低于</w:t>
            </w:r>
            <w:r>
              <w:rPr>
                <w:rFonts w:hint="eastAsia" w:ascii="宋体" w:hAnsi="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rPr>
              <w:t xml:space="preserve">小时。（2分）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b/>
                <w:sz w:val="24"/>
                <w:szCs w:val="24"/>
              </w:rPr>
            </w:pPr>
            <w:r>
              <w:rPr>
                <w:rFonts w:hint="eastAsia" w:ascii="宋体" w:hAnsi="宋体" w:eastAsia="宋体" w:cs="宋体"/>
                <w:sz w:val="24"/>
                <w:szCs w:val="24"/>
              </w:rPr>
              <w:t xml:space="preserve">按照路面废弃物控制指标，及时清理路面废弃物（含果皮、纸屑、塑膜、烟头等）和遗撒。（2分）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雨水篦定期进行清掏，确保垂直立面不堵塞（2分）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清扫后路面干净、无漏扫现象。（4分）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硬化路面、行道树穴内应无积存垃圾、砖块和人畜粪便等。（4分）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及时清理堆放的垃圾死角。（2分）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路面垃圾要做到随扫随清，不得倒入树池、绿化带或直接扫入雨水口内。（2分）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公共设施（7分）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公共设施清洗及维修（7分）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公交候车站台、交通护栏等道路隔离设施应整洁，并定期擦洗，无明显灰尘污物；道路隔离设施底部应无散落垃圾和明显尘土。（1分）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每发现一处扣0.1分。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道路两侧路名牌、指路牌，以及路灯杆、交通指示牌杆等两米以下部分无污迹、积尘。（1分）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道路两侧的建筑物两米以下外墙无乱张贴、乱涂写和破损标语（1分）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道路两侧及公共广场内休闲椅、康体娱乐设施、雕塑等无积尘、无明显污迹。（1分）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垃圾桶、果皮箱及时清掏，周边无垃圾堆存。（1分）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未及时清掏垃圾箱的，出现垃圾满溢的每处扣0.1分。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垃圾桶、果皮箱及时清洁，箱体无明显污迹。（1分）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废物箱箱体有明显污迹，每个扣0.1分。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未及时更换或修复，有歪斜、破损、残缺的，每个扣0.1分。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垃圾桶、果皮箱及时维修、更换，外观基本无破损。（1分）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公厕（</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89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公厕（</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制度牌、引导牌完好齐全；（1分）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无异味，无虫蝇；（2分）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卫生整洁，地面及周边环境无垃圾或烟头；（2分）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第三卫生间正常开放；（1分）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按要求有序摆放杂物或打扫工具；（1分）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水龙头、把手、门板等设施损坏及时维修；（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便池通畅无积粪、垃圾桶及时清理；（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按规定摆放毒饵站。（1分）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保持水电正常运行（</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化粪池及时清理（1分）</w:t>
            </w:r>
            <w:r/>
          </w:p>
        </w:tc>
        <w:tc>
          <w:tcPr>
            <w:tcW w:w="3000" w:type="dxa"/>
            <w:vAlign w:val="center"/>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垃圾中转站（15分）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垃圾中转站（15分）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运行正常，垃圾基本做到日产日清（1分）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卫生整洁，地面及周边环境无垃圾或烟头；（1分）</w:t>
            </w:r>
            <w:r/>
          </w:p>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当日产生的渗沥液要当日转运处理（2分）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外墙保持整洁无脱落（2分）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场地保持平整，无破损（2分）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安全操作，工作期间佩戴安全帽（1分）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定时消杀，无刺鼻异味（1分）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垃圾到站后随即倒入运输车辆箱体或压缩设备内，不堆积（2分）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按要求有序摆放杂物或打扫工具；（1分）</w:t>
            </w:r>
            <w:r/>
          </w:p>
          <w:p>
            <w:pPr>
              <w:jc w:val="left"/>
              <w:spacing w:line="280" w:lineRule="exact"/>
              <w:rPr>
                <w:rFonts w:hint="eastAsia" w:ascii="宋体" w:hAnsi="宋体" w:eastAsia="宋体" w:cs="宋体"/>
                <w:color w:val="ff0000"/>
                <w:sz w:val="24"/>
                <w:szCs w:val="24"/>
              </w:rPr>
            </w:pPr>
            <w:r>
              <w:rPr>
                <w:rFonts w:hint="eastAsia" w:ascii="宋体" w:hAnsi="宋体" w:eastAsia="宋体" w:cs="宋体"/>
                <w:sz w:val="24"/>
                <w:szCs w:val="24"/>
              </w:rPr>
              <w:t xml:space="preserve">垃圾进入转运站时应作好记录（1分）</w:t>
            </w:r>
            <w:r/>
          </w:p>
        </w:tc>
        <w:tc>
          <w:tcPr>
            <w:tcW w:w="3000" w:type="dxa"/>
            <w:vAlign w:val="center"/>
            <w:textDirection w:val="lrTb"/>
            <w:noWrap w:val="false"/>
          </w:tcPr>
          <w:p>
            <w:pPr>
              <w:spacing w:line="280" w:lineRule="exact"/>
              <w:rPr>
                <w:rFonts w:hint="eastAsia" w:ascii="宋体" w:hAnsi="宋体" w:eastAsia="宋体" w:cs="宋体"/>
                <w:sz w:val="24"/>
                <w:szCs w:val="24"/>
                <w:lang w:val="zh-CN"/>
              </w:rPr>
            </w:pPr>
            <w:r>
              <w:rPr>
                <w:rFonts w:hint="eastAsia" w:ascii="宋体" w:hAnsi="宋体" w:eastAsia="宋体" w:cs="宋体"/>
                <w:sz w:val="24"/>
                <w:szCs w:val="24"/>
              </w:rPr>
              <w:t xml:space="preserve">中转站垃圾积存未转运的，每次扣1分；车辆严重脏污的，每次扣0.2分；其他事项发现每处（项）不合格扣0.1分。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中转站箱体配备齐全，完好并正常使用（1分）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每有1个不符合扣0.5分</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道路</w:t>
            </w:r>
            <w:r>
              <w:rPr>
                <w:rFonts w:hint="eastAsia" w:ascii="宋体" w:hAnsi="宋体" w:eastAsia="宋体" w:cs="宋体"/>
                <w:b w:val="0"/>
                <w:bCs w:val="0"/>
                <w:sz w:val="24"/>
                <w:szCs w:val="24"/>
                <w:highlight w:val="none"/>
                <w:lang w:val="en-US" w:eastAsia="zh-CN"/>
              </w:rPr>
              <w:t xml:space="preserve">垃圾收集、清运</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tc>
        <w:tc>
          <w:tcPr>
            <w:tcW w:w="890" w:type="dxa"/>
            <w:vAlign w:val="center"/>
            <w:vMerge w:val="restart"/>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道路</w:t>
            </w:r>
            <w:r>
              <w:rPr>
                <w:rFonts w:hint="eastAsia" w:ascii="宋体" w:hAnsi="宋体" w:eastAsia="宋体" w:cs="宋体"/>
                <w:b w:val="0"/>
                <w:bCs w:val="0"/>
                <w:sz w:val="24"/>
                <w:szCs w:val="24"/>
                <w:highlight w:val="none"/>
                <w:lang w:val="en-US" w:eastAsia="zh-CN"/>
              </w:rPr>
              <w:t xml:space="preserve">生活垃圾收集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收集点及周围5m内应整洁，无散落、存留垃圾和污水（</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w:t>
            </w:r>
            <w:r/>
          </w:p>
        </w:tc>
        <w:tc>
          <w:tcPr>
            <w:tcW w:w="3000" w:type="dxa"/>
            <w:vAlign w:val="center"/>
            <w:vMerge w:val="restart"/>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发现每处（项）不合格扣0.</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定时定点、日产日清，不得堆积、滞留</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无主生活垃圾应及时收集、清运</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537"/>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垃圾收集箱应无残缺、破损，封闭性好，外体干净，完好率应不低于95%。</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垃圾收集站（点）应定期清洗、喷洒消毒、灭蚊蝇药物。在可视范围内，苍蝇应少于3只/次，并无活鼠等。（1分）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运送垃圾的过程应覆盖密闭，实行“垃圾不落地”作业，不得有滴冒撒漏现象。（1分）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不得乱倒、乱卸、乱抛垃圾，居民住宅附近的垃圾站装运时应避免扰民。（1分）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垃圾车辆车容整洁，车况良好，车牌号码完整，不得遮挡。（1分）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2500"/>
        </w:trPr>
        <w:tc>
          <w:tcPr>
            <w:tcW w:w="835" w:type="dxa"/>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各项创建、重要活动保障及突发事件应急保障（</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p>
        </w:tc>
        <w:tc>
          <w:tcPr>
            <w:tcW w:w="890" w:type="dxa"/>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各项创建、重要活动保障及突发事件应急保障（</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1、按上级主管部门通知要求，做好各类重要活动保障；（</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2、对雨雪灾害天气，季节落叶等突发情况，成立应急分队进行快速处置，突发事件环卫主管部门有权调用作业单位人员和车辆参与应急；（</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3、按时参加上级主管部门召集的工作例会；（</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4、完成上级主管部门交办的各项工作任务。（</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tc>
        <w:tc>
          <w:tcPr>
            <w:tcW w:w="3000"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遇有创建、各类重要活动保障及雨雪灾难天气、季节落叶等突发情况，组织不力，环境卫生不到位，在检查时被扣分，视情节一次扣 </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t xml:space="preserve">4</w:t>
            </w:r>
            <w:r>
              <w:rPr>
                <w:rFonts w:hint="eastAsia" w:ascii="宋体" w:hAnsi="宋体" w:eastAsia="宋体" w:cs="宋体"/>
                <w:b w:val="0"/>
                <w:bCs w:val="0"/>
                <w:sz w:val="24"/>
                <w:szCs w:val="24"/>
                <w:highlight w:val="none"/>
                <w:lang w:val="zh-CN"/>
              </w:rPr>
              <w:t xml:space="preserve"> 分；不准时参加</w:t>
            </w:r>
            <w:r>
              <w:rPr>
                <w:rFonts w:hint="eastAsia" w:ascii="宋体" w:hAnsi="宋体" w:eastAsia="宋体" w:cs="宋体"/>
                <w:b w:val="0"/>
                <w:bCs w:val="0"/>
                <w:sz w:val="24"/>
                <w:szCs w:val="24"/>
                <w:highlight w:val="none"/>
              </w:rPr>
              <w:t xml:space="preserve">环卫主管部门</w:t>
            </w:r>
            <w:r>
              <w:rPr>
                <w:rFonts w:hint="eastAsia" w:ascii="宋体" w:hAnsi="宋体" w:eastAsia="宋体" w:cs="宋体"/>
                <w:b w:val="0"/>
                <w:bCs w:val="0"/>
                <w:sz w:val="24"/>
                <w:szCs w:val="24"/>
                <w:highlight w:val="none"/>
                <w:lang w:val="zh-CN"/>
              </w:rPr>
              <w:t xml:space="preserve">召集的工作例会，1 次扣 2分；无故缺席的，1 次扣 3 分；不按时完成</w:t>
            </w:r>
            <w:r>
              <w:rPr>
                <w:rFonts w:hint="eastAsia" w:ascii="宋体" w:hAnsi="宋体" w:eastAsia="宋体" w:cs="宋体"/>
                <w:b w:val="0"/>
                <w:bCs w:val="0"/>
                <w:sz w:val="24"/>
                <w:szCs w:val="24"/>
                <w:highlight w:val="none"/>
              </w:rPr>
              <w:t xml:space="preserve">环卫主管部门</w:t>
            </w:r>
            <w:r>
              <w:rPr>
                <w:rFonts w:hint="eastAsia" w:ascii="宋体" w:hAnsi="宋体" w:eastAsia="宋体" w:cs="宋体"/>
                <w:b w:val="0"/>
                <w:bCs w:val="0"/>
                <w:sz w:val="24"/>
                <w:szCs w:val="24"/>
                <w:highlight w:val="none"/>
                <w:lang w:val="zh-CN"/>
              </w:rPr>
              <w:t xml:space="preserve">交办的工作任务的，一项扣 </w:t>
            </w:r>
            <w:r>
              <w:rPr>
                <w:rFonts w:hint="eastAsia" w:ascii="宋体" w:hAnsi="宋体" w:eastAsia="宋体" w:cs="宋体"/>
                <w:b w:val="0"/>
                <w:bCs w:val="0"/>
                <w:sz w:val="24"/>
                <w:szCs w:val="24"/>
                <w:highlight w:val="none"/>
              </w:rPr>
              <w:t xml:space="preserve">3 </w:t>
            </w:r>
            <w:r>
              <w:rPr>
                <w:rFonts w:hint="eastAsia" w:ascii="宋体" w:hAnsi="宋体" w:eastAsia="宋体" w:cs="宋体"/>
                <w:b w:val="0"/>
                <w:bCs w:val="0"/>
                <w:sz w:val="24"/>
                <w:szCs w:val="24"/>
                <w:highlight w:val="none"/>
                <w:lang w:val="zh-CN"/>
              </w:rPr>
              <w:t xml:space="preserve">分。（</w:t>
            </w:r>
            <w:r>
              <w:rPr>
                <w:rFonts w:hint="eastAsia" w:ascii="宋体" w:hAnsi="宋体" w:eastAsia="宋体" w:cs="宋体"/>
                <w:b w:val="0"/>
                <w:bCs w:val="0"/>
                <w:sz w:val="24"/>
                <w:szCs w:val="24"/>
                <w:highlight w:val="none"/>
              </w:rPr>
              <w:t xml:space="preserve">最高扣完单项分值</w:t>
            </w:r>
            <w:r>
              <w:rPr>
                <w:rFonts w:hint="eastAsia" w:ascii="宋体" w:hAnsi="宋体" w:eastAsia="宋体" w:cs="宋体"/>
                <w:b w:val="0"/>
                <w:bCs w:val="0"/>
                <w:sz w:val="24"/>
                <w:szCs w:val="24"/>
                <w:highlight w:val="none"/>
                <w:lang w:val="zh-CN"/>
              </w:rPr>
              <w:t xml:space="preserve">）</w:t>
            </w:r>
            <w:r/>
          </w:p>
        </w:tc>
      </w:tr>
      <w:tr>
        <w:trPr>
          <w:cantSplit/>
          <w:trHeight w:val="1980"/>
        </w:trPr>
        <w:tc>
          <w:tcPr>
            <w:tcW w:w="835" w:type="dxa"/>
            <w:textDirection w:val="lrTb"/>
            <w:noWrap w:val="false"/>
          </w:tcPr>
          <w:p>
            <w:pPr>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绿化带捡拾（5分）</w:t>
            </w:r>
            <w:r/>
          </w:p>
        </w:tc>
        <w:tc>
          <w:tcPr>
            <w:tcW w:w="890" w:type="dxa"/>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en-US" w:eastAsia="zh-CN"/>
              </w:rPr>
              <w:t xml:space="preserve">绿化带捡拾（5分）</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路旁绿地、绿化隔离带、行道树穴内应无积存垃圾、砖块和人畜粪便等。</w:t>
            </w:r>
            <w:r/>
          </w:p>
        </w:tc>
        <w:tc>
          <w:tcPr>
            <w:tcW w:w="3000"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rPr>
              <w:t xml:space="preserve">发现每处（项）不合格扣0.</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t xml:space="preserve">最高扣完单项分值</w:t>
            </w:r>
            <w:r>
              <w:rPr>
                <w:rFonts w:hint="eastAsia" w:ascii="宋体" w:hAnsi="宋体" w:eastAsia="宋体" w:cs="宋体"/>
                <w:b w:val="0"/>
                <w:bCs w:val="0"/>
                <w:sz w:val="24"/>
                <w:szCs w:val="24"/>
                <w:highlight w:val="none"/>
                <w:lang w:val="zh-CN"/>
              </w:rPr>
              <w:t xml:space="preserve">）</w:t>
            </w:r>
            <w:r/>
          </w:p>
        </w:tc>
      </w:tr>
    </w:tbl>
    <w:p>
      <w:pPr>
        <w:rPr>
          <w:rFonts w:hint="eastAsia" w:ascii="宋体" w:hAnsi="宋体" w:eastAsia="宋体" w:cs="宋体"/>
          <w:sz w:val="24"/>
          <w:szCs w:val="32"/>
        </w:rPr>
      </w:pPr>
      <w:r>
        <w:rPr>
          <w:rFonts w:hint="eastAsia" w:ascii="宋体" w:hAnsi="宋体" w:eastAsia="宋体" w:cs="宋体"/>
          <w:sz w:val="24"/>
          <w:szCs w:val="32"/>
        </w:rPr>
        <w:br w:type="page" w:clear="all"/>
      </w:r>
      <w:r/>
    </w:p>
    <w:p>
      <w:pPr>
        <w:rPr>
          <w:rFonts w:hint="eastAsia" w:ascii="宋体" w:hAnsi="宋体" w:eastAsia="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附表2</w:t>
      </w:r>
      <w:r/>
    </w:p>
    <w:p>
      <w:pPr>
        <w:jc w:val="center"/>
        <w:rPr>
          <w:rFonts w:hint="eastAsia" w:ascii="宋体" w:hAnsi="宋体" w:eastAsia="宋体" w:cs="宋体"/>
          <w:sz w:val="40"/>
          <w:szCs w:val="40"/>
        </w:rPr>
      </w:pPr>
      <w:r>
        <w:rPr>
          <w:rFonts w:hint="eastAsia" w:ascii="宋体" w:hAnsi="宋体" w:eastAsia="宋体" w:cs="宋体"/>
          <w:b/>
          <w:bCs/>
          <w:sz w:val="32"/>
          <w:szCs w:val="32"/>
          <w:lang w:bidi="ar"/>
        </w:rPr>
        <w:t xml:space="preserve">2025年中转站垃圾运输汇总表</w:t>
      </w:r>
      <w:r/>
    </w:p>
    <w:tbl>
      <w:tblPr>
        <w:tblStyle w:val="825"/>
        <w:tblW w:w="14719" w:type="dxa"/>
        <w:tblInd w:w="93" w:type="dxa"/>
        <w:tblLayout w:type="autofit"/>
        <w:tblCellMar>
          <w:left w:w="108" w:type="dxa"/>
          <w:top w:w="0" w:type="dxa"/>
          <w:right w:w="108" w:type="dxa"/>
          <w:bottom w:w="0" w:type="dxa"/>
        </w:tblCellMar>
        <w:tblLook w:val="04A0" w:firstRow="1" w:lastRow="0" w:firstColumn="1" w:lastColumn="0" w:noHBand="0" w:noVBand="1"/>
      </w:tblPr>
      <w:tblGrid>
        <w:gridCol w:w="656"/>
        <w:gridCol w:w="1176"/>
        <w:gridCol w:w="959"/>
        <w:gridCol w:w="959"/>
        <w:gridCol w:w="1011"/>
        <w:gridCol w:w="1011"/>
        <w:gridCol w:w="1011"/>
        <w:gridCol w:w="959"/>
        <w:gridCol w:w="959"/>
        <w:gridCol w:w="1011"/>
        <w:gridCol w:w="1011"/>
        <w:gridCol w:w="1011"/>
        <w:gridCol w:w="1011"/>
        <w:gridCol w:w="1009"/>
        <w:gridCol w:w="1209"/>
      </w:tblGrid>
      <w:tr>
        <w:trPr>
          <w:trHeight w:val="292"/>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dxa"/>
            <w:vAlign w:val="center"/>
            <w:vMerge w:val="restart"/>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乡镇</w:t>
            </w:r>
            <w:r/>
          </w:p>
        </w:tc>
        <w:tc>
          <w:tcPr>
            <w:gridSpan w:val="12"/>
            <w:tcBorders>
              <w:top w:val="single" w:color="000000" w:sz="4" w:space="0"/>
              <w:left w:val="single" w:color="000000" w:sz="4" w:space="0"/>
              <w:bottom w:val="single" w:color="000000" w:sz="4" w:space="0"/>
              <w:right w:val="single" w:color="000000" w:sz="4" w:space="0"/>
            </w:tcBorders>
            <w:tcW w:w="11922"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实运量（吨）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b/>
                <w:bCs/>
                <w:sz w:val="22"/>
              </w:rPr>
            </w:pPr>
            <w:r>
              <w:rPr>
                <w:rFonts w:hint="eastAsia" w:ascii="宋体" w:hAnsi="宋体" w:eastAsia="宋体" w:cs="宋体"/>
                <w:b/>
                <w:bCs/>
                <w:sz w:val="22"/>
              </w:rPr>
            </w:r>
            <w:r/>
          </w:p>
        </w:tc>
      </w:tr>
      <w:tr>
        <w:trPr>
          <w:trHeight w:val="258"/>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jc w:val="center"/>
              <w:rPr>
                <w:rFonts w:hint="eastAsia" w:ascii="宋体" w:hAnsi="宋体" w:eastAsia="宋体" w:cs="宋体"/>
                <w:b/>
                <w:bCs/>
                <w:sz w:val="22"/>
              </w:rPr>
            </w:pPr>
            <w:r>
              <w:rPr>
                <w:rFonts w:hint="eastAsia" w:ascii="宋体" w:hAnsi="宋体" w:eastAsia="宋体" w:cs="宋体"/>
                <w:b/>
                <w:bCs/>
                <w:sz w:val="22"/>
              </w:rPr>
            </w:r>
            <w:r/>
          </w:p>
        </w:tc>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一月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二月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三月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四月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五月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六月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七月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八月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九月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十一月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十二月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合计</w:t>
            </w:r>
            <w:r/>
          </w:p>
        </w:tc>
      </w:tr>
      <w:tr>
        <w:trPr>
          <w:trHeight w:val="2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陆集</w:t>
            </w:r>
            <w:r>
              <w:rPr>
                <w:rFonts w:hint="eastAsia" w:ascii="宋体" w:hAnsi="宋体" w:eastAsia="宋体" w:cs="宋体"/>
                <w:sz w:val="24"/>
                <w:szCs w:val="24"/>
                <w:highlight w:val="none"/>
                <w:lang w:val="en-US" w:eastAsia="zh-CN" w:bidi="ar"/>
              </w:rPr>
              <w:t xml:space="preserve">街道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435.96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434.44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385.18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460.14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413.36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549.1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417.68</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5408.84</w:t>
            </w:r>
            <w:r/>
          </w:p>
        </w:tc>
      </w:tr>
      <w:tr>
        <w:trPr>
          <w:trHeight w:val="29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大兴镇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535.58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472.26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474.58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452.58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429.56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495.74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463.66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535.86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406.1</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5653.98</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曹集乡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440.18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448.08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377.72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405.18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383.26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438.16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380.4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364.16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4951.08</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来龙镇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581.28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517.92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575.52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518.48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545.04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494.72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6364.66</w:t>
            </w:r>
            <w:r/>
          </w:p>
        </w:tc>
      </w:tr>
      <w:tr>
        <w:trPr>
          <w:trHeight w:val="3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顺河</w:t>
            </w:r>
            <w:r>
              <w:rPr>
                <w:rFonts w:hint="eastAsia" w:ascii="宋体" w:hAnsi="宋体" w:eastAsia="宋体" w:cs="宋体"/>
                <w:sz w:val="24"/>
                <w:szCs w:val="24"/>
                <w:highlight w:val="none"/>
                <w:lang w:val="en-US" w:eastAsia="zh-CN" w:bidi="ar"/>
              </w:rPr>
              <w:t xml:space="preserve">街道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394.44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353.78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264.96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217.88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192.34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223.86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207.06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190.02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2990.4</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侍岭</w:t>
            </w:r>
            <w:r>
              <w:rPr>
                <w:rFonts w:hint="eastAsia" w:ascii="宋体" w:hAnsi="宋体" w:eastAsia="宋体" w:cs="宋体"/>
                <w:sz w:val="24"/>
                <w:szCs w:val="24"/>
                <w:highlight w:val="none"/>
                <w:lang w:val="en-US" w:eastAsia="zh-CN" w:bidi="ar"/>
              </w:rPr>
              <w:t xml:space="preserve">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186.41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194.76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216.04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180.2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168.44</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2291.48</w:t>
            </w:r>
            <w:r/>
          </w:p>
        </w:tc>
      </w:tr>
      <w:tr>
        <w:trPr>
          <w:trHeight w:val="30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仰化镇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280.94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283.94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293.76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299.42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288.86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210.94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218.32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327.02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309.56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281.45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256.82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3332.69</w:t>
            </w:r>
            <w:r/>
          </w:p>
        </w:tc>
      </w:tr>
      <w:tr>
        <w:trPr>
          <w:trHeight w:val="35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关庙镇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416.34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396.1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371.48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334.28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333.52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323.62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371.44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364.72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324.4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294.56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4275.54</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190.41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200.69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193.34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198.12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232.02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186.01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171.06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2361.85</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新庄镇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343.18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294.48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287.58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279.56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285.44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267.86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259.18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257.82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570.26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682.86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568.56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4352.46</w:t>
            </w:r>
            <w:r/>
          </w:p>
        </w:tc>
      </w:tr>
      <w:tr>
        <w:trPr>
          <w:trHeight w:val="3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丁嘴</w:t>
            </w:r>
            <w:r>
              <w:rPr>
                <w:rFonts w:hint="eastAsia" w:ascii="宋体" w:hAnsi="宋体" w:eastAsia="宋体" w:cs="宋体"/>
                <w:sz w:val="24"/>
                <w:szCs w:val="24"/>
                <w:highlight w:val="none"/>
                <w:lang w:val="en-US" w:eastAsia="zh-CN" w:bidi="ar"/>
              </w:rPr>
              <w:t xml:space="preserve">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261.84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240.42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202.22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198.28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216.06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229.72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189.32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200.76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217.04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238.48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199.1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179.26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2572.5</w:t>
            </w:r>
            <w:r/>
          </w:p>
        </w:tc>
      </w:tr>
      <w:tr>
        <w:trPr>
          <w:trHeight w:val="45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4302.8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3737.7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3740.66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3525.52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3719.54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3398.1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3463.4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3420.78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3571.06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4243.46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3921.08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3511.38</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44555.48</w:t>
            </w:r>
            <w:r/>
          </w:p>
        </w:tc>
      </w:tr>
    </w:tbl>
    <w:p>
      <w:pPr>
        <w:rPr>
          <w:rFonts w:hint="eastAsia" w:ascii="宋体" w:hAnsi="宋体" w:eastAsia="宋体" w:cs="宋体"/>
          <w:sz w:val="24"/>
          <w:szCs w:val="24"/>
        </w:rPr>
      </w:pPr>
      <w:r>
        <w:rPr>
          <w:rFonts w:hint="eastAsia" w:ascii="宋体" w:hAnsi="宋体" w:eastAsia="宋体" w:cs="宋体"/>
          <w:sz w:val="24"/>
          <w:szCs w:val="24"/>
        </w:rPr>
        <w:t xml:space="preserve">注：投标人报价参考</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sz w:val="32"/>
          <w:szCs w:val="32"/>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附表3</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乡镇中转站一览表</w:t>
      </w:r>
      <w:r/>
    </w:p>
    <w:tbl>
      <w:tblPr>
        <w:tblStyle w:val="825"/>
        <w:tblW w:w="4620"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5" w:type="dxa"/>
          <w:top w:w="15" w:type="dxa"/>
          <w:right w:w="15" w:type="dxa"/>
          <w:bottom w:w="15" w:type="dxa"/>
        </w:tblCellMar>
        <w:tblLook w:val="04A0" w:firstRow="1" w:lastRow="0" w:firstColumn="1" w:lastColumn="0" w:noHBand="0" w:noVBand="1"/>
      </w:tblPr>
      <w:tblGrid>
        <w:gridCol w:w="654"/>
        <w:gridCol w:w="1248"/>
        <w:gridCol w:w="2232"/>
        <w:gridCol w:w="1564"/>
        <w:gridCol w:w="2199"/>
      </w:tblGrid>
      <w:tr>
        <w:trPr>
          <w:tblHeade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序号</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乡镇名称</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中转站位置</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压缩模式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备注</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1</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侍岭片区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侍岭社区钢球厂旁</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2</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仰化镇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仰化城西路西侧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3</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顺河街道</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顺河街道扬子江路3号</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4</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新庄镇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镇区西南一分干东侧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5</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来龙镇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陈庄西北477米</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6</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保安片区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保安乡小康路西侧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7</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大兴镇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高坂头北198米</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垂直</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要求满足拉臂式转运需求。</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8</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陆集街道</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敬老院东边</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关庙镇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建业路，江苏瑞智道路工程有限公司附近</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曹集乡</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三干渠南侧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丁嘴片区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镇区三分支北部</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bl>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附表4</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乡镇公厕一览表</w:t>
      </w:r>
      <w:r/>
    </w:p>
    <w:tbl>
      <w:tblPr>
        <w:tblStyle w:val="825"/>
        <w:tblW w:w="8731"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79"/>
        <w:gridCol w:w="750"/>
        <w:gridCol w:w="816"/>
        <w:gridCol w:w="3926"/>
      </w:tblGrid>
      <w:tr>
        <w:trPr>
          <w:trHeight w:val="312"/>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乡镇</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公厕位置</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公厕类别</w:t>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面积（㎡）</w:t>
            </w:r>
            <w:r/>
          </w:p>
        </w:tc>
        <w:tc>
          <w:tcPr>
            <w:tcBorders>
              <w:top w:val="single" w:color="000000" w:sz="4" w:space="0"/>
              <w:left w:val="single" w:color="000000" w:sz="4" w:space="0"/>
              <w:bottom w:val="single" w:color="000000" w:sz="4" w:space="0"/>
              <w:right w:val="single" w:color="000000" w:sz="4" w:space="0"/>
            </w:tcBorders>
            <w:tcW w:w="392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公厕照片</w:t>
            </w:r>
            <w:r/>
          </w:p>
        </w:tc>
      </w:tr>
      <w:tr>
        <w:trPr>
          <w:trHeight w:val="218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陆集街道</w:t>
            </w:r>
            <w:r>
              <w:rPr>
                <w:rFonts w:hint="eastAsia" w:ascii="宋体" w:hAnsi="宋体" w:eastAsia="宋体" w:cs="宋体"/>
                <w:sz w:val="22"/>
                <w:lang w:bidi="ar"/>
              </w:rPr>
              <w:br/>
            </w:r>
            <w:r>
              <w:rPr>
                <w:rFonts w:hint="eastAsia" w:ascii="宋体" w:hAnsi="宋体" w:eastAsia="宋体" w:cs="宋体"/>
                <w:sz w:val="22"/>
                <w:lang w:bidi="ar"/>
              </w:rPr>
              <w:t xml:space="preserve">（5座）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西苑人家西公厕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府前路京东馆对面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-27305</wp:posOffset>
                      </wp:positionH>
                      <wp:positionV relativeFrom="paragraph">
                        <wp:posOffset>1905</wp:posOffset>
                      </wp:positionV>
                      <wp:extent cx="2446655" cy="1306195"/>
                      <wp:effectExtent l="0" t="0" r="10795" b="8255"/>
                      <wp:wrapNone/>
                      <wp:docPr id="6" name="图片_6"/>
                      <wp:cNvGraphicFramePr/>
                      <a:graphic xmlns:a="http://schemas.openxmlformats.org/drawingml/2006/main">
                        <a:graphicData uri="http://schemas.openxmlformats.org/drawingml/2006/picture">
                          <pic:pic xmlns:pic="http://schemas.openxmlformats.org/drawingml/2006/picture">
                            <pic:nvPicPr>
                              <pic:cNvPr id="9" name="图片_6"/>
                              <pic:cNvPicPr/>
                              <pic:nvPr/>
                            </pic:nvPicPr>
                            <pic:blipFill>
                              <a:blip r:embed="rId15"/>
                              <a:stretch/>
                            </pic:blipFill>
                            <pic:spPr bwMode="auto">
                              <a:xfrm>
                                <a:off x="0" y="0"/>
                                <a:ext cx="2446655" cy="1306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1pt;mso-position-horizontal:absolute;mso-position-vertical-relative:text;margin-top:0.1pt;mso-position-vertical:absolute;width:192.6pt;height:102.8pt;mso-wrap-distance-left:9.0pt;mso-wrap-distance-top:0.0pt;mso-wrap-distance-right:9.0pt;mso-wrap-distance-bottom:0.0pt;" stroked="f">
                      <v:path textboxrect="0,0,0,0"/>
                      <v:imagedata r:id="rId15"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月亮湖公园公厕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振兴路与富民路交叉口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5080</wp:posOffset>
                      </wp:positionV>
                      <wp:extent cx="2459355" cy="1278255"/>
                      <wp:effectExtent l="0" t="0" r="17145" b="17145"/>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6"/>
                              <a:stretch/>
                            </pic:blipFill>
                            <pic:spPr bwMode="auto">
                              <a:xfrm>
                                <a:off x="0" y="0"/>
                                <a:ext cx="2459355" cy="1278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3.4pt;mso-position-horizontal:absolute;mso-position-vertical-relative:text;margin-top:0.4pt;mso-position-vertical:absolute;width:193.6pt;height:100.6pt;mso-wrap-distance-left:9.0pt;mso-wrap-distance-top:0.0pt;mso-wrap-distance-right:9.0pt;mso-wrap-distance-bottom:0.0pt;" stroked="f">
                      <v:path textboxrect="0,0,0,0"/>
                      <v:imagedata r:id="rId16"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加油站对面公厕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幸福路加油站对面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wp:posOffset>
                      </wp:positionH>
                      <wp:positionV relativeFrom="paragraph">
                        <wp:posOffset>17780</wp:posOffset>
                      </wp:positionV>
                      <wp:extent cx="2415540" cy="1346200"/>
                      <wp:effectExtent l="0" t="0" r="3810" b="6350"/>
                      <wp:wrapNone/>
                      <wp:docPr id="8" name="图片_9"/>
                      <wp:cNvGraphicFramePr/>
                      <a:graphic xmlns:a="http://schemas.openxmlformats.org/drawingml/2006/main">
                        <a:graphicData uri="http://schemas.openxmlformats.org/drawingml/2006/picture">
                          <pic:pic xmlns:pic="http://schemas.openxmlformats.org/drawingml/2006/picture">
                            <pic:nvPicPr>
                              <pic:cNvPr id="55" name="图片_9"/>
                              <pic:cNvPicPr/>
                              <pic:nvPr/>
                            </pic:nvPicPr>
                            <pic:blipFill>
                              <a:blip r:embed="rId17"/>
                              <a:stretch/>
                            </pic:blipFill>
                            <pic:spPr bwMode="auto">
                              <a:xfrm>
                                <a:off x="0" y="0"/>
                                <a:ext cx="2415540"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7pt;mso-position-horizontal:absolute;mso-position-vertical-relative:text;margin-top:1.4pt;mso-position-vertical:absolute;width:190.2pt;height:106.0pt;mso-wrap-distance-left:9.0pt;mso-wrap-distance-top:0.0pt;mso-wrap-distance-right:9.0pt;mso-wrap-distance-bottom:0.0pt;" stroked="f">
                      <v:path textboxrect="0,0,0,0"/>
                      <v:imagedata r:id="rId17"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临港小镇公厕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临港小镇公园内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-33655</wp:posOffset>
                      </wp:positionH>
                      <wp:positionV relativeFrom="paragraph">
                        <wp:posOffset>35560</wp:posOffset>
                      </wp:positionV>
                      <wp:extent cx="2435225" cy="1222375"/>
                      <wp:effectExtent l="0" t="0" r="3175" b="15875"/>
                      <wp:wrapNone/>
                      <wp:docPr id="9"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18"/>
                              <a:stretch/>
                            </pic:blipFill>
                            <pic:spPr bwMode="auto">
                              <a:xfrm>
                                <a:off x="0" y="0"/>
                                <a:ext cx="2435225" cy="1222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2.6pt;mso-position-horizontal:absolute;mso-position-vertical-relative:text;margin-top:2.8pt;mso-position-vertical:absolute;width:191.8pt;height:96.2pt;mso-wrap-distance-left:9.0pt;mso-wrap-distance-top:0.0pt;mso-wrap-distance-right:9.0pt;mso-wrap-distance-bottom:0.0pt;" stroked="f">
                      <v:path textboxrect="0,0,0,0"/>
                      <v:imagedata r:id="rId18"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青华花园公厕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翰林东路青华花园东门南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-34290</wp:posOffset>
                      </wp:positionH>
                      <wp:positionV relativeFrom="paragraph">
                        <wp:posOffset>-1270</wp:posOffset>
                      </wp:positionV>
                      <wp:extent cx="2430780" cy="1292860"/>
                      <wp:effectExtent l="0" t="0" r="7620" b="2540"/>
                      <wp:wrapNone/>
                      <wp:docPr id="10" name="图片_10"/>
                      <wp:cNvGraphicFramePr/>
                      <a:graphic xmlns:a="http://schemas.openxmlformats.org/drawingml/2006/main">
                        <a:graphicData uri="http://schemas.openxmlformats.org/drawingml/2006/picture">
                          <pic:pic xmlns:pic="http://schemas.openxmlformats.org/drawingml/2006/picture">
                            <pic:nvPicPr>
                              <pic:cNvPr id="8" name="图片_10"/>
                              <pic:cNvPicPr/>
                              <pic:nvPr/>
                            </pic:nvPicPr>
                            <pic:blipFill>
                              <a:blip r:embed="rId19"/>
                              <a:stretch/>
                            </pic:blipFill>
                            <pic:spPr bwMode="auto">
                              <a:xfrm>
                                <a:off x="0" y="0"/>
                                <a:ext cx="2430780"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2.7pt;mso-position-horizontal:absolute;mso-position-vertical-relative:text;margin-top:-0.1pt;mso-position-vertical:absolute;width:191.4pt;height:101.8pt;mso-wrap-distance-left:9.0pt;mso-wrap-distance-top:0.0pt;mso-wrap-distance-right:9.0pt;mso-wrap-distance-bottom:0.0pt;" stroked="f">
                      <v:path textboxrect="0,0,0,0"/>
                      <v:imagedata r:id="rId19" o:title=""/>
                    </v:shape>
                  </w:pict>
                </mc:Fallback>
              </mc:AlternateContent>
            </w:r>
            <w:r/>
          </w:p>
        </w:tc>
      </w:tr>
      <w:tr>
        <w:trPr>
          <w:trHeight w:val="22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大兴镇</w:t>
            </w:r>
            <w:r>
              <w:rPr>
                <w:rFonts w:hint="eastAsia" w:ascii="宋体" w:hAnsi="宋体" w:eastAsia="宋体" w:cs="宋体"/>
                <w:sz w:val="22"/>
                <w:lang w:bidi="ar"/>
              </w:rPr>
              <w:br/>
            </w:r>
            <w:r>
              <w:rPr>
                <w:rFonts w:hint="eastAsia" w:ascii="宋体" w:hAnsi="宋体" w:eastAsia="宋体" w:cs="宋体"/>
                <w:sz w:val="22"/>
                <w:lang w:bidi="ar"/>
              </w:rPr>
              <w:t xml:space="preserve">（15座）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启建公厕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大兴启建消防站北侧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35560</wp:posOffset>
                      </wp:positionV>
                      <wp:extent cx="2414905" cy="1310640"/>
                      <wp:effectExtent l="0" t="0" r="4445" b="3810"/>
                      <wp:wrapNone/>
                      <wp:docPr id="11" name="图片_11"/>
                      <wp:cNvGraphicFramePr/>
                      <a:graphic xmlns:a="http://schemas.openxmlformats.org/drawingml/2006/main">
                        <a:graphicData uri="http://schemas.openxmlformats.org/drawingml/2006/picture">
                          <pic:pic xmlns:pic="http://schemas.openxmlformats.org/drawingml/2006/picture">
                            <pic:nvPicPr>
                              <pic:cNvPr id="5" name="图片_11"/>
                              <pic:cNvPicPr/>
                              <pic:nvPr/>
                            </pic:nvPicPr>
                            <pic:blipFill>
                              <a:blip r:embed="rId20"/>
                              <a:stretch/>
                            </pic:blipFill>
                            <pic:spPr bwMode="auto">
                              <a:xfrm>
                                <a:off x="0" y="0"/>
                                <a:ext cx="2414905"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3.3pt;mso-position-horizontal:absolute;mso-position-vertical-relative:text;margin-top:2.8pt;mso-position-vertical:absolute;width:190.1pt;height:103.2pt;mso-wrap-distance-left:9.0pt;mso-wrap-distance-top:0.0pt;mso-wrap-distance-right:9.0pt;mso-wrap-distance-bottom:0.0pt;" stroked="f">
                      <v:path textboxrect="0,0,0,0"/>
                      <v:imagedata r:id="rId20"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老菜场公厕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老菜场东汽车充电桩附近</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-3810</wp:posOffset>
                      </wp:positionV>
                      <wp:extent cx="2448560" cy="1238250"/>
                      <wp:effectExtent l="0" t="0" r="8890" b="0"/>
                      <wp:wrapNone/>
                      <wp:docPr id="12" name="图片_12"/>
                      <wp:cNvGraphicFramePr/>
                      <a:graphic xmlns:a="http://schemas.openxmlformats.org/drawingml/2006/main">
                        <a:graphicData uri="http://schemas.openxmlformats.org/drawingml/2006/picture">
                          <pic:pic xmlns:pic="http://schemas.openxmlformats.org/drawingml/2006/picture">
                            <pic:nvPicPr>
                              <pic:cNvPr id="6" name="图片_12"/>
                              <pic:cNvPicPr/>
                              <pic:nvPr/>
                            </pic:nvPicPr>
                            <pic:blipFill>
                              <a:blip r:embed="rId21"/>
                              <a:stretch/>
                            </pic:blipFill>
                            <pic:spPr bwMode="auto">
                              <a:xfrm>
                                <a:off x="0" y="0"/>
                                <a:ext cx="244856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2.1pt;mso-position-horizontal:absolute;mso-position-vertical-relative:text;margin-top:-0.3pt;mso-position-vertical:absolute;width:192.8pt;height:97.5pt;mso-wrap-distance-left:9.0pt;mso-wrap-distance-top:0.0pt;mso-wrap-distance-right:9.0pt;mso-wrap-distance-bottom:0.0pt;" stroked="f">
                      <v:path textboxrect="0,0,0,0"/>
                      <v:imagedata r:id="rId21"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兴盛街农贸市场院内公厕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兴盛街农贸市场院内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-41275</wp:posOffset>
                      </wp:positionH>
                      <wp:positionV relativeFrom="paragraph">
                        <wp:posOffset>41910</wp:posOffset>
                      </wp:positionV>
                      <wp:extent cx="2409825" cy="1210945"/>
                      <wp:effectExtent l="0" t="0" r="9525" b="8255"/>
                      <wp:wrapNone/>
                      <wp:docPr id="13" name="图片_13"/>
                      <wp:cNvGraphicFramePr/>
                      <a:graphic xmlns:a="http://schemas.openxmlformats.org/drawingml/2006/main">
                        <a:graphicData uri="http://schemas.openxmlformats.org/drawingml/2006/picture">
                          <pic:pic xmlns:pic="http://schemas.openxmlformats.org/drawingml/2006/picture">
                            <pic:nvPicPr>
                              <pic:cNvPr id="11" name="图片_13"/>
                              <pic:cNvPicPr/>
                              <pic:nvPr/>
                            </pic:nvPicPr>
                            <pic:blipFill>
                              <a:blip r:embed="rId22"/>
                              <a:stretch/>
                            </pic:blipFill>
                            <pic:spPr bwMode="auto">
                              <a:xfrm>
                                <a:off x="0" y="0"/>
                                <a:ext cx="2409825" cy="1210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3.2pt;mso-position-horizontal:absolute;mso-position-vertical-relative:text;margin-top:3.3pt;mso-position-vertical:absolute;width:189.8pt;height:95.3pt;mso-wrap-distance-left:9.0pt;mso-wrap-distance-top:0.0pt;mso-wrap-distance-right:9.0pt;mso-wrap-distance-bottom:0.0pt;" stroked="f">
                      <v:path textboxrect="0,0,0,0"/>
                      <v:imagedata r:id="rId22"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富民路东公厕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富民路政府食堂后面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-47625</wp:posOffset>
                      </wp:positionH>
                      <wp:positionV relativeFrom="paragraph">
                        <wp:posOffset>43815</wp:posOffset>
                      </wp:positionV>
                      <wp:extent cx="2440940" cy="1210310"/>
                      <wp:effectExtent l="0" t="0" r="16510" b="8890"/>
                      <wp:wrapNone/>
                      <wp:docPr id="14" name="图片_14"/>
                      <wp:cNvGraphicFramePr/>
                      <a:graphic xmlns:a="http://schemas.openxmlformats.org/drawingml/2006/main">
                        <a:graphicData uri="http://schemas.openxmlformats.org/drawingml/2006/picture">
                          <pic:pic xmlns:pic="http://schemas.openxmlformats.org/drawingml/2006/picture">
                            <pic:nvPicPr>
                              <pic:cNvPr id="12" name="图片_14"/>
                              <pic:cNvPicPr/>
                              <pic:nvPr/>
                            </pic:nvPicPr>
                            <pic:blipFill>
                              <a:blip r:embed="rId23"/>
                              <a:stretch/>
                            </pic:blipFill>
                            <pic:spPr bwMode="auto">
                              <a:xfrm>
                                <a:off x="0" y="0"/>
                                <a:ext cx="2440940"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3.8pt;mso-position-horizontal:absolute;mso-position-vertical-relative:text;margin-top:3.4pt;mso-position-vertical:absolute;width:192.2pt;height:95.3pt;mso-wrap-distance-left:9.0pt;mso-wrap-distance-top:0.0pt;mso-wrap-distance-right:9.0pt;mso-wrap-distance-bottom:0.0pt;" stroked="f">
                      <v:path textboxrect="0,0,0,0"/>
                      <v:imagedata r:id="rId23"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民丰银行公厕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民丰银行巷子向南50米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-19685</wp:posOffset>
                      </wp:positionH>
                      <wp:positionV relativeFrom="paragraph">
                        <wp:posOffset>41910</wp:posOffset>
                      </wp:positionV>
                      <wp:extent cx="2420620" cy="1168400"/>
                      <wp:effectExtent l="0" t="0" r="17780" b="12700"/>
                      <wp:wrapNone/>
                      <wp:docPr id="15" name="图片_15"/>
                      <wp:cNvGraphicFramePr/>
                      <a:graphic xmlns:a="http://schemas.openxmlformats.org/drawingml/2006/main">
                        <a:graphicData uri="http://schemas.openxmlformats.org/drawingml/2006/picture">
                          <pic:pic xmlns:pic="http://schemas.openxmlformats.org/drawingml/2006/picture">
                            <pic:nvPicPr>
                              <pic:cNvPr id="13" name="图片_15"/>
                              <pic:cNvPicPr/>
                              <pic:nvPr/>
                            </pic:nvPicPr>
                            <pic:blipFill>
                              <a:blip r:embed="rId24"/>
                              <a:stretch/>
                            </pic:blipFill>
                            <pic:spPr bwMode="auto">
                              <a:xfrm>
                                <a:off x="0" y="0"/>
                                <a:ext cx="242062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1.5pt;mso-position-horizontal:absolute;mso-position-vertical-relative:text;margin-top:3.3pt;mso-position-vertical:absolute;width:190.6pt;height:92.0pt;mso-wrap-distance-left:9.0pt;mso-wrap-distance-top:0.0pt;mso-wrap-distance-right:9.0pt;mso-wrap-distance-bottom:0.0pt;" stroked="f">
                      <v:path textboxrect="0,0,0,0"/>
                      <v:imagedata r:id="rId24" o:title=""/>
                    </v:shape>
                  </w:pict>
                </mc:Fallback>
              </mc:AlternateContent>
            </w:r>
            <w:r/>
          </w:p>
        </w:tc>
      </w:tr>
      <w:tr>
        <w:trPr>
          <w:trHeight w:val="2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幸福路靳宏伟商店后10米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-16510</wp:posOffset>
                      </wp:positionH>
                      <wp:positionV relativeFrom="paragraph">
                        <wp:posOffset>-10160</wp:posOffset>
                      </wp:positionV>
                      <wp:extent cx="2403475" cy="1223010"/>
                      <wp:effectExtent l="0" t="0" r="15875" b="15240"/>
                      <wp:wrapNone/>
                      <wp:docPr id="16" name="图片_16"/>
                      <wp:cNvGraphicFramePr/>
                      <a:graphic xmlns:a="http://schemas.openxmlformats.org/drawingml/2006/main">
                        <a:graphicData uri="http://schemas.openxmlformats.org/drawingml/2006/picture">
                          <pic:pic xmlns:pic="http://schemas.openxmlformats.org/drawingml/2006/picture">
                            <pic:nvPicPr>
                              <pic:cNvPr id="14" name="图片_16"/>
                              <pic:cNvPicPr/>
                              <pic:nvPr/>
                            </pic:nvPicPr>
                            <pic:blipFill>
                              <a:blip r:embed="rId25"/>
                              <a:stretch/>
                            </pic:blipFill>
                            <pic:spPr bwMode="auto">
                              <a:xfrm>
                                <a:off x="0" y="0"/>
                                <a:ext cx="2403475" cy="12230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1.3pt;mso-position-horizontal:absolute;mso-position-vertical-relative:text;margin-top:-0.8pt;mso-position-vertical:absolute;width:189.2pt;height:96.3pt;mso-wrap-distance-left:9.0pt;mso-wrap-distance-top:0.0pt;mso-wrap-distance-right:9.0pt;mso-wrap-distance-bottom:0.0pt;" stroked="f">
                      <v:path textboxrect="0,0,0,0"/>
                      <v:imagedata r:id="rId25"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镇政府公厕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政府东门口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-20955</wp:posOffset>
                      </wp:positionH>
                      <wp:positionV relativeFrom="paragraph">
                        <wp:posOffset>34290</wp:posOffset>
                      </wp:positionV>
                      <wp:extent cx="2433320" cy="1168400"/>
                      <wp:effectExtent l="0" t="0" r="5080" b="12700"/>
                      <wp:wrapNone/>
                      <wp:docPr id="17" name="图片_17"/>
                      <wp:cNvGraphicFramePr/>
                      <a:graphic xmlns:a="http://schemas.openxmlformats.org/drawingml/2006/main">
                        <a:graphicData uri="http://schemas.openxmlformats.org/drawingml/2006/picture">
                          <pic:pic xmlns:pic="http://schemas.openxmlformats.org/drawingml/2006/picture">
                            <pic:nvPicPr>
                              <pic:cNvPr id="24" name="图片_17"/>
                              <pic:cNvPicPr/>
                              <pic:nvPr/>
                            </pic:nvPicPr>
                            <pic:blipFill>
                              <a:blip r:embed="rId26"/>
                              <a:stretch/>
                            </pic:blipFill>
                            <pic:spPr bwMode="auto">
                              <a:xfrm>
                                <a:off x="0" y="0"/>
                                <a:ext cx="243332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9744;o:allowoverlap:true;o:allowincell:true;mso-position-horizontal-relative:text;margin-left:-1.6pt;mso-position-horizontal:absolute;mso-position-vertical-relative:text;margin-top:2.7pt;mso-position-vertical:absolute;width:191.6pt;height:92.0pt;mso-wrap-distance-left:9.0pt;mso-wrap-distance-top:0.0pt;mso-wrap-distance-right:9.0pt;mso-wrap-distance-bottom:0.0pt;" stroked="f">
                      <v:path textboxrect="0,0,0,0"/>
                      <v:imagedata r:id="rId26"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振兴路公厕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政府南振兴路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-50165</wp:posOffset>
                      </wp:positionH>
                      <wp:positionV relativeFrom="paragraph">
                        <wp:posOffset>-3810</wp:posOffset>
                      </wp:positionV>
                      <wp:extent cx="2409190" cy="1188085"/>
                      <wp:effectExtent l="0" t="0" r="10160" b="12065"/>
                      <wp:wrapNone/>
                      <wp:docPr id="18" name="图片_18"/>
                      <wp:cNvGraphicFramePr/>
                      <a:graphic xmlns:a="http://schemas.openxmlformats.org/drawingml/2006/main">
                        <a:graphicData uri="http://schemas.openxmlformats.org/drawingml/2006/picture">
                          <pic:pic xmlns:pic="http://schemas.openxmlformats.org/drawingml/2006/picture">
                            <pic:nvPicPr>
                              <pic:cNvPr id="25" name="图片_18"/>
                              <pic:cNvPicPr/>
                              <pic:nvPr/>
                            </pic:nvPicPr>
                            <pic:blipFill>
                              <a:blip r:embed="rId27"/>
                              <a:stretch/>
                            </pic:blipFill>
                            <pic:spPr bwMode="auto">
                              <a:xfrm>
                                <a:off x="0" y="0"/>
                                <a:ext cx="2409190"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3.9pt;mso-position-horizontal:absolute;mso-position-vertical-relative:text;margin-top:-0.3pt;mso-position-vertical:absolute;width:189.7pt;height:93.5pt;mso-wrap-distance-left:9.0pt;mso-wrap-distance-top:0.0pt;mso-wrap-distance-right:9.0pt;mso-wrap-distance-bottom:0.0pt;" stroked="f">
                      <v:path textboxrect="0,0,0,0"/>
                      <v:imagedata r:id="rId27"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集东公厕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东城家园小区后振兴路南侧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-26670</wp:posOffset>
                      </wp:positionH>
                      <wp:positionV relativeFrom="paragraph">
                        <wp:posOffset>20320</wp:posOffset>
                      </wp:positionV>
                      <wp:extent cx="2421255" cy="1136650"/>
                      <wp:effectExtent l="0" t="0" r="17145" b="6350"/>
                      <wp:wrapNone/>
                      <wp:docPr id="19" name="图片_19"/>
                      <wp:cNvGraphicFramePr/>
                      <a:graphic xmlns:a="http://schemas.openxmlformats.org/drawingml/2006/main">
                        <a:graphicData uri="http://schemas.openxmlformats.org/drawingml/2006/picture">
                          <pic:pic xmlns:pic="http://schemas.openxmlformats.org/drawingml/2006/picture">
                            <pic:nvPicPr>
                              <pic:cNvPr id="15" name="图片_19"/>
                              <pic:cNvPicPr/>
                              <pic:nvPr/>
                            </pic:nvPicPr>
                            <pic:blipFill>
                              <a:blip r:embed="rId28"/>
                              <a:stretch/>
                            </pic:blipFill>
                            <pic:spPr bwMode="auto">
                              <a:xfrm>
                                <a:off x="0" y="0"/>
                                <a:ext cx="2421255" cy="113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2.1pt;mso-position-horizontal:absolute;mso-position-vertical-relative:text;margin-top:1.6pt;mso-position-vertical:absolute;width:190.6pt;height:89.5pt;mso-wrap-distance-left:9.0pt;mso-wrap-distance-top:0.0pt;mso-wrap-distance-right:9.0pt;mso-wrap-distance-bottom:0.0pt;" stroked="f">
                      <v:path textboxrect="0,0,0,0"/>
                      <v:imagedata r:id="rId28"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吉庆社区公厕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东城家园社区向西100米宿泗路北侧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-55880</wp:posOffset>
                      </wp:positionH>
                      <wp:positionV relativeFrom="paragraph">
                        <wp:posOffset>-3810</wp:posOffset>
                      </wp:positionV>
                      <wp:extent cx="2435225" cy="1196340"/>
                      <wp:effectExtent l="0" t="0" r="3175" b="3810"/>
                      <wp:wrapNone/>
                      <wp:docPr id="20" name="图片_20"/>
                      <wp:cNvGraphicFramePr/>
                      <a:graphic xmlns:a="http://schemas.openxmlformats.org/drawingml/2006/main">
                        <a:graphicData uri="http://schemas.openxmlformats.org/drawingml/2006/picture">
                          <pic:pic xmlns:pic="http://schemas.openxmlformats.org/drawingml/2006/picture">
                            <pic:nvPicPr>
                              <pic:cNvPr id="16" name="图片_20"/>
                              <pic:cNvPicPr/>
                              <pic:nvPr/>
                            </pic:nvPicPr>
                            <pic:blipFill>
                              <a:blip r:embed="rId29"/>
                              <a:stretch/>
                            </pic:blipFill>
                            <pic:spPr bwMode="auto">
                              <a:xfrm>
                                <a:off x="0" y="0"/>
                                <a:ext cx="2435225" cy="1196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4.4pt;mso-position-horizontal:absolute;mso-position-vertical-relative:text;margin-top:-0.3pt;mso-position-vertical:absolute;width:191.8pt;height:94.2pt;mso-wrap-distance-left:9.0pt;mso-wrap-distance-top:0.0pt;mso-wrap-distance-right:9.0pt;mso-wrap-distance-bottom:0.0pt;" stroked="f">
                      <v:path textboxrect="0,0,0,0"/>
                      <v:imagedata r:id="rId29"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葫芦娃广场公厕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丁嘴社区葫芦娃广场公厕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left"/>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-38735</wp:posOffset>
                      </wp:positionH>
                      <wp:positionV relativeFrom="paragraph">
                        <wp:posOffset>38735</wp:posOffset>
                      </wp:positionV>
                      <wp:extent cx="2419985" cy="1165225"/>
                      <wp:effectExtent l="0" t="0" r="18415" b="15875"/>
                      <wp:wrapNone/>
                      <wp:docPr id="21" name="图片_21"/>
                      <wp:cNvGraphicFramePr/>
                      <a:graphic xmlns:a="http://schemas.openxmlformats.org/drawingml/2006/main">
                        <a:graphicData uri="http://schemas.openxmlformats.org/drawingml/2006/picture">
                          <pic:pic xmlns:pic="http://schemas.openxmlformats.org/drawingml/2006/picture">
                            <pic:nvPicPr>
                              <pic:cNvPr id="23" name="图片_21"/>
                              <pic:cNvPicPr/>
                              <pic:nvPr/>
                            </pic:nvPicPr>
                            <pic:blipFill>
                              <a:blip r:embed="rId30"/>
                              <a:stretch/>
                            </pic:blipFill>
                            <pic:spPr bwMode="auto">
                              <a:xfrm>
                                <a:off x="0" y="0"/>
                                <a:ext cx="2419985" cy="1165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0pt;mso-position-horizontal:absolute;mso-position-vertical-relative:text;margin-top:3.0pt;mso-position-vertical:absolute;width:190.5pt;height:91.8pt;mso-wrap-distance-left:9.0pt;mso-wrap-distance-top:0.0pt;mso-wrap-distance-right:9.0pt;mso-wrap-distance-bottom:0.0pt;" stroked="f">
                      <v:path textboxrect="0,0,0,0"/>
                      <v:imagedata r:id="rId30"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三分支公厕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丁嘴社区三分支公厕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-28575</wp:posOffset>
                      </wp:positionH>
                      <wp:positionV relativeFrom="paragraph">
                        <wp:posOffset>45720</wp:posOffset>
                      </wp:positionV>
                      <wp:extent cx="2424430" cy="1208405"/>
                      <wp:effectExtent l="0" t="0" r="13970" b="10795"/>
                      <wp:wrapNone/>
                      <wp:docPr id="22" name="图片_22"/>
                      <wp:cNvGraphicFramePr/>
                      <a:graphic xmlns:a="http://schemas.openxmlformats.org/drawingml/2006/main">
                        <a:graphicData uri="http://schemas.openxmlformats.org/drawingml/2006/picture">
                          <pic:pic xmlns:pic="http://schemas.openxmlformats.org/drawingml/2006/picture">
                            <pic:nvPicPr>
                              <pic:cNvPr id="17" name="图片_22"/>
                              <pic:cNvPicPr/>
                              <pic:nvPr/>
                            </pic:nvPicPr>
                            <pic:blipFill>
                              <a:blip r:embed="rId31"/>
                              <a:stretch/>
                            </pic:blipFill>
                            <pic:spPr bwMode="auto">
                              <a:xfrm>
                                <a:off x="0" y="0"/>
                                <a:ext cx="2424430"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2576;o:allowoverlap:true;o:allowincell:true;mso-position-horizontal-relative:text;margin-left:-2.2pt;mso-position-horizontal:absolute;mso-position-vertical-relative:text;margin-top:3.6pt;mso-position-vertical:absolute;width:190.9pt;height:95.1pt;mso-wrap-distance-left:9.0pt;mso-wrap-distance-top:0.0pt;mso-wrap-distance-right:9.0pt;mso-wrap-distance-bottom:0.0pt;" stroked="f">
                      <v:path textboxrect="0,0,0,0"/>
                      <v:imagedata r:id="rId31"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招待所公厕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丁嘴社区招待所公厕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-20955</wp:posOffset>
                      </wp:positionH>
                      <wp:positionV relativeFrom="paragraph">
                        <wp:posOffset>31750</wp:posOffset>
                      </wp:positionV>
                      <wp:extent cx="2419985" cy="1140460"/>
                      <wp:effectExtent l="0" t="0" r="18415" b="2540"/>
                      <wp:wrapNone/>
                      <wp:docPr id="23" name="图片_23"/>
                      <wp:cNvGraphicFramePr/>
                      <a:graphic xmlns:a="http://schemas.openxmlformats.org/drawingml/2006/main">
                        <a:graphicData uri="http://schemas.openxmlformats.org/drawingml/2006/picture">
                          <pic:pic xmlns:pic="http://schemas.openxmlformats.org/drawingml/2006/picture">
                            <pic:nvPicPr>
                              <pic:cNvPr id="21" name="图片_23"/>
                              <pic:cNvPicPr/>
                              <pic:nvPr/>
                            </pic:nvPicPr>
                            <pic:blipFill>
                              <a:blip r:embed="rId32"/>
                              <a:stretch/>
                            </pic:blipFill>
                            <pic:spPr bwMode="auto">
                              <a:xfrm>
                                <a:off x="0" y="0"/>
                                <a:ext cx="241998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1.6pt;mso-position-horizontal:absolute;mso-position-vertical-relative:text;margin-top:2.5pt;mso-position-vertical:absolute;width:190.5pt;height:89.8pt;mso-wrap-distance-left:9.0pt;mso-wrap-distance-top:0.0pt;mso-wrap-distance-right:9.0pt;mso-wrap-distance-bottom:0.0pt;" stroked="f">
                      <v:path textboxrect="0,0,0,0"/>
                      <v:imagedata r:id="rId32"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丁嘴菜场公厕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丁嘴社区菜场公厕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-20320</wp:posOffset>
                      </wp:positionH>
                      <wp:positionV relativeFrom="paragraph">
                        <wp:posOffset>34290</wp:posOffset>
                      </wp:positionV>
                      <wp:extent cx="2420620" cy="1143635"/>
                      <wp:effectExtent l="0" t="0" r="17780" b="18415"/>
                      <wp:wrapNone/>
                      <wp:docPr id="24" name="图片_24"/>
                      <wp:cNvGraphicFramePr/>
                      <a:graphic xmlns:a="http://schemas.openxmlformats.org/drawingml/2006/main">
                        <a:graphicData uri="http://schemas.openxmlformats.org/drawingml/2006/picture">
                          <pic:pic xmlns:pic="http://schemas.openxmlformats.org/drawingml/2006/picture">
                            <pic:nvPicPr>
                              <pic:cNvPr id="22" name="图片_24"/>
                              <pic:cNvPicPr/>
                              <pic:nvPr/>
                            </pic:nvPicPr>
                            <pic:blipFill>
                              <a:blip r:embed="rId33"/>
                              <a:stretch/>
                            </pic:blipFill>
                            <pic:spPr bwMode="auto">
                              <a:xfrm>
                                <a:off x="0" y="0"/>
                                <a:ext cx="2420620" cy="1143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6pt;mso-position-horizontal:absolute;mso-position-vertical-relative:text;margin-top:2.7pt;mso-position-vertical:absolute;width:190.6pt;height:90.0pt;mso-wrap-distance-left:9.0pt;mso-wrap-distance-top:0.0pt;mso-wrap-distance-right:9.0pt;mso-wrap-distance-bottom:0.0pt;" stroked="f">
                      <v:path textboxrect="0,0,0,0"/>
                      <v:imagedata r:id="rId33"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东胜南路公厕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丁嘴社区东胜路边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24130</wp:posOffset>
                      </wp:positionV>
                      <wp:extent cx="2416175" cy="1273810"/>
                      <wp:effectExtent l="0" t="0" r="3175" b="2540"/>
                      <wp:wrapNone/>
                      <wp:docPr id="25" name="图片_25"/>
                      <wp:cNvGraphicFramePr/>
                      <a:graphic xmlns:a="http://schemas.openxmlformats.org/drawingml/2006/main">
                        <a:graphicData uri="http://schemas.openxmlformats.org/drawingml/2006/picture">
                          <pic:pic xmlns:pic="http://schemas.openxmlformats.org/drawingml/2006/picture">
                            <pic:nvPicPr>
                              <pic:cNvPr id="18" name="图片_25"/>
                              <pic:cNvPicPr/>
                              <pic:nvPr/>
                            </pic:nvPicPr>
                            <pic:blipFill>
                              <a:blip r:embed="rId34"/>
                              <a:stretch/>
                            </pic:blipFill>
                            <pic:spPr bwMode="auto">
                              <a:xfrm>
                                <a:off x="0" y="0"/>
                                <a:ext cx="2416175" cy="1273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3600;o:allowoverlap:true;o:allowincell:true;mso-position-horizontal-relative:text;margin-left:-3.0pt;mso-position-horizontal:absolute;mso-position-vertical-relative:text;margin-top:1.9pt;mso-position-vertical:absolute;width:190.2pt;height:100.3pt;mso-wrap-distance-left:9.0pt;mso-wrap-distance-top:0.0pt;mso-wrap-distance-right:9.0pt;mso-wrap-distance-bottom:0.0pt;" stroked="f">
                      <v:path textboxrect="0,0,0,0"/>
                      <v:imagedata r:id="rId3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来龙镇</w:t>
            </w:r>
            <w:r>
              <w:rPr>
                <w:rFonts w:hint="eastAsia" w:ascii="宋体" w:hAnsi="宋体" w:eastAsia="宋体" w:cs="宋体"/>
                <w:sz w:val="22"/>
                <w:lang w:bidi="ar"/>
              </w:rPr>
              <w:br/>
            </w:r>
            <w:r>
              <w:rPr>
                <w:rFonts w:hint="eastAsia" w:ascii="宋体" w:hAnsi="宋体" w:eastAsia="宋体" w:cs="宋体"/>
                <w:sz w:val="22"/>
                <w:lang w:bidi="ar"/>
              </w:rPr>
              <w:t xml:space="preserve">（17座）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外环路公厕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来龙新医院南边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-27305</wp:posOffset>
                      </wp:positionH>
                      <wp:positionV relativeFrom="paragraph">
                        <wp:posOffset>19685</wp:posOffset>
                      </wp:positionV>
                      <wp:extent cx="2405380" cy="1303655"/>
                      <wp:effectExtent l="0" t="0" r="13970" b="10795"/>
                      <wp:wrapNone/>
                      <wp:docPr id="26" name="图片_26"/>
                      <wp:cNvGraphicFramePr/>
                      <a:graphic xmlns:a="http://schemas.openxmlformats.org/drawingml/2006/main">
                        <a:graphicData uri="http://schemas.openxmlformats.org/drawingml/2006/picture">
                          <pic:pic xmlns:pic="http://schemas.openxmlformats.org/drawingml/2006/picture">
                            <pic:nvPicPr>
                              <pic:cNvPr id="19" name="图片_26"/>
                              <pic:cNvPicPr/>
                              <pic:nvPr/>
                            </pic:nvPicPr>
                            <pic:blipFill>
                              <a:blip r:embed="rId35"/>
                              <a:stretch/>
                            </pic:blipFill>
                            <pic:spPr bwMode="auto">
                              <a:xfrm>
                                <a:off x="0" y="0"/>
                                <a:ext cx="2405380" cy="1303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4624;o:allowoverlap:true;o:allowincell:true;mso-position-horizontal-relative:text;margin-left:-2.1pt;mso-position-horizontal:absolute;mso-position-vertical-relative:text;margin-top:1.5pt;mso-position-vertical:absolute;width:189.4pt;height:102.6pt;mso-wrap-distance-left:9.0pt;mso-wrap-distance-top:0.0pt;mso-wrap-distance-right:9.0pt;mso-wrap-distance-bottom:0.0pt;" stroked="f">
                      <v:path textboxrect="0,0,0,0"/>
                      <v:imagedata r:id="rId35" o:title=""/>
                    </v:shape>
                  </w:pict>
                </mc:Fallback>
              </mc:AlternateContent>
            </w:r>
            <w:r/>
          </w:p>
        </w:tc>
      </w:tr>
      <w:tr>
        <w:trPr>
          <w:trHeight w:val="20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明街公厕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明街牌坊处</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-44450</wp:posOffset>
                      </wp:positionH>
                      <wp:positionV relativeFrom="paragraph">
                        <wp:posOffset>37465</wp:posOffset>
                      </wp:positionV>
                      <wp:extent cx="2437130" cy="1243330"/>
                      <wp:effectExtent l="0" t="0" r="1270" b="13970"/>
                      <wp:wrapNone/>
                      <wp:docPr id="27" name="图片_27"/>
                      <wp:cNvGraphicFramePr/>
                      <a:graphic xmlns:a="http://schemas.openxmlformats.org/drawingml/2006/main">
                        <a:graphicData uri="http://schemas.openxmlformats.org/drawingml/2006/picture">
                          <pic:pic xmlns:pic="http://schemas.openxmlformats.org/drawingml/2006/picture">
                            <pic:nvPicPr>
                              <pic:cNvPr id="20" name="图片_27"/>
                              <pic:cNvPicPr/>
                              <pic:nvPr/>
                            </pic:nvPicPr>
                            <pic:blipFill>
                              <a:blip r:embed="rId36"/>
                              <a:stretch/>
                            </pic:blipFill>
                            <pic:spPr bwMode="auto">
                              <a:xfrm>
                                <a:off x="0" y="0"/>
                                <a:ext cx="2437130" cy="1243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5648;o:allowoverlap:true;o:allowincell:true;mso-position-horizontal-relative:text;margin-left:-3.5pt;mso-position-horizontal:absolute;mso-position-vertical-relative:text;margin-top:2.9pt;mso-position-vertical:absolute;width:191.9pt;height:97.9pt;mso-wrap-distance-left:9.0pt;mso-wrap-distance-top:0.0pt;mso-wrap-distance-right:9.0pt;mso-wrap-distance-bottom:0.0pt;" stroked="f">
                      <v:path textboxrect="0,0,0,0"/>
                      <v:imagedata r:id="rId36" o:title=""/>
                    </v:shape>
                  </w:pict>
                </mc:Fallback>
              </mc:AlternateContent>
            </w:r>
            <w:r/>
          </w:p>
        </w:tc>
      </w:tr>
      <w:tr>
        <w:trPr>
          <w:trHeight w:val="21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小镇客厅北乒乓球场斜对面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-26670</wp:posOffset>
                      </wp:positionH>
                      <wp:positionV relativeFrom="paragraph">
                        <wp:posOffset>37465</wp:posOffset>
                      </wp:positionV>
                      <wp:extent cx="2437130" cy="1269365"/>
                      <wp:effectExtent l="0" t="0" r="1270" b="6985"/>
                      <wp:wrapNone/>
                      <wp:docPr id="28" name="图片_28"/>
                      <wp:cNvGraphicFramePr/>
                      <a:graphic xmlns:a="http://schemas.openxmlformats.org/drawingml/2006/main">
                        <a:graphicData uri="http://schemas.openxmlformats.org/drawingml/2006/picture">
                          <pic:pic xmlns:pic="http://schemas.openxmlformats.org/drawingml/2006/picture">
                            <pic:nvPicPr>
                              <pic:cNvPr id="26" name="图片_28"/>
                              <pic:cNvPicPr/>
                              <pic:nvPr/>
                            </pic:nvPicPr>
                            <pic:blipFill>
                              <a:blip r:embed="rId37"/>
                              <a:stretch/>
                            </pic:blipFill>
                            <pic:spPr bwMode="auto">
                              <a:xfrm>
                                <a:off x="0" y="0"/>
                                <a:ext cx="2437130" cy="1269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2.1pt;mso-position-horizontal:absolute;mso-position-vertical-relative:text;margin-top:2.9pt;mso-position-vertical:absolute;width:191.9pt;height:99.9pt;mso-wrap-distance-left:9.0pt;mso-wrap-distance-top:0.0pt;mso-wrap-distance-right:9.0pt;mso-wrap-distance-bottom:0.0pt;" stroked="f">
                      <v:path textboxrect="0,0,0,0"/>
                      <v:imagedata r:id="rId37"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电商园区公厕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创新路与通港路交汇</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-46355</wp:posOffset>
                      </wp:positionH>
                      <wp:positionV relativeFrom="paragraph">
                        <wp:posOffset>3810</wp:posOffset>
                      </wp:positionV>
                      <wp:extent cx="2430145" cy="1294765"/>
                      <wp:effectExtent l="0" t="0" r="8255" b="635"/>
                      <wp:wrapNone/>
                      <wp:docPr id="29" name="图片_29"/>
                      <wp:cNvGraphicFramePr/>
                      <a:graphic xmlns:a="http://schemas.openxmlformats.org/drawingml/2006/main">
                        <a:graphicData uri="http://schemas.openxmlformats.org/drawingml/2006/picture">
                          <pic:pic xmlns:pic="http://schemas.openxmlformats.org/drawingml/2006/picture">
                            <pic:nvPicPr>
                              <pic:cNvPr id="27" name="图片_29"/>
                              <pic:cNvPicPr/>
                              <pic:nvPr/>
                            </pic:nvPicPr>
                            <pic:blipFill>
                              <a:blip r:embed="rId38"/>
                              <a:stretch/>
                            </pic:blipFill>
                            <pic:spPr bwMode="auto">
                              <a:xfrm>
                                <a:off x="0" y="0"/>
                                <a:ext cx="2430145" cy="129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6pt;mso-position-horizontal:absolute;mso-position-vertical-relative:text;margin-top:0.3pt;mso-position-vertical:absolute;width:191.3pt;height:101.9pt;mso-wrap-distance-left:9.0pt;mso-wrap-distance-top:0.0pt;mso-wrap-distance-right:9.0pt;mso-wrap-distance-bottom:0.0pt;" stroked="f">
                      <v:path textboxrect="0,0,0,0"/>
                      <v:imagedata r:id="rId38"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农贸市场北侧公厕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-34925</wp:posOffset>
                      </wp:positionH>
                      <wp:positionV relativeFrom="paragraph">
                        <wp:posOffset>50165</wp:posOffset>
                      </wp:positionV>
                      <wp:extent cx="2421890" cy="1195070"/>
                      <wp:effectExtent l="0" t="0" r="16510" b="5080"/>
                      <wp:wrapNone/>
                      <wp:docPr id="30" name="图片_30"/>
                      <wp:cNvGraphicFramePr/>
                      <a:graphic xmlns:a="http://schemas.openxmlformats.org/drawingml/2006/main">
                        <a:graphicData uri="http://schemas.openxmlformats.org/drawingml/2006/picture">
                          <pic:pic xmlns:pic="http://schemas.openxmlformats.org/drawingml/2006/picture">
                            <pic:nvPicPr>
                              <pic:cNvPr id="28" name="图片_30"/>
                              <pic:cNvPicPr/>
                              <pic:nvPr/>
                            </pic:nvPicPr>
                            <pic:blipFill>
                              <a:blip r:embed="rId39"/>
                              <a:stretch/>
                            </pic:blipFill>
                            <pic:spPr bwMode="auto">
                              <a:xfrm>
                                <a:off x="0" y="0"/>
                                <a:ext cx="242189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2.8pt;mso-position-horizontal:absolute;mso-position-vertical-relative:text;margin-top:3.9pt;mso-position-vertical:absolute;width:190.7pt;height:94.1pt;mso-wrap-distance-left:9.0pt;mso-wrap-distance-top:0.0pt;mso-wrap-distance-right:9.0pt;mso-wrap-distance-bottom:0.0pt;" stroked="f">
                      <v:path textboxrect="0,0,0,0"/>
                      <v:imagedata r:id="rId39"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白鹿湖公园公厕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白鹿湖公园</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-44450</wp:posOffset>
                      </wp:positionH>
                      <wp:positionV relativeFrom="paragraph">
                        <wp:posOffset>-5080</wp:posOffset>
                      </wp:positionV>
                      <wp:extent cx="2429510" cy="1309370"/>
                      <wp:effectExtent l="0" t="0" r="8890" b="5080"/>
                      <wp:wrapNone/>
                      <wp:docPr id="31" name="图片_31"/>
                      <wp:cNvGraphicFramePr/>
                      <a:graphic xmlns:a="http://schemas.openxmlformats.org/drawingml/2006/main">
                        <a:graphicData uri="http://schemas.openxmlformats.org/drawingml/2006/picture">
                          <pic:pic xmlns:pic="http://schemas.openxmlformats.org/drawingml/2006/picture">
                            <pic:nvPicPr>
                              <pic:cNvPr id="36" name="图片_31"/>
                              <pic:cNvPicPr/>
                              <pic:nvPr/>
                            </pic:nvPicPr>
                            <pic:blipFill>
                              <a:blip r:embed="rId40"/>
                              <a:stretch/>
                            </pic:blipFill>
                            <pic:spPr bwMode="auto">
                              <a:xfrm>
                                <a:off x="0" y="0"/>
                                <a:ext cx="2429509" cy="130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92032;o:allowoverlap:true;o:allowincell:true;mso-position-horizontal-relative:text;margin-left:-3.5pt;mso-position-horizontal:absolute;mso-position-vertical-relative:text;margin-top:-0.4pt;mso-position-vertical:absolute;width:191.3pt;height:103.1pt;mso-wrap-distance-left:9.0pt;mso-wrap-distance-top:0.0pt;mso-wrap-distance-right:9.0pt;mso-wrap-distance-bottom:0.0pt;" stroked="f">
                      <v:path textboxrect="0,0,0,0"/>
                      <v:imagedata r:id="rId40" o:title=""/>
                    </v:shape>
                  </w:pict>
                </mc:Fallback>
              </mc:AlternateContent>
            </w:r>
            <w:r/>
          </w:p>
        </w:tc>
      </w:tr>
      <w:tr>
        <w:trPr>
          <w:trHeight w:val="2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来龙小学西侧公厕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来龙小学西侧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-25400</wp:posOffset>
                      </wp:positionH>
                      <wp:positionV relativeFrom="paragraph">
                        <wp:posOffset>24130</wp:posOffset>
                      </wp:positionV>
                      <wp:extent cx="2405380" cy="1250315"/>
                      <wp:effectExtent l="0" t="0" r="13970" b="6985"/>
                      <wp:wrapNone/>
                      <wp:docPr id="32" name="图片_32"/>
                      <wp:cNvGraphicFramePr/>
                      <a:graphic xmlns:a="http://schemas.openxmlformats.org/drawingml/2006/main">
                        <a:graphicData uri="http://schemas.openxmlformats.org/drawingml/2006/picture">
                          <pic:pic xmlns:pic="http://schemas.openxmlformats.org/drawingml/2006/picture">
                            <pic:nvPicPr>
                              <pic:cNvPr id="38" name="图片_32"/>
                              <pic:cNvPicPr/>
                              <pic:nvPr/>
                            </pic:nvPicPr>
                            <pic:blipFill>
                              <a:blip r:embed="rId41"/>
                              <a:stretch/>
                            </pic:blipFill>
                            <pic:spPr bwMode="auto">
                              <a:xfrm>
                                <a:off x="0" y="0"/>
                                <a:ext cx="2405380" cy="1250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4080;o:allowoverlap:true;o:allowincell:true;mso-position-horizontal-relative:text;margin-left:-2.0pt;mso-position-horizontal:absolute;mso-position-vertical-relative:text;margin-top:1.9pt;mso-position-vertical:absolute;width:189.4pt;height:98.4pt;mso-wrap-distance-left:9.0pt;mso-wrap-distance-top:0.0pt;mso-wrap-distance-right:9.0pt;mso-wrap-distance-bottom:0.0pt;" stroked="f">
                      <v:path textboxrect="0,0,0,0"/>
                      <v:imagedata r:id="rId41"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来龙小学东侧公厕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来龙小学东侧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-16510</wp:posOffset>
                      </wp:positionH>
                      <wp:positionV relativeFrom="paragraph">
                        <wp:posOffset>14605</wp:posOffset>
                      </wp:positionV>
                      <wp:extent cx="2413000" cy="1200150"/>
                      <wp:effectExtent l="0" t="0" r="6350" b="0"/>
                      <wp:wrapNone/>
                      <wp:docPr id="33" name="图片_33"/>
                      <wp:cNvGraphicFramePr/>
                      <a:graphic xmlns:a="http://schemas.openxmlformats.org/drawingml/2006/main">
                        <a:graphicData uri="http://schemas.openxmlformats.org/drawingml/2006/picture">
                          <pic:pic xmlns:pic="http://schemas.openxmlformats.org/drawingml/2006/picture">
                            <pic:nvPicPr>
                              <pic:cNvPr id="31" name="图片_33"/>
                              <pic:cNvPicPr/>
                              <pic:nvPr/>
                            </pic:nvPicPr>
                            <pic:blipFill>
                              <a:blip r:embed="rId42"/>
                              <a:stretch/>
                            </pic:blipFill>
                            <pic:spPr bwMode="auto">
                              <a:xfrm>
                                <a:off x="0" y="0"/>
                                <a:ext cx="241300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6912;o:allowoverlap:true;o:allowincell:true;mso-position-horizontal-relative:text;margin-left:-1.3pt;mso-position-horizontal:absolute;mso-position-vertical-relative:text;margin-top:1.1pt;mso-position-vertical:absolute;width:190.0pt;height:94.5pt;mso-wrap-distance-left:9.0pt;mso-wrap-distance-top:0.0pt;mso-wrap-distance-right:9.0pt;mso-wrap-distance-bottom:0.0pt;" stroked="f">
                      <v:path textboxrect="0,0,0,0"/>
                      <v:imagedata r:id="rId42"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侍岭社区广场公厕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侍岭社区广场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-24130</wp:posOffset>
                      </wp:positionH>
                      <wp:positionV relativeFrom="paragraph">
                        <wp:posOffset>33655</wp:posOffset>
                      </wp:positionV>
                      <wp:extent cx="2448560" cy="1186815"/>
                      <wp:effectExtent l="0" t="0" r="8890" b="13335"/>
                      <wp:wrapNone/>
                      <wp:docPr id="34" name="图片_34"/>
                      <wp:cNvGraphicFramePr/>
                      <a:graphic xmlns:a="http://schemas.openxmlformats.org/drawingml/2006/main">
                        <a:graphicData uri="http://schemas.openxmlformats.org/drawingml/2006/picture">
                          <pic:pic xmlns:pic="http://schemas.openxmlformats.org/drawingml/2006/picture">
                            <pic:nvPicPr>
                              <pic:cNvPr id="30" name="图片_34"/>
                              <pic:cNvPicPr/>
                              <pic:nvPr/>
                            </pic:nvPicPr>
                            <pic:blipFill>
                              <a:blip r:embed="rId43"/>
                              <a:stretch/>
                            </pic:blipFill>
                            <pic:spPr bwMode="auto">
                              <a:xfrm>
                                <a:off x="0" y="0"/>
                                <a:ext cx="244856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5888;o:allowoverlap:true;o:allowincell:true;mso-position-horizontal-relative:text;margin-left:-1.9pt;mso-position-horizontal:absolute;mso-position-vertical-relative:text;margin-top:2.6pt;mso-position-vertical:absolute;width:192.8pt;height:93.4pt;mso-wrap-distance-left:9.0pt;mso-wrap-distance-top:0.0pt;mso-wrap-distance-right:9.0pt;mso-wrap-distance-bottom:0.0pt;" stroked="f">
                      <v:path textboxrect="0,0,0,0"/>
                      <v:imagedata r:id="rId43"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派出所公厕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原侍岭派出所后</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-25400</wp:posOffset>
                      </wp:positionH>
                      <wp:positionV relativeFrom="paragraph">
                        <wp:posOffset>27940</wp:posOffset>
                      </wp:positionV>
                      <wp:extent cx="2415540" cy="1144270"/>
                      <wp:effectExtent l="0" t="0" r="3810" b="17780"/>
                      <wp:wrapNone/>
                      <wp:docPr id="35" name="图片_35"/>
                      <wp:cNvGraphicFramePr/>
                      <a:graphic xmlns:a="http://schemas.openxmlformats.org/drawingml/2006/main">
                        <a:graphicData uri="http://schemas.openxmlformats.org/drawingml/2006/picture">
                          <pic:pic xmlns:pic="http://schemas.openxmlformats.org/drawingml/2006/picture">
                            <pic:nvPicPr>
                              <pic:cNvPr id="29" name="图片_35"/>
                              <pic:cNvPicPr/>
                              <pic:nvPr/>
                            </pic:nvPicPr>
                            <pic:blipFill>
                              <a:blip r:embed="rId44"/>
                              <a:stretch/>
                            </pic:blipFill>
                            <pic:spPr bwMode="auto">
                              <a:xfrm>
                                <a:off x="0" y="0"/>
                                <a:ext cx="2415540" cy="1144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4864;o:allowoverlap:true;o:allowincell:true;mso-position-horizontal-relative:text;margin-left:-2.0pt;mso-position-horizontal:absolute;mso-position-vertical-relative:text;margin-top:2.2pt;mso-position-vertical:absolute;width:190.2pt;height:90.1pt;mso-wrap-distance-left:9.0pt;mso-wrap-distance-top:0.0pt;mso-wrap-distance-right:9.0pt;mso-wrap-distance-bottom:0.0pt;" stroked="f">
                      <v:path textboxrect="0,0,0,0"/>
                      <v:imagedata r:id="rId44"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侍岭西街公厕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侍岭西街幸福小区南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-25400</wp:posOffset>
                      </wp:positionH>
                      <wp:positionV relativeFrom="paragraph">
                        <wp:posOffset>29210</wp:posOffset>
                      </wp:positionV>
                      <wp:extent cx="2438400" cy="1101090"/>
                      <wp:effectExtent l="0" t="0" r="0" b="3810"/>
                      <wp:wrapNone/>
                      <wp:docPr id="36" name="图片_36"/>
                      <wp:cNvGraphicFramePr/>
                      <a:graphic xmlns:a="http://schemas.openxmlformats.org/drawingml/2006/main">
                        <a:graphicData uri="http://schemas.openxmlformats.org/drawingml/2006/picture">
                          <pic:pic xmlns:pic="http://schemas.openxmlformats.org/drawingml/2006/picture">
                            <pic:nvPicPr>
                              <pic:cNvPr id="32" name="图片_36"/>
                              <pic:cNvPicPr/>
                              <pic:nvPr/>
                            </pic:nvPicPr>
                            <pic:blipFill>
                              <a:blip r:embed="rId45"/>
                              <a:stretch/>
                            </pic:blipFill>
                            <pic:spPr bwMode="auto">
                              <a:xfrm>
                                <a:off x="0" y="0"/>
                                <a:ext cx="243840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7936;o:allowoverlap:true;o:allowincell:true;mso-position-horizontal-relative:text;margin-left:-2.0pt;mso-position-horizontal:absolute;mso-position-vertical-relative:text;margin-top:2.3pt;mso-position-vertical:absolute;width:192.0pt;height:86.7pt;mso-wrap-distance-left:9.0pt;mso-wrap-distance-top:0.0pt;mso-wrap-distance-right:9.0pt;mso-wrap-distance-bottom:0.0pt;" stroked="f">
                      <v:path textboxrect="0,0,0,0"/>
                      <v:imagedata r:id="rId45"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计生办公厕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原侍岭计生办北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-24765</wp:posOffset>
                      </wp:positionH>
                      <wp:positionV relativeFrom="paragraph">
                        <wp:posOffset>15240</wp:posOffset>
                      </wp:positionV>
                      <wp:extent cx="2435860" cy="1183005"/>
                      <wp:effectExtent l="0" t="0" r="2540" b="17145"/>
                      <wp:wrapNone/>
                      <wp:docPr id="37" name="图片_37"/>
                      <wp:cNvGraphicFramePr/>
                      <a:graphic xmlns:a="http://schemas.openxmlformats.org/drawingml/2006/main">
                        <a:graphicData uri="http://schemas.openxmlformats.org/drawingml/2006/picture">
                          <pic:pic xmlns:pic="http://schemas.openxmlformats.org/drawingml/2006/picture">
                            <pic:nvPicPr>
                              <pic:cNvPr id="33" name="图片_37"/>
                              <pic:cNvPicPr/>
                              <pic:nvPr/>
                            </pic:nvPicPr>
                            <pic:blipFill>
                              <a:blip r:embed="rId46"/>
                              <a:stretch/>
                            </pic:blipFill>
                            <pic:spPr bwMode="auto">
                              <a:xfrm>
                                <a:off x="0" y="0"/>
                                <a:ext cx="243586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8960;o:allowoverlap:true;o:allowincell:true;mso-position-horizontal-relative:text;margin-left:-1.9pt;mso-position-horizontal:absolute;mso-position-vertical-relative:text;margin-top:1.2pt;mso-position-vertical:absolute;width:191.8pt;height:93.1pt;mso-wrap-distance-left:9.0pt;mso-wrap-distance-top:0.0pt;mso-wrap-distance-right:9.0pt;mso-wrap-distance-bottom:0.0pt;" stroked="f">
                      <v:path textboxrect="0,0,0,0"/>
                      <v:imagedata r:id="rId46"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小镇客厅旁边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-8255</wp:posOffset>
                      </wp:positionH>
                      <wp:positionV relativeFrom="paragraph">
                        <wp:posOffset>13335</wp:posOffset>
                      </wp:positionV>
                      <wp:extent cx="2428875" cy="1108075"/>
                      <wp:effectExtent l="0" t="0" r="9525" b="15875"/>
                      <wp:wrapNone/>
                      <wp:docPr id="38" name="图片_38"/>
                      <wp:cNvGraphicFramePr/>
                      <a:graphic xmlns:a="http://schemas.openxmlformats.org/drawingml/2006/main">
                        <a:graphicData uri="http://schemas.openxmlformats.org/drawingml/2006/picture">
                          <pic:pic xmlns:pic="http://schemas.openxmlformats.org/drawingml/2006/picture">
                            <pic:nvPicPr>
                              <pic:cNvPr id="34" name="图片_38"/>
                              <pic:cNvPicPr/>
                              <pic:nvPr/>
                            </pic:nvPicPr>
                            <pic:blipFill>
                              <a:blip r:embed="rId47"/>
                              <a:stretch/>
                            </pic:blipFill>
                            <pic:spPr bwMode="auto">
                              <a:xfrm>
                                <a:off x="0" y="0"/>
                                <a:ext cx="2428875"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9984;o:allowoverlap:true;o:allowincell:true;mso-position-horizontal-relative:text;margin-left:-0.7pt;mso-position-horizontal:absolute;mso-position-vertical-relative:text;margin-top:1.1pt;mso-position-vertical:absolute;width:191.2pt;height:87.2pt;mso-wrap-distance-left:9.0pt;mso-wrap-distance-top:0.0pt;mso-wrap-distance-right:9.0pt;mso-wrap-distance-bottom:0.0pt;" stroked="f">
                      <v:path textboxrect="0,0,0,0"/>
                      <v:imagedata r:id="rId47"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育才路公厕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保安中学西边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-34925</wp:posOffset>
                      </wp:positionH>
                      <wp:positionV relativeFrom="paragraph">
                        <wp:posOffset>9525</wp:posOffset>
                      </wp:positionV>
                      <wp:extent cx="2442845" cy="1163955"/>
                      <wp:effectExtent l="0" t="0" r="14604" b="17145"/>
                      <wp:wrapNone/>
                      <wp:docPr id="39" name="图片_42"/>
                      <wp:cNvGraphicFramePr/>
                      <a:graphic xmlns:a="http://schemas.openxmlformats.org/drawingml/2006/main">
                        <a:graphicData uri="http://schemas.openxmlformats.org/drawingml/2006/picture">
                          <pic:pic xmlns:pic="http://schemas.openxmlformats.org/drawingml/2006/picture">
                            <pic:nvPicPr>
                              <pic:cNvPr id="35" name="图片_42"/>
                              <pic:cNvPicPr/>
                              <pic:nvPr/>
                            </pic:nvPicPr>
                            <pic:blipFill>
                              <a:blip r:embed="rId48"/>
                              <a:stretch/>
                            </pic:blipFill>
                            <pic:spPr bwMode="auto">
                              <a:xfrm>
                                <a:off x="0" y="0"/>
                                <a:ext cx="2442845" cy="1163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1008;o:allowoverlap:true;o:allowincell:true;mso-position-horizontal-relative:text;margin-left:-2.8pt;mso-position-horizontal:absolute;mso-position-vertical-relative:text;margin-top:0.8pt;mso-position-vertical:absolute;width:192.3pt;height:91.6pt;mso-wrap-distance-left:9.0pt;mso-wrap-distance-top:0.0pt;mso-wrap-distance-right:9.0pt;mso-wrap-distance-bottom:0.0pt;" stroked="f">
                      <v:path textboxrect="0,0,0,0"/>
                      <v:imagedata r:id="rId48"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小康路公厕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千千大药房东边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-27940</wp:posOffset>
                      </wp:positionH>
                      <wp:positionV relativeFrom="paragraph">
                        <wp:posOffset>22860</wp:posOffset>
                      </wp:positionV>
                      <wp:extent cx="2431415" cy="1087755"/>
                      <wp:effectExtent l="0" t="0" r="6985" b="17145"/>
                      <wp:wrapNone/>
                      <wp:docPr id="40" name="图片_39"/>
                      <wp:cNvGraphicFramePr/>
                      <a:graphic xmlns:a="http://schemas.openxmlformats.org/drawingml/2006/main">
                        <a:graphicData uri="http://schemas.openxmlformats.org/drawingml/2006/picture">
                          <pic:pic xmlns:pic="http://schemas.openxmlformats.org/drawingml/2006/picture">
                            <pic:nvPicPr>
                              <pic:cNvPr id="37" name="图片_39"/>
                              <pic:cNvPicPr/>
                              <pic:nvPr/>
                            </pic:nvPicPr>
                            <pic:blipFill>
                              <a:blip r:embed="rId49"/>
                              <a:stretch/>
                            </pic:blipFill>
                            <pic:spPr bwMode="auto">
                              <a:xfrm>
                                <a:off x="0" y="0"/>
                                <a:ext cx="2431415" cy="1087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2.2pt;mso-position-horizontal:absolute;mso-position-vertical-relative:text;margin-top:1.8pt;mso-position-vertical:absolute;width:191.4pt;height:85.6pt;mso-wrap-distance-left:9.0pt;mso-wrap-distance-top:0.0pt;mso-wrap-distance-right:9.0pt;mso-wrap-distance-bottom:0.0pt;" stroked="f">
                      <v:path textboxrect="0,0,0,0"/>
                      <v:imagedata r:id="rId49" o:title=""/>
                    </v:shape>
                  </w:pict>
                </mc:Fallback>
              </mc:AlternateContent>
            </w:r>
            <w:r/>
          </w:p>
        </w:tc>
      </w:tr>
      <w:tr>
        <w:trPr>
          <w:trHeight w:val="17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振科小区西北公厕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振科小区西北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-27305</wp:posOffset>
                      </wp:positionH>
                      <wp:positionV relativeFrom="paragraph">
                        <wp:posOffset>17780</wp:posOffset>
                      </wp:positionV>
                      <wp:extent cx="2418080" cy="1050925"/>
                      <wp:effectExtent l="0" t="0" r="1270" b="15875"/>
                      <wp:wrapNone/>
                      <wp:docPr id="41" name="图片_41"/>
                      <wp:cNvGraphicFramePr/>
                      <a:graphic xmlns:a="http://schemas.openxmlformats.org/drawingml/2006/main">
                        <a:graphicData uri="http://schemas.openxmlformats.org/drawingml/2006/picture">
                          <pic:pic xmlns:pic="http://schemas.openxmlformats.org/drawingml/2006/picture">
                            <pic:nvPicPr>
                              <pic:cNvPr id="39" name="图片_41"/>
                              <pic:cNvPicPr/>
                              <pic:nvPr/>
                            </pic:nvPicPr>
                            <pic:blipFill>
                              <a:blip r:embed="rId50"/>
                              <a:stretch/>
                            </pic:blipFill>
                            <pic:spPr bwMode="auto">
                              <a:xfrm>
                                <a:off x="0" y="0"/>
                                <a:ext cx="241808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5104;o:allowoverlap:true;o:allowincell:true;mso-position-horizontal-relative:text;margin-left:-2.1pt;mso-position-horizontal:absolute;mso-position-vertical-relative:text;margin-top:1.4pt;mso-position-vertical:absolute;width:190.4pt;height:82.8pt;mso-wrap-distance-left:9.0pt;mso-wrap-distance-top:0.0pt;mso-wrap-distance-right:9.0pt;mso-wrap-distance-bottom:0.0pt;" stroked="f">
                      <v:path textboxrect="0,0,0,0"/>
                      <v:imagedata r:id="rId50" o:title=""/>
                    </v:shape>
                  </w:pict>
                </mc:Fallback>
              </mc:AlternateContent>
            </w:r>
            <w:r/>
          </w:p>
        </w:tc>
      </w:tr>
      <w:tr>
        <w:trPr>
          <w:trHeight w:val="1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振科小区东南公厕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振科小区东南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-37465</wp:posOffset>
                      </wp:positionH>
                      <wp:positionV relativeFrom="paragraph">
                        <wp:posOffset>27305</wp:posOffset>
                      </wp:positionV>
                      <wp:extent cx="2405380" cy="1080135"/>
                      <wp:effectExtent l="0" t="0" r="13970" b="5715"/>
                      <wp:wrapNone/>
                      <wp:docPr id="42" name="图片_40"/>
                      <wp:cNvGraphicFramePr/>
                      <a:graphic xmlns:a="http://schemas.openxmlformats.org/drawingml/2006/main">
                        <a:graphicData uri="http://schemas.openxmlformats.org/drawingml/2006/picture">
                          <pic:pic xmlns:pic="http://schemas.openxmlformats.org/drawingml/2006/picture">
                            <pic:nvPicPr>
                              <pic:cNvPr id="40" name="图片_40"/>
                              <pic:cNvPicPr/>
                              <pic:nvPr/>
                            </pic:nvPicPr>
                            <pic:blipFill>
                              <a:blip r:embed="rId51"/>
                              <a:stretch/>
                            </pic:blipFill>
                            <pic:spPr bwMode="auto">
                              <a:xfrm>
                                <a:off x="0" y="0"/>
                                <a:ext cx="2405380"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6128;o:allowoverlap:true;o:allowincell:true;mso-position-horizontal-relative:text;margin-left:-2.9pt;mso-position-horizontal:absolute;mso-position-vertical-relative:text;margin-top:2.1pt;mso-position-vertical:absolute;width:189.4pt;height:85.0pt;mso-wrap-distance-left:9.0pt;mso-wrap-distance-top:0.0pt;mso-wrap-distance-right:9.0pt;mso-wrap-distance-bottom:0.0pt;" stroked="f">
                      <v:path textboxrect="0,0,0,0"/>
                      <v:imagedata r:id="rId51"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曹集乡（5座）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清水公园公厕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清水公园</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80.9</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-5715</wp:posOffset>
                      </wp:positionH>
                      <wp:positionV relativeFrom="paragraph">
                        <wp:posOffset>55880</wp:posOffset>
                      </wp:positionV>
                      <wp:extent cx="2423795" cy="1107440"/>
                      <wp:effectExtent l="0" t="0" r="14604" b="16510"/>
                      <wp:wrapNone/>
                      <wp:docPr id="43" name="图片_43"/>
                      <wp:cNvGraphicFramePr/>
                      <a:graphic xmlns:a="http://schemas.openxmlformats.org/drawingml/2006/main">
                        <a:graphicData uri="http://schemas.openxmlformats.org/drawingml/2006/picture">
                          <pic:pic xmlns:pic="http://schemas.openxmlformats.org/drawingml/2006/picture">
                            <pic:nvPicPr>
                              <pic:cNvPr id="41" name="图片_43"/>
                              <pic:cNvPicPr/>
                              <pic:nvPr/>
                            </pic:nvPicPr>
                            <pic:blipFill>
                              <a:blip r:embed="rId52"/>
                              <a:stretch/>
                            </pic:blipFill>
                            <pic:spPr bwMode="auto">
                              <a:xfrm>
                                <a:off x="0" y="0"/>
                                <a:ext cx="2423795"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7152;o:allowoverlap:true;o:allowincell:true;mso-position-horizontal-relative:text;margin-left:-0.4pt;mso-position-horizontal:absolute;mso-position-vertical-relative:text;margin-top:4.4pt;mso-position-vertical:absolute;width:190.8pt;height:87.2pt;mso-wrap-distance-left:9.0pt;mso-wrap-distance-top:0.0pt;mso-wrap-distance-right:9.0pt;mso-wrap-distance-bottom:0.0pt;" stroked="f">
                      <v:path textboxrect="0,0,0,0"/>
                      <v:imagedata r:id="rId52" o:title=""/>
                    </v:shape>
                  </w:pict>
                </mc:Fallback>
              </mc:AlternateContent>
            </w:r>
            <w:r/>
          </w:p>
        </w:tc>
      </w:tr>
      <w:tr>
        <w:trPr>
          <w:trHeight w:val="18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-37465</wp:posOffset>
                      </wp:positionH>
                      <wp:positionV relativeFrom="paragraph">
                        <wp:posOffset>-3810</wp:posOffset>
                      </wp:positionV>
                      <wp:extent cx="2400300" cy="1133475"/>
                      <wp:effectExtent l="0" t="0" r="0" b="9525"/>
                      <wp:wrapNone/>
                      <wp:docPr id="44" name="图片_44"/>
                      <wp:cNvGraphicFramePr/>
                      <a:graphic xmlns:a="http://schemas.openxmlformats.org/drawingml/2006/main">
                        <a:graphicData uri="http://schemas.openxmlformats.org/drawingml/2006/picture">
                          <pic:pic xmlns:pic="http://schemas.openxmlformats.org/drawingml/2006/picture">
                            <pic:nvPicPr>
                              <pic:cNvPr id="43" name="图片_44"/>
                              <pic:cNvPicPr/>
                              <pic:nvPr/>
                            </pic:nvPicPr>
                            <pic:blipFill>
                              <a:blip r:embed="rId53"/>
                              <a:stretch/>
                            </pic:blipFill>
                            <pic:spPr bwMode="auto">
                              <a:xfrm>
                                <a:off x="0" y="0"/>
                                <a:ext cx="240030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2.9pt;mso-position-horizontal:absolute;mso-position-vertical-relative:text;margin-top:-0.3pt;mso-position-vertical:absolute;width:189.0pt;height:89.2pt;mso-wrap-distance-left:9.0pt;mso-wrap-distance-top:0.0pt;mso-wrap-distance-right:9.0pt;mso-wrap-distance-bottom:0.0pt;" stroked="f">
                      <v:path textboxrect="0,0,0,0"/>
                      <v:imagedata r:id="rId53" o:title=""/>
                    </v:shape>
                  </w:pict>
                </mc:Fallback>
              </mc:AlternateContent>
            </w:r>
            <w:r/>
          </w:p>
        </w:tc>
      </w:tr>
      <w:tr>
        <w:trPr>
          <w:trHeight w:val="18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-26670</wp:posOffset>
                      </wp:positionH>
                      <wp:positionV relativeFrom="paragraph">
                        <wp:posOffset>33655</wp:posOffset>
                      </wp:positionV>
                      <wp:extent cx="2391410" cy="1085850"/>
                      <wp:effectExtent l="0" t="0" r="8890" b="0"/>
                      <wp:wrapNone/>
                      <wp:docPr id="45" name="图片_45"/>
                      <wp:cNvGraphicFramePr/>
                      <a:graphic xmlns:a="http://schemas.openxmlformats.org/drawingml/2006/main">
                        <a:graphicData uri="http://schemas.openxmlformats.org/drawingml/2006/picture">
                          <pic:pic xmlns:pic="http://schemas.openxmlformats.org/drawingml/2006/picture">
                            <pic:nvPicPr>
                              <pic:cNvPr id="44" name="图片_45"/>
                              <pic:cNvPicPr/>
                              <pic:nvPr/>
                            </pic:nvPicPr>
                            <pic:blipFill>
                              <a:blip r:embed="rId54"/>
                              <a:stretch/>
                            </pic:blipFill>
                            <pic:spPr bwMode="auto">
                              <a:xfrm>
                                <a:off x="0" y="0"/>
                                <a:ext cx="239141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2.1pt;mso-position-horizontal:absolute;mso-position-vertical-relative:text;margin-top:2.6pt;mso-position-vertical:absolute;width:188.3pt;height:85.5pt;mso-wrap-distance-left:9.0pt;mso-wrap-distance-top:0.0pt;mso-wrap-distance-right:9.0pt;mso-wrap-distance-bottom:0.0pt;" stroked="f">
                      <v:path textboxrect="0,0,0,0"/>
                      <v:imagedata r:id="rId54" o:title=""/>
                    </v:shape>
                  </w:pict>
                </mc:Fallback>
              </mc:AlternateContent>
            </w:r>
            <w:r/>
          </w:p>
        </w:tc>
      </w:tr>
      <w:tr>
        <w:trPr>
          <w:trHeight w:val="1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快乐路公厕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快乐路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-25400</wp:posOffset>
                      </wp:positionH>
                      <wp:positionV relativeFrom="paragraph">
                        <wp:posOffset>26670</wp:posOffset>
                      </wp:positionV>
                      <wp:extent cx="2407285" cy="1087120"/>
                      <wp:effectExtent l="0" t="0" r="12065" b="17780"/>
                      <wp:wrapNone/>
                      <wp:docPr id="46" name="图片_46"/>
                      <wp:cNvGraphicFramePr/>
                      <a:graphic xmlns:a="http://schemas.openxmlformats.org/drawingml/2006/main">
                        <a:graphicData uri="http://schemas.openxmlformats.org/drawingml/2006/picture">
                          <pic:pic xmlns:pic="http://schemas.openxmlformats.org/drawingml/2006/picture">
                            <pic:nvPicPr>
                              <pic:cNvPr id="49" name="图片_46"/>
                              <pic:cNvPicPr/>
                              <pic:nvPr/>
                            </pic:nvPicPr>
                            <pic:blipFill>
                              <a:blip r:embed="rId55"/>
                              <a:stretch/>
                            </pic:blipFill>
                            <pic:spPr bwMode="auto">
                              <a:xfrm>
                                <a:off x="0" y="0"/>
                                <a:ext cx="2407285"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5344;o:allowoverlap:true;o:allowincell:true;mso-position-horizontal-relative:text;margin-left:-2.0pt;mso-position-horizontal:absolute;mso-position-vertical-relative:text;margin-top:2.1pt;mso-position-vertical:absolute;width:189.5pt;height:85.6pt;mso-wrap-distance-left:9.0pt;mso-wrap-distance-top:0.0pt;mso-wrap-distance-right:9.0pt;mso-wrap-distance-bottom:0.0pt;" stroked="f">
                      <v:path textboxrect="0,0,0,0"/>
                      <v:imagedata r:id="rId55"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天同庵公厕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曹高路西侧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-36830</wp:posOffset>
                      </wp:positionH>
                      <wp:positionV relativeFrom="paragraph">
                        <wp:posOffset>1905</wp:posOffset>
                      </wp:positionV>
                      <wp:extent cx="2393950" cy="1186815"/>
                      <wp:effectExtent l="0" t="0" r="6350" b="13335"/>
                      <wp:wrapNone/>
                      <wp:docPr id="47" name="图片_47"/>
                      <wp:cNvGraphicFramePr/>
                      <a:graphic xmlns:a="http://schemas.openxmlformats.org/drawingml/2006/main">
                        <a:graphicData uri="http://schemas.openxmlformats.org/drawingml/2006/picture">
                          <pic:pic xmlns:pic="http://schemas.openxmlformats.org/drawingml/2006/picture">
                            <pic:nvPicPr>
                              <pic:cNvPr id="50" name="图片_47"/>
                              <pic:cNvPicPr/>
                              <pic:nvPr/>
                            </pic:nvPicPr>
                            <pic:blipFill>
                              <a:blip r:embed="rId56"/>
                              <a:stretch/>
                            </pic:blipFill>
                            <pic:spPr bwMode="auto">
                              <a:xfrm>
                                <a:off x="0" y="0"/>
                                <a:ext cx="239395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6368;o:allowoverlap:true;o:allowincell:true;mso-position-horizontal-relative:text;margin-left:-2.9pt;mso-position-horizontal:absolute;mso-position-vertical-relative:text;margin-top:0.1pt;mso-position-vertical:absolute;width:188.5pt;height:93.4pt;mso-wrap-distance-left:9.0pt;mso-wrap-distance-top:0.0pt;mso-wrap-distance-right:9.0pt;mso-wrap-distance-bottom:0.0pt;" stroked="f">
                      <v:path textboxrect="0,0,0,0"/>
                      <v:imagedata r:id="rId56"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新庄镇（3座）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建新大道公厕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建新大道西北侧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-28575</wp:posOffset>
                      </wp:positionH>
                      <wp:positionV relativeFrom="paragraph">
                        <wp:posOffset>22225</wp:posOffset>
                      </wp:positionV>
                      <wp:extent cx="2409825" cy="1076325"/>
                      <wp:effectExtent l="0" t="0" r="9525" b="9525"/>
                      <wp:wrapNone/>
                      <wp:docPr id="48" name="图片_48"/>
                      <wp:cNvGraphicFramePr/>
                      <a:graphic xmlns:a="http://schemas.openxmlformats.org/drawingml/2006/main">
                        <a:graphicData uri="http://schemas.openxmlformats.org/drawingml/2006/picture">
                          <pic:pic xmlns:pic="http://schemas.openxmlformats.org/drawingml/2006/picture">
                            <pic:nvPicPr>
                              <pic:cNvPr id="46" name="图片_48"/>
                              <pic:cNvPicPr/>
                              <pic:nvPr/>
                            </pic:nvPicPr>
                            <pic:blipFill>
                              <a:blip r:embed="rId57"/>
                              <a:stretch/>
                            </pic:blipFill>
                            <pic:spPr bwMode="auto">
                              <a:xfrm>
                                <a:off x="0" y="0"/>
                                <a:ext cx="24098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2272;o:allowoverlap:true;o:allowincell:true;mso-position-horizontal-relative:text;margin-left:-2.2pt;mso-position-horizontal:absolute;mso-position-vertical-relative:text;margin-top:1.8pt;mso-position-vertical:absolute;width:189.8pt;height:84.8pt;mso-wrap-distance-left:9.0pt;mso-wrap-distance-top:0.0pt;mso-wrap-distance-right:9.0pt;mso-wrap-distance-bottom:0.0pt;" stroked="f">
                      <v:path textboxrect="0,0,0,0"/>
                      <v:imagedata r:id="rId57"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小镇客厅西南侧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-49530</wp:posOffset>
                      </wp:positionH>
                      <wp:positionV relativeFrom="paragraph">
                        <wp:posOffset>15240</wp:posOffset>
                      </wp:positionV>
                      <wp:extent cx="2428875" cy="1097280"/>
                      <wp:effectExtent l="0" t="0" r="9525" b="7620"/>
                      <wp:wrapNone/>
                      <wp:docPr id="49" name="图片_49"/>
                      <wp:cNvGraphicFramePr/>
                      <a:graphic xmlns:a="http://schemas.openxmlformats.org/drawingml/2006/main">
                        <a:graphicData uri="http://schemas.openxmlformats.org/drawingml/2006/picture">
                          <pic:pic xmlns:pic="http://schemas.openxmlformats.org/drawingml/2006/picture">
                            <pic:nvPicPr>
                              <pic:cNvPr id="47" name="图片_49"/>
                              <pic:cNvPicPr/>
                              <pic:nvPr/>
                            </pic:nvPicPr>
                            <pic:blipFill>
                              <a:blip r:embed="rId58"/>
                              <a:stretch/>
                            </pic:blipFill>
                            <pic:spPr bwMode="auto">
                              <a:xfrm>
                                <a:off x="0" y="0"/>
                                <a:ext cx="2428875" cy="1097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3296;o:allowoverlap:true;o:allowincell:true;mso-position-horizontal-relative:text;margin-left:-3.9pt;mso-position-horizontal:absolute;mso-position-vertical-relative:text;margin-top:1.2pt;mso-position-vertical:absolute;width:191.2pt;height:86.4pt;mso-wrap-distance-left:9.0pt;mso-wrap-distance-top:0.0pt;mso-wrap-distance-right:9.0pt;mso-wrap-distance-bottom:0.0pt;" stroked="f">
                      <v:path textboxrect="0,0,0,0"/>
                      <v:imagedata r:id="rId58" o:title=""/>
                    </v:shape>
                  </w:pict>
                </mc:Fallback>
              </mc:AlternateContent>
            </w:r>
            <w:r/>
          </w:p>
        </w:tc>
      </w:tr>
      <w:tr>
        <w:trPr>
          <w:trHeight w:val="18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富强路公厕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富强路中段</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-26670</wp:posOffset>
                      </wp:positionH>
                      <wp:positionV relativeFrom="paragraph">
                        <wp:posOffset>26670</wp:posOffset>
                      </wp:positionV>
                      <wp:extent cx="2399030" cy="1084580"/>
                      <wp:effectExtent l="0" t="0" r="1270" b="1270"/>
                      <wp:wrapNone/>
                      <wp:docPr id="50" name="图片_50"/>
                      <wp:cNvGraphicFramePr/>
                      <a:graphic xmlns:a="http://schemas.openxmlformats.org/drawingml/2006/main">
                        <a:graphicData uri="http://schemas.openxmlformats.org/drawingml/2006/picture">
                          <pic:pic xmlns:pic="http://schemas.openxmlformats.org/drawingml/2006/picture">
                            <pic:nvPicPr>
                              <pic:cNvPr id="45" name="图片_50"/>
                              <pic:cNvPicPr/>
                              <pic:nvPr/>
                            </pic:nvPicPr>
                            <pic:blipFill>
                              <a:blip r:embed="rId59"/>
                              <a:stretch/>
                            </pic:blipFill>
                            <pic:spPr bwMode="auto">
                              <a:xfrm>
                                <a:off x="0" y="0"/>
                                <a:ext cx="23990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1248;o:allowoverlap:true;o:allowincell:true;mso-position-horizontal-relative:text;margin-left:-2.1pt;mso-position-horizontal:absolute;mso-position-vertical-relative:text;margin-top:2.1pt;mso-position-vertical:absolute;width:188.9pt;height:85.4pt;mso-wrap-distance-left:9.0pt;mso-wrap-distance-top:0.0pt;mso-wrap-distance-right:9.0pt;mso-wrap-distance-bottom:0.0pt;" stroked="f">
                      <v:path textboxrect="0,0,0,0"/>
                      <v:imagedata r:id="rId59"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仰化镇</w:t>
            </w:r>
            <w:r>
              <w:rPr>
                <w:rFonts w:hint="eastAsia" w:ascii="宋体" w:hAnsi="宋体" w:eastAsia="宋体" w:cs="宋体"/>
                <w:sz w:val="22"/>
                <w:lang w:bidi="ar"/>
              </w:rPr>
              <w:br/>
            </w:r>
            <w:r>
              <w:rPr>
                <w:rFonts w:hint="eastAsia" w:ascii="宋体" w:hAnsi="宋体" w:eastAsia="宋体" w:cs="宋体"/>
                <w:sz w:val="22"/>
                <w:lang w:bidi="ar"/>
              </w:rPr>
              <w:t xml:space="preserve">（5座）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仰化小镇客厅公园北侧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-40640</wp:posOffset>
                      </wp:positionH>
                      <wp:positionV relativeFrom="paragraph">
                        <wp:posOffset>10795</wp:posOffset>
                      </wp:positionV>
                      <wp:extent cx="2425700" cy="1217295"/>
                      <wp:effectExtent l="0" t="0" r="12700" b="1905"/>
                      <wp:wrapNone/>
                      <wp:docPr id="51" name="图片_51"/>
                      <wp:cNvGraphicFramePr/>
                      <a:graphic xmlns:a="http://schemas.openxmlformats.org/drawingml/2006/main">
                        <a:graphicData uri="http://schemas.openxmlformats.org/drawingml/2006/picture">
                          <pic:pic xmlns:pic="http://schemas.openxmlformats.org/drawingml/2006/picture">
                            <pic:nvPicPr>
                              <pic:cNvPr id="48" name="图片_51"/>
                              <pic:cNvPicPr/>
                              <pic:nvPr/>
                            </pic:nvPicPr>
                            <pic:blipFill>
                              <a:blip r:embed="rId60"/>
                              <a:stretch/>
                            </pic:blipFill>
                            <pic:spPr bwMode="auto">
                              <a:xfrm>
                                <a:off x="0" y="0"/>
                                <a:ext cx="2425700" cy="1217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4320;o:allowoverlap:true;o:allowincell:true;mso-position-horizontal-relative:text;margin-left:-3.2pt;mso-position-horizontal:absolute;mso-position-vertical-relative:text;margin-top:0.8pt;mso-position-vertical:absolute;width:191.0pt;height:95.8pt;mso-wrap-distance-left:9.0pt;mso-wrap-distance-top:0.0pt;mso-wrap-distance-right:9.0pt;mso-wrap-distance-bottom:0.0pt;" stroked="f">
                      <v:path textboxrect="0,0,0,0"/>
                      <v:imagedata r:id="rId60"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粮管所公厕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粮管所南侧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-25400</wp:posOffset>
                      </wp:positionH>
                      <wp:positionV relativeFrom="paragraph">
                        <wp:posOffset>10160</wp:posOffset>
                      </wp:positionV>
                      <wp:extent cx="2432685" cy="1210310"/>
                      <wp:effectExtent l="0" t="0" r="5715" b="8890"/>
                      <wp:wrapNone/>
                      <wp:docPr id="52" name="图片_52"/>
                      <wp:cNvGraphicFramePr/>
                      <a:graphic xmlns:a="http://schemas.openxmlformats.org/drawingml/2006/main">
                        <a:graphicData uri="http://schemas.openxmlformats.org/drawingml/2006/picture">
                          <pic:pic xmlns:pic="http://schemas.openxmlformats.org/drawingml/2006/picture">
                            <pic:nvPicPr>
                              <pic:cNvPr id="42" name="图片_52"/>
                              <pic:cNvPicPr/>
                              <pic:nvPr/>
                            </pic:nvPicPr>
                            <pic:blipFill>
                              <a:blip r:embed="rId61"/>
                              <a:stretch/>
                            </pic:blipFill>
                            <pic:spPr bwMode="auto">
                              <a:xfrm>
                                <a:off x="0" y="0"/>
                                <a:ext cx="2432685"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98176;o:allowoverlap:true;o:allowincell:true;mso-position-horizontal-relative:text;margin-left:-2.0pt;mso-position-horizontal:absolute;mso-position-vertical-relative:text;margin-top:0.8pt;mso-position-vertical:absolute;width:191.5pt;height:95.3pt;mso-wrap-distance-left:9.0pt;mso-wrap-distance-top:0.0pt;mso-wrap-distance-right:9.0pt;mso-wrap-distance-bottom:0.0pt;" stroked="f">
                      <v:path textboxrect="0,0,0,0"/>
                      <v:imagedata r:id="rId61"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-46355</wp:posOffset>
                      </wp:positionH>
                      <wp:positionV relativeFrom="paragraph">
                        <wp:posOffset>3810</wp:posOffset>
                      </wp:positionV>
                      <wp:extent cx="2431415" cy="1132205"/>
                      <wp:effectExtent l="0" t="0" r="6985" b="10795"/>
                      <wp:wrapNone/>
                      <wp:docPr id="53" name="图片_53"/>
                      <wp:cNvGraphicFramePr/>
                      <a:graphic xmlns:a="http://schemas.openxmlformats.org/drawingml/2006/main">
                        <a:graphicData uri="http://schemas.openxmlformats.org/drawingml/2006/picture">
                          <pic:pic xmlns:pic="http://schemas.openxmlformats.org/drawingml/2006/picture">
                            <pic:nvPicPr>
                              <pic:cNvPr id="51" name="图片_53"/>
                              <pic:cNvPicPr/>
                              <pic:nvPr/>
                            </pic:nvPicPr>
                            <pic:blipFill>
                              <a:blip r:embed="rId62"/>
                              <a:stretch/>
                            </pic:blipFill>
                            <pic:spPr bwMode="auto">
                              <a:xfrm>
                                <a:off x="0" y="0"/>
                                <a:ext cx="2431415" cy="1132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7392;o:allowoverlap:true;o:allowincell:true;mso-position-horizontal-relative:text;margin-left:-3.6pt;mso-position-horizontal:absolute;mso-position-vertical-relative:text;margin-top:0.3pt;mso-position-vertical:absolute;width:191.4pt;height:89.1pt;mso-wrap-distance-left:9.0pt;mso-wrap-distance-top:0.0pt;mso-wrap-distance-right:9.0pt;mso-wrap-distance-bottom:0.0pt;" stroked="f">
                      <v:path textboxrect="0,0,0,0"/>
                      <v:imagedata r:id="rId62" o:title=""/>
                    </v:shape>
                  </w:pict>
                </mc:Fallback>
              </mc:AlternateContent>
            </w:r>
            <w:r/>
          </w:p>
        </w:tc>
      </w:tr>
      <w:tr>
        <w:trPr>
          <w:trHeight w:val="19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人民路公厕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仰化五组</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-37465</wp:posOffset>
                      </wp:positionH>
                      <wp:positionV relativeFrom="paragraph">
                        <wp:posOffset>52705</wp:posOffset>
                      </wp:positionV>
                      <wp:extent cx="2397125" cy="1137920"/>
                      <wp:effectExtent l="0" t="0" r="3175" b="5080"/>
                      <wp:wrapNone/>
                      <wp:docPr id="54" name="图片_54"/>
                      <wp:cNvGraphicFramePr/>
                      <a:graphic xmlns:a="http://schemas.openxmlformats.org/drawingml/2006/main">
                        <a:graphicData uri="http://schemas.openxmlformats.org/drawingml/2006/picture">
                          <pic:pic xmlns:pic="http://schemas.openxmlformats.org/drawingml/2006/picture">
                            <pic:nvPicPr>
                              <pic:cNvPr id="52" name="图片_54"/>
                              <pic:cNvPicPr/>
                              <pic:nvPr/>
                            </pic:nvPicPr>
                            <pic:blipFill>
                              <a:blip r:embed="rId63"/>
                              <a:stretch/>
                            </pic:blipFill>
                            <pic:spPr bwMode="auto">
                              <a:xfrm>
                                <a:off x="0" y="0"/>
                                <a:ext cx="2397125" cy="1137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8416;o:allowoverlap:true;o:allowincell:true;mso-position-horizontal-relative:text;margin-left:-2.9pt;mso-position-horizontal:absolute;mso-position-vertical-relative:text;margin-top:4.1pt;mso-position-vertical:absolute;width:188.8pt;height:89.6pt;mso-wrap-distance-left:9.0pt;mso-wrap-distance-top:0.0pt;mso-wrap-distance-right:9.0pt;mso-wrap-distance-bottom:0.0pt;" stroked="f">
                      <v:path textboxrect="0,0,0,0"/>
                      <v:imagedata r:id="rId63"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幼儿园公厕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仰化幼儿园南侧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-18415</wp:posOffset>
                      </wp:positionH>
                      <wp:positionV relativeFrom="paragraph">
                        <wp:posOffset>32385</wp:posOffset>
                      </wp:positionV>
                      <wp:extent cx="2388235" cy="1139190"/>
                      <wp:effectExtent l="0" t="0" r="12065" b="3810"/>
                      <wp:wrapNone/>
                      <wp:docPr id="55" name="图片_55"/>
                      <wp:cNvGraphicFramePr/>
                      <a:graphic xmlns:a="http://schemas.openxmlformats.org/drawingml/2006/main">
                        <a:graphicData uri="http://schemas.openxmlformats.org/drawingml/2006/picture">
                          <pic:pic xmlns:pic="http://schemas.openxmlformats.org/drawingml/2006/picture">
                            <pic:nvPicPr>
                              <pic:cNvPr id="53" name="图片_55"/>
                              <pic:cNvPicPr/>
                              <pic:nvPr/>
                            </pic:nvPicPr>
                            <pic:blipFill>
                              <a:blip r:embed="rId64"/>
                              <a:stretch/>
                            </pic:blipFill>
                            <pic:spPr bwMode="auto">
                              <a:xfrm>
                                <a:off x="0" y="0"/>
                                <a:ext cx="2388235" cy="1139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9440;o:allowoverlap:true;o:allowincell:true;mso-position-horizontal-relative:text;margin-left:-1.4pt;mso-position-horizontal:absolute;mso-position-vertical-relative:text;margin-top:2.5pt;mso-position-vertical:absolute;width:188.0pt;height:89.7pt;mso-wrap-distance-left:9.0pt;mso-wrap-distance-top:0.0pt;mso-wrap-distance-right:9.0pt;mso-wrap-distance-bottom:0.0pt;" stroked="f">
                      <v:path textboxrect="0,0,0,0"/>
                      <v:imagedata r:id="rId64" o:title=""/>
                    </v:shape>
                  </w:pict>
                </mc:Fallback>
              </mc:AlternateContent>
            </w:r>
            <w:r/>
          </w:p>
        </w:tc>
      </w:tr>
    </w:tbl>
    <w:p>
      <w:pPr>
        <w:rPr>
          <w:rFonts w:hint="eastAsia" w:ascii="宋体" w:hAnsi="宋体" w:eastAsia="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rPr>
      </w:r>
      <w:r/>
    </w:p>
    <w:p>
      <w:pPr>
        <w:rPr>
          <w:rFonts w:hint="eastAsia" w:ascii="宋体" w:hAnsi="宋体" w:eastAsia="宋体" w:cs="宋体"/>
          <w:sz w:val="24"/>
          <w:szCs w:val="24"/>
        </w:rPr>
      </w:pPr>
      <w:r>
        <w:rPr>
          <w:rFonts w:hint="eastAsia" w:ascii="宋体" w:hAnsi="宋体" w:eastAsia="宋体" w:cs="宋体"/>
          <w:sz w:val="24"/>
          <w:szCs w:val="24"/>
        </w:rPr>
        <w:t xml:space="preserve">附表5</w:t>
      </w:r>
      <w:r/>
    </w:p>
    <w:tbl>
      <w:tblPr>
        <w:tblStyle w:val="825"/>
        <w:tblW w:w="14920" w:type="dxa"/>
        <w:tblInd w:w="91" w:type="dxa"/>
        <w:tblLayout w:type="autofit"/>
        <w:tblCellMar>
          <w:left w:w="108" w:type="dxa"/>
          <w:top w:w="0" w:type="dxa"/>
          <w:right w:w="108" w:type="dxa"/>
          <w:bottom w:w="0" w:type="dxa"/>
        </w:tblCellMar>
        <w:tblLook w:val="04A0" w:firstRow="1" w:lastRow="0" w:firstColumn="1" w:lastColumn="0" w:noHBand="0" w:noVBand="1"/>
      </w:tblPr>
      <w:tblGrid>
        <w:gridCol w:w="1328"/>
        <w:gridCol w:w="1536"/>
        <w:gridCol w:w="1295"/>
        <w:gridCol w:w="1739"/>
        <w:gridCol w:w="1888"/>
        <w:gridCol w:w="2114"/>
        <w:gridCol w:w="1732"/>
        <w:gridCol w:w="3288"/>
      </w:tblGrid>
      <w:tr>
        <w:trPr>
          <w:trHeight w:val="1112"/>
        </w:trPr>
        <w:tc>
          <w:tcPr>
            <w:gridSpan w:val="8"/>
            <w:tcBorders>
              <w:top w:val="none" w:color="000000" w:sz="4" w:space="0"/>
              <w:left w:val="none" w:color="000000" w:sz="4" w:space="0"/>
              <w:bottom w:val="none" w:color="000000" w:sz="4" w:space="0"/>
              <w:right w:val="none" w:color="000000" w:sz="4" w:space="0"/>
            </w:tcBorders>
            <w:tcW w:w="14920" w:type="dxa"/>
            <w:vAlign w:val="center"/>
            <w:textDirection w:val="lrTb"/>
            <w:noWrap w:val="false"/>
          </w:tcPr>
          <w:p>
            <w:pPr>
              <w:jc w:val="center"/>
              <w:widowControl/>
              <w:rPr>
                <w:rFonts w:hint="eastAsia" w:ascii="宋体" w:hAnsi="宋体" w:eastAsia="宋体" w:cs="宋体"/>
                <w:b/>
                <w:bCs/>
                <w:sz w:val="40"/>
                <w:szCs w:val="40"/>
              </w:rPr>
            </w:pPr>
            <w:r>
              <w:rPr>
                <w:rFonts w:hint="eastAsia" w:ascii="宋体" w:hAnsi="宋体" w:eastAsia="宋体" w:cs="宋体"/>
                <w:b/>
                <w:bCs/>
                <w:sz w:val="40"/>
                <w:szCs w:val="40"/>
                <w:lang w:bidi="ar"/>
              </w:rPr>
              <w:t xml:space="preserve">宿豫区乡镇（涉农街道）镇区纳入环卫保洁市场化服务道路统计表</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乡镇名称</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道路数量</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主干道面积/m²</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人行步道面积/m²</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绿化面积/m²</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总面积/m²</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备注</w:t>
            </w:r>
            <w:r/>
          </w:p>
        </w:tc>
      </w:tr>
      <w:tr>
        <w:trPr>
          <w:trHeight w:val="554"/>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lang w:bidi="ar"/>
              </w:rPr>
              <w:t xml:space="preserve">顺河街道</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92071.0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83973.0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68337.0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244381.0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陆集街道</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134088.8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72437.1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33205.7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256756.0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详见分表（总面积包括小镇客厅公园17024.4㎡）</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新庄镇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174754.4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93205.2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51191.9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334381.0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详见分表（总面积包括影剧院门口1511.5㎡+小镇客厅广场13718㎡）</w:t>
            </w:r>
            <w:r/>
          </w:p>
        </w:tc>
      </w:tr>
      <w:tr>
        <w:trPr>
          <w:trHeight w:val="62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曹集乡</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16条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80700.5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49086.8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5888.3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148856.8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2"/>
                <w:lang w:bidi="ar"/>
              </w:rPr>
              <w:t xml:space="preserve">详见分表（总面积包括子胥广场13181.2㎡）</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大兴镇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182226.6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131973.2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48917.1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363116.8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丁嘴片区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111731.6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98977.7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10681.0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221390.3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关庙镇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73401.0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106524.6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9866.9</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187947.5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来龙镇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15条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207236.5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119860.8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88774.7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415872.0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侍岭片区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36372.3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54599.4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1377.8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92349.5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54380.2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66515.0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2123.8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123019.0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仰化镇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66808.5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66945.0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2681.3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136434.8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54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汇总</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rPr>
              <w:t xml:space="preserve">161条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1213771.4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944097.7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323045.6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2526349.7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lang w:bidi="ar"/>
              </w:rPr>
              <w:t xml:space="preserve">总面积包含四个广场、公园等</w:t>
            </w:r>
            <w:r/>
          </w:p>
        </w:tc>
      </w:tr>
    </w:tbl>
    <w:p>
      <w:pPr>
        <w:rPr>
          <w:rFonts w:hint="eastAsia" w:ascii="宋体" w:hAnsi="宋体" w:eastAsia="宋体" w:cs="宋体"/>
          <w:sz w:val="32"/>
          <w:szCs w:val="32"/>
        </w:rPr>
      </w:pPr>
      <w:r>
        <w:rPr>
          <w:rFonts w:hint="eastAsia" w:ascii="宋体" w:hAnsi="宋体" w:eastAsia="宋体" w:cs="宋体"/>
          <w:sz w:val="32"/>
          <w:szCs w:val="32"/>
        </w:rPr>
        <w:br w:type="page" w:clear="all"/>
      </w:r>
      <w:r/>
    </w:p>
    <w:tbl>
      <w:tblPr>
        <w:tblStyle w:val="825"/>
        <w:tblW w:w="14079"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
        <w:gridCol w:w="395"/>
        <w:gridCol w:w="727"/>
        <w:gridCol w:w="795"/>
        <w:gridCol w:w="793"/>
        <w:gridCol w:w="407"/>
        <w:gridCol w:w="920"/>
        <w:gridCol w:w="841"/>
        <w:gridCol w:w="993"/>
        <w:gridCol w:w="676"/>
        <w:gridCol w:w="633"/>
        <w:gridCol w:w="906"/>
        <w:gridCol w:w="832"/>
        <w:gridCol w:w="659"/>
        <w:gridCol w:w="953"/>
        <w:gridCol w:w="1090"/>
        <w:gridCol w:w="2064"/>
      </w:tblGrid>
      <w:tr>
        <w:trPr>
          <w:trHeight w:val="376"/>
          <w:tblHeader/>
        </w:trPr>
        <w:tc>
          <w:tcPr>
            <w:gridSpan w:val="17"/>
            <w:tcBorders>
              <w:top w:val="none" w:color="000000" w:sz="4" w:space="0"/>
              <w:left w:val="none" w:color="000000" w:sz="4" w:space="0"/>
              <w:right w:val="none" w:color="000000" w:sz="4" w:space="0"/>
            </w:tcBorders>
            <w:tcW w:w="14079" w:type="dxa"/>
            <w:textDirection w:val="lrTb"/>
            <w:noWrap w:val="false"/>
          </w:tcPr>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面积测算成果</w:t>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镇名</w:t>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道路名称</w:t>
            </w:r>
            <w:r/>
          </w:p>
        </w:tc>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起点</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gridSpan w:val="11"/>
            <w:tcBorders>
              <w:top w:val="single" w:color="auto" w:sz="4" w:space="0"/>
              <w:left w:val="none" w:color="000000" w:sz="4" w:space="0"/>
              <w:bottom w:val="single" w:color="auto" w:sz="4" w:space="0"/>
              <w:right w:val="single" w:color="auto" w:sz="4" w:space="0"/>
            </w:tcBorders>
            <w:tcW w:w="891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墙到墙</w:t>
            </w:r>
            <w:r/>
          </w:p>
        </w:tc>
        <w:tc>
          <w:tcPr>
            <w:tcBorders>
              <w:top w:val="single" w:color="auto" w:sz="4" w:space="0"/>
              <w:left w:val="single" w:color="auto" w:sz="4" w:space="0"/>
              <w:bottom w:val="single" w:color="auto" w:sz="4" w:space="0"/>
              <w:right w:val="single" w:color="auto" w:sz="4" w:space="0"/>
            </w:tcBorders>
            <w:tcW w:w="2064"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spacing w:line="180" w:lineRule="exact"/>
              <w:widowControl/>
              <w:rPr>
                <w:rFonts w:hint="eastAsia" w:ascii="宋体" w:hAnsi="宋体" w:eastAsia="宋体" w:cs="宋体"/>
                <w:sz w:val="18"/>
                <w:szCs w:val="18"/>
              </w:rPr>
            </w:pPr>
            <w:r>
              <w:rPr>
                <w:rFonts w:hint="eastAsia" w:ascii="宋体" w:hAnsi="宋体" w:eastAsia="宋体" w:cs="宋体"/>
                <w:sz w:val="18"/>
                <w:szCs w:val="18"/>
              </w:rPr>
              <w:t xml:space="preserve">道路等级划分</w:t>
            </w:r>
            <w:r/>
          </w:p>
        </w:tc>
        <w:tc>
          <w:tcPr>
            <w:gridSpan w:val="3"/>
            <w:tcBorders>
              <w:top w:val="single" w:color="auto" w:sz="4" w:space="0"/>
              <w:left w:val="none" w:color="000000" w:sz="4" w:space="0"/>
              <w:bottom w:val="single" w:color="auto" w:sz="4" w:space="0"/>
              <w:right w:val="single" w:color="auto" w:sz="4" w:space="0"/>
            </w:tcBorders>
            <w:tcW w:w="275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主干道</w:t>
            </w:r>
            <w:r/>
          </w:p>
        </w:tc>
        <w:tc>
          <w:tcPr>
            <w:gridSpan w:val="3"/>
            <w:tcBorders>
              <w:top w:val="single" w:color="auto" w:sz="4" w:space="0"/>
              <w:left w:val="none" w:color="000000" w:sz="4" w:space="0"/>
              <w:bottom w:val="single" w:color="auto" w:sz="4" w:space="0"/>
              <w:right w:val="single" w:color="auto" w:sz="4" w:space="0"/>
            </w:tcBorders>
            <w:tcW w:w="221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人行步道</w:t>
            </w:r>
            <w:r/>
          </w:p>
        </w:tc>
        <w:tc>
          <w:tcPr>
            <w:gridSpan w:val="3"/>
            <w:tcBorders>
              <w:top w:val="single" w:color="auto" w:sz="4" w:space="0"/>
              <w:left w:val="none" w:color="000000" w:sz="4" w:space="0"/>
              <w:bottom w:val="single" w:color="auto" w:sz="4" w:space="0"/>
              <w:right w:val="single" w:color="auto" w:sz="4" w:space="0"/>
            </w:tcBorders>
            <w:tcW w:w="244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绿化带</w:t>
            </w:r>
            <w:r/>
          </w:p>
        </w:tc>
        <w:tc>
          <w:tcPr>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合计/㎡</w:t>
            </w:r>
            <w:r/>
          </w:p>
        </w:tc>
        <w:tc>
          <w:tcPr>
            <w:tcBorders>
              <w:top w:val="single" w:color="auto"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347"/>
        </w:trPr>
        <w:tc>
          <w:tcPr>
            <w:tcBorders>
              <w:top w:val="none" w:color="000000" w:sz="4" w:space="0"/>
              <w:left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Borders>
              <w:top w:val="none" w:color="000000" w:sz="4" w:space="0"/>
              <w:left w:val="none" w:color="000000"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顺河街道</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扬子江路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项王东路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厦门东路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1606.4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厦门东路-天台山路13.8m；</w:t>
            </w:r>
            <w:r>
              <w:rPr>
                <w:rFonts w:hint="eastAsia" w:ascii="宋体" w:hAnsi="宋体" w:eastAsia="宋体" w:cs="宋体"/>
                <w:sz w:val="15"/>
                <w:szCs w:val="15"/>
              </w:rPr>
              <w:br/>
            </w:r>
            <w:r>
              <w:rPr>
                <w:rFonts w:hint="eastAsia" w:ascii="宋体" w:hAnsi="宋体" w:eastAsia="宋体" w:cs="宋体"/>
                <w:sz w:val="15"/>
                <w:szCs w:val="15"/>
              </w:rPr>
              <w:t xml:space="preserve">天台山路-项王东路30.0m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26109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1606.4</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16758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10790</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53657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left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宿豫大道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项王东路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厦门东路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厦门东路-龙虎山路12.0m；</w:t>
            </w:r>
            <w:r>
              <w:rPr>
                <w:rFonts w:hint="eastAsia" w:ascii="宋体" w:hAnsi="宋体" w:eastAsia="宋体" w:cs="宋体"/>
                <w:sz w:val="15"/>
                <w:szCs w:val="15"/>
              </w:rPr>
              <w:br/>
            </w:r>
            <w:r>
              <w:rPr>
                <w:rFonts w:hint="eastAsia" w:ascii="宋体" w:hAnsi="宋体" w:eastAsia="宋体" w:cs="宋体"/>
                <w:sz w:val="15"/>
                <w:szCs w:val="15"/>
              </w:rPr>
              <w:t xml:space="preserve">龙虎山路-项王东路13.5m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18914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1452</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43599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21008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83521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08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宿豫大道</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酒都路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9126</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5813</w:t>
            </w:r>
            <w:r/>
          </w:p>
        </w:tc>
        <w:tc>
          <w:tcPr>
            <w:tcBorders>
              <w:top w:val="none" w:color="000000" w:sz="4" w:space="0"/>
              <w:left w:val="single" w:color="auto" w:sz="4" w:space="0"/>
              <w:bottom w:val="single" w:color="000000"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none" w:color="000000" w:sz="4" w:space="0"/>
              <w:left w:val="single" w:color="auto" w:sz="4" w:space="0"/>
              <w:bottom w:val="single" w:color="000000"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single" w:color="auto" w:sz="4" w:space="0"/>
              <w:bottom w:val="single" w:color="000000"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3334</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18273</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26"/>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龙虎山路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酒都路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1340</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10541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1007</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9922</w:t>
            </w:r>
            <w:r/>
          </w:p>
        </w:tc>
        <w:tc>
          <w:tcPr>
            <w:tcBorders>
              <w:top w:val="none" w:color="000000" w:sz="4" w:space="0"/>
              <w:left w:val="single" w:color="auto" w:sz="4" w:space="0"/>
              <w:bottom w:val="single" w:color="000000"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w:t>
            </w:r>
            <w:r/>
          </w:p>
        </w:tc>
        <w:tc>
          <w:tcPr>
            <w:tcBorders>
              <w:top w:val="none" w:color="000000" w:sz="4" w:space="0"/>
              <w:left w:val="single" w:color="auto" w:sz="4" w:space="0"/>
              <w:bottom w:val="single" w:color="000000"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single" w:color="auto" w:sz="4" w:space="0"/>
              <w:bottom w:val="single" w:color="000000"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4348</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24811</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649"/>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化工路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12354</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w:t>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8547</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23146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87"/>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园区东路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龙虎山路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2565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2584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5882</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园区三条无名路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2105</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1245</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2393</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17852</w:t>
            </w:r>
            <w:r/>
          </w:p>
        </w:tc>
        <w:tc>
          <w:tcPr>
            <w:shd w:val="clear" w:color="000000" w:fill="ffffff"/>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956</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3091</w:t>
            </w:r>
            <w:r/>
          </w:p>
        </w:tc>
        <w:tc>
          <w:tcPr>
            <w:tcBorders>
              <w:left w:val="none" w:color="000000"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none" w:color="000000"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269</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2217</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681</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2773</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07"/>
        </w:trPr>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680</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5749</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2021</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9469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17239</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833"/>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92071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83973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68337</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22"/>
              </w:rPr>
              <w:t xml:space="preserve">244381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陆集街道</w:t>
            </w:r>
            <w:r/>
          </w:p>
        </w:tc>
        <w:tc>
          <w:tcPr>
            <w:tcBorders>
              <w:top w:val="single" w:color="auto" w:sz="4" w:space="0"/>
              <w:left w:val="none" w:color="000000"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12489.8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5260.7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688.7</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2066.1</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19816.6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南工业路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4583.2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4378.5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8961.7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1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西苑人家</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1259.4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17631.6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18740.6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36372.2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4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南到利民河</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7024.8</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585.4</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7610.2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14635</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1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1034.6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14484.4</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7394.6</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390.6</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22582.1</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387.1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4335.5</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387.1</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2090.3</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6425.8</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7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2296.8</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287.1</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1550.3</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3847.1</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1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小镇客厅公园</w:t>
            </w:r>
            <w:r/>
          </w:p>
        </w:tc>
        <w:tc>
          <w:tcPr>
            <w:tcBorders>
              <w:top w:val="single" w:color="auto"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302.5</w:t>
            </w:r>
            <w:r/>
          </w:p>
        </w:tc>
        <w:tc>
          <w:tcPr>
            <w:tcBorders>
              <w:top w:val="single" w:color="auto"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3025</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1283.7</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4308.7</w:t>
            </w:r>
            <w:r/>
          </w:p>
        </w:tc>
        <w:tc>
          <w:tcPr>
            <w:tcBorders>
              <w:top w:val="single" w:color="auto"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692.9</w:t>
            </w:r>
            <w:r/>
          </w:p>
        </w:tc>
        <w:tc>
          <w:tcPr>
            <w:tcBorders>
              <w:top w:val="single" w:color="auto" w:sz="4" w:space="0"/>
              <w:left w:val="single" w:color="auto" w:sz="4" w:space="0"/>
              <w:bottom w:val="single" w:color="000000"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8314.8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3063.8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2648.1</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14026.7</w:t>
            </w:r>
            <w:r/>
          </w:p>
        </w:tc>
        <w:tc>
          <w:tcPr>
            <w:tcBorders>
              <w:top w:val="single" w:color="auto"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439.1</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3634.6</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6249.9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9884.5</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富民路西段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3540</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3540</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府前路西段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西苑人家</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6664</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6664</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府前路东段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七斗路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5115</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5115</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108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振兴路北段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10472.8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5236.4</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15709.2</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3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幸福路北段</w:t>
            </w:r>
            <w:r/>
          </w:p>
        </w:tc>
        <w:tc>
          <w:tcPr>
            <w:tcBorders>
              <w:top w:val="none" w:color="000000" w:sz="4" w:space="0"/>
              <w:left w:val="single" w:color="auto" w:sz="4" w:space="0"/>
              <w:right w:val="single" w:color="auto" w:sz="4" w:space="0"/>
            </w:tcBorders>
            <w:tcW w:w="795"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w:t>
            </w:r>
            <w:r/>
          </w:p>
        </w:tc>
        <w:tc>
          <w:tcPr>
            <w:tcBorders>
              <w:top w:val="none" w:color="000000" w:sz="4" w:space="0"/>
              <w:left w:val="single" w:color="auto" w:sz="4" w:space="0"/>
              <w:right w:val="single" w:color="auto" w:sz="4" w:space="0"/>
            </w:tcBorders>
            <w:tcW w:w="793"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single" w:color="auto" w:sz="4" w:space="0"/>
              <w:right w:val="single" w:color="auto" w:sz="4" w:space="0"/>
            </w:tcBorders>
            <w:tcW w:w="40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770.5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11172.3</w:t>
            </w:r>
            <w:r/>
          </w:p>
        </w:tc>
        <w:tc>
          <w:tcPr>
            <w:tcBorders>
              <w:top w:val="none" w:color="000000" w:sz="4" w:space="0"/>
              <w:left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633"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906"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10615.1</w:t>
            </w:r>
            <w:r/>
          </w:p>
        </w:tc>
        <w:tc>
          <w:tcPr>
            <w:tcBorders>
              <w:top w:val="none" w:color="000000" w:sz="4" w:space="0"/>
              <w:left w:val="none" w:color="000000" w:sz="4" w:space="0"/>
              <w:right w:val="single" w:color="auto" w:sz="4" w:space="0"/>
            </w:tcBorders>
            <w:tcW w:w="832"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1408.2</w:t>
            </w:r>
            <w:r/>
          </w:p>
        </w:tc>
        <w:tc>
          <w:tcPr>
            <w:tcBorders>
              <w:top w:val="none" w:color="000000" w:sz="4" w:space="0"/>
              <w:left w:val="none" w:color="000000" w:sz="4" w:space="0"/>
              <w:right w:val="single" w:color="auto" w:sz="4" w:space="0"/>
            </w:tcBorders>
            <w:tcW w:w="659"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right w:val="single" w:color="auto" w:sz="4" w:space="0"/>
            </w:tcBorders>
            <w:tcW w:w="95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2112.3</w:t>
            </w:r>
            <w:r/>
          </w:p>
        </w:tc>
        <w:tc>
          <w:tcPr>
            <w:tcBorders>
              <w:top w:val="none" w:color="000000" w:sz="4" w:space="0"/>
              <w:left w:val="single" w:color="auto" w:sz="4" w:space="0"/>
              <w:right w:val="single" w:color="auto" w:sz="4" w:space="0"/>
            </w:tcBorders>
            <w:tcW w:w="109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26761.3</w:t>
            </w:r>
            <w:r/>
          </w:p>
        </w:tc>
        <w:tc>
          <w:tcPr>
            <w:tcBorders>
              <w:top w:val="none" w:color="000000" w:sz="4" w:space="0"/>
              <w:left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3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407"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18.5+6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2861.6</w:t>
            </w:r>
            <w:r/>
          </w:p>
        </w:tc>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63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906"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32"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659"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53"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西工业路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利民河</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741.8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6082.8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7850</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13932.8</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1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南工业路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七斗路桥</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895.2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5639.8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6014.8</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11654.6</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兴港西路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538.6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3770.2</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3109.2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6574.9</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13454.3</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1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小镇客厅公园</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17024.4</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0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菜场南门</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949.8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1090.2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2040</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29"/>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134088.8 </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72437.1</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33205.7 </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256756.0 </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9"/>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新庄镇</w:t>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新大线</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S268</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1216.7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17033.8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18444.7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56260.1 </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419.7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4826.6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419.7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2770.0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732.5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11.0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8057.5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732.5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5127.5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1104.2 </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13250.4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15558.0 </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28808.4 </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shd w:val="clear" w:color="000000" w:fill="ffffff"/>
            <w:tcBorders>
              <w:top w:val="single" w:color="auto" w:sz="4" w:space="0"/>
              <w:left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公交总站</w:t>
            </w:r>
            <w:r/>
          </w:p>
        </w:tc>
        <w:tc>
          <w:tcPr>
            <w:tcBorders>
              <w:top w:val="single" w:color="auto" w:sz="4" w:space="0"/>
              <w:left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1828.8</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12.3</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22494.2</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10191.4</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1208</w:t>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15100</w:t>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47785.6</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single" w:color="auto"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新大线</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624.3</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9988.8</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8925.1</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18913.9</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single" w:color="auto" w:sz="4" w:space="0"/>
              <w:left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536.4</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5900.4</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9300</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15200.4</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single" w:color="auto"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幼儿园</w:t>
            </w:r>
            <w:r/>
          </w:p>
        </w:tc>
        <w:tc>
          <w:tcPr>
            <w:tcBorders>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154.5 </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 </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1467.8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2683.5 </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4151.3</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2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商贸路</w:t>
            </w:r>
            <w:r/>
          </w:p>
        </w:tc>
        <w:tc>
          <w:tcPr>
            <w:gridSpan w:val="2"/>
            <w:tcBorders>
              <w:top w:val="single" w:color="auto" w:sz="4" w:space="0"/>
              <w:left w:val="none" w:color="000000" w:sz="4" w:space="0"/>
              <w:bottom w:val="single" w:color="auto" w:sz="4" w:space="0"/>
              <w:right w:val="single" w:color="auto" w:sz="4" w:space="0"/>
            </w:tcBorders>
            <w:tcW w:w="158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老菜场东西南北路</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5040.6 </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5392.5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10433.1</w:t>
            </w:r>
            <w:r/>
          </w:p>
        </w:tc>
        <w:tc>
          <w:tcPr>
            <w:tcBorders>
              <w:top w:val="single" w:color="auto"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政法楼门前南北路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支一路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345.0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1343.6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18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长江路</w:t>
            </w:r>
            <w:r/>
          </w:p>
        </w:tc>
        <w:tc>
          <w:tcPr>
            <w:tcBorders>
              <w:top w:val="none" w:color="000000" w:sz="4" w:space="0"/>
              <w:left w:val="single" w:color="auto" w:sz="4" w:space="0"/>
              <w:bottom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top w:val="none" w:color="000000" w:sz="4" w:space="0"/>
              <w:left w:val="single" w:color="auto" w:sz="4" w:space="0"/>
              <w:bottom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455.2 </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3641.6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4933.7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13819.4 </w:t>
            </w:r>
            <w:r/>
          </w:p>
        </w:tc>
        <w:tc>
          <w:tcPr>
            <w:tcBorders>
              <w:top w:val="none" w:color="000000" w:sz="4" w:space="0"/>
              <w:left w:val="single" w:color="auto" w:sz="4" w:space="0"/>
              <w:bottom w:val="singl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21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none" w:color="000000" w:sz="4" w:space="0"/>
              <w:right w:val="single" w:color="auto" w:sz="4" w:space="0"/>
            </w:tcBorders>
            <w:tcW w:w="7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none" w:color="000000" w:sz="4" w:space="0"/>
              <w:right w:val="single" w:color="auto" w:sz="4" w:space="0"/>
            </w:tcBorders>
            <w:tcW w:w="7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403.1 </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2821.7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73.4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513.8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636.2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1908.6 </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05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黄河路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博爱路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521.0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3126.0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4259.2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7385.2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博爱路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黄河路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929.7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1173.4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2103.1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5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杉荷大道</w:t>
            </w:r>
            <w:r/>
          </w:p>
        </w:tc>
        <w:tc>
          <w:tcPr>
            <w:tcBorders>
              <w:top w:val="none" w:color="000000" w:sz="4" w:space="0"/>
              <w:left w:val="single" w:color="auto" w:sz="4" w:space="0"/>
              <w:bottom w:val="singl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single" w:color="auto" w:sz="4" w:space="0"/>
              <w:bottom w:val="singl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single" w:color="auto" w:sz="4" w:space="0"/>
              <w:bottom w:val="singl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891.1 </w:t>
            </w:r>
            <w:r/>
          </w:p>
        </w:tc>
        <w:tc>
          <w:tcPr>
            <w:tcBorders>
              <w:top w:val="none" w:color="000000" w:sz="4" w:space="0"/>
              <w:left w:val="single" w:color="auto" w:sz="4" w:space="0"/>
              <w:bottom w:val="singl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 </w:t>
            </w:r>
            <w:r/>
          </w:p>
        </w:tc>
        <w:tc>
          <w:tcPr>
            <w:tcBorders>
              <w:top w:val="none" w:color="000000" w:sz="4" w:space="0"/>
              <w:left w:val="single" w:color="auto" w:sz="4" w:space="0"/>
              <w:bottom w:val="singl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13367.0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361.8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3256.2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19047.7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1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841"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484.9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2424.5 </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17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906.8 </w:t>
            </w:r>
            <w:r/>
          </w:p>
        </w:tc>
        <w:tc>
          <w:tcPr>
            <w:tcBorders>
              <w:top w:val="none" w:color="000000" w:sz="4" w:space="0"/>
              <w:left w:val="non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8161.2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379.8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3038.4 </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13709.1 </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67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2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41"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501.9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2509.5 </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富强路</w:t>
            </w:r>
            <w:r/>
          </w:p>
        </w:tc>
        <w:tc>
          <w:tcPr>
            <w:tcBorders>
              <w:top w:val="none" w:color="000000" w:sz="4" w:space="0"/>
              <w:left w:val="single" w:color="auto" w:sz="4" w:space="0"/>
              <w:bottom w:val="singl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single" w:color="auto" w:sz="4" w:space="0"/>
              <w:bottom w:val="singl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1079.6 </w:t>
            </w:r>
            <w:r/>
          </w:p>
        </w:tc>
        <w:tc>
          <w:tcPr>
            <w:tcBorders>
              <w:top w:val="none" w:color="000000" w:sz="4" w:space="0"/>
              <w:left w:val="single" w:color="auto" w:sz="4" w:space="0"/>
              <w:bottom w:val="singl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single" w:color="auto" w:sz="4" w:space="0"/>
              <w:bottom w:val="singl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12955.2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1829.6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5488.8 </w:t>
            </w:r>
            <w:r/>
          </w:p>
        </w:tc>
        <w:tc>
          <w:tcPr>
            <w:tcBorders>
              <w:top w:val="none" w:color="000000" w:sz="4" w:space="0"/>
              <w:left w:val="none" w:color="000000" w:sz="4" w:space="0"/>
              <w:bottom w:val="single" w:color="auto" w:sz="4" w:space="0"/>
              <w:right w:val="single" w:color="auto" w:sz="4" w:space="0"/>
            </w:tcBorders>
            <w:tcW w:w="832"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10095.3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32256.6 </w:t>
            </w:r>
            <w:r/>
          </w:p>
        </w:tc>
        <w:tc>
          <w:tcPr>
            <w:tcBorders>
              <w:top w:val="single" w:color="auto" w:sz="4" w:space="0"/>
              <w:left w:val="none" w:color="000000" w:sz="4" w:space="0"/>
              <w:bottom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841"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93"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3717.3</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832"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影剧院门口</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1511.5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S268</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2100.0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25212.0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25212.0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小镇客厅广场</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13718.0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2400.0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2400.0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283.7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2269.6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1704.0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1704.0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222.5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2002.5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989.8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支一路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874.3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1815.9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5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新市场路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766.8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1056.5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1823.3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水木大道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6050.4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733.3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3666.5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9716.9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29"/>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174754.4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93205.2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51191.9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334381.0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1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曹集乡</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学校北门</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797.2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8310.2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8780.8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900.6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17991.6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1024.6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10559.1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20896.1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4575.2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36030.4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大桥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益客隆超市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13122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8465.7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187.6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21775.3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快乐路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326.2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2601.2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1544.5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4145.7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快乐路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大桥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8862.4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6038.1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15085.1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丰泉路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汇泉路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3494.5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709.6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4204.1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6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汇泉路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225.4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2205.6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1089.4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3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电商一条街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天同庵公厕</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5850</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集西佳苑</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4339.6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4339.6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府前路东段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祥和路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行知路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改革东路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3462.8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3462.8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农贸市场东侧道路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237.6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7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1176.7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11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电商街至镇区段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天同庵公厕</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1255.5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11299.5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12242.7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子胥广场及周边</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13181.2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80700.5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49086.8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5888.3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148856.8</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大兴镇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北桥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6572.0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7517.1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14408.0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352.1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2852.2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2448.6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5300.7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707.7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8792.4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10521.9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19314.3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东方大道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教堂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9361.1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12592.6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2931.9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24885.6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派出所</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1411.6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14610.6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16824.3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898.7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32333.7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1820.5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24865.9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32181.3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1542.0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58589.3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桥头</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698.0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5660.5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11775.4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17436.0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利民巷</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459.3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3269.8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2950.8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6220.6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146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振兴路（包含金兴商业街）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东城家园</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1942.2363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25161.2414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30169.1049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452.5902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55782.9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门面房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0.38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4238.3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亿家福北路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1264.8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1264.8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亿家福南路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1172.0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兴盛街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东方大道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5185.6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5185.6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0.46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3501.75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仰化路口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1619.8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14578.5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14356.8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28935.3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兴张路南延段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关庙路口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1563.3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13401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1435.4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1564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9771</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24607.4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公益洗车</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377.4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4558.5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3406.5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9758.3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宿泗路东段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吉庆社区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11553.5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1118.6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2086.2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14758.3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0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1850.6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18656.4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644.7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10700.2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30001.3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致新路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2970.4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2452.3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5422.7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795"/>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182226.6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131973.2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48917.1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363116.8</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丁嘴片区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11734.8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12943.3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24678.1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678.1</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119.1</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1667.4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2860.8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公厕</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1308.3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177.7</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立旺路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2501.9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197</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4668.9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南洋路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行宫卫百货</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7443.6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11796.6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1342.1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12078.9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25652.1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1774.8</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2662.2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40393.2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5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1499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81.2</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649.6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2148.6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客运站西墙</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1608.9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38613.6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1608.9</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21237.5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1586.8</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6347.2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66198.3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泰韵生产路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2219.2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277.4</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3495.2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钱庄大街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1625.4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180.5</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541.5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610.5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739.3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1349.8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2456.1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4854.1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农贸西路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2180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3181.4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1074.6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448.4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7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南丰路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3496.2</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1142.4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142.8</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628.3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公厕门</w:t>
            </w:r>
            <w:r>
              <w:rPr>
                <w:rFonts w:hint="eastAsia" w:ascii="宋体" w:hAnsi="宋体" w:eastAsia="宋体" w:cs="宋体"/>
                <w:sz w:val="18"/>
                <w:szCs w:val="18"/>
              </w:rPr>
              <w:br/>
            </w:r>
            <w:r>
              <w:rPr>
                <w:rFonts w:hint="eastAsia" w:ascii="宋体" w:hAnsi="宋体" w:eastAsia="宋体" w:cs="宋体"/>
                <w:sz w:val="18"/>
                <w:szCs w:val="18"/>
              </w:rPr>
              <w:t xml:space="preserve">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205.1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3816.6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2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菜场北路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登山南路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1090.4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906"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2126.8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4043.9</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8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06"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顾庄路（幸福路）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w:t>
            </w:r>
            <w:r>
              <w:rPr>
                <w:rFonts w:hint="eastAsia" w:ascii="宋体" w:hAnsi="宋体" w:eastAsia="宋体" w:cs="宋体"/>
                <w:sz w:val="18"/>
                <w:szCs w:val="18"/>
              </w:rPr>
              <w:br/>
            </w:r>
            <w:r>
              <w:rPr>
                <w:rFonts w:hint="eastAsia" w:ascii="宋体" w:hAnsi="宋体" w:eastAsia="宋体" w:cs="宋体"/>
                <w:sz w:val="18"/>
                <w:szCs w:val="18"/>
              </w:rPr>
              <w:t xml:space="preserve">道</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885.5</w:t>
            </w:r>
            <w:r/>
          </w:p>
        </w:tc>
        <w:tc>
          <w:tcPr>
            <w:tcBorders>
              <w:top w:val="none" w:color="000000" w:sz="4" w:space="0"/>
              <w:left w:val="non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6641.3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906"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6724.2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466.4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932.8</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15037.1</w:t>
            </w:r>
            <w:r/>
          </w:p>
        </w:tc>
        <w:tc>
          <w:tcPr>
            <w:tcBorders>
              <w:top w:val="none" w:color="000000" w:sz="4" w:space="0"/>
              <w:left w:val="none" w:color="000000" w:sz="4" w:space="0"/>
              <w:bottom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2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41"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06"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369.4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738.8</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粮仓门</w:t>
            </w:r>
            <w:r>
              <w:rPr>
                <w:rFonts w:hint="eastAsia" w:ascii="宋体" w:hAnsi="宋体" w:eastAsia="宋体" w:cs="宋体"/>
                <w:sz w:val="18"/>
                <w:szCs w:val="18"/>
              </w:rPr>
              <w:br/>
            </w:r>
            <w:r>
              <w:rPr>
                <w:rFonts w:hint="eastAsia" w:ascii="宋体" w:hAnsi="宋体" w:eastAsia="宋体" w:cs="宋体"/>
                <w:sz w:val="18"/>
                <w:szCs w:val="18"/>
              </w:rPr>
              <w:t xml:space="preserve">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3146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3146.5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6292.5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111731.6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98977.7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10681.0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221390.3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关庙镇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16676.4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31283.3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1316.0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18"/>
                <w:szCs w:val="18"/>
              </w:rPr>
              <w:t xml:space="preserve">49275.7</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201.9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1503.9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1760.1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18"/>
                <w:szCs w:val="18"/>
              </w:rPr>
              <w:t xml:space="preserve">3264.1</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564.0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182.2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2328.6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2405.3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4645.7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580.9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7631.9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明威米业</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6556.4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14100.9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2166.0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22823.3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明威米业</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1730.7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2895.8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1450.0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6076.5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866.5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10086.0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16024.5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26110.4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566.1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6984.9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10350.3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374.4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17709.6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永平路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1788.1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2136.8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3924.9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5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735.1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5739.7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5641.0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1659.1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13039.8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电商一条街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1336.7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1440.6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2777.3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964.1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863.0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1827.1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201.5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1050.6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612.2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1662.8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7215.5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2157.2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866</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11217.7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卫生院</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368.5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3423.1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7111.7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293.3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10828.1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香樟路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1310.9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3076.5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2859.6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1636.8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1722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3358.8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73401.0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106524.6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9866.9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187947.5</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来龙镇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白鹿湖大道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老宿述路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1186.4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23254.8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17493.8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40748.6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917.8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7611.3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10610.5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11715.5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29937.2</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创新路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1048.2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10195.4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398.9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7491.5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18085.7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华昌路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1424.7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13809.6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17945.8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563.4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32318.8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575.5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5066.6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10188.9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1633.5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35013.5 </w:t>
            </w:r>
            <w:r/>
          </w:p>
        </w:tc>
        <w:tc>
          <w:tcPr>
            <w:tcBorders>
              <w:top w:val="none" w:color="000000" w:sz="4" w:space="0"/>
              <w:left w:val="none" w:color="000000" w:sz="4" w:space="0"/>
              <w:bottom w:val="single" w:color="auto" w:sz="4" w:space="0"/>
              <w:right w:val="single" w:color="auto" w:sz="4" w:space="0"/>
            </w:tcBorders>
            <w:tcW w:w="676"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19661.3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14541.3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69216.1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629.9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4743.2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6952.6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11695.8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胜利路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1292.0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17958.2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13640.1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3791.1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35389.4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白鹿湖大道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胜利路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光明大道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1866.5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31672.2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15595.9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27381.6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74649.7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市场西路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南一路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236.8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2243.5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2990.0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5233.5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648.0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599.9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科技路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9660</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4905.6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14565.6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藏龙街西延</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12569.2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5275.1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3291.9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21136.2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通港路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创新路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科技路</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169.9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2378.6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906.2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789.5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4074.3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光明大道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2139.5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30356.7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2724.1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14303.4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47384.2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5"/>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 w:val="18"/>
                <w:szCs w:val="18"/>
              </w:rPr>
              <w:t xml:space="preserve">207236.5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 w:val="18"/>
                <w:szCs w:val="18"/>
              </w:rPr>
              <w:t xml:space="preserve">119860.8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88774.7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Cs w:val="21"/>
              </w:rPr>
              <w:t xml:space="preserve">415872.0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侍岭片区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13797.3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513.6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20325.9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437.2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5246.4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8482.3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13728.7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4305.4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7152.1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金丰米业</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6913.1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16125.8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23038.9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滨湖商业街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4727.9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3578.7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8421.6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9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4101.3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8337.3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4981.2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2887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749.2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8617.4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文教路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嘉易美超市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1321.6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2727.6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36372.3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54599.4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1377.8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92349.5</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75"/>
        </w:trPr>
        <w:tc>
          <w:tcPr>
            <w:tcBorders>
              <w:top w:val="single" w:color="auto" w:sz="4" w:space="0"/>
              <w:left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10</w:t>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保安片区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保安医院</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3461.8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9958.8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98"/>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幼儿园</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351.8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4573.4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3289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7862.4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1"/>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亲亲宝贝</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223.6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2459.6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9982.1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12441.7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5"/>
                <w:szCs w:val="15"/>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来玉线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4021.1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3603.2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7624.3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门面房结束</w:t>
            </w:r>
            <w:r/>
          </w:p>
        </w:tc>
        <w:tc>
          <w:tcPr>
            <w:tcBorders>
              <w:top w:val="none" w:color="000000" w:sz="4" w:space="0"/>
              <w:left w:val="none" w:color="000000"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2268.6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6901.5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438.4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876.8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10046.9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022乡道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921.9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21633.5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541.5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35807.5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022乡道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发展大道北</w:t>
            </w:r>
            <w:r/>
          </w:p>
        </w:tc>
        <w:tc>
          <w:tcPr>
            <w:tcBorders>
              <w:top w:val="none" w:color="000000" w:sz="4" w:space="0"/>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2049.3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4534.7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6748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保安中学公厕</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233.2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3847.8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2996.4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6844.2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273.2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4507.8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1646.6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6154.4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发展大道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振科小区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4953.1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1652.8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6605.9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兴安邻里</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3626.4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5294.5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新安邻里</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331.6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1936.5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5749.9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善德文化街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552.6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726.2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永盛大道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1154.3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54380.2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66515.0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2123.8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123019.0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70"/>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仰化镇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1206.8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12068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11551.3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23619.3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7460.2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9145.6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16605.8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470.4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6613.2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422.8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4228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4366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8594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2823.3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2222.3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5045.6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2180.5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4581.5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3108.7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920.6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4279.3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2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2835.4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2112.2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4947.6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3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6949.2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2026.1</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2431.3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10272.2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4346.9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4436.3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8783.2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迎河大道北段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2666.3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仰建线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仰化小学北门</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679.2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4754.4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10271.2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15025.6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排塘河桥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671.3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6713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11320.2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18033.2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66808.5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66945.0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2681.3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20"/>
                <w:szCs w:val="20"/>
              </w:rPr>
              <w:t xml:space="preserve">136434.8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841"/>
        </w:trPr>
        <w:tc>
          <w:tcPr>
            <w:gridSpan w:val="6"/>
            <w:tcBorders>
              <w:top w:val="single" w:color="auto" w:sz="4" w:space="0"/>
              <w:left w:val="single" w:color="auto" w:sz="4" w:space="0"/>
              <w:bottom w:val="single" w:color="auto" w:sz="4" w:space="0"/>
              <w:right w:val="single" w:color="000000" w:sz="4" w:space="0"/>
            </w:tcBorders>
            <w:tcW w:w="351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总计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28"/>
                <w:szCs w:val="28"/>
              </w:rPr>
            </w:pPr>
            <w:r>
              <w:rPr>
                <w:rFonts w:hint="eastAsia" w:ascii="宋体" w:hAnsi="宋体" w:eastAsia="宋体" w:cs="宋体"/>
                <w:b/>
                <w:bCs/>
                <w:sz w:val="16"/>
                <w:szCs w:val="16"/>
              </w:rPr>
              <w:t xml:space="preserve">1213771.4</w:t>
            </w:r>
            <w:r>
              <w:rPr>
                <w:rFonts w:hint="eastAsia" w:ascii="宋体" w:hAnsi="宋体" w:eastAsia="宋体" w:cs="宋体"/>
                <w:b/>
                <w:bCs/>
                <w:sz w:val="28"/>
                <w:szCs w:val="28"/>
                <w:lang w:bidi="ar"/>
              </w:rPr>
              <w:t xml:space="preserve">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6"/>
                <w:szCs w:val="16"/>
              </w:rPr>
              <w:t xml:space="preserve">944097.7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pacing w:val="-2"/>
                <w:sz w:val="18"/>
                <w:szCs w:val="18"/>
              </w:rPr>
            </w:pPr>
            <w:r>
              <w:rPr>
                <w:rFonts w:hint="eastAsia" w:ascii="宋体" w:hAnsi="宋体" w:eastAsia="宋体" w:cs="宋体"/>
                <w:b/>
                <w:bCs/>
                <w:spacing w:val="-2"/>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323045.6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5"/>
                <w:szCs w:val="15"/>
              </w:rPr>
            </w:pPr>
            <w:r>
              <w:rPr>
                <w:rFonts w:hint="eastAsia" w:ascii="宋体" w:hAnsi="宋体" w:eastAsia="宋体" w:cs="宋体"/>
                <w:b/>
                <w:bCs/>
                <w:sz w:val="18"/>
                <w:szCs w:val="18"/>
              </w:rPr>
              <w:t xml:space="preserve">2526349.7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总面积包含四个广场、公园等　</w:t>
            </w:r>
            <w:r/>
          </w:p>
        </w:tc>
      </w:tr>
    </w:tbl>
    <w:p>
      <w:pPr>
        <w:rPr>
          <w:rFonts w:hint="eastAsia" w:ascii="宋体" w:hAnsi="宋体" w:eastAsia="宋体" w:cs="宋体"/>
          <w:sz w:val="32"/>
          <w:szCs w:val="32"/>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sz w:val="32"/>
          <w:szCs w:val="32"/>
        </w:rPr>
      </w:r>
      <w:r/>
    </w:p>
    <w:p>
      <w:pPr>
        <w:jc w:val="left"/>
        <w:widowControl/>
        <w:rPr>
          <w:rFonts w:hint="eastAsia" w:ascii="宋体" w:hAnsi="宋体" w:eastAsia="宋体" w:cs="宋体"/>
          <w:bCs/>
          <w:sz w:val="24"/>
          <w:szCs w:val="24"/>
        </w:rPr>
      </w:pPr>
      <w:r>
        <w:rPr>
          <w:rFonts w:hint="eastAsia" w:ascii="宋体" w:hAnsi="宋体" w:eastAsia="宋体" w:cs="宋体"/>
          <w:bCs/>
          <w:sz w:val="24"/>
          <w:szCs w:val="24"/>
        </w:rPr>
        <w:t xml:space="preserve">附表6</w:t>
      </w:r>
      <w:r/>
    </w:p>
    <w:p>
      <w:pPr>
        <w:jc w:val="center"/>
        <w:widowControl/>
        <w:rPr>
          <w:rFonts w:hint="eastAsia" w:ascii="宋体" w:hAnsi="宋体" w:eastAsia="宋体" w:cs="宋体"/>
          <w:bCs/>
          <w:sz w:val="36"/>
          <w:szCs w:val="36"/>
        </w:rPr>
      </w:pPr>
      <w:r>
        <w:rPr>
          <w:rFonts w:hint="eastAsia" w:ascii="宋体" w:hAnsi="宋体" w:eastAsia="宋体" w:cs="宋体"/>
          <w:bCs/>
          <w:sz w:val="36"/>
          <w:szCs w:val="36"/>
        </w:rPr>
        <w:t xml:space="preserve">道路等级分类汇总</w:t>
      </w:r>
      <w:r/>
    </w:p>
    <w:tbl>
      <w:tblPr>
        <w:tblStyle w:val="825"/>
        <w:tblW w:w="13360" w:type="dxa"/>
        <w:tblInd w:w="91" w:type="dxa"/>
        <w:tblLayout w:type="autofit"/>
        <w:tblCellMar>
          <w:left w:w="108" w:type="dxa"/>
          <w:top w:w="0" w:type="dxa"/>
          <w:right w:w="108" w:type="dxa"/>
          <w:bottom w:w="0" w:type="dxa"/>
        </w:tblCellMar>
        <w:tblLook w:val="04A0" w:firstRow="1" w:lastRow="0" w:firstColumn="1" w:lastColumn="0" w:noHBand="0" w:noVBand="1"/>
      </w:tblPr>
      <w:tblGrid>
        <w:gridCol w:w="3177"/>
        <w:gridCol w:w="4550"/>
        <w:gridCol w:w="5633"/>
      </w:tblGrid>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道路等级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面积（m²）</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一级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298089.2</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二级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803461.7</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三级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1037146.3</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四级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387652.8</w:t>
            </w:r>
            <w:r/>
          </w:p>
        </w:tc>
      </w:tr>
      <w:tr>
        <w:trPr>
          <w:trHeight w:val="590"/>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161</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2526349.7</w:t>
            </w:r>
            <w:r/>
          </w:p>
        </w:tc>
      </w:tr>
    </w:tbl>
    <w:p>
      <w:pPr>
        <w:rPr>
          <w:rFonts w:hint="eastAsia"/>
          <w:color w:val="000000" w:themeColor="text1"/>
          <w:highlight w:val="none"/>
          <w14:textFill>
            <w14:solidFill>
              <w14:schemeClr w14:val="tx1"/>
            </w14:solidFill>
          </w14:textFill>
        </w:rPr>
        <w:sectPr>
          <w:footerReference w:type="default" r:id="rId12"/>
          <w:footnotePr/>
          <w:endnotePr/>
          <w:type w:val="nextPage"/>
          <w:pgSz w:w="16838" w:h="11906" w:orient="landscape"/>
          <w:pgMar w:top="1365" w:right="1418" w:bottom="1588" w:left="1418" w:header="851" w:footer="907" w:gutter="0"/>
          <w:cols w:num="1" w:sep="0" w:space="1701" w:equalWidth="1"/>
          <w:docGrid w:linePitch="360"/>
        </w:sect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7"/>
        <w:jc w:val="center"/>
        <w:rPr>
          <w:rFonts w:hint="eastAsia" w:ascii="Times New Roman" w:eastAsia="黑体"/>
          <w:color w:val="000000" w:themeColor="text1"/>
          <w:sz w:val="44"/>
          <w:szCs w:val="44"/>
          <w:highlight w:val="none"/>
          <w:lang w:val="en-US" w:eastAsia="zh-CN"/>
          <w14:textFill>
            <w14:solidFill>
              <w14:schemeClr w14:val="tx1"/>
            </w14:solidFill>
          </w14:textFill>
        </w:rPr>
      </w:pPr>
      <w:r/>
      <w:bookmarkStart w:id="240" w:name="_Toc7852"/>
      <w:r>
        <w:rPr>
          <w:rFonts w:hint="eastAsia" w:ascii="Times New Roman" w:eastAsia="黑体"/>
          <w:color w:val="000000" w:themeColor="text1"/>
          <w:sz w:val="44"/>
          <w:szCs w:val="44"/>
          <w:highlight w:val="none"/>
          <w:lang w:val="en-US" w:eastAsia="zh-CN"/>
          <w14:textFill>
            <w14:solidFill>
              <w14:schemeClr w14:val="tx1"/>
            </w14:solidFill>
          </w14:textFill>
        </w:rPr>
        <w:t xml:space="preserve">第五章 评标方法与评标标准</w:t>
      </w:r>
      <w:bookmarkEnd w:id="240"/>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一、资格审查。</w:t>
      </w:r>
      <w:r>
        <w:rPr>
          <w:rFonts w:hint="eastAsia"/>
          <w:color w:val="000000" w:themeColor="text1"/>
          <w:sz w:val="24"/>
          <w:highlight w:val="none"/>
          <w14:textFill>
            <w14:solidFill>
              <w14:schemeClr w14:val="tx1"/>
            </w14:solidFill>
          </w14:textFill>
        </w:rPr>
        <w:t xml:space="preserve">资格审查人员按照下列指标对各投标人的资格进行审查，未通过审查的为无效标，不参与评标。</w:t>
      </w:r>
      <w:r/>
    </w:p>
    <w:tbl>
      <w:tblPr>
        <w:tblStyle w:val="825"/>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资格审查因素</w:t>
            </w:r>
            <w:r/>
          </w:p>
        </w:tc>
        <w:tc>
          <w:tcPr>
            <w:tcW w:w="2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投标声明及承诺函</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联合体投标</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不接受联合体投标</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落实政府采购政策需满足的资格要求</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本项目的特定资格要求</w:t>
            </w:r>
            <w:r/>
          </w:p>
        </w:tc>
        <w:tc>
          <w:tcPr>
            <w:tcW w:w="2500" w:type="dxa"/>
            <w:vAlign w:val="center"/>
            <w:textDirection w:val="lrTb"/>
            <w:noWrap w:val="false"/>
          </w:tcPr>
          <w:p>
            <w:pPr>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无</w:t>
            </w:r>
            <w:r/>
          </w:p>
        </w:tc>
      </w:tr>
    </w:tbl>
    <w:p>
      <w:pPr>
        <w:ind w:firstLine="562"/>
        <w:spacing w:line="500" w:lineRule="exact"/>
        <w:rPr>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二、符合性审查。</w:t>
      </w:r>
      <w:r>
        <w:rPr>
          <w:rFonts w:hint="eastAsia"/>
          <w:color w:val="000000" w:themeColor="text1"/>
          <w:sz w:val="24"/>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825"/>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符合性审查因素</w:t>
            </w:r>
            <w:r/>
          </w:p>
        </w:tc>
        <w:tc>
          <w:tcPr>
            <w:tcW w:w="4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法人授权书</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技术标准和要求</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bl>
    <w:p>
      <w:pPr>
        <w:ind w:firstLine="562"/>
        <w:spacing w:line="500" w:lineRule="exact"/>
        <w:rPr>
          <w:rFonts w:hint="eastAsia" w:eastAsia="仿宋_GB2312"/>
          <w:b/>
          <w:color w:val="000000" w:themeColor="text1"/>
          <w:sz w:val="28"/>
          <w:szCs w:val="22"/>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三、评分办法—综合评分法</w:t>
      </w:r>
      <w:r/>
    </w:p>
    <w:p>
      <w:pPr>
        <w:ind w:firstLine="241"/>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（一）评标办法：</w:t>
      </w:r>
      <w:r>
        <w:rPr>
          <w:rFonts w:hint="eastAsia"/>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评标委员会根据评审后投标人排序推荐</w:t>
      </w:r>
      <w:r>
        <w:rPr>
          <w:rFonts w:hint="eastAsia"/>
          <w:color w:val="000000" w:themeColor="text1"/>
          <w:sz w:val="24"/>
          <w:highlight w:val="none"/>
          <w:lang w:val="en-US" w:eastAsia="zh-CN"/>
          <w14:textFill>
            <w14:solidFill>
              <w14:schemeClr w14:val="tx1"/>
            </w14:solidFill>
          </w14:textFill>
        </w:rPr>
        <w:t xml:space="preserve">3名</w:t>
      </w:r>
      <w:r>
        <w:rPr>
          <w:rFonts w:hint="eastAsia"/>
          <w:color w:val="000000" w:themeColor="text1"/>
          <w:sz w:val="24"/>
          <w:highlight w:val="none"/>
          <w14:textFill>
            <w14:solidFill>
              <w14:schemeClr w14:val="tx1"/>
            </w14:solidFill>
          </w14:textFill>
        </w:rPr>
        <w:t xml:space="preserve">中标候选人。投标文件满足招标文件全部实质性要求，且评审后排序第一的投标人为第一中标候选人，依次类推。</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综合评分保留至小数点后两位。 </w:t>
      </w:r>
      <w:r/>
    </w:p>
    <w:p>
      <w:pPr>
        <w:numPr>
          <w:ilvl w:val="0"/>
          <w:numId w:val="7"/>
        </w:numPr>
        <w:ind w:firstLine="241"/>
        <w:jc w:val="left"/>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详细评审。</w:t>
      </w:r>
      <w:bookmarkStart w:id="241" w:name="EBe0cfd1035ea44f689f97db50fccddc8b"/>
      <w:r>
        <w:rPr>
          <w:rFonts w:hint="eastAsia"/>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bookmarkEnd w:id="241"/>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25"/>
        <w:tblW w:w="53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76"/>
        <w:gridCol w:w="1847"/>
        <w:gridCol w:w="985"/>
        <w:gridCol w:w="4999"/>
      </w:tblGrid>
      <w:tr>
        <w:trPr>
          <w:trHeight w:val="379"/>
        </w:trPr>
        <w:tc>
          <w:tcPr>
            <w:gridSpan w:val="2"/>
            <w:tcBorders>
              <w:top w:val="single" w:color="auto" w:sz="6" w:space="0"/>
              <w:left w:val="single" w:color="auto" w:sz="6" w:space="0"/>
              <w:bottom w:val="single" w:color="auto" w:sz="6" w:space="0"/>
              <w:right w:val="single" w:color="auto" w:sz="6" w:space="0"/>
            </w:tcBorders>
            <w:tcW w:w="1852"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评审因素</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分数</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评审标准</w:t>
            </w:r>
            <w:r/>
          </w:p>
        </w:tc>
      </w:tr>
      <w:tr>
        <w:trPr/>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报价分</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投标报价</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15</w:t>
            </w:r>
            <w:r>
              <w:rPr>
                <w:rFonts w:ascii="宋体" w:hAnsi="宋体" w:eastAsia="宋体" w:cs="宋体"/>
                <w:color w:val="000000" w:themeColor="text1"/>
                <w:spacing w:val="6"/>
                <w:sz w:val="24"/>
                <w:szCs w:val="24"/>
                <w:highlight w:val="none"/>
                <w14:textFill>
                  <w14:solidFill>
                    <w14:schemeClr w14:val="tx1"/>
                  </w14:solidFill>
                </w14:textFill>
              </w:rPr>
              <w:t xml:space="preserve">。</w:t>
            </w:r>
            <w:r>
              <w:rPr>
                <w:rFonts w:ascii="宋体" w:hAnsi="宋体" w:eastAsia="宋体" w:cs="宋体"/>
                <w:color w:val="000000" w:themeColor="text1"/>
                <w:spacing w:val="6"/>
                <w:sz w:val="24"/>
                <w:szCs w:val="24"/>
                <w:highlight w:val="none"/>
                <w14:textFill>
                  <w14:solidFill>
                    <w14:schemeClr w14:val="tx1"/>
                  </w14:solidFill>
                </w14:textFill>
              </w:rPr>
            </w:r>
            <w:r/>
          </w:p>
        </w:tc>
      </w:tr>
      <w:tr>
        <w:trPr/>
        <w:tc>
          <w:tcPr>
            <w:tcBorders>
              <w:top w:val="single" w:color="auto" w:sz="6" w:space="0"/>
              <w:left w:val="single" w:color="auto" w:sz="6" w:space="0"/>
              <w:right w:val="single" w:color="auto" w:sz="6" w:space="0"/>
            </w:tcBorders>
            <w:tcW w:w="881"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企业经营</w:t>
            </w:r>
            <w:r>
              <w:rPr>
                <w:rFonts w:ascii="宋体" w:hAnsi="宋体" w:eastAsia="宋体" w:cs="宋体"/>
                <w:color w:val="000000" w:themeColor="text1"/>
                <w:spacing w:val="-5"/>
                <w:sz w:val="24"/>
                <w:szCs w:val="24"/>
                <w:highlight w:val="none"/>
                <w14:textFill>
                  <w14:solidFill>
                    <w14:schemeClr w14:val="tx1"/>
                  </w14:solidFill>
                </w14:textFill>
              </w:rPr>
              <w:t xml:space="preserve">业绩、信誉</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企业业绩</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12</w:t>
            </w:r>
            <w:r>
              <w:rPr>
                <w:rFonts w:ascii="宋体" w:hAnsi="宋体" w:eastAsia="宋体" w:cs="宋体"/>
                <w:color w:val="000000" w:themeColor="text1"/>
                <w:spacing w:val="7"/>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20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年1月1日以来（以合同签订时间为准），投标人</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具有</w:t>
            </w:r>
            <w:r>
              <w:rPr>
                <w:rFonts w:ascii="宋体" w:hAnsi="宋体" w:eastAsia="宋体" w:cs="宋体"/>
                <w:color w:val="000000" w:themeColor="text1"/>
                <w:spacing w:val="7"/>
                <w:sz w:val="24"/>
                <w:szCs w:val="24"/>
                <w:highlight w:val="none"/>
                <w14:textFill>
                  <w14:solidFill>
                    <w14:schemeClr w14:val="tx1"/>
                  </w14:solidFill>
                </w14:textFill>
              </w:rPr>
              <w:t xml:space="preserve">类似项目业绩的，每有一个得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分，本项最高得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12</w:t>
            </w:r>
            <w:r>
              <w:rPr>
                <w:rFonts w:ascii="宋体" w:hAnsi="宋体" w:eastAsia="宋体" w:cs="宋体"/>
                <w:color w:val="000000" w:themeColor="text1"/>
                <w:spacing w:val="7"/>
                <w:sz w:val="24"/>
                <w:szCs w:val="24"/>
                <w:highlight w:val="none"/>
                <w14:textFill>
                  <w14:solidFill>
                    <w14:schemeClr w14:val="tx1"/>
                  </w14:solidFill>
                </w14:textFill>
              </w:rPr>
              <w:t xml:space="preserve">分。</w:t>
            </w:r>
            <w:r/>
          </w:p>
          <w:p>
            <w:pPr>
              <w:jc w:val="left"/>
              <w:keepLines w:val="0"/>
              <w:keepNext w:val="0"/>
              <w:widowControl/>
              <w:rPr>
                <w:rFonts w:ascii="宋体" w:hAnsi="宋体" w:eastAsia="宋体" w:cs="宋体"/>
                <w:color w:val="000000" w:themeColor="text1"/>
                <w:spacing w:val="7"/>
                <w:sz w:val="24"/>
                <w:szCs w:val="24"/>
                <w:highlight w:val="none"/>
                <w14:textFill>
                  <w14:solidFill>
                    <w14:schemeClr w14:val="tx1"/>
                  </w14:solidFill>
                </w14:textFill>
              </w:rPr>
              <w:suppressLineNumbers w:val="0"/>
            </w:pPr>
            <w:r>
              <w:rPr>
                <w:rFonts w:ascii="宋体" w:hAnsi="宋体" w:eastAsia="宋体" w:cs="宋体"/>
                <w:color w:val="000000" w:themeColor="text1"/>
                <w:spacing w:val="7"/>
                <w:sz w:val="24"/>
                <w:szCs w:val="24"/>
                <w:highlight w:val="none"/>
                <w14:textFill>
                  <w14:solidFill>
                    <w14:schemeClr w14:val="tx1"/>
                  </w14:solidFill>
                </w14:textFill>
              </w:rPr>
              <w:t xml:space="preserve">注：</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提供中标查询截图及查询网址、</w:t>
            </w:r>
            <w:r>
              <w:rPr>
                <w:rFonts w:ascii="宋体" w:hAnsi="宋体" w:eastAsia="宋体" w:cs="宋体"/>
                <w:color w:val="000000" w:themeColor="text1"/>
                <w:spacing w:val="7"/>
                <w:sz w:val="24"/>
                <w:szCs w:val="24"/>
                <w:highlight w:val="none"/>
                <w14:textFill>
                  <w14:solidFill>
                    <w14:schemeClr w14:val="tx1"/>
                  </w14:solidFill>
                </w14:textFill>
              </w:rPr>
              <w:t xml:space="preserve">中标（成交）通知书、合同，</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三</w:t>
            </w:r>
            <w:r>
              <w:rPr>
                <w:rFonts w:ascii="宋体" w:hAnsi="宋体" w:eastAsia="宋体" w:cs="宋体"/>
                <w:color w:val="000000" w:themeColor="text1"/>
                <w:spacing w:val="7"/>
                <w:sz w:val="24"/>
                <w:szCs w:val="24"/>
                <w:highlight w:val="none"/>
                <w14:textFill>
                  <w14:solidFill>
                    <w14:schemeClr w14:val="tx1"/>
                  </w14:solidFill>
                </w14:textFill>
              </w:rPr>
              <w:t xml:space="preserve">者缺一不可，否则不得分。</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企业业绩与项目负责人业绩可同时计分。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Calibri" w:hAnsi="Calibri" w:eastAsia="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项目负责人业绩</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20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年1月1日以来（以合同签订时间为准），投标人</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具有</w:t>
            </w:r>
            <w:r>
              <w:rPr>
                <w:rFonts w:ascii="宋体" w:hAnsi="宋体" w:eastAsia="宋体" w:cs="宋体"/>
                <w:color w:val="000000" w:themeColor="text1"/>
                <w:spacing w:val="7"/>
                <w:sz w:val="24"/>
                <w:szCs w:val="24"/>
                <w:highlight w:val="none"/>
                <w14:textFill>
                  <w14:solidFill>
                    <w14:schemeClr w14:val="tx1"/>
                  </w14:solidFill>
                </w14:textFill>
              </w:rPr>
              <w:t xml:space="preserve">类似项目业绩的，每有一个得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分，本项最高得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w:t>
            </w:r>
            <w:r/>
          </w:p>
          <w:p>
            <w:pPr>
              <w:jc w:val="left"/>
              <w:keepLines w:val="0"/>
              <w:keepNext w:val="0"/>
              <w:widowControl/>
              <w:rPr>
                <w:rFonts w:hint="default" w:ascii="Calibri" w:hAnsi="Calibri" w:eastAsia="宋体"/>
                <w:color w:val="000000" w:themeColor="text1"/>
                <w:sz w:val="24"/>
                <w:szCs w:val="24"/>
                <w:highlight w:val="none"/>
                <w:lang w:val="en-US" w:eastAsia="zh-CN"/>
                <w14:textFill>
                  <w14:solidFill>
                    <w14:schemeClr w14:val="tx1"/>
                  </w14:solidFill>
                </w14:textFill>
              </w:rPr>
              <w:suppressLineNumbers w:val="0"/>
            </w:pPr>
            <w:r>
              <w:rPr>
                <w:rFonts w:ascii="宋体" w:hAnsi="宋体" w:eastAsia="宋体" w:cs="宋体"/>
                <w:color w:val="000000" w:themeColor="text1"/>
                <w:spacing w:val="7"/>
                <w:sz w:val="24"/>
                <w:szCs w:val="24"/>
                <w:highlight w:val="none"/>
                <w14:textFill>
                  <w14:solidFill>
                    <w14:schemeClr w14:val="tx1"/>
                  </w14:solidFill>
                </w14:textFill>
              </w:rPr>
              <w:t xml:space="preserve">注：提供</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中标查询截图及查询网址、</w:t>
            </w:r>
            <w:r>
              <w:rPr>
                <w:rFonts w:ascii="宋体" w:hAnsi="宋体" w:eastAsia="宋体" w:cs="宋体"/>
                <w:color w:val="000000" w:themeColor="text1"/>
                <w:spacing w:val="7"/>
                <w:sz w:val="24"/>
                <w:szCs w:val="24"/>
                <w:highlight w:val="none"/>
                <w14:textFill>
                  <w14:solidFill>
                    <w14:schemeClr w14:val="tx1"/>
                  </w14:solidFill>
                </w14:textFill>
              </w:rPr>
              <w:t xml:space="preserve">中标（成交）通知书、合同，</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三</w:t>
            </w:r>
            <w:r>
              <w:rPr>
                <w:rFonts w:ascii="宋体" w:hAnsi="宋体" w:eastAsia="宋体" w:cs="宋体"/>
                <w:color w:val="000000" w:themeColor="text1"/>
                <w:spacing w:val="7"/>
                <w:sz w:val="24"/>
                <w:szCs w:val="24"/>
                <w:highlight w:val="none"/>
                <w14:textFill>
                  <w14:solidFill>
                    <w14:schemeClr w14:val="tx1"/>
                  </w14:solidFill>
                </w14:textFill>
              </w:rPr>
              <w:t xml:space="preserve">者缺一不可</w:t>
            </w:r>
            <w:r>
              <w:rPr>
                <w:rFonts w:hint="eastAsia" w:ascii="宋体" w:hAnsi="宋体" w:cs="宋体"/>
                <w:color w:val="000000" w:themeColor="text1"/>
                <w:spacing w:val="7"/>
                <w:sz w:val="24"/>
                <w:szCs w:val="24"/>
                <w:highlight w:val="none"/>
                <w:lang w:eastAsia="zh-CN"/>
                <w14:textFill>
                  <w14:solidFill>
                    <w14:schemeClr w14:val="tx1"/>
                  </w14:solidFill>
                </w14:textFill>
              </w:rPr>
              <w:t xml:space="preserve">。</w:t>
            </w:r>
            <w:r>
              <w:rPr>
                <w:rFonts w:ascii="Calibri" w:hAnsi="Calibri"/>
                <w:color w:val="000000" w:themeColor="text1"/>
                <w:sz w:val="24"/>
                <w:szCs w:val="24"/>
                <w:highlight w:val="none"/>
                <w:rtl w:val="0"/>
                <w:lang w:val="en-US" w:eastAsia="zh-CN" w:bidi="ar-SA"/>
                <w14:textFill>
                  <w14:solidFill>
                    <w14:schemeClr w14:val="tx1"/>
                  </w14:solidFill>
                </w14:textFill>
              </w:rPr>
              <w:t xml:space="preserve">上述业绩非投标人承接的不予认可</w:t>
            </w:r>
            <w:r>
              <w:rPr>
                <w:rFonts w:hint="eastAsia" w:ascii="Calibri" w:hAnsi="Calibri"/>
                <w:color w:val="000000" w:themeColor="text1"/>
                <w:sz w:val="24"/>
                <w:szCs w:val="24"/>
                <w:highlight w:val="none"/>
                <w:rtl w:val="0"/>
                <w:lang w:val="en-US" w:eastAsia="zh-CN" w:bidi="ar-SA"/>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14:textFill>
                  <w14:solidFill>
                    <w14:schemeClr w14:val="tx1"/>
                  </w14:solidFill>
                </w14:textFill>
              </w:rPr>
              <w:t xml:space="preserve">合同中明确显示项目经理（项目负责人）姓名，合同中无法显示的，需甲方出具的有效证明材料；</w:t>
            </w:r>
            <w:r>
              <w:rPr>
                <w:rFonts w:ascii="宋体" w:hAnsi="宋体" w:eastAsia="宋体" w:cs="宋体"/>
                <w:color w:val="000000" w:themeColor="text1"/>
                <w:spacing w:val="7"/>
                <w:sz w:val="24"/>
                <w:szCs w:val="24"/>
                <w:highlight w:val="none"/>
                <w14:textFill>
                  <w14:solidFill>
                    <w14:schemeClr w14:val="tx1"/>
                  </w14:solidFill>
                </w14:textFill>
              </w:rPr>
              <w:t xml:space="preserve">否则不得分。</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企业业绩与项目负责人业绩可同时计分。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人员技术力量</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8</w:t>
            </w:r>
            <w:r>
              <w:rPr>
                <w:rFonts w:ascii="Calibri" w:hAnsi="Calibri"/>
                <w:color w:val="000000" w:themeColor="text1"/>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default"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项目团队成员</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含项目负责人</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具有环境类</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或市政类中</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级</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职称证书的，有一个得2分</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最高得6分。</w:t>
            </w:r>
            <w:r/>
          </w:p>
          <w:p>
            <w:pPr>
              <w:numPr>
                <w:ilvl w:val="0"/>
                <w:numId w:val="0"/>
              </w:numPr>
              <w:jc w:val="left"/>
              <w:rPr>
                <w:rFonts w:hint="eastAsia"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项目团队成员</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含项目负责人</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具有</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中级及以上注册安全工程师的，得2分。</w:t>
            </w:r>
            <w:r/>
          </w:p>
          <w:p>
            <w:pPr>
              <w:numPr>
                <w:ilvl w:val="0"/>
                <w:numId w:val="0"/>
              </w:numPr>
              <w:jc w:val="left"/>
              <w:rPr>
                <w:rFonts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最高得</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分</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14:textFill>
                  <w14:solidFill>
                    <w14:schemeClr w14:val="tx1"/>
                  </w14:solidFill>
                </w14:textFill>
              </w:rPr>
              <w:t xml:space="preserve">注：在投标文件中须上传①人员证书原件扫描件②人员在投标截止时近六个月的任一月社保</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证明</w:t>
            </w:r>
            <w:r>
              <w:rPr>
                <w:rFonts w:ascii="宋体" w:hAnsi="宋体" w:eastAsia="宋体" w:cs="宋体"/>
                <w:color w:val="000000" w:themeColor="text1"/>
                <w:spacing w:val="3"/>
                <w:sz w:val="24"/>
                <w:szCs w:val="24"/>
                <w:highlight w:val="none"/>
                <w14:textFill>
                  <w14:solidFill>
                    <w14:schemeClr w14:val="tx1"/>
                  </w14:solidFill>
                </w14:textFill>
              </w:rPr>
              <w:t xml:space="preserve">；两者缺任一项则不得分。</w:t>
            </w:r>
            <w:r/>
          </w:p>
          <w:p>
            <w:pPr>
              <w:numPr>
                <w:ilvl w:val="0"/>
                <w:numId w:val="0"/>
              </w:numPr>
              <w:jc w:val="left"/>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职称证上有相关专业分类的，提供职称证原件并扫描上传至投标文件中；职称证上无相关专业分类的，提供职称证原件和相应毕业证书原件并扫描上传至投标文件中；职称证上无相关专业分类，且无相关专业学历证书的，提供《专业技术资格评审申</w:t>
            </w:r>
            <w:r>
              <w:rPr>
                <w:rFonts w:hint="eastAsia"/>
                <w:color w:val="000000" w:themeColor="text1"/>
                <w:sz w:val="24"/>
                <w:szCs w:val="24"/>
                <w:highlight w:val="none"/>
                <w:lang w:val="en-US" w:eastAsia="zh-CN"/>
                <w14:textFill>
                  <w14:solidFill>
                    <w14:schemeClr w14:val="tx1"/>
                  </w14:solidFill>
                </w14:textFill>
              </w:rPr>
              <w:t xml:space="preserve">请</w:t>
            </w:r>
            <w:r>
              <w:rPr>
                <w:color w:val="000000" w:themeColor="text1"/>
                <w:sz w:val="24"/>
                <w:szCs w:val="24"/>
                <w:highlight w:val="none"/>
                <w14:textFill>
                  <w14:solidFill>
                    <w14:schemeClr w14:val="tx1"/>
                  </w14:solidFill>
                </w14:textFill>
              </w:rPr>
              <w:t xml:space="preserve">表》，以评审专业或学科为准，并扫描上传至投标文件中</w:t>
            </w:r>
            <w:r>
              <w:rPr>
                <w:rFonts w:hint="eastAsia"/>
                <w:color w:val="000000" w:themeColor="text1"/>
                <w:sz w:val="24"/>
                <w:szCs w:val="24"/>
                <w:highlight w:val="none"/>
                <w:lang w:eastAsia="zh-CN"/>
                <w14:textFill>
                  <w14:solidFill>
                    <w14:schemeClr w14:val="tx1"/>
                  </w14:solidFill>
                </w14:textFill>
              </w:rPr>
              <w:t xml:space="preserve">。</w:t>
            </w:r>
            <w:r/>
          </w:p>
        </w:tc>
      </w:tr>
      <w:tr>
        <w:trPr/>
        <w:tc>
          <w:tcPr>
            <w:tcBorders>
              <w:left w:val="single" w:color="auto" w:sz="6" w:space="0"/>
              <w:right w:val="single" w:color="auto" w:sz="6" w:space="0"/>
            </w:tcBorders>
            <w:tcW w:w="881"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pacing w:val="7"/>
                <w:sz w:val="24"/>
                <w:szCs w:val="24"/>
                <w:highlight w:val="none"/>
                <w:lang w:val="en-US" w:eastAsia="zh-CN"/>
                <w14:textFill>
                  <w14:solidFill>
                    <w14:schemeClr w14:val="tx1"/>
                  </w14:solidFill>
                </w14:textFill>
              </w:rPr>
              <w:t xml:space="preserve">智慧平台</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Calibri" w:hAnsi="Calibri"/>
                <w:b w:val="0"/>
                <w:bCs w:val="0"/>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投标单位具有“环卫信息可视化管理”、“市政公厕管理服务”、“智慧垃圾中转站运营管理”、“智慧环卫一体化服务”“智慧垃圾收集转运”、“智慧环卫车载设备管理”</w:t>
            </w:r>
            <w:r>
              <w:rPr>
                <w:rFonts w:hint="eastAsia" w:ascii="宋体" w:hAnsi="宋体" w:cs="宋体"/>
                <w:b w:val="0"/>
                <w:bCs w:val="0"/>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智慧环卫数字化管理平台</w:t>
            </w:r>
            <w:r>
              <w:rPr>
                <w:rFonts w:hint="eastAsia" w:ascii="宋体" w:hAnsi="宋体" w:cs="宋体"/>
                <w:b w:val="0"/>
                <w:bCs w:val="0"/>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等类似</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智慧管理系统或平台</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每</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有</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个得</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分，</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最高得4分</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。提供</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相关计算机软件著作权登记</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证书电子</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扫描件</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w:t>
            </w:r>
            <w:r/>
          </w:p>
        </w:tc>
      </w:tr>
      <w:tr>
        <w:trPr/>
        <w:tc>
          <w:tcPr>
            <w:tcBorders>
              <w:top w:val="single" w:color="auto" w:sz="6" w:space="0"/>
              <w:left w:val="single" w:color="auto" w:sz="6" w:space="0"/>
              <w:right w:val="single" w:color="auto" w:sz="6" w:space="0"/>
            </w:tcBorders>
            <w:tcW w:w="881"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t xml:space="preserve">项目实施方案</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服务管理整体方案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五、服务内容及要求”制定方案。基于对本项目认识情况、技术方案可行性，方案操作流程合理规范且描述详细、成果内容详实、质量要求严格、转化落地有严格的可执行性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t xml:space="preserve">道路清扫保洁方案及垃圾收集、清运方案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12.00分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道路保洁质量要求”提供技术方案。方案操作流程合理规范且描述详细、成果内容详实、质量要求严格、转化落地有严格的可执行性且优于采购需求的，得12分；方案内容全面且满足采购需求，得8分；方案内容有缺失、可行性差的，得4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垃圾中转站运营管理方案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9.00分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垃圾中转站运营管理要求”提供技术方案。方案操作流程合理规范且描述详细、成果内容详实、质量要求严格、转化落地有严格的可执行性且优于采购需求的，得9分；方案内容全面且满足采购需求，得6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公厕运营管理方案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公厕运营管理要求”提供技术方案。方案操作流程合理规范且描述详细、成果内容详实、质量要求严格、转化落地有严格的可执行性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应急重大事件保障、突击保障等措施</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对本项目重大活动安全应急预案、本地气候特点（四季极端天气）及其他突发事件等的措施及方案。方案内容完整、详细具体、科学合理、措施可靠、针对性强的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绿化带保洁</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针对采购文件“第四章、采购需求”中“绿化带保洁质量要求”提供技术方案。方案操作流程合理规范且描述详细、成果内容详实、质量要求严格、转化落地有严格的可执行性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管理规章制度</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bidi="ar-SA"/>
                <w14:textFill>
                  <w14:solidFill>
                    <w14:schemeClr w14:val="tx1"/>
                  </w14:solidFill>
                </w14:textFill>
              </w:rPr>
              <w:t xml:space="preserve">3.00分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对人员培训与岗位管理制度、待遇绩效考核制度、档案管理制度等内容进行打分。方案内容全面、具体详细，思路清晰、要点明确、重点突出，方案结合实际利于执行的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bidi="ar-SA"/>
                <w14:textFill>
                  <w14:solidFill>
                    <w14:schemeClr w14:val="tx1"/>
                  </w14:solidFill>
                </w14:textFill>
              </w:rPr>
              <w:t xml:space="preserve">3.00分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对本项目的进退场交接工作保障措施方案及承诺，由评标委员会根据进退场交接工作保障措施方案及承诺的合理性、完善性、可操作性进行评定；内容完整详实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设施设备及物耗日常维护方案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提供的设施设备、工具及物耗情况进行打分，包括：配置工具、设备明细表、物耗明细表及具体情况说明等,提供的明细表内容完整详细，能够针对本项目的要求而细化制定，内容完整详实且优于采购需求的，得3分；方案内容全面且满足采购需求，得2分；方案内容有缺失、可行性差的，得1分。没有内容不得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1"/>
        <w:spacing w:line="360" w:lineRule="auto"/>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（三）评标结果。</w:t>
      </w:r>
      <w:r>
        <w:rPr>
          <w:rFonts w:hint="eastAsia"/>
          <w:color w:val="000000" w:themeColor="text1"/>
          <w:sz w:val="24"/>
          <w:highlight w:val="none"/>
          <w14:textFill>
            <w14:solidFill>
              <w14:schemeClr w14:val="tx1"/>
            </w14:solidFill>
          </w14:textFill>
        </w:rPr>
        <w:t xml:space="preserve">评标委员会按照本办法规定推荐中标候选人，并形成评标报告。</w:t>
      </w:r>
      <w:r/>
    </w:p>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8"/>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bookmarkEnd w:id="235"/>
      <w:r/>
      <w:bookmarkEnd w:id="236"/>
      <w:r/>
      <w:bookmarkEnd w:id="237"/>
      <w:r/>
      <w:r/>
    </w:p>
    <w:p>
      <w:pPr>
        <w:ind w:firstLine="480"/>
        <w:spacing w:line="360" w:lineRule="auto"/>
        <w:rPr>
          <w:rFonts w:hint="eastAsia"/>
          <w:color w:val="000000" w:themeColor="text1"/>
          <w:sz w:val="24"/>
          <w:highlight w:val="none"/>
          <w14:textFill>
            <w14:solidFill>
              <w14:schemeClr w14:val="tx1"/>
            </w14:solidFill>
          </w14:textFill>
        </w:rPr>
      </w:pPr>
      <w:r/>
      <w:bookmarkStart w:id="242" w:name="_Hlt26671244"/>
      <w:r/>
      <w:bookmarkEnd w:id="242"/>
      <w:r/>
      <w:bookmarkStart w:id="243" w:name="_Hlt26955039"/>
      <w:r/>
      <w:bookmarkEnd w:id="243"/>
      <w:r/>
      <w:bookmarkStart w:id="244" w:name="_Toc120614282"/>
      <w:r/>
      <w:bookmarkStart w:id="245" w:name="_Toc49090576"/>
      <w:r/>
      <w:bookmarkStart w:id="246" w:name="_Toc26554094"/>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第2种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90"/>
          <w:rFonts w:hint="eastAsia" w:ascii="宋体" w:hAnsi="宋体" w:eastAsia="宋体" w:cs="宋体"/>
          <w:b/>
          <w:color w:val="000000" w:themeColor="text1"/>
          <w:sz w:val="24"/>
          <w:highlight w:val="none"/>
          <w:lang w:val="en-US" w:eastAsia="zh-CN"/>
          <w14:textFill>
            <w14:solidFill>
              <w14:schemeClr w14:val="tx1"/>
            </w14:solidFill>
          </w14:textFill>
        </w:rPr>
      </w:pPr>
      <w:r>
        <w:rPr>
          <w:rStyle w:val="1190"/>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3.投标（响应）报价低于采购项目最高限价45%的，即投标（响应）报价&lt;采购项目最高限价X45%</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90"/>
          <w:rFonts w:hint="eastAsia" w:ascii="宋体" w:hAnsi="宋体" w:eastAsia="宋体" w:cs="宋体"/>
          <w:color w:val="000000" w:themeColor="text1"/>
          <w:highlight w:val="none"/>
          <w14:textFill>
            <w14:solidFill>
              <w14:schemeClr w14:val="tx1"/>
            </w14:solidFill>
          </w14:textFill>
        </w:rPr>
        <w:br w:type="page" w:clear="all"/>
      </w:r>
      <w:r/>
    </w:p>
    <w:p>
      <w:pPr>
        <w:pStyle w:val="1007"/>
        <w:jc w:val="both"/>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1007"/>
        <w:jc w:val="center"/>
        <w:rPr>
          <w:rFonts w:hint="eastAsia" w:ascii="Times New Roman" w:eastAsia="黑体"/>
          <w:color w:val="000000" w:themeColor="text1"/>
          <w:sz w:val="44"/>
          <w:szCs w:val="44"/>
          <w:highlight w:val="none"/>
          <w14:textFill>
            <w14:solidFill>
              <w14:schemeClr w14:val="tx1"/>
            </w14:solidFill>
          </w14:textFill>
        </w:rPr>
      </w:pPr>
      <w:r/>
      <w:bookmarkStart w:id="247" w:name="_Toc2293"/>
      <w:r>
        <w:rPr>
          <w:rFonts w:hint="eastAsia" w:ascii="Times New Roman" w:eastAsia="黑体"/>
          <w:color w:val="000000" w:themeColor="text1"/>
          <w:sz w:val="44"/>
          <w:szCs w:val="44"/>
          <w:highlight w:val="none"/>
          <w14:textFill>
            <w14:solidFill>
              <w14:schemeClr w14:val="tx1"/>
            </w14:solidFill>
          </w14:textFill>
        </w:rPr>
        <w:t xml:space="preserve">第六章  投标文件格式</w:t>
      </w:r>
      <w:bookmarkEnd w:id="247"/>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t xml:space="preserve">投  标  文  件</w:t>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firstLine="1084"/>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名 称：</w:t>
      </w:r>
      <w:r>
        <w:rPr>
          <w:rFonts w:hint="eastAsia"/>
          <w:b/>
          <w:bCs/>
          <w:color w:val="000000" w:themeColor="text1"/>
          <w:sz w:val="32"/>
          <w:highlight w:val="none"/>
          <w:u w:val="single"/>
          <w14:textFill>
            <w14:solidFill>
              <w14:schemeClr w14:val="tx1"/>
            </w14:solidFill>
          </w14:textFill>
        </w:rPr>
        <w:t xml:space="preserve">                 </w:t>
      </w:r>
      <w:r>
        <w:rPr>
          <w:rFonts w:hint="eastAsia"/>
          <w:b/>
          <w:color w:val="000000" w:themeColor="text1"/>
          <w:sz w:val="36"/>
          <w:highlight w:val="none"/>
          <w:u w:val="single"/>
          <w14:textFill>
            <w14:solidFill>
              <w14:schemeClr w14:val="tx1"/>
            </w14:solidFill>
          </w14:textFill>
        </w:rPr>
        <w:t xml:space="preserve">              </w:t>
      </w:r>
      <w:r/>
    </w:p>
    <w:p>
      <w:pPr>
        <w:ind w:firstLine="1084"/>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编 号：</w:t>
      </w:r>
      <w:r>
        <w:rPr>
          <w:rFonts w:hint="eastAsia"/>
          <w:b/>
          <w:color w:val="000000" w:themeColor="text1"/>
          <w:sz w:val="36"/>
          <w:highlight w:val="none"/>
          <w:u w:val="single"/>
          <w14:textFill>
            <w14:solidFill>
              <w14:schemeClr w14:val="tx1"/>
            </w14:solidFill>
          </w14:textFill>
        </w:rPr>
        <w:t xml:space="preserve">                              </w:t>
      </w:r>
      <w:r>
        <w:rPr>
          <w:rFonts w:hint="eastAsia"/>
          <w:b/>
          <w:color w:val="000000" w:themeColor="text1"/>
          <w:sz w:val="36"/>
          <w:highlight w:val="none"/>
          <w14:textFill>
            <w14:solidFill>
              <w14:schemeClr w14:val="tx1"/>
            </w14:solidFill>
          </w14:textFill>
        </w:rPr>
        <w:t xml:space="preserve">  </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 xml:space="preserve">（加盖CA电子公章）</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日      期 ：</w:t>
      </w:r>
      <w:r>
        <w:rPr>
          <w:rFonts w:hint="eastAsia"/>
          <w:b/>
          <w:color w:val="000000" w:themeColor="text1"/>
          <w:sz w:val="36"/>
          <w:highlight w:val="none"/>
          <w:u w:val="single"/>
          <w14:textFill>
            <w14:solidFill>
              <w14:schemeClr w14:val="tx1"/>
            </w14:solidFill>
          </w14:textFill>
        </w:rPr>
        <w:t xml:space="preserve">               </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084"/>
        <w:rPr>
          <w:b/>
          <w:bCs/>
          <w:color w:val="000000" w:themeColor="text1"/>
          <w:sz w:val="32"/>
          <w:szCs w:val="32"/>
          <w:highlight w:val="none"/>
          <w14:textFill>
            <w14:solidFill>
              <w14:schemeClr w14:val="tx1"/>
            </w14:solidFill>
          </w14:textFill>
        </w:rPr>
      </w:pPr>
      <w:r>
        <w:rPr>
          <w:b/>
          <w:color w:val="000000" w:themeColor="text1"/>
          <w:sz w:val="36"/>
          <w:highlight w:val="none"/>
          <w:u w:val="single"/>
          <w14:textFill>
            <w14:solidFill>
              <w14:schemeClr w14:val="tx1"/>
            </w14:solidFill>
          </w14:textFill>
        </w:rPr>
        <w:br w:type="page" w:clear="all"/>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一、投标声明及承诺函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二、投标人基本情况</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三、满足特定资格要求的证明文件</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四、法人授权书</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六、投标报价明细表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七、中小企业声明函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九、项目组成员</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十、企业业绩</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十一、投标所需其他材料</w:t>
      </w:r>
      <w:r/>
    </w:p>
    <w:p>
      <w:pPr>
        <w:pStyle w:val="1062"/>
        <w:rPr>
          <w:rFonts w:ascii="Times New Roman" w:hAnsi="Times New Roman"/>
          <w:caps w:val="0"/>
          <w:color w:val="000000" w:themeColor="text1"/>
          <w:highlight w:val="none"/>
          <w:lang w:val="en-US" w:eastAsia="zh-CN"/>
          <w14:textFill>
            <w14:solidFill>
              <w14:schemeClr w14:val="tx1"/>
            </w14:solidFill>
          </w14:textFill>
        </w:rPr>
      </w:pPr>
      <w:r>
        <w:rPr>
          <w:rFonts w:ascii="Times New Roman" w:hAnsi="Times New Roman"/>
          <w:caps w:val="0"/>
          <w:color w:val="000000" w:themeColor="text1"/>
          <w:highlight w:val="none"/>
          <w:lang w:val="en-US" w:eastAsia="zh-CN"/>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bookmarkStart w:id="248" w:name="_Toc23838"/>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48"/>
      <w:r/>
      <w:r/>
    </w:p>
    <w:p>
      <w:pPr>
        <w:pStyle w:val="1138"/>
        <w:rPr>
          <w:rFonts w:hint="eastAsia"/>
          <w:color w:val="000000" w:themeColor="text1"/>
          <w:highlight w:val="none"/>
          <w14:textFill>
            <w14:solidFill>
              <w14:schemeClr w14:val="tx1"/>
            </w14:solidFill>
          </w14:textFill>
        </w:rPr>
        <w:outlineLvl w:val="1"/>
      </w:pPr>
      <w:r/>
      <w:bookmarkStart w:id="249" w:name="_Toc158281561"/>
      <w:r/>
      <w:bookmarkStart w:id="250" w:name="_Toc14866"/>
      <w:r>
        <w:rPr>
          <w:rFonts w:hint="eastAsia"/>
          <w:color w:val="000000" w:themeColor="text1"/>
          <w:highlight w:val="none"/>
          <w14:textFill>
            <w14:solidFill>
              <w14:schemeClr w14:val="tx1"/>
            </w14:solidFill>
          </w14:textFill>
        </w:rPr>
        <w:t xml:space="preserve">一、</w:t>
      </w:r>
      <w:bookmarkEnd w:id="244"/>
      <w:r/>
      <w:bookmarkEnd w:id="245"/>
      <w:r/>
      <w:bookmarkEnd w:id="246"/>
      <w:r/>
      <w:bookmarkStart w:id="251" w:name="_Toc120614284"/>
      <w:r>
        <w:rPr>
          <w:rFonts w:hint="eastAsia"/>
          <w:color w:val="000000" w:themeColor="text1"/>
          <w:highlight w:val="none"/>
          <w14:textFill>
            <w14:solidFill>
              <w14:schemeClr w14:val="tx1"/>
            </w14:solidFill>
          </w14:textFill>
        </w:rPr>
        <w:t xml:space="preserve">投标声明及承诺函</w:t>
      </w:r>
      <w:bookmarkEnd w:id="249"/>
      <w:r/>
      <w:bookmarkEnd w:id="250"/>
      <w:r/>
      <w:r/>
    </w:p>
    <w:p>
      <w:pPr>
        <w:pStyle w:val="1127"/>
        <w:jc w:val="left"/>
        <w:spacing w:line="500" w:lineRule="exact"/>
        <w:rPr>
          <w:rFonts w:ascii="Times New Roman" w:hAnsi="Times New Roman" w:eastAsia="方正仿宋_GBK"/>
          <w:color w:val="000000" w:themeColor="text1"/>
          <w:sz w:val="24"/>
          <w:szCs w:val="24"/>
          <w:highlight w:val="none"/>
          <w:u w:val="single"/>
          <w14:textFill>
            <w14:solidFill>
              <w14:schemeClr w14:val="tx1"/>
            </w14:solidFill>
          </w14:textFill>
        </w:rPr>
      </w:pP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（采购单位名称）：</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根据已收到的项目编号为</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的</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项目的招标文件，我方在参加本项目招投标活动中，特做出如下承诺：</w:t>
      </w:r>
      <w:r/>
    </w:p>
    <w:p>
      <w:pPr>
        <w:pStyle w:val="1127"/>
        <w:ind w:firstLine="480"/>
        <w:jc w:val="left"/>
        <w:spacing w:line="500" w:lineRule="exact"/>
        <w:rPr>
          <w:rFonts w:ascii="Times New Roman" w:hAnsi="Times New Roman" w:eastAsia="方正仿宋_GBK"/>
          <w:color w:val="000000" w:themeColor="text1"/>
          <w:sz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一、我方</w:t>
      </w:r>
      <w:r>
        <w:rPr>
          <w:rFonts w:ascii="Times New Roman" w:hAnsi="Times New Roman" w:eastAsia="方正仿宋_GBK"/>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127"/>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投标人名称： </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（加盖CA电子公章）</w:t>
      </w:r>
      <w:r/>
    </w:p>
    <w:p>
      <w:pPr>
        <w:pStyle w:val="1127"/>
        <w:ind w:firstLine="480"/>
        <w:rPr>
          <w:rFonts w:ascii="Times New Roman" w:hAnsi="Times New Roman"/>
          <w:color w:val="000000" w:themeColor="text1"/>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日期：    年    月   日</w:t>
      </w:r>
      <w:r/>
    </w:p>
    <w:p>
      <w:pPr>
        <w:pStyle w:val="1138"/>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2" w:name="_Toc28096"/>
      <w:r/>
      <w:bookmarkStart w:id="253" w:name="_Toc158281562"/>
      <w:r>
        <w:rPr>
          <w:rFonts w:hint="eastAsia"/>
          <w:color w:val="000000" w:themeColor="text1"/>
          <w:highlight w:val="none"/>
          <w14:textFill>
            <w14:solidFill>
              <w14:schemeClr w14:val="tx1"/>
            </w14:solidFill>
          </w14:textFill>
        </w:rPr>
        <w:t xml:space="preserve">二、投标人基本情况</w:t>
      </w:r>
      <w:bookmarkEnd w:id="252"/>
      <w:r/>
      <w:bookmarkEnd w:id="253"/>
      <w:r/>
      <w:r/>
    </w:p>
    <w:p>
      <w:pPr>
        <w:pStyle w:val="1048"/>
        <w:jc w:val="center"/>
        <w:rPr>
          <w:rFonts w:ascii="Times New Roman" w:hAnsi="Times New Roman"/>
          <w:color w:val="000000" w:themeColor="text1"/>
          <w:sz w:val="44"/>
          <w:szCs w:val="44"/>
          <w:highlight w:val="none"/>
          <w14:textFill>
            <w14:solidFill>
              <w14:schemeClr w14:val="tx1"/>
            </w14:solidFill>
          </w14:textFill>
        </w:rPr>
      </w:pPr>
      <w:r>
        <w:rPr>
          <w:rFonts w:hint="eastAsia" w:ascii="Times New Roman" w:hAnsi="Times New Roman"/>
          <w:color w:val="000000" w:themeColor="text1"/>
          <w:sz w:val="44"/>
          <w:szCs w:val="44"/>
          <w:highlight w:val="none"/>
          <w14:textFill>
            <w14:solidFill>
              <w14:schemeClr w14:val="tx1"/>
            </w14:solidFill>
          </w14:textFill>
        </w:rPr>
        <w:t xml:space="preserve">投标人基本情况表</w:t>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048"/>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vAlign w:val="top"/>
            <w:textDirection w:val="lrTb"/>
            <w:noWrap w:val="false"/>
          </w:tcPr>
          <w:p>
            <w:pPr>
              <w:pStyle w:val="1048"/>
              <w:ind w:firstLine="1432"/>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048"/>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48"/>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提供营业执照等证明材料</w:t>
            </w:r>
            <w:r/>
          </w:p>
        </w:tc>
      </w:tr>
    </w:tbl>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7"/>
        <w:rPr>
          <w:rFonts w:hint="eastAsia" w:ascii="Times New Roman" w:hAnsi="Times New Roman" w:eastAsia="黑体"/>
          <w:i/>
          <w:color w:val="000000" w:themeColor="text1"/>
          <w:sz w:val="32"/>
          <w:szCs w:val="32"/>
          <w:highlight w:val="none"/>
          <w:u w:val="single"/>
          <w14:textFill>
            <w14:solidFill>
              <w14:schemeClr w14:val="tx1"/>
            </w14:solidFill>
          </w14:textFill>
        </w:rPr>
      </w:pPr>
      <w:r>
        <w:rPr>
          <w:rFonts w:hint="eastAsia" w:ascii="Times New Roman" w:hAnsi="Times New Roman" w:eastAsia="黑体"/>
          <w:i/>
          <w:color w:val="000000" w:themeColor="text1"/>
          <w:sz w:val="32"/>
          <w:szCs w:val="32"/>
          <w:highlight w:val="none"/>
          <w:u w:val="single"/>
          <w14:textFill>
            <w14:solidFill>
              <w14:schemeClr w14:val="tx1"/>
            </w14:solidFill>
          </w14:textFill>
        </w:rPr>
      </w:r>
      <w:r/>
    </w:p>
    <w:p>
      <w:pPr>
        <w:pStyle w:val="1138"/>
        <w:rPr>
          <w:rFonts w:hint="eastAsia"/>
          <w:i/>
          <w:color w:val="000000" w:themeColor="text1"/>
          <w:szCs w:val="32"/>
          <w:highlight w:val="none"/>
          <w:u w:val="singl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4" w:name="_Toc158281563"/>
      <w:r/>
      <w:bookmarkStart w:id="255" w:name="_Toc30935"/>
      <w:r>
        <w:rPr>
          <w:rFonts w:hint="eastAsia"/>
          <w:color w:val="000000" w:themeColor="text1"/>
          <w:highlight w:val="none"/>
          <w14:textFill>
            <w14:solidFill>
              <w14:schemeClr w14:val="tx1"/>
            </w14:solidFill>
          </w14:textFill>
        </w:rPr>
        <w:t xml:space="preserve">三、特定资格要求的证明文件</w:t>
      </w:r>
      <w:bookmarkEnd w:id="254"/>
      <w:r/>
      <w:bookmarkEnd w:id="255"/>
      <w:r/>
      <w:r/>
    </w:p>
    <w:p>
      <w:pPr>
        <w:spacing w:line="4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w:t>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087"/>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pStyle w:val="1087"/>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bookmarkStart w:id="256" w:name="_Toc158281564"/>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1"/>
      </w:pPr>
      <w:r/>
      <w:bookmarkStart w:id="257" w:name="_Toc13215"/>
      <w:r>
        <w:rPr>
          <w:rFonts w:hint="eastAsia"/>
          <w:color w:val="000000" w:themeColor="text1"/>
          <w:highlight w:val="none"/>
          <w14:textFill>
            <w14:solidFill>
              <w14:schemeClr w14:val="tx1"/>
            </w14:solidFill>
          </w14:textFill>
        </w:rPr>
        <w:t xml:space="preserve">四、法人授权书</w:t>
      </w:r>
      <w:bookmarkEnd w:id="256"/>
      <w:r/>
      <w:bookmarkEnd w:id="257"/>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pStyle w:val="1098"/>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被授权人身份证号码：</w:t>
      </w:r>
      <w:r>
        <w:rPr>
          <w:rFonts w:hint="eastAsia"/>
          <w:color w:val="000000" w:themeColor="text1"/>
          <w:sz w:val="24"/>
          <w:szCs w:val="24"/>
          <w:highlight w:val="none"/>
          <w:u w:val="single"/>
          <w14:textFill>
            <w14:solidFill>
              <w14:schemeClr w14:val="tx1"/>
            </w14:solidFill>
          </w14:textFill>
        </w:rPr>
        <w:t xml:space="preserve">                              </w:t>
      </w:r>
      <w:r/>
    </w:p>
    <w:p>
      <w:pPr>
        <w:pStyle w:val="1098"/>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被授权人联系电话：（手机）</w:t>
      </w:r>
      <w:r>
        <w:rPr>
          <w:rFonts w:hint="eastAsia"/>
          <w:color w:val="000000" w:themeColor="text1"/>
          <w:sz w:val="24"/>
          <w:szCs w:val="24"/>
          <w:highlight w:val="none"/>
          <w:u w:val="single"/>
          <w14:textFill>
            <w14:solidFill>
              <w14:schemeClr w14:val="tx1"/>
            </w14:solidFill>
          </w14:textFill>
        </w:rPr>
        <w:t xml:space="preserve">                          </w:t>
      </w:r>
      <w:r/>
    </w:p>
    <w:p>
      <w:pPr>
        <w:pStyle w:val="1098"/>
        <w:ind w:firstLine="120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pStyle w:val="1098"/>
        <w:ind w:firstLine="48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单位地址：</w:t>
      </w:r>
      <w:r>
        <w:rPr>
          <w:rFonts w:hint="eastAsia"/>
          <w:color w:val="000000" w:themeColor="text1"/>
          <w:sz w:val="24"/>
          <w:szCs w:val="24"/>
          <w:highlight w:val="none"/>
          <w:u w:val="single"/>
          <w14:textFill>
            <w14:solidFill>
              <w14:schemeClr w14:val="tx1"/>
            </w14:solidFill>
          </w14:textFill>
        </w:rPr>
        <w:t xml:space="preserve">                                         </w:t>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w:t>
      </w:r>
      <w:bookmarkStart w:id="258" w:name="_格式3__银行出具的资信证明"/>
      <w:r/>
      <w:bookmarkEnd w:id="258"/>
      <w:r/>
      <w:bookmarkStart w:id="259" w:name="_Hlt26671380"/>
      <w:r/>
      <w:bookmarkEnd w:id="259"/>
      <w:r/>
      <w:bookmarkStart w:id="260" w:name="_Hlt26955070"/>
      <w:r/>
      <w:bookmarkEnd w:id="260"/>
      <w:r>
        <w:rPr>
          <w:rFonts w:hint="eastAsia"/>
          <w:color w:val="000000" w:themeColor="text1"/>
          <w:sz w:val="24"/>
          <w:szCs w:val="24"/>
          <w:highlight w:val="none"/>
          <w:u w:val="single"/>
          <w14:textFill>
            <w14:solidFill>
              <w14:schemeClr w14:val="tx1"/>
            </w14:solidFill>
          </w14:textFill>
        </w:rPr>
        <w:t xml:space="preserve">                                         </w:t>
      </w:r>
      <w:r/>
    </w:p>
    <w:p>
      <w:pPr>
        <w:pStyle w:val="1011"/>
        <w:keepLines w:val="0"/>
        <w:keepNext w:val="0"/>
        <w:pageBreakBefore w:val="0"/>
        <w:spacing w:line="440" w:lineRule="exact"/>
        <w:widowControl w:val="off"/>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1011"/>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eastAsia="楷体"/>
          <w:bCs/>
          <w:color w:val="000000" w:themeColor="text1"/>
          <w:sz w:val="24"/>
          <w:szCs w:val="24"/>
          <w:highlight w:val="none"/>
          <w14:textFill>
            <w14:solidFill>
              <w14:schemeClr w14:val="tx1"/>
            </w14:solidFill>
          </w14:textFill>
        </w:rPr>
      </w:pPr>
      <w:r>
        <w:rPr>
          <w:rFonts w:hint="eastAsia" w:eastAsia="楷体"/>
          <w:bCs/>
          <w:color w:val="000000" w:themeColor="text1"/>
          <w:sz w:val="24"/>
          <w:szCs w:val="24"/>
          <w:highlight w:val="none"/>
          <w14:textFill>
            <w14:solidFill>
              <w14:schemeClr w14:val="tx1"/>
            </w14:solidFill>
          </w14:textFill>
        </w:rPr>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138"/>
        <w:rPr>
          <w:rFonts w:hint="eastAsia" w:eastAsia="仿宋_GB2312"/>
          <w:color w:val="000000" w:themeColor="text1"/>
          <w:sz w:val="24"/>
          <w:szCs w:val="20"/>
          <w:highlight w:val="none"/>
          <w14:textFill>
            <w14:solidFill>
              <w14:schemeClr w14:val="tx1"/>
            </w14:solidFill>
          </w14:textFill>
        </w:rPr>
        <w:outlineLvl w:val="1"/>
      </w:pPr>
      <w:r>
        <w:rPr>
          <w:bCs/>
          <w:color w:val="000000" w:themeColor="text1"/>
          <w:sz w:val="24"/>
          <w:highlight w:val="none"/>
          <w14:textFill>
            <w14:solidFill>
              <w14:schemeClr w14:val="tx1"/>
            </w14:solidFill>
          </w14:textFill>
        </w:rPr>
        <w:br w:type="page" w:clear="all"/>
      </w:r>
      <w:bookmarkStart w:id="261" w:name="_Toc158281565"/>
      <w:r/>
      <w:bookmarkStart w:id="262" w:name="_Toc17357"/>
      <w:r>
        <w:rPr>
          <w:rFonts w:hint="eastAsia"/>
          <w:color w:val="000000" w:themeColor="text1"/>
          <w:highlight w:val="none"/>
          <w14:textFill>
            <w14:solidFill>
              <w14:schemeClr w14:val="tx1"/>
            </w14:solidFill>
          </w14:textFill>
        </w:rPr>
        <w:t xml:space="preserve">五、开标一览表</w:t>
      </w:r>
      <w:bookmarkEnd w:id="261"/>
      <w:r/>
      <w:bookmarkEnd w:id="262"/>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投标人全称（加盖CA电子签章）：</w:t>
      </w:r>
      <w:r>
        <w:rPr>
          <w:rFonts w:hint="eastAsia"/>
          <w:color w:val="000000" w:themeColor="text1"/>
          <w:sz w:val="24"/>
          <w:szCs w:val="24"/>
          <w:highlight w:val="none"/>
          <w:u w:val="single"/>
          <w14:textFill>
            <w14:solidFill>
              <w14:schemeClr w14:val="tx1"/>
            </w14:solidFill>
          </w14:textFill>
        </w:rPr>
        <w:t xml:space="preserve">                   </w:t>
      </w:r>
      <w:r/>
    </w:p>
    <w:p>
      <w:pPr>
        <w:ind w:firstLine="480"/>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                    </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pStyle w:val="1100"/>
              <w:ind w:firstLine="0"/>
              <w:spacing w:before="0" w:after="0" w:line="5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小写：                             （人民币：元）</w:t>
            </w:r>
            <w:r/>
          </w:p>
        </w:tc>
      </w:tr>
      <w:tr>
        <w:trPr>
          <w:cantSplit/>
          <w:trHeight w:val="612"/>
        </w:trPr>
        <w:tc>
          <w:tcPr>
            <w:tcW w:w="8206" w:type="dxa"/>
            <w:vAlign w:val="center"/>
            <w:textDirection w:val="lrTb"/>
            <w:noWrap w:val="false"/>
          </w:tcPr>
          <w:p>
            <w:pPr>
              <w:pStyle w:val="1100"/>
              <w:ind w:firstLine="0"/>
              <w:spacing w:before="0" w:after="0" w:line="500" w:lineRule="exact"/>
              <w:rPr>
                <w:rFonts w:hint="eastAsia" w:ascii="Times New Roman" w:hAnsi="Times New Roman" w:cs="宋体"/>
                <w:color w:val="000000" w:themeColor="text1"/>
                <w:highlight w:val="none"/>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备注：</w:t>
            </w:r>
            <w:r/>
          </w:p>
        </w:tc>
      </w:tr>
    </w:tbl>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bCs/>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138"/>
        <w:rPr>
          <w:rFonts w:hint="eastAsia"/>
          <w:color w:val="000000" w:themeColor="text1"/>
          <w:highlight w:val="none"/>
          <w14:textFill>
            <w14:solidFill>
              <w14:schemeClr w14:val="tx1"/>
            </w14:solidFill>
          </w14:textFill>
        </w:rPr>
        <w:outlineLvl w:val="1"/>
      </w:pPr>
      <w:r/>
      <w:bookmarkStart w:id="263" w:name="_Toc158281566"/>
      <w:r/>
      <w:bookmarkStart w:id="264" w:name="_Toc5021"/>
      <w:r>
        <w:rPr>
          <w:rFonts w:hint="eastAsia"/>
          <w:color w:val="000000" w:themeColor="text1"/>
          <w:highlight w:val="none"/>
          <w14:textFill>
            <w14:solidFill>
              <w14:schemeClr w14:val="tx1"/>
            </w14:solidFill>
          </w14:textFill>
        </w:rPr>
        <w:t xml:space="preserve">六、投标报价明细表</w:t>
      </w:r>
      <w:bookmarkEnd w:id="263"/>
      <w:r/>
      <w:bookmarkEnd w:id="264"/>
      <w:r/>
      <w:r/>
    </w:p>
    <w:tbl>
      <w:tblPr>
        <w:tblStyle w:val="82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1798" w:type="dxa"/>
            <w:vAlign w:val="top"/>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 “投标分项报价表”中“投标总报价”数额应当与“开标一览表”中“投标总报价”数额一致。</w:t>
      </w:r>
      <w:r/>
    </w:p>
    <w:p>
      <w:pPr>
        <w:pStyle w:val="1138"/>
        <w:rPr>
          <w:rFonts w:hint="eastAsia" w:ascii="Times New Roman" w:hAnsi="Times New Roman" w:eastAsia="宋体"/>
          <w:color w:val="000000" w:themeColor="text1"/>
          <w:szCs w:val="32"/>
          <w:highlight w:val="none"/>
          <w14:textFill>
            <w14:solidFill>
              <w14:schemeClr w14:val="tx1"/>
            </w14:solidFill>
          </w14:textFill>
        </w:rPr>
        <w:outlineLvl w:val="1"/>
      </w:pPr>
      <w:r>
        <w:rPr>
          <w:rFonts w:ascii="Times New Roman" w:hAnsi="Times New Roman" w:eastAsia="宋体" w:cs="宋体"/>
          <w:strike/>
          <w:color w:val="000000" w:themeColor="text1"/>
          <w:szCs w:val="32"/>
          <w:highlight w:val="none"/>
          <w14:textFill>
            <w14:solidFill>
              <w14:schemeClr w14:val="tx1"/>
            </w14:solidFill>
          </w14:textFill>
        </w:rPr>
        <w:br w:type="page" w:clear="all"/>
      </w:r>
      <w:bookmarkStart w:id="265" w:name="_Toc7508"/>
      <w:r/>
      <w:bookmarkStart w:id="266" w:name="_Toc158281567"/>
      <w:r>
        <w:rPr>
          <w:rFonts w:hint="eastAsia"/>
          <w:color w:val="000000" w:themeColor="text1"/>
          <w:highlight w:val="none"/>
          <w14:textFill>
            <w14:solidFill>
              <w14:schemeClr w14:val="tx1"/>
            </w14:solidFill>
          </w14:textFill>
        </w:rPr>
        <w:t xml:space="preserve">七、中小企业声明函（服务）</w:t>
      </w:r>
      <w:bookmarkEnd w:id="265"/>
      <w:r/>
      <w:bookmarkEnd w:id="266"/>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u w:val="single"/>
          <w14:textFill>
            <w14:solidFill>
              <w14:schemeClr w14:val="tx1"/>
            </w14:solidFill>
          </w14:textFill>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企业名称：（加盖CA电子公章）</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  期：       年___月___日</w:t>
      </w:r>
      <w:r/>
    </w:p>
    <w:p>
      <w:pPr>
        <w:jc w:val="center"/>
        <w:spacing w:line="360" w:lineRule="auto"/>
        <w:rPr>
          <w:rFonts w:hint="eastAsia" w:eastAsia="黑体"/>
          <w:color w:val="000000" w:themeColor="text1"/>
          <w:sz w:val="32"/>
          <w:szCs w:val="32"/>
          <w:highlight w:val="none"/>
          <w14:textFill>
            <w14:solidFill>
              <w14:schemeClr w14:val="tx1"/>
            </w14:solidFill>
          </w14:textFill>
        </w:rPr>
        <w:outlineLvl w:val="0"/>
      </w:pPr>
      <w:r>
        <w:rPr>
          <w:rFonts w:hint="eastAsia" w:eastAsia="黑体"/>
          <w:color w:val="000000" w:themeColor="text1"/>
          <w:sz w:val="32"/>
          <w:szCs w:val="32"/>
          <w:highlight w:val="none"/>
          <w14:textFill>
            <w14:solidFill>
              <w14:schemeClr w14:val="tx1"/>
            </w14:solidFill>
          </w14:textFill>
        </w:rPr>
        <w:br w:type="page" w:clear="all"/>
      </w:r>
      <w:bookmarkStart w:id="267" w:name="_Toc26157"/>
      <w:r/>
      <w:bookmarkStart w:id="268" w:name="_Toc158133337"/>
      <w:r/>
      <w:bookmarkStart w:id="269" w:name="_Toc158281568"/>
      <w:r/>
      <w:bookmarkStart w:id="270" w:name="_Toc158125008"/>
      <w:r>
        <w:rPr>
          <w:rFonts w:hint="eastAsia" w:eastAsia="黑体"/>
          <w:color w:val="000000" w:themeColor="text1"/>
          <w:sz w:val="32"/>
          <w:szCs w:val="32"/>
          <w:highlight w:val="none"/>
          <w14:textFill>
            <w14:solidFill>
              <w14:schemeClr w14:val="tx1"/>
            </w14:solidFill>
          </w14:textFill>
        </w:rPr>
        <w:t xml:space="preserve">残疾人福利性单位声明函</w:t>
      </w:r>
      <w:bookmarkEnd w:id="267"/>
      <w:r/>
      <w:bookmarkEnd w:id="268"/>
      <w:r/>
      <w:bookmarkEnd w:id="269"/>
      <w:r/>
      <w:bookmarkEnd w:id="270"/>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项目采购活动由本单位提供服务。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highlight w:val="none"/>
          <w14:textFill>
            <w14:solidFill>
              <w14:schemeClr w14:val="tx1"/>
            </w14:solidFill>
          </w14:textFill>
        </w:rPr>
      </w:pPr>
      <w:r>
        <w:rPr>
          <w:rFonts w:eastAsia="仿宋_GB2312"/>
          <w:color w:val="000000" w:themeColor="text1"/>
          <w:spacing w:val="6"/>
          <w:sz w:val="30"/>
          <w:szCs w:val="30"/>
          <w:highlight w:val="none"/>
          <w14:textFill>
            <w14:solidFill>
              <w14:schemeClr w14:val="tx1"/>
            </w14:solidFill>
          </w14:textFill>
        </w:rPr>
      </w:r>
      <w:r/>
    </w:p>
    <w:p>
      <w:pPr>
        <w:pStyle w:val="1130"/>
        <w:spacing w:line="360" w:lineRule="auto"/>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ind w:right="180" w:firstLine="360"/>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企业名称：（加盖CA电子公章）</w:t>
      </w:r>
      <w:r/>
    </w:p>
    <w:p>
      <w:pPr>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年___月___日</w:t>
      </w:r>
      <w:r/>
    </w:p>
    <w:p>
      <w:pPr>
        <w:pStyle w:val="1138"/>
        <w:rPr>
          <w:rFonts w:hint="eastAsia"/>
          <w:b w:val="0"/>
          <w:color w:val="000000" w:themeColor="text1"/>
          <w:szCs w:val="32"/>
          <w:highlight w:val="none"/>
          <w14:textFill>
            <w14:solidFill>
              <w14:schemeClr w14:val="tx1"/>
            </w14:solidFill>
          </w14:textFill>
        </w:rPr>
        <w:outlineLvl w:val="1"/>
      </w:pPr>
      <w:r>
        <w:rPr>
          <w:b w:val="0"/>
          <w:color w:val="000000" w:themeColor="text1"/>
          <w:szCs w:val="32"/>
          <w:highlight w:val="none"/>
          <w14:textFill>
            <w14:solidFill>
              <w14:schemeClr w14:val="tx1"/>
            </w14:solidFill>
          </w14:textFill>
        </w:rPr>
        <w:br w:type="page" w:clear="all"/>
      </w:r>
      <w:bookmarkStart w:id="271" w:name="_Toc9556"/>
      <w:r/>
      <w:bookmarkStart w:id="272" w:name="_Toc158281569"/>
      <w:r>
        <w:rPr>
          <w:rFonts w:hint="eastAsia"/>
          <w:color w:val="000000" w:themeColor="text1"/>
          <w:highlight w:val="none"/>
          <w14:textFill>
            <w14:solidFill>
              <w14:schemeClr w14:val="tx1"/>
            </w14:solidFill>
          </w14:textFill>
        </w:rPr>
        <w:t xml:space="preserve">八、技术要求响应及偏离表</w:t>
      </w:r>
      <w:bookmarkEnd w:id="271"/>
      <w:r/>
      <w:bookmarkEnd w:id="272"/>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pStyle w:val="1072"/>
              <w:jc w:val="center"/>
              <w:spacing w:before="0" w:beforeAutospacing="0" w:after="0" w:afterAutospacing="0"/>
              <w:rPr>
                <w:rFonts w:hint="eastAsia" w:ascii="Times New Roman" w:hAnsi="Times New Roman"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技术要求和商务要求中的实质性要求（打“</w:t>
            </w:r>
            <w:r>
              <w:rPr>
                <w:rFonts w:hint="eastAsia"/>
                <w:color w:val="000000" w:themeColor="text1"/>
                <w:highlight w:val="none"/>
                <w14:textFill>
                  <w14:solidFill>
                    <w14:schemeClr w14:val="tx1"/>
                  </w14:solidFill>
                </w14:textFill>
              </w:rPr>
              <w:t xml:space="preserve">★</w:t>
            </w:r>
            <w:r>
              <w:rPr>
                <w:rFonts w:ascii="Times New Roman" w:hAnsi="Times New Roman" w:cs="Times New Roman"/>
                <w:color w:val="000000" w:themeColor="text1"/>
                <w:highlight w:val="none"/>
                <w14:textFill>
                  <w14:solidFill>
                    <w14:schemeClr w14:val="tx1"/>
                  </w14:solidFill>
                </w14:textFill>
              </w:rPr>
              <w:t xml:space="preserve">”</w:t>
            </w:r>
            <w:r>
              <w:rPr>
                <w:rFonts w:ascii="Times New Roman" w:hAnsi="Times New Roman"/>
                <w:color w:val="000000" w:themeColor="text1"/>
                <w:highlight w:val="none"/>
                <w14:textFill>
                  <w14:solidFill>
                    <w14:schemeClr w14:val="tx1"/>
                  </w14:solidFill>
                </w14:textFill>
              </w:rPr>
              <w:t xml:space="preserve">内容）</w:t>
            </w:r>
            <w:r/>
          </w:p>
        </w:tc>
        <w:tc>
          <w:tcPr>
            <w:tcW w:w="2852" w:type="dxa"/>
            <w:vAlign w:val="center"/>
            <w:textDirection w:val="lrTb"/>
            <w:noWrap w:val="false"/>
          </w:tcPr>
          <w:p>
            <w:pPr>
              <w:pStyle w:val="1072"/>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响应情况</w:t>
            </w:r>
            <w:r>
              <w:rPr>
                <w:rFonts w:hint="eastAsia" w:ascii="Times New Roman" w:hAnsi="Times New Roman"/>
                <w:color w:val="000000" w:themeColor="text1"/>
                <w:highlight w:val="none"/>
                <w14:textFill>
                  <w14:solidFill>
                    <w14:schemeClr w14:val="tx1"/>
                  </w14:solidFill>
                </w14:textFill>
              </w:rPr>
              <w:t xml:space="preserve">（填报“响应或完全响应”）</w:t>
            </w:r>
            <w:r/>
          </w:p>
        </w:tc>
        <w:tc>
          <w:tcPr>
            <w:tcW w:w="1308" w:type="dxa"/>
            <w:vAlign w:val="center"/>
            <w:textDirection w:val="lrTb"/>
            <w:noWrap w:val="false"/>
          </w:tcPr>
          <w:p>
            <w:pPr>
              <w:pStyle w:val="1072"/>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证明</w:t>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w:t>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必须对技术要求和商务要求中的实质性要求（打“★”内容）做出明确响应，否则作无效响应处理。</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2.如果采购文件要求提供证明材料，</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必须将证明材料列于该表之下。</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未对实质性要求作出明确响应的，或未按采购文件要求提供证明材料的，该分包作无效响应处理。</w:t>
      </w:r>
      <w:r/>
    </w:p>
    <w:p>
      <w:pPr>
        <w:spacing w:line="588"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4.行数不够，可自行添加。</w:t>
      </w:r>
      <w:r/>
    </w:p>
    <w:p>
      <w:pPr>
        <w:jc w:val="center"/>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bookmarkStart w:id="273" w:name="_Toc158281570"/>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color w:val="000000" w:themeColor="text1"/>
          <w:highlight w:val="none"/>
          <w14:textFill>
            <w14:solidFill>
              <w14:schemeClr w14:val="tx1"/>
            </w14:solidFill>
          </w14:textFill>
        </w:rPr>
        <w:outlineLvl w:val="1"/>
      </w:pPr>
      <w:r/>
      <w:bookmarkStart w:id="274" w:name="_Toc30650"/>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bookmarkEnd w:id="273"/>
      <w:r/>
      <w:bookmarkEnd w:id="274"/>
      <w:r/>
      <w:r/>
    </w:p>
    <w:p>
      <w:pPr>
        <w:pStyle w:val="1072"/>
        <w:jc w:val="center"/>
        <w:spacing w:line="600" w:lineRule="exact"/>
        <w:rPr>
          <w:rFonts w:ascii="Times New Roman" w:hAnsi="Times New Roman"/>
          <w:b/>
          <w:bCs/>
          <w:color w:val="000000" w:themeColor="text1"/>
          <w:sz w:val="32"/>
          <w:szCs w:val="32"/>
          <w:highlight w:val="none"/>
          <w14:textFill>
            <w14:solidFill>
              <w14:schemeClr w14:val="tx1"/>
            </w14:solidFill>
          </w14:textFill>
        </w:rPr>
      </w:pPr>
      <w:r>
        <w:rPr>
          <w:rFonts w:hint="eastAsia" w:ascii="Times New Roman" w:hAnsi="Times New Roman"/>
          <w:b/>
          <w:bCs/>
          <w:color w:val="000000" w:themeColor="text1"/>
          <w:sz w:val="32"/>
          <w:szCs w:val="32"/>
          <w:highlight w:val="none"/>
          <w:lang w:bidi="ar"/>
          <w14:textFill>
            <w14:solidFill>
              <w14:schemeClr w14:val="tx1"/>
            </w14:solidFill>
          </w14:textFill>
        </w:rPr>
        <w:t xml:space="preserve">项目组成员</w:t>
      </w:r>
      <w:r/>
    </w:p>
    <w:tbl>
      <w:tblPr>
        <w:tblStyle w:val="82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134"/>
              <w:ind w:firstLine="280"/>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134"/>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jc w:val="center"/>
              <w:rPr>
                <w:rFonts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项目经理</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jc w:val="center"/>
              <w:rPr>
                <w:rFonts w:hint="eastAsia"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ind w:firstLine="280"/>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bl>
    <w:p>
      <w:pPr>
        <w:pStyle w:val="1072"/>
        <w:ind w:firstLine="398"/>
        <w:spacing w:line="46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b/>
          <w:color w:val="000000" w:themeColor="text1"/>
          <w:highlight w:val="none"/>
          <w:lang w:bidi="ar"/>
          <w14:textFill>
            <w14:solidFill>
              <w14:schemeClr w14:val="tx1"/>
            </w14:solidFill>
          </w14:textFill>
        </w:rPr>
        <w:t xml:space="preserve">注：如</w:t>
      </w:r>
      <w:r>
        <w:rPr>
          <w:rFonts w:hint="eastAsia" w:ascii="Times New Roman" w:hAnsi="Times New Roman" w:eastAsia="仿宋_GB2312" w:cs="仿宋_GB2312"/>
          <w:b/>
          <w:color w:val="000000" w:themeColor="text1"/>
          <w:highlight w:val="none"/>
          <w:lang w:bidi="ar"/>
          <w14:textFill>
            <w14:solidFill>
              <w14:schemeClr w14:val="tx1"/>
            </w14:solidFill>
          </w14:textFill>
        </w:rPr>
        <w:t xml:space="preserve">投标人</w:t>
      </w:r>
      <w:r>
        <w:rPr>
          <w:rFonts w:ascii="Times New Roman" w:hAnsi="Times New Roman" w:eastAsia="仿宋_GB2312" w:cs="仿宋_GB2312"/>
          <w:b/>
          <w:color w:val="000000" w:themeColor="text1"/>
          <w:highlight w:val="none"/>
          <w:lang w:bidi="ar"/>
          <w14:textFill>
            <w14:solidFill>
              <w14:schemeClr w14:val="tx1"/>
            </w14:solidFill>
          </w14:textFill>
        </w:rPr>
        <w:t xml:space="preserve">中标，项目组成员必须按本表承诺人员操作，不得随意更换。按投标文件要求附相关人员证书。</w:t>
      </w:r>
      <w:r/>
    </w:p>
    <w:p>
      <w:pPr>
        <w:pStyle w:val="1072"/>
        <w:ind w:firstLine="280"/>
        <w:spacing w:line="50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color w:val="000000" w:themeColor="text1"/>
          <w:highlight w:val="none"/>
          <w14:textFill>
            <w14:solidFill>
              <w14:schemeClr w14:val="tx1"/>
            </w14:solidFill>
          </w14:textFill>
        </w:rPr>
      </w:r>
      <w:r/>
    </w:p>
    <w:p>
      <w:pPr>
        <w:pStyle w:val="1138"/>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5" w:name="_Toc11176"/>
      <w:r/>
      <w:bookmarkStart w:id="276" w:name="_Toc31278"/>
      <w:r/>
      <w:bookmarkStart w:id="277" w:name="_Toc158281571"/>
      <w:r>
        <w:rPr>
          <w:rFonts w:hint="eastAsia" w:ascii="Times New Roman" w:hAnsi="Times New Roman"/>
          <w:color w:val="000000" w:themeColor="text1"/>
          <w:highlight w:val="none"/>
          <w14:textFill>
            <w14:solidFill>
              <w14:schemeClr w14:val="tx1"/>
            </w14:solidFill>
          </w14:textFill>
        </w:rPr>
        <w:t xml:space="preserve">十、</w:t>
      </w:r>
      <w:bookmarkEnd w:id="275"/>
      <w:r>
        <w:rPr>
          <w:rFonts w:hint="eastAsia" w:ascii="Times New Roman" w:hAnsi="Times New Roman"/>
          <w:color w:val="000000" w:themeColor="text1"/>
          <w:highlight w:val="none"/>
          <w14:textFill>
            <w14:solidFill>
              <w14:schemeClr w14:val="tx1"/>
            </w14:solidFill>
          </w14:textFill>
        </w:rPr>
        <w:t xml:space="preserve">企业业绩</w:t>
      </w:r>
      <w:bookmarkEnd w:id="276"/>
      <w:r/>
      <w:bookmarkEnd w:id="277"/>
      <w:r/>
      <w:r/>
    </w:p>
    <w:p>
      <w:pPr>
        <w:pStyle w:val="1136"/>
        <w:jc w:val="center"/>
        <w:rPr>
          <w:rFonts w:ascii="Times New Roman" w:hAnsi="Times New Roman"/>
          <w:b/>
          <w:color w:val="000000" w:themeColor="text1"/>
          <w:sz w:val="32"/>
          <w:szCs w:val="32"/>
          <w:highlight w:val="none"/>
          <w14:textFill>
            <w14:solidFill>
              <w14:schemeClr w14:val="tx1"/>
            </w14:solidFill>
          </w14:textFill>
        </w:rPr>
      </w:pPr>
      <w:r>
        <w:rPr>
          <w:rFonts w:hint="eastAsia" w:ascii="Times New Roman" w:hAnsi="Times New Roman"/>
          <w:b/>
          <w:color w:val="000000" w:themeColor="text1"/>
          <w:sz w:val="32"/>
          <w:szCs w:val="32"/>
          <w:highlight w:val="none"/>
          <w14:textFill>
            <w14:solidFill>
              <w14:schemeClr w14:val="tx1"/>
            </w14:solidFill>
          </w14:textFill>
        </w:rPr>
        <w:t xml:space="preserve">投标人承担类似项目业绩一览表</w:t>
      </w:r>
      <w:r/>
    </w:p>
    <w:tbl>
      <w:tblPr>
        <w:tblStyle w:val="82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25"/>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bl>
    <w:p>
      <w:pPr>
        <w:pStyle w:val="1136"/>
        <w:rPr>
          <w:rFonts w:ascii="Times New Roman" w:hAnsi="Times New Roman"/>
          <w:color w:val="000000" w:themeColor="text1"/>
          <w:highlight w:val="none"/>
          <w14:textFill>
            <w14:solidFill>
              <w14:schemeClr w14:val="tx1"/>
            </w14:solidFill>
          </w14:textFill>
        </w:rPr>
      </w:pPr>
      <w:r>
        <w:rPr>
          <w:rFonts w:hint="eastAsia" w:ascii="Times New Roman" w:hAnsi="Times New Roman" w:eastAsia="仿宋_GB2312"/>
          <w:b/>
          <w:color w:val="000000" w:themeColor="text1"/>
          <w:sz w:val="24"/>
          <w:highlight w:val="none"/>
          <w14:textFill>
            <w14:solidFill>
              <w14:schemeClr w14:val="tx1"/>
            </w14:solidFill>
          </w14:textFill>
        </w:rPr>
        <w:t xml:space="preserve">注：请填写此表，并按要求上传业绩资料电子件。</w:t>
      </w:r>
      <w:r/>
    </w:p>
    <w:p>
      <w:pPr>
        <w:pStyle w:val="1138"/>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78" w:name="_Toc28140"/>
      <w:r/>
      <w:bookmarkStart w:id="279" w:name="_Toc158281572"/>
      <w:r/>
      <w:bookmarkStart w:id="280" w:name="_Toc19023"/>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bookmarkEnd w:id="278"/>
      <w:r/>
      <w:bookmarkEnd w:id="279"/>
      <w:r/>
      <w:bookmarkEnd w:id="280"/>
      <w:r/>
      <w:r/>
    </w:p>
    <w:p>
      <w:pPr>
        <w:pStyle w:val="1144"/>
        <w:ind w:firstLine="560"/>
        <w:spacing w:line="360" w:lineRule="auto"/>
        <w:rPr>
          <w:rFonts w:ascii="Times New Roman" w:hAnsi="Times New Roman" w:eastAsia="仿宋_GB2312"/>
          <w:color w:val="000000" w:themeColor="text1"/>
          <w:sz w:val="28"/>
          <w:szCs w:val="28"/>
          <w:highlight w:val="none"/>
          <w14:textFill>
            <w14:solidFill>
              <w14:schemeClr w14:val="tx1"/>
            </w14:solidFill>
          </w14:textFill>
        </w:rPr>
      </w:pPr>
      <w:r>
        <w:rPr>
          <w:rFonts w:hint="eastAsia" w:ascii="Times New Roman" w:hAnsi="Times New Roman" w:eastAsia="仿宋_GB2312"/>
          <w:color w:val="000000" w:themeColor="text1"/>
          <w:sz w:val="28"/>
          <w:szCs w:val="28"/>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bookmarkEnd w:id="251"/>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spacing w:line="48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480" w:lineRule="auto"/>
        <w:rPr>
          <w:rFonts w:hint="eastAsia"/>
          <w:color w:val="000000" w:themeColor="text1"/>
          <w:sz w:val="30"/>
          <w:highlight w:val="none"/>
          <w14:textFill>
            <w14:solidFill>
              <w14:schemeClr w14:val="tx1"/>
            </w14:solidFill>
          </w14:textFill>
        </w:rPr>
      </w:pPr>
      <w:r>
        <w:rPr>
          <w:rFonts w:hint="eastAsia"/>
          <w:color w:val="000000" w:themeColor="text1"/>
          <w:sz w:val="30"/>
          <w:highlight w:val="none"/>
          <w14:textFill>
            <w14:solidFill>
              <w14:schemeClr w14:val="tx1"/>
            </w14:solidFill>
          </w14:textFill>
        </w:rPr>
      </w:r>
      <w:r/>
    </w:p>
    <w:p>
      <w:pPr>
        <w:pStyle w:val="1011"/>
        <w:ind w:firstLine="0"/>
        <w:rPr>
          <w:rFonts w:hint="eastAsia"/>
          <w:color w:val="000000" w:themeColor="text1"/>
          <w:sz w:val="24"/>
          <w:highlight w:val="none"/>
          <w14:textFill>
            <w14:solidFill>
              <w14:schemeClr w14:val="tx1"/>
            </w14:solidFill>
          </w14:textFill>
        </w:rPr>
      </w:pPr>
      <w:r/>
      <w:bookmarkStart w:id="281" w:name="_Hlt26955066"/>
      <w:r/>
      <w:bookmarkEnd w:id="281"/>
      <w:r/>
      <w:bookmarkStart w:id="282" w:name="_Hlt26609389"/>
      <w:r/>
      <w:bookmarkEnd w:id="282"/>
      <w:r/>
      <w:bookmarkStart w:id="283" w:name="_Hlt26671374"/>
      <w:r/>
      <w:bookmarkEnd w:id="283"/>
      <w:r/>
      <w:bookmarkStart w:id="284" w:name="_Toc462564146"/>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bookmarkEnd w:id="227"/>
      <w:r/>
      <w:bookmarkEnd w:id="228"/>
      <w:r/>
      <w:bookmarkEnd w:id="284"/>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jc w:val="center"/>
        <w:rPr>
          <w:rFonts w:hint="eastAsia" w:eastAsia="黑体"/>
          <w:b/>
          <w:color w:val="000000" w:themeColor="text1"/>
          <w:sz w:val="32"/>
          <w:szCs w:val="32"/>
          <w:highlight w:val="none"/>
          <w14:textFill>
            <w14:solidFill>
              <w14:schemeClr w14:val="tx1"/>
            </w14:solidFill>
          </w14:textFill>
        </w:rPr>
      </w:pPr>
      <w:r/>
      <w:bookmarkStart w:id="285" w:name="_格式2__法定代表人授权书"/>
      <w:r/>
      <w:bookmarkEnd w:id="285"/>
      <w:r/>
      <w:r/>
    </w:p>
    <w:p>
      <w:pPr>
        <w:jc w:val="cente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一、质疑投标人基本信息</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质疑投标人：</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highlight w:val="none"/>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1011"/>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1011"/>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ÂËÎ">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7">
    <w:multiLevelType w:val="hybridMultilevel"/>
    <w:lvl w:ilvl="0">
      <w:start w:val="1"/>
      <w:numFmt w:val="decimal"/>
      <w:pStyle w:val="11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3"/>
  </w:num>
  <w:num w:numId="3">
    <w:abstractNumId w:val="7"/>
  </w:num>
  <w:num w:numId="4">
    <w:abstractNumId w:val="1"/>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1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5">
    <w:name w:val="Heading 1"/>
    <w:basedOn w:val="814"/>
    <w:next w:val="814"/>
    <w:link w:val="1181"/>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60"/>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61"/>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62"/>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63"/>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6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6"/>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7"/>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14"/>
    <w:uiPriority w:val="0"/>
    <w:semiHidden/>
    <w:qFormat/>
    <w:rPr>
      <w:rFonts w:ascii="Arial" w:hAnsi="Arial" w:eastAsia="Arial" w:cs="Arial"/>
      <w:sz w:val="21"/>
      <w:szCs w:val="21"/>
      <w:lang w:val="en-US" w:eastAsia="en-US" w:bidi="ar-SA"/>
    </w:rPr>
  </w:style>
  <w:style w:type="paragraph" w:styleId="830">
    <w:name w:val="toc 5"/>
    <w:basedOn w:val="814"/>
    <w:next w:val="814"/>
    <w:uiPriority w:val="39"/>
    <w:unhideWhenUsed/>
    <w:qFormat/>
    <w:pPr>
      <w:ind w:left="1134" w:right="0" w:firstLine="0"/>
      <w:spacing w:after="57"/>
    </w:pPr>
  </w:style>
  <w:style w:type="paragraph" w:styleId="831">
    <w:name w:val="toc 3"/>
    <w:basedOn w:val="814"/>
    <w:next w:val="814"/>
    <w:uiPriority w:val="39"/>
    <w:unhideWhenUsed/>
    <w:qFormat/>
    <w:pPr>
      <w:ind w:left="567" w:right="0" w:firstLine="0"/>
      <w:spacing w:after="57"/>
    </w:pPr>
  </w:style>
  <w:style w:type="paragraph" w:styleId="832">
    <w:name w:val="Plain Text"/>
    <w:basedOn w:val="814"/>
    <w:uiPriority w:val="0"/>
    <w:qFormat/>
    <w:rPr>
      <w:rFonts w:ascii="宋体" w:hAnsi="Courier New" w:cs="Courier New"/>
    </w:rPr>
  </w:style>
  <w:style w:type="paragraph" w:styleId="833">
    <w:name w:val="toc 8"/>
    <w:basedOn w:val="814"/>
    <w:next w:val="814"/>
    <w:uiPriority w:val="39"/>
    <w:unhideWhenUsed/>
    <w:qFormat/>
    <w:pPr>
      <w:ind w:left="1984" w:right="0" w:firstLine="0"/>
      <w:spacing w:after="57"/>
    </w:pPr>
  </w:style>
  <w:style w:type="paragraph" w:styleId="834">
    <w:name w:val="endnote text"/>
    <w:basedOn w:val="814"/>
    <w:link w:val="1005"/>
    <w:uiPriority w:val="99"/>
    <w:semiHidden/>
    <w:unhideWhenUsed/>
    <w:qFormat/>
    <w:pPr>
      <w:spacing w:after="0" w:line="240" w:lineRule="auto"/>
    </w:pPr>
    <w:rPr>
      <w:sz w:val="20"/>
    </w:rPr>
  </w:style>
  <w:style w:type="paragraph" w:styleId="835">
    <w:name w:val="Footer"/>
    <w:basedOn w:val="814"/>
    <w:link w:val="878"/>
    <w:uiPriority w:val="99"/>
    <w:unhideWhenUsed/>
    <w:qFormat/>
    <w:pPr>
      <w:spacing w:after="0" w:line="240" w:lineRule="auto"/>
      <w:tabs>
        <w:tab w:val="center" w:pos="7143" w:leader="none"/>
        <w:tab w:val="right" w:pos="14287" w:leader="none"/>
      </w:tabs>
    </w:pPr>
  </w:style>
  <w:style w:type="paragraph" w:styleId="836">
    <w:name w:val="Header"/>
    <w:basedOn w:val="814"/>
    <w:link w:val="876"/>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link w:val="871"/>
    <w:uiPriority w:val="11"/>
    <w:qFormat/>
    <w:pPr>
      <w:spacing w:before="200" w:after="200"/>
    </w:pPr>
    <w:rPr>
      <w:sz w:val="24"/>
      <w:szCs w:val="24"/>
    </w:rPr>
  </w:style>
  <w:style w:type="paragraph" w:styleId="840">
    <w:name w:val="footnote text"/>
    <w:basedOn w:val="814"/>
    <w:link w:val="1004"/>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table of figures"/>
    <w:basedOn w:val="814"/>
    <w:next w:val="814"/>
    <w:uiPriority w:val="0"/>
    <w:qFormat/>
    <w:pPr>
      <w:ind w:left="400" w:hanging="200"/>
      <w:jc w:val="left"/>
      <w:widowControl/>
    </w:pPr>
    <w:rPr>
      <w:rFonts w:ascii="宋体"/>
      <w:bCs/>
      <w:szCs w:val="21"/>
    </w:rPr>
  </w:style>
  <w:style w:type="paragraph" w:styleId="843">
    <w:name w:val="toc 2"/>
    <w:basedOn w:val="814"/>
    <w:next w:val="814"/>
    <w:uiPriority w:val="39"/>
    <w:unhideWhenUsed/>
    <w:qFormat/>
    <w:pPr>
      <w:ind w:left="283" w:right="0" w:firstLine="0"/>
      <w:spacing w:after="57"/>
    </w:pPr>
  </w:style>
  <w:style w:type="paragraph" w:styleId="844">
    <w:name w:val="toc 9"/>
    <w:basedOn w:val="814"/>
    <w:next w:val="814"/>
    <w:uiPriority w:val="39"/>
    <w:unhideWhenUsed/>
    <w:qFormat/>
    <w:pPr>
      <w:ind w:left="2268" w:right="0" w:firstLine="0"/>
      <w:spacing w:after="57"/>
    </w:pPr>
  </w:style>
  <w:style w:type="paragraph" w:styleId="845">
    <w:name w:val="HTML Preformatted"/>
    <w:basedOn w:val="81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46">
    <w:name w:val="Normal (Web)"/>
    <w:basedOn w:val="814"/>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4"/>
    <w:next w:val="814"/>
    <w:link w:val="870"/>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4"/>
    <w:uiPriority w:val="22"/>
    <w:qFormat/>
    <w:rPr>
      <w:b/>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HTML Code"/>
    <w:basedOn w:val="824"/>
    <w:uiPriority w:val="99"/>
    <w:semiHidden/>
    <w:unhideWhenUsed/>
    <w:qFormat/>
    <w:rPr>
      <w:rFonts w:ascii="Courier New" w:hAnsi="Courier New"/>
      <w:sz w:val="20"/>
    </w:rPr>
  </w:style>
  <w:style w:type="character" w:styleId="853">
    <w:name w:val="annotation reference"/>
    <w:basedOn w:val="824"/>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段"/>
    <w:next w:val="814"/>
    <w:uiPriority w:val="0"/>
    <w:qFormat/>
    <w:pPr>
      <w:ind w:firstLine="200"/>
      <w:jc w:val="both"/>
    </w:pPr>
    <w:rPr>
      <w:rFonts w:hint="default" w:ascii="宋体" w:hAnsi="Times New Roman" w:eastAsia="宋体" w:cs="Times New Roman"/>
      <w:sz w:val="21"/>
      <w:lang w:val="en-US" w:eastAsia="zh-CN" w:bidi="ar-SA"/>
    </w:rPr>
  </w:style>
  <w:style w:type="paragraph" w:styleId="856" w:customStyle="1">
    <w:name w:val="Normal_19"/>
    <w:next w:val="857"/>
    <w:uiPriority w:val="0"/>
    <w:qFormat/>
    <w:pPr>
      <w:jc w:val="both"/>
      <w:widowControl w:val="off"/>
    </w:pPr>
    <w:rPr>
      <w:rFonts w:hint="default" w:ascii="Calibri" w:hAnsi="Calibri" w:eastAsia="宋体" w:cs="Times New Roman"/>
      <w:sz w:val="21"/>
      <w:szCs w:val="22"/>
      <w:lang w:val="en-US" w:eastAsia="zh-CN" w:bidi="ar-SA"/>
    </w:rPr>
  </w:style>
  <w:style w:type="paragraph" w:styleId="857" w:customStyle="1">
    <w:name w:val="图表目录1"/>
    <w:basedOn w:val="814"/>
    <w:next w:val="856"/>
    <w:uiPriority w:val="0"/>
    <w:semiHidden/>
    <w:qFormat/>
    <w:pPr>
      <w:ind w:left="840" w:hanging="420"/>
    </w:pPr>
  </w:style>
  <w:style w:type="paragraph" w:styleId="858" w:customStyle="1">
    <w:name w:val="table of figures"/>
    <w:basedOn w:val="856"/>
    <w:next w:val="856"/>
    <w:uiPriority w:val="0"/>
    <w:qFormat/>
    <w:pPr>
      <w:ind w:left="400" w:hanging="200"/>
      <w:jc w:val="left"/>
      <w:widowControl/>
    </w:pPr>
    <w:rPr>
      <w:rFonts w:ascii="宋体"/>
      <w:bCs/>
      <w:szCs w:val="21"/>
    </w:rPr>
  </w:style>
  <w:style w:type="character" w:styleId="859" w:customStyle="1">
    <w:name w:val="Heading 1 Char"/>
    <w:link w:val="815"/>
    <w:uiPriority w:val="9"/>
    <w:qFormat/>
    <w:rPr>
      <w:rFonts w:ascii="Arial" w:hAnsi="Arial" w:eastAsia="Arial" w:cs="Arial"/>
      <w:sz w:val="40"/>
      <w:szCs w:val="40"/>
    </w:rPr>
  </w:style>
  <w:style w:type="character" w:styleId="860" w:customStyle="1">
    <w:name w:val="Heading 2 Char"/>
    <w:link w:val="816"/>
    <w:uiPriority w:val="9"/>
    <w:qFormat/>
    <w:rPr>
      <w:rFonts w:ascii="Arial" w:hAnsi="Arial" w:eastAsia="Arial" w:cs="Arial"/>
      <w:sz w:val="34"/>
    </w:rPr>
  </w:style>
  <w:style w:type="character" w:styleId="861" w:customStyle="1">
    <w:name w:val="Heading 3 Char"/>
    <w:link w:val="817"/>
    <w:uiPriority w:val="9"/>
    <w:qFormat/>
    <w:rPr>
      <w:rFonts w:ascii="Arial" w:hAnsi="Arial" w:eastAsia="Arial" w:cs="Arial"/>
      <w:sz w:val="30"/>
      <w:szCs w:val="30"/>
    </w:rPr>
  </w:style>
  <w:style w:type="character" w:styleId="862" w:customStyle="1">
    <w:name w:val="Heading 4 Char"/>
    <w:link w:val="818"/>
    <w:uiPriority w:val="9"/>
    <w:qFormat/>
    <w:rPr>
      <w:rFonts w:ascii="Arial" w:hAnsi="Arial" w:eastAsia="Arial" w:cs="Arial"/>
      <w:b/>
      <w:bCs/>
      <w:sz w:val="26"/>
      <w:szCs w:val="26"/>
    </w:rPr>
  </w:style>
  <w:style w:type="character" w:styleId="863" w:customStyle="1">
    <w:name w:val="Heading 5 Char"/>
    <w:link w:val="819"/>
    <w:uiPriority w:val="9"/>
    <w:qFormat/>
    <w:rPr>
      <w:rFonts w:ascii="Arial" w:hAnsi="Arial" w:eastAsia="Arial" w:cs="Arial"/>
      <w:b/>
      <w:bCs/>
      <w:sz w:val="24"/>
      <w:szCs w:val="24"/>
    </w:rPr>
  </w:style>
  <w:style w:type="character" w:styleId="864" w:customStyle="1">
    <w:name w:val="Heading 6 Char"/>
    <w:link w:val="820"/>
    <w:uiPriority w:val="9"/>
    <w:qFormat/>
    <w:rPr>
      <w:rFonts w:ascii="Arial" w:hAnsi="Arial" w:eastAsia="Arial" w:cs="Arial"/>
      <w:b/>
      <w:bCs/>
      <w:sz w:val="22"/>
      <w:szCs w:val="22"/>
    </w:rPr>
  </w:style>
  <w:style w:type="character" w:styleId="865" w:customStyle="1">
    <w:name w:val="Heading 7 Char"/>
    <w:link w:val="821"/>
    <w:uiPriority w:val="9"/>
    <w:qFormat/>
    <w:rPr>
      <w:rFonts w:ascii="Arial" w:hAnsi="Arial" w:eastAsia="Arial" w:cs="Arial"/>
      <w:b/>
      <w:bCs/>
      <w:i/>
      <w:iCs/>
      <w:sz w:val="22"/>
      <w:szCs w:val="22"/>
    </w:rPr>
  </w:style>
  <w:style w:type="character" w:styleId="866" w:customStyle="1">
    <w:name w:val="Heading 8 Char"/>
    <w:link w:val="822"/>
    <w:uiPriority w:val="9"/>
    <w:qFormat/>
    <w:rPr>
      <w:rFonts w:ascii="Arial" w:hAnsi="Arial" w:eastAsia="Arial" w:cs="Arial"/>
      <w:i/>
      <w:iCs/>
      <w:sz w:val="22"/>
      <w:szCs w:val="22"/>
    </w:rPr>
  </w:style>
  <w:style w:type="character" w:styleId="867" w:customStyle="1">
    <w:name w:val="Heading 9 Char"/>
    <w:link w:val="823"/>
    <w:uiPriority w:val="9"/>
    <w:qFormat/>
    <w:rPr>
      <w:rFonts w:ascii="Arial" w:hAnsi="Arial" w:eastAsia="Arial" w:cs="Arial"/>
      <w:i/>
      <w:iCs/>
      <w:sz w:val="21"/>
      <w:szCs w:val="21"/>
    </w:rPr>
  </w:style>
  <w:style w:type="paragraph" w:styleId="868">
    <w:name w:val="List Paragraph"/>
    <w:basedOn w:val="814"/>
    <w:uiPriority w:val="34"/>
    <w:qFormat/>
    <w:pPr>
      <w:contextualSpacing/>
      <w:ind w:left="720"/>
    </w:p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link w:val="847"/>
    <w:uiPriority w:val="10"/>
    <w:qFormat/>
    <w:rPr>
      <w:sz w:val="48"/>
      <w:szCs w:val="48"/>
    </w:rPr>
  </w:style>
  <w:style w:type="character" w:styleId="871" w:customStyle="1">
    <w:name w:val="Subtitle Char"/>
    <w:link w:val="839"/>
    <w:uiPriority w:val="11"/>
    <w:qFormat/>
    <w:rPr>
      <w:sz w:val="24"/>
      <w:szCs w:val="24"/>
    </w:rPr>
  </w:style>
  <w:style w:type="paragraph" w:styleId="872">
    <w:name w:val="Quote"/>
    <w:basedOn w:val="814"/>
    <w:next w:val="814"/>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14"/>
    <w:next w:val="814"/>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link w:val="836"/>
    <w:uiPriority w:val="99"/>
    <w:qFormat/>
  </w:style>
  <w:style w:type="character" w:styleId="877" w:customStyle="1">
    <w:name w:val="Footer Char"/>
    <w:link w:val="835"/>
    <w:uiPriority w:val="99"/>
    <w:qFormat/>
  </w:style>
  <w:style w:type="character" w:styleId="878" w:customStyle="1">
    <w:name w:val="Caption Char"/>
    <w:link w:val="835"/>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link w:val="840"/>
    <w:uiPriority w:val="99"/>
    <w:qFormat/>
    <w:rPr>
      <w:sz w:val="18"/>
    </w:rPr>
  </w:style>
  <w:style w:type="character" w:styleId="1005" w:customStyle="1">
    <w:name w:val="Endnote Text Char"/>
    <w:link w:val="834"/>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
    <w:basedOn w:val="814"/>
    <w:next w:val="814"/>
    <w:link w:val="1019"/>
    <w:uiPriority w:val="0"/>
    <w:qFormat/>
    <w:pPr>
      <w:jc w:val="center"/>
      <w:keepNext/>
      <w:outlineLvl w:val="0"/>
    </w:pPr>
    <w:rPr>
      <w:rFonts w:ascii="楷体_GB2312" w:eastAsia="楷体_GB2312"/>
      <w:sz w:val="28"/>
      <w:szCs w:val="28"/>
    </w:rPr>
  </w:style>
  <w:style w:type="paragraph" w:styleId="1008" w:customStyle="1">
    <w:name w:val="标题 21"/>
    <w:basedOn w:val="814"/>
    <w:next w:val="814"/>
    <w:link w:val="1020"/>
    <w:uiPriority w:val="0"/>
    <w:qFormat/>
    <w:pPr>
      <w:jc w:val="center"/>
      <w:keepLines/>
      <w:keepNext/>
      <w:spacing w:before="260" w:after="260" w:line="416" w:lineRule="auto"/>
      <w:outlineLvl w:val="1"/>
    </w:pPr>
    <w:rPr>
      <w:rFonts w:ascii="Arial" w:hAnsi="Arial" w:eastAsia="幼圆"/>
      <w:b/>
      <w:bCs/>
      <w:sz w:val="44"/>
      <w:szCs w:val="44"/>
    </w:rPr>
  </w:style>
  <w:style w:type="paragraph" w:styleId="1009" w:customStyle="1">
    <w:name w:val="标题 31"/>
    <w:basedOn w:val="814"/>
    <w:next w:val="814"/>
    <w:link w:val="1021"/>
    <w:uiPriority w:val="0"/>
    <w:qFormat/>
    <w:pPr>
      <w:keepLines/>
      <w:keepNext/>
      <w:spacing w:before="260" w:after="260" w:line="416" w:lineRule="auto"/>
      <w:outlineLvl w:val="2"/>
    </w:pPr>
    <w:rPr>
      <w:b/>
      <w:bCs/>
      <w:sz w:val="32"/>
      <w:szCs w:val="32"/>
    </w:rPr>
  </w:style>
  <w:style w:type="paragraph" w:styleId="1010" w:customStyle="1">
    <w:name w:val="标题 41"/>
    <w:basedOn w:val="814"/>
    <w:next w:val="1011"/>
    <w:link w:val="1022"/>
    <w:uiPriority w:val="0"/>
    <w:qFormat/>
    <w:pPr>
      <w:keepLines/>
      <w:keepNext/>
      <w:spacing w:before="280" w:after="290" w:line="376" w:lineRule="auto"/>
      <w:outlineLvl w:val="3"/>
    </w:pPr>
    <w:rPr>
      <w:rFonts w:ascii="Arial" w:hAnsi="Arial" w:eastAsia="黑体"/>
      <w:b/>
      <w:bCs/>
      <w:sz w:val="28"/>
      <w:szCs w:val="28"/>
    </w:rPr>
  </w:style>
  <w:style w:type="paragraph" w:styleId="1011" w:customStyle="1">
    <w:name w:val="正文缩进1"/>
    <w:basedOn w:val="814"/>
    <w:next w:val="814"/>
    <w:link w:val="1023"/>
    <w:uiPriority w:val="0"/>
    <w:qFormat/>
    <w:pPr>
      <w:ind w:firstLine="420"/>
    </w:pPr>
    <w:rPr>
      <w:sz w:val="20"/>
    </w:rPr>
  </w:style>
  <w:style w:type="paragraph" w:styleId="1012" w:customStyle="1">
    <w:name w:val="标题 51"/>
    <w:basedOn w:val="814"/>
    <w:next w:val="1011"/>
    <w:link w:val="1024"/>
    <w:uiPriority w:val="0"/>
    <w:qFormat/>
    <w:pPr>
      <w:keepNext/>
      <w:outlineLvl w:val="4"/>
    </w:pPr>
    <w:rPr>
      <w:rFonts w:ascii="宋体"/>
      <w:color w:val="000000"/>
      <w:sz w:val="28"/>
      <w:szCs w:val="28"/>
    </w:rPr>
  </w:style>
  <w:style w:type="paragraph" w:styleId="1013" w:customStyle="1">
    <w:name w:val="标题 61"/>
    <w:basedOn w:val="814"/>
    <w:next w:val="814"/>
    <w:link w:val="10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4" w:customStyle="1">
    <w:name w:val="标题 71"/>
    <w:basedOn w:val="814"/>
    <w:next w:val="814"/>
    <w:link w:val="1026"/>
    <w:uiPriority w:val="0"/>
    <w:qFormat/>
    <w:pPr>
      <w:numPr>
        <w:ilvl w:val="6"/>
        <w:numId w:val="1"/>
      </w:numPr>
      <w:keepLines/>
      <w:keepNext/>
      <w:spacing w:before="240" w:after="64" w:line="320" w:lineRule="auto"/>
      <w:outlineLvl w:val="6"/>
    </w:pPr>
    <w:rPr>
      <w:b/>
      <w:bCs/>
      <w:sz w:val="24"/>
      <w:szCs w:val="24"/>
    </w:rPr>
  </w:style>
  <w:style w:type="paragraph" w:styleId="1015" w:customStyle="1">
    <w:name w:val="标题 81"/>
    <w:basedOn w:val="814"/>
    <w:next w:val="814"/>
    <w:link w:val="10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6" w:customStyle="1">
    <w:name w:val="标题 91"/>
    <w:basedOn w:val="814"/>
    <w:next w:val="814"/>
    <w:link w:val="1028"/>
    <w:uiPriority w:val="0"/>
    <w:qFormat/>
    <w:pPr>
      <w:numPr>
        <w:ilvl w:val="8"/>
        <w:numId w:val="1"/>
      </w:numPr>
      <w:keepLines/>
      <w:keepNext/>
      <w:spacing w:before="240" w:after="64" w:line="320" w:lineRule="auto"/>
      <w:outlineLvl w:val="8"/>
    </w:pPr>
    <w:rPr>
      <w:rFonts w:ascii="Arial" w:hAnsi="Arial" w:eastAsia="黑体"/>
      <w:sz w:val="20"/>
    </w:rPr>
  </w:style>
  <w:style w:type="character" w:styleId="1017" w:customStyle="1">
    <w:name w:val="默认段落字体11"/>
    <w:link w:val="814"/>
    <w:uiPriority w:val="1"/>
    <w:unhideWhenUsed/>
    <w:qFormat/>
  </w:style>
  <w:style w:type="table" w:styleId="1018" w:customStyle="1">
    <w:name w:val="普通表格1"/>
    <w:uiPriority w:val="99"/>
    <w:unhideWhenUsed/>
    <w:qFormat/>
    <w:tblPr/>
  </w:style>
  <w:style w:type="character" w:styleId="1019" w:customStyle="1">
    <w:name w:val="标题 1 字符"/>
    <w:link w:val="1007"/>
    <w:uiPriority w:val="0"/>
    <w:qFormat/>
    <w:rPr>
      <w:rFonts w:ascii="楷体_GB2312" w:hAnsi="Times New Roman" w:eastAsia="楷体_GB2312" w:cs="Times New Roman"/>
      <w:sz w:val="28"/>
      <w:szCs w:val="28"/>
    </w:rPr>
  </w:style>
  <w:style w:type="character" w:styleId="1020" w:customStyle="1">
    <w:name w:val="标题 2 字符"/>
    <w:link w:val="1008"/>
    <w:uiPriority w:val="0"/>
    <w:qFormat/>
    <w:rPr>
      <w:rFonts w:ascii="Arial" w:hAnsi="Arial" w:eastAsia="幼圆" w:cs="Arial"/>
      <w:b/>
      <w:bCs/>
      <w:sz w:val="44"/>
      <w:szCs w:val="44"/>
    </w:rPr>
  </w:style>
  <w:style w:type="character" w:styleId="1021" w:customStyle="1">
    <w:name w:val="标题 3 字符"/>
    <w:link w:val="1009"/>
    <w:uiPriority w:val="0"/>
    <w:qFormat/>
    <w:rPr>
      <w:rFonts w:ascii="Times New Roman" w:hAnsi="Times New Roman" w:eastAsia="宋体" w:cs="Times New Roman"/>
      <w:b/>
      <w:bCs/>
      <w:sz w:val="32"/>
      <w:szCs w:val="32"/>
    </w:rPr>
  </w:style>
  <w:style w:type="character" w:styleId="1022" w:customStyle="1">
    <w:name w:val="标题 4 字符"/>
    <w:link w:val="1010"/>
    <w:uiPriority w:val="0"/>
    <w:qFormat/>
    <w:rPr>
      <w:rFonts w:ascii="Arial" w:hAnsi="Arial" w:eastAsia="黑体" w:cs="Arial"/>
      <w:b/>
      <w:bCs/>
      <w:sz w:val="28"/>
      <w:szCs w:val="28"/>
    </w:rPr>
  </w:style>
  <w:style w:type="character" w:styleId="1023" w:customStyle="1">
    <w:name w:val="正文缩进 字符"/>
    <w:link w:val="1011"/>
    <w:uiPriority w:val="0"/>
    <w:qFormat/>
    <w:rPr>
      <w:rFonts w:ascii="Times New Roman" w:hAnsi="Times New Roman" w:eastAsia="宋体" w:cs="Times New Roman"/>
      <w:szCs w:val="21"/>
    </w:rPr>
  </w:style>
  <w:style w:type="character" w:styleId="1024" w:customStyle="1">
    <w:name w:val="标题 5 字符"/>
    <w:link w:val="1012"/>
    <w:uiPriority w:val="0"/>
    <w:qFormat/>
    <w:rPr>
      <w:rFonts w:ascii="宋体" w:hAnsi="Times New Roman" w:eastAsia="宋体" w:cs="Times New Roman"/>
      <w:color w:val="000000"/>
      <w:sz w:val="28"/>
      <w:szCs w:val="28"/>
    </w:rPr>
  </w:style>
  <w:style w:type="character" w:styleId="1025" w:customStyle="1">
    <w:name w:val="标题 6 字符"/>
    <w:link w:val="1013"/>
    <w:uiPriority w:val="0"/>
    <w:qFormat/>
    <w:rPr>
      <w:rFonts w:ascii="Arial" w:hAnsi="Arial" w:eastAsia="黑体" w:cs="Times New Roman"/>
      <w:b/>
      <w:bCs/>
      <w:sz w:val="24"/>
      <w:szCs w:val="24"/>
    </w:rPr>
  </w:style>
  <w:style w:type="character" w:styleId="1026" w:customStyle="1">
    <w:name w:val="标题 7 字符"/>
    <w:link w:val="1014"/>
    <w:uiPriority w:val="0"/>
    <w:qFormat/>
    <w:rPr>
      <w:rFonts w:ascii="Times New Roman" w:hAnsi="Times New Roman" w:eastAsia="宋体" w:cs="Times New Roman"/>
      <w:b/>
      <w:bCs/>
      <w:sz w:val="24"/>
      <w:szCs w:val="24"/>
    </w:rPr>
  </w:style>
  <w:style w:type="character" w:styleId="1027" w:customStyle="1">
    <w:name w:val="标题 8 字符"/>
    <w:link w:val="1015"/>
    <w:uiPriority w:val="0"/>
    <w:qFormat/>
    <w:rPr>
      <w:rFonts w:ascii="Arial" w:hAnsi="Arial" w:eastAsia="黑体" w:cs="Times New Roman"/>
      <w:sz w:val="24"/>
      <w:szCs w:val="24"/>
    </w:rPr>
  </w:style>
  <w:style w:type="character" w:styleId="1028" w:customStyle="1">
    <w:name w:val="标题 9 字符"/>
    <w:link w:val="1016"/>
    <w:uiPriority w:val="0"/>
    <w:qFormat/>
    <w:rPr>
      <w:rFonts w:ascii="Arial" w:hAnsi="Arial" w:eastAsia="黑体" w:cs="Times New Roman"/>
      <w:szCs w:val="21"/>
    </w:rPr>
  </w:style>
  <w:style w:type="paragraph" w:styleId="1029" w:customStyle="1">
    <w:name w:val="列表 31"/>
    <w:basedOn w:val="814"/>
    <w:uiPriority w:val="0"/>
    <w:qFormat/>
    <w:pPr>
      <w:ind w:left="100" w:hanging="200"/>
    </w:pPr>
  </w:style>
  <w:style w:type="paragraph" w:styleId="1030" w:customStyle="1">
    <w:name w:val="目录 71"/>
    <w:basedOn w:val="814"/>
    <w:next w:val="814"/>
    <w:uiPriority w:val="0"/>
    <w:semiHidden/>
    <w:qFormat/>
    <w:pPr>
      <w:ind w:left="1260"/>
      <w:jc w:val="left"/>
    </w:pPr>
  </w:style>
  <w:style w:type="paragraph" w:styleId="1031" w:customStyle="1">
    <w:name w:val="文档结构图1"/>
    <w:basedOn w:val="814"/>
    <w:link w:val="1032"/>
    <w:uiPriority w:val="0"/>
    <w:semiHidden/>
    <w:qFormat/>
    <w:pPr>
      <w:shd w:val="clear" w:color="auto" w:fill="000080"/>
    </w:pPr>
    <w:rPr>
      <w:sz w:val="20"/>
    </w:rPr>
  </w:style>
  <w:style w:type="character" w:styleId="1032" w:customStyle="1">
    <w:name w:val="文档结构图 字符"/>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814"/>
    <w:link w:val="1034"/>
    <w:uiPriority w:val="0"/>
    <w:semiHidden/>
    <w:qFormat/>
    <w:pPr>
      <w:jc w:val="left"/>
    </w:pPr>
    <w:rPr>
      <w:sz w:val="20"/>
    </w:rPr>
  </w:style>
  <w:style w:type="character" w:styleId="1034" w:customStyle="1">
    <w:name w:val="批注文字 字符"/>
    <w:link w:val="1033"/>
    <w:uiPriority w:val="0"/>
    <w:semiHidden/>
    <w:qFormat/>
    <w:rPr>
      <w:rFonts w:ascii="Times New Roman" w:hAnsi="Times New Roman" w:eastAsia="宋体" w:cs="Times New Roman"/>
      <w:szCs w:val="21"/>
    </w:rPr>
  </w:style>
  <w:style w:type="paragraph" w:styleId="1035" w:customStyle="1">
    <w:name w:val="正文文本 31"/>
    <w:basedOn w:val="814"/>
    <w:link w:val="1036"/>
    <w:uiPriority w:val="0"/>
    <w:qFormat/>
    <w:rPr>
      <w:rFonts w:ascii="仿宋_GB2312" w:hAnsi="Arial" w:eastAsia="仿宋_GB2312"/>
      <w:sz w:val="32"/>
      <w:szCs w:val="32"/>
    </w:rPr>
  </w:style>
  <w:style w:type="character" w:styleId="1036" w:customStyle="1">
    <w:name w:val="正文文本 3 字符"/>
    <w:link w:val="1035"/>
    <w:uiPriority w:val="0"/>
    <w:qFormat/>
    <w:rPr>
      <w:rFonts w:ascii="仿宋_GB2312" w:hAnsi="Arial" w:eastAsia="仿宋_GB2312" w:cs="Times New Roman"/>
      <w:sz w:val="32"/>
      <w:szCs w:val="32"/>
    </w:rPr>
  </w:style>
  <w:style w:type="paragraph" w:styleId="1037" w:customStyle="1">
    <w:name w:val="正文文本1"/>
    <w:basedOn w:val="814"/>
    <w:link w:val="1038"/>
    <w:uiPriority w:val="0"/>
    <w:qFormat/>
    <w:rPr>
      <w:rFonts w:ascii="楷体_GB2312" w:hAnsi="Arial" w:eastAsia="楷体_GB2312"/>
      <w:sz w:val="28"/>
      <w:szCs w:val="28"/>
    </w:rPr>
  </w:style>
  <w:style w:type="character" w:styleId="1038" w:customStyle="1">
    <w:name w:val="正文文本 字符"/>
    <w:link w:val="1037"/>
    <w:uiPriority w:val="0"/>
    <w:qFormat/>
    <w:rPr>
      <w:rFonts w:ascii="楷体_GB2312" w:hAnsi="Arial" w:eastAsia="楷体_GB2312" w:cs="Times New Roman"/>
      <w:sz w:val="28"/>
      <w:szCs w:val="28"/>
    </w:rPr>
  </w:style>
  <w:style w:type="paragraph" w:styleId="1039" w:customStyle="1">
    <w:name w:val="正文文本缩进1"/>
    <w:basedOn w:val="814"/>
    <w:next w:val="814"/>
    <w:link w:val="1040"/>
    <w:uiPriority w:val="0"/>
    <w:qFormat/>
    <w:pPr>
      <w:ind w:firstLine="645"/>
    </w:pPr>
    <w:rPr>
      <w:rFonts w:ascii="楷体_GB2312" w:eastAsia="楷体_GB2312"/>
      <w:sz w:val="32"/>
      <w:szCs w:val="32"/>
    </w:rPr>
  </w:style>
  <w:style w:type="character" w:styleId="1040" w:customStyle="1">
    <w:name w:val="正文文本缩进 字符"/>
    <w:link w:val="1039"/>
    <w:uiPriority w:val="0"/>
    <w:qFormat/>
    <w:rPr>
      <w:rFonts w:ascii="楷体_GB2312" w:hAnsi="Times New Roman" w:eastAsia="楷体_GB2312" w:cs="Times New Roman"/>
      <w:sz w:val="32"/>
      <w:szCs w:val="32"/>
    </w:rPr>
  </w:style>
  <w:style w:type="paragraph" w:styleId="1041" w:customStyle="1">
    <w:name w:val="列表 21"/>
    <w:basedOn w:val="814"/>
    <w:uiPriority w:val="0"/>
    <w:qFormat/>
    <w:pPr>
      <w:ind w:left="100" w:hanging="200"/>
    </w:pPr>
  </w:style>
  <w:style w:type="paragraph" w:styleId="1042" w:customStyle="1">
    <w:name w:val="目录 51"/>
    <w:basedOn w:val="814"/>
    <w:next w:val="814"/>
    <w:uiPriority w:val="0"/>
    <w:semiHidden/>
    <w:qFormat/>
    <w:pPr>
      <w:ind w:left="840"/>
      <w:jc w:val="left"/>
    </w:pPr>
  </w:style>
  <w:style w:type="paragraph" w:styleId="1043" w:customStyle="1">
    <w:name w:val="目录 31"/>
    <w:basedOn w:val="814"/>
    <w:next w:val="814"/>
    <w:uiPriority w:val="39"/>
    <w:qFormat/>
    <w:pPr>
      <w:ind w:left="420"/>
      <w:jc w:val="left"/>
    </w:pPr>
    <w:rPr>
      <w:i/>
      <w:iCs/>
      <w:szCs w:val="24"/>
    </w:rPr>
  </w:style>
  <w:style w:type="paragraph" w:styleId="1044" w:customStyle="1">
    <w:name w:val="纯文本1"/>
    <w:basedOn w:val="1045"/>
    <w:link w:val="1050"/>
    <w:uiPriority w:val="0"/>
    <w:qFormat/>
    <w:rPr>
      <w:rFonts w:ascii="宋体" w:hAnsi="Courier New"/>
      <w:sz w:val="20"/>
    </w:rPr>
  </w:style>
  <w:style w:type="paragraph" w:styleId="1045" w:customStyle="1">
    <w:name w:val="正文_16"/>
    <w:next w:val="1046"/>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首行缩进 2_0"/>
    <w:basedOn w:val="1047"/>
    <w:uiPriority w:val="0"/>
    <w:qFormat/>
    <w:pPr>
      <w:ind w:left="200" w:firstLine="200"/>
      <w:spacing w:after="120"/>
    </w:pPr>
    <w:rPr>
      <w:rFonts w:ascii="Times New Roman" w:hAnsi="Times New Roman"/>
      <w:sz w:val="24"/>
      <w:szCs w:val="24"/>
    </w:rPr>
  </w:style>
  <w:style w:type="paragraph" w:styleId="1047" w:customStyle="1">
    <w:name w:val="正文文本缩进_0"/>
    <w:basedOn w:val="1048"/>
    <w:uiPriority w:val="0"/>
    <w:qFormat/>
    <w:pPr>
      <w:ind w:firstLine="225"/>
    </w:pPr>
    <w:rPr>
      <w:rFonts w:ascii="仿宋_GB2312" w:eastAsia="仿宋_GB2312"/>
      <w:sz w:val="32"/>
    </w:rPr>
  </w:style>
  <w:style w:type="paragraph" w:styleId="1048" w:customStyle="1">
    <w:name w:val="正文_2"/>
    <w:next w:val="1049"/>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标题 2_0"/>
    <w:basedOn w:val="1048"/>
    <w:next w:val="1048"/>
    <w:uiPriority w:val="0"/>
    <w:qFormat/>
    <w:pPr>
      <w:keepLines/>
      <w:keepNext/>
      <w:spacing w:before="260" w:after="260" w:line="413" w:lineRule="auto"/>
      <w:outlineLvl w:val="1"/>
    </w:pPr>
    <w:rPr>
      <w:rFonts w:ascii="Arial" w:hAnsi="Arial" w:eastAsia="黑体"/>
      <w:b/>
      <w:sz w:val="32"/>
      <w:szCs w:val="20"/>
    </w:rPr>
  </w:style>
  <w:style w:type="character" w:styleId="1050" w:customStyle="1">
    <w:name w:val="纯文本 字符"/>
    <w:link w:val="1044"/>
    <w:uiPriority w:val="0"/>
    <w:qFormat/>
    <w:rPr>
      <w:rFonts w:ascii="宋体" w:hAnsi="Courier New" w:eastAsia="宋体" w:cs="Courier New"/>
      <w:szCs w:val="21"/>
    </w:rPr>
  </w:style>
  <w:style w:type="paragraph" w:styleId="1051" w:customStyle="1">
    <w:name w:val="目录 81"/>
    <w:basedOn w:val="814"/>
    <w:next w:val="814"/>
    <w:uiPriority w:val="0"/>
    <w:semiHidden/>
    <w:qFormat/>
    <w:pPr>
      <w:ind w:left="1470"/>
      <w:jc w:val="left"/>
    </w:pPr>
  </w:style>
  <w:style w:type="paragraph" w:styleId="1052" w:customStyle="1">
    <w:name w:val="日期1"/>
    <w:basedOn w:val="814"/>
    <w:next w:val="814"/>
    <w:link w:val="1053"/>
    <w:uiPriority w:val="0"/>
    <w:qFormat/>
    <w:rPr>
      <w:sz w:val="24"/>
      <w:szCs w:val="24"/>
    </w:rPr>
  </w:style>
  <w:style w:type="character" w:styleId="1053" w:customStyle="1">
    <w:name w:val="日期 字符"/>
    <w:link w:val="1052"/>
    <w:uiPriority w:val="0"/>
    <w:qFormat/>
    <w:rPr>
      <w:rFonts w:ascii="Times New Roman" w:hAnsi="Times New Roman" w:eastAsia="宋体" w:cs="Times New Roman"/>
      <w:sz w:val="24"/>
      <w:szCs w:val="24"/>
    </w:rPr>
  </w:style>
  <w:style w:type="paragraph" w:styleId="1054" w:customStyle="1">
    <w:name w:val="正文文本缩进 21"/>
    <w:basedOn w:val="814"/>
    <w:link w:val="1055"/>
    <w:uiPriority w:val="0"/>
    <w:qFormat/>
    <w:pPr>
      <w:ind w:left="630" w:firstLine="645"/>
    </w:pPr>
    <w:rPr>
      <w:rFonts w:ascii="Arial" w:hAnsi="Arial" w:eastAsia="仿宋_GB2312"/>
      <w:sz w:val="32"/>
      <w:szCs w:val="32"/>
    </w:rPr>
  </w:style>
  <w:style w:type="character" w:styleId="1055" w:customStyle="1">
    <w:name w:val="正文文本缩进 2 字符"/>
    <w:link w:val="1054"/>
    <w:uiPriority w:val="0"/>
    <w:qFormat/>
    <w:rPr>
      <w:rFonts w:ascii="Arial" w:hAnsi="Arial" w:eastAsia="仿宋_GB2312" w:cs="Arial"/>
      <w:sz w:val="32"/>
      <w:szCs w:val="32"/>
    </w:rPr>
  </w:style>
  <w:style w:type="paragraph" w:styleId="1056" w:customStyle="1">
    <w:name w:val="批注框文本1"/>
    <w:basedOn w:val="814"/>
    <w:link w:val="1057"/>
    <w:uiPriority w:val="0"/>
    <w:semiHidden/>
    <w:qFormat/>
    <w:rPr>
      <w:sz w:val="18"/>
      <w:szCs w:val="18"/>
    </w:rPr>
  </w:style>
  <w:style w:type="character" w:styleId="1057" w:customStyle="1">
    <w:name w:val="批注框文本 字符"/>
    <w:link w:val="1056"/>
    <w:uiPriority w:val="0"/>
    <w:semiHidden/>
    <w:qFormat/>
    <w:rPr>
      <w:rFonts w:ascii="Times New Roman" w:hAnsi="Times New Roman" w:eastAsia="宋体" w:cs="Times New Roman"/>
      <w:sz w:val="18"/>
      <w:szCs w:val="18"/>
    </w:rPr>
  </w:style>
  <w:style w:type="paragraph" w:styleId="1058" w:customStyle="1">
    <w:name w:val="页脚1"/>
    <w:basedOn w:val="814"/>
    <w:link w:val="1059"/>
    <w:uiPriority w:val="99"/>
    <w:qFormat/>
    <w:pPr>
      <w:jc w:val="left"/>
      <w:tabs>
        <w:tab w:val="center" w:pos="4153" w:leader="none"/>
        <w:tab w:val="right" w:pos="8306" w:leader="none"/>
      </w:tabs>
    </w:pPr>
    <w:rPr>
      <w:sz w:val="18"/>
      <w:szCs w:val="18"/>
    </w:rPr>
  </w:style>
  <w:style w:type="character" w:styleId="1059" w:customStyle="1">
    <w:name w:val="页脚 字符"/>
    <w:link w:val="1058"/>
    <w:uiPriority w:val="99"/>
    <w:qFormat/>
    <w:rPr>
      <w:rFonts w:ascii="Times New Roman" w:hAnsi="Times New Roman" w:eastAsia="宋体" w:cs="Times New Roman"/>
      <w:sz w:val="18"/>
      <w:szCs w:val="18"/>
    </w:rPr>
  </w:style>
  <w:style w:type="paragraph" w:styleId="1060" w:customStyle="1">
    <w:name w:val="页眉1"/>
    <w:basedOn w:val="814"/>
    <w:link w:val="1061"/>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页眉 字符"/>
    <w:link w:val="1060"/>
    <w:uiPriority w:val="0"/>
    <w:qFormat/>
    <w:rPr>
      <w:rFonts w:ascii="Times New Roman" w:hAnsi="Times New Roman" w:eastAsia="宋体" w:cs="Times New Roman"/>
      <w:sz w:val="18"/>
      <w:szCs w:val="18"/>
    </w:rPr>
  </w:style>
  <w:style w:type="paragraph" w:styleId="1062" w:customStyle="1">
    <w:name w:val="目录 11"/>
    <w:basedOn w:val="814"/>
    <w:next w:val="814"/>
    <w:uiPriority w:val="39"/>
    <w:qFormat/>
    <w:pPr>
      <w:jc w:val="left"/>
      <w:spacing w:before="120" w:after="120" w:line="400" w:lineRule="exact"/>
      <w:tabs>
        <w:tab w:val="right" w:pos="8720" w:leader="dot"/>
      </w:tabs>
    </w:pPr>
    <w:rPr>
      <w:rFonts w:ascii="宋体" w:hAnsi="宋体"/>
      <w:caps/>
      <w:sz w:val="24"/>
      <w:szCs w:val="24"/>
    </w:rPr>
  </w:style>
  <w:style w:type="paragraph" w:styleId="1063" w:customStyle="1">
    <w:name w:val="目录 41"/>
    <w:basedOn w:val="814"/>
    <w:next w:val="814"/>
    <w:uiPriority w:val="0"/>
    <w:semiHidden/>
    <w:qFormat/>
    <w:pPr>
      <w:ind w:left="630"/>
      <w:jc w:val="left"/>
    </w:pPr>
  </w:style>
  <w:style w:type="paragraph" w:styleId="1064" w:customStyle="1">
    <w:name w:val="列表1"/>
    <w:basedOn w:val="814"/>
    <w:uiPriority w:val="0"/>
    <w:qFormat/>
    <w:pPr>
      <w:ind w:left="200" w:hanging="200"/>
    </w:pPr>
  </w:style>
  <w:style w:type="paragraph" w:styleId="1065" w:customStyle="1">
    <w:name w:val="目录 61"/>
    <w:basedOn w:val="814"/>
    <w:next w:val="814"/>
    <w:uiPriority w:val="0"/>
    <w:semiHidden/>
    <w:qFormat/>
    <w:pPr>
      <w:ind w:left="1050"/>
      <w:jc w:val="left"/>
    </w:pPr>
  </w:style>
  <w:style w:type="paragraph" w:styleId="1066" w:customStyle="1">
    <w:name w:val="正文文本缩进 31"/>
    <w:basedOn w:val="814"/>
    <w:link w:val="1067"/>
    <w:uiPriority w:val="0"/>
    <w:qFormat/>
    <w:pPr>
      <w:ind w:left="645" w:firstLine="645"/>
    </w:pPr>
    <w:rPr>
      <w:rFonts w:ascii="Arial" w:hAnsi="Arial" w:eastAsia="仿宋_GB2312"/>
      <w:color w:val="ffff00"/>
      <w:sz w:val="32"/>
      <w:szCs w:val="32"/>
    </w:rPr>
  </w:style>
  <w:style w:type="character" w:styleId="1067" w:customStyle="1">
    <w:name w:val="正文文本缩进 3 字符"/>
    <w:link w:val="1066"/>
    <w:uiPriority w:val="0"/>
    <w:qFormat/>
    <w:rPr>
      <w:rFonts w:ascii="Arial" w:hAnsi="Arial" w:eastAsia="仿宋_GB2312" w:cs="Arial"/>
      <w:color w:val="ffff00"/>
      <w:sz w:val="32"/>
      <w:szCs w:val="32"/>
    </w:rPr>
  </w:style>
  <w:style w:type="paragraph" w:styleId="1068" w:customStyle="1">
    <w:name w:val="目录 21"/>
    <w:basedOn w:val="814"/>
    <w:next w:val="814"/>
    <w:uiPriority w:val="39"/>
    <w:qFormat/>
    <w:pPr>
      <w:ind w:left="210"/>
      <w:jc w:val="left"/>
    </w:pPr>
    <w:rPr>
      <w:smallCaps/>
      <w:szCs w:val="24"/>
    </w:rPr>
  </w:style>
  <w:style w:type="paragraph" w:styleId="1069" w:customStyle="1">
    <w:name w:val="目录 91"/>
    <w:basedOn w:val="814"/>
    <w:next w:val="814"/>
    <w:uiPriority w:val="0"/>
    <w:semiHidden/>
    <w:qFormat/>
    <w:pPr>
      <w:ind w:left="1680"/>
      <w:jc w:val="left"/>
    </w:pPr>
  </w:style>
  <w:style w:type="paragraph" w:styleId="1070" w:customStyle="1">
    <w:name w:val="正文文本 21"/>
    <w:basedOn w:val="814"/>
    <w:link w:val="1071"/>
    <w:uiPriority w:val="0"/>
    <w:qFormat/>
    <w:pPr>
      <w:jc w:val="center"/>
      <w:widowControl/>
    </w:pPr>
    <w:rPr>
      <w:rFonts w:ascii="楷体_GB2312" w:eastAsia="楷体_GB2312"/>
      <w:sz w:val="28"/>
      <w:szCs w:val="28"/>
    </w:rPr>
  </w:style>
  <w:style w:type="character" w:styleId="1071" w:customStyle="1">
    <w:name w:val="正文文本 2 字符"/>
    <w:link w:val="1070"/>
    <w:uiPriority w:val="0"/>
    <w:qFormat/>
    <w:rPr>
      <w:rFonts w:ascii="楷体_GB2312" w:hAnsi="Times New Roman" w:eastAsia="楷体_GB2312" w:cs="Times New Roman"/>
      <w:sz w:val="28"/>
      <w:szCs w:val="28"/>
    </w:rPr>
  </w:style>
  <w:style w:type="paragraph" w:styleId="1072" w:customStyle="1">
    <w:name w:val="普通(网站)1"/>
    <w:basedOn w:val="814"/>
    <w:uiPriority w:val="99"/>
    <w:qFormat/>
    <w:pPr>
      <w:jc w:val="left"/>
      <w:spacing w:before="100" w:beforeAutospacing="1" w:after="100" w:afterAutospacing="1"/>
      <w:widowControl/>
    </w:pPr>
    <w:rPr>
      <w:rFonts w:ascii="宋体" w:hAnsi="宋体" w:cs="宋体"/>
      <w:sz w:val="24"/>
      <w:szCs w:val="24"/>
    </w:rPr>
  </w:style>
  <w:style w:type="paragraph" w:styleId="1073" w:customStyle="1">
    <w:name w:val="索引 11"/>
    <w:basedOn w:val="814"/>
    <w:next w:val="814"/>
    <w:uiPriority w:val="0"/>
    <w:semiHidden/>
    <w:qFormat/>
    <w:pPr>
      <w:spacing w:line="240" w:lineRule="atLeast"/>
    </w:pPr>
    <w:rPr>
      <w:b/>
      <w:bCs/>
    </w:rPr>
  </w:style>
  <w:style w:type="paragraph" w:styleId="1074" w:customStyle="1">
    <w:name w:val="批注主题1"/>
    <w:basedOn w:val="1033"/>
    <w:next w:val="1033"/>
    <w:link w:val="1075"/>
    <w:uiPriority w:val="0"/>
    <w:semiHidden/>
    <w:qFormat/>
    <w:rPr>
      <w:b/>
      <w:bCs/>
    </w:rPr>
  </w:style>
  <w:style w:type="character" w:styleId="1075" w:customStyle="1">
    <w:name w:val="批注主题 字符"/>
    <w:link w:val="1074"/>
    <w:uiPriority w:val="0"/>
    <w:semiHidden/>
    <w:qFormat/>
    <w:rPr>
      <w:rFonts w:ascii="Times New Roman" w:hAnsi="Times New Roman" w:eastAsia="宋体" w:cs="Times New Roman"/>
      <w:b/>
      <w:bCs/>
      <w:szCs w:val="21"/>
    </w:rPr>
  </w:style>
  <w:style w:type="paragraph" w:styleId="1076" w:customStyle="1">
    <w:name w:val="正文首行缩进1"/>
    <w:basedOn w:val="814"/>
    <w:link w:val="1077"/>
    <w:uiPriority w:val="0"/>
    <w:qFormat/>
    <w:pPr>
      <w:ind w:firstLine="200"/>
      <w:spacing w:line="360" w:lineRule="auto"/>
    </w:pPr>
    <w:rPr>
      <w:rFonts w:ascii="仿宋_GB2312" w:eastAsia="仿宋_GB2312"/>
      <w:sz w:val="30"/>
      <w:szCs w:val="30"/>
    </w:rPr>
  </w:style>
  <w:style w:type="character" w:styleId="1077" w:customStyle="1">
    <w:name w:val="正文文本首行缩进 字符"/>
    <w:link w:val="1076"/>
    <w:uiPriority w:val="0"/>
    <w:qFormat/>
    <w:rPr>
      <w:rFonts w:ascii="仿宋_GB2312" w:hAnsi="Times New Roman" w:eastAsia="仿宋_GB2312" w:cs="Times New Roman"/>
      <w:sz w:val="30"/>
      <w:szCs w:val="30"/>
    </w:rPr>
  </w:style>
  <w:style w:type="paragraph" w:styleId="1078" w:customStyle="1">
    <w:name w:val="正文首行缩进 21"/>
    <w:basedOn w:val="1039"/>
    <w:link w:val="1079"/>
    <w:uiPriority w:val="0"/>
    <w:qFormat/>
    <w:pPr>
      <w:ind w:firstLine="420"/>
      <w:spacing w:line="360" w:lineRule="auto"/>
    </w:pPr>
    <w:rPr>
      <w:rFonts w:ascii="宋体" w:hAnsi="宋体" w:eastAsia="宋体"/>
      <w:szCs w:val="20"/>
    </w:rPr>
  </w:style>
  <w:style w:type="character" w:styleId="1079" w:customStyle="1">
    <w:name w:val="正文文本首行缩进 2 字符"/>
    <w:link w:val="1078"/>
    <w:uiPriority w:val="0"/>
    <w:qFormat/>
    <w:rPr>
      <w:rFonts w:ascii="宋体" w:hAnsi="宋体" w:eastAsia="宋体" w:cs="Times New Roman"/>
      <w:sz w:val="32"/>
      <w:szCs w:val="20"/>
    </w:rPr>
  </w:style>
  <w:style w:type="table" w:styleId="1080" w:customStyle="1">
    <w:name w:val="网格型1"/>
    <w:basedOn w:val="1018"/>
    <w:uiPriority w:val="0"/>
    <w:qFormat/>
    <w:pPr>
      <w:jc w:val="both"/>
      <w:widowControl w:val="off"/>
    </w:pPr>
    <w:rPr>
      <w:rFonts w:ascii="Times New Roman" w:hAnsi="Times New Roman" w:eastAsia="宋体" w:cs="Times New Roman"/>
      <w:sz w:val="20"/>
      <w:szCs w:val="20"/>
    </w:rPr>
    <w:tblPr/>
  </w:style>
  <w:style w:type="character" w:styleId="1081" w:customStyle="1">
    <w:name w:val="要点1"/>
    <w:link w:val="814"/>
    <w:uiPriority w:val="0"/>
    <w:qFormat/>
    <w:rPr>
      <w:b/>
      <w:bCs/>
    </w:rPr>
  </w:style>
  <w:style w:type="character" w:styleId="1082" w:customStyle="1">
    <w:name w:val="页码1"/>
    <w:link w:val="814"/>
    <w:uiPriority w:val="0"/>
    <w:qFormat/>
  </w:style>
  <w:style w:type="character" w:styleId="1083" w:customStyle="1">
    <w:name w:val="已访问的超链接1"/>
    <w:link w:val="814"/>
    <w:uiPriority w:val="0"/>
    <w:qFormat/>
    <w:rPr>
      <w:color w:val="800080"/>
      <w:u w:val="single"/>
    </w:rPr>
  </w:style>
  <w:style w:type="character" w:styleId="1084" w:customStyle="1">
    <w:name w:val="超链接1"/>
    <w:link w:val="814"/>
    <w:uiPriority w:val="99"/>
    <w:qFormat/>
    <w:rPr>
      <w:color w:val="0000ff"/>
      <w:u w:val="single"/>
    </w:rPr>
  </w:style>
  <w:style w:type="character" w:styleId="1085" w:customStyle="1">
    <w:name w:val="批注引用1"/>
    <w:link w:val="814"/>
    <w:uiPriority w:val="0"/>
    <w:semiHidden/>
    <w:qFormat/>
    <w:rPr>
      <w:sz w:val="21"/>
      <w:szCs w:val="21"/>
    </w:rPr>
  </w:style>
  <w:style w:type="character" w:styleId="1086" w:customStyle="1">
    <w:name w:val="默认段落字体1"/>
    <w:link w:val="814"/>
    <w:uiPriority w:val="1"/>
    <w:unhideWhenUsed/>
    <w:qFormat/>
    <w:rPr>
      <w:sz w:val="21"/>
      <w:szCs w:val="21"/>
      <w:lang w:val="en-US" w:eastAsia="zh-CN" w:bidi="ar-SA"/>
    </w:rPr>
  </w:style>
  <w:style w:type="paragraph" w:styleId="1087" w:customStyle="1">
    <w:name w:val="正文空2字"/>
    <w:basedOn w:val="1088"/>
    <w:uiPriority w:val="99"/>
    <w:qFormat/>
    <w:pPr>
      <w:ind w:firstLine="640"/>
      <w:spacing w:line="560" w:lineRule="exact"/>
      <w:widowControl w:val="off"/>
    </w:pPr>
    <w:rPr>
      <w:rFonts w:ascii="仿宋_GB2312" w:hAnsi="仿宋_GB2312" w:cs="仿宋_GB2312"/>
      <w:lang w:val="zh-TW"/>
    </w:rPr>
  </w:style>
  <w:style w:type="paragraph" w:styleId="1088" w:customStyle="1">
    <w:name w:val="左对齐正文"/>
    <w:uiPriority w:val="99"/>
    <w:qFormat/>
    <w:rPr>
      <w:rFonts w:hint="default" w:ascii="Calibri" w:hAnsi="Calibri" w:eastAsia="仿宋_GB2312" w:cs="Calibri"/>
      <w:sz w:val="32"/>
      <w:szCs w:val="32"/>
      <w:lang w:val="en-US" w:eastAsia="zh-CN" w:bidi="ar-SA"/>
    </w:rPr>
  </w:style>
  <w:style w:type="paragraph" w:styleId="1089" w:customStyle="1">
    <w:name w:val="索引 41"/>
    <w:basedOn w:val="814"/>
    <w:next w:val="814"/>
    <w:uiPriority w:val="0"/>
    <w:semiHidden/>
    <w:qFormat/>
    <w:pPr>
      <w:ind w:left="1260"/>
    </w:pPr>
    <w:rPr>
      <w:rFonts w:ascii="Calibri" w:hAnsi="Calibri" w:eastAsia="Calibri" w:cs="宋体"/>
      <w:sz w:val="20"/>
      <w:lang w:val="zh-CN"/>
    </w:rPr>
  </w:style>
  <w:style w:type="character" w:styleId="1090" w:customStyle="1">
    <w:name w:val="font5 Char"/>
    <w:link w:val="814"/>
    <w:uiPriority w:val="0"/>
    <w:qFormat/>
    <w:rPr>
      <w:rFonts w:ascii="宋体" w:hAnsi="宋体" w:eastAsia="宋体"/>
      <w:sz w:val="28"/>
      <w:szCs w:val="28"/>
      <w:lang w:val="en-US" w:eastAsia="zh-CN" w:bidi="ar-SA"/>
    </w:rPr>
  </w:style>
  <w:style w:type="character" w:styleId="1091" w:customStyle="1">
    <w:name w:val="二级目录 Char"/>
    <w:link w:val="1092"/>
    <w:uiPriority w:val="0"/>
    <w:qFormat/>
    <w:rPr>
      <w:b/>
      <w:sz w:val="30"/>
      <w:szCs w:val="28"/>
      <w:lang w:val="en-US" w:eastAsia="zh-CN" w:bidi="ar-SA"/>
    </w:rPr>
  </w:style>
  <w:style w:type="paragraph" w:styleId="1092" w:customStyle="1">
    <w:name w:val="二级目录"/>
    <w:next w:val="814"/>
    <w:link w:val="10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814"/>
    <w:link w:val="1093"/>
    <w:uiPriority w:val="0"/>
    <w:qFormat/>
    <w:pPr>
      <w:contextualSpacing/>
      <w:ind w:left="720"/>
      <w:jc w:val="left"/>
      <w:widowControl/>
    </w:pPr>
    <w:rPr>
      <w:rFonts w:ascii="Calibri" w:hAnsi="Calibri"/>
      <w:sz w:val="24"/>
      <w:szCs w:val="24"/>
      <w:lang w:eastAsia="en-US" w:bidi="en-US"/>
    </w:rPr>
  </w:style>
  <w:style w:type="paragraph" w:styleId="1095" w:customStyle="1">
    <w:name w:val="Body Text(ch)"/>
    <w:basedOn w:val="814"/>
    <w:next w:val="1037"/>
    <w:uiPriority w:val="0"/>
    <w:qFormat/>
    <w:pPr>
      <w:spacing w:after="120"/>
    </w:pPr>
    <w:rPr>
      <w:rFonts w:ascii="宋体" w:hAnsi="Arial"/>
      <w:bCs/>
      <w:iCs/>
      <w:szCs w:val="24"/>
    </w:rPr>
  </w:style>
  <w:style w:type="paragraph" w:styleId="1096" w:customStyle="1">
    <w:name w:val="xl27"/>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6"/>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customStyle="1">
    <w:name w:val="Char"/>
    <w:basedOn w:val="814"/>
    <w:uiPriority w:val="0"/>
    <w:qFormat/>
    <w:pPr>
      <w:ind w:firstLine="200"/>
      <w:tabs>
        <w:tab w:val="left" w:pos="360" w:leader="none"/>
      </w:tabs>
    </w:pPr>
    <w:rPr>
      <w:sz w:val="28"/>
      <w:szCs w:val="30"/>
    </w:rPr>
  </w:style>
  <w:style w:type="paragraph" w:styleId="1099" w:customStyle="1">
    <w:name w:val=" Char"/>
    <w:basedOn w:val="1031"/>
    <w:uiPriority w:val="0"/>
    <w:qFormat/>
    <w:rPr>
      <w:rFonts w:ascii="Tahoma" w:hAnsi="Tahoma"/>
      <w:sz w:val="24"/>
      <w:szCs w:val="24"/>
    </w:rPr>
  </w:style>
  <w:style w:type="paragraph" w:styleId="1100" w:customStyle="1">
    <w:name w:val="普通正文"/>
    <w:basedOn w:val="814"/>
    <w:uiPriority w:val="0"/>
    <w:qFormat/>
    <w:pPr>
      <w:ind w:firstLine="480"/>
      <w:jc w:val="left"/>
      <w:spacing w:before="120" w:after="120" w:line="360" w:lineRule="auto"/>
    </w:pPr>
    <w:rPr>
      <w:rFonts w:ascii="Arial" w:hAnsi="Arial"/>
      <w:sz w:val="24"/>
      <w:szCs w:val="24"/>
    </w:rPr>
  </w:style>
  <w:style w:type="paragraph" w:styleId="1101" w:customStyle="1">
    <w:name w:val="table_lines"/>
    <w:basedOn w:val="814"/>
    <w:uiPriority w:val="0"/>
    <w:qFormat/>
    <w:pPr>
      <w:jc w:val="left"/>
      <w:widowControl/>
    </w:pPr>
    <w:rPr>
      <w:sz w:val="20"/>
      <w:szCs w:val="20"/>
      <w:lang w:val="de-DE" w:eastAsia="de-DE"/>
    </w:rPr>
  </w:style>
  <w:style w:type="paragraph" w:styleId="110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03" w:customStyle="1">
    <w:name w:val="font7"/>
    <w:basedOn w:val="814"/>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 Char Char Char Char"/>
    <w:basedOn w:val="1031"/>
    <w:uiPriority w:val="0"/>
    <w:qFormat/>
    <w:pPr>
      <w:spacing w:line="360" w:lineRule="auto"/>
    </w:pPr>
    <w:rPr>
      <w:rFonts w:ascii="Tahoma" w:hAnsi="Tahoma"/>
      <w:sz w:val="24"/>
      <w:szCs w:val="24"/>
    </w:rPr>
  </w:style>
  <w:style w:type="paragraph" w:styleId="1105" w:customStyle="1">
    <w:name w:val="列表段落"/>
    <w:basedOn w:val="814"/>
    <w:uiPriority w:val="0"/>
    <w:qFormat/>
    <w:pPr>
      <w:contextualSpacing/>
      <w:ind w:left="720"/>
      <w:jc w:val="left"/>
      <w:widowControl/>
    </w:pPr>
    <w:rPr>
      <w:rFonts w:ascii="Calibri" w:hAnsi="Calibri"/>
      <w:sz w:val="24"/>
      <w:szCs w:val="24"/>
      <w:lang w:eastAsia="en-US" w:bidi="en-US"/>
    </w:rPr>
  </w:style>
  <w:style w:type="paragraph" w:styleId="1106" w:customStyle="1">
    <w:name w:val="4"/>
    <w:basedOn w:val="814"/>
    <w:next w:val="1066"/>
    <w:uiPriority w:val="0"/>
    <w:qFormat/>
    <w:pPr>
      <w:ind w:firstLine="420"/>
      <w:spacing w:line="360" w:lineRule="auto"/>
    </w:pPr>
    <w:rPr>
      <w:color w:val="ff0000"/>
      <w:sz w:val="24"/>
      <w:szCs w:val="24"/>
    </w:rPr>
  </w:style>
  <w:style w:type="paragraph" w:styleId="1107" w:customStyle="1">
    <w:name w:val="普通 (Web)"/>
    <w:basedOn w:val="814"/>
    <w:uiPriority w:val="0"/>
    <w:qFormat/>
    <w:pPr>
      <w:jc w:val="left"/>
      <w:spacing w:before="100" w:beforeAutospacing="1" w:after="100" w:afterAutospacing="1"/>
      <w:widowControl/>
    </w:pPr>
    <w:rPr>
      <w:rFonts w:ascii="宋体" w:hAnsi="宋体"/>
      <w:sz w:val="24"/>
      <w:szCs w:val="24"/>
    </w:rPr>
  </w:style>
  <w:style w:type="paragraph" w:styleId="1108" w:customStyle="1">
    <w:name w:val=" Char Char Char Char Char Char Char Char Char Char"/>
    <w:basedOn w:val="814"/>
    <w:uiPriority w:val="0"/>
    <w:qFormat/>
    <w:pPr>
      <w:spacing w:line="360" w:lineRule="auto"/>
    </w:pPr>
    <w:rPr>
      <w:sz w:val="24"/>
      <w:szCs w:val="20"/>
    </w:rPr>
  </w:style>
  <w:style w:type="paragraph" w:styleId="1109" w:customStyle="1">
    <w:name w:val="样式1"/>
    <w:basedOn w:val="814"/>
    <w:uiPriority w:val="0"/>
    <w:qFormat/>
    <w:pPr>
      <w:numPr>
        <w:ilvl w:val="0"/>
        <w:numId w:val="3"/>
      </w:numPr>
    </w:pPr>
    <w:rPr>
      <w:rFonts w:ascii="宋体" w:hAnsi="宋体"/>
    </w:rPr>
  </w:style>
  <w:style w:type="paragraph" w:styleId="1110" w:customStyle="1">
    <w:name w:val="font6"/>
    <w:basedOn w:val="814"/>
    <w:uiPriority w:val="0"/>
    <w:qFormat/>
    <w:pPr>
      <w:jc w:val="left"/>
      <w:spacing w:before="100" w:beforeAutospacing="1" w:after="100" w:afterAutospacing="1"/>
      <w:widowControl/>
    </w:pPr>
    <w:rPr>
      <w:rFonts w:hint="eastAsia" w:ascii="宋体" w:hAnsi="宋体"/>
      <w:sz w:val="28"/>
      <w:szCs w:val="28"/>
      <w:u w:val="single"/>
    </w:rPr>
  </w:style>
  <w:style w:type="paragraph" w:styleId="1111" w:customStyle="1">
    <w:name w:val="xl25"/>
    <w:basedOn w:val="8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图标"/>
    <w:basedOn w:val="814"/>
    <w:next w:val="8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3" w:customStyle="1">
    <w:name w:val="标题3"/>
    <w:basedOn w:val="814"/>
    <w:next w:val="814"/>
    <w:uiPriority w:val="0"/>
    <w:qFormat/>
    <w:pPr>
      <w:ind w:firstLine="624"/>
      <w:spacing w:line="590" w:lineRule="atLeast"/>
    </w:pPr>
    <w:rPr>
      <w:rFonts w:ascii="方正黑体_GBK" w:eastAsia="方正黑体_GBK"/>
      <w:sz w:val="32"/>
      <w:szCs w:val="32"/>
    </w:rPr>
  </w:style>
  <w:style w:type="paragraph" w:styleId="1114" w:customStyle="1">
    <w:name w:val="xl24"/>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xl29"/>
    <w:basedOn w:val="8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6" w:customStyle="1">
    <w:name w:val="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17"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customStyle="1">
    <w:name w:val="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19" w:customStyle="1">
    <w:name w:val="xl30"/>
    <w:basedOn w:val="814"/>
    <w:uiPriority w:val="0"/>
    <w:qFormat/>
    <w:pPr>
      <w:jc w:val="center"/>
      <w:spacing w:before="100" w:beforeAutospacing="1" w:after="100" w:afterAutospacing="1"/>
      <w:widowControl/>
    </w:pPr>
    <w:rPr>
      <w:rFonts w:ascii="宋体" w:hAnsi="宋体"/>
      <w:b/>
      <w:bCs/>
      <w:sz w:val="36"/>
      <w:szCs w:val="36"/>
    </w:rPr>
  </w:style>
  <w:style w:type="paragraph" w:styleId="1120" w:customStyle="1">
    <w:name w:val="Char Char Char Char"/>
    <w:basedOn w:val="1031"/>
    <w:uiPriority w:val="0"/>
    <w:qFormat/>
    <w:pPr>
      <w:spacing w:line="360" w:lineRule="auto"/>
    </w:pPr>
    <w:rPr>
      <w:rFonts w:ascii="Tahoma" w:hAnsi="Tahoma"/>
      <w:sz w:val="24"/>
      <w:szCs w:val="24"/>
    </w:rPr>
  </w:style>
  <w:style w:type="paragraph" w:styleId="1121" w:customStyle="1">
    <w:name w:val="table_1stline"/>
    <w:basedOn w:val="814"/>
    <w:uiPriority w:val="0"/>
    <w:qFormat/>
    <w:pPr>
      <w:jc w:val="left"/>
      <w:spacing w:before="120"/>
      <w:widowControl/>
    </w:pPr>
    <w:rPr>
      <w:bCs/>
      <w:sz w:val="20"/>
      <w:szCs w:val="20"/>
      <w:lang w:val="de-DE" w:eastAsia="de-DE"/>
    </w:rPr>
  </w:style>
  <w:style w:type="paragraph" w:styleId="1122" w:customStyle="1">
    <w:name w:val="font5"/>
    <w:basedOn w:val="814"/>
    <w:uiPriority w:val="0"/>
    <w:qFormat/>
    <w:pPr>
      <w:jc w:val="left"/>
      <w:spacing w:before="100" w:beforeAutospacing="1" w:after="100" w:afterAutospacing="1"/>
      <w:widowControl/>
    </w:pPr>
    <w:rPr>
      <w:rFonts w:hint="eastAsia" w:ascii="宋体" w:hAnsi="宋体"/>
      <w:sz w:val="28"/>
      <w:szCs w:val="28"/>
    </w:rPr>
  </w:style>
  <w:style w:type="paragraph" w:styleId="1123" w:customStyle="1">
    <w:name w:val="标题1"/>
    <w:basedOn w:val="814"/>
    <w:next w:val="8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26" w:customStyle="1">
    <w:name w:val="Table Normal"/>
    <w:uiPriority w:val="0"/>
    <w:qFormat/>
    <w:rPr>
      <w:lang w:val="en-US" w:eastAsia="zh-CN" w:bidi="ar-SA"/>
    </w:rPr>
    <w:tblPr/>
  </w:style>
  <w:style w:type="paragraph" w:styleId="112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6_0"/>
    <w:uiPriority w:val="0"/>
    <w:qFormat/>
    <w:rPr>
      <w:rFonts w:hint="default" w:ascii="黑体" w:hAnsi="黑体" w:eastAsia="黑体" w:cs="黑体"/>
      <w:b/>
      <w:sz w:val="32"/>
      <w:szCs w:val="24"/>
      <w:lang w:val="en-US" w:eastAsia="zh-CN" w:bidi="ar-SA"/>
    </w:rPr>
  </w:style>
  <w:style w:type="paragraph" w:styleId="11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0" w:customStyle="1">
    <w:name w:val="正文文本12"/>
    <w:basedOn w:val="814"/>
    <w:uiPriority w:val="1"/>
    <w:qFormat/>
    <w:pPr>
      <w:ind w:left="120"/>
    </w:pPr>
    <w:rPr>
      <w:rFonts w:ascii="宋体" w:hAnsi="宋体" w:eastAsia="宋体" w:cs="宋体"/>
      <w:sz w:val="21"/>
      <w:szCs w:val="21"/>
      <w:lang w:val="zh-CN" w:eastAsia="zh-CN" w:bidi="zh-CN"/>
    </w:rPr>
  </w:style>
  <w:style w:type="paragraph" w:styleId="1131" w:customStyle="1">
    <w:name w:val="正文2"/>
    <w:basedOn w:val="814"/>
    <w:uiPriority w:val="0"/>
    <w:qFormat/>
    <w:pPr>
      <w:ind w:firstLine="510"/>
      <w:spacing w:before="156" w:line="360" w:lineRule="auto"/>
    </w:pPr>
    <w:rPr>
      <w:sz w:val="24"/>
      <w:szCs w:val="20"/>
    </w:rPr>
  </w:style>
  <w:style w:type="paragraph" w:styleId="1132" w:customStyle="1">
    <w:name w:val="首行缩进"/>
    <w:basedOn w:val="814"/>
    <w:uiPriority w:val="0"/>
    <w:qFormat/>
    <w:pPr>
      <w:ind w:firstLine="480"/>
    </w:pPr>
    <w:rPr>
      <w:rFonts w:ascii="Times New Roman" w:hAnsi="Times New Roman" w:cs="Times New Roman"/>
      <w:lang w:val="zh-CN"/>
    </w:rPr>
  </w:style>
  <w:style w:type="paragraph" w:styleId="1133" w:customStyle="1">
    <w:name w:val="Normal_18_0"/>
    <w:uiPriority w:val="0"/>
    <w:qFormat/>
    <w:rPr>
      <w:rFonts w:hint="default" w:ascii="黑体" w:hAnsi="黑体" w:eastAsia="黑体" w:cs="黑体"/>
      <w:b/>
      <w:sz w:val="32"/>
      <w:szCs w:val="24"/>
      <w:lang w:val="en-US" w:eastAsia="zh-CN" w:bidi="ar-SA"/>
    </w:rPr>
  </w:style>
  <w:style w:type="paragraph" w:styleId="1134" w:customStyle="1">
    <w:name w:val="正文_12_0_0_0_0"/>
    <w:basedOn w:val="814"/>
    <w:uiPriority w:val="0"/>
    <w:qFormat/>
    <w:rPr>
      <w:rFonts w:ascii="Times New Roman" w:hAnsi="Times New Roman"/>
      <w:szCs w:val="24"/>
    </w:rPr>
  </w:style>
  <w:style w:type="paragraph" w:styleId="11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Normal_20"/>
    <w:uiPriority w:val="0"/>
    <w:qFormat/>
    <w:rPr>
      <w:rFonts w:hint="default" w:ascii="黑体" w:hAnsi="黑体" w:eastAsia="黑体" w:cs="黑体"/>
      <w:b/>
      <w:sz w:val="32"/>
      <w:szCs w:val="24"/>
      <w:lang w:val="en-US" w:eastAsia="zh-CN" w:bidi="ar-SA"/>
    </w:rPr>
  </w:style>
  <w:style w:type="paragraph" w:styleId="1139" w:customStyle="1">
    <w:name w:val="Body Text First Indent_0"/>
    <w:basedOn w:val="1140"/>
    <w:next w:val="1141"/>
    <w:uiPriority w:val="0"/>
    <w:qFormat/>
    <w:pPr>
      <w:ind w:firstLine="100"/>
      <w:spacing w:after="120" w:line="240" w:lineRule="auto"/>
    </w:pPr>
    <w:rPr>
      <w:rFonts w:ascii="Times New Roman" w:hAnsi="Times New Roman" w:eastAsia="宋体"/>
      <w:sz w:val="21"/>
    </w:rPr>
  </w:style>
  <w:style w:type="paragraph" w:styleId="1140" w:customStyle="1">
    <w:name w:val="Body Text_1"/>
    <w:basedOn w:val="1138"/>
    <w:uiPriority w:val="0"/>
    <w:qFormat/>
    <w:pPr>
      <w:spacing w:line="60" w:lineRule="auto"/>
    </w:pPr>
    <w:rPr>
      <w:rFonts w:ascii="仿宋_GB2312" w:eastAsia="仿宋_GB2312"/>
      <w:sz w:val="32"/>
    </w:rPr>
  </w:style>
  <w:style w:type="paragraph" w:styleId="1141" w:customStyle="1">
    <w:name w:val="Header_0"/>
    <w:basedOn w:val="1142"/>
    <w:uiPriority w:val="0"/>
    <w:qFormat/>
    <w:pPr>
      <w:jc w:val="center"/>
      <w:tabs>
        <w:tab w:val="center" w:pos="4153" w:leader="none"/>
        <w:tab w:val="right" w:pos="8306" w:leader="none"/>
      </w:tabs>
      <w:pBdr>
        <w:bottom w:val="single" w:color="000000" w:sz="6" w:space="1"/>
      </w:pBdr>
    </w:pPr>
    <w:rPr>
      <w:sz w:val="18"/>
      <w:szCs w:val="18"/>
    </w:rPr>
  </w:style>
  <w:style w:type="paragraph" w:styleId="1142" w:customStyle="1">
    <w:name w:val="Normal_20_0"/>
    <w:next w:val="11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Block Text_0"/>
    <w:basedOn w:val="1138"/>
    <w:uiPriority w:val="99"/>
    <w:unhideWhenUsed/>
    <w:qFormat/>
    <w:pPr>
      <w:ind w:left="1440" w:right="1440"/>
      <w:spacing w:after="120"/>
    </w:pPr>
    <w:rPr>
      <w:rFonts w:eastAsia="Times New Roman"/>
    </w:rPr>
  </w:style>
  <w:style w:type="paragraph" w:styleId="11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
    <w:uiPriority w:val="0"/>
    <w:qFormat/>
    <w:rPr>
      <w:rFonts w:hint="default" w:ascii="黑体" w:hAnsi="黑体" w:eastAsia="黑体" w:cs="Times New Roman"/>
      <w:b/>
      <w:sz w:val="32"/>
      <w:szCs w:val="24"/>
      <w:lang w:val="en-US" w:eastAsia="zh-CN" w:bidi="ar-SA"/>
    </w:rPr>
  </w:style>
  <w:style w:type="paragraph" w:styleId="1146" w:customStyle="1">
    <w:name w:val="部分1"/>
    <w:basedOn w:val="814"/>
    <w:uiPriority w:val="0"/>
    <w:qFormat/>
    <w:pPr>
      <w:jc w:val="center"/>
      <w:keepNext/>
      <w:pageBreakBefore/>
      <w:spacing w:line="360" w:lineRule="auto"/>
      <w:tabs>
        <w:tab w:val="left" w:pos="720" w:leader="none"/>
      </w:tabs>
      <w:outlineLvl w:val="0"/>
    </w:pPr>
    <w:rPr>
      <w:rFonts w:eastAsia="黑体"/>
      <w:b/>
      <w:sz w:val="36"/>
      <w:szCs w:val="20"/>
    </w:rPr>
  </w:style>
  <w:style w:type="paragraph" w:styleId="1147"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16_0_0_0"/>
    <w:basedOn w:val="1048"/>
    <w:uiPriority w:val="0"/>
    <w:qFormat/>
    <w:rPr>
      <w:rFonts w:eastAsia="Times New Roman"/>
      <w:szCs w:val="21"/>
    </w:rPr>
  </w:style>
  <w:style w:type="character" w:styleId="1149" w:customStyle="1">
    <w:name w:val="10_0"/>
    <w:link w:val="814"/>
    <w:uiPriority w:val="0"/>
    <w:qFormat/>
    <w:rPr>
      <w:rFonts w:ascii="Times New Roman" w:hAnsi="Times New Roman" w:eastAsia="Times New Roman" w:cs="Times New Roman"/>
    </w:rPr>
  </w:style>
  <w:style w:type="paragraph" w:styleId="1150" w:customStyle="1">
    <w:name w:val="正文_1_1"/>
    <w:uiPriority w:val="0"/>
    <w:qFormat/>
    <w:pPr>
      <w:jc w:val="both"/>
      <w:widowControl w:val="off"/>
    </w:pPr>
    <w:rPr>
      <w:rFonts w:hint="default" w:ascii="Calibri" w:hAnsi="Calibri" w:eastAsia="宋体" w:cs="Times New Roman"/>
      <w:sz w:val="21"/>
      <w:lang w:bidi="ar-SA"/>
    </w:rPr>
  </w:style>
  <w:style w:type="paragraph" w:styleId="1151" w:customStyle="1">
    <w:name w:val="正文文本_0"/>
    <w:basedOn w:val="1048"/>
    <w:uiPriority w:val="0"/>
    <w:qFormat/>
    <w:pPr>
      <w:spacing w:line="60" w:lineRule="auto"/>
    </w:pPr>
    <w:rPr>
      <w:rFonts w:ascii="仿宋_GB2312" w:eastAsia="仿宋_GB2312"/>
      <w:sz w:val="32"/>
    </w:rPr>
  </w:style>
  <w:style w:type="paragraph" w:styleId="115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53" w:customStyle="1">
    <w:name w:val="List Paragraph1"/>
    <w:basedOn w:val="1048"/>
    <w:uiPriority w:val="0"/>
    <w:qFormat/>
    <w:pPr>
      <w:ind w:firstLine="420"/>
    </w:pPr>
    <w:rPr>
      <w:rFonts w:ascii="Times New Roman" w:hAnsi="Times New Roman"/>
      <w:b/>
      <w:sz w:val="24"/>
      <w:szCs w:val="24"/>
    </w:rPr>
  </w:style>
  <w:style w:type="paragraph" w:styleId="1154"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缩进_1"/>
    <w:basedOn w:val="1048"/>
    <w:uiPriority w:val="99"/>
    <w:qFormat/>
    <w:pPr>
      <w:ind w:firstLine="420"/>
    </w:pPr>
    <w:rPr>
      <w:rFonts w:ascii="宋体"/>
      <w:color w:val="000000"/>
      <w:sz w:val="24"/>
      <w:szCs w:val="20"/>
    </w:rPr>
  </w:style>
  <w:style w:type="paragraph" w:styleId="1156" w:customStyle="1">
    <w:name w:val="正文_2_1"/>
    <w:next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3"/>
    <w:next w:val="1159"/>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首行缩进 2_1"/>
    <w:basedOn w:val="1160"/>
    <w:next w:val="1162"/>
    <w:uiPriority w:val="0"/>
    <w:qFormat/>
    <w:pPr>
      <w:ind w:left="200" w:firstLine="200"/>
      <w:spacing w:after="120"/>
    </w:pPr>
    <w:rPr>
      <w:rFonts w:ascii="Times New Roman"/>
      <w:szCs w:val="24"/>
    </w:rPr>
  </w:style>
  <w:style w:type="paragraph" w:styleId="1160" w:customStyle="1">
    <w:name w:val="正文文本缩进_1"/>
    <w:basedOn w:val="1161"/>
    <w:next w:val="1159"/>
    <w:uiPriority w:val="0"/>
    <w:qFormat/>
    <w:pPr>
      <w:ind w:firstLine="225"/>
    </w:pPr>
    <w:rPr>
      <w:rFonts w:ascii="仿宋_GB2312" w:eastAsia="仿宋_GB2312"/>
      <w:sz w:val="32"/>
    </w:rPr>
  </w:style>
  <w:style w:type="paragraph" w:styleId="1161" w:customStyle="1">
    <w:name w:val="正文_18"/>
    <w:next w:val="116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xl53_0"/>
    <w:next w:val="115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3" w:customStyle="1">
    <w:name w:val="正文文本_1"/>
    <w:basedOn w:val="1045"/>
    <w:link w:val="1164"/>
    <w:uiPriority w:val="0"/>
    <w:qFormat/>
    <w:pPr>
      <w:spacing w:line="60" w:lineRule="auto"/>
    </w:pPr>
    <w:rPr>
      <w:rFonts w:ascii="仿宋_GB2312" w:eastAsia="仿宋_GB2312"/>
      <w:sz w:val="32"/>
    </w:rPr>
  </w:style>
  <w:style w:type="character" w:styleId="1164" w:customStyle="1">
    <w:name w:val="正文文本 Char_0"/>
    <w:link w:val="1163"/>
    <w:uiPriority w:val="0"/>
    <w:qFormat/>
    <w:rPr>
      <w:rFonts w:ascii="仿宋_GB2312" w:hAnsi="Calibri" w:eastAsia="仿宋_GB2312"/>
      <w:sz w:val="32"/>
      <w:szCs w:val="22"/>
    </w:rPr>
  </w:style>
  <w:style w:type="paragraph" w:styleId="1165"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66" w:customStyle="1">
    <w:name w:val="List Paragraph1_0"/>
    <w:basedOn w:val="1045"/>
    <w:uiPriority w:val="0"/>
    <w:qFormat/>
    <w:pPr>
      <w:ind w:firstLine="420"/>
    </w:pPr>
    <w:rPr>
      <w:rFonts w:ascii="Times New Roman" w:hAnsi="Times New Roman"/>
      <w:b/>
      <w:sz w:val="24"/>
      <w:szCs w:val="24"/>
    </w:rPr>
  </w:style>
  <w:style w:type="paragraph" w:styleId="1167" w:customStyle="1">
    <w:name w:val="正文_1_1_0"/>
    <w:uiPriority w:val="0"/>
    <w:qFormat/>
    <w:pPr>
      <w:jc w:val="both"/>
      <w:widowControl w:val="off"/>
    </w:pPr>
    <w:rPr>
      <w:rFonts w:hint="default" w:ascii="Calibri" w:hAnsi="Calibri" w:eastAsia="宋体" w:cs="Times New Roman"/>
      <w:sz w:val="21"/>
      <w:lang w:bidi="ar-SA"/>
    </w:rPr>
  </w:style>
  <w:style w:type="paragraph" w:styleId="1168" w:customStyle="1">
    <w:name w:val="正文_16_0_0"/>
    <w:next w:val="1169"/>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1_0"/>
    <w:basedOn w:val="1170"/>
    <w:uiPriority w:val="0"/>
    <w:qFormat/>
    <w:pPr>
      <w:jc w:val="both"/>
      <w:widowControl w:val="off"/>
    </w:pPr>
    <w:rPr>
      <w:szCs w:val="24"/>
      <w:lang w:val="en-US" w:eastAsia="zh-CN" w:bidi="ar-SA"/>
    </w:rPr>
  </w:style>
  <w:style w:type="paragraph" w:styleId="1170" w:customStyle="1">
    <w:name w:val="Normal1"/>
    <w:next w:val="1169"/>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Normal_20_1"/>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List Continue 2_0"/>
    <w:basedOn w:val="1171"/>
    <w:next w:val="1173"/>
    <w:uiPriority w:val="0"/>
    <w:qFormat/>
    <w:pPr>
      <w:ind w:left="840"/>
      <w:spacing w:after="120"/>
    </w:pPr>
  </w:style>
  <w:style w:type="paragraph" w:styleId="1173" w:customStyle="1">
    <w:name w:val="TOC 4_0"/>
    <w:basedOn w:val="1171"/>
    <w:next w:val="1171"/>
    <w:uiPriority w:val="0"/>
    <w:qFormat/>
    <w:pPr>
      <w:ind w:left="630"/>
      <w:jc w:val="left"/>
    </w:pPr>
    <w:rPr>
      <w:rFonts w:ascii="Calibri" w:hAnsi="Calibri" w:cs="Calibri"/>
      <w:sz w:val="18"/>
      <w:szCs w:val="18"/>
    </w:rPr>
  </w:style>
  <w:style w:type="paragraph" w:styleId="117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Normal_20_0_0"/>
    <w:uiPriority w:val="0"/>
    <w:qFormat/>
    <w:rPr>
      <w:rFonts w:hint="default" w:ascii="黑体" w:hAnsi="黑体" w:eastAsia="黑体" w:cs="Times New Roman"/>
      <w:b/>
      <w:sz w:val="32"/>
      <w:szCs w:val="24"/>
      <w:lang w:val="en-US" w:eastAsia="zh-CN" w:bidi="ar-SA"/>
    </w:rPr>
  </w:style>
  <w:style w:type="paragraph" w:styleId="1176" w:customStyle="1">
    <w:name w:val="Normal_13"/>
    <w:uiPriority w:val="0"/>
    <w:qFormat/>
    <w:rPr>
      <w:rFonts w:hint="default" w:ascii="黑体" w:hAnsi="黑体" w:eastAsia="黑体" w:cs="Times New Roman"/>
      <w:b/>
      <w:sz w:val="32"/>
      <w:szCs w:val="24"/>
      <w:lang w:val="en-US" w:eastAsia="zh-CN" w:bidi="ar-SA"/>
    </w:rPr>
  </w:style>
  <w:style w:type="paragraph" w:styleId="1177"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78" w:customStyle="1">
    <w:name w:val="Table Text"/>
    <w:basedOn w:val="814"/>
    <w:uiPriority w:val="0"/>
    <w:semiHidden/>
    <w:qFormat/>
    <w:rPr>
      <w:rFonts w:ascii="宋体" w:hAnsi="宋体" w:cs="宋体"/>
      <w:sz w:val="45"/>
      <w:szCs w:val="45"/>
    </w:rPr>
  </w:style>
  <w:style w:type="paragraph" w:styleId="1179" w:customStyle="1">
    <w:name w:val="表格内容"/>
    <w:basedOn w:val="814"/>
    <w:uiPriority w:val="1"/>
    <w:qFormat/>
    <w:pPr>
      <w:ind w:firstLine="0"/>
      <w:jc w:val="center"/>
      <w:spacing w:line="240" w:lineRule="auto"/>
    </w:pPr>
    <w:rPr>
      <w:sz w:val="21"/>
    </w:rPr>
  </w:style>
  <w:style w:type="paragraph" w:styleId="1180" w:customStyle="1">
    <w:name w:val="正文_16_0"/>
    <w:basedOn w:val="1161"/>
    <w:uiPriority w:val="0"/>
    <w:qFormat/>
    <w:rPr>
      <w:rFonts w:ascii="Times New Roman" w:hAnsi="Times New Roman"/>
    </w:rPr>
  </w:style>
  <w:style w:type="character" w:styleId="1181" w:customStyle="1">
    <w:name w:val="标题 1 Char"/>
    <w:link w:val="815"/>
    <w:uiPriority w:val="0"/>
    <w:qFormat/>
    <w:rPr>
      <w:rFonts w:ascii="楷体_GB2312" w:hAnsi="Times New Roman" w:eastAsia="楷体_GB2312" w:cs="Times New Roman"/>
      <w:sz w:val="28"/>
      <w:szCs w:val="28"/>
    </w:rPr>
  </w:style>
  <w:style w:type="paragraph" w:styleId="1182" w:customStyle="1">
    <w:name w:val="Body Text First Indent 2_0"/>
    <w:basedOn w:val="1183"/>
    <w:uiPriority w:val="0"/>
    <w:qFormat/>
    <w:pPr>
      <w:ind w:left="200" w:firstLine="200"/>
      <w:spacing w:after="120"/>
    </w:pPr>
    <w:rPr>
      <w:rFonts w:ascii="Times New Roman" w:hAnsi="Times New Roman" w:eastAsia="Times New Roman"/>
      <w:sz w:val="24"/>
      <w:szCs w:val="24"/>
    </w:rPr>
  </w:style>
  <w:style w:type="paragraph" w:styleId="1183" w:customStyle="1">
    <w:name w:val="Body Text Indent_1"/>
    <w:basedOn w:val="1184"/>
    <w:next w:val="1185"/>
    <w:uiPriority w:val="0"/>
    <w:qFormat/>
    <w:pPr>
      <w:ind w:firstLine="225"/>
    </w:pPr>
    <w:rPr>
      <w:rFonts w:ascii="仿宋_GB2312" w:eastAsia="仿宋_GB2312"/>
      <w:sz w:val="32"/>
    </w:rPr>
  </w:style>
  <w:style w:type="paragraph" w:styleId="1184" w:customStyle="1">
    <w:name w:val="Normal_19_0"/>
    <w:next w:val="1182"/>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Envelope Return_0"/>
    <w:basedOn w:val="1184"/>
    <w:uiPriority w:val="0"/>
    <w:qFormat/>
    <w:rPr>
      <w:rFonts w:ascii="Arial" w:hAnsi="Arial" w:eastAsia="楷体_GB2312"/>
      <w:sz w:val="26"/>
      <w:szCs w:val="20"/>
    </w:rPr>
  </w:style>
  <w:style w:type="paragraph" w:styleId="1186" w:customStyle="1">
    <w:name w:val="Body Text Indent_0"/>
    <w:basedOn w:val="1138"/>
    <w:next w:val="1138"/>
    <w:uiPriority w:val="0"/>
    <w:qFormat/>
    <w:pPr>
      <w:ind w:firstLine="225"/>
    </w:pPr>
    <w:rPr>
      <w:rFonts w:ascii="仿宋_GB2312" w:eastAsia="仿宋_GB2312"/>
      <w:sz w:val="32"/>
    </w:rPr>
  </w:style>
  <w:style w:type="paragraph" w:styleId="1187" w:customStyle="1">
    <w:name w:val="特点_0"/>
    <w:basedOn w:val="1138"/>
    <w:next w:val="1138"/>
    <w:uiPriority w:val="0"/>
    <w:qFormat/>
    <w:pPr>
      <w:jc w:val="center"/>
      <w:spacing w:line="360" w:lineRule="auto"/>
    </w:pPr>
    <w:rPr>
      <w:rFonts w:ascii="Arial" w:hAnsi="Arial" w:eastAsia="Times New Roman"/>
      <w:sz w:val="24"/>
      <w:szCs w:val="20"/>
    </w:rPr>
  </w:style>
  <w:style w:type="paragraph" w:styleId="1188" w:customStyle="1">
    <w:name w:val="Body Text"/>
    <w:basedOn w:val="856"/>
    <w:uiPriority w:val="0"/>
    <w:qFormat/>
    <w:pPr>
      <w:spacing w:line="60" w:lineRule="auto"/>
    </w:pPr>
    <w:rPr>
      <w:rFonts w:ascii="仿宋_GB2312" w:eastAsia="仿宋_GB2312"/>
      <w:sz w:val="32"/>
    </w:rPr>
  </w:style>
  <w:style w:type="table" w:styleId="1189"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90" w:customStyle="1">
    <w:name w:val="NormalCharacter"/>
    <w:uiPriority w:val="0"/>
    <w:qFormat/>
    <w:rPr>
      <w:rFonts w:ascii="Times New Roman" w:hAnsi="Times New Roman" w:eastAsia="宋体" w:cs="Times New Roman"/>
      <w:sz w:val="21"/>
      <w:szCs w:val="22"/>
      <w:lang w:val="en-US" w:eastAsia="zh-CN" w:bidi="ar-SA"/>
    </w:rPr>
  </w:style>
  <w:style w:type="character" w:styleId="1191" w:customStyle="1">
    <w:name w:val="font81"/>
    <w:basedOn w:val="824"/>
    <w:uiPriority w:val="0"/>
    <w:qFormat/>
    <w:rPr>
      <w:rFonts w:hint="eastAsia" w:ascii="Microsoft JhengHei" w:hAnsi="Microsoft JhengHei" w:eastAsia="Microsoft JhengHei" w:cs="Microsoft JhengHei"/>
      <w:b/>
      <w:bCs/>
      <w:color w:val="000000"/>
      <w:sz w:val="28"/>
      <w:szCs w:val="28"/>
      <w:u w:val="none"/>
    </w:rPr>
  </w:style>
  <w:style w:type="character" w:styleId="1192" w:customStyle="1">
    <w:name w:val="font91"/>
    <w:basedOn w:val="824"/>
    <w:uiPriority w:val="0"/>
    <w:qFormat/>
    <w:rPr>
      <w:rFonts w:hint="eastAsia" w:ascii="Microsoft JhengHei" w:hAnsi="Microsoft JhengHei" w:eastAsia="Microsoft JhengHei" w:cs="Microsoft JhengHei"/>
      <w:b/>
      <w:bCs/>
      <w:color w:val="000000"/>
      <w:sz w:val="22"/>
      <w:szCs w:val="22"/>
      <w:u w:val="none"/>
    </w:rPr>
  </w:style>
  <w:style w:type="character" w:styleId="1193" w:customStyle="1">
    <w:name w:val="font41"/>
    <w:basedOn w:val="824"/>
    <w:uiPriority w:val="0"/>
    <w:qFormat/>
    <w:rPr>
      <w:rFonts w:hint="eastAsia" w:ascii="宋体" w:hAnsi="宋体" w:eastAsia="宋体" w:cs="宋体"/>
      <w:color w:val="000000"/>
      <w:sz w:val="22"/>
      <w:szCs w:val="22"/>
      <w:u w:val="none"/>
    </w:rPr>
  </w:style>
  <w:style w:type="character" w:styleId="1194" w:customStyle="1">
    <w:name w:val="font61"/>
    <w:basedOn w:val="824"/>
    <w:uiPriority w:val="0"/>
    <w:qFormat/>
    <w:rPr>
      <w:rFonts w:hint="eastAsia" w:ascii="宋体" w:hAnsi="宋体" w:eastAsia="宋体" w:cs="宋体"/>
      <w:color w:val="000000"/>
      <w:sz w:val="24"/>
      <w:szCs w:val="24"/>
      <w:u w:val="none"/>
    </w:rPr>
  </w:style>
  <w:style w:type="character" w:styleId="1195" w:customStyle="1">
    <w:name w:val="font21"/>
    <w:basedOn w:val="824"/>
    <w:uiPriority w:val="0"/>
    <w:qFormat/>
    <w:rPr>
      <w:rFonts w:hint="eastAsia" w:ascii="宋体" w:hAnsi="宋体" w:eastAsia="宋体" w:cs="宋体"/>
      <w:b/>
      <w:bCs/>
      <w:color w:val="000000"/>
      <w:sz w:val="22"/>
      <w:szCs w:val="22"/>
      <w:u w:val="none"/>
    </w:rPr>
  </w:style>
  <w:style w:type="character" w:styleId="1196" w:customStyle="1">
    <w:name w:val="font01"/>
    <w:basedOn w:val="824"/>
    <w:uiPriority w:val="0"/>
    <w:qFormat/>
    <w:rPr>
      <w:rFonts w:hint="eastAsia" w:ascii="宋体" w:hAnsi="宋体" w:eastAsia="宋体" w:cs="宋体"/>
      <w:color w:val="000000"/>
      <w:sz w:val="22"/>
      <w:szCs w:val="22"/>
      <w:u w:val="none"/>
    </w:r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1019EB-4666-41A0-9462-190F250136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贺瑞瑞</cp:lastModifiedBy>
  <cp:revision>13</cp:revision>
  <dcterms:created xsi:type="dcterms:W3CDTF">2024-02-21T09:15:00Z</dcterms:created>
  <dcterms:modified xsi:type="dcterms:W3CDTF">2026-06-10T02:01:24Z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1205162742534F678AFCE93746CE6485_13</vt:lpwstr>
  </property>
  <property fmtid="{D5CDD505-2E9C-101B-9397-08002B2CF9AE}" pid="4" name="KSOTemplateDocerSaveRecord">
    <vt:lpwstr>eyJoZGlkIjoiMDkxZDQ4MGVmZDk4NGUwODMwODFmOTdiOTM0YWQ2MzAiLCJ1c2VySWQiOiI2Mzc3Mzk2MzAifQ==</vt:lpwstr>
  </property>
</Properties>
</file>