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66"/>
        <w:rPr>
          <w:color w:val="auto"/>
          <w:highlight w:val="none"/>
        </w:rPr>
      </w:pPr>
      <w:r>
        <w:rPr>
          <w:color w:val="auto"/>
          <w:highlight w:val="none"/>
        </w:rPr>
      </w:r>
      <w:r/>
    </w:p>
    <w:p>
      <w:pPr>
        <w:pStyle w:val="977"/>
        <w:jc w:val="center"/>
        <w:rPr>
          <w:rFonts w:eastAsia="黑体"/>
          <w:b/>
          <w:bCs/>
          <w:color w:val="auto"/>
          <w:sz w:val="84"/>
          <w:highlight w:val="none"/>
        </w:rPr>
      </w:pPr>
      <w:r>
        <w:rPr>
          <w:rFonts w:hint="eastAsia" w:eastAsia="黑体"/>
          <w:b/>
          <w:bCs/>
          <w:color w:val="auto"/>
          <w:sz w:val="84"/>
          <w:highlight w:val="none"/>
        </w:rPr>
        <w:t xml:space="preserve">招　标　</w:t>
      </w:r>
      <w:bookmarkStart w:id="208" w:name="_GoBack"/>
      <w:r/>
      <w:bookmarkEnd w:id="208"/>
      <w:r>
        <w:rPr>
          <w:rFonts w:hint="eastAsia" w:eastAsia="黑体"/>
          <w:b/>
          <w:bCs/>
          <w:color w:val="auto"/>
          <w:sz w:val="84"/>
          <w:highlight w:val="none"/>
        </w:rPr>
        <w:t xml:space="preserve">文　件</w:t>
      </w:r>
      <w:r/>
    </w:p>
    <w:p>
      <w:pPr>
        <w:ind w:left="2997" w:hanging="1506"/>
        <w:spacing w:line="360" w:lineRule="auto"/>
        <w:rPr>
          <w:b/>
          <w:color w:val="auto"/>
          <w:sz w:val="30"/>
          <w:szCs w:val="30"/>
          <w:highlight w:val="none"/>
          <w:u w:val="single"/>
        </w:rPr>
      </w:pPr>
      <w:r>
        <w:rPr>
          <w:rFonts w:hint="eastAsia"/>
          <w:b/>
          <w:color w:val="auto"/>
          <w:sz w:val="30"/>
          <w:szCs w:val="30"/>
          <w:highlight w:val="none"/>
        </w:rPr>
        <w:t xml:space="preserve">项目名称：</w:t>
      </w:r>
      <w:bookmarkStart w:id="0" w:name="_Hlk231463497"/>
      <w:r>
        <w:rPr>
          <w:rFonts w:hint="eastAsia" w:ascii="宋体" w:hAnsi="宋体" w:cs="宋体"/>
          <w:b/>
          <w:color w:val="auto"/>
          <w:sz w:val="30"/>
          <w:szCs w:val="30"/>
          <w:highlight w:val="none"/>
        </w:rPr>
        <w:t xml:space="preserve">行知中学专用教室、功能室等教学仪器设备及器材采购项目</w:t>
      </w:r>
      <w:bookmarkEnd w:id="0"/>
      <w:r/>
      <w:r/>
    </w:p>
    <w:p>
      <w:pPr>
        <w:ind w:firstLine="1506"/>
        <w:spacing w:line="360" w:lineRule="auto"/>
        <w:rPr>
          <w:b/>
          <w:color w:val="auto"/>
          <w:sz w:val="30"/>
          <w:szCs w:val="30"/>
          <w:highlight w:val="none"/>
        </w:rPr>
      </w:pPr>
      <w:r>
        <w:rPr>
          <w:rFonts w:hint="eastAsia"/>
          <w:b/>
          <w:color w:val="auto"/>
          <w:sz w:val="30"/>
          <w:szCs w:val="30"/>
          <w:highlight w:val="none"/>
        </w:rPr>
        <w:t xml:space="preserve">项目编号：</w:t>
      </w:r>
      <w:r>
        <w:rPr>
          <w:rFonts w:hint="eastAsia" w:ascii="Times New Roman" w:hAnsi="Times New Roman" w:eastAsia="宋体" w:cs="Times New Roman"/>
          <w:b/>
          <w:bCs w:val="0"/>
          <w:color w:val="auto"/>
          <w:sz w:val="32"/>
          <w:szCs w:val="32"/>
          <w:highlight w:val="none"/>
          <w:u w:val="none"/>
          <w:lang w:eastAsia="zh-CN"/>
        </w:rPr>
        <w:t xml:space="preserve">JSZC-320111-JZCG-G2026-0037</w:t>
      </w:r>
      <w:r/>
    </w:p>
    <w:p>
      <w:pPr>
        <w:ind w:firstLine="2177"/>
        <w:spacing w:line="360" w:lineRule="auto"/>
        <w:rPr>
          <w:b/>
          <w:color w:val="auto"/>
          <w:sz w:val="30"/>
          <w:szCs w:val="30"/>
          <w:highlight w:val="none"/>
        </w:rPr>
      </w:pPr>
      <w:r>
        <w:rPr>
          <w:rFonts w:hint="eastAsia" w:ascii="宋体" w:hAnsi="宋体" w:cs="宋体"/>
          <w:b/>
          <w:color w:val="auto"/>
          <w:sz w:val="30"/>
          <w:szCs w:val="30"/>
          <w:highlight w:val="none"/>
        </w:rPr>
        <w:t xml:space="preserve">（非专门面向中小企业）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7"/>
        <w:ind w:firstLine="0"/>
        <w:jc w:val="center"/>
        <w:rPr>
          <w:b/>
          <w:bCs/>
          <w:color w:val="auto"/>
          <w:sz w:val="32"/>
          <w:highlight w:val="none"/>
        </w:rPr>
      </w:pPr>
      <w:r>
        <w:rPr>
          <w:rFonts w:hint="eastAsia"/>
          <w:b/>
          <w:bCs/>
          <w:color w:val="auto"/>
          <w:sz w:val="32"/>
          <w:highlight w:val="none"/>
        </w:rPr>
        <w:t xml:space="preserve">南京市公共资源交易中心浦口分中心</w:t>
      </w:r>
      <w:r/>
    </w:p>
    <w:p>
      <w:pPr>
        <w:jc w:val="center"/>
        <w:rPr>
          <w:b/>
          <w:color w:val="auto"/>
          <w:sz w:val="32"/>
          <w:szCs w:val="32"/>
          <w:highlight w:val="none"/>
        </w:rPr>
      </w:pPr>
      <w:r>
        <w:rPr>
          <w:rFonts w:hint="eastAsia"/>
          <w:b/>
          <w:color w:val="auto"/>
          <w:sz w:val="32"/>
          <w:szCs w:val="32"/>
          <w:highlight w:val="none"/>
        </w:rPr>
        <w:t xml:space="preserve">2026年6月</w:t>
      </w:r>
      <w:r/>
    </w:p>
    <w:p>
      <w:pPr>
        <w:jc w:val="left"/>
        <w:spacing w:before="120" w:after="120" w:line="360" w:lineRule="auto"/>
        <w:rPr>
          <w:rFonts w:ascii="Arial" w:hAnsi="Arial"/>
          <w:color w:val="auto"/>
          <w:sz w:val="24"/>
          <w:szCs w:val="24"/>
          <w:highlight w:val="none"/>
          <w:u w:val="single"/>
        </w:rPr>
      </w:pPr>
      <w:r>
        <w:rPr>
          <w:rFonts w:ascii="Arial" w:hAnsi="Arial"/>
          <w:color w:val="auto"/>
          <w:sz w:val="24"/>
          <w:szCs w:val="24"/>
          <w:highlight w:val="none"/>
          <w:u w:val="single"/>
        </w:rPr>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outlineLvl w:val="0"/>
      </w:pPr>
      <w:r>
        <w:rPr>
          <w:color w:val="auto"/>
          <w:szCs w:val="21"/>
          <w:highlight w:val="none"/>
        </w:rPr>
        <w:br w:type="page" w:clear="all"/>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投标邀请…………………………………… 3</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投标人须知………………………………… 5</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合同文本……………………………………14</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采购需求……………………………………18</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评标方法与评标标准………………………35</w:t>
      </w:r>
      <w:r/>
    </w:p>
    <w:p>
      <w:pPr>
        <w:numPr>
          <w:ilvl w:val="0"/>
          <w:numId w:val="4"/>
        </w:numPr>
        <w:jc w:val="center"/>
        <w:spacing w:line="96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投标文件格式………………………………39</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1"/>
      <w:r>
        <w:rPr>
          <w:rFonts w:hint="eastAsia" w:ascii="方正小标宋简体" w:hAnsi="方正小标宋简体" w:eastAsia="方正小标宋简体" w:cs="方正小标宋简体"/>
          <w:color w:val="auto"/>
          <w:sz w:val="36"/>
          <w:szCs w:val="36"/>
          <w:highlight w:val="none"/>
        </w:rPr>
        <w:t xml:space="preserve">投标邀请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受南京市浦口区教育局的委托，南京市公共资源交易中心浦口分中心就</w:t>
      </w:r>
      <w:r>
        <w:rPr>
          <w:rFonts w:hint="eastAsia" w:ascii="宋体" w:hAnsi="宋体" w:cs="宋体"/>
          <w:bCs/>
          <w:color w:val="auto"/>
          <w:sz w:val="24"/>
          <w:szCs w:val="24"/>
          <w:highlight w:val="none"/>
        </w:rPr>
        <w:t xml:space="preserve">部分学校（园）教学及办公器材等设备采购项目</w:t>
      </w:r>
      <w:r>
        <w:rPr>
          <w:rFonts w:hint="eastAsia" w:ascii="宋体" w:hAnsi="宋体"/>
          <w:color w:val="auto"/>
          <w:sz w:val="24"/>
          <w:szCs w:val="24"/>
          <w:highlight w:val="none"/>
        </w:rPr>
        <w:t xml:space="preserve">进行公开招标采购，欢迎符合条件的供应商投标。</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bookmarkStart w:id="7" w:name="_Toc28359079"/>
      <w:r/>
      <w:bookmarkStart w:id="8" w:name="_Toc35393790"/>
      <w:r/>
      <w:bookmarkStart w:id="9" w:name="_Toc28359002"/>
      <w:r/>
      <w:bookmarkStart w:id="10" w:name="_Hlk24379207"/>
      <w:r/>
      <w:bookmarkStart w:id="11" w:name="_Toc35393621"/>
      <w:r/>
      <w:bookmarkStart w:id="12" w:name="_Toc38985263"/>
      <w:r>
        <w:rPr>
          <w:rFonts w:hint="eastAsia" w:ascii="方正黑体_GBK" w:hAnsi="方正黑体_GBK" w:eastAsia="方正黑体_GBK" w:cs="方正黑体_GBK"/>
          <w:b w:val="0"/>
          <w:bCs w:val="0"/>
          <w:color w:val="auto"/>
          <w:sz w:val="30"/>
          <w:szCs w:val="30"/>
          <w:highlight w:val="none"/>
        </w:rPr>
        <w:t xml:space="preserve">一、项目基本情况</w:t>
      </w:r>
      <w:bookmarkEnd w:id="7"/>
      <w:r/>
      <w:bookmarkEnd w:id="8"/>
      <w:r/>
      <w:bookmarkEnd w:id="9"/>
      <w:r/>
      <w:bookmarkEnd w:id="10"/>
      <w:r/>
      <w:bookmarkEnd w:id="11"/>
      <w:r/>
      <w:bookmarkEnd w:id="12"/>
      <w:r/>
      <w:r/>
    </w:p>
    <w:p>
      <w:pPr>
        <w:ind w:firstLine="480"/>
        <w:spacing w:line="264" w:lineRule="auto"/>
        <w:rPr>
          <w:rFonts w:hint="eastAsia"/>
          <w:b/>
          <w:color w:val="auto"/>
          <w:sz w:val="30"/>
          <w:szCs w:val="30"/>
          <w:highlight w:val="none"/>
        </w:rPr>
      </w:pPr>
      <w:r>
        <w:rPr>
          <w:rFonts w:hint="eastAsia" w:ascii="宋体" w:hAnsi="宋体"/>
          <w:color w:val="auto"/>
          <w:sz w:val="24"/>
          <w:szCs w:val="24"/>
          <w:highlight w:val="none"/>
        </w:rPr>
        <w:t xml:space="preserve">1.项目编号：</w:t>
      </w:r>
      <w:r>
        <w:rPr>
          <w:rFonts w:hint="eastAsia" w:ascii="宋体" w:hAnsi="宋体" w:eastAsia="宋体" w:cs="Times New Roman"/>
          <w:color w:val="auto"/>
          <w:sz w:val="24"/>
          <w:szCs w:val="24"/>
          <w:highlight w:val="none"/>
          <w:lang w:eastAsia="zh-CN"/>
        </w:rPr>
        <w:t xml:space="preserve">JSZC-320111-JZCG-G2026-0037</w:t>
      </w:r>
      <w:r/>
    </w:p>
    <w:p>
      <w:pPr>
        <w:ind w:firstLine="480"/>
        <w:spacing w:line="264"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2.项目名称：</w:t>
      </w:r>
      <w:r>
        <w:rPr>
          <w:rFonts w:hint="eastAsia" w:ascii="宋体" w:hAnsi="宋体" w:cs="宋体"/>
          <w:bCs/>
          <w:color w:val="auto"/>
          <w:sz w:val="24"/>
          <w:szCs w:val="24"/>
          <w:highlight w:val="none"/>
        </w:rPr>
        <w:t xml:space="preserve">行知中学专用教室、功能室等教学仪器设备及器材采购项目</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3.预算金额：320</w:t>
      </w:r>
      <w:r>
        <w:rPr>
          <w:rFonts w:hint="eastAsia" w:ascii="宋体" w:hAnsi="宋体"/>
          <w:color w:val="auto"/>
          <w:sz w:val="24"/>
          <w:szCs w:val="24"/>
          <w:highlight w:val="none"/>
        </w:rPr>
        <w:t xml:space="preserve">万</w:t>
      </w:r>
      <w:r>
        <w:rPr>
          <w:rFonts w:hint="eastAsia" w:ascii="宋体" w:hAnsi="宋体"/>
          <w:color w:val="auto"/>
          <w:sz w:val="24"/>
          <w:szCs w:val="24"/>
          <w:highlight w:val="none"/>
          <w:lang w:val="en-US" w:eastAsia="zh-CN"/>
        </w:rPr>
        <w:t xml:space="preserve">元</w:t>
      </w:r>
      <w:r/>
    </w:p>
    <w:p>
      <w:pPr>
        <w:ind w:firstLine="480"/>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bCs/>
          <w:color w:val="auto"/>
          <w:sz w:val="24"/>
          <w:szCs w:val="24"/>
          <w:highlight w:val="none"/>
          <w:u w:val="single"/>
        </w:rPr>
        <w:t xml:space="preserve"> 设定 </w:t>
      </w:r>
      <w:r>
        <w:rPr>
          <w:rFonts w:hint="eastAsia" w:ascii="宋体" w:hAnsi="宋体"/>
          <w:color w:val="auto"/>
          <w:sz w:val="24"/>
          <w:szCs w:val="24"/>
          <w:highlight w:val="none"/>
        </w:rPr>
        <w:t xml:space="preserve">最高限价为</w:t>
      </w:r>
      <w:r>
        <w:rPr>
          <w:rFonts w:hint="eastAsia" w:ascii="宋体" w:hAnsi="宋体"/>
          <w:color w:val="auto"/>
          <w:sz w:val="24"/>
          <w:szCs w:val="24"/>
          <w:highlight w:val="none"/>
          <w:lang w:val="en-US" w:eastAsia="zh-CN"/>
        </w:rPr>
        <w:t xml:space="preserve">320</w:t>
      </w:r>
      <w:r>
        <w:rPr>
          <w:rFonts w:hint="eastAsia" w:ascii="宋体" w:hAnsi="宋体"/>
          <w:color w:val="auto"/>
          <w:sz w:val="24"/>
          <w:szCs w:val="24"/>
          <w:highlight w:val="none"/>
        </w:rPr>
        <w:t xml:space="preserve">万</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rPr>
        <w:t xml:space="preserve">。</w:t>
      </w:r>
      <w:r/>
    </w:p>
    <w:p>
      <w:pPr>
        <w:ind w:firstLine="480"/>
        <w:spacing w:line="264"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根据学校教育教学需求，配置专用教室、功能室等教学仪器设备及器材。（详细内容</w:t>
      </w:r>
      <w:r>
        <w:rPr>
          <w:rFonts w:hint="eastAsia" w:ascii="宋体" w:hAnsi="宋体" w:cs="宋体"/>
          <w:color w:val="auto"/>
          <w:sz w:val="24"/>
          <w:szCs w:val="24"/>
          <w:highlight w:val="none"/>
        </w:rPr>
        <w:t xml:space="preserve">见本招标文件第四章）</w:t>
      </w:r>
      <w:r/>
    </w:p>
    <w:p>
      <w:pPr>
        <w:ind w:firstLine="480"/>
        <w:spacing w:line="264"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合同履行期限：</w:t>
      </w:r>
      <w:r>
        <w:rPr>
          <w:rFonts w:hint="eastAsia" w:ascii="宋体" w:hAnsi="宋体" w:cs="宋体"/>
          <w:b/>
          <w:bCs/>
          <w:color w:val="auto"/>
          <w:sz w:val="24"/>
          <w:szCs w:val="24"/>
          <w:highlight w:val="none"/>
        </w:rPr>
        <w:t xml:space="preserve">2235天（交付期45天、质保期2190天）</w:t>
      </w:r>
      <w:r>
        <w:rPr>
          <w:rFonts w:hint="eastAsia" w:ascii="宋体" w:hAnsi="宋体" w:eastAsia="宋体" w:cs="Times New Roman"/>
          <w:color w:val="auto"/>
          <w:sz w:val="24"/>
          <w:szCs w:val="24"/>
          <w:highlight w:val="none"/>
        </w:rPr>
        <w:t xml:space="preserve">，合同签订后45日内交付，自验收报告签字确认日起开始进入质保期。</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8.本项目不接受联合体投标。</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bookmarkStart w:id="13" w:name="_Toc35393622"/>
      <w:r/>
      <w:bookmarkStart w:id="14" w:name="_Toc28359080"/>
      <w:r/>
      <w:bookmarkStart w:id="15" w:name="_Toc35393791"/>
      <w:r/>
      <w:bookmarkStart w:id="16" w:name="_Toc38985264"/>
      <w:r/>
      <w:bookmarkStart w:id="17" w:name="_Toc28359003"/>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64" w:lineRule="auto"/>
        <w:rPr>
          <w:rFonts w:hint="eastAsia" w:ascii="宋体" w:hAnsi="宋体" w:cs="宋体"/>
          <w:color w:val="auto"/>
          <w:sz w:val="24"/>
          <w:szCs w:val="24"/>
          <w:highlight w:val="none"/>
        </w:rPr>
      </w:pPr>
      <w:r/>
      <w:bookmarkStart w:id="18" w:name="_Toc38985265"/>
      <w:r/>
      <w:bookmarkStart w:id="19" w:name="_Toc28359004"/>
      <w:r/>
      <w:bookmarkStart w:id="20" w:name="_Toc28359081"/>
      <w:r/>
      <w:bookmarkStart w:id="21" w:name="_Toc35393623"/>
      <w:r/>
      <w:bookmarkStart w:id="22" w:name="_Toc35393792"/>
      <w:r>
        <w:rPr>
          <w:rFonts w:hint="eastAsia" w:ascii="宋体" w:hAnsi="宋体" w:cs="宋体"/>
          <w:color w:val="auto"/>
          <w:sz w:val="24"/>
          <w:szCs w:val="24"/>
          <w:highlight w:val="none"/>
        </w:rPr>
        <w:t xml:space="preserve">（一）通用资格要求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64"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本项目不专门面向中小微企业采购，执行价格扣除优惠政策</w:t>
      </w:r>
      <w:r>
        <w:rPr>
          <w:rFonts w:hint="eastAsia" w:ascii="宋体" w:hAnsi="宋体" w:cs="宋体"/>
          <w:color w:val="auto"/>
          <w:sz w:val="24"/>
          <w:szCs w:val="24"/>
          <w:highlight w:val="none"/>
          <w:lang w:val="zh-CN"/>
        </w:rPr>
        <w:t xml:space="preserve">。提供《</w:t>
      </w:r>
      <w:r>
        <w:rPr>
          <w:rFonts w:hint="eastAsia" w:ascii="宋体" w:hAnsi="宋体" w:cs="宋体"/>
          <w:color w:val="auto"/>
          <w:sz w:val="24"/>
          <w:szCs w:val="24"/>
          <w:highlight w:val="none"/>
        </w:rPr>
        <w:t xml:space="preserve">中</w:t>
      </w:r>
      <w:r>
        <w:rPr>
          <w:rFonts w:hint="eastAsia" w:ascii="宋体" w:hAnsi="宋体" w:cs="宋体"/>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工</w:t>
      </w:r>
      <w:r>
        <w:rPr>
          <w:rFonts w:hint="eastAsia" w:ascii="宋体" w:hAnsi="宋体"/>
          <w:color w:val="auto"/>
          <w:sz w:val="24"/>
          <w:szCs w:val="24"/>
          <w:highlight w:val="none"/>
          <w:lang w:val="zh-CN"/>
        </w:rPr>
        <w:t xml:space="preserve">业。</w:t>
      </w:r>
      <w:r>
        <w:rPr>
          <w:rFonts w:hint="eastAsia" w:ascii="宋体" w:hAnsi="宋体"/>
          <w:color w:val="auto"/>
          <w:sz w:val="24"/>
          <w:szCs w:val="24"/>
          <w:highlight w:val="none"/>
        </w:rPr>
        <w:t xml:space="preserve">根据《中小企业划型标准规定》（工信部联企业</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3.供应商被“信用中国”网站（www.creditchina.gov.cn）列入失信被执行人、重大税收违法案件当事人名单、政府采购严重违法失信行为记录名单。</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64" w:lineRule="auto"/>
        <w:rPr>
          <w:rFonts w:hint="eastAsia" w:ascii="宋体" w:hAnsi="宋体" w:cs="宋体"/>
          <w:color w:val="auto"/>
          <w:sz w:val="24"/>
          <w:szCs w:val="24"/>
          <w:highlight w:val="none"/>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color w:val="auto"/>
          <w:sz w:val="24"/>
          <w:szCs w:val="24"/>
          <w:highlight w:val="none"/>
        </w:rPr>
        <w:t xml:space="preserve">1.时间：自招标文件公告发布之日起。</w:t>
      </w:r>
      <w:r/>
    </w:p>
    <w:p>
      <w:pPr>
        <w:ind w:firstLine="480"/>
        <w:spacing w:line="264"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pStyle w:val="713"/>
        <w:ind w:firstLine="465"/>
        <w:spacing w:before="145" w:after="145"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1.提交投标文件截止时间、开标时间：2026年</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 3</w:t>
      </w:r>
      <w:r>
        <w:rPr>
          <w:rFonts w:hint="eastAsia" w:ascii="宋体" w:hAnsi="宋体" w:cs="宋体"/>
          <w:b w:val="0"/>
          <w:bCs w:val="0"/>
          <w:color w:val="auto"/>
          <w:sz w:val="24"/>
          <w:szCs w:val="24"/>
          <w:highlight w:val="none"/>
        </w:rPr>
        <w:t xml:space="preserve">日09时30分（北京时间）。</w:t>
      </w:r>
      <w:r/>
    </w:p>
    <w:p>
      <w:pPr>
        <w:pStyle w:val="713"/>
        <w:ind w:firstLine="465"/>
        <w:spacing w:before="145" w:after="145"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2.地点：江苏省政府采购交易系统（以下简称“苏采云系统”）网上开标大厅。</w:t>
      </w:r>
      <w:r/>
    </w:p>
    <w:p>
      <w:pPr>
        <w:ind w:firstLine="480"/>
        <w:spacing w:line="264" w:lineRule="auto"/>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bookmarkStart w:id="28" w:name="_Toc35393625"/>
      <w:r/>
      <w:bookmarkStart w:id="29" w:name="_Toc28359007"/>
      <w:r/>
      <w:bookmarkStart w:id="30" w:name="_Toc35393794"/>
      <w:r/>
      <w:bookmarkStart w:id="31" w:name="_Toc38985267"/>
      <w:r/>
      <w:bookmarkStart w:id="32" w:name="_Toc28359084"/>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color w:val="auto"/>
          <w:sz w:val="24"/>
          <w:szCs w:val="24"/>
          <w:highlight w:val="none"/>
        </w:rPr>
      </w:pPr>
      <w:r/>
      <w:bookmarkStart w:id="33" w:name="_Toc38985268"/>
      <w:r/>
      <w:bookmarkStart w:id="34" w:name="_Toc35393626"/>
      <w:r/>
      <w:bookmarkStart w:id="35" w:name="_Toc35393795"/>
      <w:r>
        <w:rPr>
          <w:rFonts w:hint="eastAsia" w:ascii="宋体" w:hAnsi="宋体" w:cs="宋体"/>
          <w:color w:val="auto"/>
          <w:sz w:val="24"/>
          <w:szCs w:val="24"/>
          <w:highlight w:val="none"/>
        </w:rPr>
        <w:t xml:space="preserve">公告期限为自本公告发布之日起5个工作日。</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spacing w:line="264" w:lineRule="auto"/>
        <w:tabs>
          <w:tab w:val="left" w:pos="900" w:leader="none"/>
        </w:tabs>
        <w:rPr>
          <w:rFonts w:hint="eastAsia" w:asciiTheme="minorEastAsia" w:hAnsiTheme="minorEastAsia" w:eastAsiaTheme="minorEastAsia" w:cstheme="minorEastAsia"/>
          <w:bCs/>
          <w:color w:val="auto"/>
          <w:sz w:val="24"/>
          <w:szCs w:val="24"/>
          <w:highlight w:val="none"/>
        </w:rPr>
      </w:pPr>
      <w:r/>
      <w:bookmarkStart w:id="36" w:name="_Toc28359008"/>
      <w:r/>
      <w:bookmarkStart w:id="37" w:name="_Toc38985269"/>
      <w:r/>
      <w:bookmarkStart w:id="38" w:name="_Toc35393627"/>
      <w:r/>
      <w:bookmarkStart w:id="39" w:name="_Toc35393796"/>
      <w:r/>
      <w:bookmarkStart w:id="40" w:name="_Toc28359085"/>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Cs/>
          <w:color w:val="auto"/>
          <w:sz w:val="24"/>
          <w:szCs w:val="24"/>
          <w:highlight w:val="none"/>
        </w:rPr>
        <w:t xml:space="preserve">本次招标不收取投标保证金。</w:t>
      </w:r>
      <w:r/>
    </w:p>
    <w:p>
      <w:pPr>
        <w:ind w:firstLine="480"/>
        <w:spacing w:line="264"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2.本次项目不组织勘察现场。</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color w:val="auto"/>
          <w:highlight w:val="none"/>
        </w:rPr>
        <w:fldChar w:fldCharType="separate"/>
      </w:r>
      <w:r>
        <w:rPr>
          <w:rStyle w:val="965"/>
          <w:rFonts w:hint="eastAsia" w:asciiTheme="minorEastAsia" w:hAnsiTheme="minorEastAsia" w:eastAsiaTheme="minorEastAsia" w:cstheme="minorEastAsia"/>
          <w:color w:val="auto"/>
          <w:sz w:val="24"/>
          <w:szCs w:val="24"/>
          <w:highlight w:val="none"/>
        </w:rPr>
        <w:t xml:space="preserve">下载地址</w:t>
      </w:r>
      <w:r>
        <w:rPr>
          <w:rStyle w:val="965"/>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（CTRL+鼠标左键）。</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4.有关本次招标的事项若存在变动或修改，请及时关注“江苏政府采购网”（www.ccgp-jiangsu.gov.cn）更正公告。</w:t>
      </w:r>
      <w:r/>
    </w:p>
    <w:p>
      <w:pPr>
        <w:pStyle w:val="713"/>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南京市浦口区教育局 </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浦口区行知路5号   </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沈老师</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025-58882126</w:t>
      </w:r>
      <w:r>
        <w:rPr>
          <w:rFonts w:hint="eastAsia" w:ascii="宋体" w:hAnsi="宋体"/>
          <w:color w:val="auto"/>
          <w:sz w:val="24"/>
          <w:szCs w:val="24"/>
          <w:highlight w:val="none"/>
        </w:rPr>
        <w:t xml:space="preserve">　　　　　　　　　 </w:t>
      </w:r>
      <w:bookmarkStart w:id="41" w:name="_Toc28359086"/>
      <w:r/>
      <w:bookmarkStart w:id="42" w:name="_Toc28359009"/>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2.南京市公共资源交易中心</w:t>
      </w:r>
      <w:bookmarkEnd w:id="41"/>
      <w:r/>
      <w:bookmarkEnd w:id="42"/>
      <w:r>
        <w:rPr>
          <w:rFonts w:hint="eastAsia" w:ascii="宋体" w:hAnsi="宋体"/>
          <w:color w:val="auto"/>
          <w:sz w:val="24"/>
          <w:szCs w:val="24"/>
          <w:highlight w:val="none"/>
        </w:rPr>
        <w:t xml:space="preserve">浦口分中心信息</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zh-CN"/>
        </w:rPr>
        <w:t xml:space="preserve">南京市浦口区江浦街道象山路4号浦口市民中心B幢五楼受理大厅 </w:t>
      </w:r>
      <w:r/>
    </w:p>
    <w:p>
      <w:pPr>
        <w:ind w:firstLine="480"/>
        <w:spacing w:line="264"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李工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ind w:firstLine="480"/>
        <w:spacing w:line="264" w:lineRule="auto"/>
        <w:rPr>
          <w:color w:val="auto"/>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025-69659180</w:t>
      </w:r>
      <w:r/>
    </w:p>
    <w:p>
      <w:pPr>
        <w:ind w:right="840"/>
        <w:jc w:val="center"/>
        <w:rPr>
          <w:rFonts w:ascii="方正小标宋简体" w:hAnsi="方正小标宋简体" w:eastAsia="方正小标宋简体" w:cs="方正小标宋简体"/>
          <w:color w:val="auto"/>
          <w:sz w:val="36"/>
          <w:szCs w:val="36"/>
          <w:highlight w:val="none"/>
        </w:rPr>
      </w:pPr>
      <w:r>
        <w:rPr>
          <w:rFonts w:ascii="宋体" w:hAnsi="宋体"/>
          <w:color w:val="auto"/>
          <w:sz w:val="24"/>
          <w:szCs w:val="24"/>
          <w:highlight w:val="none"/>
        </w:rPr>
        <w:br w:type="page" w:clear="all"/>
      </w:r>
      <w:bookmarkStart w:id="43" w:name="_Toc120614211"/>
      <w:r>
        <w:rPr>
          <w:rFonts w:hint="eastAsia" w:ascii="方正小标宋简体" w:hAnsi="方正小标宋简体" w:eastAsia="方正小标宋简体" w:cs="方正小标宋简体"/>
          <w:color w:val="auto"/>
          <w:sz w:val="36"/>
          <w:szCs w:val="36"/>
          <w:highlight w:val="none"/>
        </w:rPr>
        <w:t xml:space="preserve">第二章  </w:t>
      </w:r>
      <w:bookmarkEnd w:id="2"/>
      <w:r/>
      <w:bookmarkEnd w:id="3"/>
      <w:r/>
      <w:bookmarkEnd w:id="4"/>
      <w:r/>
      <w:bookmarkEnd w:id="5"/>
      <w:r/>
      <w:bookmarkEnd w:id="6"/>
      <w:r/>
      <w:bookmarkEnd w:id="43"/>
      <w:r/>
      <w:bookmarkStart w:id="44" w:name="_Toc16938518"/>
      <w:r/>
      <w:bookmarkStart w:id="45" w:name="_Toc120614213"/>
      <w:r/>
      <w:bookmarkStart w:id="46" w:name="_Toc20823274"/>
      <w:r/>
      <w:bookmarkStart w:id="47" w:name="_Toc513029202"/>
      <w:r>
        <w:rPr>
          <w:rFonts w:hint="eastAsia" w:ascii="方正小标宋简体" w:hAnsi="方正小标宋简体" w:eastAsia="方正小标宋简体" w:cs="方正小标宋简体"/>
          <w:color w:val="auto"/>
          <w:sz w:val="36"/>
          <w:szCs w:val="36"/>
          <w:highlight w:val="none"/>
        </w:rPr>
        <w:t xml:space="preserve">投标人须知</w:t>
      </w:r>
      <w:bookmarkEnd w:id="44"/>
      <w:r/>
      <w:bookmarkEnd w:id="45"/>
      <w:r/>
      <w:bookmarkEnd w:id="46"/>
      <w:r/>
      <w:bookmarkEnd w:id="47"/>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48" w:name="_Toc20823275"/>
      <w:r/>
      <w:bookmarkStart w:id="49" w:name="_Toc513029203"/>
      <w:r/>
      <w:bookmarkStart w:id="50" w:name="_Toc120614214"/>
      <w:r/>
      <w:bookmarkStart w:id="51" w:name="_Toc16938519"/>
      <w:r/>
      <w:bookmarkStart w:id="52" w:name="_Toc479757207"/>
      <w:r/>
      <w:bookmarkStart w:id="53" w:name="_Toc513029242"/>
      <w:r/>
      <w:bookmarkStart w:id="54" w:name="_Toc120614221"/>
      <w:r/>
      <w:bookmarkStart w:id="55" w:name="_Toc16938558"/>
      <w:r/>
      <w:bookmarkStart w:id="56" w:name="_Toc20823314"/>
      <w:r>
        <w:rPr>
          <w:rFonts w:hint="eastAsia" w:ascii="方正黑体_GBK" w:hAnsi="方正黑体_GBK" w:eastAsia="方正黑体_GBK" w:cs="方正黑体_GBK"/>
          <w:b w:val="0"/>
          <w:bCs w:val="0"/>
          <w:color w:val="auto"/>
          <w:sz w:val="30"/>
          <w:szCs w:val="30"/>
          <w:highlight w:val="none"/>
        </w:rPr>
        <w:t xml:space="preserve">一、总则</w:t>
      </w:r>
      <w:bookmarkEnd w:id="48"/>
      <w:r/>
      <w:bookmarkEnd w:id="49"/>
      <w:r/>
      <w:bookmarkEnd w:id="50"/>
      <w:r/>
      <w:bookmarkEnd w:id="51"/>
      <w:r/>
      <w:r/>
    </w:p>
    <w:p>
      <w:pPr>
        <w:pStyle w:val="714"/>
        <w:ind w:firstLine="422"/>
        <w:spacing w:before="0" w:after="0" w:line="240" w:lineRule="auto"/>
        <w:rPr>
          <w:rFonts w:ascii="方正楷体_GBK" w:hAnsi="方正楷体_GBK" w:eastAsia="方正楷体_GBK" w:cs="方正楷体_GBK"/>
          <w:color w:val="auto"/>
          <w:highlight w:val="none"/>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方正楷体_GBK" w:hAnsi="方正楷体_GBK" w:eastAsia="方正楷体_GBK" w:cs="方正楷体_GBK"/>
          <w:color w:val="auto"/>
          <w:highlight w:val="none"/>
        </w:rPr>
        <w:t xml:space="preserve">1</w:t>
      </w:r>
      <w:bookmarkEnd w:id="58"/>
      <w:r>
        <w:rPr>
          <w:rFonts w:hint="eastAsia" w:ascii="方正楷体_GBK" w:hAnsi="方正楷体_GBK" w:eastAsia="方正楷体_GBK" w:cs="方正楷体_GBK"/>
          <w:color w:val="auto"/>
          <w:highlight w:val="none"/>
        </w:rPr>
        <w:t xml:space="preserve">.招标方式</w:t>
      </w:r>
      <w:bookmarkEnd w:id="59"/>
      <w:r/>
      <w:bookmarkEnd w:id="60"/>
      <w:r/>
      <w:bookmarkEnd w:id="61"/>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714"/>
        <w:ind w:firstLine="422"/>
        <w:spacing w:before="0" w:after="0" w:line="240" w:lineRule="auto"/>
        <w:rPr>
          <w:rFonts w:ascii="方正楷体_GBK" w:hAnsi="方正楷体_GBK" w:eastAsia="方正楷体_GBK" w:cs="方正楷体_GBK"/>
          <w:color w:val="auto"/>
          <w:highlight w:val="none"/>
        </w:rPr>
      </w:pPr>
      <w:r/>
      <w:bookmarkStart w:id="62" w:name="_Toc16938521"/>
      <w:r/>
      <w:bookmarkStart w:id="63" w:name="_Toc20823277"/>
      <w:r/>
      <w:bookmarkStart w:id="64" w:name="_Toc513029205"/>
      <w:r>
        <w:rPr>
          <w:rFonts w:hint="eastAsia" w:ascii="方正楷体_GBK" w:hAnsi="方正楷体_GBK" w:eastAsia="方正楷体_GBK" w:cs="方正楷体_GBK"/>
          <w:color w:val="auto"/>
          <w:highlight w:val="none"/>
        </w:rPr>
        <w:t xml:space="preserve">2.合格的投标人</w:t>
      </w:r>
      <w:bookmarkEnd w:id="62"/>
      <w:r/>
      <w:bookmarkEnd w:id="63"/>
      <w:r/>
      <w:bookmarkEnd w:id="64"/>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714"/>
        <w:ind w:firstLine="422"/>
        <w:spacing w:before="0" w:after="0" w:line="240" w:lineRule="auto"/>
        <w:rPr>
          <w:rFonts w:ascii="方正楷体_GBK" w:hAnsi="方正楷体_GBK" w:eastAsia="方正楷体_GBK" w:cs="方正楷体_GBK"/>
          <w:color w:val="auto"/>
          <w:highlight w:val="none"/>
        </w:rPr>
      </w:pPr>
      <w:r/>
      <w:bookmarkStart w:id="65" w:name="_Toc20823278"/>
      <w:r/>
      <w:bookmarkStart w:id="66" w:name="_Toc16938522"/>
      <w:r/>
      <w:bookmarkStart w:id="67" w:name="_Toc513029206"/>
      <w:r>
        <w:rPr>
          <w:rFonts w:hint="eastAsia" w:ascii="方正楷体_GBK" w:hAnsi="方正楷体_GBK" w:eastAsia="方正楷体_GBK" w:cs="方正楷体_GBK"/>
          <w:color w:val="auto"/>
          <w:highlight w:val="none"/>
        </w:rPr>
        <w:t xml:space="preserve">3.适用法律</w:t>
      </w:r>
      <w:bookmarkEnd w:id="65"/>
      <w:r/>
      <w:bookmarkEnd w:id="66"/>
      <w:r/>
      <w:bookmarkEnd w:id="67"/>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714"/>
        <w:ind w:firstLine="422"/>
        <w:spacing w:before="0" w:after="0" w:line="240" w:lineRule="auto"/>
        <w:rPr>
          <w:rFonts w:ascii="方正楷体_GBK" w:hAnsi="方正楷体_GBK" w:eastAsia="方正楷体_GBK" w:cs="方正楷体_GBK"/>
          <w:color w:val="auto"/>
          <w:highlight w:val="none"/>
        </w:rPr>
      </w:pPr>
      <w:r/>
      <w:bookmarkStart w:id="68" w:name="_Toc513029207"/>
      <w:r/>
      <w:bookmarkStart w:id="69" w:name="_Toc462564067"/>
      <w:r/>
      <w:bookmarkStart w:id="70" w:name="_Toc16938523"/>
      <w:r/>
      <w:bookmarkStart w:id="71" w:name="_Toc20823279"/>
      <w:r>
        <w:rPr>
          <w:rFonts w:hint="eastAsia" w:ascii="方正楷体_GBK" w:hAnsi="方正楷体_GBK" w:eastAsia="方正楷体_GBK" w:cs="方正楷体_GBK"/>
          <w:color w:val="auto"/>
          <w:highlight w:val="none"/>
        </w:rPr>
        <w:t xml:space="preserve">4.投标费用</w:t>
      </w:r>
      <w:bookmarkEnd w:id="68"/>
      <w:r/>
      <w:bookmarkEnd w:id="69"/>
      <w:r/>
      <w:bookmarkEnd w:id="70"/>
      <w:r/>
      <w:bookmarkEnd w:id="71"/>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2" w:name="_Toc120614215"/>
      <w:r/>
      <w:bookmarkStart w:id="73" w:name="_Toc16938525"/>
      <w:r/>
      <w:bookmarkStart w:id="74" w:name="_Toc20823281"/>
      <w:r/>
      <w:bookmarkStart w:id="75"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2"/>
      <w:r/>
      <w:bookmarkEnd w:id="73"/>
      <w:r/>
      <w:bookmarkEnd w:id="74"/>
      <w:r/>
      <w:bookmarkEnd w:id="75"/>
      <w:r/>
      <w:r/>
    </w:p>
    <w:p>
      <w:pPr>
        <w:pStyle w:val="714"/>
        <w:ind w:firstLine="422"/>
        <w:spacing w:before="0" w:after="0" w:line="240" w:lineRule="auto"/>
        <w:rPr>
          <w:rFonts w:ascii="方正楷体_GBK" w:hAnsi="方正楷体_GBK" w:eastAsia="方正楷体_GBK" w:cs="方正楷体_GBK"/>
          <w:color w:val="auto"/>
          <w:highlight w:val="none"/>
        </w:rPr>
      </w:pPr>
      <w:r/>
      <w:bookmarkStart w:id="76" w:name="_Toc513029210"/>
      <w:r/>
      <w:bookmarkStart w:id="77" w:name="_Toc16938526"/>
      <w:r/>
      <w:bookmarkStart w:id="78" w:name="_Toc20823282"/>
      <w:r>
        <w:rPr>
          <w:rFonts w:hint="eastAsia" w:ascii="方正楷体_GBK" w:hAnsi="方正楷体_GBK" w:eastAsia="方正楷体_GBK" w:cs="方正楷体_GBK"/>
          <w:color w:val="auto"/>
          <w:highlight w:val="none"/>
        </w:rPr>
        <w:t xml:space="preserve">6.招标文件构成</w:t>
      </w:r>
      <w:bookmarkEnd w:id="76"/>
      <w:r/>
      <w:bookmarkEnd w:id="77"/>
      <w:r/>
      <w:bookmarkEnd w:id="78"/>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2"/>
        <w:spacing w:before="0" w:after="0" w:line="240" w:lineRule="auto"/>
        <w:rPr>
          <w:rFonts w:ascii="方正楷体_GBK" w:hAnsi="方正楷体_GBK" w:eastAsia="方正楷体_GBK" w:cs="方正楷体_GBK"/>
          <w:color w:val="auto"/>
          <w:highlight w:val="none"/>
        </w:rPr>
      </w:pPr>
      <w:r/>
      <w:bookmarkStart w:id="79" w:name="_Toc462564070"/>
      <w:r/>
      <w:bookmarkStart w:id="80" w:name="_Toc20823283"/>
      <w:r/>
      <w:bookmarkStart w:id="81" w:name="_Toc513029211"/>
      <w:r/>
      <w:bookmarkStart w:id="82" w:name="_Toc16938527"/>
      <w:r>
        <w:rPr>
          <w:rFonts w:hint="eastAsia" w:ascii="方正楷体_GBK" w:hAnsi="方正楷体_GBK" w:eastAsia="方正楷体_GBK" w:cs="方正楷体_GBK"/>
          <w:color w:val="auto"/>
          <w:highlight w:val="none"/>
        </w:rPr>
        <w:t xml:space="preserve">7.招标文件的澄清</w:t>
      </w:r>
      <w:bookmarkEnd w:id="79"/>
      <w:r/>
      <w:bookmarkEnd w:id="80"/>
      <w:r/>
      <w:bookmarkEnd w:id="81"/>
      <w:r/>
      <w:bookmarkEnd w:id="82"/>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714"/>
        <w:ind w:firstLine="422"/>
        <w:spacing w:before="0" w:after="0" w:line="240" w:lineRule="auto"/>
        <w:rPr>
          <w:rFonts w:ascii="方正楷体_GBK" w:hAnsi="方正楷体_GBK" w:eastAsia="方正楷体_GBK" w:cs="方正楷体_GBK"/>
          <w:color w:val="auto"/>
          <w:highlight w:val="none"/>
        </w:rPr>
      </w:pPr>
      <w:r/>
      <w:bookmarkStart w:id="83" w:name="_Toc20823284"/>
      <w:r/>
      <w:bookmarkStart w:id="84" w:name="_Toc513029212"/>
      <w:r/>
      <w:bookmarkStart w:id="85" w:name="_Toc462564071"/>
      <w:r/>
      <w:bookmarkStart w:id="86" w:name="_Toc16938528"/>
      <w:r>
        <w:rPr>
          <w:rFonts w:hint="eastAsia" w:ascii="方正楷体_GBK" w:hAnsi="方正楷体_GBK" w:eastAsia="方正楷体_GBK" w:cs="方正楷体_GBK"/>
          <w:color w:val="auto"/>
          <w:highlight w:val="none"/>
        </w:rPr>
        <w:t xml:space="preserve">8.招标文件的修改</w:t>
      </w:r>
      <w:bookmarkEnd w:id="83"/>
      <w:r/>
      <w:bookmarkEnd w:id="84"/>
      <w:r/>
      <w:bookmarkEnd w:id="85"/>
      <w:r/>
      <w:bookmarkEnd w:id="86"/>
      <w:r/>
      <w:r/>
    </w:p>
    <w:p>
      <w:pPr>
        <w:ind w:firstLine="420"/>
        <w:rPr>
          <w:rFonts w:hint="eastAsia" w:ascii="宋体" w:hAnsi="宋体"/>
          <w:color w:val="auto"/>
          <w:sz w:val="24"/>
          <w:highlight w:val="none"/>
        </w:rPr>
      </w:pPr>
      <w:r/>
      <w:bookmarkStart w:id="87" w:name="_Toc16938529"/>
      <w:r/>
      <w:bookmarkStart w:id="88" w:name="_Toc462564072"/>
      <w:r/>
      <w:bookmarkStart w:id="89" w:name="_Toc20823285"/>
      <w:r/>
      <w:bookmarkStart w:id="90" w:name="_Toc513029213"/>
      <w:r/>
      <w:bookmarkStart w:id="91" w:name="_Toc120614216"/>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7"/>
      <w:r/>
      <w:bookmarkEnd w:id="88"/>
      <w:r/>
      <w:bookmarkEnd w:id="89"/>
      <w:r/>
      <w:bookmarkEnd w:id="90"/>
      <w:r/>
      <w:bookmarkEnd w:id="91"/>
      <w:r/>
      <w:r/>
    </w:p>
    <w:p>
      <w:pPr>
        <w:pStyle w:val="714"/>
        <w:ind w:firstLine="422"/>
        <w:spacing w:before="0" w:after="0" w:line="240" w:lineRule="auto"/>
        <w:rPr>
          <w:rFonts w:ascii="方正楷体_GBK" w:hAnsi="方正楷体_GBK" w:eastAsia="方正楷体_GBK" w:cs="方正楷体_GBK"/>
          <w:color w:val="auto"/>
          <w:highlight w:val="none"/>
        </w:rPr>
      </w:pPr>
      <w:r/>
      <w:bookmarkStart w:id="92" w:name="_Toc513029214"/>
      <w:r/>
      <w:bookmarkStart w:id="93" w:name="_Toc16938530"/>
      <w:r/>
      <w:bookmarkStart w:id="94" w:name="_Toc20823286"/>
      <w:r/>
      <w:bookmarkStart w:id="95" w:name="_Toc462564073"/>
      <w:r>
        <w:rPr>
          <w:rFonts w:hint="eastAsia" w:ascii="方正楷体_GBK" w:hAnsi="方正楷体_GBK" w:eastAsia="方正楷体_GBK" w:cs="方正楷体_GBK"/>
          <w:color w:val="auto"/>
          <w:highlight w:val="none"/>
        </w:rPr>
        <w:t xml:space="preserve">9.投标文件的语言及度量衡单位</w:t>
      </w:r>
      <w:bookmarkEnd w:id="92"/>
      <w:r/>
      <w:bookmarkEnd w:id="93"/>
      <w:r/>
      <w:bookmarkEnd w:id="94"/>
      <w:r/>
      <w:bookmarkEnd w:id="95"/>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714"/>
        <w:ind w:firstLine="422"/>
        <w:spacing w:before="0" w:after="0" w:line="240" w:lineRule="auto"/>
        <w:rPr>
          <w:rFonts w:ascii="方正楷体_GBK" w:hAnsi="方正楷体_GBK" w:eastAsia="方正楷体_GBK" w:cs="方正楷体_GBK"/>
          <w:color w:val="auto"/>
          <w:highlight w:val="none"/>
        </w:rPr>
      </w:pPr>
      <w:r/>
      <w:bookmarkStart w:id="96" w:name="_Toc462564074"/>
      <w:r/>
      <w:bookmarkStart w:id="97" w:name="_Toc16938531"/>
      <w:r/>
      <w:bookmarkStart w:id="98" w:name="_Toc20823287"/>
      <w:r/>
      <w:bookmarkStart w:id="99" w:name="_Toc513029215"/>
      <w:r>
        <w:rPr>
          <w:rFonts w:hint="eastAsia" w:ascii="方正楷体_GBK" w:hAnsi="方正楷体_GBK" w:eastAsia="方正楷体_GBK" w:cs="方正楷体_GBK"/>
          <w:color w:val="auto"/>
          <w:highlight w:val="none"/>
        </w:rPr>
        <w:t xml:space="preserve">10.投标文件构成</w:t>
      </w:r>
      <w:bookmarkEnd w:id="96"/>
      <w:r/>
      <w:bookmarkEnd w:id="97"/>
      <w:r/>
      <w:bookmarkEnd w:id="98"/>
      <w:r/>
      <w:bookmarkEnd w:id="99"/>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714"/>
        <w:ind w:firstLine="422"/>
        <w:spacing w:before="0" w:after="0" w:line="240" w:lineRule="auto"/>
        <w:rPr>
          <w:rFonts w:ascii="方正楷体_GBK" w:hAnsi="方正楷体_GBK" w:eastAsia="方正楷体_GBK" w:cs="方正楷体_GBK"/>
          <w:color w:val="auto"/>
          <w:highlight w:val="none"/>
        </w:rPr>
      </w:pPr>
      <w:r/>
      <w:bookmarkStart w:id="100" w:name="_Hlt26668975"/>
      <w:r/>
      <w:bookmarkEnd w:id="100"/>
      <w:r/>
      <w:bookmarkStart w:id="101" w:name="_Hlt26670360"/>
      <w:r/>
      <w:bookmarkEnd w:id="101"/>
      <w:r/>
      <w:bookmarkStart w:id="102" w:name="_Hlt26954838"/>
      <w:r/>
      <w:bookmarkEnd w:id="102"/>
      <w:r/>
      <w:bookmarkStart w:id="103" w:name="_Toc513029219"/>
      <w:r/>
      <w:bookmarkStart w:id="104" w:name="_Toc49090507"/>
      <w:r/>
      <w:bookmarkStart w:id="105" w:name="_Toc513029216"/>
      <w:r/>
      <w:bookmarkStart w:id="106" w:name="_Toc14577357"/>
      <w:r/>
      <w:bookmarkStart w:id="107" w:name="_Toc14577354"/>
      <w:r/>
      <w:bookmarkStart w:id="108" w:name="_Toc49090509"/>
      <w:r>
        <w:rPr>
          <w:rFonts w:hint="eastAsia" w:ascii="方正楷体_GBK" w:hAnsi="方正楷体_GBK" w:eastAsia="方正楷体_GBK" w:cs="方正楷体_GBK"/>
          <w:color w:val="auto"/>
          <w:highlight w:val="none"/>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color w:val="auto"/>
          <w:sz w:val="24"/>
          <w:highlight w:val="none"/>
        </w:rPr>
      </w:pPr>
      <w:r/>
      <w:bookmarkStart w:id="109" w:name="_Toc14577355"/>
      <w:r/>
      <w:bookmarkStart w:id="110"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9"/>
      <w:r/>
      <w:bookmarkStart w:id="111" w:name="_Hlt26670373"/>
      <w:r/>
      <w:bookmarkEnd w:id="111"/>
      <w:r>
        <w:rPr>
          <w:rFonts w:hint="eastAsia" w:ascii="方正楷体_GBK" w:hAnsi="方正楷体_GBK" w:eastAsia="方正楷体_GBK" w:cs="方正楷体_GBK"/>
          <w:color w:val="auto"/>
          <w:highlight w:val="none"/>
        </w:rPr>
        <w:t xml:space="preserve">表</w:t>
      </w:r>
      <w:bookmarkEnd w:id="110"/>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2" w:name="_Hlt26954840"/>
      <w:r/>
      <w:bookmarkEnd w:id="112"/>
      <w:r>
        <w:rPr>
          <w:rFonts w:hint="eastAsia" w:ascii="宋体" w:hAnsi="宋体"/>
          <w:color w:val="auto"/>
          <w:sz w:val="24"/>
          <w:highlight w:val="none"/>
        </w:rPr>
        <w:t xml:space="preserve">标人应按照招标文件规定格式填报投标分项报价表</w:t>
      </w:r>
      <w:bookmarkStart w:id="113" w:name="_Hlt26670399"/>
      <w:r/>
      <w:bookmarkEnd w:id="113"/>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714"/>
        <w:ind w:firstLine="422"/>
        <w:spacing w:before="0" w:after="0" w:line="240" w:lineRule="auto"/>
        <w:rPr>
          <w:rFonts w:ascii="方正楷体_GBK" w:hAnsi="方正楷体_GBK" w:eastAsia="方正楷体_GBK" w:cs="方正楷体_GBK"/>
          <w:color w:val="auto"/>
          <w:highlight w:val="none"/>
        </w:rPr>
      </w:pPr>
      <w:r/>
      <w:bookmarkStart w:id="114" w:name="_Hlt26954844"/>
      <w:r/>
      <w:bookmarkEnd w:id="114"/>
      <w:r/>
      <w:bookmarkStart w:id="115" w:name="_Hlt26668983"/>
      <w:r/>
      <w:bookmarkEnd w:id="115"/>
      <w:r/>
      <w:bookmarkStart w:id="116" w:name="_Hlt26954842"/>
      <w:r/>
      <w:bookmarkEnd w:id="116"/>
      <w:r/>
      <w:bookmarkStart w:id="117" w:name="_Hlt26670482"/>
      <w:r/>
      <w:bookmarkEnd w:id="117"/>
      <w:r/>
      <w:bookmarkStart w:id="118" w:name="_Hlt26954848"/>
      <w:r/>
      <w:bookmarkEnd w:id="118"/>
      <w:r/>
      <w:bookmarkStart w:id="119" w:name="_Hlt26954846"/>
      <w:r/>
      <w:bookmarkEnd w:id="119"/>
      <w:r/>
      <w:bookmarkStart w:id="120" w:name="_Hlt26670425"/>
      <w:r/>
      <w:bookmarkEnd w:id="120"/>
      <w:r/>
      <w:bookmarkStart w:id="121" w:name="_Hlt26954731"/>
      <w:r/>
      <w:bookmarkEnd w:id="121"/>
      <w:r/>
      <w:bookmarkStart w:id="122" w:name="_Hlt26670403"/>
      <w:r/>
      <w:bookmarkEnd w:id="122"/>
      <w:r/>
      <w:bookmarkStart w:id="123" w:name="_Hlt26670486"/>
      <w:r/>
      <w:bookmarkEnd w:id="123"/>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714"/>
        <w:ind w:firstLine="422"/>
        <w:spacing w:before="0" w:after="0" w:line="240" w:lineRule="auto"/>
        <w:rPr>
          <w:rFonts w:ascii="方正楷体_GBK" w:hAnsi="方正楷体_GBK" w:eastAsia="方正楷体_GBK" w:cs="方正楷体_GBK"/>
          <w:color w:val="auto"/>
          <w:highlight w:val="none"/>
        </w:rPr>
      </w:pPr>
      <w:r/>
      <w:bookmarkStart w:id="124" w:name="_Toc49090510"/>
      <w:r/>
      <w:bookmarkStart w:id="125"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4"/>
      <w:r/>
      <w:bookmarkEnd w:id="125"/>
      <w:r/>
      <w:r/>
    </w:p>
    <w:p>
      <w:pPr>
        <w:pStyle w:val="714"/>
        <w:ind w:firstLine="422"/>
        <w:spacing w:before="0" w:after="0" w:line="240" w:lineRule="auto"/>
        <w:rPr>
          <w:rFonts w:ascii="方正楷体_GBK" w:hAnsi="方正楷体_GBK" w:eastAsia="方正楷体_GBK" w:cs="方正楷体_GBK"/>
          <w:color w:val="auto"/>
          <w:highlight w:val="none"/>
        </w:rPr>
      </w:pPr>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color w:val="auto"/>
          <w:highlight w:val="none"/>
        </w:rPr>
        <w:t xml:space="preserve">15.投标有效期</w:t>
      </w:r>
      <w:bookmarkEnd w:id="129"/>
      <w:r/>
      <w:bookmarkEnd w:id="13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31" w:name="_Hlt26954852"/>
      <w:r/>
      <w:bookmarkEnd w:id="131"/>
      <w:r/>
      <w:bookmarkStart w:id="132" w:name="_Hlt26954739"/>
      <w:r/>
      <w:bookmarkEnd w:id="132"/>
      <w:r/>
      <w:bookmarkStart w:id="133" w:name="_Toc120614217"/>
      <w:r/>
      <w:bookmarkStart w:id="134" w:name="_Toc513029224"/>
      <w:r/>
      <w:bookmarkStart w:id="135" w:name="_Toc16938540"/>
      <w:r/>
      <w:bookmarkStart w:id="136" w:name="_Toc20823296"/>
      <w:r>
        <w:rPr>
          <w:rFonts w:hint="eastAsia" w:ascii="方正黑体_GBK" w:hAnsi="方正黑体_GBK" w:eastAsia="方正黑体_GBK" w:cs="方正黑体_GBK"/>
          <w:b w:val="0"/>
          <w:bCs w:val="0"/>
          <w:color w:val="auto"/>
          <w:sz w:val="30"/>
          <w:szCs w:val="30"/>
          <w:highlight w:val="none"/>
        </w:rPr>
        <w:t xml:space="preserve">四、投标文件的递交</w:t>
      </w:r>
      <w:bookmarkEnd w:id="133"/>
      <w:r/>
      <w:bookmarkEnd w:id="134"/>
      <w:r/>
      <w:bookmarkEnd w:id="135"/>
      <w:r/>
      <w:bookmarkEnd w:id="136"/>
      <w:r/>
      <w:r/>
    </w:p>
    <w:p>
      <w:pPr>
        <w:pStyle w:val="714"/>
        <w:ind w:firstLine="422"/>
        <w:spacing w:before="0" w:after="0" w:line="240" w:lineRule="auto"/>
        <w:rPr>
          <w:rFonts w:ascii="方正楷体_GBK" w:hAnsi="方正楷体_GBK" w:eastAsia="方正楷体_GBK" w:cs="方正楷体_GBK"/>
          <w:color w:val="auto"/>
          <w:highlight w:val="none"/>
        </w:rPr>
      </w:pPr>
      <w:r/>
      <w:bookmarkStart w:id="137" w:name="_Toc513029225"/>
      <w:r/>
      <w:bookmarkStart w:id="138" w:name="_Toc20823297"/>
      <w:r/>
      <w:bookmarkStart w:id="139" w:name="_Toc16938541"/>
      <w:r/>
      <w:bookmarkStart w:id="140" w:name="_Toc462564084"/>
      <w:r>
        <w:rPr>
          <w:rFonts w:hint="eastAsia" w:ascii="方正楷体_GBK" w:hAnsi="方正楷体_GBK" w:eastAsia="方正楷体_GBK" w:cs="方正楷体_GBK"/>
          <w:color w:val="auto"/>
          <w:highlight w:val="none"/>
        </w:rPr>
        <w:t xml:space="preserve">17.投标文件</w:t>
      </w:r>
      <w:bookmarkEnd w:id="137"/>
      <w:r/>
      <w:bookmarkEnd w:id="138"/>
      <w:r/>
      <w:bookmarkEnd w:id="139"/>
      <w:r/>
      <w:bookmarkEnd w:id="140"/>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1" w:name="_Toc513029226"/>
      <w:r/>
      <w:bookmarkEnd w:id="141"/>
      <w:r/>
      <w:bookmarkStart w:id="142" w:name="_Toc20823298"/>
      <w:r/>
      <w:bookmarkEnd w:id="142"/>
      <w:r/>
      <w:bookmarkStart w:id="143" w:name="_Toc16938542"/>
      <w:r/>
      <w:bookmarkEnd w:id="143"/>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714"/>
        <w:ind w:firstLine="422"/>
        <w:spacing w:before="0" w:after="0" w:line="240" w:lineRule="auto"/>
        <w:rPr>
          <w:rFonts w:ascii="方正楷体_GBK" w:hAnsi="方正楷体_GBK" w:eastAsia="方正楷体_GBK" w:cs="方正楷体_GBK"/>
          <w:color w:val="auto"/>
          <w:highlight w:val="none"/>
        </w:rPr>
      </w:pPr>
      <w:r/>
      <w:bookmarkStart w:id="144" w:name="_Toc20823299"/>
      <w:r/>
      <w:bookmarkStart w:id="145" w:name="_Toc513029227"/>
      <w:r/>
      <w:bookmarkStart w:id="146" w:name="_Toc16938543"/>
      <w:r>
        <w:rPr>
          <w:rFonts w:hint="eastAsia" w:ascii="方正楷体_GBK" w:hAnsi="方正楷体_GBK" w:eastAsia="方正楷体_GBK" w:cs="方正楷体_GBK"/>
          <w:color w:val="auto"/>
          <w:highlight w:val="none"/>
        </w:rPr>
        <w:t xml:space="preserve">18.投标文件</w:t>
      </w:r>
      <w:bookmarkEnd w:id="144"/>
      <w:r/>
      <w:bookmarkEnd w:id="145"/>
      <w:r/>
      <w:bookmarkEnd w:id="146"/>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.1投标截止时间后上传的任何投标文件将被拒绝。</w:t>
      </w:r>
      <w:r/>
    </w:p>
    <w:p>
      <w:pPr>
        <w:pStyle w:val="714"/>
        <w:ind w:firstLine="422"/>
        <w:spacing w:before="0" w:after="0" w:line="240" w:lineRule="auto"/>
        <w:rPr>
          <w:rFonts w:ascii="方正楷体_GBK" w:hAnsi="方正楷体_GBK" w:eastAsia="方正楷体_GBK" w:cs="方正楷体_GBK"/>
          <w:color w:val="auto"/>
          <w:highlight w:val="none"/>
        </w:rPr>
      </w:pPr>
      <w:r/>
      <w:bookmarkStart w:id="147" w:name="_Toc20823300"/>
      <w:r/>
      <w:bookmarkStart w:id="148" w:name="_Toc513029228"/>
      <w:r/>
      <w:bookmarkStart w:id="149" w:name="_Toc16938544"/>
      <w:r>
        <w:rPr>
          <w:rFonts w:hint="eastAsia" w:ascii="方正楷体_GBK" w:hAnsi="方正楷体_GBK" w:eastAsia="方正楷体_GBK" w:cs="方正楷体_GBK"/>
          <w:color w:val="auto"/>
          <w:highlight w:val="none"/>
        </w:rPr>
        <w:t xml:space="preserve">19.投标文件的撤回和修改</w:t>
      </w:r>
      <w:bookmarkEnd w:id="147"/>
      <w:r/>
      <w:bookmarkEnd w:id="148"/>
      <w:r/>
      <w:bookmarkEnd w:id="149"/>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6938545"/>
      <w:r/>
      <w:bookmarkStart w:id="153" w:name="_Toc120614218"/>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0"/>
      <w:r/>
      <w:bookmarkEnd w:id="151"/>
      <w:r/>
      <w:bookmarkEnd w:id="152"/>
      <w:r/>
      <w:bookmarkEnd w:id="153"/>
      <w:r/>
      <w:r/>
    </w:p>
    <w:p>
      <w:pPr>
        <w:pStyle w:val="714"/>
        <w:ind w:firstLine="422"/>
        <w:spacing w:before="0" w:after="0" w:line="240" w:lineRule="auto"/>
        <w:rPr>
          <w:rFonts w:ascii="方正楷体_GBK" w:hAnsi="方正楷体_GBK" w:eastAsia="方正楷体_GBK" w:cs="方正楷体_GBK"/>
          <w:color w:val="auto"/>
          <w:highlight w:val="none"/>
        </w:rPr>
      </w:pPr>
      <w:r/>
      <w:bookmarkStart w:id="154" w:name="_Toc513029230"/>
      <w:r/>
      <w:bookmarkStart w:id="155" w:name="_Toc20823302"/>
      <w:r/>
      <w:bookmarkStart w:id="156" w:name="_Toc16938546"/>
      <w:r>
        <w:rPr>
          <w:rFonts w:hint="eastAsia" w:ascii="方正楷体_GBK" w:hAnsi="方正楷体_GBK" w:eastAsia="方正楷体_GBK" w:cs="方正楷体_GBK"/>
          <w:color w:val="auto"/>
          <w:highlight w:val="none"/>
        </w:rPr>
        <w:t xml:space="preserve">20.开标</w:t>
      </w:r>
      <w:bookmarkEnd w:id="154"/>
      <w:r/>
      <w:bookmarkEnd w:id="155"/>
      <w:r/>
      <w:bookmarkEnd w:id="156"/>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714"/>
        <w:ind w:firstLine="422"/>
        <w:spacing w:before="0" w:after="0" w:line="240" w:lineRule="auto"/>
        <w:rPr>
          <w:rFonts w:ascii="方正楷体_GBK" w:hAnsi="方正楷体_GBK" w:eastAsia="方正楷体_GBK" w:cs="方正楷体_GBK"/>
          <w:color w:val="auto"/>
          <w:highlight w:val="none"/>
        </w:rPr>
      </w:pPr>
      <w:r/>
      <w:bookmarkStart w:id="157" w:name="_Toc16938547"/>
      <w:r/>
      <w:bookmarkStart w:id="158" w:name="_Toc20823303"/>
      <w:r/>
      <w:bookmarkStart w:id="159" w:name="_Toc513029231"/>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7"/>
      <w:r/>
      <w:bookmarkEnd w:id="158"/>
      <w:r/>
      <w:bookmarkEnd w:id="159"/>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714"/>
        <w:ind w:firstLine="422"/>
        <w:spacing w:before="0" w:after="0" w:line="240" w:lineRule="auto"/>
        <w:rPr>
          <w:rFonts w:ascii="方正楷体_GBK" w:hAnsi="方正楷体_GBK" w:eastAsia="方正楷体_GBK" w:cs="方正楷体_GBK"/>
          <w:color w:val="auto"/>
          <w:highlight w:val="none"/>
        </w:rPr>
      </w:pPr>
      <w:r/>
      <w:bookmarkStart w:id="160" w:name="_Toc16938548"/>
      <w:r/>
      <w:bookmarkStart w:id="161" w:name="_Toc20823304"/>
      <w:r/>
      <w:bookmarkStart w:id="162" w:name="_Toc513029232"/>
      <w:r>
        <w:rPr>
          <w:rFonts w:hint="eastAsia" w:ascii="方正楷体_GBK" w:hAnsi="方正楷体_GBK" w:eastAsia="方正楷体_GBK" w:cs="方正楷体_GBK"/>
          <w:color w:val="auto"/>
          <w:highlight w:val="none"/>
        </w:rPr>
        <w:t xml:space="preserve">23.投标文件的澄清</w:t>
      </w:r>
      <w:bookmarkEnd w:id="160"/>
      <w:r/>
      <w:bookmarkEnd w:id="161"/>
      <w:r/>
      <w:bookmarkEnd w:id="162"/>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714"/>
        <w:ind w:firstLine="422"/>
        <w:spacing w:before="0" w:after="0" w:line="240" w:lineRule="auto"/>
        <w:rPr>
          <w:rFonts w:ascii="方正楷体_GBK" w:hAnsi="方正楷体_GBK" w:eastAsia="方正楷体_GBK" w:cs="方正楷体_GBK"/>
          <w:color w:val="auto"/>
          <w:highlight w:val="none"/>
        </w:rPr>
      </w:pPr>
      <w:r/>
      <w:bookmarkStart w:id="163" w:name="_Toc20823305"/>
      <w:r/>
      <w:bookmarkStart w:id="164" w:name="_Toc16938549"/>
      <w:r/>
      <w:bookmarkStart w:id="165" w:name="_Toc513029233"/>
      <w:r>
        <w:rPr>
          <w:rFonts w:hint="eastAsia" w:ascii="方正楷体_GBK" w:hAnsi="方正楷体_GBK" w:eastAsia="方正楷体_GBK" w:cs="方正楷体_GBK"/>
          <w:color w:val="auto"/>
          <w:highlight w:val="none"/>
        </w:rPr>
        <w:t xml:space="preserve">24.投标文件的</w:t>
      </w:r>
      <w:bookmarkEnd w:id="163"/>
      <w:r/>
      <w:bookmarkEnd w:id="164"/>
      <w:r/>
      <w:bookmarkEnd w:id="165"/>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.3如果投标文件实质上没有响应招标文件的要求，评委会将予以拒绝，投标人不得通过修改或撤销不符合要求的偏离或保留而使其投标成为实质性响应的投标。</w:t>
      </w:r>
      <w:bookmarkStart w:id="166" w:name="OLE_LINK26"/>
      <w:r/>
      <w:r/>
    </w:p>
    <w:p>
      <w:pPr>
        <w:ind w:firstLine="420"/>
        <w:rPr>
          <w:rFonts w:ascii="宋体" w:hAnsi="宋体"/>
          <w:b/>
          <w:bCs/>
          <w:color w:val="auto"/>
          <w:sz w:val="24"/>
          <w:highlight w:val="none"/>
        </w:rPr>
      </w:pPr>
      <w:r>
        <w:rPr>
          <w:rFonts w:hint="eastAsia" w:ascii="宋体" w:hAnsi="宋体"/>
          <w:color w:val="auto"/>
          <w:sz w:val="24"/>
          <w:highlight w:val="none"/>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highlight w:val="none"/>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ascii="宋体" w:hAnsi="宋体"/>
          <w:color w:val="auto"/>
          <w:sz w:val="24"/>
          <w:highlight w:val="none"/>
        </w:rPr>
      </w:pPr>
      <w:r>
        <w:rPr>
          <w:rFonts w:hint="eastAsia" w:ascii="宋体" w:hAnsi="宋体"/>
          <w:color w:val="auto"/>
          <w:sz w:val="24"/>
          <w:highlight w:val="none"/>
        </w:rPr>
        <w:t xml:space="preserve">（一）1.投标（响应）报价低于全部通过符合性审查供应商投标（响应）报价平均值50%的，即投标（响应）报价&lt;全部通过符合性审查供应商投标（响应）报价平均值×50%； </w:t>
      </w:r>
      <w:r/>
    </w:p>
    <w:p>
      <w:pPr>
        <w:ind w:firstLine="420"/>
        <w:rPr>
          <w:rFonts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20"/>
        <w:rPr>
          <w:rFonts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 </w:t>
      </w:r>
      <w:r/>
    </w:p>
    <w:p>
      <w:pPr>
        <w:ind w:firstLine="420"/>
        <w:rPr>
          <w:rFonts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rPr>
          <w:rFonts w:ascii="宋体" w:hAnsi="宋体"/>
          <w:color w:val="auto"/>
          <w:sz w:val="24"/>
          <w:highlight w:val="none"/>
        </w:rPr>
      </w:pPr>
      <w:r>
        <w:rPr>
          <w:rFonts w:hint="eastAsia" w:ascii="宋体" w:hAnsi="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ascii="宋体" w:hAnsi="宋体"/>
          <w:color w:val="auto"/>
          <w:sz w:val="24"/>
          <w:highlight w:val="none"/>
        </w:rPr>
      </w:pPr>
      <w:r>
        <w:rPr>
          <w:rFonts w:hint="eastAsia" w:ascii="宋体" w:hAnsi="宋体"/>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ascii="宋体" w:hAnsi="宋体"/>
          <w:color w:val="auto"/>
          <w:sz w:val="24"/>
          <w:highlight w:val="none"/>
        </w:rPr>
      </w:pPr>
      <w:r>
        <w:rPr>
          <w:rFonts w:hint="eastAsia" w:ascii="宋体" w:hAnsi="宋体"/>
          <w:color w:val="auto"/>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w:t>
      </w:r>
      <w:bookmarkEnd w:id="166"/>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7" w:name="_Toc513029234"/>
      <w:r/>
      <w:bookmarkStart w:id="168" w:name="_Toc20823306"/>
      <w:r/>
      <w:bookmarkStart w:id="169" w:name="_Toc16938550"/>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.6投标人在开、评标全过程中应保持通讯畅通，及时登录苏采云系统查阅、答复相关信息，并安排专人与交易中心及评委会联系。</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7"/>
      <w:r/>
      <w:bookmarkEnd w:id="168"/>
      <w:r/>
      <w:bookmarkEnd w:id="169"/>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70" w:name="_Toc16938551"/>
      <w:r/>
      <w:bookmarkStart w:id="171" w:name="_Toc513029235"/>
      <w:r/>
      <w:bookmarkStart w:id="172" w:name="_Toc20823307"/>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bCs/>
          <w:iCs/>
          <w:color w:val="auto"/>
          <w:sz w:val="24"/>
          <w:highlight w:val="none"/>
          <w:lang w:val="zh-CN"/>
        </w:rPr>
        <w:t xml:space="preserve">本文件中斜体且有下划线部分，</w:t>
      </w:r>
      <w:r>
        <w:rPr>
          <w:rFonts w:hint="eastAsia" w:ascii="宋体" w:hAnsi="宋体"/>
          <w:b/>
          <w:bCs/>
          <w:color w:val="auto"/>
          <w:sz w:val="24"/>
          <w:highlight w:val="none"/>
          <w:lang w:val="zh-CN"/>
        </w:rPr>
        <w:t xml:space="preserve">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b/>
          <w:bCs/>
          <w:color w:val="auto"/>
          <w:sz w:val="24"/>
          <w:szCs w:val="21"/>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.1.11</w:t>
      </w:r>
      <w:r>
        <w:rPr>
          <w:rFonts w:hint="eastAsia" w:ascii="宋体" w:hAnsi="宋体"/>
          <w:color w:val="auto"/>
          <w:sz w:val="24"/>
          <w:szCs w:val="21"/>
          <w:highlight w:val="none"/>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w:t>
      </w:r>
      <w:r>
        <w:rPr>
          <w:rFonts w:hint="eastAsia" w:ascii="宋体" w:hAnsi="宋体"/>
          <w:color w:val="auto"/>
          <w:sz w:val="24"/>
          <w:highlight w:val="none"/>
        </w:rPr>
        <w:t xml:space="preserve">资格</w:t>
      </w:r>
      <w:r>
        <w:rPr>
          <w:rFonts w:hint="eastAsia" w:ascii="宋体" w:hAnsi="宋体"/>
          <w:color w:val="auto"/>
          <w:sz w:val="24"/>
          <w:highlight w:val="none"/>
          <w:lang w:val="zh-CN"/>
        </w:rPr>
        <w:t xml:space="preserve">条件的供应商或者对招标文件作</w:t>
      </w:r>
      <w:r>
        <w:rPr>
          <w:rFonts w:hint="eastAsia" w:ascii="宋体" w:hAnsi="宋体"/>
          <w:color w:val="auto"/>
          <w:sz w:val="24"/>
          <w:highlight w:val="none"/>
        </w:rPr>
        <w:t xml:space="preserve">出</w:t>
      </w:r>
      <w:r>
        <w:rPr>
          <w:rFonts w:hint="eastAsia" w:ascii="宋体" w:hAnsi="宋体"/>
          <w:color w:val="auto"/>
          <w:sz w:val="24"/>
          <w:highlight w:val="none"/>
          <w:lang w:val="zh-CN"/>
        </w:rPr>
        <w:t xml:space="preserve">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3" w:name="_Toc120614219"/>
      <w:r>
        <w:rPr>
          <w:rFonts w:hint="eastAsia" w:ascii="方正黑体_GBK" w:hAnsi="方正黑体_GBK" w:eastAsia="方正黑体_GBK" w:cs="方正黑体_GBK"/>
          <w:b w:val="0"/>
          <w:bCs w:val="0"/>
          <w:color w:val="auto"/>
          <w:sz w:val="30"/>
          <w:szCs w:val="30"/>
          <w:highlight w:val="none"/>
        </w:rPr>
        <w:t xml:space="preserve">六、</w:t>
      </w:r>
      <w:bookmarkEnd w:id="170"/>
      <w:r/>
      <w:bookmarkEnd w:id="171"/>
      <w:r/>
      <w:bookmarkEnd w:id="172"/>
      <w:r>
        <w:rPr>
          <w:rFonts w:hint="eastAsia" w:ascii="方正黑体_GBK" w:hAnsi="方正黑体_GBK" w:eastAsia="方正黑体_GBK" w:cs="方正黑体_GBK"/>
          <w:b w:val="0"/>
          <w:bCs w:val="0"/>
          <w:color w:val="auto"/>
          <w:sz w:val="30"/>
          <w:szCs w:val="30"/>
          <w:highlight w:val="none"/>
        </w:rPr>
        <w:t xml:space="preserve">定标</w:t>
      </w:r>
      <w:bookmarkEnd w:id="173"/>
      <w:r/>
      <w:r/>
    </w:p>
    <w:p>
      <w:pPr>
        <w:pStyle w:val="714"/>
        <w:ind w:firstLine="422"/>
        <w:spacing w:before="0" w:after="0" w:line="240" w:lineRule="auto"/>
        <w:rPr>
          <w:rFonts w:ascii="方正楷体_GBK" w:hAnsi="方正楷体_GBK" w:eastAsia="方正楷体_GBK" w:cs="方正楷体_GBK"/>
          <w:color w:val="auto"/>
          <w:highlight w:val="none"/>
        </w:rPr>
      </w:pPr>
      <w:r/>
      <w:bookmarkStart w:id="174" w:name="_Toc513029238"/>
      <w:r/>
      <w:bookmarkStart w:id="175" w:name="_Toc16938554"/>
      <w:r/>
      <w:bookmarkStart w:id="176" w:name="_Toc20823310"/>
      <w:r>
        <w:rPr>
          <w:rFonts w:hint="eastAsia" w:ascii="方正楷体_GBK" w:hAnsi="方正楷体_GBK" w:eastAsia="方正楷体_GBK" w:cs="方正楷体_GBK"/>
          <w:color w:val="auto"/>
          <w:highlight w:val="none"/>
        </w:rPr>
        <w:t xml:space="preserve">2</w:t>
      </w:r>
      <w:bookmarkEnd w:id="174"/>
      <w:r>
        <w:rPr>
          <w:rFonts w:hint="eastAsia" w:ascii="方正楷体_GBK" w:hAnsi="方正楷体_GBK" w:eastAsia="方正楷体_GBK" w:cs="方正楷体_GBK"/>
          <w:color w:val="auto"/>
          <w:highlight w:val="none"/>
        </w:rPr>
        <w:t xml:space="preserve">6.确定</w:t>
      </w:r>
      <w:bookmarkEnd w:id="175"/>
      <w:r/>
      <w:bookmarkEnd w:id="176"/>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rPr>
          <w:rFonts w:hint="eastAsia" w:ascii="宋体" w:hAnsi="宋体"/>
          <w:b/>
          <w:bCs/>
          <w:color w:val="auto"/>
          <w:sz w:val="24"/>
          <w:highlight w:val="none"/>
          <w:lang w:val="zh-CN"/>
        </w:rPr>
      </w:pPr>
      <w:r/>
      <w:bookmarkStart w:id="177"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.5.4不同投标人的投标文件异常一致或者投标报价呈规律性差异。</w:t>
      </w:r>
      <w:bookmarkEnd w:id="177"/>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8" w:name="_Toc16938552"/>
      <w:r/>
      <w:bookmarkStart w:id="179" w:name="_Toc120614220"/>
      <w:r/>
      <w:bookmarkStart w:id="180" w:name="_Toc20823308"/>
      <w:r/>
      <w:bookmarkStart w:id="181"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78"/>
      <w:r/>
      <w:bookmarkEnd w:id="179"/>
      <w:r/>
      <w:bookmarkEnd w:id="180"/>
      <w:r/>
      <w:bookmarkEnd w:id="181"/>
      <w:r/>
      <w:r/>
    </w:p>
    <w:p>
      <w:pPr>
        <w:pStyle w:val="714"/>
        <w:ind w:firstLine="422"/>
        <w:spacing w:before="0" w:after="0" w:line="240" w:lineRule="auto"/>
        <w:rPr>
          <w:rFonts w:ascii="方正楷体_GBK" w:hAnsi="方正楷体_GBK" w:eastAsia="方正楷体_GBK" w:cs="方正楷体_GBK"/>
          <w:color w:val="auto"/>
          <w:highlight w:val="none"/>
        </w:rPr>
      </w:pPr>
      <w:r/>
      <w:bookmarkStart w:id="182" w:name="_Toc513029237"/>
      <w:r/>
      <w:bookmarkStart w:id="183" w:name="_Toc20823309"/>
      <w:r/>
      <w:bookmarkStart w:id="184" w:name="_Toc16938553"/>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2"/>
      <w:r/>
      <w:bookmarkEnd w:id="183"/>
      <w:r/>
      <w:bookmarkEnd w:id="184"/>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highlight w:val="none"/>
        </w:rPr>
      </w:pPr>
      <w:r>
        <w:rPr>
          <w:rFonts w:hint="eastAsia" w:ascii="宋体" w:hAnsi="宋体"/>
          <w:color w:val="auto"/>
          <w:sz w:val="24"/>
          <w:highlight w:val="none"/>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color w:val="auto"/>
          <w:sz w:val="24"/>
          <w:highlight w:val="none"/>
        </w:rPr>
      </w:pPr>
      <w:r>
        <w:rPr>
          <w:rFonts w:hint="eastAsia" w:ascii="宋体" w:hAnsi="宋体"/>
          <w:color w:val="auto"/>
          <w:sz w:val="24"/>
          <w:highlight w:val="none"/>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color w:val="auto"/>
          <w:sz w:val="24"/>
          <w:highlight w:val="none"/>
        </w:rPr>
      </w:pPr>
      <w:r>
        <w:rPr>
          <w:rFonts w:hint="eastAsia" w:ascii="宋体" w:hAnsi="宋体"/>
          <w:b/>
          <w:bCs/>
          <w:color w:val="auto"/>
          <w:sz w:val="24"/>
          <w:highlight w:val="none"/>
        </w:rPr>
        <w:t xml:space="preserve">采购人质疑接收人及联系方式为南京市浦口区教育局，联系地址：浦口区行知路5号，联系人：</w:t>
      </w:r>
      <w:r>
        <w:rPr>
          <w:rFonts w:hint="eastAsia" w:ascii="宋体" w:hAnsi="宋体"/>
          <w:b/>
          <w:bCs/>
          <w:color w:val="auto"/>
          <w:sz w:val="24"/>
          <w:highlight w:val="none"/>
          <w:lang w:val="en-US" w:eastAsia="zh-CN"/>
        </w:rPr>
        <w:t xml:space="preserve">刘</w:t>
      </w:r>
      <w:r>
        <w:rPr>
          <w:rFonts w:hint="eastAsia" w:ascii="宋体" w:hAnsi="宋体"/>
          <w:b/>
          <w:bCs/>
          <w:color w:val="auto"/>
          <w:sz w:val="24"/>
          <w:highlight w:val="none"/>
        </w:rPr>
        <w:t xml:space="preserve">老师，联系电话：025-58882126 。</w:t>
      </w:r>
      <w:r/>
    </w:p>
    <w:p>
      <w:pPr>
        <w:ind w:firstLine="420"/>
        <w:rPr>
          <w:rFonts w:hint="eastAsia" w:ascii="宋体" w:hAnsi="宋体"/>
          <w:color w:val="auto"/>
          <w:sz w:val="24"/>
          <w:highlight w:val="none"/>
        </w:rPr>
      </w:pPr>
      <w:r>
        <w:rPr>
          <w:rFonts w:hint="eastAsia" w:ascii="宋体" w:hAnsi="宋体"/>
          <w:color w:val="auto"/>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auto"/>
          <w:sz w:val="24"/>
          <w:highlight w:val="none"/>
          <w:lang w:val="zh-CN"/>
        </w:rPr>
        <w:t xml:space="preserve">电话：025-69659</w:t>
      </w:r>
      <w:r>
        <w:rPr>
          <w:rFonts w:hint="eastAsia" w:ascii="宋体" w:hAnsi="宋体"/>
          <w:color w:val="auto"/>
          <w:sz w:val="24"/>
          <w:highlight w:val="none"/>
        </w:rPr>
        <w:t xml:space="preserve">050</w:t>
      </w:r>
      <w:r/>
    </w:p>
    <w:p>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由采购人负责答复的质疑，采购人将《质疑答复函》抄送交易中心。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内容不符合《政府采购质疑和投诉办法》第十二条规定的质疑。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以传真、电子邮件等方式递交的非原件形式的质疑。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6.4 未参加采购活动或在采购活动中自身权益未受到损害的供应商所提出的质疑。</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36.5 供应商组成联合体参加采购活动，联合体中任何一方或多方未按要求签字或签章、加盖公章的质疑。</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36.6 法律法规规定的其他不予受理情形。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3"/>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714"/>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本项目中的货物全部由中小企业制造的，投标供应商享受中小企业扶持政策。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lang w:val="zh-CN"/>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714"/>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jc w:val="center"/>
        <w:spacing w:line="252" w:lineRule="auto"/>
        <w:rPr>
          <w:rFonts w:ascii="黑体" w:eastAsia="黑体"/>
          <w:color w:val="auto"/>
          <w:sz w:val="44"/>
          <w:szCs w:val="44"/>
          <w:highlight w:val="none"/>
        </w:rPr>
      </w:pPr>
      <w:r>
        <w:rPr>
          <w:rFonts w:hint="eastAsia" w:ascii="宋体" w:hAnsi="宋体"/>
          <w:color w:val="auto"/>
          <w:sz w:val="24"/>
          <w:highlight w:val="none"/>
          <w:lang w:val="zh-CN"/>
        </w:rPr>
        <w:br w:type="page" w:clear="all"/>
      </w:r>
      <w:r>
        <w:rPr>
          <w:rFonts w:hint="eastAsia" w:ascii="方正小标宋简体" w:hAnsi="方正小标宋简体" w:eastAsia="方正小标宋简体" w:cs="方正小标宋简体"/>
          <w:color w:val="auto"/>
          <w:sz w:val="36"/>
          <w:szCs w:val="36"/>
          <w:highlight w:val="none"/>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auto"/>
          <w:sz w:val="36"/>
          <w:szCs w:val="36"/>
          <w:highlight w:val="none"/>
        </w:rPr>
        <w:t xml:space="preserve">文本</w:t>
      </w:r>
      <w:r/>
    </w:p>
    <w:p>
      <w:pPr>
        <w:ind w:firstLine="480"/>
        <w:spacing w:line="264" w:lineRule="auto"/>
        <w:rPr>
          <w:rFonts w:hint="eastAsia" w:ascii="宋体" w:hAnsi="宋体"/>
          <w:bCs/>
          <w:color w:val="auto"/>
          <w:sz w:val="24"/>
          <w:szCs w:val="21"/>
          <w:highlight w:val="none"/>
        </w:rPr>
      </w:pPr>
      <w:r/>
      <w:bookmarkStart w:id="185" w:name="_Toc513029243"/>
      <w:r/>
      <w:bookmarkStart w:id="186" w:name="_Toc20823315"/>
      <w:r/>
      <w:bookmarkStart w:id="187" w:name="_Toc16938559"/>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hint="eastAsia"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spacing w:before="145" w:after="145" w:line="264" w:lineRule="auto"/>
        <w:rPr>
          <w:rFonts w:hint="eastAsia"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spacing w:before="145" w:after="145" w:line="264" w:lineRule="auto"/>
        <w:rPr>
          <w:rFonts w:hint="eastAsia" w:ascii="宋体" w:hAnsi="宋体" w:cs="Courier New"/>
          <w:color w:val="auto"/>
          <w:sz w:val="24"/>
          <w:szCs w:val="24"/>
          <w:highlight w:val="none"/>
        </w:rPr>
        <w:outlineLvl w:val="0"/>
      </w:pPr>
      <w:r>
        <w:rPr>
          <w:rFonts w:ascii="宋体" w:hAnsi="宋体" w:cs="Courier New"/>
          <w:color w:val="auto"/>
          <w:sz w:val="24"/>
          <w:szCs w:val="24"/>
          <w:highlight w:val="none"/>
        </w:rPr>
        <w:t xml:space="preserve">甲方：（买方）</w:t>
      </w:r>
      <w:r/>
    </w:p>
    <w:p>
      <w:pPr>
        <w:jc w:val="left"/>
        <w:spacing w:before="145" w:after="145" w:line="264" w:lineRule="auto"/>
        <w:rPr>
          <w:rFonts w:hint="eastAsia" w:ascii="宋体" w:hAnsi="宋体" w:cs="Courier New"/>
          <w:color w:val="auto"/>
          <w:sz w:val="24"/>
          <w:szCs w:val="24"/>
          <w:highlight w:val="none"/>
        </w:rPr>
        <w:outlineLvl w:val="0"/>
      </w:pPr>
      <w:r>
        <w:rPr>
          <w:rFonts w:ascii="宋体" w:hAnsi="宋体" w:cs="Courier New"/>
          <w:color w:val="auto"/>
          <w:sz w:val="24"/>
          <w:szCs w:val="24"/>
          <w:highlight w:val="none"/>
        </w:rPr>
        <w:t xml:space="preserve">乙方：（卖方）</w:t>
      </w:r>
      <w:r/>
    </w:p>
    <w:p>
      <w:pPr>
        <w:spacing w:line="264" w:lineRule="auto"/>
        <w:rPr>
          <w:rFonts w:hint="eastAsia"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南京市公共资源交易中心浦口分中心组织的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741"/>
        <w:spacing w:line="264"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1008"/>
        <w:spacing w:line="264" w:lineRule="auto"/>
        <w:rPr>
          <w:rFonts w:hint="eastAsia" w:hAnsi="宋体"/>
          <w:color w:val="auto"/>
          <w:sz w:val="24"/>
          <w:szCs w:val="24"/>
          <w:highlight w:val="none"/>
        </w:rPr>
      </w:pPr>
      <w:r>
        <w:rPr>
          <w:rFonts w:hint="eastAsia" w:hAnsi="宋体"/>
          <w:color w:val="auto"/>
          <w:sz w:val="24"/>
          <w:szCs w:val="24"/>
          <w:highlight w:val="none"/>
        </w:rPr>
        <w:t xml:space="preserve">8.1</w:t>
      </w:r>
      <w:r>
        <w:rPr>
          <w:rFonts w:hint="eastAsia" w:hAnsi="宋体"/>
          <w:color w:val="auto"/>
          <w:sz w:val="24"/>
          <w:szCs w:val="24"/>
          <w:highlight w:val="none"/>
        </w:rPr>
        <w:t xml:space="preserve">合同款项的支付方式及进度安排：合同签订并提供进场施工证明材料后，支付合同总额的30%作为预付款；项目竣工后，经使用学校对标功能评估合格、在专家验收考评合格后付至100%。</w:t>
      </w:r>
      <w:r/>
    </w:p>
    <w:p>
      <w:pPr>
        <w:pStyle w:val="1008"/>
        <w:spacing w:before="120" w:after="120" w:line="288" w:lineRule="auto"/>
        <w:rPr>
          <w:rFonts w:hint="eastAsia" w:hAnsi="宋体"/>
          <w:color w:val="auto"/>
          <w:sz w:val="24"/>
          <w:szCs w:val="24"/>
          <w:highlight w:val="none"/>
        </w:rPr>
      </w:pPr>
      <w:r>
        <w:rPr>
          <w:rFonts w:hint="eastAsia" w:hAnsi="宋体"/>
          <w:color w:val="auto"/>
          <w:sz w:val="24"/>
          <w:szCs w:val="24"/>
          <w:highlight w:val="none"/>
        </w:rPr>
        <w:t xml:space="preserve">注：满足合同约定支付条件的，采购人收到中标（成交）供应商发票后 30日内，将资金支付到合同约定的中标（成交）供应商账户。</w:t>
      </w:r>
      <w:r/>
    </w:p>
    <w:p>
      <w:pPr>
        <w:pStyle w:val="741"/>
        <w:spacing w:line="264" w:lineRule="auto"/>
        <w:rPr>
          <w:rFonts w:hint="eastAsia"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741"/>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甲方无正当理由拒绝接受乙方提供服务的，应向乙方偿付拒绝接受服务合同总额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 乙方所提供服务的标准不符合合同规定及招标文件规定标准的，甲方有权拒绝接受服务，并可单方面解除合同。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5"/>
      <w:r/>
      <w:bookmarkEnd w:id="186"/>
      <w:r/>
      <w:bookmarkEnd w:id="187"/>
      <w:r/>
      <w:r/>
    </w:p>
    <w:p>
      <w:pPr>
        <w:pStyle w:val="741"/>
        <w:spacing w:before="120" w:after="120" w:line="264" w:lineRule="auto"/>
        <w:rPr>
          <w:rFonts w:hint="eastAsia" w:hAnsi="宋体"/>
          <w:color w:val="auto"/>
          <w:sz w:val="24"/>
          <w:szCs w:val="24"/>
          <w:highlight w:val="none"/>
        </w:rPr>
      </w:pPr>
      <w:r/>
      <w:bookmarkStart w:id="188" w:name="_Hlt16619369"/>
      <w:r/>
      <w:bookmarkEnd w:id="188"/>
      <w:r/>
      <w:bookmarkStart w:id="189" w:name="_Hlt16619350"/>
      <w:r/>
      <w:bookmarkStart w:id="190" w:name="_Toc20823346"/>
      <w:r/>
      <w:bookmarkStart w:id="191" w:name="_Toc16938590"/>
      <w:r/>
      <w:bookmarkStart w:id="192" w:name="_Toc120614244"/>
      <w:r/>
      <w:bookmarkStart w:id="193" w:name="_Toc462564139"/>
      <w:r/>
      <w:bookmarkStart w:id="194" w:name="_Toc479757211"/>
      <w:r/>
      <w:r/>
    </w:p>
    <w:p>
      <w:pPr>
        <w:pStyle w:val="74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74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74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74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741"/>
        <w:spacing w:before="120" w:after="120" w:line="264" w:lineRule="auto"/>
        <w:rPr>
          <w:rFonts w:hint="eastAsia" w:hAnsi="宋体"/>
          <w:color w:val="auto"/>
          <w:sz w:val="24"/>
          <w:szCs w:val="24"/>
          <w:highlight w:val="none"/>
        </w:rPr>
      </w:pPr>
      <w:r>
        <w:rPr>
          <w:rFonts w:hint="eastAsia" w:hAnsi="宋体"/>
          <w:color w:val="auto"/>
          <w:sz w:val="24"/>
          <w:szCs w:val="24"/>
          <w:highlight w:val="none"/>
        </w:rPr>
      </w:r>
      <w:r/>
    </w:p>
    <w:p>
      <w:pPr>
        <w:pStyle w:val="741"/>
        <w:ind w:firstLine="480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741"/>
        <w:ind w:firstLine="480"/>
        <w:jc w:val="left"/>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highlight w:val="none"/>
        </w:rPr>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9"/>
      <w:r>
        <w:rPr>
          <w:rFonts w:hint="eastAsia" w:ascii="方正小标宋简体" w:hAnsi="方正小标宋简体" w:eastAsia="方正小标宋简体" w:cs="方正小标宋简体"/>
          <w:color w:val="auto"/>
          <w:sz w:val="36"/>
          <w:szCs w:val="36"/>
          <w:highlight w:val="none"/>
        </w:rPr>
        <w:t xml:space="preserve">四章  采购需求</w:t>
      </w:r>
      <w:bookmarkEnd w:id="190"/>
      <w:r/>
      <w:bookmarkEnd w:id="191"/>
      <w:r/>
      <w:bookmarkEnd w:id="192"/>
      <w:r/>
      <w:r/>
    </w:p>
    <w:p>
      <w:pPr>
        <w:ind w:firstLine="480"/>
        <w:spacing w:line="320" w:lineRule="exact"/>
        <w:rPr>
          <w:rFonts w:hint="eastAsia" w:cs="黑体" w:asciiTheme="minorEastAsia" w:hAnsiTheme="minorEastAsia" w:eastAsiaTheme="minorEastAsia"/>
          <w:color w:val="auto"/>
          <w:sz w:val="24"/>
          <w:szCs w:val="24"/>
          <w:highlight w:val="none"/>
        </w:rPr>
      </w:pPr>
      <w:r/>
      <w:bookmarkStart w:id="195" w:name="_Toc49090575"/>
      <w:r/>
      <w:bookmarkStart w:id="196" w:name="_Toc26554093"/>
      <w:r>
        <w:rPr>
          <w:rFonts w:hint="eastAsia" w:cs="黑体" w:asciiTheme="minorEastAsia" w:hAnsiTheme="minorEastAsia" w:eastAsiaTheme="minorEastAsia"/>
          <w:b/>
          <w:bCs/>
          <w:color w:val="auto"/>
          <w:sz w:val="24"/>
          <w:szCs w:val="24"/>
          <w:highlight w:val="none"/>
        </w:rPr>
        <w:t xml:space="preserve">一、项目属性</w:t>
      </w:r>
      <w:r>
        <w:rPr>
          <w:rFonts w:hint="eastAsia" w:cs="黑体" w:asciiTheme="minorEastAsia" w:hAnsiTheme="minorEastAsia" w:eastAsiaTheme="minorEastAsia"/>
          <w:color w:val="auto"/>
          <w:sz w:val="24"/>
          <w:szCs w:val="24"/>
          <w:highlight w:val="none"/>
        </w:rPr>
        <w:t xml:space="preserve">：货物类项目。</w:t>
      </w:r>
      <w:r/>
    </w:p>
    <w:p>
      <w:pPr>
        <w:ind w:firstLine="480"/>
        <w:spacing w:line="320" w:lineRule="exact"/>
        <w:rPr>
          <w:rFonts w:hint="eastAsia" w:cs="黑体" w:asciiTheme="minorEastAsia" w:hAnsiTheme="minorEastAsia" w:eastAsiaTheme="minorEastAsia"/>
          <w:b/>
          <w:bCs/>
          <w:color w:val="auto"/>
          <w:sz w:val="24"/>
          <w:szCs w:val="24"/>
          <w:highlight w:val="none"/>
        </w:rPr>
      </w:pPr>
      <w:r>
        <w:rPr>
          <w:rFonts w:hint="eastAsia" w:cs="黑体" w:asciiTheme="minorEastAsia" w:hAnsiTheme="minorEastAsia" w:eastAsiaTheme="minorEastAsia"/>
          <w:b/>
          <w:bCs/>
          <w:color w:val="auto"/>
          <w:sz w:val="24"/>
          <w:szCs w:val="24"/>
          <w:highlight w:val="none"/>
        </w:rPr>
        <w:t xml:space="preserve">二、项目概况</w:t>
      </w:r>
      <w:r/>
    </w:p>
    <w:p>
      <w:pPr>
        <w:ind w:firstLine="480"/>
        <w:spacing w:line="320" w:lineRule="exact"/>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（一）项目背景</w:t>
      </w:r>
      <w:r/>
    </w:p>
    <w:p>
      <w:pPr>
        <w:ind w:firstLine="480"/>
        <w:spacing w:line="320" w:lineRule="exact"/>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本项目主要为满足学校教育教学需求，采购行知中学专用教室、功能室等教学仪器设备及器材等设备。</w:t>
      </w:r>
      <w:r/>
    </w:p>
    <w:p>
      <w:pPr>
        <w:ind w:firstLine="480"/>
        <w:spacing w:line="320" w:lineRule="exact"/>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（二）项目建设遵循标准</w:t>
      </w:r>
      <w:r/>
    </w:p>
    <w:p>
      <w:pPr>
        <w:ind w:firstLine="480"/>
        <w:spacing w:line="320" w:lineRule="exact"/>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20" w:lineRule="exact"/>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（三）资产配置标准</w:t>
      </w:r>
      <w:r/>
    </w:p>
    <w:p>
      <w:pPr>
        <w:ind w:firstLine="480"/>
        <w:spacing w:line="320" w:lineRule="exact"/>
        <w:rPr>
          <w:rFonts w:hint="eastAsia"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264" w:lineRule="auto"/>
        <w:rPr>
          <w:rFonts w:hint="eastAsia" w:ascii="宋体" w:hAnsi="宋体" w:cs="宋体"/>
          <w:bCs/>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行知中学专用教室、功能室等教学仪器设备及器材采购项目</w:t>
            </w:r>
            <w:r/>
          </w:p>
        </w:tc>
        <w:tc>
          <w:tcPr>
            <w:tcW w:w="70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320万</w:t>
            </w:r>
            <w:r/>
          </w:p>
        </w:tc>
        <w:tc>
          <w:tcPr>
            <w:tcW w:w="102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044"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82"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   </w:t>
      </w:r>
      <w:r/>
    </w:p>
    <w:p>
      <w:pPr>
        <w:ind w:firstLine="480"/>
        <w:spacing w:line="264" w:lineRule="auto"/>
        <w:rPr>
          <w:color w:val="auto"/>
          <w:highlight w:val="none"/>
        </w:rPr>
      </w:pPr>
      <w:r>
        <w:rPr>
          <w:rFonts w:hint="eastAsia" w:ascii="宋体" w:hAnsi="宋体" w:cs="宋体"/>
          <w:bCs/>
          <w:color w:val="auto"/>
          <w:sz w:val="24"/>
          <w:szCs w:val="24"/>
          <w:highlight w:val="none"/>
        </w:rPr>
        <w:t xml:space="preserve">1.产品技术指标  </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1.产品技术参数详见附件清单，产品名称、数量及规格为实质性要求，</w:t>
            </w:r>
            <w:r>
              <w:rPr>
                <w:rFonts w:ascii="SimSun" w:hAnsi="SimSun" w:eastAsia="SimSun" w:cs="SimSun"/>
                <w:color w:val="ff0000"/>
                <w:sz w:val="24"/>
              </w:rPr>
              <w:t xml:space="preserve">其中化学实验室（1间）三层-序号6.学生实验桌为核心产品。</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2.供应商在投标时应上传加盖公章的分项报价清单扫描件（清单内容应包含：名称，品牌、规格或型号，数量，单价，质保年限等）各分项报价单价不得超过附件清单给定的单价最高限价，否则为无效标。</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3.投标人提供家具类免费上门质保六年（含）以上质保服务承诺函（电器质保不低于三年）。招标文件中对质保期有特殊要求的，应按照特殊要求承诺。自验收报告签宁确认日起，开始进入质保期。</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1016"/>
        <w:ind w:firstLine="240"/>
        <w:rPr>
          <w:rFonts w:hint="eastAsia" w:cs="宋体"/>
          <w:color w:val="auto"/>
          <w:sz w:val="24"/>
          <w:szCs w:val="24"/>
          <w:highlight w:val="none"/>
        </w:rPr>
      </w:pPr>
      <w:r/>
      <w:bookmarkStart w:id="197" w:name="OLE_LINK4"/>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color w:val="auto"/>
          <w:sz w:val="24"/>
          <w:szCs w:val="24"/>
          <w:highlight w:val="none"/>
        </w:rPr>
        <w:t xml:space="preserve">资产配置标准</w:t>
      </w:r>
      <w:r>
        <w:rPr>
          <w:rFonts w:hint="eastAsia" w:ascii="宋体" w:hAnsi="宋体" w:cs="宋体"/>
          <w:color w:val="auto"/>
          <w:sz w:val="24"/>
          <w:szCs w:val="24"/>
          <w:highlight w:val="none"/>
        </w:rPr>
        <w:t xml:space="preserve">最高限价，否则为无效标。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原材料及辅材应符合国家规定的强制性环保指标。油漆采用“五底三面”工艺。所有家具需进行圆边圆角设计，外表面和内表面以及手指可触及的隐蔽处，均不得有锐利的棱角、毛刺。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766"/>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（3）交货要求：签订合同后28天内完成送货安装调试等相关工作，保障开学需要，不得影响开学使用。</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w:t>
      </w:r>
      <w:r>
        <w:rPr>
          <w:rFonts w:hint="eastAsia" w:ascii="宋体" w:hAnsi="宋体" w:cs="宋体"/>
          <w:bCs/>
          <w:color w:val="auto"/>
          <w:sz w:val="24"/>
          <w:szCs w:val="24"/>
          <w:highlight w:val="none"/>
        </w:rPr>
        <w:t xml:space="preserve">；本项目验收前，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①本项目所有木器设备质保期不得低于六年、其它设备不低于三年（自验收报告签字确认日起开始进入质保期）。质保期内，每年暑假免费维护保养1次，维护保养及更换损坏件的费用包含在投标总价中。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质保期内维修（人为因素除外）费用包含在投标总价中，质保期外提供不高于市场价格的终身维护。成交后提供质保期外配件价格明细表。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（1）交付时间：合同签订后45天内交付并完成安装调试及验收等相关工作。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6.其他要求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ind w:firstLine="480"/>
        <w:rPr>
          <w:rFonts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bookmarkEnd w:id="197"/>
      <w:r/>
      <w:r/>
    </w:p>
    <w:p>
      <w:pPr>
        <w:pStyle w:val="723"/>
        <w:rPr>
          <w:color w:val="auto"/>
          <w:highlight w:val="none"/>
        </w:rPr>
      </w:pPr>
      <w:r>
        <w:rPr>
          <w:color w:val="auto"/>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（三）样品要求</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1、请供应商按照招标文件要求提供以下样品：</w:t>
      </w:r>
      <w:r>
        <w:rPr>
          <w:rFonts w:hint="eastAsia" w:ascii="宋体" w:hAnsi="宋体" w:cs="宋体"/>
          <w:color w:val="auto"/>
          <w:sz w:val="24"/>
          <w:szCs w:val="24"/>
          <w:highlight w:val="none"/>
        </w:rPr>
        <w:t xml:space="preserve">书法教室中</w:t>
      </w:r>
      <w:r>
        <w:rPr>
          <w:rFonts w:hint="eastAsia" w:cs="宋体" w:asciiTheme="minorEastAsia" w:hAnsiTheme="minorEastAsia" w:eastAsiaTheme="minorEastAsia"/>
          <w:color w:val="auto"/>
          <w:sz w:val="24"/>
          <w:szCs w:val="24"/>
          <w:highlight w:val="none"/>
        </w:rPr>
        <w:t xml:space="preserve">书法凳一张</w:t>
      </w:r>
      <w:r>
        <w:rPr>
          <w:rFonts w:hint="eastAsia" w:ascii="宋体" w:hAnsi="宋体" w:cs="宋体"/>
          <w:color w:val="auto"/>
          <w:sz w:val="24"/>
          <w:szCs w:val="24"/>
          <w:highlight w:val="none"/>
        </w:rPr>
        <w:t xml:space="preserve">，须按照清单中参数要求制作，每家单位样品集中摆放，所提供样品上和投标供应商名称有关的信息，应提前覆盖或处理，样品所有费用由投标人自行承担，评委根据投标人提供的样品进行评分。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2、样品递交要求</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（四）产品演示要求</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1.演示视频文件的格式为*.mp4或*.avi，投标人须将视频文件分段压缩为*.zip文件上传（单个文件不得大于50M，所有文件合计不得大于300M）。上传的演示视频将作为投标文件的组成部分。视频时长总计不超过5分钟。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2.投标人提供塑料储物柜演示视频文件，具体演示内容详见“第五章 评标方法与评标标准。</w:t>
      </w:r>
      <w:r/>
    </w:p>
    <w:p>
      <w:pPr>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bookmarkStart w:id="198" w:name="_Toc120614281"/>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auto"/>
          <w:sz w:val="24"/>
          <w:szCs w:val="24"/>
          <w:highlight w:val="none"/>
        </w:rPr>
        <w:t xml:space="preserve">2.1-2.6项</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”得分由高到低顺序排列。在投标文件满足招标文件全部实质性要求的供应商中，按照评审得分由高到低推荐</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二、小微企业价格扣除</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1.本项目全部货物制造商为小微企业的，对报价给予15%的扣除，用扣除后的价格参与评审。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三、评标标准</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44"/>
        <w:gridCol w:w="6137"/>
        <w:gridCol w:w="628"/>
        <w:gridCol w:w="873"/>
      </w:tblGrid>
      <w:tr>
        <w:trPr>
          <w:jc w:val="center"/>
          <w:trHeight w:val="793"/>
        </w:trPr>
        <w:tc>
          <w:tcPr>
            <w:tcMar>
              <w:left w:w="0" w:type="dxa"/>
              <w:top w:w="0" w:type="dxa"/>
              <w:right w:w="0" w:type="dxa"/>
              <w:bottom w:w="0" w:type="dxa"/>
            </w:tcMar>
            <w:tcW w:w="506" w:type="dxa"/>
            <w:textDirection w:val="lrTb"/>
            <w:noWrap w:val="false"/>
          </w:tcPr>
          <w:p>
            <w:pPr>
              <w:jc w:val="center"/>
              <w:spacing w:before="264"/>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
                <w:sz w:val="24"/>
                <w:szCs w:val="24"/>
                <w:highlight w:val="none"/>
              </w:rPr>
              <w:t xml:space="preserve">序号</w:t>
            </w:r>
            <w:r/>
          </w:p>
        </w:tc>
        <w:tc>
          <w:tcPr>
            <w:tcMar>
              <w:left w:w="0" w:type="dxa"/>
              <w:top w:w="0" w:type="dxa"/>
              <w:right w:w="0" w:type="dxa"/>
              <w:bottom w:w="0" w:type="dxa"/>
            </w:tcMar>
            <w:tcW w:w="1144" w:type="dxa"/>
            <w:textDirection w:val="lrTb"/>
            <w:noWrap w:val="false"/>
          </w:tcPr>
          <w:p>
            <w:pPr>
              <w:jc w:val="center"/>
              <w:spacing w:before="264"/>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
                <w:sz w:val="24"/>
                <w:szCs w:val="24"/>
                <w:highlight w:val="none"/>
              </w:rPr>
              <w:t xml:space="preserve">评审因素</w:t>
            </w:r>
            <w:r/>
          </w:p>
        </w:tc>
        <w:tc>
          <w:tcPr>
            <w:tcMar>
              <w:left w:w="0" w:type="dxa"/>
              <w:top w:w="0" w:type="dxa"/>
              <w:right w:w="0" w:type="dxa"/>
              <w:bottom w:w="0" w:type="dxa"/>
            </w:tcMar>
            <w:tcW w:w="6137" w:type="dxa"/>
            <w:textDirection w:val="lrTb"/>
            <w:noWrap w:val="false"/>
          </w:tcPr>
          <w:p>
            <w:pPr>
              <w:jc w:val="center"/>
              <w:spacing w:before="264"/>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
                <w:sz w:val="24"/>
                <w:szCs w:val="24"/>
                <w:highlight w:val="none"/>
              </w:rPr>
              <w:t xml:space="preserve">评审细则</w:t>
            </w:r>
            <w:r/>
          </w:p>
        </w:tc>
        <w:tc>
          <w:tcPr>
            <w:tcMar>
              <w:left w:w="0" w:type="dxa"/>
              <w:top w:w="0" w:type="dxa"/>
              <w:right w:w="0" w:type="dxa"/>
              <w:bottom w:w="0" w:type="dxa"/>
            </w:tcMar>
            <w:tcW w:w="628" w:type="dxa"/>
            <w:textDirection w:val="lrTb"/>
            <w:noWrap w:val="false"/>
          </w:tcPr>
          <w:p>
            <w:pPr>
              <w:jc w:val="center"/>
              <w:spacing w:before="264"/>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
                <w:sz w:val="24"/>
                <w:szCs w:val="24"/>
                <w:highlight w:val="none"/>
              </w:rPr>
              <w:t xml:space="preserve">分值</w:t>
            </w:r>
            <w:r/>
          </w:p>
        </w:tc>
        <w:tc>
          <w:tcPr>
            <w:tcMar>
              <w:left w:w="0" w:type="dxa"/>
              <w:top w:w="0" w:type="dxa"/>
              <w:right w:w="0" w:type="dxa"/>
              <w:bottom w:w="0" w:type="dxa"/>
            </w:tcMar>
            <w:tcW w:w="873" w:type="dxa"/>
            <w:textDirection w:val="lrTb"/>
            <w:noWrap w:val="false"/>
          </w:tcPr>
          <w:p>
            <w:pPr>
              <w:jc w:val="center"/>
              <w:spacing w:before="264"/>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
                <w:sz w:val="24"/>
                <w:szCs w:val="24"/>
                <w:highlight w:val="none"/>
              </w:rPr>
              <w:t xml:space="preserve">类型</w:t>
            </w:r>
            <w:r/>
          </w:p>
        </w:tc>
      </w:tr>
      <w:tr>
        <w:trPr>
          <w:jc w:val="center"/>
          <w:trHeight w:val="460"/>
        </w:trPr>
        <w:tc>
          <w:tcPr>
            <w:gridSpan w:val="5"/>
            <w:tcMar>
              <w:left w:w="0" w:type="dxa"/>
              <w:top w:w="0" w:type="dxa"/>
              <w:right w:w="0" w:type="dxa"/>
              <w:bottom w:w="0" w:type="dxa"/>
            </w:tcMar>
            <w:tcW w:w="9288" w:type="dxa"/>
            <w:textDirection w:val="lrTb"/>
            <w:noWrap w:val="false"/>
          </w:tcPr>
          <w:p>
            <w:pPr>
              <w:ind w:left="114"/>
              <w:spacing w:before="122"/>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3"/>
                <w:sz w:val="24"/>
                <w:szCs w:val="24"/>
                <w:highlight w:val="none"/>
              </w:rPr>
              <w:t xml:space="preserve">1.价</w:t>
            </w:r>
            <w:r>
              <w:rPr>
                <w:rFonts w:cs="宋体" w:asciiTheme="minorEastAsia" w:hAnsiTheme="minorEastAsia" w:eastAsiaTheme="minorEastAsia"/>
                <w:b/>
                <w:color w:val="auto"/>
                <w:spacing w:val="-2"/>
                <w:sz w:val="24"/>
                <w:szCs w:val="24"/>
                <w:highlight w:val="none"/>
              </w:rPr>
              <w:t xml:space="preserve">格</w:t>
            </w:r>
            <w:r/>
          </w:p>
        </w:tc>
      </w:tr>
      <w:tr>
        <w:trPr>
          <w:jc w:val="center"/>
          <w:trHeight w:val="1030"/>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6"/>
                <w:sz w:val="24"/>
                <w:szCs w:val="24"/>
                <w:highlight w:val="none"/>
              </w:rPr>
              <w:t xml:space="preserve">1</w:t>
            </w:r>
            <w:r>
              <w:rPr>
                <w:rFonts w:cs="宋体" w:asciiTheme="minorEastAsia" w:hAnsiTheme="minorEastAsia" w:eastAsiaTheme="minorEastAsia"/>
                <w:color w:val="auto"/>
                <w:spacing w:val="-5"/>
                <w:sz w:val="24"/>
                <w:szCs w:val="24"/>
                <w:highlight w:val="none"/>
              </w:rPr>
              <w:t xml:space="preserve">.1</w:t>
            </w:r>
            <w:r/>
          </w:p>
        </w:tc>
        <w:tc>
          <w:tcPr>
            <w:tcMar>
              <w:left w:w="0" w:type="dxa"/>
              <w:top w:w="0" w:type="dxa"/>
              <w:right w:w="0" w:type="dxa"/>
              <w:bottom w:w="0" w:type="dxa"/>
            </w:tcMar>
            <w:tcW w:w="1144"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价格分</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1"/>
                <w:sz w:val="24"/>
                <w:szCs w:val="24"/>
                <w:highlight w:val="none"/>
              </w:rPr>
              <w:t xml:space="preserve">采用低价优先</w:t>
            </w:r>
            <w:r>
              <w:rPr>
                <w:rFonts w:cs="宋体" w:asciiTheme="minorEastAsia" w:hAnsiTheme="minorEastAsia" w:eastAsiaTheme="minorEastAsia"/>
                <w:color w:val="auto"/>
                <w:sz w:val="24"/>
                <w:szCs w:val="24"/>
                <w:highlight w:val="none"/>
              </w:rPr>
              <w:t xml:space="preserve">法计算，即满足招标文件要求且投标价格最低的投标</w:t>
            </w:r>
            <w:r>
              <w:rPr>
                <w:rFonts w:cs="宋体" w:asciiTheme="minorEastAsia" w:hAnsiTheme="minorEastAsia" w:eastAsiaTheme="minorEastAsia"/>
                <w:color w:val="auto"/>
                <w:spacing w:val="1"/>
                <w:sz w:val="24"/>
                <w:szCs w:val="24"/>
                <w:highlight w:val="none"/>
              </w:rPr>
              <w:t xml:space="preserve">报价为评标基准</w:t>
            </w:r>
            <w:r>
              <w:rPr>
                <w:rFonts w:cs="宋体" w:asciiTheme="minorEastAsia" w:hAnsiTheme="minorEastAsia" w:eastAsiaTheme="minorEastAsia"/>
                <w:color w:val="auto"/>
                <w:sz w:val="24"/>
                <w:szCs w:val="24"/>
                <w:highlight w:val="none"/>
              </w:rPr>
              <w:t xml:space="preserve">价，其价格分为满分。其他投标人的价格分统一按</w:t>
            </w:r>
            <w:r>
              <w:rPr>
                <w:rFonts w:cs="宋体" w:asciiTheme="minorEastAsia" w:hAnsiTheme="minorEastAsia" w:eastAsiaTheme="minorEastAsia"/>
                <w:color w:val="auto"/>
                <w:spacing w:val="-1"/>
                <w:sz w:val="24"/>
                <w:szCs w:val="24"/>
                <w:highlight w:val="none"/>
              </w:rPr>
              <w:t xml:space="preserve">照下列公</w:t>
            </w:r>
            <w:r>
              <w:rPr>
                <w:rFonts w:cs="宋体" w:asciiTheme="minorEastAsia" w:hAnsiTheme="minorEastAsia" w:eastAsiaTheme="minorEastAsia"/>
                <w:color w:val="auto"/>
                <w:sz w:val="24"/>
                <w:szCs w:val="24"/>
                <w:highlight w:val="none"/>
              </w:rPr>
              <w:t xml:space="preserve">式计算：投标报价得分=(评标基准价/投标报价)×30（小数点保留两位）</w:t>
            </w:r>
            <w:r/>
          </w:p>
        </w:tc>
        <w:tc>
          <w:tcPr>
            <w:tcMar>
              <w:left w:w="0" w:type="dxa"/>
              <w:top w:w="0" w:type="dxa"/>
              <w:right w:w="0" w:type="dxa"/>
              <w:bottom w:w="0" w:type="dxa"/>
            </w:tcMar>
            <w:tcW w:w="628"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30</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价格分</w:t>
            </w:r>
            <w:r/>
          </w:p>
        </w:tc>
      </w:tr>
      <w:tr>
        <w:trPr>
          <w:jc w:val="center"/>
          <w:trHeight w:val="460"/>
        </w:trPr>
        <w:tc>
          <w:tcPr>
            <w:gridSpan w:val="5"/>
            <w:tcMar>
              <w:left w:w="0" w:type="dxa"/>
              <w:top w:w="0" w:type="dxa"/>
              <w:right w:w="0" w:type="dxa"/>
              <w:bottom w:w="0" w:type="dxa"/>
            </w:tcMar>
            <w:tcW w:w="9288" w:type="dxa"/>
            <w:textDirection w:val="lrTb"/>
            <w:noWrap w:val="false"/>
          </w:tcPr>
          <w:p>
            <w:pPr>
              <w:ind w:left="114"/>
              <w:spacing w:before="123"/>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3"/>
                <w:sz w:val="24"/>
                <w:szCs w:val="24"/>
                <w:highlight w:val="none"/>
              </w:rPr>
              <w:t xml:space="preserve">2.技术</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2.1</w:t>
            </w:r>
            <w:r/>
          </w:p>
        </w:tc>
        <w:tc>
          <w:tcPr>
            <w:tcMar>
              <w:left w:w="0" w:type="dxa"/>
              <w:top w:w="0" w:type="dxa"/>
              <w:right w:w="0" w:type="dxa"/>
              <w:bottom w:w="0" w:type="dxa"/>
            </w:tcMar>
            <w:tcW w:w="1144"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产品技术参数</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产品技术参数全部满足招标要求的得满分，有1项负偏离扣</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分，扣完为止。</w:t>
            </w:r>
            <w:r/>
          </w:p>
        </w:tc>
        <w:tc>
          <w:tcPr>
            <w:tcMar>
              <w:left w:w="0" w:type="dxa"/>
              <w:top w:w="0" w:type="dxa"/>
              <w:right w:w="0" w:type="dxa"/>
              <w:bottom w:w="0" w:type="dxa"/>
            </w:tcMar>
            <w:tcW w:w="628" w:type="dxa"/>
            <w:vAlign w:val="center"/>
            <w:textDirection w:val="lrTb"/>
            <w:noWrap w:val="false"/>
          </w:tcPr>
          <w:p>
            <w:pPr>
              <w:jc w:val="center"/>
              <w:spacing w:before="68"/>
              <w:rPr>
                <w:rFonts w:hint="eastAsia"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lang w:val="en-US" w:eastAsia="zh-CN"/>
              </w:rPr>
              <w:t xml:space="preserve">7</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6"/>
                <w:sz w:val="24"/>
                <w:szCs w:val="24"/>
                <w:highlight w:val="none"/>
              </w:rPr>
              <w:t xml:space="preserve">客</w:t>
            </w:r>
            <w:r>
              <w:rPr>
                <w:rFonts w:cs="宋体" w:asciiTheme="minorEastAsia" w:hAnsiTheme="minorEastAsia" w:eastAsiaTheme="minorEastAsia"/>
                <w:color w:val="auto"/>
                <w:spacing w:val="-4"/>
                <w:sz w:val="24"/>
                <w:szCs w:val="24"/>
                <w:highlight w:val="none"/>
              </w:rPr>
              <w:t xml:space="preserve">观分</w:t>
            </w:r>
            <w:r/>
          </w:p>
        </w:tc>
      </w:tr>
      <w:tr>
        <w:trPr>
          <w:jc w:val="center"/>
          <w:trHeight w:val="274"/>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2.2</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原材料检测报告</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投标人或所投核心产品供应商</w:t>
            </w:r>
            <w:r>
              <w:rPr>
                <w:rFonts w:cs="宋体" w:asciiTheme="minorEastAsia" w:hAnsiTheme="minorEastAsia" w:eastAsiaTheme="minorEastAsia"/>
                <w:color w:val="auto"/>
                <w:sz w:val="24"/>
                <w:szCs w:val="24"/>
                <w:highlight w:val="none"/>
              </w:rPr>
              <w:t xml:space="preserve">提供2023年1月1日（以报告签发日期为准）以来，具有CMA标识且检测结果为合格/符合的原材料检测报告原件扫描</w:t>
            </w:r>
            <w:r>
              <w:rPr>
                <w:rFonts w:hint="eastAsia" w:cs="宋体" w:asciiTheme="minorEastAsia" w:hAnsiTheme="minorEastAsia" w:eastAsiaTheme="minorEastAsia"/>
                <w:color w:val="auto"/>
                <w:sz w:val="24"/>
                <w:szCs w:val="24"/>
                <w:highlight w:val="none"/>
              </w:rPr>
              <w:t xml:space="preserve">件 ：                                                                         </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（1）橡胶木：依据标准需包含GB/T3324-2024、GB/T1927.5-2021、GB/T38309-2019、GB/T29894-2013，检测项目至少包含：外观要求、气干密度、烟气流毒性组分测试、树种鉴定。</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钢管：</w:t>
            </w:r>
            <w:r>
              <w:rPr>
                <w:rFonts w:cs="宋体" w:asciiTheme="minorEastAsia" w:hAnsiTheme="minorEastAsia" w:eastAsiaTheme="minorEastAsia"/>
                <w:color w:val="auto"/>
                <w:sz w:val="24"/>
                <w:szCs w:val="24"/>
                <w:highlight w:val="none"/>
              </w:rPr>
              <w:t xml:space="preserve">依据标准需包含：GB/T</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3325-2024标准。检测项包含:外观性能、常温抗拉强度、涂层耐久性、高浓度二氧化硫试验(120h)</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（3）铰链：依据标准需包含</w:t>
            </w:r>
            <w:r>
              <w:rPr>
                <w:rFonts w:cs="宋体" w:asciiTheme="minorEastAsia" w:hAnsiTheme="minorEastAsia" w:eastAsiaTheme="minorEastAsia"/>
                <w:color w:val="auto"/>
                <w:sz w:val="24"/>
                <w:szCs w:val="24"/>
                <w:highlight w:val="none"/>
              </w:rPr>
              <w:t xml:space="preserve">QB/T2189-2013</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检测项包含</w:t>
            </w:r>
            <w:r>
              <w:rPr>
                <w:rFonts w:hint="eastAsia" w:cs="宋体" w:asciiTheme="minorEastAsia" w:hAnsiTheme="minorEastAsia" w:eastAsiaTheme="minorEastAsia"/>
                <w:color w:val="auto"/>
                <w:sz w:val="24"/>
                <w:szCs w:val="24"/>
                <w:highlight w:val="none"/>
              </w:rPr>
              <w:t xml:space="preserve">：耐久性（循环150000次）、下沉量、中性盐雾试验-480h、功能（垂直静载荷）。</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海绵:依据标准需</w:t>
            </w:r>
            <w:r>
              <w:rPr>
                <w:rFonts w:hint="eastAsia" w:cs="宋体" w:asciiTheme="minorEastAsia" w:hAnsiTheme="minorEastAsia" w:eastAsiaTheme="minorEastAsia"/>
                <w:color w:val="auto"/>
                <w:sz w:val="24"/>
                <w:szCs w:val="24"/>
                <w:highlight w:val="none"/>
              </w:rPr>
              <w:t xml:space="preserve">包</w:t>
            </w:r>
            <w:r>
              <w:rPr>
                <w:rFonts w:cs="宋体" w:asciiTheme="minorEastAsia" w:hAnsiTheme="minorEastAsia" w:eastAsiaTheme="minorEastAsia"/>
                <w:color w:val="auto"/>
                <w:sz w:val="24"/>
                <w:szCs w:val="24"/>
                <w:highlight w:val="none"/>
              </w:rPr>
              <w:t xml:space="preserve">含GB/T10802-2023标准。检测项包含:外观、回弹率、气味等级、拉伸强度、撕裂强度、干热老化后拉伸强度、湿热老化后拉伸强度、凹入硬度、压缩永久变形。</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每提供</w:t>
            </w:r>
            <w:r>
              <w:rPr>
                <w:rFonts w:hint="eastAsia" w:cs="宋体" w:asciiTheme="minorEastAsia" w:hAnsiTheme="minorEastAsia" w:eastAsiaTheme="minorEastAsia"/>
                <w:color w:val="auto"/>
                <w:sz w:val="24"/>
                <w:szCs w:val="24"/>
                <w:highlight w:val="none"/>
              </w:rPr>
              <w:t xml:space="preserve">一份</w:t>
            </w:r>
            <w:r>
              <w:rPr>
                <w:rFonts w:hint="eastAsia" w:cs="宋体" w:asciiTheme="minorEastAsia" w:hAnsiTheme="minorEastAsia" w:eastAsiaTheme="minorEastAsia"/>
                <w:color w:val="auto"/>
                <w:sz w:val="24"/>
                <w:szCs w:val="24"/>
                <w:highlight w:val="none"/>
              </w:rPr>
              <w:t xml:space="preserve">合格的检测报告扫描件，得</w:t>
            </w:r>
            <w:r>
              <w:rPr>
                <w:rFonts w:cs="宋体" w:asciiTheme="minorEastAsia" w:hAnsiTheme="minorEastAsia" w:eastAsiaTheme="minorEastAsia"/>
                <w:color w:val="auto"/>
                <w:sz w:val="24"/>
                <w:szCs w:val="24"/>
                <w:highlight w:val="none"/>
              </w:rPr>
              <w:t xml:space="preserve">1分，最多得</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Mar>
              <w:left w:w="0" w:type="dxa"/>
              <w:top w:w="0" w:type="dxa"/>
              <w:right w:w="0" w:type="dxa"/>
              <w:bottom w:w="0" w:type="dxa"/>
            </w:tcMar>
            <w:tcW w:w="628" w:type="dxa"/>
            <w:vAlign w:val="center"/>
            <w:textDirection w:val="lrTb"/>
            <w:noWrap w:val="false"/>
          </w:tcPr>
          <w:p>
            <w:pPr>
              <w:jc w:val="cente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4</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2.3</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成品检测报告</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投标人或所投核心产品供应商提供2023年1月1日</w:t>
            </w:r>
            <w:r>
              <w:rPr>
                <w:rFonts w:cs="宋体" w:asciiTheme="minorEastAsia" w:hAnsiTheme="minorEastAsia" w:eastAsiaTheme="minorEastAsia"/>
                <w:color w:val="auto"/>
                <w:sz w:val="24"/>
                <w:szCs w:val="24"/>
                <w:highlight w:val="none"/>
              </w:rPr>
              <w:t xml:space="preserve">（以报告签发日期为准）以来，具有CMA标识且检测结果为合格/符合的成品检测报告原件扫描件：</w:t>
            </w:r>
            <w:r>
              <w:rPr>
                <w:rFonts w:hint="eastAsia" w:cs="宋体" w:asciiTheme="minorEastAsia" w:hAnsiTheme="minorEastAsia" w:eastAsiaTheme="minorEastAsia"/>
                <w:color w:val="auto"/>
                <w:sz w:val="24"/>
                <w:szCs w:val="24"/>
                <w:highlight w:val="none"/>
              </w:rPr>
              <w:t xml:space="preserve">                                                   </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椅子：</w:t>
            </w:r>
            <w:r>
              <w:rPr>
                <w:rFonts w:cs="宋体" w:asciiTheme="minorEastAsia" w:hAnsiTheme="minorEastAsia" w:eastAsiaTheme="minorEastAsia"/>
                <w:color w:val="auto"/>
                <w:sz w:val="24"/>
                <w:szCs w:val="24"/>
                <w:highlight w:val="none"/>
              </w:rPr>
              <w:t xml:space="preserve">依据标准需包含GB/T3324-2024、GB/T10357.3-2025、GB/T31106-2014、GB/T43355-2023/ISO21701:2019(IDT)，检测项包含：外观、椅凳类强度和耐久性、苯、甲苯、TVOC、抗病毒活性值（肠道病毒EV71）。</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办公桌：依据标准需包含</w:t>
            </w:r>
            <w:r>
              <w:rPr>
                <w:rFonts w:cs="宋体" w:asciiTheme="minorEastAsia" w:hAnsiTheme="minorEastAsia" w:eastAsiaTheme="minorEastAsia"/>
                <w:color w:val="auto"/>
                <w:sz w:val="24"/>
                <w:szCs w:val="24"/>
                <w:highlight w:val="none"/>
              </w:rPr>
              <w:t xml:space="preserve">GB/T</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3324-2024</w:t>
            </w:r>
            <w:r>
              <w:rPr>
                <w:rFonts w:hint="eastAsia"/>
                <w:color w:val="auto"/>
                <w:highlight w:val="none"/>
              </w:rPr>
              <w:t xml:space="preserve"> 、</w:t>
            </w:r>
            <w:r>
              <w:rPr>
                <w:rFonts w:cs="宋体" w:asciiTheme="minorEastAsia" w:hAnsiTheme="minorEastAsia" w:eastAsiaTheme="minorEastAsia"/>
                <w:color w:val="auto"/>
                <w:sz w:val="24"/>
                <w:szCs w:val="24"/>
                <w:highlight w:val="none"/>
              </w:rPr>
              <w:t xml:space="preserve">GB/T43355-202</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IS</w:t>
            </w:r>
            <w:r>
              <w:rPr>
                <w:rFonts w:hint="eastAsia" w:cs="宋体" w:asciiTheme="minorEastAsia" w:hAnsiTheme="minorEastAsia" w:eastAsiaTheme="minorEastAsia"/>
                <w:color w:val="auto"/>
                <w:sz w:val="24"/>
                <w:szCs w:val="24"/>
                <w:highlight w:val="none"/>
              </w:rPr>
              <w:t xml:space="preserve">O</w:t>
            </w:r>
            <w:r>
              <w:rPr>
                <w:rFonts w:cs="宋体" w:asciiTheme="minorEastAsia" w:hAnsiTheme="minorEastAsia" w:eastAsiaTheme="minorEastAsia"/>
                <w:color w:val="auto"/>
                <w:sz w:val="24"/>
                <w:szCs w:val="24"/>
                <w:highlight w:val="none"/>
              </w:rPr>
              <w:t xml:space="preserve">21702:2019（</w:t>
            </w:r>
            <w:r>
              <w:rPr>
                <w:rFonts w:hint="eastAsia" w:cs="宋体" w:asciiTheme="minorEastAsia" w:hAnsiTheme="minorEastAsia" w:eastAsiaTheme="minorEastAsia"/>
                <w:color w:val="auto"/>
                <w:sz w:val="24"/>
                <w:szCs w:val="24"/>
                <w:highlight w:val="none"/>
              </w:rPr>
              <w:t xml:space="preserve">I</w:t>
            </w:r>
            <w:r>
              <w:rPr>
                <w:rFonts w:cs="宋体" w:asciiTheme="minorEastAsia" w:hAnsiTheme="minorEastAsia" w:eastAsiaTheme="minorEastAsia"/>
                <w:color w:val="auto"/>
                <w:sz w:val="24"/>
                <w:szCs w:val="24"/>
                <w:highlight w:val="none"/>
              </w:rPr>
              <w:t xml:space="preserve">DT）</w:t>
            </w:r>
            <w:r>
              <w:rPr>
                <w:rFonts w:hint="eastAsia" w:cs="宋体" w:asciiTheme="minorEastAsia" w:hAnsiTheme="minorEastAsia" w:eastAsiaTheme="minorEastAsia"/>
                <w:color w:val="auto"/>
                <w:sz w:val="24"/>
                <w:szCs w:val="24"/>
                <w:highlight w:val="none"/>
              </w:rPr>
              <w:t xml:space="preserve">，检测项包含外观、理化性能、力学性能、甲醛释放量、家具涂层可迁移元素、</w:t>
            </w:r>
            <w:r>
              <w:rPr>
                <w:rFonts w:cs="宋体" w:asciiTheme="minorEastAsia" w:hAnsiTheme="minorEastAsia" w:eastAsiaTheme="minorEastAsia"/>
                <w:color w:val="auto"/>
                <w:sz w:val="24"/>
                <w:szCs w:val="24"/>
                <w:highlight w:val="none"/>
              </w:rPr>
              <w:t xml:space="preserve">抗病毒活性</w:t>
            </w:r>
            <w:r>
              <w:rPr>
                <w:rFonts w:hint="eastAsia" w:cs="宋体" w:asciiTheme="minorEastAsia" w:hAnsiTheme="minorEastAsia" w:eastAsiaTheme="minorEastAsia"/>
                <w:color w:val="auto"/>
                <w:sz w:val="24"/>
                <w:szCs w:val="24"/>
                <w:highlight w:val="none"/>
              </w:rPr>
              <w:t xml:space="preserve">率（</w:t>
            </w:r>
            <w:r>
              <w:rPr>
                <w:rFonts w:cs="宋体" w:asciiTheme="minorEastAsia" w:hAnsiTheme="minorEastAsia" w:eastAsiaTheme="minorEastAsia"/>
                <w:color w:val="auto"/>
                <w:sz w:val="24"/>
                <w:szCs w:val="24"/>
                <w:highlight w:val="none"/>
              </w:rPr>
              <w:t xml:space="preserve">甲型流感病毒H3N2</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万向吸风罩：依据标准需包含GB/T10125-2021、GB/T6461-2002，检测项包含：中性盐雾试验(480h)保护评级Rp:10级，外观评级RA:10vsA性能评级(RP/RA):10/10vsA。</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每提供</w:t>
            </w:r>
            <w:r>
              <w:rPr>
                <w:rFonts w:hint="eastAsia" w:cs="宋体" w:asciiTheme="minorEastAsia" w:hAnsiTheme="minorEastAsia" w:eastAsiaTheme="minorEastAsia"/>
                <w:color w:val="auto"/>
                <w:sz w:val="24"/>
                <w:szCs w:val="24"/>
                <w:highlight w:val="none"/>
              </w:rPr>
              <w:t xml:space="preserve">一份</w:t>
            </w:r>
            <w:r>
              <w:rPr>
                <w:rFonts w:hint="eastAsia" w:cs="宋体" w:asciiTheme="minorEastAsia" w:hAnsiTheme="minorEastAsia" w:eastAsiaTheme="minorEastAsia"/>
                <w:color w:val="auto"/>
                <w:sz w:val="24"/>
                <w:szCs w:val="24"/>
                <w:highlight w:val="none"/>
              </w:rPr>
              <w:t xml:space="preserve">合格的检测报告扫描件，得</w:t>
            </w:r>
            <w:r>
              <w:rPr>
                <w:rFonts w:cs="宋体" w:asciiTheme="minorEastAsia" w:hAnsiTheme="minorEastAsia" w:eastAsiaTheme="minorEastAsia"/>
                <w:color w:val="auto"/>
                <w:sz w:val="24"/>
                <w:szCs w:val="24"/>
                <w:highlight w:val="none"/>
              </w:rPr>
              <w:t xml:space="preserve">1分，最多得</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rPr>
              <w:t xml:space="preserve">3</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2.4</w:t>
            </w:r>
            <w:r/>
          </w:p>
        </w:tc>
        <w:tc>
          <w:tcPr>
            <w:tcMar>
              <w:left w:w="0" w:type="dxa"/>
              <w:top w:w="0" w:type="dxa"/>
              <w:right w:w="0" w:type="dxa"/>
              <w:bottom w:w="0" w:type="dxa"/>
            </w:tcMar>
            <w:tcW w:w="1144" w:type="dxa"/>
            <w:vAlign w:val="center"/>
            <w:textDirection w:val="lrTb"/>
            <w:noWrap w:val="false"/>
          </w:tcPr>
          <w:p>
            <w:pPr>
              <w:jc w:val="cente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样品</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评委根据投标人提供的</w:t>
            </w:r>
            <w:r>
              <w:rPr>
                <w:rFonts w:hint="eastAsia" w:cs="宋体" w:asciiTheme="minorEastAsia" w:hAnsiTheme="minorEastAsia" w:eastAsiaTheme="minorEastAsia"/>
                <w:color w:val="auto"/>
                <w:sz w:val="24"/>
                <w:szCs w:val="24"/>
                <w:highlight w:val="none"/>
              </w:rPr>
              <w:t xml:space="preserve">书法凳</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书法教室：</w:t>
            </w:r>
            <w:r>
              <w:rPr>
                <w:rFonts w:cs="宋体" w:asciiTheme="minorEastAsia" w:hAnsiTheme="minorEastAsia" w:eastAsiaTheme="minorEastAsia"/>
                <w:color w:val="auto"/>
                <w:sz w:val="24"/>
                <w:szCs w:val="24"/>
                <w:highlight w:val="none"/>
              </w:rPr>
              <w:t xml:space="preserve">序号</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实物进行</w:t>
            </w:r>
            <w:r>
              <w:rPr>
                <w:rFonts w:cs="宋体" w:asciiTheme="minorEastAsia" w:hAnsiTheme="minorEastAsia" w:eastAsiaTheme="minorEastAsia"/>
                <w:color w:val="auto"/>
                <w:sz w:val="24"/>
                <w:szCs w:val="24"/>
                <w:highlight w:val="none"/>
              </w:rPr>
              <w:t xml:space="preserve">综合评分</w:t>
            </w:r>
            <w:r>
              <w:rPr>
                <w:rFonts w:hint="eastAsia" w:cs="宋体" w:asciiTheme="minorEastAsia" w:hAnsiTheme="minorEastAsia" w:eastAsiaTheme="minorEastAsia"/>
                <w:color w:val="auto"/>
                <w:sz w:val="24"/>
                <w:szCs w:val="24"/>
                <w:highlight w:val="none"/>
              </w:rPr>
              <w:t xml:space="preserve">（参数同清单中参数要求)</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（1）外观3分：样品外观造型美观、表面平整度高，得3分；</w:t>
            </w:r>
            <w:r>
              <w:rPr>
                <w:rFonts w:hint="eastAsia" w:cs="宋体" w:asciiTheme="minorEastAsia" w:hAnsiTheme="minorEastAsia" w:eastAsiaTheme="minorEastAsia"/>
                <w:color w:val="auto"/>
                <w:sz w:val="24"/>
                <w:szCs w:val="24"/>
                <w:highlight w:val="none"/>
              </w:rPr>
              <w:t xml:space="preserve">样品外观造型较美观、表面平整度较高，得2分；样品外观造型一般、表面平整度一般，得1分</w:t>
            </w:r>
            <w:r>
              <w:rPr>
                <w:rFonts w:hint="eastAsia" w:cs="宋体" w:asciiTheme="minorEastAsia" w:hAnsiTheme="minorEastAsia" w:eastAsiaTheme="minorEastAsia"/>
                <w:color w:val="auto"/>
                <w:sz w:val="24"/>
                <w:szCs w:val="24"/>
                <w:highlight w:val="none"/>
              </w:rPr>
              <w:t xml:space="preserve">；样品外观造型不美观、表面平整度差，不得分；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（2）工艺3分：根据样品连接紧密程度、平整度、垂直度等，生产工艺精湛得3分，</w:t>
            </w:r>
            <w:r>
              <w:rPr>
                <w:rFonts w:hint="eastAsia" w:cs="宋体" w:asciiTheme="minorEastAsia" w:hAnsiTheme="minorEastAsia" w:eastAsiaTheme="minorEastAsia"/>
                <w:color w:val="auto"/>
                <w:sz w:val="24"/>
                <w:szCs w:val="24"/>
                <w:highlight w:val="none"/>
              </w:rPr>
              <w:t xml:space="preserve">生产工艺水平较高得2分，生产工艺水平一般得1分，</w:t>
            </w:r>
            <w:r>
              <w:rPr>
                <w:rFonts w:hint="eastAsia" w:cs="宋体" w:asciiTheme="minorEastAsia" w:hAnsiTheme="minorEastAsia" w:eastAsiaTheme="minorEastAsia"/>
                <w:color w:val="auto"/>
                <w:sz w:val="24"/>
                <w:szCs w:val="24"/>
                <w:highlight w:val="none"/>
              </w:rPr>
              <w:t xml:space="preserve">生产工艺处理欠缺的不得分；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（3）强度2分：样品稳定性好、强度高、承重好，得2分；样品稳定性较好、强度较高、承重较好，得1分；样品稳定性欠缺、强度较低、承重较差，不得分；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8</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主观分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2.5</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视频演示</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评委根据投标人提供的</w:t>
            </w:r>
            <w:r>
              <w:rPr>
                <w:rFonts w:hint="eastAsia" w:cs="宋体" w:asciiTheme="minorEastAsia" w:hAnsiTheme="minorEastAsia" w:eastAsiaTheme="minorEastAsia"/>
                <w:color w:val="auto"/>
                <w:sz w:val="24"/>
                <w:szCs w:val="24"/>
                <w:highlight w:val="none"/>
              </w:rPr>
              <w:t xml:space="preserve">数字化试验系统</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化学实验室：</w:t>
            </w:r>
            <w:r>
              <w:rPr>
                <w:rFonts w:cs="宋体" w:asciiTheme="minorEastAsia" w:hAnsiTheme="minorEastAsia" w:eastAsiaTheme="minorEastAsia"/>
                <w:color w:val="auto"/>
                <w:sz w:val="24"/>
                <w:szCs w:val="24"/>
                <w:highlight w:val="none"/>
              </w:rPr>
              <w:t xml:space="preserve">序号</w:t>
            </w:r>
            <w:r>
              <w:rPr>
                <w:rFonts w:hint="eastAsia" w:cs="宋体" w:asciiTheme="minorEastAsia" w:hAnsiTheme="minorEastAsia" w:eastAsiaTheme="minorEastAsia"/>
                <w:color w:val="auto"/>
                <w:sz w:val="24"/>
                <w:szCs w:val="24"/>
                <w:highlight w:val="none"/>
              </w:rPr>
              <w:t xml:space="preserve">42</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所包含的实验资源管理云平台功能模块内容</w:t>
            </w:r>
            <w:r>
              <w:rPr>
                <w:rFonts w:cs="宋体" w:asciiTheme="minorEastAsia" w:hAnsiTheme="minorEastAsia" w:eastAsiaTheme="minorEastAsia"/>
                <w:color w:val="auto"/>
                <w:sz w:val="24"/>
                <w:szCs w:val="24"/>
                <w:highlight w:val="none"/>
              </w:rPr>
              <w:t xml:space="preserve">演示情况综合评分：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平台中的实验课程管理功能，包括实验课程计划、实验课预约管理（自动生成仪器清单），得1分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展示实验课程资源，要求实验课程资源数量不少于500份，得1分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展示实验课程资源，要求内容丰富，包含教师页、学生页、报告页，以及详细的实验过程，得1分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（4）展示仪器库和实验课程资源的关联性，要求可通过查询仪器自动查询该仪器可完成的实验目录；通过查询实验课程自动查询完成该实验的仪器清单，得2分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以上4项，最高</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5</w:t>
            </w:r>
            <w:r>
              <w:rPr>
                <w:rFonts w:cs="宋体" w:asciiTheme="minorEastAsia" w:hAnsiTheme="minorEastAsia" w:eastAsiaTheme="minorEastAsia"/>
                <w:color w:val="auto"/>
                <w:sz w:val="24"/>
                <w:szCs w:val="24"/>
                <w:highlight w:val="none"/>
              </w:rPr>
              <w:t xml:space="preserve">分；不能满足要求</w:t>
            </w:r>
            <w:r>
              <w:rPr>
                <w:rFonts w:hint="eastAsia" w:cs="宋体" w:asciiTheme="minorEastAsia" w:hAnsiTheme="minorEastAsia" w:eastAsiaTheme="minorEastAsia"/>
                <w:color w:val="auto"/>
                <w:sz w:val="24"/>
                <w:szCs w:val="24"/>
                <w:highlight w:val="none"/>
              </w:rPr>
              <w:t xml:space="preserve">项</w:t>
            </w:r>
            <w:r>
              <w:rPr>
                <w:rFonts w:cs="宋体" w:asciiTheme="minorEastAsia" w:hAnsiTheme="minorEastAsia" w:eastAsiaTheme="minorEastAsia"/>
                <w:color w:val="auto"/>
                <w:sz w:val="24"/>
                <w:szCs w:val="24"/>
                <w:highlight w:val="none"/>
              </w:rPr>
              <w:t xml:space="preserve">的不得分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评委根据投标人提供的</w:t>
            </w:r>
            <w:r>
              <w:rPr>
                <w:rFonts w:hint="eastAsia" w:cs="宋体" w:asciiTheme="minorEastAsia" w:hAnsiTheme="minorEastAsia" w:eastAsiaTheme="minorEastAsia"/>
                <w:color w:val="auto"/>
                <w:sz w:val="24"/>
                <w:szCs w:val="24"/>
                <w:highlight w:val="none"/>
              </w:rPr>
              <w:t xml:space="preserve">音乐放松训练系统</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心理室（个辅室）</w:t>
            </w:r>
            <w:r>
              <w:rPr>
                <w:rFonts w:cs="宋体" w:asciiTheme="minorEastAsia" w:hAnsiTheme="minorEastAsia" w:eastAsiaTheme="minorEastAsia"/>
                <w:color w:val="auto"/>
                <w:sz w:val="24"/>
                <w:szCs w:val="24"/>
                <w:highlight w:val="none"/>
              </w:rPr>
              <w:t xml:space="preserve">序号</w:t>
            </w:r>
            <w:r>
              <w:rPr>
                <w:rFonts w:hint="eastAsia" w:cs="宋体" w:asciiTheme="minorEastAsia" w:hAnsiTheme="minorEastAsia" w:eastAsiaTheme="minorEastAsia"/>
                <w:color w:val="auto"/>
                <w:sz w:val="24"/>
                <w:szCs w:val="24"/>
                <w:highlight w:val="none"/>
              </w:rPr>
              <w:t xml:space="preserve">：8</w:t>
            </w:r>
            <w:r>
              <w:rPr>
                <w:rFonts w:cs="宋体" w:asciiTheme="minorEastAsia" w:hAnsiTheme="minorEastAsia" w:eastAsiaTheme="minorEastAsia"/>
                <w:color w:val="auto"/>
                <w:sz w:val="24"/>
                <w:szCs w:val="24"/>
                <w:highlight w:val="none"/>
              </w:rPr>
              <w:t xml:space="preserve">）视频演示情况综合评分：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至少包含放松方案、放松环境、辅助催眠、系统管理、放松情况、使用帮助6大模块。可以实时监测训练者心率、血氧，压力指数、HRV、PNN50等数值，得1分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系统软件会根据这些采集到的实时生理数据进行系统分析，并自动为使用者提供最有针对性的放松方案。如果当前音乐对其没有产生放松作用，系统会根据生理采集器数据，自动选择播放适合于放松的音乐，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放松环境：内含山林、静谧夜晚、下雨天、小桥流水、海边等场景模式，可支持自定义添加环境，得1分</w:t>
            </w:r>
            <w:r>
              <w:rPr>
                <w:rFonts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可以查询使用者本次及历次使用记录，可根据放松日期、用户名、用户所属进行查询用户训练记录，记录包含最大血氧、最大脉率、平均血氧、平均脉率、使用的方案等内容，得2分。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以上4项，最高</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5</w:t>
            </w:r>
            <w:r>
              <w:rPr>
                <w:rFonts w:cs="宋体" w:asciiTheme="minorEastAsia" w:hAnsiTheme="minorEastAsia" w:eastAsiaTheme="minorEastAsia"/>
                <w:color w:val="auto"/>
                <w:sz w:val="24"/>
                <w:szCs w:val="24"/>
                <w:highlight w:val="none"/>
              </w:rPr>
              <w:t xml:space="preserve">分；不能满足要求</w:t>
            </w:r>
            <w:r>
              <w:rPr>
                <w:rFonts w:hint="eastAsia" w:cs="宋体" w:asciiTheme="minorEastAsia" w:hAnsiTheme="minorEastAsia" w:eastAsiaTheme="minorEastAsia"/>
                <w:color w:val="auto"/>
                <w:sz w:val="24"/>
                <w:szCs w:val="24"/>
                <w:highlight w:val="none"/>
              </w:rPr>
              <w:t xml:space="preserve">项</w:t>
            </w:r>
            <w:r>
              <w:rPr>
                <w:rFonts w:cs="宋体" w:asciiTheme="minorEastAsia" w:hAnsiTheme="minorEastAsia" w:eastAsiaTheme="minorEastAsia"/>
                <w:color w:val="auto"/>
                <w:sz w:val="24"/>
                <w:szCs w:val="24"/>
                <w:highlight w:val="none"/>
              </w:rPr>
              <w:t xml:space="preserve">的不得分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本项最多得</w:t>
            </w:r>
            <w:r>
              <w:rPr>
                <w:rFonts w:hint="eastAsia" w:cs="宋体" w:asciiTheme="minorEastAsia" w:hAnsiTheme="minorEastAsia" w:eastAsiaTheme="minorEastAsia"/>
                <w:color w:val="auto"/>
                <w:sz w:val="24"/>
                <w:szCs w:val="24"/>
                <w:highlight w:val="none"/>
              </w:rPr>
              <w:t xml:space="preserve">10</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未提供视频文件或因投标人自身原因视频文件无法打开或视频画面不清晰无法辨认的不得分。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10</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客</w:t>
            </w:r>
            <w:r>
              <w:rPr>
                <w:rFonts w:cs="宋体" w:asciiTheme="minorEastAsia" w:hAnsiTheme="minorEastAsia" w:eastAsiaTheme="minorEastAsia"/>
                <w:color w:val="auto"/>
                <w:sz w:val="24"/>
                <w:szCs w:val="24"/>
                <w:highlight w:val="none"/>
              </w:rPr>
              <w:t xml:space="preserve">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2.6</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深化设计</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1、评委根据投标人提供的</w:t>
            </w:r>
            <w:r>
              <w:rPr>
                <w:rFonts w:hint="eastAsia" w:cs="宋体" w:asciiTheme="minorEastAsia" w:hAnsiTheme="minorEastAsia" w:eastAsiaTheme="minorEastAsia"/>
                <w:color w:val="auto"/>
                <w:sz w:val="24"/>
                <w:szCs w:val="24"/>
                <w:highlight w:val="none"/>
              </w:rPr>
              <w:t xml:space="preserve">阅览室</w:t>
            </w:r>
            <w:r>
              <w:rPr>
                <w:rFonts w:cs="宋体" w:asciiTheme="minorEastAsia" w:hAnsiTheme="minorEastAsia" w:eastAsiaTheme="minorEastAsia"/>
                <w:color w:val="auto"/>
                <w:sz w:val="24"/>
                <w:szCs w:val="24"/>
                <w:highlight w:val="none"/>
              </w:rPr>
              <w:t xml:space="preserve">现场深化设计方案综合评分：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1.摆放分布图；2.效果图（效果图需包含2个角度）。</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（1）上述深化设计内容中产品布局合理，与招标文件清单一致，效果图设计感强，设计精美，得</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分； </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（2）上述每项深化设计内容中产品布局相对合理，效果图设计相对完善，得</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（3）上述每项深化设计内容中产品布局相对</w:t>
            </w:r>
            <w:r>
              <w:rPr>
                <w:rFonts w:hint="eastAsia" w:cs="宋体" w:asciiTheme="minorEastAsia" w:hAnsiTheme="minorEastAsia" w:eastAsiaTheme="minorEastAsia"/>
                <w:color w:val="auto"/>
                <w:sz w:val="24"/>
                <w:szCs w:val="24"/>
                <w:highlight w:val="none"/>
              </w:rPr>
              <w:t xml:space="preserve">一般</w:t>
            </w:r>
            <w:r>
              <w:rPr>
                <w:rFonts w:cs="宋体" w:asciiTheme="minorEastAsia" w:hAnsiTheme="minorEastAsia" w:eastAsiaTheme="minorEastAsia"/>
                <w:color w:val="auto"/>
                <w:sz w:val="24"/>
                <w:szCs w:val="24"/>
                <w:highlight w:val="none"/>
              </w:rPr>
              <w:t xml:space="preserve">，效果图设计相对</w:t>
            </w:r>
            <w:r>
              <w:rPr>
                <w:rFonts w:hint="eastAsia" w:cs="宋体" w:asciiTheme="minorEastAsia" w:hAnsiTheme="minorEastAsia" w:eastAsiaTheme="minorEastAsia"/>
                <w:color w:val="auto"/>
                <w:sz w:val="24"/>
                <w:szCs w:val="24"/>
                <w:highlight w:val="none"/>
              </w:rPr>
              <w:t xml:space="preserve">一般</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）上述每项深化设计不合理</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产品摆放分布图及效果图不全</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（5）</w:t>
            </w:r>
            <w:r>
              <w:rPr>
                <w:rFonts w:cs="宋体" w:asciiTheme="minorEastAsia" w:hAnsiTheme="minorEastAsia" w:eastAsiaTheme="minorEastAsia"/>
                <w:color w:val="auto"/>
                <w:sz w:val="24"/>
                <w:szCs w:val="24"/>
                <w:highlight w:val="none"/>
              </w:rPr>
              <w:t xml:space="preserve">未进行设计、未提供图纸的，不得分。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2、评委根据投标人提供的</w:t>
            </w:r>
            <w:r>
              <w:rPr>
                <w:rFonts w:hint="eastAsia" w:cs="宋体" w:asciiTheme="minorEastAsia" w:hAnsiTheme="minorEastAsia" w:eastAsiaTheme="minorEastAsia"/>
                <w:color w:val="auto"/>
                <w:sz w:val="24"/>
                <w:szCs w:val="24"/>
                <w:highlight w:val="none"/>
              </w:rPr>
              <w:t xml:space="preserve">化学实验室</w:t>
            </w:r>
            <w:r>
              <w:rPr>
                <w:rFonts w:cs="宋体" w:asciiTheme="minorEastAsia" w:hAnsiTheme="minorEastAsia" w:eastAsiaTheme="minorEastAsia"/>
                <w:color w:val="auto"/>
                <w:sz w:val="24"/>
                <w:szCs w:val="24"/>
                <w:highlight w:val="none"/>
              </w:rPr>
              <w:t xml:space="preserve">现场深化设计方案综合评分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包括</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施工图（包含电位图、给排水图、通风管道图）；2.摆放</w:t>
            </w:r>
            <w:r>
              <w:rPr>
                <w:rFonts w:cs="宋体" w:asciiTheme="minorEastAsia" w:hAnsiTheme="minorEastAsia" w:eastAsiaTheme="minorEastAsia"/>
                <w:color w:val="auto"/>
                <w:sz w:val="24"/>
                <w:szCs w:val="24"/>
                <w:highlight w:val="none"/>
              </w:rPr>
              <w:t xml:space="preserve">分布图；</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.效果图（效果图需包含2个角度）。</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（1）上述深化设计内容中产品布局合理，与招标文件清单一致，效果图设计感强，设计精美，得</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分； </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（2）上述每项深化设计内容中产品布局相对合理，效果图设计相对完善，得</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分；</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（3）上述每项深化设计内容中产品布局相对</w:t>
            </w:r>
            <w:r>
              <w:rPr>
                <w:rFonts w:hint="eastAsia" w:cs="宋体" w:asciiTheme="minorEastAsia" w:hAnsiTheme="minorEastAsia" w:eastAsiaTheme="minorEastAsia"/>
                <w:color w:val="auto"/>
                <w:sz w:val="24"/>
                <w:szCs w:val="24"/>
                <w:highlight w:val="none"/>
              </w:rPr>
              <w:t xml:space="preserve">一般</w:t>
            </w:r>
            <w:r>
              <w:rPr>
                <w:rFonts w:cs="宋体" w:asciiTheme="minorEastAsia" w:hAnsiTheme="minorEastAsia" w:eastAsiaTheme="minorEastAsia"/>
                <w:color w:val="auto"/>
                <w:sz w:val="24"/>
                <w:szCs w:val="24"/>
                <w:highlight w:val="none"/>
              </w:rPr>
              <w:t xml:space="preserve">，效果图设计相对</w:t>
            </w:r>
            <w:r>
              <w:rPr>
                <w:rFonts w:hint="eastAsia" w:cs="宋体" w:asciiTheme="minorEastAsia" w:hAnsiTheme="minorEastAsia" w:eastAsiaTheme="minorEastAsia"/>
                <w:color w:val="auto"/>
                <w:sz w:val="24"/>
                <w:szCs w:val="24"/>
                <w:highlight w:val="none"/>
              </w:rPr>
              <w:t xml:space="preserve">一般</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）上述每项深化设计不合理</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产品摆放分布图及效果图不全</w:t>
            </w:r>
            <w:r>
              <w:rPr>
                <w:rFonts w:cs="宋体" w:asciiTheme="minorEastAsia" w:hAnsiTheme="minorEastAsia" w:eastAsiaTheme="minorEastAsia"/>
                <w:color w:val="auto"/>
                <w:sz w:val="24"/>
                <w:szCs w:val="24"/>
                <w:highlight w:val="none"/>
              </w:rPr>
              <w:t xml:space="preserve">，得</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p>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（5）</w:t>
            </w:r>
            <w:r>
              <w:rPr>
                <w:rFonts w:cs="宋体" w:asciiTheme="minorEastAsia" w:hAnsiTheme="minorEastAsia" w:eastAsiaTheme="minorEastAsia"/>
                <w:color w:val="auto"/>
                <w:sz w:val="24"/>
                <w:szCs w:val="24"/>
                <w:highlight w:val="none"/>
              </w:rPr>
              <w:t xml:space="preserve">未进行设计、未提供图纸的，不得分。</w:t>
            </w:r>
            <w:r/>
          </w:p>
          <w:p>
            <w:pPr>
              <w:rPr>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本项最多得</w:t>
            </w:r>
            <w:r>
              <w:rPr>
                <w:rFonts w:hint="eastAsia" w:cs="宋体" w:asciiTheme="minorEastAsia" w:hAnsiTheme="minorEastAsia" w:eastAsiaTheme="minorEastAsia"/>
                <w:color w:val="auto"/>
                <w:sz w:val="24"/>
                <w:szCs w:val="24"/>
                <w:highlight w:val="none"/>
              </w:rPr>
              <w:t xml:space="preserve">8</w:t>
            </w:r>
            <w:r>
              <w:rPr>
                <w:rFonts w:cs="宋体" w:asciiTheme="minorEastAsia" w:hAnsiTheme="minorEastAsia" w:eastAsiaTheme="minorEastAsia"/>
                <w:color w:val="auto"/>
                <w:sz w:val="24"/>
                <w:szCs w:val="24"/>
                <w:highlight w:val="none"/>
              </w:rPr>
              <w:t xml:space="preserve">分</w:t>
            </w:r>
            <w:r>
              <w:rPr>
                <w:rFonts w:hint="eastAsia" w:cs="宋体" w:asciiTheme="minorEastAsia" w:hAnsiTheme="minorEastAsia" w:eastAsiaTheme="minorEastAsia"/>
                <w:color w:val="auto"/>
                <w:sz w:val="24"/>
                <w:szCs w:val="24"/>
                <w:highlight w:val="none"/>
              </w:rPr>
              <w:t xml:space="preserve">。</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8</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6"/>
                <w:sz w:val="24"/>
                <w:szCs w:val="24"/>
                <w:highlight w:val="none"/>
              </w:rPr>
              <w:t xml:space="preserve">主观分</w:t>
            </w:r>
            <w:r/>
          </w:p>
        </w:tc>
      </w:tr>
      <w:tr>
        <w:trPr>
          <w:jc w:val="center"/>
          <w:trHeight w:val="132"/>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2.7</w:t>
            </w:r>
            <w:r/>
          </w:p>
        </w:tc>
        <w:tc>
          <w:tcPr>
            <w:tcMar>
              <w:left w:w="0" w:type="dxa"/>
              <w:top w:w="0" w:type="dxa"/>
              <w:right w:w="0" w:type="dxa"/>
              <w:bottom w:w="0" w:type="dxa"/>
            </w:tcMar>
            <w:tcW w:w="1144" w:type="dxa"/>
            <w:vAlign w:val="center"/>
            <w:textDirection w:val="lrTb"/>
            <w:noWrap w:val="false"/>
          </w:tcPr>
          <w:p>
            <w:pPr>
              <w:jc w:val="center"/>
              <w:spacing w:before="68"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实施方案</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评委根据投标人提供的项目实施方案综合评分，包含：</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w:t>
            </w:r>
            <w:r>
              <w:rPr>
                <w:rFonts w:hint="eastAsia"/>
                <w:color w:val="auto"/>
                <w:highlight w:val="none"/>
              </w:rPr>
              <w:t xml:space="preserve"> </w:t>
            </w:r>
            <w:r>
              <w:rPr>
                <w:rFonts w:hint="eastAsia" w:cs="宋体" w:asciiTheme="minorEastAsia" w:hAnsiTheme="minorEastAsia" w:eastAsiaTheme="minorEastAsia"/>
                <w:color w:val="auto"/>
                <w:sz w:val="24"/>
                <w:szCs w:val="24"/>
                <w:highlight w:val="none"/>
              </w:rPr>
              <w:t xml:space="preserve">供货进度保证措施</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质量保证措施；</w:t>
            </w: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.安全</w:t>
            </w:r>
            <w:r>
              <w:rPr>
                <w:rFonts w:hint="eastAsia" w:cs="宋体" w:asciiTheme="minorEastAsia" w:hAnsiTheme="minorEastAsia" w:eastAsiaTheme="minorEastAsia"/>
                <w:color w:val="auto"/>
                <w:sz w:val="24"/>
                <w:szCs w:val="24"/>
                <w:highlight w:val="none"/>
              </w:rPr>
              <w:t xml:space="preserve">保障</w:t>
            </w:r>
            <w:r>
              <w:rPr>
                <w:rFonts w:cs="宋体" w:asciiTheme="minorEastAsia" w:hAnsiTheme="minorEastAsia" w:eastAsiaTheme="minorEastAsia"/>
                <w:color w:val="auto"/>
                <w:sz w:val="24"/>
                <w:szCs w:val="24"/>
                <w:highlight w:val="none"/>
              </w:rPr>
              <w:t xml:space="preserve">措施；</w:t>
            </w:r>
            <w:r>
              <w:rPr>
                <w:rFonts w:hint="eastAsia" w:cs="宋体" w:asciiTheme="minorEastAsia" w:hAnsiTheme="minorEastAsia" w:eastAsiaTheme="minorEastAsia"/>
                <w:color w:val="auto"/>
                <w:sz w:val="24"/>
                <w:szCs w:val="24"/>
                <w:highlight w:val="none"/>
              </w:rPr>
              <w:t xml:space="preserve">4</w:t>
            </w:r>
            <w:r>
              <w:rPr>
                <w:rFonts w:cs="宋体" w:asciiTheme="minorEastAsia" w:hAnsiTheme="minorEastAsia" w:eastAsiaTheme="minorEastAsia"/>
                <w:color w:val="auto"/>
                <w:sz w:val="24"/>
                <w:szCs w:val="24"/>
                <w:highlight w:val="none"/>
              </w:rPr>
              <w:t xml:space="preserve">.安装调试计划。以上每项内容逐条阐述。</w:t>
            </w:r>
            <w:r/>
          </w:p>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（1）上述每项内容完整，科学合理、操作性强的，得</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分；</w:t>
            </w:r>
            <w:r/>
          </w:p>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（2）上述每项内容较完整，较科学合理，有可操作性的，得</w:t>
            </w: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分；</w:t>
            </w:r>
            <w:r/>
          </w:p>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（3）上述每项内容不科学合理、无操作性或未提供的不得分。</w:t>
            </w:r>
            <w:r/>
          </w:p>
        </w:tc>
        <w:tc>
          <w:tcPr>
            <w:tcMar>
              <w:left w:w="0" w:type="dxa"/>
              <w:top w:w="0" w:type="dxa"/>
              <w:right w:w="0" w:type="dxa"/>
              <w:bottom w:w="0" w:type="dxa"/>
            </w:tcMar>
            <w:tcW w:w="628" w:type="dxa"/>
            <w:vAlign w:val="center"/>
            <w:textDirection w:val="lrTb"/>
            <w:noWrap w:val="false"/>
          </w:tcPr>
          <w:p>
            <w:pPr>
              <w:jc w:val="center"/>
              <w:spacing w:before="68"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rPr>
              <w:t xml:space="preserve">8</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主观分</w:t>
            </w:r>
            <w:r/>
          </w:p>
        </w:tc>
      </w:tr>
      <w:tr>
        <w:trPr>
          <w:jc w:val="center"/>
          <w:trHeight w:val="472"/>
        </w:trPr>
        <w:tc>
          <w:tcPr>
            <w:gridSpan w:val="5"/>
            <w:tcMar>
              <w:left w:w="0" w:type="dxa"/>
              <w:top w:w="0" w:type="dxa"/>
              <w:right w:w="0" w:type="dxa"/>
              <w:bottom w:w="0" w:type="dxa"/>
            </w:tcMar>
            <w:tcW w:w="9288" w:type="dxa"/>
            <w:vAlign w:val="center"/>
            <w:textDirection w:val="lrTb"/>
            <w:noWrap w:val="false"/>
          </w:tcPr>
          <w:p>
            <w:pP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3"/>
                <w:sz w:val="24"/>
                <w:szCs w:val="24"/>
                <w:highlight w:val="none"/>
              </w:rPr>
              <w:t xml:space="preserve">3.商务</w:t>
            </w:r>
            <w:r/>
          </w:p>
        </w:tc>
      </w:tr>
      <w:tr>
        <w:trPr>
          <w:jc w:val="center"/>
          <w:trHeight w:val="558"/>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3.1</w:t>
            </w:r>
            <w:r/>
          </w:p>
        </w:tc>
        <w:tc>
          <w:tcPr>
            <w:tcMar>
              <w:left w:w="0" w:type="dxa"/>
              <w:top w:w="0" w:type="dxa"/>
              <w:right w:w="0" w:type="dxa"/>
              <w:bottom w:w="0" w:type="dxa"/>
            </w:tcMar>
            <w:tcW w:w="1144" w:type="dxa"/>
            <w:vAlign w:val="center"/>
            <w:textDirection w:val="lrTb"/>
            <w:noWrap w:val="false"/>
          </w:tcPr>
          <w:p>
            <w:pPr>
              <w:jc w:val="center"/>
              <w:spacing w:before="69"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1"/>
                <w:sz w:val="24"/>
                <w:szCs w:val="24"/>
                <w:highlight w:val="none"/>
              </w:rPr>
              <w:t xml:space="preserve">企业业绩</w:t>
            </w:r>
            <w:r/>
          </w:p>
        </w:tc>
        <w:tc>
          <w:tcPr>
            <w:tcMar>
              <w:left w:w="0" w:type="dxa"/>
              <w:top w:w="0" w:type="dxa"/>
              <w:right w:w="0" w:type="dxa"/>
              <w:bottom w:w="0" w:type="dxa"/>
            </w:tcMar>
            <w:tcW w:w="6137" w:type="dxa"/>
            <w:vAlign w:val="center"/>
            <w:textDirection w:val="lrTb"/>
            <w:noWrap w:val="false"/>
          </w:tcPr>
          <w:p>
            <w:pPr>
              <w:spacing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投标人提供2023年1月1日（含）以来（以合同签订时间为准）完成的类似</w:t>
            </w:r>
            <w:r>
              <w:rPr>
                <w:rFonts w:hint="eastAsia" w:cs="宋体" w:asciiTheme="minorEastAsia" w:hAnsiTheme="minorEastAsia" w:eastAsiaTheme="minorEastAsia"/>
                <w:color w:val="auto"/>
                <w:sz w:val="24"/>
                <w:szCs w:val="24"/>
                <w:highlight w:val="none"/>
              </w:rPr>
              <w:t xml:space="preserve">专用室或功能室</w:t>
            </w:r>
            <w:r>
              <w:rPr>
                <w:rFonts w:cs="宋体" w:asciiTheme="minorEastAsia" w:hAnsiTheme="minorEastAsia" w:eastAsiaTheme="minorEastAsia"/>
                <w:color w:val="auto"/>
                <w:sz w:val="24"/>
                <w:szCs w:val="24"/>
                <w:highlight w:val="none"/>
              </w:rPr>
              <w:t xml:space="preserve">项目案例，每提供1个得1分，最多得</w:t>
            </w: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分。（时间以合同签订时间为准，提供有效合同、验收资料、发票扫描件，合同页须清晰可见相应内容）</w:t>
            </w:r>
            <w:r/>
          </w:p>
        </w:tc>
        <w:tc>
          <w:tcPr>
            <w:tcMar>
              <w:left w:w="0" w:type="dxa"/>
              <w:top w:w="0" w:type="dxa"/>
              <w:right w:w="0" w:type="dxa"/>
              <w:bottom w:w="0" w:type="dxa"/>
            </w:tcMar>
            <w:tcW w:w="628" w:type="dxa"/>
            <w:vAlign w:val="center"/>
            <w:textDirection w:val="lrTb"/>
            <w:noWrap w:val="false"/>
          </w:tcPr>
          <w:p>
            <w:pPr>
              <w:jc w:val="center"/>
              <w:spacing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spacing w:before="68" w:line="62" w:lineRule="atLeast"/>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6"/>
                <w:sz w:val="24"/>
                <w:szCs w:val="24"/>
                <w:highlight w:val="none"/>
              </w:rPr>
              <w:t xml:space="preserve">客</w:t>
            </w:r>
            <w:r>
              <w:rPr>
                <w:rFonts w:cs="宋体" w:asciiTheme="minorEastAsia" w:hAnsiTheme="minorEastAsia" w:eastAsiaTheme="minorEastAsia"/>
                <w:color w:val="auto"/>
                <w:spacing w:val="-4"/>
                <w:sz w:val="24"/>
                <w:szCs w:val="24"/>
                <w:highlight w:val="none"/>
              </w:rPr>
              <w:t xml:space="preserve">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3.2</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履约能力1</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投标人</w:t>
            </w:r>
            <w:r>
              <w:rPr>
                <w:rFonts w:hint="eastAsia" w:cs="宋体" w:asciiTheme="minorEastAsia" w:hAnsiTheme="minorEastAsia" w:eastAsiaTheme="minorEastAsia"/>
                <w:color w:val="auto"/>
                <w:sz w:val="24"/>
                <w:szCs w:val="24"/>
                <w:highlight w:val="none"/>
              </w:rPr>
              <w:t xml:space="preserve">或所投核心产品</w:t>
            </w:r>
            <w:r>
              <w:rPr>
                <w:rFonts w:cs="宋体" w:asciiTheme="minorEastAsia" w:hAnsiTheme="minorEastAsia" w:eastAsiaTheme="minorEastAsia"/>
                <w:color w:val="auto"/>
                <w:sz w:val="24"/>
                <w:szCs w:val="24"/>
                <w:highlight w:val="none"/>
              </w:rPr>
              <w:t xml:space="preserve">制造</w:t>
            </w:r>
            <w:r>
              <w:rPr>
                <w:rFonts w:hint="eastAsia" w:cs="宋体" w:asciiTheme="minorEastAsia" w:hAnsiTheme="minorEastAsia" w:eastAsiaTheme="minorEastAsia"/>
                <w:color w:val="auto"/>
                <w:sz w:val="24"/>
                <w:szCs w:val="24"/>
                <w:highlight w:val="none"/>
              </w:rPr>
              <w:t xml:space="preserve">商</w:t>
            </w:r>
            <w:r>
              <w:rPr>
                <w:rFonts w:cs="宋体" w:asciiTheme="minorEastAsia" w:hAnsiTheme="minorEastAsia" w:eastAsiaTheme="minorEastAsia"/>
                <w:color w:val="auto"/>
                <w:sz w:val="24"/>
                <w:szCs w:val="24"/>
                <w:highlight w:val="none"/>
              </w:rPr>
              <w:t xml:space="preserve">，具有国家应急管理部门颁发的有效期内“安全生产标准化认证证书”，得2分。(提供证书原件扫描件或证明材料)</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3.3</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履约能力2</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投标人</w:t>
            </w:r>
            <w:r>
              <w:rPr>
                <w:rFonts w:hint="eastAsia" w:cs="宋体" w:asciiTheme="minorEastAsia" w:hAnsiTheme="minorEastAsia" w:eastAsiaTheme="minorEastAsia"/>
                <w:color w:val="auto"/>
                <w:sz w:val="24"/>
                <w:szCs w:val="24"/>
                <w:highlight w:val="none"/>
              </w:rPr>
              <w:t xml:space="preserve">或所投核心产品</w:t>
            </w:r>
            <w:r>
              <w:rPr>
                <w:rFonts w:cs="宋体" w:asciiTheme="minorEastAsia" w:hAnsiTheme="minorEastAsia" w:eastAsiaTheme="minorEastAsia"/>
                <w:color w:val="auto"/>
                <w:sz w:val="24"/>
                <w:szCs w:val="24"/>
                <w:highlight w:val="none"/>
              </w:rPr>
              <w:t xml:space="preserve">制造</w:t>
            </w:r>
            <w:r>
              <w:rPr>
                <w:rFonts w:hint="eastAsia" w:cs="宋体" w:asciiTheme="minorEastAsia" w:hAnsiTheme="minorEastAsia" w:eastAsiaTheme="minorEastAsia"/>
                <w:color w:val="auto"/>
                <w:sz w:val="24"/>
                <w:szCs w:val="24"/>
                <w:highlight w:val="none"/>
              </w:rPr>
              <w:t xml:space="preserve">商</w:t>
            </w:r>
            <w:r>
              <w:rPr>
                <w:rFonts w:cs="宋体" w:asciiTheme="minorEastAsia" w:hAnsiTheme="minorEastAsia" w:eastAsiaTheme="minorEastAsia"/>
                <w:color w:val="auto"/>
                <w:sz w:val="24"/>
                <w:szCs w:val="24"/>
                <w:highlight w:val="none"/>
              </w:rPr>
              <w:t xml:space="preserve">，具有有效期内“</w:t>
            </w:r>
            <w:r>
              <w:rPr>
                <w:rFonts w:hint="eastAsia" w:cs="宋体" w:asciiTheme="minorEastAsia" w:hAnsiTheme="minorEastAsia" w:eastAsiaTheme="minorEastAsia"/>
                <w:color w:val="auto"/>
                <w:sz w:val="24"/>
                <w:szCs w:val="24"/>
                <w:highlight w:val="none"/>
              </w:rPr>
              <w:t xml:space="preserve">人类工效学认证证书</w:t>
            </w:r>
            <w:r>
              <w:rPr>
                <w:rFonts w:cs="宋体" w:asciiTheme="minorEastAsia" w:hAnsiTheme="minorEastAsia" w:eastAsiaTheme="minorEastAsia"/>
                <w:color w:val="auto"/>
                <w:sz w:val="24"/>
                <w:szCs w:val="24"/>
                <w:highlight w:val="none"/>
              </w:rPr>
              <w:t xml:space="preserve">”（证书认证单元至少包含“</w:t>
            </w:r>
            <w:r>
              <w:rPr>
                <w:rFonts w:hint="eastAsia" w:cs="宋体" w:asciiTheme="minorEastAsia" w:hAnsiTheme="minorEastAsia" w:eastAsiaTheme="minorEastAsia"/>
                <w:color w:val="auto"/>
                <w:sz w:val="24"/>
                <w:szCs w:val="24"/>
                <w:highlight w:val="none"/>
              </w:rPr>
              <w:t xml:space="preserve">桌台类</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椅凳类</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柜架类</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沙发类</w:t>
            </w:r>
            <w:r>
              <w:rPr>
                <w:rFonts w:cs="宋体" w:asciiTheme="minorEastAsia" w:hAnsiTheme="minorEastAsia" w:eastAsiaTheme="minorEastAsia"/>
                <w:color w:val="auto"/>
                <w:sz w:val="24"/>
                <w:szCs w:val="24"/>
                <w:highlight w:val="none"/>
              </w:rPr>
              <w:t xml:space="preserve">”），得2分。(提供证书原件扫描件及全国认证认可信息公共服务平台查询截图，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 xml:space="preserve">若认证范围不一致，投标人可提供说明等材料证明服务能力,</w:t>
            </w:r>
            <w:r>
              <w:rPr>
                <w:rFonts w:cs="宋体" w:asciiTheme="minorEastAsia" w:hAnsiTheme="minorEastAsia" w:eastAsiaTheme="minorEastAsia"/>
                <w:color w:val="auto"/>
                <w:sz w:val="24"/>
                <w:szCs w:val="24"/>
                <w:highlight w:val="none"/>
              </w:rPr>
              <w:t xml:space="preserve">认证范围不全本项不得分)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3.4</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履约能力3</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投标人</w:t>
            </w:r>
            <w:r>
              <w:rPr>
                <w:rFonts w:hint="eastAsia" w:cs="宋体" w:asciiTheme="minorEastAsia" w:hAnsiTheme="minorEastAsia" w:eastAsiaTheme="minorEastAsia"/>
                <w:color w:val="auto"/>
                <w:sz w:val="24"/>
                <w:szCs w:val="24"/>
                <w:highlight w:val="none"/>
              </w:rPr>
              <w:t xml:space="preserve">或所投核心产品</w:t>
            </w:r>
            <w:r>
              <w:rPr>
                <w:rFonts w:cs="宋体" w:asciiTheme="minorEastAsia" w:hAnsiTheme="minorEastAsia" w:eastAsiaTheme="minorEastAsia"/>
                <w:color w:val="auto"/>
                <w:sz w:val="24"/>
                <w:szCs w:val="24"/>
                <w:highlight w:val="none"/>
              </w:rPr>
              <w:t xml:space="preserve">制造</w:t>
            </w:r>
            <w:r>
              <w:rPr>
                <w:rFonts w:hint="eastAsia" w:cs="宋体" w:asciiTheme="minorEastAsia" w:hAnsiTheme="minorEastAsia" w:eastAsiaTheme="minorEastAsia"/>
                <w:color w:val="auto"/>
                <w:sz w:val="24"/>
                <w:szCs w:val="24"/>
                <w:highlight w:val="none"/>
              </w:rPr>
              <w:t xml:space="preserve">商</w:t>
            </w:r>
            <w:r>
              <w:rPr>
                <w:rFonts w:cs="宋体" w:asciiTheme="minorEastAsia" w:hAnsiTheme="minorEastAsia" w:eastAsiaTheme="minorEastAsia"/>
                <w:color w:val="auto"/>
                <w:sz w:val="24"/>
                <w:szCs w:val="24"/>
                <w:highlight w:val="none"/>
              </w:rPr>
              <w:t xml:space="preserve">，具有有效期内“产品安全认证证书”（证书认证单元至少包含“木家具”、“金属家具”、“软体家具”），得2分。(提供证书原件扫描件及全国认证认可信息公共服务平台查询截图，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 xml:space="preserve">若认证范围不一致，投标人可提供说明等材料证明服务能力,</w:t>
            </w:r>
            <w:r>
              <w:rPr>
                <w:rFonts w:cs="宋体" w:asciiTheme="minorEastAsia" w:hAnsiTheme="minorEastAsia" w:eastAsiaTheme="minorEastAsia"/>
                <w:color w:val="auto"/>
                <w:sz w:val="24"/>
                <w:szCs w:val="24"/>
                <w:highlight w:val="none"/>
              </w:rPr>
              <w:t xml:space="preserve">认证范围不全本项不得分)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3.5</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履约能力4</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投标人</w:t>
            </w:r>
            <w:r>
              <w:rPr>
                <w:rFonts w:hint="eastAsia" w:cs="宋体" w:asciiTheme="minorEastAsia" w:hAnsiTheme="minorEastAsia" w:eastAsiaTheme="minorEastAsia"/>
                <w:color w:val="auto"/>
                <w:sz w:val="24"/>
                <w:szCs w:val="24"/>
                <w:highlight w:val="none"/>
              </w:rPr>
              <w:t xml:space="preserve">或所投核心产品</w:t>
            </w:r>
            <w:r>
              <w:rPr>
                <w:rFonts w:cs="宋体" w:asciiTheme="minorEastAsia" w:hAnsiTheme="minorEastAsia" w:eastAsiaTheme="minorEastAsia"/>
                <w:color w:val="auto"/>
                <w:sz w:val="24"/>
                <w:szCs w:val="24"/>
                <w:highlight w:val="none"/>
              </w:rPr>
              <w:t xml:space="preserve">制造</w:t>
            </w:r>
            <w:r>
              <w:rPr>
                <w:rFonts w:hint="eastAsia" w:cs="宋体" w:asciiTheme="minorEastAsia" w:hAnsiTheme="minorEastAsia" w:eastAsiaTheme="minorEastAsia"/>
                <w:color w:val="auto"/>
                <w:sz w:val="24"/>
                <w:szCs w:val="24"/>
                <w:highlight w:val="none"/>
              </w:rPr>
              <w:t xml:space="preserve">商</w:t>
            </w:r>
            <w:r>
              <w:rPr>
                <w:rFonts w:cs="宋体" w:asciiTheme="minorEastAsia" w:hAnsiTheme="minorEastAsia" w:eastAsiaTheme="minorEastAsia"/>
                <w:color w:val="auto"/>
                <w:sz w:val="24"/>
                <w:szCs w:val="24"/>
                <w:highlight w:val="none"/>
              </w:rPr>
              <w:t xml:space="preserve">，具有有效期内“低VOCs家具产品认证证书”（证书认证单元至少包含“木家具”、“金属家具”、“软体家具”），得2分。(提供证书原件扫描件及全国认证认可信息公共服务平台查询截图，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 xml:space="preserve">若认证范围不一致，投标人可提供说明等材料证明服务能力,</w:t>
            </w:r>
            <w:r>
              <w:rPr>
                <w:rFonts w:cs="宋体" w:asciiTheme="minorEastAsia" w:hAnsiTheme="minorEastAsia" w:eastAsiaTheme="minorEastAsia"/>
                <w:color w:val="auto"/>
                <w:sz w:val="24"/>
                <w:szCs w:val="24"/>
                <w:highlight w:val="none"/>
              </w:rPr>
              <w:t xml:space="preserve">认证范围不全本项不得分)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2"/>
                <w:sz w:val="24"/>
                <w:szCs w:val="24"/>
                <w:highlight w:val="none"/>
              </w:rPr>
              <w:t xml:space="preserve">3.6</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节能环保产品</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rPr>
              <w:t xml:space="preserve">客观分</w:t>
            </w:r>
            <w:r/>
          </w:p>
        </w:tc>
      </w:tr>
      <w:tr>
        <w:trPr>
          <w:jc w:val="center"/>
          <w:trHeight w:val="464"/>
        </w:trPr>
        <w:tc>
          <w:tcPr>
            <w:tcMar>
              <w:left w:w="0" w:type="dxa"/>
              <w:top w:w="0" w:type="dxa"/>
              <w:right w:w="0" w:type="dxa"/>
              <w:bottom w:w="0" w:type="dxa"/>
            </w:tcMar>
            <w:tcW w:w="506"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3"/>
                <w:sz w:val="24"/>
                <w:szCs w:val="24"/>
                <w:highlight w:val="none"/>
              </w:rPr>
              <w:t xml:space="preserve">合</w:t>
            </w:r>
            <w:r>
              <w:rPr>
                <w:rFonts w:cs="宋体" w:asciiTheme="minorEastAsia" w:hAnsiTheme="minorEastAsia" w:eastAsiaTheme="minorEastAsia"/>
                <w:color w:val="auto"/>
                <w:spacing w:val="-2"/>
                <w:sz w:val="24"/>
                <w:szCs w:val="24"/>
                <w:highlight w:val="none"/>
              </w:rPr>
              <w:t xml:space="preserve">计</w:t>
            </w:r>
            <w:r/>
          </w:p>
        </w:tc>
        <w:tc>
          <w:tcPr>
            <w:gridSpan w:val="2"/>
            <w:tcMar>
              <w:left w:w="0" w:type="dxa"/>
              <w:top w:w="0" w:type="dxa"/>
              <w:right w:w="0" w:type="dxa"/>
              <w:bottom w:w="0" w:type="dxa"/>
            </w:tcMar>
            <w:tcW w:w="7281" w:type="dxa"/>
            <w:vAlign w:val="center"/>
            <w:textDirection w:val="lrTb"/>
            <w:noWrap w:val="false"/>
          </w:tcPr>
          <w:p>
            <w:pPr>
              <w:ind w:left="172"/>
              <w:jc w:val="center"/>
              <w:spacing w:before="123"/>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color w:val="auto"/>
                <w:spacing w:val="-2"/>
                <w:sz w:val="24"/>
                <w:szCs w:val="24"/>
                <w:highlight w:val="none"/>
              </w:rPr>
              <w:t xml:space="preserve"> </w:t>
            </w:r>
            <w:r/>
          </w:p>
        </w:tc>
        <w:tc>
          <w:tcPr>
            <w:gridSpan w:val="2"/>
            <w:tcMar>
              <w:left w:w="0" w:type="dxa"/>
              <w:top w:w="0" w:type="dxa"/>
              <w:right w:w="0" w:type="dxa"/>
              <w:bottom w:w="0" w:type="dxa"/>
            </w:tcMar>
            <w:tcW w:w="1501" w:type="dxa"/>
            <w:vAlign w:val="center"/>
            <w:textDirection w:val="lrTb"/>
            <w:noWrap w:val="false"/>
          </w:tcPr>
          <w:p>
            <w:pPr>
              <w:jc w:val="center"/>
              <w:rPr>
                <w:rFonts w:hint="eastAsia"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pacing w:val="-11"/>
                <w:sz w:val="24"/>
                <w:szCs w:val="24"/>
                <w:highlight w:val="none"/>
              </w:rPr>
              <w:t xml:space="preserve">100分</w:t>
            </w:r>
            <w:r/>
          </w:p>
        </w:tc>
      </w:tr>
    </w:tbl>
    <w:p>
      <w:pPr>
        <w:jc w:val="left"/>
        <w:spacing w:line="288"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r/>
    </w:p>
    <w:p>
      <w:pPr>
        <w:numPr>
          <w:ilvl w:val="0"/>
          <w:numId w:val="5"/>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pStyle w:val="723"/>
        <w:rPr>
          <w:color w:val="auto"/>
          <w:highlight w:val="none"/>
        </w:rPr>
      </w:pPr>
      <w:r>
        <w:rPr>
          <w:color w:val="auto"/>
          <w:highlight w:val="none"/>
        </w:rPr>
      </w:r>
      <w:r/>
    </w:p>
    <w:p>
      <w:pPr>
        <w:pStyle w:val="723"/>
        <w:ind w:left="0"/>
        <w:rPr>
          <w:color w:val="auto"/>
          <w:highlight w:val="none"/>
        </w:rPr>
      </w:pPr>
      <w:r>
        <w:rPr>
          <w:color w:val="auto"/>
          <w:highlight w:val="none"/>
        </w:rPr>
      </w:r>
      <w:r/>
    </w:p>
    <w:p>
      <w:pPr>
        <w:pStyle w:val="723"/>
        <w:ind w:left="0"/>
        <w:rPr>
          <w:color w:val="auto"/>
          <w:highlight w:val="none"/>
        </w:rPr>
      </w:pPr>
      <w:r>
        <w:rPr>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rPr>
          <w:rFonts w:hint="eastAsia" w:ascii="宋体" w:hAnsi="宋体" w:cs="宋体"/>
          <w:color w:val="auto"/>
          <w:sz w:val="24"/>
          <w:highlight w:val="none"/>
        </w:rPr>
      </w:pPr>
      <w:r>
        <w:rPr>
          <w:rFonts w:hint="eastAsia" w:ascii="宋体" w:hAnsi="宋体" w:cs="宋体"/>
          <w:color w:val="auto"/>
          <w:sz w:val="24"/>
          <w:highlight w:val="none"/>
        </w:rPr>
      </w:r>
      <w:r/>
    </w:p>
    <w:p>
      <w:pPr>
        <w:pStyle w:val="723"/>
        <w:ind w:left="0"/>
        <w:rPr>
          <w:rFonts w:hint="eastAsia" w:ascii="宋体" w:hAnsi="宋体" w:cs="宋体"/>
          <w:color w:val="auto"/>
          <w:sz w:val="24"/>
          <w:highlight w:val="none"/>
        </w:rPr>
      </w:pPr>
      <w:r>
        <w:rPr>
          <w:rFonts w:hint="eastAsia" w:ascii="宋体" w:hAnsi="宋体" w:cs="宋体"/>
          <w:color w:val="auto"/>
          <w:sz w:val="24"/>
          <w:highlight w:val="none"/>
        </w:rPr>
      </w:r>
      <w:r/>
    </w:p>
    <w:p>
      <w:pPr>
        <w:pStyle w:val="728"/>
        <w:rPr>
          <w:rFonts w:hint="eastAsia" w:ascii="宋体" w:hAnsi="宋体"/>
          <w:color w:val="auto"/>
          <w:sz w:val="24"/>
          <w:highlight w:val="none"/>
        </w:rPr>
      </w:pPr>
      <w:r>
        <w:rPr>
          <w:rFonts w:hint="eastAsia" w:ascii="宋体" w:hAnsi="宋体"/>
          <w:color w:val="auto"/>
          <w:sz w:val="24"/>
          <w:highlight w:val="none"/>
        </w:rPr>
      </w:r>
      <w:r/>
    </w:p>
    <w:p>
      <w:pPr>
        <w:pStyle w:val="728"/>
        <w:rPr>
          <w:rFonts w:hint="eastAsia" w:ascii="宋体" w:hAnsi="宋体"/>
          <w:color w:val="auto"/>
          <w:sz w:val="24"/>
          <w:highlight w:val="none"/>
        </w:rPr>
      </w:pPr>
      <w:r>
        <w:rPr>
          <w:rFonts w:hint="eastAsia" w:ascii="宋体" w:hAnsi="宋体"/>
          <w:color w:val="auto"/>
          <w:sz w:val="24"/>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第六章  投标</w:t>
      </w:r>
      <w:bookmarkEnd w:id="195"/>
      <w:r/>
      <w:bookmarkEnd w:id="196"/>
      <w:r/>
      <w:bookmarkEnd w:id="198"/>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bookmarkEnd w:id="201"/>
      <w:r/>
      <w:bookmarkEnd w:id="202"/>
      <w:r/>
      <w:bookmarkEnd w:id="203"/>
      <w:r/>
      <w:r/>
    </w:p>
    <w:p>
      <w:pPr>
        <w:ind w:firstLine="560"/>
        <w:spacing w:line="600" w:lineRule="exact"/>
        <w:rPr>
          <w:rFonts w:hint="eastAsia" w:ascii="宋体" w:hAnsi="宋体" w:cs="宋体"/>
          <w:color w:val="auto"/>
          <w:sz w:val="28"/>
          <w:szCs w:val="28"/>
          <w:highlight w:val="none"/>
        </w:rPr>
      </w:pPr>
      <w:r/>
      <w:bookmarkStart w:id="204"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1003"/>
        <w:rPr>
          <w:rFonts w:hint="eastAsia"/>
          <w:color w:val="auto"/>
          <w:sz w:val="24"/>
          <w:highlight w:val="none"/>
        </w:rPr>
      </w:pPr>
      <w:r>
        <w:rPr>
          <w:rFonts w:hint="eastAsia"/>
          <w:color w:val="auto"/>
          <w:sz w:val="24"/>
          <w:highlight w:val="none"/>
        </w:rPr>
      </w:r>
      <w:r/>
    </w:p>
    <w:p>
      <w:pPr>
        <w:pStyle w:val="1003"/>
        <w:rPr>
          <w:rFonts w:hint="eastAsia"/>
          <w:color w:val="auto"/>
          <w:sz w:val="24"/>
          <w:highlight w:val="none"/>
        </w:rPr>
      </w:pPr>
      <w:r>
        <w:rPr>
          <w:rFonts w:hint="eastAsia"/>
          <w:color w:val="auto"/>
          <w:sz w:val="24"/>
          <w:highlight w:val="none"/>
        </w:rPr>
      </w:r>
      <w:r/>
    </w:p>
    <w:p>
      <w:pPr>
        <w:pStyle w:val="1003"/>
        <w:rPr>
          <w:rFonts w:hint="eastAsia"/>
          <w:color w:val="auto"/>
          <w:sz w:val="24"/>
          <w:highlight w:val="none"/>
        </w:rPr>
      </w:pPr>
      <w:r>
        <w:rPr>
          <w:rFonts w:hint="eastAsia"/>
          <w:color w:val="auto"/>
          <w:sz w:val="24"/>
          <w:highlight w:val="none"/>
        </w:rPr>
      </w:r>
      <w:r/>
    </w:p>
    <w:p>
      <w:pPr>
        <w:pStyle w:val="1003"/>
        <w:rPr>
          <w:rFonts w:hint="eastAsia"/>
          <w:color w:val="auto"/>
          <w:sz w:val="24"/>
          <w:highlight w:val="none"/>
        </w:rPr>
      </w:pPr>
      <w:r>
        <w:rPr>
          <w:rFonts w:hint="eastAsia"/>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南京市公共资源交易中心浦口分中心：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04"/>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966"/>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975"/>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6"/>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75"/>
        <w:ind w:firstLine="480"/>
        <w:spacing w:line="420" w:lineRule="exact"/>
        <w:rPr>
          <w:color w:val="auto"/>
          <w:sz w:val="24"/>
          <w:szCs w:val="24"/>
          <w:highlight w:val="none"/>
        </w:rPr>
      </w:pPr>
      <w:r>
        <w:rPr>
          <w:color w:val="auto"/>
          <w:sz w:val="24"/>
          <w:szCs w:val="24"/>
          <w:highlight w:val="none"/>
        </w:rPr>
      </w:r>
      <w:r/>
    </w:p>
    <w:p>
      <w:pPr>
        <w:pStyle w:val="975"/>
        <w:ind w:firstLine="480"/>
        <w:spacing w:line="480" w:lineRule="exact"/>
        <w:rPr>
          <w:color w:val="auto"/>
          <w:sz w:val="24"/>
          <w:szCs w:val="24"/>
          <w:highlight w:val="none"/>
        </w:rPr>
      </w:pPr>
      <w:r>
        <w:rPr>
          <w:rFonts w:hint="eastAsia"/>
          <w:color w:val="auto"/>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975"/>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75"/>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75"/>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75"/>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75"/>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75"/>
        <w:ind w:firstLine="480"/>
        <w:spacing w:line="480" w:lineRule="exact"/>
        <w:rPr>
          <w:color w:val="auto"/>
          <w:sz w:val="24"/>
          <w:szCs w:val="24"/>
          <w:highlight w:val="none"/>
        </w:rPr>
      </w:pPr>
      <w:r>
        <w:rPr>
          <w:rFonts w:hint="eastAsia"/>
          <w:color w:val="auto"/>
          <w:sz w:val="24"/>
          <w:szCs w:val="24"/>
          <w:highlight w:val="none"/>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729"/>
        <w:rPr>
          <w:i/>
          <w:color w:val="auto"/>
          <w:sz w:val="24"/>
          <w:szCs w:val="24"/>
          <w:highlight w:val="none"/>
          <w:u w:val="single"/>
        </w:rPr>
      </w:pPr>
      <w:r>
        <w:rPr>
          <w:i/>
          <w:color w:val="auto"/>
          <w:sz w:val="24"/>
          <w:szCs w:val="24"/>
          <w:highlight w:val="none"/>
          <w:u w:val="single"/>
        </w:rPr>
      </w:r>
      <w:r/>
    </w:p>
    <w:p>
      <w:pPr>
        <w:pStyle w:val="729"/>
        <w:ind w:firstLine="0"/>
        <w:rPr>
          <w:color w:val="auto"/>
          <w:highlight w:val="none"/>
        </w:rPr>
      </w:pPr>
      <w:r>
        <w:rPr>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投标函</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致：南京市公共资源交易中心浦口分中心</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77"/>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77"/>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7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7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7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77"/>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7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72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77"/>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721"/>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158" w:type="dxa"/>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4156" w:type="dxa"/>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widowControl/>
        <w:rPr>
          <w:rFonts w:ascii="宋体" w:cs="宋体"/>
          <w:color w:val="auto"/>
          <w:szCs w:val="21"/>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szCs w:val="21"/>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72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61"/>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备注： </w:t>
      </w:r>
      <w:r/>
    </w:p>
    <w:p>
      <w:pPr>
        <w:pStyle w:val="761"/>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1.“投标报价”应包括为完成整个项目所产生的所有费用，招标文件另有规定的除外。</w:t>
      </w:r>
      <w:r/>
    </w:p>
    <w:p>
      <w:pPr>
        <w:pStyle w:val="761"/>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2.《投标分项报价表》中“投标总价”应当与《开标一览表》中“投标总报价”一致。</w:t>
      </w:r>
      <w:r/>
    </w:p>
    <w:p>
      <w:pPr>
        <w:pStyle w:val="761"/>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761"/>
        <w:ind w:firstLine="480"/>
        <w:jc w:val="both"/>
        <w:spacing w:before="0" w:beforeAutospacing="0" w:after="0" w:afterAutospacing="0" w:line="360" w:lineRule="auto"/>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4.行数不够，可自行添加。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723"/>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color w:val="auto"/>
                <w:highlight w:val="none"/>
              </w:rPr>
            </w:pPr>
            <w:r>
              <w:rPr>
                <w:color w:val="auto"/>
                <w:highlight w:val="none"/>
              </w:rPr>
            </w:r>
            <w:r/>
          </w:p>
          <w:p>
            <w:pPr>
              <w:pStyle w:val="966"/>
              <w:rPr>
                <w:color w:val="auto"/>
                <w:highlight w:val="none"/>
              </w:rPr>
            </w:pPr>
            <w:r>
              <w:rPr>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761"/>
        <w:ind w:firstLine="480"/>
        <w:jc w:val="both"/>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761"/>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723"/>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1"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color w:val="auto"/>
                <w:highlight w:val="none"/>
              </w:rPr>
            </w:pPr>
            <w:r>
              <w:rPr>
                <w:color w:val="auto"/>
                <w:highlight w:val="none"/>
              </w:rPr>
            </w:r>
            <w:r/>
          </w:p>
          <w:p>
            <w:pPr>
              <w:pStyle w:val="966"/>
              <w:rPr>
                <w:color w:val="auto"/>
                <w:highlight w:val="none"/>
              </w:rPr>
            </w:pPr>
            <w:r>
              <w:rPr>
                <w:color w:val="auto"/>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1.供应商须对采购文件商务要求中的实质性要求（斜体下划线内容或打“★”内容）做出明确响应，否则视为无效投标。</w:t>
      </w:r>
      <w:r/>
    </w:p>
    <w:p>
      <w:pPr>
        <w:pStyle w:val="761"/>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723"/>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66"/>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66"/>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1003"/>
        <w:rPr>
          <w:rFonts w:hint="eastAsia"/>
          <w:color w:val="auto"/>
          <w:highlight w:val="none"/>
        </w:rPr>
      </w:pPr>
      <w:r>
        <w:rPr>
          <w:rFonts w:hint="eastAsia"/>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723"/>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color w:val="auto"/>
          <w:highlight w:val="none"/>
        </w:rPr>
      </w:pPr>
      <w:r>
        <w:rPr>
          <w:color w:val="auto"/>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bookmarkEnd w:id="193"/>
      <w:r/>
      <w:bookmarkEnd w:id="194"/>
      <w:r/>
      <w:bookmarkEnd w:id="204"/>
      <w:r/>
      <w:r/>
    </w:p>
    <w:p>
      <w:pPr>
        <w:pStyle w:val="728"/>
        <w:rPr>
          <w:color w:val="auto"/>
          <w:highlight w:val="none"/>
        </w:rPr>
      </w:pPr>
      <w:r>
        <w:rPr>
          <w:color w:val="auto"/>
          <w:highlight w:val="none"/>
        </w:rPr>
      </w:r>
      <w:r/>
    </w:p>
    <w:p>
      <w:pPr>
        <w:pStyle w:val="728"/>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项目编号：分包号：</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723"/>
        <w:rPr>
          <w:color w:val="auto"/>
          <w:highlight w:val="none"/>
        </w:rPr>
      </w:pPr>
      <w:r>
        <w:rPr>
          <w:color w:val="auto"/>
          <w:highlight w:val="none"/>
        </w:rPr>
      </w:r>
      <w:r/>
    </w:p>
    <w:p>
      <w:pPr>
        <w:pStyle w:val="728"/>
        <w:rPr>
          <w:color w:val="auto"/>
          <w:highlight w:val="none"/>
        </w:rPr>
      </w:pPr>
      <w:r>
        <w:rPr>
          <w:color w:val="auto"/>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70"/>
        <w:rFonts w:hint="eastAsia" w:ascii="宋体" w:hAnsi="宋体"/>
      </w:rPr>
      <w:framePr w:wrap="around" w:vAnchor="text" w:hAnchor="margin" w:xAlign="center" w:y="1"/>
    </w:pPr>
    <w:r>
      <w:rPr>
        <w:rFonts w:ascii="宋体" w:hAnsi="宋体"/>
      </w:rPr>
      <w:fldChar w:fldCharType="begin"/>
    </w:r>
    <w:r>
      <w:rPr>
        <w:rStyle w:val="770"/>
        <w:rFonts w:ascii="宋体" w:hAnsi="宋体"/>
      </w:rPr>
      <w:instrText xml:space="preserve">PAGE  </w:instrText>
    </w:r>
    <w:r>
      <w:rPr>
        <w:rFonts w:ascii="宋体" w:hAnsi="宋体"/>
      </w:rPr>
      <w:fldChar w:fldCharType="separate"/>
    </w:r>
    <w:r>
      <w:rPr>
        <w:rStyle w:val="770"/>
        <w:rFonts w:ascii="宋体" w:hAnsi="宋体"/>
      </w:rPr>
      <w:t xml:space="preserve">24</w:t>
    </w:r>
    <w:r>
      <w:rPr>
        <w:rFonts w:ascii="宋体" w:hAnsi="宋体"/>
      </w:rPr>
      <w:fldChar w:fldCharType="end"/>
    </w:r>
    <w:r/>
  </w:p>
  <w:p>
    <w:pPr>
      <w:pStyle w:val="74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582" w:hanging="1440"/>
        <w:tabs>
          <w:tab w:val="left" w:pos="1582" w:leader="none"/>
        </w:tabs>
      </w:pPr>
      <w:rPr>
        <w:rFonts w:hint="eastAsia" w:ascii="黑体" w:eastAsia="黑体"/>
        <w:b w:val="0"/>
        <w:sz w:val="36"/>
      </w:rPr>
    </w:lvl>
    <w:lvl w:ilvl="1">
      <w:start w:val="1"/>
      <w:numFmt w:val="bullet"/>
      <w:isLgl w:val="false"/>
      <w:suff w:val="tab"/>
      <w:lvlText w:val="o"/>
      <w:lvlJc w:val="left"/>
      <w:pPr>
        <w:ind w:left="1582" w:hanging="360"/>
      </w:pPr>
      <w:rPr>
        <w:rFonts w:ascii="Courier New" w:hAnsi="Courier New" w:eastAsia="Courier New" w:cs="Courier New"/>
      </w:rPr>
    </w:lvl>
    <w:lvl w:ilvl="2">
      <w:start w:val="1"/>
      <w:numFmt w:val="bullet"/>
      <w:isLgl w:val="false"/>
      <w:suff w:val="tab"/>
      <w:lvlText w:val="§"/>
      <w:lvlJc w:val="left"/>
      <w:pPr>
        <w:ind w:left="2302" w:hanging="360"/>
      </w:pPr>
      <w:rPr>
        <w:rFonts w:ascii="Wingdings" w:hAnsi="Wingdings" w:eastAsia="Wingdings" w:cs="Wingdings"/>
      </w:rPr>
    </w:lvl>
    <w:lvl w:ilvl="3">
      <w:start w:val="1"/>
      <w:numFmt w:val="bullet"/>
      <w:isLgl w:val="false"/>
      <w:suff w:val="tab"/>
      <w:lvlText w:val="·"/>
      <w:lvlJc w:val="left"/>
      <w:pPr>
        <w:ind w:left="3022" w:hanging="360"/>
      </w:pPr>
      <w:rPr>
        <w:rFonts w:ascii="Symbol" w:hAnsi="Symbol" w:eastAsia="Symbol" w:cs="Symbol"/>
      </w:rPr>
    </w:lvl>
    <w:lvl w:ilvl="4">
      <w:start w:val="1"/>
      <w:numFmt w:val="bullet"/>
      <w:isLgl w:val="false"/>
      <w:suff w:val="tab"/>
      <w:lvlText w:val="o"/>
      <w:lvlJc w:val="left"/>
      <w:pPr>
        <w:ind w:left="3742" w:hanging="360"/>
      </w:pPr>
      <w:rPr>
        <w:rFonts w:ascii="Courier New" w:hAnsi="Courier New" w:eastAsia="Courier New" w:cs="Courier New"/>
      </w:rPr>
    </w:lvl>
    <w:lvl w:ilvl="5">
      <w:start w:val="1"/>
      <w:numFmt w:val="bullet"/>
      <w:isLgl w:val="false"/>
      <w:suff w:val="tab"/>
      <w:lvlText w:val="§"/>
      <w:lvlJc w:val="left"/>
      <w:pPr>
        <w:ind w:left="4462" w:hanging="360"/>
      </w:pPr>
      <w:rPr>
        <w:rFonts w:ascii="Wingdings" w:hAnsi="Wingdings" w:eastAsia="Wingdings" w:cs="Wingdings"/>
      </w:rPr>
    </w:lvl>
    <w:lvl w:ilvl="6">
      <w:start w:val="1"/>
      <w:numFmt w:val="bullet"/>
      <w:isLgl w:val="false"/>
      <w:suff w:val="tab"/>
      <w:lvlText w:val="·"/>
      <w:lvlJc w:val="left"/>
      <w:pPr>
        <w:ind w:left="5182" w:hanging="360"/>
      </w:pPr>
      <w:rPr>
        <w:rFonts w:ascii="Symbol" w:hAnsi="Symbol" w:eastAsia="Symbol" w:cs="Symbol"/>
      </w:rPr>
    </w:lvl>
    <w:lvl w:ilvl="7">
      <w:start w:val="1"/>
      <w:numFmt w:val="bullet"/>
      <w:isLgl w:val="false"/>
      <w:suff w:val="tab"/>
      <w:lvlText w:val="o"/>
      <w:lvlJc w:val="left"/>
      <w:pPr>
        <w:ind w:left="5902" w:hanging="360"/>
      </w:pPr>
      <w:rPr>
        <w:rFonts w:ascii="Courier New" w:hAnsi="Courier New" w:eastAsia="Courier New" w:cs="Courier New"/>
      </w:rPr>
    </w:lvl>
    <w:lvl w:ilvl="8">
      <w:start w:val="1"/>
      <w:numFmt w:val="bullet"/>
      <w:isLgl w:val="false"/>
      <w:suff w:val="tab"/>
      <w:lvlText w:val="§"/>
      <w:lvlJc w:val="left"/>
      <w:pPr>
        <w:ind w:left="6622"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2">
    <w:multiLevelType w:val="hybridMultilevel"/>
    <w:lvl w:ilvl="0">
      <w:start w:val="1"/>
      <w:numFmt w:val="decimal"/>
      <w:pStyle w:val="9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929"/>
    <w:uiPriority w:val="0"/>
    <w:qFormat/>
    <w:pPr>
      <w:jc w:val="center"/>
      <w:keepNext/>
      <w:outlineLvl w:val="0"/>
    </w:pPr>
    <w:rPr>
      <w:rFonts w:ascii="楷体_GB2312" w:eastAsia="楷体_GB2312"/>
      <w:sz w:val="28"/>
      <w:szCs w:val="28"/>
    </w:rPr>
  </w:style>
  <w:style w:type="paragraph" w:styleId="712">
    <w:name w:val="Heading 2"/>
    <w:basedOn w:val="710"/>
    <w:next w:val="729"/>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9"/>
    <w:link w:val="932"/>
    <w:uiPriority w:val="0"/>
    <w:qFormat/>
    <w:pPr>
      <w:keepLines/>
      <w:keepNext/>
      <w:spacing w:before="260" w:after="260" w:line="416" w:lineRule="auto"/>
      <w:outlineLvl w:val="2"/>
    </w:pPr>
    <w:rPr>
      <w:b/>
      <w:bCs/>
      <w:sz w:val="32"/>
      <w:szCs w:val="32"/>
    </w:rPr>
  </w:style>
  <w:style w:type="paragraph" w:styleId="714">
    <w:name w:val="Heading 4"/>
    <w:basedOn w:val="710"/>
    <w:next w:val="729"/>
    <w:link w:val="933"/>
    <w:uiPriority w:val="0"/>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9"/>
    <w:link w:val="934"/>
    <w:uiPriority w:val="0"/>
    <w:qFormat/>
    <w:pPr>
      <w:keepNext/>
      <w:outlineLvl w:val="4"/>
    </w:pPr>
    <w:rPr>
      <w:rFonts w:ascii="宋体"/>
      <w:color w:val="000000"/>
      <w:sz w:val="28"/>
      <w:szCs w:val="28"/>
    </w:rPr>
  </w:style>
  <w:style w:type="paragraph" w:styleId="716">
    <w:name w:val="Heading 6"/>
    <w:basedOn w:val="710"/>
    <w:next w:val="710"/>
    <w:link w:val="9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936"/>
    <w:uiPriority w:val="0"/>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938"/>
    <w:uiPriority w:val="0"/>
    <w:qFormat/>
    <w:pPr>
      <w:numPr>
        <w:ilvl w:val="8"/>
        <w:numId w:val="1"/>
      </w:numPr>
      <w:keepLines/>
      <w:keepNext/>
      <w:spacing w:before="240" w:after="64" w:line="320" w:lineRule="auto"/>
      <w:outlineLvl w:val="8"/>
    </w:pPr>
    <w:rPr>
      <w:rFonts w:ascii="Arial" w:hAnsi="Arial" w:eastAsia="黑体"/>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正文首行缩进 21"/>
    <w:basedOn w:val="723"/>
    <w:next w:val="710"/>
    <w:link w:val="945"/>
    <w:uiPriority w:val="0"/>
    <w:qFormat/>
    <w:pPr>
      <w:ind w:left="0" w:firstLine="420"/>
      <w:spacing w:after="0" w:line="360" w:lineRule="auto"/>
    </w:pPr>
    <w:rPr>
      <w:rFonts w:ascii="宋体" w:hAnsi="宋体"/>
      <w:szCs w:val="20"/>
    </w:rPr>
  </w:style>
  <w:style w:type="paragraph" w:styleId="723" w:customStyle="1">
    <w:name w:val="正文文本缩进11"/>
    <w:basedOn w:val="724"/>
    <w:next w:val="728"/>
    <w:uiPriority w:val="0"/>
    <w:unhideWhenUsed/>
    <w:qFormat/>
    <w:pPr>
      <w:ind w:left="420"/>
      <w:spacing w:after="120"/>
    </w:pPr>
  </w:style>
  <w:style w:type="paragraph" w:styleId="724" w:customStyle="1">
    <w:name w:val="正文112"/>
    <w:next w:val="725"/>
    <w:uiPriority w:val="0"/>
    <w:qFormat/>
    <w:pPr>
      <w:jc w:val="both"/>
      <w:widowControl w:val="off"/>
    </w:pPr>
    <w:rPr>
      <w:rFonts w:ascii="Times New Roman" w:hAnsi="Times New Roman" w:eastAsia="宋体" w:cs="Times New Roman"/>
      <w:sz w:val="21"/>
      <w:szCs w:val="24"/>
      <w:lang w:val="en-US" w:eastAsia="zh-CN" w:bidi="ar-SA"/>
    </w:rPr>
  </w:style>
  <w:style w:type="paragraph" w:styleId="725" w:customStyle="1">
    <w:name w:val="正文首行缩进1"/>
    <w:basedOn w:val="726"/>
    <w:uiPriority w:val="0"/>
    <w:qFormat/>
    <w:pPr>
      <w:ind w:firstLine="200"/>
      <w:spacing w:line="360" w:lineRule="auto"/>
    </w:pPr>
    <w:rPr>
      <w:rFonts w:ascii="仿宋_GB2312" w:hAnsi="Times New Roman" w:eastAsia="仿宋_GB2312"/>
      <w:sz w:val="30"/>
      <w:szCs w:val="30"/>
    </w:rPr>
  </w:style>
  <w:style w:type="paragraph" w:styleId="726" w:customStyle="1">
    <w:name w:val="正文文本1"/>
    <w:basedOn w:val="727"/>
    <w:next w:val="710"/>
    <w:uiPriority w:val="0"/>
    <w:semiHidden/>
    <w:qFormat/>
    <w:rPr>
      <w:rFonts w:ascii="Arial" w:hAnsi="Arial" w:eastAsia="Arial" w:cs="Arial"/>
      <w:szCs w:val="21"/>
      <w:lang w:eastAsia="en-US"/>
    </w:rPr>
  </w:style>
  <w:style w:type="paragraph" w:styleId="727" w:customStyle="1">
    <w:name w:val="正文1"/>
    <w:basedOn w:val="710"/>
    <w:next w:val="726"/>
    <w:uiPriority w:val="0"/>
    <w:qFormat/>
    <w:pPr>
      <w:jc w:val="left"/>
      <w:spacing w:line="360" w:lineRule="atLeast"/>
    </w:pPr>
    <w:rPr>
      <w:rFonts w:ascii="宋体" w:hAnsiTheme="minorHAnsi" w:eastAsiaTheme="minorEastAsia" w:cstheme="minorBidi"/>
      <w:sz w:val="24"/>
      <w:szCs w:val="20"/>
    </w:rPr>
  </w:style>
  <w:style w:type="paragraph" w:styleId="728" w:customStyle="1">
    <w:name w:val="寄信人地址1"/>
    <w:basedOn w:val="710"/>
    <w:uiPriority w:val="0"/>
    <w:qFormat/>
    <w:rPr>
      <w:rFonts w:ascii="Arial" w:hAnsi="Arial" w:cs="宋体"/>
      <w:szCs w:val="24"/>
    </w:rPr>
  </w:style>
  <w:style w:type="paragraph" w:styleId="729">
    <w:name w:val="Normal Indent"/>
    <w:basedOn w:val="710"/>
    <w:link w:val="931"/>
    <w:uiPriority w:val="0"/>
    <w:qFormat/>
    <w:pPr>
      <w:ind w:firstLine="420"/>
    </w:pPr>
    <w:rPr>
      <w:szCs w:val="21"/>
    </w:rPr>
  </w:style>
  <w:style w:type="paragraph" w:styleId="730">
    <w:name w:val="List 3"/>
    <w:basedOn w:val="710"/>
    <w:uiPriority w:val="0"/>
    <w:qFormat/>
    <w:pPr>
      <w:ind w:left="100" w:hanging="200"/>
    </w:pPr>
    <w:rPr>
      <w:szCs w:val="21"/>
    </w:rPr>
  </w:style>
  <w:style w:type="paragraph" w:styleId="731">
    <w:name w:val="toc 7"/>
    <w:basedOn w:val="710"/>
    <w:next w:val="710"/>
    <w:uiPriority w:val="39"/>
    <w:unhideWhenUsed/>
    <w:qFormat/>
    <w:pPr>
      <w:ind w:left="1701"/>
      <w:spacing w:after="57"/>
    </w:pPr>
  </w:style>
  <w:style w:type="paragraph" w:styleId="732">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0"/>
    <w:link w:val="940"/>
    <w:uiPriority w:val="0"/>
    <w:semiHidden/>
    <w:qFormat/>
    <w:pPr>
      <w:shd w:val="clear" w:color="auto" w:fill="000080"/>
    </w:pPr>
    <w:rPr>
      <w:szCs w:val="21"/>
    </w:rPr>
  </w:style>
  <w:style w:type="paragraph" w:styleId="734">
    <w:name w:val="annotation text"/>
    <w:basedOn w:val="710"/>
    <w:link w:val="941"/>
    <w:uiPriority w:val="0"/>
    <w:unhideWhenUsed/>
    <w:qFormat/>
    <w:pPr>
      <w:jc w:val="left"/>
    </w:pPr>
  </w:style>
  <w:style w:type="paragraph" w:styleId="735">
    <w:name w:val="Body Text 3"/>
    <w:basedOn w:val="710"/>
    <w:link w:val="942"/>
    <w:uiPriority w:val="0"/>
    <w:qFormat/>
    <w:rPr>
      <w:rFonts w:ascii="仿宋_GB2312" w:hAnsi="Arial" w:eastAsia="仿宋_GB2312"/>
      <w:sz w:val="32"/>
      <w:szCs w:val="32"/>
    </w:rPr>
  </w:style>
  <w:style w:type="paragraph" w:styleId="736">
    <w:name w:val="Body Text"/>
    <w:basedOn w:val="710"/>
    <w:link w:val="943"/>
    <w:uiPriority w:val="0"/>
    <w:qFormat/>
    <w:rPr>
      <w:rFonts w:ascii="楷体_GB2312" w:hAnsi="Arial" w:eastAsia="楷体_GB2312"/>
      <w:sz w:val="28"/>
      <w:szCs w:val="28"/>
    </w:rPr>
  </w:style>
  <w:style w:type="paragraph" w:styleId="737">
    <w:name w:val="Body Text Indent"/>
    <w:basedOn w:val="710"/>
    <w:next w:val="722"/>
    <w:link w:val="944"/>
    <w:uiPriority w:val="0"/>
    <w:unhideWhenUsed/>
    <w:qFormat/>
    <w:pPr>
      <w:ind w:left="420"/>
      <w:spacing w:after="120"/>
    </w:pPr>
  </w:style>
  <w:style w:type="paragraph" w:styleId="738">
    <w:name w:val="List 2"/>
    <w:basedOn w:val="710"/>
    <w:uiPriority w:val="0"/>
    <w:qFormat/>
    <w:pPr>
      <w:ind w:left="100" w:hanging="200"/>
    </w:pPr>
    <w:rPr>
      <w:szCs w:val="21"/>
    </w:rPr>
  </w:style>
  <w:style w:type="paragraph" w:styleId="739">
    <w:name w:val="toc 5"/>
    <w:basedOn w:val="710"/>
    <w:next w:val="710"/>
    <w:uiPriority w:val="39"/>
    <w:unhideWhenUsed/>
    <w:qFormat/>
    <w:pPr>
      <w:ind w:left="1134"/>
      <w:spacing w:after="57"/>
    </w:pPr>
  </w:style>
  <w:style w:type="paragraph" w:styleId="740">
    <w:name w:val="toc 3"/>
    <w:basedOn w:val="710"/>
    <w:next w:val="710"/>
    <w:uiPriority w:val="39"/>
    <w:unhideWhenUsed/>
    <w:qFormat/>
    <w:pPr>
      <w:ind w:left="567"/>
      <w:spacing w:after="57"/>
    </w:pPr>
  </w:style>
  <w:style w:type="paragraph" w:styleId="741">
    <w:name w:val="Plain Text"/>
    <w:basedOn w:val="710"/>
    <w:link w:val="948"/>
    <w:uiPriority w:val="0"/>
    <w:qFormat/>
    <w:rPr>
      <w:rFonts w:ascii="宋体" w:hAnsi="Courier New" w:cs="Courier New"/>
      <w:szCs w:val="21"/>
    </w:rPr>
  </w:style>
  <w:style w:type="paragraph" w:styleId="742">
    <w:name w:val="toc 8"/>
    <w:basedOn w:val="710"/>
    <w:next w:val="710"/>
    <w:uiPriority w:val="39"/>
    <w:unhideWhenUsed/>
    <w:qFormat/>
    <w:pPr>
      <w:ind w:left="1984"/>
      <w:spacing w:after="57"/>
    </w:pPr>
  </w:style>
  <w:style w:type="paragraph" w:styleId="743">
    <w:name w:val="Date"/>
    <w:basedOn w:val="710"/>
    <w:next w:val="710"/>
    <w:link w:val="950"/>
    <w:uiPriority w:val="0"/>
    <w:qFormat/>
    <w:rPr>
      <w:sz w:val="24"/>
      <w:szCs w:val="24"/>
    </w:rPr>
  </w:style>
  <w:style w:type="paragraph" w:styleId="744">
    <w:name w:val="Body Text Indent 2"/>
    <w:basedOn w:val="710"/>
    <w:link w:val="951"/>
    <w:uiPriority w:val="0"/>
    <w:qFormat/>
    <w:pPr>
      <w:ind w:left="630" w:firstLine="645"/>
    </w:pPr>
    <w:rPr>
      <w:rFonts w:ascii="Arial" w:hAnsi="Arial" w:eastAsia="仿宋_GB2312" w:cs="Arial"/>
      <w:sz w:val="32"/>
      <w:szCs w:val="32"/>
    </w:rPr>
  </w:style>
  <w:style w:type="paragraph" w:styleId="745">
    <w:name w:val="endnote text"/>
    <w:basedOn w:val="710"/>
    <w:link w:val="927"/>
    <w:uiPriority w:val="99"/>
    <w:semiHidden/>
    <w:unhideWhenUsed/>
    <w:qFormat/>
    <w:rPr>
      <w:sz w:val="20"/>
    </w:rPr>
  </w:style>
  <w:style w:type="paragraph" w:styleId="746">
    <w:name w:val="Balloon Text"/>
    <w:basedOn w:val="710"/>
    <w:link w:val="952"/>
    <w:uiPriority w:val="0"/>
    <w:semiHidden/>
    <w:qFormat/>
    <w:rPr>
      <w:sz w:val="18"/>
      <w:szCs w:val="18"/>
    </w:rPr>
  </w:style>
  <w:style w:type="paragraph" w:styleId="747">
    <w:name w:val="Footer"/>
    <w:basedOn w:val="710"/>
    <w:link w:val="953"/>
    <w:uiPriority w:val="0"/>
    <w:qFormat/>
    <w:pPr>
      <w:jc w:val="left"/>
      <w:tabs>
        <w:tab w:val="center" w:pos="4153" w:leader="none"/>
        <w:tab w:val="right" w:pos="8306" w:leader="none"/>
      </w:tabs>
    </w:pPr>
    <w:rPr>
      <w:sz w:val="18"/>
      <w:szCs w:val="18"/>
    </w:rPr>
  </w:style>
  <w:style w:type="paragraph" w:styleId="748">
    <w:name w:val="envelope return"/>
    <w:basedOn w:val="710"/>
    <w:uiPriority w:val="0"/>
    <w:qFormat/>
    <w:rPr>
      <w:rFonts w:ascii="Arial" w:hAnsi="Arial" w:cs="宋体"/>
    </w:rPr>
  </w:style>
  <w:style w:type="paragraph" w:styleId="749">
    <w:name w:val="Header"/>
    <w:basedOn w:val="710"/>
    <w:link w:val="954"/>
    <w:uiPriority w:val="0"/>
    <w:qFormat/>
    <w:pPr>
      <w:jc w:val="center"/>
      <w:tabs>
        <w:tab w:val="center" w:pos="4153" w:leader="none"/>
        <w:tab w:val="right" w:pos="8306" w:leader="none"/>
      </w:tabs>
      <w:pBdr>
        <w:bottom w:val="single" w:color="000000" w:sz="6" w:space="1"/>
      </w:pBdr>
    </w:pPr>
    <w:rPr>
      <w:sz w:val="18"/>
      <w:szCs w:val="18"/>
    </w:rPr>
  </w:style>
  <w:style w:type="paragraph" w:styleId="750">
    <w:name w:val="toc 1"/>
    <w:basedOn w:val="710"/>
    <w:next w:val="710"/>
    <w:uiPriority w:val="39"/>
    <w:unhideWhenUsed/>
    <w:qFormat/>
    <w:pPr>
      <w:spacing w:after="57"/>
    </w:pPr>
  </w:style>
  <w:style w:type="paragraph" w:styleId="751">
    <w:name w:val="toc 4"/>
    <w:basedOn w:val="710"/>
    <w:next w:val="710"/>
    <w:uiPriority w:val="39"/>
    <w:unhideWhenUsed/>
    <w:qFormat/>
    <w:pPr>
      <w:ind w:left="850"/>
      <w:spacing w:after="57"/>
    </w:pPr>
  </w:style>
  <w:style w:type="paragraph" w:styleId="752">
    <w:name w:val="Subtitle"/>
    <w:basedOn w:val="710"/>
    <w:next w:val="710"/>
    <w:link w:val="793"/>
    <w:uiPriority w:val="11"/>
    <w:qFormat/>
    <w:pPr>
      <w:spacing w:before="200" w:after="200"/>
    </w:pPr>
    <w:rPr>
      <w:sz w:val="24"/>
      <w:szCs w:val="24"/>
    </w:rPr>
  </w:style>
  <w:style w:type="paragraph" w:styleId="753">
    <w:name w:val="List"/>
    <w:basedOn w:val="710"/>
    <w:uiPriority w:val="0"/>
    <w:qFormat/>
    <w:pPr>
      <w:ind w:left="200" w:hanging="200"/>
    </w:pPr>
    <w:rPr>
      <w:szCs w:val="21"/>
    </w:rPr>
  </w:style>
  <w:style w:type="paragraph" w:styleId="754">
    <w:name w:val="footnote text"/>
    <w:basedOn w:val="710"/>
    <w:link w:val="926"/>
    <w:uiPriority w:val="99"/>
    <w:semiHidden/>
    <w:unhideWhenUsed/>
    <w:qFormat/>
    <w:pPr>
      <w:spacing w:after="40"/>
    </w:pPr>
    <w:rPr>
      <w:sz w:val="18"/>
    </w:rPr>
  </w:style>
  <w:style w:type="paragraph" w:styleId="755">
    <w:name w:val="toc 6"/>
    <w:basedOn w:val="710"/>
    <w:next w:val="710"/>
    <w:uiPriority w:val="39"/>
    <w:unhideWhenUsed/>
    <w:qFormat/>
    <w:pPr>
      <w:ind w:left="1417"/>
      <w:spacing w:after="57"/>
    </w:pPr>
  </w:style>
  <w:style w:type="paragraph" w:styleId="756">
    <w:name w:val="Body Text Indent 3"/>
    <w:basedOn w:val="710"/>
    <w:link w:val="958"/>
    <w:uiPriority w:val="0"/>
    <w:qFormat/>
    <w:pPr>
      <w:ind w:left="645" w:firstLine="645"/>
    </w:pPr>
    <w:rPr>
      <w:rFonts w:ascii="Arial" w:hAnsi="Arial" w:eastAsia="仿宋_GB2312" w:cs="Arial"/>
      <w:color w:val="ffff00"/>
      <w:sz w:val="32"/>
      <w:szCs w:val="32"/>
    </w:rPr>
  </w:style>
  <w:style w:type="paragraph" w:styleId="757">
    <w:name w:val="table of figures"/>
    <w:basedOn w:val="710"/>
    <w:next w:val="710"/>
    <w:uiPriority w:val="0"/>
    <w:semiHidden/>
    <w:qFormat/>
    <w:pPr>
      <w:ind w:left="840" w:hanging="420"/>
    </w:pPr>
    <w:rPr>
      <w:szCs w:val="21"/>
    </w:rPr>
  </w:style>
  <w:style w:type="paragraph" w:styleId="758">
    <w:name w:val="toc 2"/>
    <w:basedOn w:val="710"/>
    <w:next w:val="710"/>
    <w:uiPriority w:val="39"/>
    <w:unhideWhenUsed/>
    <w:qFormat/>
    <w:pPr>
      <w:ind w:left="283"/>
      <w:spacing w:after="57"/>
    </w:pPr>
  </w:style>
  <w:style w:type="paragraph" w:styleId="759">
    <w:name w:val="toc 9"/>
    <w:basedOn w:val="710"/>
    <w:next w:val="710"/>
    <w:uiPriority w:val="39"/>
    <w:unhideWhenUsed/>
    <w:qFormat/>
    <w:pPr>
      <w:ind w:left="2268"/>
      <w:spacing w:after="57"/>
    </w:pPr>
  </w:style>
  <w:style w:type="paragraph" w:styleId="760">
    <w:name w:val="Body Text 2"/>
    <w:basedOn w:val="710"/>
    <w:link w:val="961"/>
    <w:uiPriority w:val="0"/>
    <w:qFormat/>
    <w:pPr>
      <w:jc w:val="center"/>
      <w:widowControl/>
    </w:pPr>
    <w:rPr>
      <w:rFonts w:ascii="楷体_GB2312" w:eastAsia="楷体_GB2312"/>
      <w:sz w:val="28"/>
      <w:szCs w:val="28"/>
    </w:rPr>
  </w:style>
  <w:style w:type="paragraph" w:styleId="761">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62">
    <w:name w:val="index 1"/>
    <w:basedOn w:val="710"/>
    <w:next w:val="710"/>
    <w:uiPriority w:val="0"/>
    <w:semiHidden/>
    <w:qFormat/>
    <w:pPr>
      <w:spacing w:line="240" w:lineRule="atLeast"/>
    </w:pPr>
    <w:rPr>
      <w:b/>
      <w:bCs/>
      <w:szCs w:val="21"/>
    </w:rPr>
  </w:style>
  <w:style w:type="paragraph" w:styleId="763">
    <w:name w:val="Title"/>
    <w:basedOn w:val="710"/>
    <w:next w:val="710"/>
    <w:link w:val="792"/>
    <w:uiPriority w:val="10"/>
    <w:qFormat/>
    <w:pPr>
      <w:contextualSpacing/>
      <w:spacing w:before="300" w:after="200"/>
    </w:pPr>
    <w:rPr>
      <w:sz w:val="48"/>
      <w:szCs w:val="48"/>
    </w:rPr>
  </w:style>
  <w:style w:type="paragraph" w:styleId="764">
    <w:name w:val="annotation subject"/>
    <w:basedOn w:val="734"/>
    <w:next w:val="734"/>
    <w:link w:val="962"/>
    <w:uiPriority w:val="0"/>
    <w:semiHidden/>
    <w:qFormat/>
    <w:rPr>
      <w:b/>
      <w:bCs/>
      <w:szCs w:val="21"/>
    </w:rPr>
  </w:style>
  <w:style w:type="paragraph" w:styleId="765">
    <w:name w:val="Body Text First Indent 2"/>
    <w:basedOn w:val="766"/>
    <w:uiPriority w:val="0"/>
    <w:qFormat/>
    <w:pPr>
      <w:ind w:left="0" w:firstLine="420"/>
      <w:spacing w:after="0" w:line="360" w:lineRule="auto"/>
    </w:pPr>
    <w:rPr>
      <w:rFonts w:ascii="宋体" w:hAnsi="宋体"/>
      <w:sz w:val="20"/>
      <w:szCs w:val="20"/>
      <w:lang w:eastAsia="en-US"/>
    </w:rPr>
  </w:style>
  <w:style w:type="paragraph" w:styleId="766" w:customStyle="1">
    <w:name w:val="正文文本缩进1"/>
    <w:basedOn w:val="710"/>
    <w:next w:val="722"/>
    <w:uiPriority w:val="0"/>
    <w:unhideWhenUsed/>
    <w:qFormat/>
    <w:pPr>
      <w:ind w:left="420"/>
      <w:spacing w:after="120"/>
    </w:pPr>
  </w:style>
  <w:style w:type="table" w:styleId="767">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uiPriority w:val="0"/>
    <w:qFormat/>
    <w:rPr>
      <w:b/>
      <w:bCs/>
    </w:rPr>
  </w:style>
  <w:style w:type="character" w:styleId="769">
    <w:name w:val="endnote reference"/>
    <w:uiPriority w:val="99"/>
    <w:semiHidden/>
    <w:unhideWhenUsed/>
    <w:qFormat/>
    <w:rPr>
      <w:vertAlign w:val="superscript"/>
    </w:rPr>
  </w:style>
  <w:style w:type="character" w:styleId="770">
    <w:name w:val="page number"/>
    <w:uiPriority w:val="0"/>
    <w:qFormat/>
  </w:style>
  <w:style w:type="character" w:styleId="771">
    <w:name w:val="Hyperlink"/>
    <w:uiPriority w:val="0"/>
    <w:qFormat/>
    <w:rPr>
      <w:color w:val="0000ff"/>
      <w:u w:val="single"/>
    </w:rPr>
  </w:style>
  <w:style w:type="character" w:styleId="772">
    <w:name w:val="annotation reference"/>
    <w:uiPriority w:val="0"/>
    <w:semiHidden/>
    <w:qFormat/>
    <w:rPr>
      <w:sz w:val="21"/>
      <w:szCs w:val="21"/>
    </w:rPr>
  </w:style>
  <w:style w:type="character" w:styleId="773">
    <w:name w:val="footnote reference"/>
    <w:uiPriority w:val="99"/>
    <w:unhideWhenUsed/>
    <w:qFormat/>
    <w:rPr>
      <w:vertAlign w:val="superscript"/>
    </w:rPr>
  </w:style>
  <w:style w:type="character" w:styleId="774" w:customStyle="1">
    <w:name w:val="Title Char"/>
    <w:basedOn w:val="720"/>
    <w:uiPriority w:val="10"/>
    <w:qFormat/>
    <w:rPr>
      <w:sz w:val="48"/>
      <w:szCs w:val="48"/>
    </w:rPr>
  </w:style>
  <w:style w:type="character" w:styleId="775" w:customStyle="1">
    <w:name w:val="Subtitle Char"/>
    <w:basedOn w:val="72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ascii="Times New Roman" w:hAnsi="Times New Roman" w:eastAsia="宋体" w:cs="Times New Roman"/>
      <w:lang w:val="en-US" w:eastAsia="zh-CN" w:bidi="ar-SA"/>
    </w:rPr>
  </w:style>
  <w:style w:type="character" w:styleId="781" w:customStyle="1">
    <w:name w:val="Heading 1 Char"/>
    <w:uiPriority w:val="9"/>
    <w:qFormat/>
    <w:rPr>
      <w:rFonts w:ascii="Arial" w:hAnsi="Arial" w:eastAsia="Arial" w:cs="Arial"/>
      <w:sz w:val="40"/>
      <w:szCs w:val="40"/>
    </w:rPr>
  </w:style>
  <w:style w:type="character" w:styleId="782" w:customStyle="1">
    <w:name w:val="Heading 2 Char"/>
    <w:uiPriority w:val="9"/>
    <w:qFormat/>
    <w:rPr>
      <w:rFonts w:ascii="Arial" w:hAnsi="Arial" w:eastAsia="Arial" w:cs="Arial"/>
      <w:sz w:val="34"/>
    </w:rPr>
  </w:style>
  <w:style w:type="character" w:styleId="783" w:customStyle="1">
    <w:name w:val="Heading 3 Char"/>
    <w:uiPriority w:val="9"/>
    <w:qFormat/>
    <w:rPr>
      <w:rFonts w:ascii="Arial" w:hAnsi="Arial" w:eastAsia="Arial" w:cs="Arial"/>
      <w:sz w:val="30"/>
      <w:szCs w:val="30"/>
    </w:rPr>
  </w:style>
  <w:style w:type="character" w:styleId="784" w:customStyle="1">
    <w:name w:val="Heading 4 Char"/>
    <w:uiPriority w:val="9"/>
    <w:qFormat/>
    <w:rPr>
      <w:rFonts w:ascii="Arial" w:hAnsi="Arial" w:eastAsia="Arial" w:cs="Arial"/>
      <w:b/>
      <w:bCs/>
      <w:sz w:val="26"/>
      <w:szCs w:val="26"/>
    </w:rPr>
  </w:style>
  <w:style w:type="character" w:styleId="785" w:customStyle="1">
    <w:name w:val="Heading 5 Char"/>
    <w:uiPriority w:val="9"/>
    <w:qFormat/>
    <w:rPr>
      <w:rFonts w:ascii="Arial" w:hAnsi="Arial" w:eastAsia="Arial" w:cs="Arial"/>
      <w:b/>
      <w:bCs/>
      <w:sz w:val="24"/>
      <w:szCs w:val="24"/>
    </w:rPr>
  </w:style>
  <w:style w:type="character" w:styleId="786" w:customStyle="1">
    <w:name w:val="Heading 6 Char"/>
    <w:uiPriority w:val="9"/>
    <w:qFormat/>
    <w:rPr>
      <w:rFonts w:ascii="Arial" w:hAnsi="Arial" w:eastAsia="Arial" w:cs="Arial"/>
      <w:b/>
      <w:bCs/>
      <w:sz w:val="22"/>
      <w:szCs w:val="22"/>
    </w:rPr>
  </w:style>
  <w:style w:type="character" w:styleId="787" w:customStyle="1">
    <w:name w:val="Heading 7 Char"/>
    <w:uiPriority w:val="9"/>
    <w:qFormat/>
    <w:rPr>
      <w:rFonts w:ascii="Arial" w:hAnsi="Arial" w:eastAsia="Arial" w:cs="Arial"/>
      <w:b/>
      <w:bCs/>
      <w:i/>
      <w:iCs/>
      <w:sz w:val="22"/>
      <w:szCs w:val="22"/>
    </w:rPr>
  </w:style>
  <w:style w:type="character" w:styleId="788" w:customStyle="1">
    <w:name w:val="Heading 8 Char"/>
    <w:uiPriority w:val="9"/>
    <w:qFormat/>
    <w:rPr>
      <w:rFonts w:ascii="Arial" w:hAnsi="Arial" w:eastAsia="Arial" w:cs="Arial"/>
      <w:i/>
      <w:iCs/>
      <w:sz w:val="22"/>
      <w:szCs w:val="22"/>
    </w:rPr>
  </w:style>
  <w:style w:type="character" w:styleId="789" w:customStyle="1">
    <w:name w:val="Heading 9 Char"/>
    <w:uiPriority w:val="9"/>
    <w:qFormat/>
    <w:rPr>
      <w:rFonts w:ascii="Arial" w:hAnsi="Arial" w:eastAsia="Arial" w:cs="Arial"/>
      <w:i/>
      <w:iCs/>
      <w:sz w:val="21"/>
      <w:szCs w:val="21"/>
    </w:rPr>
  </w:style>
  <w:style w:type="paragraph" w:styleId="790">
    <w:name w:val="List Paragraph"/>
    <w:basedOn w:val="710"/>
    <w:uiPriority w:val="34"/>
    <w:qFormat/>
    <w:pPr>
      <w:contextualSpacing/>
      <w:ind w:left="720"/>
    </w:pPr>
  </w:style>
  <w:style w:type="paragraph" w:styleId="79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2" w:customStyle="1">
    <w:name w:val="标题 字符"/>
    <w:link w:val="763"/>
    <w:uiPriority w:val="10"/>
    <w:qFormat/>
    <w:rPr>
      <w:sz w:val="48"/>
      <w:szCs w:val="48"/>
    </w:rPr>
  </w:style>
  <w:style w:type="character" w:styleId="793" w:customStyle="1">
    <w:name w:val="副标题 字符"/>
    <w:link w:val="752"/>
    <w:uiPriority w:val="11"/>
    <w:qFormat/>
    <w:rPr>
      <w:sz w:val="24"/>
      <w:szCs w:val="24"/>
    </w:rPr>
  </w:style>
  <w:style w:type="paragraph" w:styleId="794">
    <w:name w:val="Quote"/>
    <w:basedOn w:val="710"/>
    <w:next w:val="710"/>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10"/>
    <w:next w:val="710"/>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Header Char"/>
    <w:uiPriority w:val="99"/>
    <w:qFormat/>
  </w:style>
  <w:style w:type="character" w:styleId="799" w:customStyle="1">
    <w:name w:val="Footer Char"/>
    <w:uiPriority w:val="99"/>
    <w:qFormat/>
  </w:style>
  <w:style w:type="character" w:styleId="800" w:customStyle="1">
    <w:name w:val="Caption Char"/>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
    <w:link w:val="754"/>
    <w:uiPriority w:val="99"/>
    <w:qFormat/>
    <w:rPr>
      <w:sz w:val="18"/>
    </w:rPr>
  </w:style>
  <w:style w:type="character" w:styleId="927" w:customStyle="1">
    <w:name w:val="尾注文本 字符"/>
    <w:link w:val="745"/>
    <w:uiPriority w:val="99"/>
    <w:qFormat/>
    <w:rPr>
      <w:sz w:val="20"/>
    </w:rPr>
  </w:style>
  <w:style w:type="paragraph" w:styleId="928" w:customStyle="1">
    <w:name w:val="TOC 标题11"/>
    <w:uiPriority w:val="39"/>
    <w:unhideWhenUsed/>
    <w:qFormat/>
    <w:rPr>
      <w:rFonts w:ascii="Times New Roman" w:hAnsi="Times New Roman" w:eastAsia="宋体" w:cs="Times New Roman"/>
      <w:lang w:val="en-US" w:eastAsia="zh-CN" w:bidi="ar-SA"/>
    </w:rPr>
  </w:style>
  <w:style w:type="character" w:styleId="929" w:customStyle="1">
    <w:name w:val="标题 1 字符"/>
    <w:link w:val="711"/>
    <w:uiPriority w:val="0"/>
    <w:qFormat/>
    <w:rPr>
      <w:rFonts w:ascii="楷体_GB2312" w:hAnsi="Times New Roman" w:eastAsia="楷体_GB2312" w:cs="Times New Roman"/>
      <w:sz w:val="28"/>
      <w:szCs w:val="28"/>
    </w:rPr>
  </w:style>
  <w:style w:type="character" w:styleId="930" w:customStyle="1">
    <w:name w:val="标题 2 字符"/>
    <w:link w:val="712"/>
    <w:uiPriority w:val="0"/>
    <w:qFormat/>
    <w:rPr>
      <w:rFonts w:ascii="Arial" w:hAnsi="Arial" w:eastAsia="幼圆" w:cs="Arial"/>
      <w:b/>
      <w:bCs/>
      <w:sz w:val="44"/>
      <w:szCs w:val="44"/>
    </w:rPr>
  </w:style>
  <w:style w:type="character" w:styleId="931" w:customStyle="1">
    <w:name w:val="正文缩进 字符"/>
    <w:link w:val="729"/>
    <w:uiPriority w:val="0"/>
    <w:qFormat/>
    <w:rPr>
      <w:szCs w:val="21"/>
    </w:rPr>
  </w:style>
  <w:style w:type="character" w:styleId="932" w:customStyle="1">
    <w:name w:val="标题 3 字符"/>
    <w:link w:val="713"/>
    <w:uiPriority w:val="0"/>
    <w:qFormat/>
    <w:rPr>
      <w:rFonts w:ascii="Times New Roman" w:hAnsi="Times New Roman" w:eastAsia="宋体" w:cs="Times New Roman"/>
      <w:b/>
      <w:bCs/>
      <w:sz w:val="32"/>
      <w:szCs w:val="32"/>
    </w:rPr>
  </w:style>
  <w:style w:type="character" w:styleId="933" w:customStyle="1">
    <w:name w:val="标题 4 字符"/>
    <w:link w:val="714"/>
    <w:uiPriority w:val="0"/>
    <w:qFormat/>
    <w:rPr>
      <w:rFonts w:ascii="Arial" w:hAnsi="Arial" w:eastAsia="黑体" w:cs="Arial"/>
      <w:b/>
      <w:bCs/>
      <w:sz w:val="28"/>
      <w:szCs w:val="28"/>
    </w:rPr>
  </w:style>
  <w:style w:type="character" w:styleId="934" w:customStyle="1">
    <w:name w:val="标题 5 字符"/>
    <w:link w:val="715"/>
    <w:uiPriority w:val="0"/>
    <w:qFormat/>
    <w:rPr>
      <w:rFonts w:ascii="宋体" w:hAnsi="Times New Roman" w:eastAsia="宋体" w:cs="Times New Roman"/>
      <w:color w:val="000000"/>
      <w:sz w:val="28"/>
      <w:szCs w:val="28"/>
    </w:rPr>
  </w:style>
  <w:style w:type="character" w:styleId="935" w:customStyle="1">
    <w:name w:val="标题 6 字符"/>
    <w:link w:val="716"/>
    <w:uiPriority w:val="0"/>
    <w:qFormat/>
    <w:rPr>
      <w:rFonts w:ascii="Arial" w:hAnsi="Arial" w:eastAsia="黑体" w:cs="Times New Roman"/>
      <w:b/>
      <w:bCs/>
      <w:sz w:val="24"/>
      <w:szCs w:val="24"/>
    </w:rPr>
  </w:style>
  <w:style w:type="character" w:styleId="936" w:customStyle="1">
    <w:name w:val="标题 7 字符"/>
    <w:link w:val="717"/>
    <w:uiPriority w:val="0"/>
    <w:qFormat/>
    <w:rPr>
      <w:rFonts w:ascii="Times New Roman" w:hAnsi="Times New Roman" w:eastAsia="宋体" w:cs="Times New Roman"/>
      <w:b/>
      <w:bCs/>
      <w:sz w:val="24"/>
      <w:szCs w:val="24"/>
    </w:rPr>
  </w:style>
  <w:style w:type="character" w:styleId="937" w:customStyle="1">
    <w:name w:val="标题 8 字符"/>
    <w:link w:val="718"/>
    <w:uiPriority w:val="0"/>
    <w:qFormat/>
    <w:rPr>
      <w:rFonts w:ascii="Arial" w:hAnsi="Arial" w:eastAsia="黑体" w:cs="Times New Roman"/>
      <w:sz w:val="24"/>
      <w:szCs w:val="24"/>
    </w:rPr>
  </w:style>
  <w:style w:type="character" w:styleId="938" w:customStyle="1">
    <w:name w:val="标题 9 字符"/>
    <w:link w:val="719"/>
    <w:uiPriority w:val="0"/>
    <w:qFormat/>
    <w:rPr>
      <w:rFonts w:ascii="Arial" w:hAnsi="Arial" w:eastAsia="黑体" w:cs="Times New Roman"/>
      <w:szCs w:val="21"/>
    </w:rPr>
  </w:style>
  <w:style w:type="paragraph" w:styleId="939" w:customStyle="1">
    <w:name w:val="目录 71"/>
    <w:basedOn w:val="710"/>
    <w:next w:val="710"/>
    <w:uiPriority w:val="0"/>
    <w:semiHidden/>
    <w:qFormat/>
    <w:pPr>
      <w:ind w:left="1260"/>
      <w:jc w:val="left"/>
    </w:pPr>
    <w:rPr>
      <w:szCs w:val="21"/>
    </w:rPr>
  </w:style>
  <w:style w:type="character" w:styleId="940" w:customStyle="1">
    <w:name w:val="文档结构图 字符"/>
    <w:link w:val="733"/>
    <w:uiPriority w:val="0"/>
    <w:semiHidden/>
    <w:qFormat/>
    <w:rPr>
      <w:rFonts w:ascii="Times New Roman" w:hAnsi="Times New Roman" w:eastAsia="宋体" w:cs="Times New Roman"/>
      <w:szCs w:val="21"/>
      <w:shd w:val="clear" w:color="auto" w:fill="000080"/>
    </w:rPr>
  </w:style>
  <w:style w:type="character" w:styleId="941" w:customStyle="1">
    <w:name w:val="批注文字 字符"/>
    <w:basedOn w:val="720"/>
    <w:link w:val="734"/>
    <w:uiPriority w:val="99"/>
    <w:semiHidden/>
    <w:qFormat/>
  </w:style>
  <w:style w:type="character" w:styleId="942" w:customStyle="1">
    <w:name w:val="正文文本 3 字符"/>
    <w:link w:val="735"/>
    <w:uiPriority w:val="0"/>
    <w:qFormat/>
    <w:rPr>
      <w:rFonts w:ascii="仿宋_GB2312" w:hAnsi="Arial" w:eastAsia="仿宋_GB2312" w:cs="Times New Roman"/>
      <w:sz w:val="32"/>
      <w:szCs w:val="32"/>
    </w:rPr>
  </w:style>
  <w:style w:type="character" w:styleId="943" w:customStyle="1">
    <w:name w:val="正文文本 字符"/>
    <w:link w:val="736"/>
    <w:uiPriority w:val="0"/>
    <w:qFormat/>
    <w:rPr>
      <w:rFonts w:ascii="楷体_GB2312" w:hAnsi="Arial" w:eastAsia="楷体_GB2312" w:cs="Times New Roman"/>
      <w:sz w:val="28"/>
      <w:szCs w:val="28"/>
    </w:rPr>
  </w:style>
  <w:style w:type="character" w:styleId="944" w:customStyle="1">
    <w:name w:val="正文文本缩进 字符"/>
    <w:basedOn w:val="720"/>
    <w:link w:val="737"/>
    <w:uiPriority w:val="99"/>
    <w:semiHidden/>
    <w:qFormat/>
  </w:style>
  <w:style w:type="character" w:styleId="945" w:customStyle="1">
    <w:name w:val="正文首行缩进 2 Char"/>
    <w:link w:val="722"/>
    <w:uiPriority w:val="0"/>
    <w:qFormat/>
    <w:rPr>
      <w:rFonts w:ascii="宋体" w:hAnsi="宋体" w:eastAsia="宋体" w:cs="Times New Roman"/>
      <w:szCs w:val="20"/>
    </w:rPr>
  </w:style>
  <w:style w:type="paragraph" w:styleId="946" w:customStyle="1">
    <w:name w:val="目录 51"/>
    <w:basedOn w:val="710"/>
    <w:next w:val="710"/>
    <w:uiPriority w:val="0"/>
    <w:semiHidden/>
    <w:qFormat/>
    <w:pPr>
      <w:ind w:left="840"/>
      <w:jc w:val="left"/>
    </w:pPr>
    <w:rPr>
      <w:szCs w:val="21"/>
    </w:rPr>
  </w:style>
  <w:style w:type="paragraph" w:styleId="947" w:customStyle="1">
    <w:name w:val="目录 31"/>
    <w:basedOn w:val="710"/>
    <w:next w:val="710"/>
    <w:uiPriority w:val="0"/>
    <w:semiHidden/>
    <w:qFormat/>
    <w:pPr>
      <w:ind w:left="420"/>
      <w:jc w:val="left"/>
    </w:pPr>
    <w:rPr>
      <w:i/>
      <w:iCs/>
      <w:szCs w:val="24"/>
    </w:rPr>
  </w:style>
  <w:style w:type="character" w:styleId="948" w:customStyle="1">
    <w:name w:val="纯文本 字符"/>
    <w:link w:val="741"/>
    <w:uiPriority w:val="0"/>
    <w:qFormat/>
    <w:rPr>
      <w:rFonts w:ascii="宋体" w:hAnsi="Courier New" w:eastAsia="宋体" w:cs="Courier New"/>
      <w:szCs w:val="21"/>
    </w:rPr>
  </w:style>
  <w:style w:type="paragraph" w:styleId="949" w:customStyle="1">
    <w:name w:val="目录 81"/>
    <w:basedOn w:val="710"/>
    <w:next w:val="710"/>
    <w:uiPriority w:val="0"/>
    <w:semiHidden/>
    <w:qFormat/>
    <w:pPr>
      <w:ind w:left="1470"/>
      <w:jc w:val="left"/>
    </w:pPr>
    <w:rPr>
      <w:szCs w:val="21"/>
    </w:rPr>
  </w:style>
  <w:style w:type="character" w:styleId="950" w:customStyle="1">
    <w:name w:val="日期 字符"/>
    <w:link w:val="743"/>
    <w:uiPriority w:val="0"/>
    <w:qFormat/>
    <w:rPr>
      <w:rFonts w:ascii="Times New Roman" w:hAnsi="Times New Roman" w:eastAsia="宋体" w:cs="Times New Roman"/>
      <w:sz w:val="24"/>
      <w:szCs w:val="24"/>
    </w:rPr>
  </w:style>
  <w:style w:type="character" w:styleId="951" w:customStyle="1">
    <w:name w:val="正文文本缩进 2 字符"/>
    <w:link w:val="744"/>
    <w:uiPriority w:val="0"/>
    <w:qFormat/>
    <w:rPr>
      <w:rFonts w:ascii="Arial" w:hAnsi="Arial" w:eastAsia="仿宋_GB2312" w:cs="Arial"/>
      <w:sz w:val="32"/>
      <w:szCs w:val="32"/>
    </w:rPr>
  </w:style>
  <w:style w:type="character" w:styleId="952" w:customStyle="1">
    <w:name w:val="批注框文本 字符"/>
    <w:link w:val="746"/>
    <w:uiPriority w:val="0"/>
    <w:semiHidden/>
    <w:qFormat/>
    <w:rPr>
      <w:rFonts w:ascii="Times New Roman" w:hAnsi="Times New Roman" w:eastAsia="宋体" w:cs="Times New Roman"/>
      <w:sz w:val="18"/>
      <w:szCs w:val="18"/>
    </w:rPr>
  </w:style>
  <w:style w:type="character" w:styleId="953" w:customStyle="1">
    <w:name w:val="页脚 字符"/>
    <w:link w:val="747"/>
    <w:uiPriority w:val="0"/>
    <w:qFormat/>
    <w:rPr>
      <w:rFonts w:ascii="Times New Roman" w:hAnsi="Times New Roman" w:eastAsia="宋体" w:cs="Times New Roman"/>
      <w:sz w:val="18"/>
      <w:szCs w:val="18"/>
    </w:rPr>
  </w:style>
  <w:style w:type="character" w:styleId="954" w:customStyle="1">
    <w:name w:val="页眉 字符"/>
    <w:link w:val="749"/>
    <w:uiPriority w:val="0"/>
    <w:qFormat/>
    <w:rPr>
      <w:rFonts w:ascii="Times New Roman" w:hAnsi="Times New Roman" w:eastAsia="宋体" w:cs="Times New Roman"/>
      <w:sz w:val="18"/>
      <w:szCs w:val="18"/>
    </w:rPr>
  </w:style>
  <w:style w:type="paragraph" w:styleId="955"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710"/>
    <w:next w:val="710"/>
    <w:uiPriority w:val="0"/>
    <w:semiHidden/>
    <w:qFormat/>
    <w:pPr>
      <w:ind w:left="630"/>
      <w:jc w:val="left"/>
    </w:pPr>
    <w:rPr>
      <w:szCs w:val="21"/>
    </w:rPr>
  </w:style>
  <w:style w:type="paragraph" w:styleId="957" w:customStyle="1">
    <w:name w:val="目录 61"/>
    <w:basedOn w:val="710"/>
    <w:next w:val="710"/>
    <w:uiPriority w:val="0"/>
    <w:semiHidden/>
    <w:qFormat/>
    <w:pPr>
      <w:ind w:left="1050"/>
      <w:jc w:val="left"/>
    </w:pPr>
    <w:rPr>
      <w:szCs w:val="21"/>
    </w:rPr>
  </w:style>
  <w:style w:type="character" w:styleId="958" w:customStyle="1">
    <w:name w:val="正文文本缩进 3 字符"/>
    <w:link w:val="756"/>
    <w:uiPriority w:val="0"/>
    <w:qFormat/>
    <w:rPr>
      <w:rFonts w:ascii="Arial" w:hAnsi="Arial" w:eastAsia="仿宋_GB2312" w:cs="Arial"/>
      <w:color w:val="ffff00"/>
      <w:sz w:val="32"/>
      <w:szCs w:val="32"/>
    </w:rPr>
  </w:style>
  <w:style w:type="paragraph" w:styleId="959" w:customStyle="1">
    <w:name w:val="目录 21"/>
    <w:basedOn w:val="710"/>
    <w:next w:val="710"/>
    <w:uiPriority w:val="0"/>
    <w:semiHidden/>
    <w:qFormat/>
    <w:pPr>
      <w:ind w:left="210"/>
      <w:jc w:val="left"/>
    </w:pPr>
    <w:rPr>
      <w:smallCaps/>
      <w:szCs w:val="24"/>
    </w:rPr>
  </w:style>
  <w:style w:type="paragraph" w:styleId="960" w:customStyle="1">
    <w:name w:val="目录 91"/>
    <w:basedOn w:val="710"/>
    <w:next w:val="710"/>
    <w:uiPriority w:val="0"/>
    <w:semiHidden/>
    <w:qFormat/>
    <w:pPr>
      <w:ind w:left="1680"/>
      <w:jc w:val="left"/>
    </w:pPr>
    <w:rPr>
      <w:szCs w:val="21"/>
    </w:rPr>
  </w:style>
  <w:style w:type="character" w:styleId="961" w:customStyle="1">
    <w:name w:val="正文文本 2 字符"/>
    <w:link w:val="760"/>
    <w:uiPriority w:val="0"/>
    <w:qFormat/>
    <w:rPr>
      <w:rFonts w:ascii="楷体_GB2312" w:hAnsi="Times New Roman" w:eastAsia="楷体_GB2312" w:cs="Times New Roman"/>
      <w:sz w:val="28"/>
      <w:szCs w:val="28"/>
    </w:rPr>
  </w:style>
  <w:style w:type="character" w:styleId="962" w:customStyle="1">
    <w:name w:val="批注主题 字符"/>
    <w:link w:val="764"/>
    <w:uiPriority w:val="0"/>
    <w:semiHidden/>
    <w:qFormat/>
    <w:rPr>
      <w:rFonts w:ascii="Times New Roman" w:hAnsi="Times New Roman" w:eastAsia="宋体" w:cs="Times New Roman"/>
      <w:b/>
      <w:bCs/>
      <w:szCs w:val="21"/>
    </w:rPr>
  </w:style>
  <w:style w:type="paragraph" w:styleId="963" w:customStyle="1">
    <w:name w:val="正文首行缩进2"/>
    <w:basedOn w:val="710"/>
    <w:link w:val="964"/>
    <w:uiPriority w:val="0"/>
    <w:qFormat/>
    <w:pPr>
      <w:ind w:firstLine="200"/>
      <w:spacing w:line="360" w:lineRule="auto"/>
    </w:pPr>
    <w:rPr>
      <w:rFonts w:ascii="仿宋_GB2312" w:eastAsia="仿宋_GB2312"/>
      <w:sz w:val="30"/>
      <w:szCs w:val="30"/>
    </w:rPr>
  </w:style>
  <w:style w:type="character" w:styleId="964" w:customStyle="1">
    <w:name w:val="正文首行缩进 Char"/>
    <w:link w:val="963"/>
    <w:uiPriority w:val="0"/>
    <w:qFormat/>
    <w:rPr>
      <w:rFonts w:ascii="仿宋_GB2312" w:hAnsi="Times New Roman" w:eastAsia="仿宋_GB2312" w:cs="Times New Roman"/>
      <w:sz w:val="30"/>
      <w:szCs w:val="30"/>
    </w:rPr>
  </w:style>
  <w:style w:type="character" w:styleId="965" w:customStyle="1">
    <w:name w:val="已访问的超链接1"/>
    <w:uiPriority w:val="0"/>
    <w:qFormat/>
    <w:rPr>
      <w:color w:val="800080"/>
      <w:u w:val="single"/>
    </w:rPr>
  </w:style>
  <w:style w:type="paragraph" w:styleId="966" w:customStyle="1">
    <w:name w:val="索引 41"/>
    <w:basedOn w:val="710"/>
    <w:next w:val="710"/>
    <w:uiPriority w:val="0"/>
    <w:semiHidden/>
    <w:qFormat/>
    <w:pPr>
      <w:ind w:left="1260"/>
    </w:pPr>
    <w:rPr>
      <w:rFonts w:ascii="Calibri" w:hAnsi="Calibri" w:eastAsia="Calibri" w:cs="宋体"/>
      <w:sz w:val="20"/>
      <w:lang w:val="zh-CN"/>
    </w:rPr>
  </w:style>
  <w:style w:type="paragraph" w:styleId="967" w:customStyle="1">
    <w:name w:val="列出段落1"/>
    <w:basedOn w:val="710"/>
    <w:link w:val="968"/>
    <w:uiPriority w:val="0"/>
    <w:qFormat/>
    <w:pPr>
      <w:contextualSpacing/>
      <w:ind w:left="720"/>
      <w:jc w:val="left"/>
      <w:widowControl/>
    </w:pPr>
    <w:rPr>
      <w:rFonts w:ascii="Calibri" w:hAnsi="Calibri"/>
      <w:sz w:val="24"/>
      <w:szCs w:val="24"/>
      <w:lang w:eastAsia="en-US" w:bidi="en-US"/>
    </w:rPr>
  </w:style>
  <w:style w:type="character" w:styleId="968" w:customStyle="1">
    <w:name w:val="列出段落 Char"/>
    <w:link w:val="967"/>
    <w:uiPriority w:val="0"/>
    <w:qFormat/>
    <w:rPr>
      <w:rFonts w:ascii="Calibri" w:hAnsi="Calibri"/>
      <w:sz w:val="24"/>
      <w:szCs w:val="24"/>
      <w:lang w:eastAsia="en-US" w:bidi="en-US"/>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710"/>
    <w:link w:val="97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72" w:customStyle="1">
    <w:name w:val="Body Text(ch)"/>
    <w:basedOn w:val="710"/>
    <w:next w:val="736"/>
    <w:uiPriority w:val="0"/>
    <w:qFormat/>
    <w:pPr>
      <w:spacing w:after="120"/>
    </w:pPr>
    <w:rPr>
      <w:rFonts w:ascii="宋体" w:hAnsi="Arial"/>
      <w:bCs/>
      <w:iCs/>
      <w:szCs w:val="24"/>
    </w:rPr>
  </w:style>
  <w:style w:type="paragraph" w:styleId="973"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customStyle="1">
    <w:name w:val="Char"/>
    <w:basedOn w:val="710"/>
    <w:uiPriority w:val="0"/>
    <w:qFormat/>
    <w:pPr>
      <w:ind w:firstLine="200"/>
      <w:tabs>
        <w:tab w:val="left" w:pos="360" w:leader="none"/>
      </w:tabs>
    </w:pPr>
    <w:rPr>
      <w:sz w:val="28"/>
      <w:szCs w:val="30"/>
    </w:rPr>
  </w:style>
  <w:style w:type="paragraph" w:styleId="976" w:customStyle="1">
    <w:name w:val="Char1"/>
    <w:basedOn w:val="733"/>
    <w:uiPriority w:val="0"/>
    <w:qFormat/>
    <w:rPr>
      <w:rFonts w:ascii="Tahoma" w:hAnsi="Tahoma"/>
      <w:sz w:val="24"/>
      <w:szCs w:val="24"/>
    </w:rPr>
  </w:style>
  <w:style w:type="paragraph" w:styleId="977"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78" w:customStyle="1">
    <w:name w:val="table_lines"/>
    <w:basedOn w:val="710"/>
    <w:uiPriority w:val="0"/>
    <w:qFormat/>
    <w:pPr>
      <w:jc w:val="left"/>
      <w:widowControl/>
    </w:pPr>
    <w:rPr>
      <w:sz w:val="20"/>
      <w:szCs w:val="20"/>
      <w:lang w:val="de-DE" w:eastAsia="de-DE"/>
    </w:rPr>
  </w:style>
  <w:style w:type="paragraph" w:styleId="97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0"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81" w:customStyle="1">
    <w:name w:val="Char Char Char Char"/>
    <w:basedOn w:val="733"/>
    <w:uiPriority w:val="0"/>
    <w:qFormat/>
    <w:pPr>
      <w:spacing w:line="360" w:lineRule="auto"/>
    </w:pPr>
    <w:rPr>
      <w:rFonts w:ascii="Tahoma" w:hAnsi="Tahoma"/>
      <w:sz w:val="24"/>
      <w:szCs w:val="24"/>
    </w:rPr>
  </w:style>
  <w:style w:type="paragraph" w:styleId="982"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983" w:customStyle="1">
    <w:name w:val="4"/>
    <w:basedOn w:val="710"/>
    <w:next w:val="756"/>
    <w:uiPriority w:val="0"/>
    <w:qFormat/>
    <w:pPr>
      <w:ind w:firstLine="420"/>
      <w:spacing w:line="360" w:lineRule="auto"/>
    </w:pPr>
    <w:rPr>
      <w:color w:val="ff0000"/>
      <w:sz w:val="24"/>
      <w:szCs w:val="24"/>
    </w:rPr>
  </w:style>
  <w:style w:type="paragraph" w:styleId="984"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10"/>
    <w:uiPriority w:val="0"/>
    <w:qFormat/>
    <w:pPr>
      <w:spacing w:line="360" w:lineRule="auto"/>
    </w:pPr>
    <w:rPr>
      <w:sz w:val="24"/>
      <w:szCs w:val="20"/>
    </w:rPr>
  </w:style>
  <w:style w:type="paragraph" w:styleId="986" w:customStyle="1">
    <w:name w:val="样式1"/>
    <w:basedOn w:val="710"/>
    <w:uiPriority w:val="0"/>
    <w:qFormat/>
    <w:pPr>
      <w:numPr>
        <w:ilvl w:val="0"/>
        <w:numId w:val="3"/>
      </w:numPr>
    </w:pPr>
    <w:rPr>
      <w:rFonts w:ascii="宋体" w:hAnsi="宋体"/>
      <w:szCs w:val="21"/>
    </w:rPr>
  </w:style>
  <w:style w:type="paragraph" w:styleId="987"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88"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91"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4"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996"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97" w:customStyle="1">
    <w:name w:val="Char Char Char Char1"/>
    <w:basedOn w:val="733"/>
    <w:uiPriority w:val="0"/>
    <w:qFormat/>
    <w:pPr>
      <w:spacing w:line="360" w:lineRule="auto"/>
    </w:pPr>
    <w:rPr>
      <w:rFonts w:ascii="Tahoma" w:hAnsi="Tahoma"/>
      <w:sz w:val="24"/>
      <w:szCs w:val="24"/>
    </w:rPr>
  </w:style>
  <w:style w:type="paragraph" w:styleId="998" w:customStyle="1">
    <w:name w:val="table_1stline"/>
    <w:basedOn w:val="710"/>
    <w:uiPriority w:val="0"/>
    <w:qFormat/>
    <w:pPr>
      <w:jc w:val="left"/>
      <w:spacing w:before="120"/>
      <w:widowControl/>
    </w:pPr>
    <w:rPr>
      <w:bCs/>
      <w:sz w:val="20"/>
      <w:szCs w:val="20"/>
      <w:lang w:val="de-DE" w:eastAsia="de-DE"/>
    </w:rPr>
  </w:style>
  <w:style w:type="paragraph" w:styleId="999"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customStyle="1">
    <w:name w:val="修订1"/>
    <w:uiPriority w:val="99"/>
    <w:semiHidden/>
    <w:qFormat/>
    <w:rPr>
      <w:rFonts w:ascii="Times New Roman" w:hAnsi="Times New Roman" w:eastAsia="宋体" w:cs="Times New Roman"/>
      <w:sz w:val="21"/>
      <w:szCs w:val="21"/>
      <w:lang w:val="en-US" w:eastAsia="zh-CN" w:bidi="ar-SA"/>
    </w:rPr>
  </w:style>
  <w:style w:type="table" w:styleId="1002" w:customStyle="1">
    <w:name w:val="Table Normal"/>
    <w:uiPriority w:val="0"/>
    <w:qFormat/>
    <w:tblPr>
      <w:tblCellMar>
        <w:left w:w="0" w:type="dxa"/>
        <w:top w:w="0" w:type="dxa"/>
        <w:right w:w="0" w:type="dxa"/>
        <w:bottom w:w="0" w:type="dxa"/>
      </w:tblCellMar>
    </w:tblPr>
  </w:style>
  <w:style w:type="paragraph" w:styleId="1003" w:customStyle="1">
    <w:name w:val="正文文本12"/>
    <w:basedOn w:val="710"/>
    <w:uiPriority w:val="1"/>
    <w:qFormat/>
    <w:pPr>
      <w:ind w:left="120"/>
    </w:pPr>
    <w:rPr>
      <w:rFonts w:ascii="宋体" w:hAnsi="宋体" w:cs="宋体"/>
      <w:szCs w:val="21"/>
      <w:lang w:val="zh-CN" w:bidi="zh-CN"/>
    </w:rPr>
  </w:style>
  <w:style w:type="paragraph" w:styleId="1004" w:customStyle="1">
    <w:name w:val="正文文本 211"/>
    <w:basedOn w:val="710"/>
    <w:uiPriority w:val="99"/>
    <w:qFormat/>
    <w:pPr>
      <w:jc w:val="center"/>
    </w:pPr>
    <w:rPr>
      <w:b/>
      <w:bCs/>
      <w:sz w:val="20"/>
      <w:szCs w:val="20"/>
    </w:rPr>
  </w:style>
  <w:style w:type="paragraph" w:styleId="1005" w:customStyle="1">
    <w:name w:val="Table Paragraph"/>
    <w:basedOn w:val="710"/>
    <w:uiPriority w:val="1"/>
    <w:qFormat/>
    <w:pPr>
      <w:jc w:val="left"/>
    </w:pPr>
    <w:rPr>
      <w:rFonts w:ascii="宋体" w:hAnsi="宋体" w:cs="宋体"/>
      <w:sz w:val="22"/>
      <w:lang w:val="zh-CN" w:bidi="zh-CN"/>
    </w:r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tblCellMar>
        <w:left w:w="0" w:type="dxa"/>
        <w:top w:w="0" w:type="dxa"/>
        <w:right w:w="0" w:type="dxa"/>
        <w:bottom w:w="0" w:type="dxa"/>
      </w:tblCellMar>
    </w:tblPr>
  </w:style>
  <w:style w:type="paragraph" w:styleId="1008" w:customStyle="1">
    <w:name w:val="纯文本1"/>
    <w:basedOn w:val="710"/>
    <w:uiPriority w:val="0"/>
    <w:qFormat/>
    <w:rPr>
      <w:rFonts w:ascii="宋体" w:hAnsi="Courier New" w:cs="Courier New"/>
      <w:szCs w:val="21"/>
    </w:rPr>
  </w:style>
  <w:style w:type="paragraph" w:styleId="1009" w:customStyle="1">
    <w:name w:val="标题 41"/>
    <w:basedOn w:val="710"/>
    <w:next w:val="710"/>
    <w:uiPriority w:val="99"/>
    <w:qFormat/>
    <w:pPr>
      <w:keepLines/>
      <w:keepNext/>
      <w:spacing w:line="360" w:lineRule="exact"/>
      <w:outlineLvl w:val="3"/>
    </w:pPr>
    <w:rPr>
      <w:rFonts w:ascii="宋体" w:hAnsi="宋体"/>
      <w:b/>
      <w:szCs w:val="21"/>
    </w:rPr>
  </w:style>
  <w:style w:type="character" w:styleId="1010" w:customStyle="1">
    <w:name w:val="font01"/>
    <w:basedOn w:val="1011"/>
    <w:uiPriority w:val="0"/>
    <w:qFormat/>
    <w:rPr>
      <w:rFonts w:ascii="Times New Roman" w:hAnsi="Times New Roman" w:eastAsia="宋体" w:cs="Times New Roman"/>
      <w:sz w:val="21"/>
      <w:szCs w:val="22"/>
      <w:lang w:val="en-US" w:eastAsia="zh-CN" w:bidi="ar-SA"/>
    </w:rPr>
  </w:style>
  <w:style w:type="character" w:styleId="1011" w:customStyle="1">
    <w:name w:val="默认段落字体1"/>
    <w:uiPriority w:val="1"/>
    <w:unhideWhenUsed/>
    <w:qFormat/>
  </w:style>
  <w:style w:type="paragraph" w:styleId="1012" w:customStyle="1">
    <w:name w:val="Default"/>
    <w:uiPriority w:val="0"/>
    <w:qFormat/>
    <w:pPr>
      <w:jc w:val="both"/>
      <w:widowControl w:val="off"/>
    </w:pPr>
    <w:rPr>
      <w:rFonts w:hint="eastAsia" w:ascii="Arial Unicode MS" w:hAnsi="Arial Unicode MS" w:eastAsia="Arial Unicode MS" w:cs="Arial Unicode MS"/>
      <w:color w:val="000000"/>
      <w:sz w:val="24"/>
      <w:szCs w:val="24"/>
      <w:lang w:val="en-US" w:eastAsia="zh-CN" w:bidi="ar-SA"/>
    </w:rPr>
  </w:style>
  <w:style w:type="character" w:styleId="1013" w:customStyle="1">
    <w:name w:val="font41"/>
    <w:basedOn w:val="1011"/>
    <w:uiPriority w:val="0"/>
    <w:qFormat/>
    <w:rPr>
      <w:rFonts w:hint="default" w:ascii="Times New Roman" w:hAnsi="Times New Roman" w:eastAsia="宋体" w:cs="Times New Roman"/>
      <w:sz w:val="21"/>
      <w:szCs w:val="22"/>
    </w:rPr>
  </w:style>
  <w:style w:type="character" w:styleId="1014" w:customStyle="1">
    <w:name w:val="font141"/>
    <w:basedOn w:val="1011"/>
    <w:uiPriority w:val="0"/>
    <w:qFormat/>
    <w:rPr>
      <w:rFonts w:hint="eastAsia" w:ascii="宋体" w:hAnsi="宋体" w:eastAsia="宋体" w:cs="宋体"/>
      <w:b/>
      <w:bCs/>
      <w:color w:val="000000"/>
      <w:sz w:val="20"/>
      <w:szCs w:val="20"/>
      <w:u w:val="none"/>
    </w:rPr>
  </w:style>
  <w:style w:type="character" w:styleId="1015" w:customStyle="1">
    <w:name w:val="font51"/>
    <w:basedOn w:val="1011"/>
    <w:uiPriority w:val="0"/>
    <w:qFormat/>
    <w:rPr>
      <w:rFonts w:hint="eastAsia" w:ascii="宋体" w:hAnsi="宋体" w:eastAsia="宋体" w:cs="宋体"/>
      <w:color w:val="000000"/>
      <w:sz w:val="20"/>
      <w:szCs w:val="20"/>
      <w:u w:val="none"/>
    </w:rPr>
  </w:style>
  <w:style w:type="paragraph" w:styleId="1016" w:customStyle="1">
    <w:name w:val="HTML 预设格式1"/>
    <w:basedOn w:val="71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a47c6a95-18d4-434f-8481-b3cc5bb72775</errorID>
      <errorWord>(</errorWord>
      <group>L1_Format</group>
      <groupName>格式问题</groupName>
      <ability>L2_HalfPunc</ability>
      <abilityName>全半角检查</abilityName>
      <candidateList>
        <item>（</item>
      </candidateList>
      <explain>文本全半角错误。</explain>
      <paraID>2649BFA0</paraID>
      <start>101</start>
      <end>102</end>
      <status>unmodified</status>
      <modifiedWord/>
      <trackRevisions>false</trackRevisions>
    </reviewItem>
    <reviewItem>
      <errorID>9103a616-3350-417c-8e9a-9a85f067071e</errorID>
      <errorWord>)</errorWord>
      <group>L1_Format</group>
      <groupName>格式问题</groupName>
      <ability>L2_HalfPunc</ability>
      <abilityName>全半角检查</abilityName>
      <candidateList>
        <item>）</item>
      </candidateList>
      <explain>文本全半角错误。</explain>
      <paraID>2649BFA0</paraID>
      <start>111</start>
      <end>112</end>
      <status>unmodified</status>
      <modifiedWord/>
      <trackRevisions>false</trackRevisions>
    </reviewItem>
    <reviewItem>
      <errorID>0b969622-9729-4f51-a251-40458812751c</errorID>
      <errorWord>间</errorWord>
      <group>L1_Word</group>
      <groupName>字词问题</groupName>
      <ability>L2_Typo</ability>
      <abilityName>字词错误</abilityName>
      <candidateList>
        <item>间之</item>
      </candidateList>
      <explain/>
      <paraID>3D1A1596</paraID>
      <start>10</start>
      <end>11</end>
      <status>unmodified</status>
      <modifiedWord/>
      <trackRevisions>false</trackRevisions>
    </reviewItem>
    <reviewItem>
      <errorID>a620684a-2064-43be-aefb-efc316609ec6</errorID>
      <errorWord>法律、法规</errorWord>
      <group>L1_Word</group>
      <groupName>字词问题</groupName>
      <ability>L2_Typo</ability>
      <abilityName>字词错误</abilityName>
      <candidateList>
        <item>法律法规</item>
      </candidateList>
      <explain/>
      <paraID>7DB03EF9</paraID>
      <start>11</start>
      <end>16</end>
      <status>unmodified</status>
      <modifiedWord/>
      <trackRevisions>false</trackRevisions>
    </reviewItem>
    <reviewItem>
      <errorID>4d860744-a634-49e3-977c-1a348821bc11</errorID>
      <errorWord>做无效投标</errorWord>
      <group>L1_Word</group>
      <groupName>字词问题</groupName>
      <ability>L2_Typo</ability>
      <abilityName>字词错误</abilityName>
      <candidateList>
        <item>作无效投标</item>
      </candidateList>
      <explain/>
      <paraID>13E54C59</paraID>
      <start>79</start>
      <end>84</end>
      <status>unmodified</status>
      <modifiedWord/>
      <trackRevisions>false</trackRevisions>
    </reviewItem>
    <reviewItem>
      <errorID>fdb3f7dd-279f-418f-aa16-950273e042de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62A25A69</paraID>
      <start>14</start>
      <end>17</end>
      <status>unmodified</status>
      <modifiedWord/>
      <trackRevisions>false</trackRevisions>
    </reviewItem>
    <reviewItem>
      <errorID>adbf9bae-f2e0-41bb-b40a-c5e0ca15f54c</errorID>
      <errorWord>不</errorWord>
      <group>L1_Word</group>
      <groupName>字词问题</groupName>
      <ability>L2_Typo</ability>
      <abilityName>字词错误</abilityName>
      <candidateList>
        <item>不符</item>
      </candidateList>
      <explain/>
      <paraID>3F8BBD2B</paraID>
      <start>46</start>
      <end>48</end>
      <status>modified</status>
      <modifiedWord>不符</modifiedWord>
      <trackRevisions>false</trackRevisions>
    </reviewItem>
    <reviewItem>
      <errorID>5af1c431-07be-4c0a-b4dd-880acc133891</errorID>
      <errorWord>&lt;</errorWord>
      <group>L1_Format</group>
      <groupName>格式问题</groupName>
      <ability>L2_HalfPunc</ability>
      <abilityName>全半角检查</abilityName>
      <candidateList>
        <item>〈</item>
      </candidateList>
      <explain>文本全半角错误。</explain>
      <paraID>5B824925</paraID>
      <start>52</start>
      <end>53</end>
      <status>unmodified</status>
      <modifiedWord/>
      <trackRevisions>false</trackRevisions>
    </reviewItem>
    <reviewItem>
      <errorID>a3839229-2034-4410-a17b-c6f949763447</errorID>
      <errorWord>&lt;</errorWord>
      <group>L1_Format</group>
      <groupName>格式问题</groupName>
      <ability>L2_HalfPunc</ability>
      <abilityName>全半角检查</abilityName>
      <candidateList>
        <item>〈</item>
      </candidateList>
      <explain>文本全半角错误。</explain>
      <paraID>7096A24C</paraID>
      <start>49</start>
      <end>50</end>
      <status>unmodified</status>
      <modifiedWord/>
      <trackRevisions>false</trackRevisions>
    </reviewItem>
    <reviewItem>
      <errorID>ac0dccc5-2aeb-4c5d-8234-ba549031e6dc</errorID>
      <errorWord>&lt;</errorWord>
      <group>L1_Format</group>
      <groupName>格式问题</groupName>
      <ability>L2_HalfPunc</ability>
      <abilityName>全半角检查</abilityName>
      <candidateList>
        <item>〈</item>
      </candidateList>
      <explain>文本全半角错误。</explain>
      <paraID>10122A92</paraID>
      <start>34</start>
      <end>35</end>
      <status>unmodified</status>
      <modifiedWord/>
      <trackRevisions>false</trackRevisions>
    </reviewItem>
    <reviewItem>
      <errorID>e4b107e9-8160-4f28-9b37-cc554d5456f4</errorID>
      <errorWord>保持通讯畅通</errorWord>
      <group>L1_Word</group>
      <groupName>字词问题</groupName>
      <ability>L2_Typo</ability>
      <abilityName>字词错误</abilityName>
      <candidateList>
        <item>保持通信畅通</item>
      </candidateList>
      <explain/>
      <paraID>4446D0BF</paraID>
      <start>17</start>
      <end>23</end>
      <status>unmodified</status>
      <modifiedWord/>
      <trackRevisions>false</trackRevisions>
    </reviewItem>
    <reviewItem>
      <errorID>5352fa10-b57e-4c32-baac-6a3ec8856250</errorID>
      <errorWord>国家发改委</errorWord>
      <group>L1_Knowledge</group>
      <groupName>知识性问题</groupName>
      <ability>L2_Knowledge</ability>
      <abilityName>其他知识</abilityName>
      <candidateList>
        <item>国家发展改革委</item>
      </candidateList>
      <explain/>
      <paraID>3D3FB15A</paraID>
      <start>16</start>
      <end>21</end>
      <status>unmodified</status>
      <modifiedWord/>
      <trackRevisions>false</trackRevisions>
    </reviewItem>
    <reviewItem>
      <errorID>b0152b72-2374-411a-a8ae-6c2f7a2d7d1e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251E2CB2</paraID>
      <start>87</start>
      <end>91</end>
      <status>unmodified</status>
      <modifiedWord/>
      <trackRevisions>false</trackRevisions>
    </reviewItem>
    <reviewItem>
      <errorID>d043332d-cdbe-4308-b5cb-c575373fb00d</errorID>
      <errorWord>,</errorWord>
      <group>L1_Format</group>
      <groupName>格式问题</groupName>
      <ability>L2_HalfPunc</ability>
      <abilityName>全半角检查</abilityName>
      <candidateList>
        <item>，</item>
      </candidateList>
      <explain>文本全半角错误。</explain>
      <paraID>44BC2773</paraID>
      <start>23</start>
      <end>24</end>
      <status>unmodified</status>
      <modifiedWord/>
      <trackRevisions>false</trackRevisions>
    </reviewItem>
    <reviewItem>
      <errorID>c60116e3-63e1-4590-9a5f-c852b19355af</errorID>
      <errorWord>答复的</errorWord>
      <group>L1_Word</group>
      <groupName>字词问题</groupName>
      <ability>L2_Typo</ability>
      <abilityName>字词错误</abilityName>
      <candidateList>
        <item>答复</item>
      </candidateList>
      <explain/>
      <paraID>66946E12</paraID>
      <start>6</start>
      <end>9</end>
      <status>unmodified</status>
      <modifiedWord/>
      <trackRevisions>false</trackRevisions>
    </reviewItem>
    <reviewItem>
      <errorID>36117d64-e864-499a-9be5-d413e65ac843</errorID>
      <errorWord>（</errorWord>
      <group>L1_Punc</group>
      <groupName>标点问题</groupName>
      <ability>L2_Punc</ability>
      <abilityName>标点符号检查</abilityName>
      <candidateList/>
      <explain>同一形式括号套用。</explain>
      <paraID>13564AA9</paraID>
      <start>64</start>
      <end>65</end>
      <status>unmodified</status>
      <modifiedWord/>
      <trackRevisions>false</trackRevisions>
    </reviewItem>
    <reviewItem>
      <errorID>e8711f37-0639-4a9a-8711-a6a8853c1832</errorID>
      <errorWord>）</errorWord>
      <group>L1_Punc</group>
      <groupName>标点问题</groupName>
      <ability>L2_Punc</ability>
      <abilityName>标点符号检查</abilityName>
      <candidateList/>
      <explain>同一形式括号套用。</explain>
      <paraID>13564AA9</paraID>
      <start>81</start>
      <end>82</end>
      <status>unmodified</status>
      <modifiedWord/>
      <trackRevisions>false</trackRevisions>
    </reviewItem>
    <reviewItem>
      <errorID>f3d34147-1a12-449d-911d-c20e006f4bc8</errorID>
      <errorWord>（</errorWord>
      <group>L1_Punc</group>
      <groupName>标点问题</groupName>
      <ability>L2_Punc</ability>
      <abilityName>标点符号检查</abilityName>
      <candidateList/>
      <explain>同一形式括号套用。</explain>
      <paraID>13564AA9</paraID>
      <start>108</start>
      <end>109</end>
      <status>unmodified</status>
      <modifiedWord/>
      <trackRevisions>false</trackRevisions>
    </reviewItem>
    <reviewItem>
      <errorID>abd83859-fd51-4418-8f73-4c41a333811a</errorID>
      <errorWord>）</errorWord>
      <group>L1_Punc</group>
      <groupName>标点问题</groupName>
      <ability>L2_Punc</ability>
      <abilityName>标点符号检查</abilityName>
      <candidateList/>
      <explain>同一形式括号套用。</explain>
      <paraID>13564AA9</paraID>
      <start>113</start>
      <end>114</end>
      <status>unmodified</status>
      <modifiedWord/>
      <trackRevisions>false</trackRevisions>
    </reviewItem>
    <reviewItem>
      <errorID>2567b749-a3a4-4bf4-8d00-3815a742ecab</errorID>
      <errorWord>（</errorWord>
      <group>L1_Punc</group>
      <groupName>标点问题</groupName>
      <ability>L2_Punc</ability>
      <abilityName>标点符号检查</abilityName>
      <candidateList/>
      <explain>同一形式括号套用。</explain>
      <paraID>13564AA9</paraID>
      <start>119</start>
      <end>120</end>
      <status>unmodified</status>
      <modifiedWord/>
      <trackRevisions>false</trackRevisions>
    </reviewItem>
    <reviewItem>
      <errorID>6e3a1348-ad1a-4bbf-b148-99d1f55606d7</errorID>
      <errorWord>）</errorWord>
      <group>L1_Punc</group>
      <groupName>标点问题</groupName>
      <ability>L2_Punc</ability>
      <abilityName>标点符号检查</abilityName>
      <candidateList/>
      <explain>同一形式括号套用。</explain>
      <paraID>13564AA9</paraID>
      <start>133</start>
      <end>134</end>
      <status>unmodified</status>
      <modifiedWord/>
      <trackRevisions>false</trackRevisions>
    </reviewItem>
    <reviewItem>
      <errorID>34b8cb9e-c19e-4765-b0b8-4c13a97cfa83</errorID>
      <errorWord>(</errorWord>
      <group>L1_Format</group>
      <groupName>格式问题</groupName>
      <ability>L2_HalfPunc</ability>
      <abilityName>全半角检查</abilityName>
      <candidateList>
        <item>（</item>
      </candidateList>
      <explain>文本全半角错误。</explain>
      <paraID>4C05D2A0</paraID>
      <start>93</start>
      <end>94</end>
      <status>unmodified</status>
      <modifiedWord/>
      <trackRevisions>false</trackRevisions>
    </reviewItem>
    <reviewItem>
      <errorID>44fc480e-0836-4816-8461-ba37e7f8a183</errorID>
      <errorWord>)</errorWord>
      <group>L1_Format</group>
      <groupName>格式问题</groupName>
      <ability>L2_HalfPunc</ability>
      <abilityName>全半角检查</abilityName>
      <candidateList>
        <item>）</item>
      </candidateList>
      <explain>文本全半角错误。</explain>
      <paraID>4C05D2A0</paraID>
      <start>103</start>
      <end>104</end>
      <status>unmodified</status>
      <modifiedWord/>
      <trackRevisions>false</trackRevisions>
    </reviewItem>
    <reviewItem>
      <errorID>4eccda93-5fd5-4ea7-b47d-0ac0dc0688a2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53FBA75B</paraID>
      <start>35</start>
      <end>36</end>
      <status>unmodified</status>
      <modifiedWord/>
      <trackRevisions>false</trackRevisions>
    </reviewItem>
    <reviewItem>
      <errorID>f0f97daa-1a51-4cc3-b98a-0350a6890791</errorID>
      <errorWord>&lt;</errorWord>
      <group>L1_Format</group>
      <groupName>格式问题</groupName>
      <ability>L2_HalfPunc</ability>
      <abilityName>全半角检查</abilityName>
      <candidateList>
        <item>〈</item>
      </candidateList>
      <explain>文本全半角错误。</explain>
      <paraID>4D7EFC2D</paraID>
      <start>122</start>
      <end>123</end>
      <status>unmodified</status>
      <modifiedWord/>
      <trackRevisions>false</trackRevisions>
    </reviewItem>
    <reviewItem>
      <errorID>4e779cbd-2dfc-40e9-bba8-59a464df906a</errorID>
      <errorWord>&gt;</errorWord>
      <group>L1_Format</group>
      <groupName>格式问题</groupName>
      <ability>L2_HalfPunc</ability>
      <abilityName>全半角检查</abilityName>
      <candidateList>
        <item>〉</item>
      </candidateList>
      <explain>文本全半角错误。</explain>
      <paraID>4D7EFC2D</paraID>
      <start>140</start>
      <end>141</end>
      <status>unmodified</status>
      <modifiedWord/>
      <trackRevisions>false</trackRevisions>
    </reviewItem>
    <reviewItem>
      <errorID>e6a62731-b768-4135-8ef8-ecf8f5b62c16</errorID>
      <errorWord>(</errorWord>
      <group>L1_Format</group>
      <groupName>格式问题</groupName>
      <ability>L2_HalfPunc</ability>
      <abilityName>全半角检查</abilityName>
      <candidateList>
        <item>（</item>
      </candidateList>
      <explain>文本全半角错误。</explain>
      <paraID>227AAD1F</paraID>
      <start>24</start>
      <end>25</end>
      <status>unmodified</status>
      <modifiedWord/>
      <trackRevisions>false</trackRevisions>
    </reviewItem>
    <reviewItem>
      <errorID>afcecb2b-32ed-4f9a-976e-fb3d1f96509d</errorID>
      <errorWord>)</errorWord>
      <group>L1_Format</group>
      <groupName>格式问题</groupName>
      <ability>L2_HalfPunc</ability>
      <abilityName>全半角检查</abilityName>
      <candidateList>
        <item>）</item>
      </candidateList>
      <explain>文本全半角错误。</explain>
      <paraID>227AAD1F</paraID>
      <start>35</start>
      <end>36</end>
      <status>unmodified</status>
      <modifiedWord/>
      <trackRevisions>false</trackRevisions>
    </reviewItem>
    <reviewItem>
      <errorID>baba72fd-1041-4c48-b363-c073e998a5b9</errorID>
      <errorWord>终生</errorWord>
      <group>L1_Word</group>
      <groupName>字词问题</groupName>
      <ability>L2_Typo</ability>
      <abilityName>字词错误</abilityName>
      <candidateList>
        <item>终身</item>
      </candidateList>
      <explain/>
      <paraID>4C3792A1</paraID>
      <start>49</start>
      <end>51</end>
      <status>modified</status>
      <modifiedWord>终身</modifiedWord>
      <trackRevisions>false</trackRevisions>
    </reviewItem>
    <reviewItem>
      <errorID>76d53e2a-15e5-4d3b-ac6a-07d43da711f2</errorID>
      <errorWord>》</errorWord>
      <group>L1_Word</group>
      <groupName>字词问题</groupName>
      <ability>L2_Typo</ability>
      <abilityName>字词错误</abilityName>
      <candidateList>
        <item>》等</item>
      </candidateList>
      <explain/>
      <paraID>51962452</paraID>
      <start>40</start>
      <end>41</end>
      <status>unmodified</status>
      <modifiedWord/>
      <trackRevisions>false</trackRevisions>
    </reviewItem>
    <reviewItem>
      <errorID>fe81df36-93df-4683-b793-ef1bc149afb4</errorID>
      <errorWord>&lt;</errorWord>
      <group>L1_Format</group>
      <groupName>格式问题</groupName>
      <ability>L2_HalfPunc</ability>
      <abilityName>全半角检查</abilityName>
      <candidateList>
        <item>〈</item>
      </candidateList>
      <explain>文本全半角错误。</explain>
      <paraID>1B20BC5B</paraID>
      <start>13</start>
      <end>14</end>
      <status>unmodified</status>
      <modifiedWord/>
      <trackRevisions>false</trackRevisions>
    </reviewItem>
    <reviewItem>
      <errorID>0d57103e-a7e0-4d7c-988f-3b1a442fa579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31</start>
      <end>34</end>
      <status>unmodified</status>
      <modifiedWord/>
      <trackRevisions>false</trackRevisions>
    </reviewItem>
    <reviewItem>
      <errorID>0369681e-f5cc-4edd-b708-3c7d35c37530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1B20BC5B</paraID>
      <start>67</start>
      <end>68</end>
      <status>unmodified</status>
      <modifiedWord/>
      <trackRevisions>false</trackRevisions>
    </reviewItem>
    <reviewItem>
      <errorID>c0cb4c64-cc2a-4a3b-9e4a-4cac564aecea</errorID>
      <errorWord>(</errorWord>
      <group>L1_Format</group>
      <groupName>格式问题</groupName>
      <ability>L2_HalfPunc</ability>
      <abilityName>全半角检查</abilityName>
      <candidateList>
        <item>（</item>
      </candidateList>
      <explain>文本全半角错误。</explain>
      <paraID>1B20BC5B</paraID>
      <start>134</start>
      <end>135</end>
      <status>unmodified</status>
      <modifiedWord/>
      <trackRevisions>false</trackRevisions>
    </reviewItem>
    <reviewItem>
      <errorID>f9786409-8dfe-4855-9934-64668e3b4aba</errorID>
      <errorWord>)</errorWord>
      <group>L1_Format</group>
      <groupName>格式问题</groupName>
      <ability>L2_HalfPunc</ability>
      <abilityName>全半角检查</abilityName>
      <candidateList>
        <item>）</item>
      </candidateList>
      <explain>文本全半角错误。</explain>
      <paraID>1B20BC5B</paraID>
      <start>140</start>
      <end>141</end>
      <status>unmodified</status>
      <modifiedWord/>
      <trackRevisions>false</trackRevisions>
    </reviewItem>
    <reviewItem>
      <errorID>52b9ea43-65d1-40b7-96ca-6641cdfeae10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142</start>
      <end>145</end>
      <status>unmodified</status>
      <modifiedWord/>
      <trackRevisions>false</trackRevisions>
    </reviewItem>
    <reviewItem>
      <errorID>aeed3fd0-76ac-4705-99ea-75462a8c6493</errorID>
      <errorWord>签宁</errorWord>
      <group>L1_Word</group>
      <groupName>字词问题</groupName>
      <ability>L2_Typo</ability>
      <abilityName>字词错误</abilityName>
      <candidateList>
        <item>签订</item>
      </candidateList>
      <explain>存在字形相近字词的误用。</explain>
      <paraID> DE8F69D</paraID>
      <start>73</start>
      <end>75</end>
      <status>unmodified</status>
      <modifiedWord/>
      <trackRevisions>false</trackRevisions>
    </reviewItem>
    <reviewItem>
      <errorID>ed4e1afe-7f5d-47b2-be0e-11475751e39b</errorID>
      <errorWord>认</errorWord>
      <group>L1_Word</group>
      <groupName>字词问题</groupName>
      <ability>L2_Typo</ability>
      <abilityName>字词错误</abilityName>
      <candidateList>
        <item>认之</item>
      </candidateList>
      <explain/>
      <paraID> DE8F69D</paraID>
      <start>76</start>
      <end>77</end>
      <status>unmodified</status>
      <modifiedWord/>
      <trackRevisions>false</trackRevisions>
    </reviewItem>
    <reviewItem>
      <errorID>b2ae8e00-e617-4fde-99eb-476f1a257c30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76D4AD35</paraID>
      <start>31</start>
      <end>33</end>
      <status>unmodified</status>
      <modifiedWord/>
      <trackRevisions>false</trackRevisions>
    </reviewItem>
    <reviewItem>
      <errorID>99783c80-7233-4e1c-a00e-d85661fec8b2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100</start>
      <end>103</end>
      <status>unmodified</status>
      <modifiedWord/>
      <trackRevisions>false</trackRevisions>
    </reviewItem>
    <reviewItem>
      <errorID>d375ad73-687e-4a2d-bb3e-59f5d38311fd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105</start>
      <end>108</end>
      <status>unmodified</status>
      <modifiedWord/>
      <trackRevisions>false</trackRevisions>
    </reviewItem>
    <reviewItem>
      <errorID>46c003da-2261-4c47-ba8a-58566fb61b80</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4544F537</paraID>
      <start>20</start>
      <end>24</end>
      <status>unmodified</status>
      <modifiedWord/>
      <trackRevisions>false</trackRevisions>
    </reviewItem>
    <reviewItem>
      <errorID>3d140d52-e02f-4cc0-9e7b-80843f12af29</errorID>
      <errorWord>终生</errorWord>
      <group>L1_Word</group>
      <groupName>字词问题</groupName>
      <ability>L2_Typo</ability>
      <abilityName>字词错误</abilityName>
      <candidateList>
        <item>终身</item>
      </candidateList>
      <explain/>
      <paraID>2A702006</paraID>
      <start>41</start>
      <end>43</end>
      <status>modified</status>
      <modifiedWord>终身</modifiedWord>
      <trackRevisions>false</trackRevisions>
    </reviewItem>
    <reviewItem>
      <errorID>3e77015b-722d-47e6-a40f-fa1defd9d443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2EDEE327</paraID>
      <start>0</start>
      <end>2</end>
      <status>unmodified</status>
      <modifiedWord/>
      <trackRevisions>false</trackRevisions>
    </reviewItem>
    <reviewItem>
      <errorID>0c243744-e726-4dfa-925c-cb860526c7f1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37BD1BD2</paraID>
      <start>0</start>
      <end>2</end>
      <status>unmodified</status>
      <modifiedWord/>
      <trackRevisions>false</trackRevisions>
    </reviewItem>
    <reviewItem>
      <errorID>d2d38cd6-165b-48ef-b505-4ec22dd0b838</errorID>
      <errorWord>，</errorWord>
      <group>L1_Word</group>
      <groupName>字词问题</groupName>
      <ability>L2_Typo</ability>
      <abilityName>字词错误</abilityName>
      <candidateList>
        <item>，在</item>
      </candidateList>
      <explain/>
      <paraID>6CE11A28</paraID>
      <start>52</start>
      <end>53</end>
      <status>unmodified</status>
      <modifiedWord/>
      <trackRevisions>false</trackRevisions>
    </reviewItem>
    <reviewItem>
      <errorID>15111ec9-110a-4d23-b62d-a864516701ea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71F5713A</paraID>
      <start>27</start>
      <end>28</end>
      <status>unmodified</status>
      <modifiedWord/>
      <trackRevisions>false</trackRevisions>
    </reviewItem>
    <reviewItem>
      <errorID>d288ec88-b22d-43b0-992f-f2af936737f0</errorID>
      <errorWord>(</errorWord>
      <group>L1_Format</group>
      <groupName>格式问题</groupName>
      <ability>L2_HalfPunc</ability>
      <abilityName>全半角检查</abilityName>
      <candidateList>
        <item>（</item>
      </candidateList>
      <explain>文本全半角错误。</explain>
      <paraID>266ADF73</paraID>
      <start>73</start>
      <end>74</end>
      <status>unmodified</status>
      <modifiedWord/>
      <trackRevisions>false</trackRevisions>
    </reviewItem>
    <reviewItem>
      <errorID>409255ee-9c81-4986-a21e-9042759318ca</errorID>
      <errorWord>)</errorWord>
      <group>L1_Format</group>
      <groupName>格式问题</groupName>
      <ability>L2_HalfPunc</ability>
      <abilityName>全半角检查</abilityName>
      <candidateList>
        <item>）</item>
      </candidateList>
      <explain>文本全半角错误。</explain>
      <paraID>266ADF73</paraID>
      <start>84</start>
      <end>85</end>
      <status>unmodified</status>
      <modifiedWord/>
      <trackRevisions>false</trackRevisions>
    </reviewItem>
    <reviewItem>
      <errorID>ce9b592d-f09e-4730-ab40-b070f6c70bb1</errorID>
      <errorWord>:</errorWord>
      <group>L1_Format</group>
      <groupName>格式问题</groupName>
      <ability>L2_HalfPunc</ability>
      <abilityName>全半角检查</abilityName>
      <candidateList>
        <item>：</item>
      </candidateList>
      <explain>文本全半角错误。</explain>
      <paraID>14672794</paraID>
      <start>36</start>
      <end>37</end>
      <status>unmodified</status>
      <modifiedWord/>
      <trackRevisions>false</trackRevisions>
    </reviewItem>
    <reviewItem>
      <errorID>630437c1-0f5a-4f9c-84b7-78067bcb2f91</errorID>
      <errorWord>(</errorWord>
      <group>L1_Format</group>
      <groupName>格式问题</groupName>
      <ability>L2_HalfPunc</ability>
      <abilityName>全半角检查</abilityName>
      <candidateList>
        <item>（</item>
      </candidateList>
      <explain>文本全半角错误。</explain>
      <paraID>14672794</paraID>
      <start>64</start>
      <end>65</end>
      <status>unmodified</status>
      <modifiedWord/>
      <trackRevisions>false</trackRevisions>
    </reviewItem>
    <reviewItem>
      <errorID>9ff09bea-3ec2-4e2e-8438-336d4dee05fd</errorID>
      <errorWord>)</errorWord>
      <group>L1_Format</group>
      <groupName>格式问题</groupName>
      <ability>L2_HalfPunc</ability>
      <abilityName>全半角检查</abilityName>
      <candidateList>
        <item>）</item>
      </candidateList>
      <explain>文本全半角错误。</explain>
      <paraID>14672794</paraID>
      <start>69</start>
      <end>70</end>
      <status>unmodified</status>
      <modifiedWord/>
      <trackRevisions>false</trackRevisions>
    </reviewItem>
    <reviewItem>
      <errorID>5c3c2c93-0f48-44bb-b5e3-86b210236cc4</errorID>
      <errorWord>:</errorWord>
      <group>L1_Format</group>
      <groupName>格式问题</groupName>
      <ability>L2_HalfPunc</ability>
      <abilityName>全半角检查</abilityName>
      <candidateList>
        <item>：</item>
      </candidateList>
      <explain>文本全半角错误。</explain>
      <paraID>69B6FAC8</paraID>
      <start>5</start>
      <end>6</end>
      <status>unmodified</status>
      <modifiedWord/>
      <trackRevisions>false</trackRevisions>
    </reviewItem>
    <reviewItem>
      <errorID>54c68950-a1a9-41f7-84e5-e747dadfc521</errorID>
      <errorWord>:</errorWord>
      <group>L1_Format</group>
      <groupName>格式问题</groupName>
      <ability>L2_HalfPunc</ability>
      <abilityName>全半角检查</abilityName>
      <candidateList>
        <item>：</item>
      </candidateList>
      <explain>文本全半角错误。</explain>
      <paraID>69B6FAC8</paraID>
      <start>35</start>
      <end>36</end>
      <status>unmodified</status>
      <modifiedWord/>
      <trackRevisions>false</trackRevisions>
    </reviewItem>
    <reviewItem>
      <errorID>076fc159-8fc1-449f-8bee-d548333e5b70</errorID>
      <errorWord>)</errorWord>
      <group>L1_Format</group>
      <groupName>格式问题</groupName>
      <ability>L2_HalfPunc</ability>
      <abilityName>全半角检查</abilityName>
      <candidateList>
        <item>）</item>
      </candidateList>
      <explain>文本全半角错误。</explain>
      <paraID>1596E2F2</paraID>
      <start>91</start>
      <end>92</end>
      <status>unmodified</status>
      <modifiedWord/>
      <trackRevisions>false</trackRevisions>
    </reviewItem>
    <reviewItem>
      <errorID>ed0c95c8-99dd-4547-afe0-c4d8af265cc9</errorID>
      <errorWord>(</errorWord>
      <group>L1_Format</group>
      <groupName>格式问题</groupName>
      <ability>L2_HalfPunc</ability>
      <abilityName>全半角检查</abilityName>
      <candidateList>
        <item>（</item>
      </candidateList>
      <explain>文本全半角错误。</explain>
      <paraID>50C1FB9E</paraID>
      <start>57</start>
      <end>58</end>
      <status>unmodified</status>
      <modifiedWord/>
      <trackRevisions>false</trackRevisions>
    </reviewItem>
    <reviewItem>
      <errorID>3b66b644-e3d7-4f5b-8848-353e052e9db9</errorID>
      <errorWord>)</errorWord>
      <group>L1_Format</group>
      <groupName>格式问题</groupName>
      <ability>L2_HalfPunc</ability>
      <abilityName>全半角检查</abilityName>
      <candidateList>
        <item>）</item>
      </candidateList>
      <explain>文本全半角错误。</explain>
      <paraID>50C1FB9E</paraID>
      <start>62</start>
      <end>63</end>
      <status>unmodified</status>
      <modifiedWord/>
      <trackRevisions>false</trackRevisions>
    </reviewItem>
    <reviewItem>
      <errorID>607eb2c7-44ea-4429-8724-5f100e067c44</errorID>
      <errorWord>(</errorWord>
      <group>L1_Format</group>
      <groupName>格式问题</groupName>
      <ability>L2_HalfPunc</ability>
      <abilityName>全半角检查</abilityName>
      <candidateList>
        <item>（</item>
      </candidateList>
      <explain>文本全半角错误。</explain>
      <paraID>50C1FB9E</paraID>
      <start>90</start>
      <end>91</end>
      <status>unmodified</status>
      <modifiedWord/>
      <trackRevisions>false</trackRevisions>
    </reviewItem>
    <reviewItem>
      <errorID>98573eab-c6a6-4904-b014-0c871b3c13f6</errorID>
      <errorWord>)</errorWord>
      <group>L1_Format</group>
      <groupName>格式问题</groupName>
      <ability>L2_HalfPunc</ability>
      <abilityName>全半角检查</abilityName>
      <candidateList>
        <item>）</item>
      </candidateList>
      <explain>文本全半角错误。</explain>
      <paraID>50C1FB9E</paraID>
      <start>96</start>
      <end>97</end>
      <status>unmodified</status>
      <modifiedWord/>
      <trackRevisions>false</trackRevisions>
    </reviewItem>
    <reviewItem>
      <errorID>5c3c3000-3d10-4605-9883-9fac13435eb4</errorID>
      <errorWord>)</errorWord>
      <group>L1_Format</group>
      <groupName>格式问题</groupName>
      <ability>L2_HalfPunc</ability>
      <abilityName>全半角检查</abilityName>
      <candidateList>
        <item>）</item>
      </candidateList>
      <explain>文本全半角错误。</explain>
      <paraID>4C62B100</paraID>
      <start>43</start>
      <end>44</end>
      <status>unmodified</status>
      <modifiedWord/>
      <trackRevisions>false</trackRevisions>
    </reviewItem>
    <reviewItem>
      <errorID>50243c0e-9ddd-471c-b8b9-b8f1f8bbf1b3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453272D8</paraID>
      <start>0</start>
      <end>2</end>
      <status>unmodified</status>
      <modifiedWord/>
      <trackRevisions>false</trackRevisions>
    </reviewItem>
    <reviewItem>
      <errorID>7fa16c71-64b4-4c05-a5c6-fbe1ee650380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4717EA10</paraID>
      <start>0</start>
      <end>2</end>
      <status>unmodified</status>
      <modifiedWord/>
      <trackRevisions>false</trackRevisions>
    </reviewItem>
    <reviewItem>
      <errorID>3c68ef9a-eb34-464a-8bd7-a81e6c2584d2</errorID>
      <errorWord>适合于</errorWord>
      <group>L1_Word</group>
      <groupName>字词问题</groupName>
      <ability>L2_Typo</ability>
      <abilityName>字词错误</abilityName>
      <candidateList>
        <item>适合</item>
      </candidateList>
      <explain/>
      <paraID>40E348BD</paraID>
      <start>85</start>
      <end>88</end>
      <status>unmodified</status>
      <modifiedWord/>
      <trackRevisions>false</trackRevisions>
    </reviewItem>
    <reviewItem>
      <errorID>e26e37f3-1fd5-4493-b35f-91ae96b493ae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16F3C04E</paraID>
      <start>0</start>
      <end>2</end>
      <status>unmodified</status>
      <modifiedWord/>
      <trackRevisions>false</trackRevisions>
    </reviewItem>
    <reviewItem>
      <errorID>f50a39fc-2656-48aa-8aea-96a78298b199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1DDFDF06</paraID>
      <start>0</start>
      <end>2</end>
      <status>unmodified</status>
      <modifiedWord/>
      <trackRevisions>false</trackRevisions>
    </reviewItem>
    <reviewItem>
      <errorID>a628d730-ae48-42aa-8043-571feddf4c14</errorID>
      <errorWord>，</errorWord>
      <group>L1_Word</group>
      <groupName>字词问题</groupName>
      <ability>L2_Typo</ability>
      <abilityName>字词错误</abilityName>
      <candidateList>
        <item>，具</item>
      </candidateList>
      <explain/>
      <paraID> 761C4F4</paraID>
      <start>18</start>
      <end>20</end>
      <status>modified</status>
      <modifiedWord>，具</modifiedWord>
      <trackRevisions>false</trackRevisions>
    </reviewItem>
    <reviewItem>
      <errorID>749cc98a-c266-47cc-887a-834e6c4fdbb7</errorID>
      <errorWord>(</errorWord>
      <group>L1_Format</group>
      <groupName>格式问题</groupName>
      <ability>L2_HalfPunc</ability>
      <abilityName>全半角检查</abilityName>
      <candidateList>
        <item>（</item>
      </candidateList>
      <explain>文本全半角错误。</explain>
      <paraID>2F03F792</paraID>
      <start>54</start>
      <end>55</end>
      <status>unmodified</status>
      <modifiedWord/>
      <trackRevisions>false</trackRevisions>
    </reviewItem>
    <reviewItem>
      <errorID>45007b53-3145-4bcd-bf49-ad8b8b2a46fe</errorID>
      <errorWord>)</errorWord>
      <group>L1_Format</group>
      <groupName>格式问题</groupName>
      <ability>L2_HalfPunc</ability>
      <abilityName>全半角检查</abilityName>
      <candidateList>
        <item>）</item>
      </candidateList>
      <explain>文本全半角错误。</explain>
      <paraID>2F03F792</paraID>
      <start>69</start>
      <end>70</end>
      <status>unmodified</status>
      <modifiedWord/>
      <trackRevisions>false</trackRevisions>
    </reviewItem>
    <reviewItem>
      <errorID>d4b620f4-9df2-472d-909b-e3579c2ac873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51</start>
      <end>54</end>
      <status>unmodified</status>
      <modifiedWord/>
      <trackRevisions>false</trackRevisions>
    </reviewItem>
    <reviewItem>
      <errorID>59c77474-75b0-46b7-99ac-fd59b2251e0d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57</start>
      <end>60</end>
      <status>unmodified</status>
      <modifiedWord/>
      <trackRevisions>false</trackRevisions>
    </reviewItem>
    <reviewItem>
      <errorID>3ad811cf-53e3-45c0-8afa-61d1de7d2bd8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63</start>
      <end>66</end>
      <status>unmodified</status>
      <modifiedWord/>
      <trackRevisions>false</trackRevisions>
    </reviewItem>
    <reviewItem>
      <errorID>b61d09d4-a61d-4578-b9bd-8d82cef793f2</errorID>
      <errorWord>(</errorWord>
      <group>L1_Format</group>
      <groupName>格式问题</groupName>
      <ability>L2_HalfPunc</ability>
      <abilityName>全半角检查</abilityName>
      <candidateList>
        <item>（</item>
      </candidateList>
      <explain>文本全半角错误。</explain>
      <paraID> 21775E3</paraID>
      <start>76</start>
      <end>77</end>
      <status>unmodified</status>
      <modifiedWord/>
      <trackRevisions>false</trackRevisions>
    </reviewItem>
    <reviewItem>
      <errorID>bbb7b734-02a1-45d6-b35c-be8af9c98715</errorID>
      <errorWord>,</errorWord>
      <group>L1_Format</group>
      <groupName>格式问题</groupName>
      <ability>L2_HalfPunc</ability>
      <abilityName>全半角检查</abilityName>
      <candidateList>
        <item>，</item>
      </candidateList>
      <explain>文本全半角错误。</explain>
      <paraID> 21775E3</paraID>
      <start>132</start>
      <end>133</end>
      <status>unmodified</status>
      <modifiedWord/>
      <trackRevisions>false</trackRevisions>
    </reviewItem>
    <reviewItem>
      <errorID>22bc9f83-9cf5-4a0f-a013-0f0c608db5f5</errorID>
      <errorWord>)</errorWord>
      <group>L1_Format</group>
      <groupName>格式问题</groupName>
      <ability>L2_HalfPunc</ability>
      <abilityName>全半角检查</abilityName>
      <candidateList>
        <item>）</item>
      </candidateList>
      <explain>文本全半角错误。</explain>
      <paraID> 21775E3</paraID>
      <start>144</start>
      <end>145</end>
      <status>unmodified</status>
      <modifiedWord/>
      <trackRevisions>false</trackRevisions>
    </reviewItem>
    <reviewItem>
      <errorID>dcb78e65-145c-4529-8084-1ff85b1f80c6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50</start>
      <end>53</end>
      <status>unmodified</status>
      <modifiedWord/>
      <trackRevisions>false</trackRevisions>
    </reviewItem>
    <reviewItem>
      <errorID>5be9e53c-2a0a-4664-9f9d-caa72713cf07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57</start>
      <end>60</end>
      <status>unmodified</status>
      <modifiedWord/>
      <trackRevisions>false</trackRevisions>
    </reviewItem>
    <reviewItem>
      <errorID>4bda40d6-7736-4c91-a0a8-84f134be63da</errorID>
      <errorWord>(</errorWord>
      <group>L1_Format</group>
      <groupName>格式问题</groupName>
      <ability>L2_HalfPunc</ability>
      <abilityName>全半角检查</abilityName>
      <candidateList>
        <item>（</item>
      </candidateList>
      <explain>文本全半角错误。</explain>
      <paraID>166627FC</paraID>
      <start>71</start>
      <end>72</end>
      <status>unmodified</status>
      <modifiedWord/>
      <trackRevisions>false</trackRevisions>
    </reviewItem>
    <reviewItem>
      <errorID>9635faad-5538-43f1-96d2-a460236a55eb</errorID>
      <errorWord>,</errorWord>
      <group>L1_Format</group>
      <groupName>格式问题</groupName>
      <ability>L2_HalfPunc</ability>
      <abilityName>全半角检查</abilityName>
      <candidateList>
        <item>，</item>
      </candidateList>
      <explain>文本全半角错误。</explain>
      <paraID>166627FC</paraID>
      <start>127</start>
      <end>128</end>
      <status>unmodified</status>
      <modifiedWord/>
      <trackRevisions>false</trackRevisions>
    </reviewItem>
    <reviewItem>
      <errorID>8de865a5-41f4-49a9-8fa7-07e3a988c5c7</errorID>
      <errorWord>)</errorWord>
      <group>L1_Format</group>
      <groupName>格式问题</groupName>
      <ability>L2_HalfPunc</ability>
      <abilityName>全半角检查</abilityName>
      <candidateList>
        <item>）</item>
      </candidateList>
      <explain>文本全半角错误。</explain>
      <paraID>166627FC</paraID>
      <start>139</start>
      <end>140</end>
      <status>unmodified</status>
      <modifiedWord/>
      <trackRevisions>false</trackRevisions>
    </reviewItem>
    <reviewItem>
      <errorID>f73008aa-8858-41d6-8310-d00327080d44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55</start>
      <end>58</end>
      <status>unmodified</status>
      <modifiedWord/>
      <trackRevisions>false</trackRevisions>
    </reviewItem>
    <reviewItem>
      <errorID>1453b7e1-74c3-4878-89dd-3e0c744ed14a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62</start>
      <end>65</end>
      <status>unmodified</status>
      <modifiedWord/>
      <trackRevisions>false</trackRevisions>
    </reviewItem>
    <reviewItem>
      <errorID>c1090b53-c62f-442a-953a-78f999c1e293</errorID>
      <errorWord>(</errorWord>
      <group>L1_Format</group>
      <groupName>格式问题</groupName>
      <ability>L2_HalfPunc</ability>
      <abilityName>全半角检查</abilityName>
      <candidateList>
        <item>（</item>
      </candidateList>
      <explain>文本全半角错误。</explain>
      <paraID>70020818</paraID>
      <start>76</start>
      <end>77</end>
      <status>unmodified</status>
      <modifiedWord/>
      <trackRevisions>false</trackRevisions>
    </reviewItem>
    <reviewItem>
      <errorID>ab3bf1a0-8587-4561-86b1-e2127d32471f</errorID>
      <errorWord>,</errorWord>
      <group>L1_Format</group>
      <groupName>格式问题</groupName>
      <ability>L2_HalfPunc</ability>
      <abilityName>全半角检查</abilityName>
      <candidateList>
        <item>，</item>
      </candidateList>
      <explain>文本全半角错误。</explain>
      <paraID>70020818</paraID>
      <start>132</start>
      <end>133</end>
      <status>unmodified</status>
      <modifiedWord/>
      <trackRevisions>false</trackRevisions>
    </reviewItem>
    <reviewItem>
      <errorID>ec776a8d-752b-44ad-83c7-fb56d02e6e9c</errorID>
      <errorWord>)</errorWord>
      <group>L1_Format</group>
      <groupName>格式问题</groupName>
      <ability>L2_HalfPunc</ability>
      <abilityName>全半角检查</abilityName>
      <candidateList>
        <item>）</item>
      </candidateList>
      <explain>文本全半角错误。</explain>
      <paraID>70020818</paraID>
      <start>144</start>
      <end>145</end>
      <status>unmodified</status>
      <modifiedWord/>
      <trackRevisions>false</trackRevisions>
    </reviewItem>
    <reviewItem>
      <errorID>013ae0ed-8521-406b-9399-01eb6abe5462</errorID>
      <errorWord>作</errorWord>
      <group>L1_Word</group>
      <groupName>字词问题</groupName>
      <ability>L2_Typo</ability>
      <abilityName>字词错误</abilityName>
      <candidateList>
        <item>做</item>
      </candidateList>
      <explain>存在发音相同字词的误用。</explain>
      <paraID>43D6104B</paraID>
      <start>18</start>
      <end>19</end>
      <status>unmodified</status>
      <modifiedWord/>
      <trackRevisions>false</trackRevisions>
    </reviewItem>
    <reviewItem>
      <errorID>7c80d9b3-02ef-44b1-8cdf-a4e8b81e90c7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3CD7CE15</paraID>
      <start>0</start>
      <end>3</end>
      <status>unmodified</status>
      <modifiedWord/>
      <trackRevisions>false</trackRevisions>
    </reviewItem>
    <reviewItem>
      <errorID>90301349-0b58-48dc-92a6-f9700d8ee182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3E09D911</paraID>
      <start>0</start>
      <end>3</end>
      <status>unmodified</status>
      <modifiedWord/>
      <trackRevisions>false</trackRevisions>
    </reviewItem>
    <reviewItem>
      <errorID>9dae3ec6-607d-4a12-bceb-b4526a0a61a9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1AD9280F</paraID>
      <start>0</start>
      <end>3</end>
      <status>unmodified</status>
      <modifiedWord/>
      <trackRevisions>false</trackRevisions>
    </reviewItem>
    <reviewItem>
      <errorID>778165e2-7c79-4e07-8817-1ea7c2920454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17E29AD9</paraID>
      <start>0</start>
      <end>3</end>
      <status>unmodified</status>
      <modifiedWord/>
      <trackRevisions>false</trackRevisions>
    </reviewItem>
    <reviewItem>
      <errorID>8cf4cd41-f6d1-4087-8b1e-06cc68f221d6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6B5B30AD</paraID>
      <start>0</start>
      <end>3</end>
      <status>unmodified</status>
      <modifiedWord/>
      <trackRevisions>false</trackRevisions>
    </reviewItem>
    <reviewItem>
      <errorID>68c19ea8-2cd0-4366-b1b2-846c07b30365</errorID>
      <errorWord>间</errorWord>
      <group>L1_Word</group>
      <groupName>字词问题</groupName>
      <ability>L2_Typo</ability>
      <abilityName>字词错误</abilityName>
      <candidateList>
        <item>间内</item>
      </candidateList>
      <explain/>
      <paraID>1B79AB9C</paraID>
      <start>47</start>
      <end>48</end>
      <status>unmodified</status>
      <modifiedWord/>
      <trackRevisions>false</trackRevisions>
    </reviewItem>
    <reviewItem>
      <errorID>8507393f-a9e5-404f-b55f-149d56b33560</errorID>
      <errorWord>“/</errorWord>
      <group>L1_Punc</group>
      <groupName>标点问题</groupName>
      <ability>L2_Punc</ability>
      <abilityName>标点符号检查</abilityName>
      <candidateList>
        <item>“</item>
      </candidateList>
      <explain/>
      <paraID>51820D61</paraID>
      <start>33</start>
      <end>35</end>
      <status>unmodified</status>
      <modifiedWord/>
      <trackRevisions>false</trackRevisions>
    </reviewItem>
    <reviewItem>
      <errorID>8f28ed83-78ff-4a35-801c-e6f867cceb2d</errorID>
      <errorWord>(</errorWord>
      <group>L1_Format</group>
      <groupName>格式问题</groupName>
      <ability>L2_HalfPunc</ability>
      <abilityName>全半角检查</abilityName>
      <candidateList>
        <item>（</item>
      </candidateList>
      <explain>文本全半角错误。</explain>
      <paraID>4DC93A39</paraID>
      <start>33</start>
      <end>34</end>
      <status>unmodified</status>
      <modifiedWord/>
      <trackRevisions>false</trackRevisions>
    </reviewItem>
    <reviewItem>
      <errorID>886a7d82-1a8a-4672-9d4b-b094c3a9a106</errorID>
      <errorWord>)</errorWord>
      <group>L1_Format</group>
      <groupName>格式问题</groupName>
      <ability>L2_HalfPunc</ability>
      <abilityName>全半角检查</abilityName>
      <candidateList>
        <item>）</item>
      </candidateList>
      <explain>文本全半角错误。</explain>
      <paraID>4DC93A39</paraID>
      <start>45</start>
      <end>46</end>
      <status>unmodified</status>
      <modifiedWord/>
      <trackRevisions>false</trackRevisions>
    </reviewItem>
    <reviewItem>
      <errorID>1a008911-d2dd-476f-ae30-c621bd95042a</errorID>
      <errorWord>(</errorWord>
      <group>L1_Format</group>
      <groupName>格式问题</groupName>
      <ability>L2_HalfPunc</ability>
      <abilityName>全半角检查</abilityName>
      <candidateList>
        <item>（</item>
      </candidateList>
      <explain>文本全半角错误。</explain>
      <paraID>4DC93A39</paraID>
      <start>209</start>
      <end>210</end>
      <status>unmodified</status>
      <modifiedWord/>
      <trackRevisions>false</trackRevisions>
    </reviewItem>
    <reviewItem>
      <errorID>6bc42bfd-ec32-486b-9ea5-9d2f64ec615a</errorID>
      <errorWord>)</errorWord>
      <group>L1_Format</group>
      <groupName>格式问题</groupName>
      <ability>L2_HalfPunc</ability>
      <abilityName>全半角检查</abilityName>
      <candidateList>
        <item>）</item>
      </candidateList>
      <explain>文本全半角错误。</explain>
      <paraID>4DC93A39</paraID>
      <start>226</start>
      <end>227</end>
      <status>unmodified</status>
      <modifiedWord/>
      <trackRevisions>false</trackRevisions>
    </reviewItem>
    <reviewItem>
      <errorID>3acd26a0-3a1d-4394-84ca-6892a0bdaad3</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1556A5BD</paraID>
      <start>55</start>
      <end>57</end>
      <status>unmodified</status>
      <modifiedWord/>
      <trackRevisions>false</trackRevisions>
    </reviewItem>
    <reviewItem>
      <errorID>2e9435ce-1c53-4f9d-880c-85f3264cbe0b</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29696C8C</paraID>
      <start>9</start>
      <end>11</end>
      <status>unmodified</status>
      <modifiedWord/>
      <trackRevisions>false</trackRevisions>
    </reviewItem>
    <reviewItem>
      <errorID>37eccfa4-8675-4b2d-a22a-83726bbcfff2</errorID>
      <errorWord>(</errorWord>
      <group>L1_Format</group>
      <groupName>格式问题</groupName>
      <ability>L2_HalfPunc</ability>
      <abilityName>全半角检查</abilityName>
      <candidateList>
        <item>（</item>
      </candidateList>
      <explain>文本全半角错误。</explain>
      <paraID>1CD9783B</paraID>
      <start>4</start>
      <end>5</end>
      <status>unmodified</status>
      <modifiedWord/>
      <trackRevisions>false</trackRevisions>
    </reviewItem>
    <reviewItem>
      <errorID>01c6e60a-1625-4d60-a6ac-34beac7c0926</errorID>
      <errorWord>)</errorWord>
      <group>L1_Format</group>
      <groupName>格式问题</groupName>
      <ability>L2_HalfPunc</ability>
      <abilityName>全半角检查</abilityName>
      <candidateList>
        <item>）</item>
      </candidateList>
      <explain>文本全半角错误。</explain>
      <paraID>1CD9783B</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06B0C35-B1E1-4572-97F8-E77F297251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7</cp:revision>
  <dcterms:created xsi:type="dcterms:W3CDTF">2026-06-08T10:29:00Z</dcterms:created>
  <dcterms:modified xsi:type="dcterms:W3CDTF">2026-06-15T07:35:22Z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69FC126E21B643139292A5A7BC7BC23E_13</vt:lpwstr>
  </property>
</Properties>
</file>