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项目名称：宜兴高等职业技术学校物业管理服务项目</w:t>
      </w:r>
      <w:r/>
    </w:p>
    <w:p>
      <w:pPr>
        <w:ind w:firstLine="1920"/>
        <w:jc w:val="left"/>
        <w:spacing w:line="360" w:lineRule="auto"/>
        <w:rPr>
          <w:rFonts w:ascii="宋体" w:hAnsi="宋体" w:cs="宋体"/>
          <w:sz w:val="32"/>
          <w:szCs w:val="32"/>
        </w:rPr>
      </w:pPr>
      <w:r/>
      <w:bookmarkStart w:id="0" w:name="_Hlk161057808"/>
      <w:r>
        <w:rPr>
          <w:rFonts w:hint="eastAsia" w:ascii="宋体" w:hAnsi="宋体" w:cs="宋体"/>
          <w:sz w:val="32"/>
          <w:szCs w:val="32"/>
        </w:rPr>
        <w:t xml:space="preserve">项目编号：JSZC-320282-JZCG-G2026-0016</w:t>
      </w:r>
      <w:bookmarkEnd w:id="0"/>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人：宜兴高等职业技术学校</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6年6月</w:t>
      </w:r>
      <w:r/>
    </w:p>
    <w:p>
      <w:pPr>
        <w:rPr>
          <w:rStyle w:val="941"/>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sz w:val="48"/>
        </w:rPr>
      </w:r>
      <w:r/>
    </w:p>
    <w:p>
      <w:pPr>
        <w:jc w:val="center"/>
        <w:rPr>
          <w:rStyle w:val="941"/>
          <w:rFonts w:eastAsia="黑体"/>
          <w:bCs/>
          <w:sz w:val="48"/>
        </w:rPr>
      </w:pPr>
      <w:r>
        <w:rPr>
          <w:rFonts w:eastAsia="黑体"/>
          <w:bCs/>
          <w:sz w:val="48"/>
        </w:rPr>
      </w:r>
      <w:r/>
    </w:p>
    <w:p>
      <w:pPr>
        <w:jc w:val="center"/>
        <w:rPr>
          <w:rStyle w:val="941"/>
          <w:rFonts w:eastAsia="黑体"/>
          <w:bCs/>
          <w:sz w:val="48"/>
        </w:rPr>
      </w:pPr>
      <w:r>
        <w:rPr>
          <w:rFonts w:eastAsia="黑体"/>
          <w:bCs/>
          <w:sz w:val="48"/>
        </w:rPr>
      </w:r>
      <w:r/>
    </w:p>
    <w:p>
      <w:pPr>
        <w:jc w:val="center"/>
        <w:rPr>
          <w:rStyle w:val="941"/>
          <w:rFonts w:eastAsia="黑体"/>
          <w:bCs/>
          <w:sz w:val="48"/>
        </w:rPr>
      </w:pPr>
      <w:r>
        <w:rPr>
          <w:rStyle w:val="941"/>
          <w:rFonts w:hint="eastAsia" w:eastAsia="黑体"/>
          <w:bCs/>
          <w:sz w:val="48"/>
        </w:rPr>
        <w:t xml:space="preserve">目</w:t>
      </w:r>
      <w:r>
        <w:rPr>
          <w:rStyle w:val="941"/>
          <w:rFonts w:hint="eastAsia" w:eastAsia="黑体"/>
          <w:bCs/>
          <w:sz w:val="48"/>
        </w:rPr>
        <w:t xml:space="preserve">     </w:t>
      </w:r>
      <w:r>
        <w:rPr>
          <w:rStyle w:val="941"/>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5"/>
        <w:spacing w:line="360" w:lineRule="auto"/>
        <w:tabs>
          <w:tab w:val="right" w:pos="9629" w:leader="dot"/>
        </w:tabs>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57174688" w:anchor="_Toc157174688" w:history="1">
        <w:r>
          <w:rPr>
            <w:rStyle w:val="942"/>
            <w:rFonts w:ascii="黑体" w:hAnsi="黑体" w:eastAsia="黑体"/>
            <w:sz w:val="32"/>
            <w:szCs w:val="32"/>
          </w:rPr>
          <w:t xml:space="preserve">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r>
        <w:r>
          <w:rPr>
            <w:sz w:val="32"/>
            <w:szCs w:val="32"/>
          </w:rPr>
          <w:fldChar w:fldCharType="separate"/>
        </w:r>
        <w:r>
          <w:rPr>
            <w:sz w:val="32"/>
            <w:szCs w:val="32"/>
          </w:rPr>
          <w:t xml:space="preserve">- 1 -</w:t>
        </w:r>
        <w:r>
          <w:rPr>
            <w:sz w:val="32"/>
            <w:szCs w:val="32"/>
          </w:rPr>
          <w:fldChar w:fldCharType="end"/>
        </w:r>
      </w:hyperlink>
      <w:r/>
      <w:r/>
    </w:p>
    <w:p>
      <w:pPr>
        <w:pStyle w:val="935"/>
        <w:spacing w:line="360" w:lineRule="auto"/>
        <w:tabs>
          <w:tab w:val="right" w:pos="9629" w:leader="dot"/>
        </w:tabs>
        <w:rPr>
          <w:rFonts w:ascii="等线" w:hAnsi="等线" w:eastAsia="等线"/>
          <w:sz w:val="32"/>
          <w:szCs w:val="32"/>
        </w:rPr>
      </w:pPr>
      <w:r/>
      <w:hyperlink w:tooltip="#_Toc157174689" w:anchor="_Toc157174689" w:history="1">
        <w:r>
          <w:rPr>
            <w:rStyle w:val="942"/>
            <w:rFonts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r>
        <w:r>
          <w:rPr>
            <w:sz w:val="32"/>
            <w:szCs w:val="32"/>
          </w:rPr>
          <w:fldChar w:fldCharType="separate"/>
        </w:r>
        <w:r>
          <w:rPr>
            <w:sz w:val="32"/>
            <w:szCs w:val="32"/>
          </w:rPr>
          <w:t xml:space="preserve">- 3 -</w:t>
        </w:r>
        <w:r>
          <w:rPr>
            <w:sz w:val="32"/>
            <w:szCs w:val="32"/>
          </w:rPr>
          <w:fldChar w:fldCharType="end"/>
        </w:r>
      </w:hyperlink>
      <w:r/>
      <w:r/>
    </w:p>
    <w:p>
      <w:pPr>
        <w:pStyle w:val="935"/>
        <w:spacing w:line="360" w:lineRule="auto"/>
        <w:tabs>
          <w:tab w:val="right" w:pos="9629" w:leader="dot"/>
        </w:tabs>
        <w:rPr>
          <w:rFonts w:ascii="等线" w:hAnsi="等线" w:eastAsia="等线"/>
          <w:sz w:val="32"/>
          <w:szCs w:val="32"/>
        </w:rPr>
      </w:pPr>
      <w:r/>
      <w:hyperlink w:tooltip="#_Toc157174690" w:anchor="_Toc157174690" w:history="1">
        <w:r>
          <w:rPr>
            <w:rStyle w:val="942"/>
            <w:rFonts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r>
        <w:r>
          <w:rPr>
            <w:sz w:val="32"/>
            <w:szCs w:val="32"/>
          </w:rPr>
          <w:fldChar w:fldCharType="separate"/>
        </w:r>
        <w:r>
          <w:rPr>
            <w:sz w:val="32"/>
            <w:szCs w:val="32"/>
          </w:rPr>
          <w:t xml:space="preserve">- 17 -</w:t>
        </w:r>
        <w:r>
          <w:rPr>
            <w:sz w:val="32"/>
            <w:szCs w:val="32"/>
          </w:rPr>
          <w:fldChar w:fldCharType="end"/>
        </w:r>
      </w:hyperlink>
      <w:r/>
      <w:r/>
    </w:p>
    <w:p>
      <w:pPr>
        <w:pStyle w:val="935"/>
        <w:spacing w:line="360" w:lineRule="auto"/>
        <w:tabs>
          <w:tab w:val="right" w:pos="9629" w:leader="dot"/>
        </w:tabs>
        <w:rPr>
          <w:rFonts w:ascii="等线" w:hAnsi="等线" w:eastAsia="等线"/>
          <w:sz w:val="32"/>
          <w:szCs w:val="32"/>
        </w:rPr>
      </w:pPr>
      <w:r/>
      <w:hyperlink w:tooltip="#_Toc157174691" w:anchor="_Toc157174691" w:history="1">
        <w:r>
          <w:rPr>
            <w:rStyle w:val="942"/>
            <w:rFonts w:ascii="黑体" w:hAnsi="黑体" w:eastAsia="黑体"/>
            <w:sz w:val="32"/>
            <w:szCs w:val="32"/>
          </w:rPr>
          <w:t xml:space="preserve">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r>
        <w:r>
          <w:rPr>
            <w:sz w:val="32"/>
            <w:szCs w:val="32"/>
          </w:rPr>
          <w:fldChar w:fldCharType="separate"/>
        </w:r>
        <w:r>
          <w:rPr>
            <w:sz w:val="32"/>
            <w:szCs w:val="32"/>
          </w:rPr>
          <w:t xml:space="preserve">- 28 -</w:t>
        </w:r>
        <w:r>
          <w:rPr>
            <w:sz w:val="32"/>
            <w:szCs w:val="32"/>
          </w:rPr>
          <w:fldChar w:fldCharType="end"/>
        </w:r>
      </w:hyperlink>
      <w:r/>
      <w:r/>
    </w:p>
    <w:p>
      <w:pPr>
        <w:pStyle w:val="935"/>
        <w:spacing w:line="360" w:lineRule="auto"/>
        <w:tabs>
          <w:tab w:val="right" w:pos="9629" w:leader="dot"/>
        </w:tabs>
        <w:rPr>
          <w:rFonts w:ascii="等线" w:hAnsi="等线" w:eastAsia="等线"/>
          <w:sz w:val="32"/>
          <w:szCs w:val="32"/>
        </w:rPr>
      </w:pPr>
      <w:r/>
      <w:hyperlink w:tooltip="#_Toc157174692" w:anchor="_Toc157174692" w:history="1">
        <w:r>
          <w:rPr>
            <w:rStyle w:val="942"/>
            <w:rFonts w:ascii="黑体" w:hAnsi="黑体" w:eastAsia="黑体"/>
            <w:sz w:val="32"/>
            <w:szCs w:val="32"/>
          </w:rPr>
          <w:t xml:space="preserve">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r>
        <w:r>
          <w:rPr>
            <w:sz w:val="32"/>
            <w:szCs w:val="32"/>
          </w:rPr>
          <w:fldChar w:fldCharType="separate"/>
        </w:r>
        <w:r>
          <w:rPr>
            <w:sz w:val="32"/>
            <w:szCs w:val="32"/>
          </w:rPr>
          <w:t xml:space="preserve">- 32 -</w:t>
        </w:r>
        <w:r>
          <w:rPr>
            <w:sz w:val="32"/>
            <w:szCs w:val="32"/>
          </w:rPr>
          <w:fldChar w:fldCharType="end"/>
        </w:r>
      </w:hyperlink>
      <w:r/>
      <w:r/>
    </w:p>
    <w:p>
      <w:pPr>
        <w:pStyle w:val="935"/>
        <w:spacing w:line="360" w:lineRule="auto"/>
        <w:tabs>
          <w:tab w:val="right" w:pos="9629" w:leader="dot"/>
        </w:tabs>
        <w:rPr>
          <w:rFonts w:ascii="等线" w:hAnsi="等线" w:eastAsia="等线"/>
          <w:sz w:val="32"/>
          <w:szCs w:val="32"/>
        </w:rPr>
      </w:pPr>
      <w:r/>
      <w:hyperlink w:tooltip="#_Toc157174693" w:anchor="_Toc157174693" w:history="1">
        <w:r>
          <w:rPr>
            <w:rStyle w:val="942"/>
            <w:rFonts w:ascii="黑体" w:hAnsi="黑体" w:eastAsia="黑体"/>
            <w:sz w:val="32"/>
            <w:szCs w:val="32"/>
          </w:rPr>
          <w:t xml:space="preserve">第六章 投标文件</w:t>
        </w:r>
        <w:r>
          <w:rPr>
            <w:rStyle w:val="942"/>
            <w:rFonts w:hint="eastAsia" w:ascii="黑体" w:hAnsi="黑体" w:eastAsia="黑体"/>
            <w:sz w:val="32"/>
            <w:szCs w:val="32"/>
          </w:rPr>
          <w:t xml:space="preserve">内容与格式</w:t>
        </w:r>
        <w:r>
          <w:rPr>
            <w:sz w:val="32"/>
            <w:szCs w:val="32"/>
          </w:rPr>
          <w:tab/>
        </w:r>
        <w:r>
          <w:rPr>
            <w:sz w:val="32"/>
            <w:szCs w:val="32"/>
          </w:rPr>
          <w:fldChar w:fldCharType="begin"/>
        </w:r>
        <w:r>
          <w:rPr>
            <w:sz w:val="32"/>
            <w:szCs w:val="32"/>
          </w:rPr>
          <w:instrText xml:space="preserve"> PAGEREF _Toc157174693 \h </w:instrText>
        </w:r>
        <w:r>
          <w:rPr>
            <w:sz w:val="32"/>
            <w:szCs w:val="32"/>
          </w:rPr>
        </w:r>
        <w:r>
          <w:rPr>
            <w:sz w:val="32"/>
            <w:szCs w:val="32"/>
          </w:rPr>
          <w:fldChar w:fldCharType="separate"/>
        </w:r>
        <w:r>
          <w:rPr>
            <w:sz w:val="32"/>
            <w:szCs w:val="32"/>
          </w:rPr>
          <w:t xml:space="preserve">- 42 -</w:t>
        </w:r>
        <w:r>
          <w:rPr>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Pr>
          <w:rFonts w:hint="eastAsia" w:ascii="黑体" w:hAnsi="黑体" w:eastAsia="黑体"/>
          <w:sz w:val="36"/>
          <w:szCs w:val="36"/>
        </w:rPr>
        <w:tab/>
      </w:r>
      <w:r/>
    </w:p>
    <w:p>
      <w:pPr>
        <w:ind w:firstLine="480"/>
        <w:spacing w:line="500" w:lineRule="exact"/>
        <w:rPr>
          <w:rFonts w:ascii="宋体" w:hAnsi="宋体"/>
          <w:bCs/>
          <w:sz w:val="24"/>
          <w:szCs w:val="24"/>
        </w:rPr>
      </w:pPr>
      <w:r>
        <w:rPr>
          <w:rFonts w:hint="eastAsia" w:ascii="宋体" w:hAnsi="宋体"/>
          <w:sz w:val="24"/>
          <w:szCs w:val="28"/>
        </w:rPr>
        <w:t xml:space="preserve">受宜兴高等职业技术学校委托，宜兴市公共资源交易中心就宜兴高等职业技术学校物业管理服务项目（</w:t>
      </w:r>
      <w:r>
        <w:rPr>
          <w:rFonts w:hint="eastAsia" w:ascii="宋体" w:hAnsi="宋体"/>
          <w:bCs/>
          <w:sz w:val="24"/>
          <w:szCs w:val="24"/>
        </w:rPr>
        <w:t xml:space="preserve">JSZC-320282-JZCG-G2026-0016</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457"/>
        <w:gridCol w:w="6451"/>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1.项目名称：宜兴高等职业技术学校物业管理服务项目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JSZC-320282-JZCG-G2026-0016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ascii="宋体" w:hAnsi="宋体"/>
                <w:bCs/>
                <w:sz w:val="24"/>
                <w:szCs w:val="24"/>
              </w:rPr>
              <w:t xml:space="preserve">143.14</w:t>
            </w:r>
            <w:r>
              <w:rPr>
                <w:rFonts w:hint="eastAsia" w:ascii="宋体" w:hAnsi="宋体"/>
                <w:bCs/>
                <w:sz w:val="24"/>
                <w:szCs w:val="24"/>
              </w:rPr>
              <w:t xml:space="preserve">万元</w:t>
            </w:r>
            <w:r/>
          </w:p>
          <w:p>
            <w:pPr>
              <w:jc w:val="left"/>
              <w:rPr>
                <w:rFonts w:ascii="宋体" w:hAnsi="宋体"/>
                <w:bCs/>
                <w:sz w:val="24"/>
                <w:szCs w:val="24"/>
              </w:rPr>
            </w:pPr>
            <w:r>
              <w:rPr>
                <w:rFonts w:hint="eastAsia" w:ascii="宋体" w:hAnsi="宋体"/>
                <w:bCs/>
                <w:sz w:val="24"/>
                <w:szCs w:val="24"/>
              </w:rPr>
              <w:t xml:space="preserve">6.最高限价：</w:t>
            </w:r>
            <w:r>
              <w:rPr>
                <w:rFonts w:hint="eastAsia" w:ascii="宋体" w:hAnsi="宋体"/>
                <w:bCs/>
                <w:sz w:val="24"/>
                <w:szCs w:val="24"/>
              </w:rPr>
              <w:t xml:space="preserve">同预算金额 </w:t>
            </w:r>
            <w:r/>
          </w:p>
          <w:p>
            <w:pPr>
              <w:jc w:val="left"/>
              <w:rPr>
                <w:rFonts w:ascii="宋体" w:hAnsi="宋体"/>
                <w:bCs/>
                <w:sz w:val="24"/>
                <w:szCs w:val="24"/>
              </w:rPr>
            </w:pPr>
            <w:r>
              <w:rPr>
                <w:rFonts w:hint="eastAsia" w:ascii="宋体" w:hAnsi="宋体"/>
                <w:bCs/>
                <w:sz w:val="24"/>
                <w:szCs w:val="24"/>
              </w:rPr>
              <w:t xml:space="preserve">7.项目类</w:t>
            </w:r>
            <w:r>
              <w:rPr>
                <w:rFonts w:hint="eastAsia" w:ascii="宋体" w:hAnsi="宋体"/>
                <w:bCs/>
                <w:sz w:val="24"/>
                <w:szCs w:val="24"/>
              </w:rPr>
              <w:t xml:space="preserve">型：服务类</w:t>
            </w:r>
            <w:r/>
          </w:p>
          <w:p>
            <w:pPr>
              <w:jc w:val="left"/>
              <w:rPr>
                <w:rFonts w:ascii="宋体" w:hAnsi="宋体"/>
                <w:bCs/>
                <w:sz w:val="24"/>
                <w:szCs w:val="24"/>
              </w:rPr>
            </w:pPr>
            <w:r>
              <w:rPr>
                <w:rFonts w:hint="eastAsia" w:ascii="宋体" w:hAnsi="宋体"/>
                <w:bCs/>
                <w:sz w:val="24"/>
                <w:szCs w:val="24"/>
              </w:rPr>
              <w:t xml:space="preserve">8.本项目不接受联合体，不接受分包。</w:t>
            </w:r>
            <w:bookmarkEnd w:id="6"/>
            <w:r/>
            <w:r/>
          </w:p>
          <w:p>
            <w:pPr>
              <w:jc w:val="left"/>
              <w:rPr>
                <w:rFonts w:ascii="宋体" w:hAnsi="宋体"/>
                <w:bCs/>
                <w:sz w:val="24"/>
                <w:szCs w:val="24"/>
              </w:rPr>
            </w:pPr>
            <w:r>
              <w:rPr>
                <w:rFonts w:hint="eastAsia" w:ascii="宋体" w:hAnsi="宋体"/>
                <w:bCs/>
                <w:sz w:val="24"/>
                <w:szCs w:val="24"/>
              </w:rPr>
              <w:t xml:space="preserve">9.集中考察或答疑：无</w:t>
            </w:r>
            <w:r/>
          </w:p>
        </w:tc>
      </w:tr>
      <w:tr>
        <w:trPr>
          <w:jc w:val="center"/>
          <w:trHeight w:val="162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3"/>
              <w:jc w:val="center"/>
              <w:spacing w:line="276" w:lineRule="auto"/>
              <w:rPr>
                <w:b/>
                <w:bCs/>
                <w:lang w:val="zh-CN"/>
              </w:rPr>
            </w:pPr>
            <w:r/>
            <w:bookmarkStart w:id="9" w:name="OLE_LINK208"/>
            <w:r>
              <w:rPr>
                <w:rFonts w:hint="eastAsia"/>
                <w:b/>
                <w:bCs/>
                <w:lang w:val="zh-CN"/>
              </w:rPr>
              <w:t xml:space="preserve">资格</w:t>
            </w:r>
            <w:bookmarkEnd w:id="9"/>
            <w:r/>
            <w:r/>
          </w:p>
          <w:p>
            <w:pPr>
              <w:pStyle w:val="943"/>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Cs/>
                <w:sz w:val="24"/>
                <w:szCs w:val="24"/>
              </w:rPr>
              <w:t xml:space="preserve">：</w:t>
            </w:r>
            <w:r>
              <w:rPr>
                <w:rFonts w:hint="eastAsia" w:ascii="宋体" w:hAnsi="宋体" w:cs="宋体"/>
                <w:b/>
                <w:bCs/>
                <w:sz w:val="24"/>
                <w:szCs w:val="24"/>
              </w:rPr>
              <w:t xml:space="preserve">本项目专门面向中小企业采购；</w:t>
            </w:r>
            <w:r>
              <w:rPr>
                <w:rFonts w:ascii="宋体" w:hAnsi="宋体" w:cs="宋体"/>
                <w:bCs/>
                <w:sz w:val="24"/>
                <w:szCs w:val="24"/>
              </w:rPr>
              <w:t xml:space="preserve"> </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rFonts w:ascii="宋体" w:hAnsi="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20" w:lineRule="exact"/>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415"/>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rPr>
                <w:rFonts w:ascii="宋体" w:hAnsi="宋体" w:cs="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3"/>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3"/>
              <w:jc w:val="center"/>
              <w:rPr>
                <w:b/>
                <w:bCs/>
                <w:szCs w:val="22"/>
              </w:rPr>
            </w:pPr>
            <w:r>
              <w:rPr>
                <w:rFonts w:hint="eastAsia"/>
                <w:b/>
                <w:bCs/>
                <w:szCs w:val="22"/>
              </w:rPr>
              <w:t xml:space="preserve">限制</w:t>
            </w:r>
            <w:r/>
          </w:p>
          <w:p>
            <w:pPr>
              <w:pStyle w:val="943"/>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949"/>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4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单位名称：宜兴高等职业技术学校</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荆邑南路97号</w:t>
            </w:r>
            <w:r/>
          </w:p>
          <w:p>
            <w:pPr>
              <w:jc w:val="left"/>
              <w:rPr>
                <w:rFonts w:ascii="宋体" w:hAnsi="宋体"/>
                <w:bCs/>
                <w:sz w:val="24"/>
                <w:szCs w:val="24"/>
              </w:rPr>
            </w:pPr>
            <w:r>
              <w:rPr>
                <w:rFonts w:hint="eastAsia" w:ascii="宋体" w:hAnsi="宋体"/>
                <w:bCs/>
                <w:sz w:val="24"/>
                <w:szCs w:val="24"/>
              </w:rPr>
              <w:t xml:space="preserve">联系人：朱先生</w:t>
            </w:r>
            <w:r/>
          </w:p>
          <w:p>
            <w:pPr>
              <w:jc w:val="left"/>
              <w:rPr>
                <w:rFonts w:ascii="宋体" w:hAnsi="宋体"/>
                <w:bCs/>
                <w:sz w:val="24"/>
                <w:szCs w:val="24"/>
              </w:rPr>
            </w:pPr>
            <w:r>
              <w:rPr>
                <w:rFonts w:hint="eastAsia" w:ascii="宋体" w:hAnsi="宋体"/>
                <w:bCs/>
                <w:sz w:val="24"/>
                <w:szCs w:val="24"/>
              </w:rPr>
              <w:t xml:space="preserve">联系电话：15312209278</w:t>
            </w:r>
            <w:r/>
          </w:p>
        </w:tc>
      </w:tr>
      <w:tr>
        <w:trPr>
          <w:jc w:val="center"/>
          <w:trHeight w:val="54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w:t>
            </w:r>
            <w:r/>
          </w:p>
          <w:p>
            <w:pPr>
              <w:jc w:val="center"/>
              <w:rPr>
                <w:rFonts w:ascii="宋体" w:hAnsi="宋体"/>
                <w:bCs/>
                <w:sz w:val="24"/>
                <w:szCs w:val="24"/>
              </w:rPr>
            </w:pPr>
            <w:r>
              <w:rPr>
                <w:rFonts w:hint="eastAsia" w:ascii="宋体" w:hAnsi="宋体"/>
                <w:bCs/>
                <w:sz w:val="24"/>
                <w:szCs w:val="24"/>
              </w:rPr>
              <w:t xml:space="preserve">机构</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451"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45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w:t>
            </w:r>
            <w:r/>
          </w:p>
          <w:p>
            <w:pPr>
              <w:jc w:val="center"/>
              <w:rPr>
                <w:rFonts w:ascii="宋体" w:hAnsi="宋体"/>
                <w:bCs/>
                <w:sz w:val="24"/>
                <w:szCs w:val="24"/>
              </w:rPr>
            </w:pPr>
            <w:r>
              <w:rPr>
                <w:rFonts w:hint="eastAsia" w:ascii="宋体" w:hAnsi="宋体"/>
                <w:bCs/>
                <w:sz w:val="24"/>
                <w:szCs w:val="24"/>
              </w:rPr>
              <w:t xml:space="preserve">部门</w:t>
            </w:r>
            <w:r/>
          </w:p>
        </w:tc>
        <w:tc>
          <w:tcPr>
            <w:tcW w:w="6451"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57174689"/>
      <w:r/>
      <w:bookmarkStart w:id="15" w:name="OLE_LINK38"/>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6" w:name="_Hlk164149389"/>
      <w:r>
        <w:rPr>
          <w:rFonts w:hint="eastAsia" w:ascii="宋体" w:hAnsi="宋体"/>
          <w:bCs/>
          <w:sz w:val="24"/>
          <w:szCs w:val="24"/>
          <w:lang w:val="zh-CN"/>
        </w:rPr>
        <w:t xml:space="preserve">法定代表人”是指投标人的营业执照或相关部门的有效登记证明文件中的“法定代表人”、“执行事务合伙人”、“经营者”、“负责人”，若为自然人的指自然人本人。</w:t>
      </w:r>
      <w:bookmarkStart w:id="17" w:name="_Hlk160441159"/>
      <w:r/>
      <w:bookmarkEnd w:id="16"/>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r/>
    </w:p>
    <w:p>
      <w:pPr>
        <w:jc w:val="left"/>
        <w:spacing w:line="360" w:lineRule="auto"/>
        <w:rPr>
          <w:rFonts w:ascii="宋体" w:hAnsi="宋体"/>
          <w:b/>
          <w:sz w:val="28"/>
          <w:szCs w:val="28"/>
          <w:lang w:val="zh-CN"/>
        </w:rPr>
      </w:pPr>
      <w:r/>
      <w:bookmarkStart w:id="18" w:name="OLE_LINK269"/>
      <w:r/>
      <w:bookmarkStart w:id="19" w:name="OLE_LINK217"/>
      <w:r/>
      <w:bookmarkEnd w:id="17"/>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hint="eastAsia" w:ascii="宋体" w:hAnsi="宋体"/>
          <w:bCs/>
          <w:sz w:val="24"/>
          <w:szCs w:val="24"/>
          <w:lang w:val="zh-CN"/>
        </w:rPr>
        <w:t xml:space="preserve">产品。</w:t>
      </w:r>
      <w:r>
        <w:rPr>
          <w:rFonts w:hint="eastAsia" w:ascii="宋体" w:hAnsi="宋体"/>
          <w:b/>
          <w:sz w:val="24"/>
          <w:szCs w:val="24"/>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w:t>
      </w:r>
      <w:r>
        <w:rPr>
          <w:rFonts w:hint="eastAsia" w:ascii="宋体" w:hAnsi="宋体"/>
          <w:bCs/>
          <w:sz w:val="24"/>
          <w:szCs w:val="24"/>
        </w:rPr>
        <w:t xml:space="preserve">小企业进行认定，</w:t>
      </w:r>
      <w:r>
        <w:rPr>
          <w:rFonts w:hint="eastAsia" w:ascii="宋体" w:hAnsi="宋体"/>
          <w:b/>
          <w:sz w:val="24"/>
          <w:szCs w:val="24"/>
        </w:rPr>
        <w:t xml:space="preserve">不再对其中涉及的货物的制造商作出要求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 xml:space="preserve">联合协议或者分包意向协议约定小微企业的合同份额占到合同总金额30%及以上的</w:t>
      </w:r>
      <w:bookmarkEnd w:id="20"/>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2" w:name="_Hlk160697267"/>
      <w:r>
        <w:rPr>
          <w:rFonts w:hint="eastAsia" w:ascii="宋体" w:hAnsi="宋体"/>
          <w:bCs/>
          <w:sz w:val="24"/>
          <w:szCs w:val="24"/>
        </w:rPr>
        <w:t xml:space="preserve">并明确企业类型（中型、小型或微型），否则中小企业声明函无效。</w:t>
      </w:r>
      <w:bookmarkEnd w:id="21"/>
      <w:r/>
      <w:bookmarkEnd w:id="22"/>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3" w:name="_Hlk159418699"/>
      <w:r>
        <w:rPr>
          <w:rFonts w:hint="eastAsia" w:ascii="宋体" w:hAnsi="宋体"/>
          <w:b/>
          <w:sz w:val="24"/>
          <w:szCs w:val="24"/>
        </w:rPr>
        <w:t xml:space="preserve">只享受一次针对小微企业的价格优惠。</w:t>
      </w:r>
      <w:bookmarkEnd w:id="23"/>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8"/>
      <w:r/>
      <w:bookmarkEnd w:id="19"/>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4" w:name="OLE_LINK107"/>
      <w:r/>
      <w:bookmarkStart w:id="25" w:name="OLE_LINK88"/>
      <w:r>
        <w:rPr>
          <w:rFonts w:hint="eastAsia" w:ascii="宋体" w:hAnsi="宋体"/>
          <w:bCs/>
          <w:sz w:val="24"/>
          <w:szCs w:val="24"/>
        </w:rPr>
        <w:t xml:space="preserve">4.2 </w:t>
      </w:r>
      <w:bookmarkEnd w:id="24"/>
      <w:r>
        <w:rPr>
          <w:rFonts w:hint="eastAsia" w:ascii="宋体" w:hAnsi="宋体"/>
          <w:bCs/>
          <w:sz w:val="24"/>
          <w:szCs w:val="24"/>
        </w:rPr>
        <w:t xml:space="preserve">本次招标，宜兴市公共资源交易中心对所有投标人不收取服务费用。</w:t>
      </w:r>
      <w:bookmarkEnd w:id="25"/>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w:t>
      </w:r>
      <w:r>
        <w:rPr>
          <w:rFonts w:hint="eastAsia" w:ascii="宋体" w:hAnsi="宋体"/>
          <w:bCs/>
          <w:sz w:val="24"/>
          <w:szCs w:val="24"/>
        </w:rPr>
        <w:t xml:space="preserve">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6" w:name="OLE_LINK253"/>
      <w:r>
        <w:rPr>
          <w:rFonts w:hint="eastAsia" w:ascii="宋体" w:hAnsi="宋体"/>
          <w:bCs/>
          <w:sz w:val="24"/>
          <w:szCs w:val="24"/>
        </w:rPr>
        <w:t xml:space="preserve">采购人或者</w:t>
      </w:r>
      <w:bookmarkEnd w:id="26"/>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27" w:name="OLE_LINK16"/>
      <w:r/>
      <w:bookmarkStart w:id="28" w:name="_Hlk151557699"/>
      <w:r/>
      <w:bookmarkStart w:id="29" w:name="OLE_LINK219"/>
      <w:r>
        <w:rPr>
          <w:rFonts w:hint="eastAsia" w:ascii="宋体" w:hAnsi="宋体"/>
          <w:b/>
          <w:sz w:val="28"/>
          <w:szCs w:val="28"/>
        </w:rPr>
        <w:t xml:space="preserve">8</w:t>
      </w:r>
      <w:r>
        <w:rPr>
          <w:rFonts w:hint="eastAsia" w:ascii="宋体" w:hAnsi="宋体"/>
          <w:b/>
          <w:sz w:val="28"/>
          <w:szCs w:val="28"/>
          <w:lang w:val="zh-CN"/>
        </w:rPr>
        <w:t xml:space="preserve">、</w:t>
      </w:r>
      <w:bookmarkStart w:id="30" w:name="OLE_LINK62"/>
      <w:r>
        <w:rPr>
          <w:rFonts w:hint="eastAsia" w:ascii="宋体" w:hAnsi="宋体"/>
          <w:b/>
          <w:sz w:val="28"/>
          <w:szCs w:val="28"/>
          <w:lang w:val="zh-CN"/>
        </w:rPr>
        <w:t xml:space="preserve">投标文件的组成</w:t>
      </w:r>
      <w:bookmarkEnd w:id="27"/>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bookmarkEnd w:id="28"/>
      <w:r/>
      <w:bookmarkEnd w:id="30"/>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1" w:name="_Toc19624"/>
      <w:r/>
      <w:bookmarkStart w:id="32" w:name="_Toc2248"/>
      <w:r/>
      <w:bookmarkStart w:id="33" w:name="_Toc520356155"/>
      <w:r/>
      <w:bookmarkStart w:id="34" w:name="_Toc23231"/>
      <w:r/>
      <w:bookmarkStart w:id="35" w:name="_Toc515647770"/>
      <w:r>
        <w:rPr>
          <w:rFonts w:hint="eastAsia" w:ascii="宋体" w:hAnsi="宋体"/>
          <w:b/>
          <w:sz w:val="28"/>
          <w:szCs w:val="28"/>
          <w:lang w:val="zh-CN"/>
        </w:rPr>
        <w:t xml:space="preserve">投标报价</w:t>
      </w:r>
      <w:bookmarkEnd w:id="31"/>
      <w:r/>
      <w:bookmarkEnd w:id="32"/>
      <w:r/>
      <w:bookmarkEnd w:id="33"/>
      <w:r/>
      <w:bookmarkEnd w:id="34"/>
      <w:r/>
      <w:bookmarkEnd w:id="35"/>
      <w:r/>
      <w:bookmarkEnd w:id="2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6" w:name="OLE_LINK204"/>
      <w:r>
        <w:rPr>
          <w:rFonts w:hint="eastAsia" w:ascii="宋体" w:hAnsi="宋体"/>
          <w:bCs/>
          <w:sz w:val="24"/>
          <w:szCs w:val="24"/>
          <w:lang w:val="zh-CN"/>
        </w:rPr>
        <w:t xml:space="preserve">。</w:t>
      </w:r>
      <w:bookmarkEnd w:id="36"/>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rPr>
        <w:t xml:space="preserve">服务</w:t>
      </w:r>
      <w:r>
        <w:rPr>
          <w:rFonts w:hint="eastAsia" w:ascii="宋体" w:hAnsi="宋体"/>
          <w:bCs/>
          <w:sz w:val="24"/>
          <w:szCs w:val="24"/>
          <w:lang w:val="zh-CN"/>
        </w:rPr>
        <w:t xml:space="preserve">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r>
        <w:rPr>
          <w:rFonts w:hint="eastAsia" w:ascii="宋体" w:hAnsi="宋体"/>
          <w:bCs/>
          <w:sz w:val="24"/>
          <w:szCs w:val="24"/>
        </w:rPr>
        <w:t xml:space="preserve">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每种服务只能有一个投标报价。采购人不接受具有附加条件的报价。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37" w:name="_Hlk131926068"/>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38"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38"/>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39" w:name="_Hlk131926146"/>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0"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bookmarkStart w:id="41" w:name="_Hlk151449127"/>
      <w:r/>
      <w:bookmarkStart w:id="42" w:name="OLE_LINK94"/>
      <w:r/>
      <w:bookmarkEnd w:id="37"/>
      <w:r/>
      <w:bookmarkEnd w:id="39"/>
      <w:r/>
      <w:bookmarkEnd w:id="40"/>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41"/>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3" w:name="OLE_LINK227"/>
      <w:r>
        <w:rPr>
          <w:rFonts w:hint="eastAsia" w:ascii="宋体" w:hAnsi="宋体"/>
          <w:bCs/>
          <w:sz w:val="24"/>
          <w:szCs w:val="28"/>
        </w:rPr>
        <w:t xml:space="preserve">如</w:t>
      </w:r>
      <w:bookmarkStart w:id="44" w:name="OLE_LINK45"/>
      <w:r>
        <w:rPr>
          <w:rFonts w:hint="eastAsia" w:ascii="宋体" w:hAnsi="宋体"/>
          <w:bCs/>
          <w:sz w:val="24"/>
          <w:szCs w:val="28"/>
        </w:rPr>
        <w:t xml:space="preserve">采购人、</w:t>
      </w:r>
      <w:bookmarkStart w:id="45" w:name="OLE_LINK226"/>
      <w:r/>
      <w:bookmarkEnd w:id="44"/>
      <w:r>
        <w:rPr>
          <w:rFonts w:hint="eastAsia" w:ascii="宋体" w:hAnsi="宋体"/>
          <w:bCs/>
          <w:sz w:val="24"/>
          <w:szCs w:val="28"/>
        </w:rPr>
        <w:t xml:space="preserve">集中采购机构</w:t>
      </w:r>
      <w:bookmarkEnd w:id="45"/>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2"/>
      <w:r/>
      <w:bookmarkEnd w:id="43"/>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46" w:name="OLE_LINK260"/>
      <w:r>
        <w:rPr>
          <w:rFonts w:hint="eastAsia" w:ascii="宋体" w:hAnsi="宋体"/>
          <w:b/>
          <w:sz w:val="28"/>
          <w:szCs w:val="28"/>
          <w:lang w:val="zh-CN"/>
        </w:rPr>
        <w:t xml:space="preserve">撤回</w:t>
      </w:r>
      <w:bookmarkEnd w:id="46"/>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47"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48" w:name="_Hlk128404679"/>
      <w:r>
        <w:rPr>
          <w:rFonts w:hint="eastAsia" w:ascii="宋体" w:hAnsi="宋体"/>
          <w:bCs/>
          <w:sz w:val="24"/>
          <w:szCs w:val="24"/>
        </w:rPr>
        <w:t xml:space="preserve">采购人、</w:t>
      </w:r>
      <w:bookmarkStart w:id="49" w:name="OLE_LINK74"/>
      <w:r>
        <w:rPr>
          <w:rFonts w:hint="eastAsia" w:ascii="宋体" w:hAnsi="宋体"/>
          <w:bCs/>
          <w:sz w:val="24"/>
          <w:szCs w:val="24"/>
        </w:rPr>
        <w:t xml:space="preserve">集中采购机构</w:t>
      </w:r>
      <w:bookmarkEnd w:id="49"/>
      <w:r>
        <w:rPr>
          <w:rFonts w:hint="eastAsia" w:ascii="宋体" w:hAnsi="宋体"/>
          <w:bCs/>
          <w:sz w:val="24"/>
          <w:szCs w:val="24"/>
        </w:rPr>
        <w:t xml:space="preserve">、评标委员会不接受</w:t>
      </w:r>
      <w:bookmarkEnd w:id="48"/>
      <w:r>
        <w:rPr>
          <w:rFonts w:hint="eastAsia" w:ascii="宋体" w:hAnsi="宋体"/>
          <w:bCs/>
          <w:sz w:val="24"/>
          <w:szCs w:val="24"/>
        </w:rPr>
        <w:t xml:space="preserve">投标人主动对其投标文件做任何</w:t>
      </w:r>
      <w:bookmarkStart w:id="50" w:name="OLE_LINK54"/>
      <w:r>
        <w:rPr>
          <w:rFonts w:hint="eastAsia" w:ascii="宋体" w:hAnsi="宋体"/>
          <w:bCs/>
          <w:sz w:val="24"/>
          <w:szCs w:val="24"/>
        </w:rPr>
        <w:t xml:space="preserve">补充、</w:t>
      </w:r>
      <w:bookmarkEnd w:id="50"/>
      <w:r>
        <w:rPr>
          <w:rFonts w:hint="eastAsia" w:ascii="宋体" w:hAnsi="宋体"/>
          <w:bCs/>
          <w:sz w:val="24"/>
          <w:szCs w:val="24"/>
        </w:rPr>
        <w:t xml:space="preserve">修改</w:t>
      </w:r>
      <w:bookmarkEnd w:id="47"/>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1" w:name="_Hlk160719794"/>
      <w:r>
        <w:rPr>
          <w:rFonts w:hint="eastAsia" w:ascii="宋体" w:hAnsi="宋体" w:cs="宋体"/>
          <w:bCs/>
          <w:sz w:val="24"/>
          <w:szCs w:val="24"/>
        </w:rPr>
        <w:t xml:space="preserve">投标文件未按招标文件</w:t>
      </w:r>
      <w:bookmarkStart w:id="52" w:name="_Hlk160720909"/>
      <w:r>
        <w:rPr>
          <w:rFonts w:hint="eastAsia" w:ascii="宋体" w:hAnsi="宋体" w:cs="宋体"/>
          <w:bCs/>
          <w:sz w:val="24"/>
          <w:szCs w:val="24"/>
        </w:rPr>
        <w:t xml:space="preserve">规定签署或盖章的；</w:t>
      </w:r>
      <w:bookmarkEnd w:id="51"/>
      <w:r/>
      <w:bookmarkEnd w:id="52"/>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3"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3"/>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54" w:name="OLE_LINK137"/>
      <w:r>
        <w:rPr>
          <w:rFonts w:hint="eastAsia" w:ascii="宋体" w:hAnsi="宋体" w:cs="宋体"/>
          <w:bCs/>
          <w:sz w:val="24"/>
          <w:szCs w:val="24"/>
          <w:lang w:val="zh-CN"/>
        </w:rPr>
        <w:t xml:space="preserve">（含虚假承诺）</w:t>
      </w:r>
      <w:bookmarkEnd w:id="54"/>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55" w:name="_Hlk162444294"/>
      <w:r>
        <w:rPr>
          <w:rFonts w:hint="eastAsia" w:ascii="宋体" w:hAnsi="宋体" w:cs="宋体"/>
          <w:bCs/>
          <w:sz w:val="24"/>
          <w:szCs w:val="24"/>
          <w:lang w:val="zh-CN"/>
        </w:rPr>
        <w:t xml:space="preserve">投标文件内容不全</w:t>
      </w:r>
      <w:bookmarkStart w:id="56"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55"/>
      <w:r/>
      <w:bookmarkEnd w:id="56"/>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57"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57"/>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58"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59" w:name="OLE_LINK199"/>
      <w:r>
        <w:rPr>
          <w:rFonts w:hint="eastAsia" w:ascii="宋体" w:hAnsi="宋体"/>
          <w:bCs/>
          <w:sz w:val="24"/>
          <w:szCs w:val="24"/>
          <w:lang w:val="zh-CN"/>
        </w:rPr>
        <w:t xml:space="preserve">订联合体协议书</w:t>
      </w:r>
      <w:bookmarkEnd w:id="59"/>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0" w:name="OLE_LINK127"/>
      <w:r/>
      <w:bookmarkStart w:id="61" w:name="OLE_LINK63"/>
      <w:r/>
      <w:bookmarkStart w:id="62" w:name="OLE_LINK166"/>
      <w:r/>
      <w:bookmarkEnd w:id="58"/>
      <w:r>
        <w:rPr>
          <w:rFonts w:hint="eastAsia" w:ascii="宋体" w:hAnsi="宋体"/>
          <w:bCs/>
          <w:sz w:val="24"/>
          <w:szCs w:val="24"/>
          <w:lang w:val="zh-CN"/>
        </w:rPr>
        <w:t xml:space="preserve">除联合体协议书外，投标文件其他地方需要投标人签名或盖章的，只需主体单位进行签名或盖章。</w:t>
      </w:r>
      <w:bookmarkEnd w:id="60"/>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1"/>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3" w:name="OLE_LINK128"/>
      <w:r>
        <w:rPr>
          <w:rFonts w:hint="eastAsia" w:ascii="宋体" w:hAnsi="宋体"/>
          <w:bCs/>
          <w:sz w:val="24"/>
          <w:szCs w:val="24"/>
          <w:lang w:val="zh-CN"/>
        </w:rPr>
        <w:t xml:space="preserve">联合体成员存在不良信用记录的，视同联合体存在不良信用记录。</w:t>
      </w:r>
      <w:bookmarkEnd w:id="62"/>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64"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65"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66"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66"/>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w:t>
      </w:r>
      <w:r>
        <w:rPr>
          <w:rFonts w:hint="eastAsia" w:ascii="宋体" w:hAnsi="宋体" w:cs="宋体"/>
          <w:bCs/>
          <w:sz w:val="24"/>
          <w:szCs w:val="21"/>
        </w:rPr>
        <w:t xml:space="preserve">际情况相应延迟解密时间。本项目在限定的解密时间内，只要有一家投标人解密成功，即视为电子交易平台运行无故障。</w:t>
      </w:r>
      <w:bookmarkEnd w:id="64"/>
      <w:r/>
      <w:bookmarkEnd w:id="65"/>
      <w:r/>
      <w:r/>
    </w:p>
    <w:p>
      <w:pPr>
        <w:jc w:val="left"/>
        <w:spacing w:line="360" w:lineRule="auto"/>
        <w:rPr>
          <w:rFonts w:ascii="宋体" w:hAnsi="宋体"/>
          <w:b/>
          <w:sz w:val="28"/>
          <w:szCs w:val="28"/>
          <w:lang w:val="zh-CN"/>
        </w:rPr>
      </w:pPr>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sz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8"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bookmarkStart w:id="67" w:name="OLE_LINK18"/>
      <w:r>
        <w:rPr>
          <w:rFonts w:hint="eastAsia" w:ascii="宋体" w:hAnsi="宋体"/>
          <w:b/>
          <w:sz w:val="28"/>
          <w:szCs w:val="28"/>
          <w:lang w:val="zh-CN"/>
        </w:rPr>
        <w:t xml:space="preserve">22、评标</w:t>
      </w:r>
      <w:bookmarkEnd w:id="67"/>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68"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68"/>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bookmarkStart w:id="69"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69"/>
      <w:r>
        <w:rPr>
          <w:rFonts w:hint="eastAsia" w:ascii="宋体" w:hAnsi="宋体"/>
          <w:bCs/>
          <w:sz w:val="24"/>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22.3 澄清有关问题。</w:t>
      </w:r>
      <w:bookmarkStart w:id="70" w:name="OLE_LINK129"/>
      <w:r/>
      <w:bookmarkStart w:id="71" w:name="_Hlk131934774"/>
      <w:r/>
      <w:r/>
    </w:p>
    <w:p>
      <w:pPr>
        <w:ind w:firstLine="480"/>
        <w:jc w:val="left"/>
        <w:spacing w:line="360" w:lineRule="auto"/>
        <w:rPr>
          <w:rFonts w:ascii="宋体" w:hAnsi="宋体"/>
          <w:bCs/>
          <w:sz w:val="24"/>
        </w:rPr>
      </w:pPr>
      <w:r>
        <w:rPr>
          <w:rFonts w:hint="eastAsia" w:ascii="宋体" w:hAnsi="宋体"/>
          <w:bCs/>
          <w:sz w:val="24"/>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0"/>
      <w:r/>
      <w:r/>
    </w:p>
    <w:p>
      <w:pPr>
        <w:ind w:firstLine="480"/>
        <w:jc w:val="left"/>
        <w:spacing w:line="360" w:lineRule="auto"/>
        <w:rPr>
          <w:rFonts w:ascii="宋体" w:hAnsi="宋体"/>
          <w:bCs/>
          <w:sz w:val="24"/>
        </w:rPr>
      </w:pPr>
      <w:r>
        <w:rPr>
          <w:rFonts w:hint="eastAsia" w:ascii="宋体" w:hAnsi="宋体"/>
          <w:bCs/>
          <w:sz w:val="24"/>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22.3.3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color w:val="000000"/>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1"/>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2"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 xml:space="preserve">服务</w:t>
      </w:r>
      <w:r>
        <w:rPr>
          <w:rFonts w:hint="eastAsia" w:ascii="宋体" w:hAnsi="宋体"/>
          <w:bCs/>
          <w:sz w:val="24"/>
          <w:szCs w:val="24"/>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3"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4" w:name="OLE_LINK2"/>
      <w:r>
        <w:rPr>
          <w:rFonts w:hint="eastAsia" w:ascii="宋体" w:hAnsi="宋体"/>
          <w:bCs/>
          <w:sz w:val="24"/>
          <w:szCs w:val="24"/>
          <w:lang w:val="zh-CN"/>
        </w:rPr>
        <w:t xml:space="preserve">。</w:t>
      </w:r>
      <w:bookmarkEnd w:id="73"/>
      <w:r/>
      <w:bookmarkEnd w:id="74"/>
      <w:r>
        <w:rPr>
          <w:rFonts w:ascii="宋体" w:hAnsi="宋体"/>
          <w:bCs/>
          <w:sz w:val="24"/>
          <w:szCs w:val="24"/>
          <w:lang w:val="zh-CN"/>
        </w:rPr>
        <w:t xml:space="preserve">拒绝</w:t>
      </w:r>
      <w:r>
        <w:rPr>
          <w:rFonts w:ascii="宋体" w:hAnsi="宋体"/>
          <w:bCs/>
          <w:sz w:val="24"/>
          <w:szCs w:val="24"/>
          <w:lang w:val="zh-CN"/>
        </w:rPr>
        <w:t xml:space="preserve">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Cs/>
          <w:sz w:val="24"/>
          <w:szCs w:val="24"/>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5" w:name="OLE_LINK100"/>
      <w:r/>
      <w:bookmarkStart w:id="76" w:name="_Toc23122"/>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77" w:name="_Hlk164153176"/>
      <w:r>
        <w:rPr>
          <w:rFonts w:hint="eastAsia" w:ascii="宋体" w:hAnsi="宋体"/>
          <w:bCs/>
          <w:sz w:val="24"/>
          <w:szCs w:val="24"/>
          <w:lang w:val="zh-CN"/>
        </w:rPr>
        <w:t xml:space="preserve">31.2集中采购机构不负责向任何投标人解释评审情况。</w:t>
      </w:r>
      <w:bookmarkEnd w:id="77"/>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78" w:name="OLE_LINK139"/>
      <w:r>
        <w:rPr>
          <w:rFonts w:ascii="宋体" w:hAnsi="宋体"/>
          <w:bCs/>
          <w:sz w:val="24"/>
          <w:szCs w:val="24"/>
        </w:rPr>
        <w:t xml:space="preserve"> </w:t>
      </w:r>
      <w:bookmarkStart w:id="79" w:name="_Hlk131935115"/>
      <w:r/>
      <w:bookmarkStart w:id="80"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79"/>
      <w:r>
        <w:rPr>
          <w:rFonts w:hint="eastAsia" w:ascii="宋体" w:hAnsi="宋体"/>
          <w:bCs/>
          <w:sz w:val="24"/>
          <w:szCs w:val="24"/>
          <w:lang w:val="zh-CN"/>
        </w:rPr>
        <w:t xml:space="preserve">。</w:t>
      </w:r>
      <w:bookmarkEnd w:id="78"/>
      <w:r>
        <w:rPr>
          <w:rFonts w:hint="eastAsia" w:ascii="宋体" w:hAnsi="宋体"/>
          <w:bCs/>
          <w:sz w:val="24"/>
          <w:szCs w:val="24"/>
          <w:lang w:val="zh-CN"/>
        </w:rPr>
        <w:t xml:space="preserve">同一项目下的不同采购包，投标人只能对其参与的采购包提出质疑。</w:t>
      </w:r>
      <w:bookmarkEnd w:id="80"/>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1"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1"/>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2" w:name="OLE_LINK141"/>
      <w:r>
        <w:rPr>
          <w:rFonts w:hint="eastAsia" w:ascii="宋体" w:hAnsi="宋体"/>
          <w:bCs/>
          <w:sz w:val="24"/>
          <w:szCs w:val="24"/>
          <w:lang w:val="zh-CN"/>
        </w:rPr>
        <w:t xml:space="preserve">质疑时效期间的起算：对招标文件提出质疑的，应自招标文件公告期限届满之日起计算，</w:t>
      </w:r>
      <w:bookmarkStart w:id="83"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3"/>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4"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hint="eastAsia" w:ascii="宋体" w:hAnsi="宋体"/>
          <w:bCs/>
          <w:sz w:val="24"/>
          <w:szCs w:val="24"/>
          <w:lang w:val="zh-CN"/>
        </w:rPr>
        <w:t xml:space="preserve">。</w:t>
      </w:r>
      <w:bookmarkStart w:id="85"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5"/>
      <w:r/>
      <w:bookmarkEnd w:id="85"/>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925"/>
        <w:jc w:val="center"/>
        <w:spacing w:before="0" w:after="0" w:line="579" w:lineRule="auto"/>
        <w:rPr>
          <w:rFonts w:ascii="黑体" w:hAnsi="黑体" w:eastAsia="黑体"/>
          <w:sz w:val="28"/>
        </w:rPr>
      </w:pPr>
      <w:r>
        <w:rPr>
          <w:rFonts w:ascii="黑体" w:hAnsi="黑体" w:eastAsia="黑体"/>
          <w:sz w:val="28"/>
        </w:rPr>
        <w:br w:type="page" w:clear="all"/>
      </w:r>
      <w:bookmarkStart w:id="86" w:name="_Toc157174690"/>
      <w:r>
        <w:rPr>
          <w:rFonts w:hint="eastAsia" w:ascii="黑体" w:hAnsi="黑体" w:eastAsia="黑体"/>
          <w:b w:val="0"/>
          <w:bCs w:val="0"/>
          <w:sz w:val="36"/>
          <w:szCs w:val="36"/>
        </w:rPr>
        <w:t xml:space="preserve">第三章 </w:t>
      </w:r>
      <w:bookmarkStart w:id="87" w:name="_Hlk160614525"/>
      <w:r>
        <w:rPr>
          <w:rFonts w:hint="eastAsia" w:ascii="黑体" w:hAnsi="黑体" w:eastAsia="黑体"/>
          <w:b w:val="0"/>
          <w:bCs w:val="0"/>
          <w:sz w:val="36"/>
          <w:szCs w:val="36"/>
        </w:rPr>
        <w:t xml:space="preserve">项目技术要求和有关说明</w:t>
      </w:r>
      <w:bookmarkEnd w:id="76"/>
      <w:r/>
      <w:bookmarkEnd w:id="86"/>
      <w:r/>
      <w:bookmarkEnd w:id="87"/>
      <w:r/>
      <w:r/>
    </w:p>
    <w:p>
      <w:pPr>
        <w:ind w:firstLine="482"/>
        <w:jc w:val="left"/>
        <w:spacing w:line="360" w:lineRule="auto"/>
        <w:rPr>
          <w:rFonts w:ascii="宋体" w:hAnsi="宋体"/>
          <w:b/>
          <w:bCs/>
          <w:sz w:val="24"/>
          <w:szCs w:val="24"/>
        </w:rPr>
      </w:pPr>
      <w:r/>
      <w:bookmarkStart w:id="88" w:name="OLE_LINK104"/>
      <w:r>
        <w:rPr>
          <w:rFonts w:hint="eastAsia" w:ascii="宋体" w:hAnsi="宋体"/>
          <w:b/>
          <w:bCs/>
          <w:sz w:val="24"/>
          <w:szCs w:val="24"/>
        </w:rPr>
        <w:t xml:space="preserve">一、服务要求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为进一步提升学校后勤服务保障能力和服务水平，学校对三校区的部分物业服务进行外包，</w:t>
      </w:r>
      <w:r>
        <w:rPr>
          <w:rFonts w:hint="eastAsia" w:ascii="宋体" w:hAnsi="宋体" w:cs="宋体"/>
          <w:sz w:val="24"/>
          <w:szCs w:val="24"/>
        </w:rPr>
        <w:t xml:space="preserve">期限自签订合同后一年。</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（一）项目概述</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1、项目范围及内容</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校本部校区：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占地359.76亩，建筑面积148285.33平方米，服务面积98580.33平方米，涉及日常保洁、公寓管理、勤杂；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继教学院校区：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占地10.2亩，建筑面积6170平方米，服务面积6150平方米，涉及日常保洁、勤杂；</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学前教育学院校区：</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占地24.98亩，建筑面积16172.6平方米，服务面积3638平方米，涉及日常保洁、公寓管理、勤杂。</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2、项目预算</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本项目总预算为143.14万元/年，预算金额包括但不限于管理费、人员工资、各项保险、税金、培训）等费用。</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（二）项目要求</w:t>
      </w:r>
      <w:r/>
    </w:p>
    <w:p>
      <w:pPr>
        <w:ind w:firstLine="482"/>
        <w:jc w:val="left"/>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1、岗位设置及人员要求</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1）所有人员必须身体健康、五官端正、思维敏捷、听觉良好，本人及家属中无精神病史；政治历史清楚，品行良好，思想作风正派、无妨碍社会治安的不良经历。</w:t>
      </w:r>
      <w:r/>
    </w:p>
    <w:p>
      <w:pPr>
        <w:ind w:firstLine="480"/>
        <w:spacing w:line="360" w:lineRule="auto"/>
        <w:rPr>
          <w:rFonts w:ascii="宋体" w:hAnsi="宋体" w:cs="宋体"/>
          <w:sz w:val="24"/>
          <w:szCs w:val="24"/>
        </w:rPr>
      </w:pPr>
      <w:r>
        <w:rPr>
          <w:rFonts w:hint="eastAsia" w:ascii="宋体" w:hAnsi="宋体" w:cs="宋体"/>
          <w:sz w:val="24"/>
          <w:szCs w:val="24"/>
        </w:rPr>
        <w:t xml:space="preserve">（2）投标人拟针对本项目配置人员应坚持专业化。相关专业人员应取得相应专业证书或职业技能资格证书。所有人员必须经过规范化、系统化专业知识培训，统一着装、着装整齐清洁，掌握物业管理基本法律法规，能较快的熟悉学校的基本情况，能正确使用相关设施设备。服务期内应保持良好的精神状态，表情自然亲切，举止大方有礼，用语文明规范，服务及时、耐心周到，为师生提供温馨的学习生活工作环境。</w:t>
      </w:r>
      <w:r/>
    </w:p>
    <w:p>
      <w:pPr>
        <w:ind w:firstLine="480"/>
        <w:spacing w:line="360" w:lineRule="auto"/>
        <w:rPr>
          <w:rFonts w:ascii="宋体" w:hAnsi="宋体" w:cs="宋体"/>
          <w:sz w:val="24"/>
          <w:szCs w:val="24"/>
        </w:rPr>
      </w:pPr>
      <w:r>
        <w:rPr>
          <w:rFonts w:hint="eastAsia" w:ascii="宋体" w:hAnsi="宋体" w:cs="宋体"/>
          <w:sz w:val="24"/>
          <w:szCs w:val="24"/>
        </w:rPr>
        <w:t xml:space="preserve">（3）人员工资:符合相关法律法规要求。</w:t>
      </w:r>
      <w:r/>
    </w:p>
    <w:p>
      <w:pPr>
        <w:ind w:firstLine="480"/>
        <w:spacing w:line="360" w:lineRule="auto"/>
        <w:rPr>
          <w:rFonts w:ascii="宋体" w:hAnsi="宋体" w:cs="宋体"/>
          <w:sz w:val="24"/>
          <w:szCs w:val="24"/>
        </w:rPr>
      </w:pPr>
      <w:r>
        <w:rPr>
          <w:rFonts w:hint="eastAsia" w:ascii="宋体" w:hAnsi="宋体" w:cs="宋体"/>
          <w:sz w:val="24"/>
          <w:szCs w:val="24"/>
        </w:rPr>
        <w:t xml:space="preserve">（4）具体配置人数及要求</w:t>
      </w:r>
      <w:r/>
    </w:p>
    <w:p>
      <w:pPr>
        <w:ind w:firstLine="960"/>
        <w:spacing w:line="360" w:lineRule="auto"/>
        <w:rPr>
          <w:rFonts w:ascii="宋体" w:hAnsi="宋体" w:cs="宋体"/>
          <w:sz w:val="24"/>
          <w:szCs w:val="24"/>
        </w:rPr>
      </w:pPr>
      <w:r>
        <w:rPr>
          <w:rFonts w:hint="eastAsia" w:ascii="宋体" w:hAnsi="宋体" w:cs="宋体"/>
          <w:sz w:val="24"/>
          <w:szCs w:val="24"/>
        </w:rPr>
        <w:t xml:space="preserve">投标人根据岗位、建议人员配备、基本要求等，依据国家劳动法律法规，自行测算</w:t>
      </w:r>
      <w:r>
        <w:rPr>
          <w:rFonts w:hint="eastAsia" w:ascii="宋体" w:hAnsi="宋体" w:cs="宋体"/>
          <w:sz w:val="24"/>
          <w:szCs w:val="24"/>
        </w:rPr>
        <w:t xml:space="preserve">具体人数。</w:t>
      </w:r>
      <w:r/>
    </w:p>
    <w:p>
      <w:pPr>
        <w:ind w:firstLine="960"/>
        <w:spacing w:line="360" w:lineRule="auto"/>
        <w:rPr>
          <w:rFonts w:ascii="宋体" w:hAnsi="宋体" w:cs="宋体"/>
          <w:sz w:val="24"/>
          <w:szCs w:val="24"/>
        </w:rPr>
      </w:pPr>
      <w:r>
        <w:rPr>
          <w:rFonts w:ascii="宋体" w:hAnsi="宋体" w:cs="宋体"/>
          <w:sz w:val="24"/>
          <w:szCs w:val="24"/>
        </w:rPr>
      </w:r>
      <w:r/>
    </w:p>
    <w:p>
      <w:pPr>
        <w:ind w:firstLine="960"/>
        <w:spacing w:line="360" w:lineRule="auto"/>
        <w:rPr>
          <w:rFonts w:ascii="宋体" w:hAnsi="宋体" w:cs="宋体"/>
          <w:sz w:val="24"/>
          <w:szCs w:val="24"/>
        </w:rPr>
      </w:pPr>
      <w:r>
        <w:rPr>
          <w:rFonts w:ascii="宋体" w:hAnsi="宋体" w:cs="宋体"/>
          <w:sz w:val="24"/>
          <w:szCs w:val="24"/>
        </w:rPr>
      </w:r>
      <w:r/>
    </w:p>
    <w:tbl>
      <w:tblPr>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1725"/>
        <w:gridCol w:w="697"/>
        <w:gridCol w:w="5349"/>
      </w:tblGrid>
      <w:tr>
        <w:trPr>
          <w:jc w:val="center"/>
          <w:trHeight w:val="541"/>
        </w:trPr>
        <w:tc>
          <w:tcPr>
            <w:tcW w:w="1418"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岗位</w:t>
            </w:r>
            <w:r/>
          </w:p>
        </w:tc>
        <w:tc>
          <w:tcPr>
            <w:tcW w:w="172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建议人员配备</w:t>
            </w:r>
            <w:r/>
          </w:p>
        </w:tc>
        <w:tc>
          <w:tcPr>
            <w:tcW w:w="697"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性别</w:t>
            </w:r>
            <w:r/>
          </w:p>
        </w:tc>
        <w:tc>
          <w:tcPr>
            <w:tcW w:w="5349"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基本要求</w:t>
            </w:r>
            <w:r/>
          </w:p>
        </w:tc>
      </w:tr>
      <w:tr>
        <w:trPr>
          <w:jc w:val="center"/>
          <w:trHeight w:val="2738"/>
        </w:trPr>
        <w:tc>
          <w:tcPr>
            <w:tcW w:w="141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项目主管</w:t>
            </w:r>
            <w:r/>
          </w:p>
        </w:tc>
        <w:tc>
          <w:tcPr>
            <w:tcW w:w="172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校本部：1人</w:t>
            </w:r>
            <w:r/>
          </w:p>
          <w:p>
            <w:pPr>
              <w:spacing w:line="360" w:lineRule="auto"/>
              <w:rPr>
                <w:rFonts w:ascii="宋体" w:hAnsi="宋体" w:cs="宋体"/>
                <w:sz w:val="24"/>
                <w:szCs w:val="24"/>
              </w:rPr>
            </w:pPr>
            <w:r>
              <w:rPr>
                <w:rFonts w:hint="eastAsia" w:ascii="宋体" w:hAnsi="宋体" w:cs="宋体"/>
                <w:sz w:val="24"/>
                <w:szCs w:val="24"/>
              </w:rPr>
              <w:t xml:space="preserve">继续教育学院和学前教育学院校区：1人</w:t>
            </w:r>
            <w:r/>
          </w:p>
        </w:tc>
        <w:tc>
          <w:tcPr>
            <w:tcW w:w="6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男女</w:t>
            </w:r>
            <w:r/>
          </w:p>
          <w:p>
            <w:pPr>
              <w:jc w:val="center"/>
              <w:spacing w:line="360" w:lineRule="auto"/>
              <w:rPr>
                <w:rFonts w:ascii="宋体" w:hAnsi="宋体" w:cs="宋体"/>
                <w:sz w:val="24"/>
                <w:szCs w:val="24"/>
              </w:rPr>
            </w:pPr>
            <w:r>
              <w:rPr>
                <w:rFonts w:hint="eastAsia" w:ascii="宋体" w:hAnsi="宋体" w:cs="宋体"/>
                <w:sz w:val="24"/>
                <w:szCs w:val="24"/>
              </w:rPr>
              <w:t xml:space="preserve">不限</w:t>
            </w:r>
            <w:r/>
          </w:p>
        </w:tc>
        <w:tc>
          <w:tcPr>
            <w:tcW w:w="5349" w:type="dxa"/>
            <w:vAlign w:val="center"/>
            <w:textDirection w:val="lrTb"/>
            <w:noWrap w:val="false"/>
          </w:tcPr>
          <w:p>
            <w:pPr>
              <w:contextualSpacing/>
              <w:spacing w:line="360" w:lineRule="auto"/>
              <w:rPr>
                <w:rFonts w:ascii="宋体" w:hAnsi="宋体" w:cs="宋体"/>
                <w:sz w:val="24"/>
                <w:szCs w:val="24"/>
              </w:rPr>
            </w:pPr>
            <w:r>
              <w:rPr>
                <w:rFonts w:hint="eastAsia" w:ascii="宋体" w:hAnsi="宋体" w:cs="宋体"/>
                <w:sz w:val="24"/>
                <w:szCs w:val="24"/>
              </w:rPr>
              <w:t xml:space="preserve">年龄在45周岁以下（1980年12月31日以后出生），有物业管理相关经验。能常年驻校负责管理与协调工作，并能24小时全天候协助采购人处理突发事件；全面负责区域内招标要求服务工作的管理，做好与采购人的沟通和协调工作。</w:t>
            </w:r>
            <w:r/>
          </w:p>
        </w:tc>
      </w:tr>
      <w:tr>
        <w:trPr>
          <w:jc w:val="center"/>
          <w:trHeight w:val="1550"/>
        </w:trPr>
        <w:tc>
          <w:tcPr>
            <w:tcW w:w="141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保洁人员</w:t>
            </w:r>
            <w:r/>
          </w:p>
        </w:tc>
        <w:tc>
          <w:tcPr>
            <w:tcW w:w="1725" w:type="dxa"/>
            <w:vAlign w:val="center"/>
            <w:textDirection w:val="lrTb"/>
            <w:noWrap w:val="false"/>
          </w:tcPr>
          <w:p>
            <w:pPr>
              <w:spacing w:line="360" w:lineRule="auto"/>
            </w:pPr>
            <w:r>
              <w:rPr>
                <w:rFonts w:hint="eastAsia" w:ascii="宋体" w:hAnsi="宋体" w:cs="宋体"/>
                <w:sz w:val="24"/>
                <w:szCs w:val="24"/>
              </w:rPr>
              <w:t xml:space="preserve">校本部：9人</w:t>
            </w:r>
            <w:r/>
          </w:p>
          <w:p>
            <w:pPr>
              <w:spacing w:line="360" w:lineRule="auto"/>
              <w:rPr>
                <w:rFonts w:ascii="宋体" w:hAnsi="宋体" w:cs="宋体"/>
                <w:sz w:val="24"/>
                <w:szCs w:val="24"/>
              </w:rPr>
            </w:pPr>
            <w:r>
              <w:rPr>
                <w:rFonts w:hint="eastAsia" w:ascii="宋体" w:hAnsi="宋体" w:cs="宋体"/>
                <w:sz w:val="24"/>
                <w:szCs w:val="24"/>
              </w:rPr>
              <w:t xml:space="preserve">继续教育学院校区：2人</w:t>
            </w:r>
            <w:r/>
          </w:p>
        </w:tc>
        <w:tc>
          <w:tcPr>
            <w:tcW w:w="6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男女不限</w:t>
            </w:r>
            <w:r/>
          </w:p>
        </w:tc>
        <w:tc>
          <w:tcPr>
            <w:tcW w:w="534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身体健康且具备从事该岗位工作的各项素质，男性年龄在60周岁以下（1965年12月31日以后出生）；女性年龄在55周岁以下（1970年12月31日以后出生）。有保洁经验责任心强，爱岗敬业，能吃苦耐劳。</w:t>
            </w:r>
            <w:r/>
          </w:p>
        </w:tc>
      </w:tr>
      <w:tr>
        <w:trPr>
          <w:jc w:val="center"/>
          <w:trHeight w:val="627"/>
        </w:trPr>
        <w:tc>
          <w:tcPr>
            <w:tcW w:w="141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勤杂人员</w:t>
            </w:r>
            <w:r/>
          </w:p>
        </w:tc>
        <w:tc>
          <w:tcPr>
            <w:tcW w:w="172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校本部：8人</w:t>
            </w:r>
            <w:r/>
          </w:p>
          <w:p>
            <w:pPr>
              <w:spacing w:line="360" w:lineRule="auto"/>
              <w:rPr>
                <w:rFonts w:ascii="宋体" w:hAnsi="宋体" w:cs="宋体"/>
                <w:sz w:val="24"/>
                <w:szCs w:val="24"/>
              </w:rPr>
            </w:pPr>
            <w:r>
              <w:rPr>
                <w:rFonts w:hint="eastAsia" w:ascii="宋体" w:hAnsi="宋体" w:cs="宋体"/>
                <w:sz w:val="24"/>
                <w:szCs w:val="24"/>
              </w:rPr>
              <w:t xml:space="preserve">继续教育学院校区：1人</w:t>
            </w:r>
            <w:r/>
          </w:p>
        </w:tc>
        <w:tc>
          <w:tcPr>
            <w:tcW w:w="6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男女不限</w:t>
            </w:r>
            <w:r/>
          </w:p>
        </w:tc>
        <w:tc>
          <w:tcPr>
            <w:tcW w:w="534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身体健康且具备从事该岗位工作的各项素质，男性年龄在60周岁以下（1965年12月31日以后出生）；女性年龄在55周岁以下（1970年12月31日以后出生）。有经验责任心强，爱岗敬业，能吃苦耐劳。</w:t>
            </w:r>
            <w:r/>
          </w:p>
        </w:tc>
      </w:tr>
      <w:tr>
        <w:trPr>
          <w:jc w:val="center"/>
          <w:trHeight w:val="1072"/>
        </w:trPr>
        <w:tc>
          <w:tcPr>
            <w:tcW w:w="141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宿舍管理人员</w:t>
            </w:r>
            <w:r/>
          </w:p>
        </w:tc>
        <w:tc>
          <w:tcPr>
            <w:tcW w:w="1725"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校本部：4人</w:t>
            </w:r>
            <w:r/>
          </w:p>
          <w:p>
            <w:pPr>
              <w:spacing w:line="360" w:lineRule="auto"/>
              <w:rPr>
                <w:rFonts w:ascii="宋体" w:hAnsi="宋体" w:cs="宋体"/>
                <w:sz w:val="24"/>
                <w:szCs w:val="24"/>
              </w:rPr>
            </w:pPr>
            <w:r>
              <w:rPr>
                <w:rFonts w:hint="eastAsia" w:ascii="宋体" w:hAnsi="宋体" w:cs="宋体"/>
                <w:sz w:val="24"/>
                <w:szCs w:val="24"/>
              </w:rPr>
              <w:t xml:space="preserve">学前教育学院校区：2人</w:t>
            </w:r>
            <w:r/>
          </w:p>
        </w:tc>
        <w:tc>
          <w:tcPr>
            <w:tcW w:w="6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男女不限</w:t>
            </w:r>
            <w:r/>
          </w:p>
        </w:tc>
        <w:tc>
          <w:tcPr>
            <w:tcW w:w="534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身体健康且具备从事该岗位工作的各项素质，男性年龄在65周岁以下（1960年12月31日以后出生）；女性年龄在60周岁以下（1965年12月31日以后出生）。有经验责任心强，爱岗敬业，能吃苦耐劳。</w:t>
            </w:r>
            <w:r/>
          </w:p>
        </w:tc>
      </w:tr>
      <w:tr>
        <w:trPr>
          <w:jc w:val="center"/>
          <w:trHeight w:val="550"/>
        </w:trPr>
        <w:tc>
          <w:tcPr>
            <w:tcW w:w="141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合计</w:t>
            </w:r>
            <w:r/>
          </w:p>
        </w:tc>
        <w:tc>
          <w:tcPr>
            <w:tcW w:w="172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28</w:t>
            </w:r>
            <w:r/>
          </w:p>
        </w:tc>
        <w:tc>
          <w:tcPr>
            <w:tcW w:w="69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534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该项目人员配备建议不少于28人</w:t>
            </w:r>
            <w:r/>
          </w:p>
        </w:tc>
      </w:tr>
    </w:tbl>
    <w:p>
      <w:pPr>
        <w:jc w:val="left"/>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注：</w:t>
      </w:r>
      <w:r/>
    </w:p>
    <w:p>
      <w:pPr>
        <w:jc w:val="left"/>
        <w:spacing w:line="360" w:lineRule="auto"/>
        <w:rPr>
          <w:rFonts w:ascii="宋体" w:hAnsi="宋体" w:cs="宋体"/>
          <w:b/>
          <w:bCs/>
          <w:sz w:val="24"/>
          <w:szCs w:val="24"/>
        </w:rPr>
      </w:pPr>
      <w:r>
        <w:rPr>
          <w:rFonts w:hint="eastAsia" w:ascii="宋体" w:hAnsi="宋体" w:cs="宋体"/>
          <w:b/>
          <w:bCs/>
          <w:sz w:val="24"/>
          <w:szCs w:val="24"/>
        </w:rPr>
        <w:t xml:space="preserve">（a）本项目中所涉年龄，以身份证出生日期至项目投标当日为止，供应商应在合同签订前提供以上人员的身份证明材料。</w:t>
      </w:r>
      <w:r/>
    </w:p>
    <w:p>
      <w:pPr>
        <w:spacing w:line="360" w:lineRule="auto"/>
        <w:rPr>
          <w:rFonts w:ascii="宋体" w:hAnsi="宋体" w:cs="宋体"/>
          <w:b/>
          <w:bCs/>
          <w:color w:val="000000"/>
          <w:sz w:val="24"/>
          <w:szCs w:val="24"/>
        </w:rPr>
      </w:pPr>
      <w:r>
        <w:rPr>
          <w:rFonts w:hint="eastAsia" w:ascii="宋体" w:hAnsi="宋体" w:cs="宋体"/>
          <w:b/>
          <w:bCs/>
          <w:sz w:val="24"/>
          <w:szCs w:val="24"/>
        </w:rPr>
        <w:t xml:space="preserve">(b)供应商应在合同签订前提供为以上人员（除宿舍管理人员外）在投标截止时间前六个月中任意一个月缴纳的社保证明材料。</w:t>
      </w:r>
      <w:r/>
    </w:p>
    <w:p>
      <w:pPr>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2、岗位职责要求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751"/>
        <w:gridCol w:w="8592"/>
      </w:tblGrid>
      <w:tr>
        <w:trPr>
          <w:jc w:val="center"/>
        </w:trPr>
        <w:tc>
          <w:tcPr>
            <w:tcW w:w="260" w:type="pct"/>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381" w:type="pct"/>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岗位</w:t>
            </w:r>
            <w:r/>
          </w:p>
        </w:tc>
        <w:tc>
          <w:tcPr>
            <w:tcW w:w="4358" w:type="pct"/>
            <w:vAlign w:val="center"/>
            <w:textDirection w:val="lrTb"/>
            <w:noWrap w:val="false"/>
          </w:tcPr>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职责</w:t>
            </w:r>
            <w:r/>
          </w:p>
        </w:tc>
      </w:tr>
      <w:tr>
        <w:trPr>
          <w:jc w:val="center"/>
        </w:trPr>
        <w:tc>
          <w:tcPr>
            <w:tcW w:w="260" w:type="pct"/>
            <w:vAlign w:val="center"/>
            <w:vMerge w:val="restart"/>
            <w:textDirection w:val="lrTb"/>
            <w:noWrap w:val="false"/>
          </w:tcPr>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p>
        </w:tc>
        <w:tc>
          <w:tcPr>
            <w:tcW w:w="381" w:type="pct"/>
            <w:vAlign w:val="center"/>
            <w:vMerge w:val="restart"/>
            <w:textDirection w:val="lrTb"/>
            <w:noWrap w:val="false"/>
          </w:tcPr>
          <w:p>
            <w:pPr>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项目主管</w:t>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（1）根据物业管理服务合同以及相关物业管理的法律法规，制定具体管理方案，</w:t>
            </w:r>
            <w:r>
              <w:rPr>
                <w:rFonts w:hint="eastAsia" w:ascii="宋体" w:hAnsi="宋体" w:cs="宋体"/>
                <w:sz w:val="24"/>
                <w:szCs w:val="24"/>
              </w:rPr>
              <w:t xml:space="preserve">负责三校区工作安排协调及对接，</w:t>
            </w:r>
            <w:r>
              <w:rPr>
                <w:rFonts w:hint="eastAsia" w:ascii="宋体" w:hAnsi="宋体" w:cs="宋体"/>
                <w:color w:val="000000"/>
                <w:sz w:val="24"/>
                <w:szCs w:val="24"/>
              </w:rPr>
              <w:t xml:space="preserve">对各项工作全面负责。</w:t>
            </w:r>
            <w:r/>
          </w:p>
        </w:tc>
      </w:tr>
      <w:tr>
        <w:trPr>
          <w:jc w:val="center"/>
        </w:trPr>
        <w:tc>
          <w:tcPr>
            <w:tcW w:w="260" w:type="pct"/>
            <w:vAlign w:val="center"/>
            <w:vMerge w:val="continue"/>
            <w:textDirection w:val="lrTb"/>
            <w:noWrap w:val="false"/>
          </w:tcPr>
          <w:p>
            <w:pPr>
              <w:spacing w:line="360" w:lineRule="auto"/>
              <w:widowControl/>
            </w:pPr>
            <w:r/>
            <w:r/>
          </w:p>
        </w:tc>
        <w:tc>
          <w:tcPr>
            <w:tcW w:w="381" w:type="pct"/>
            <w:vAlign w:val="center"/>
            <w:vMerge w:val="continue"/>
            <w:textDirection w:val="lrTb"/>
            <w:noWrap w:val="false"/>
          </w:tcPr>
          <w:p>
            <w:pPr>
              <w:spacing w:line="360" w:lineRule="auto"/>
              <w:widowControl/>
            </w:p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（2）负责投诉处理，对师生提出的投诉及时予以承诺并组织处理，过程应有详细记录。</w:t>
            </w:r>
            <w:r/>
          </w:p>
        </w:tc>
      </w:tr>
      <w:tr>
        <w:trPr>
          <w:jc w:val="center"/>
        </w:trPr>
        <w:tc>
          <w:tcPr>
            <w:tcW w:w="26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（3）如遇重大活动或紧急事件，应制定相关方案，及时做好工作调整并协助监管。</w:t>
            </w:r>
            <w:r/>
          </w:p>
        </w:tc>
      </w:tr>
      <w:tr>
        <w:trPr>
          <w:jc w:val="center"/>
        </w:trPr>
        <w:tc>
          <w:tcPr>
            <w:tcW w:w="26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（4）配合使用采购人建设的网上报修系统、监管及服务系统。</w:t>
            </w:r>
            <w:r/>
          </w:p>
        </w:tc>
      </w:tr>
      <w:tr>
        <w:trPr>
          <w:jc w:val="center"/>
        </w:trPr>
        <w:tc>
          <w:tcPr>
            <w:tcW w:w="26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（5）做好材料用品库房管理。</w:t>
            </w:r>
            <w:r/>
          </w:p>
        </w:tc>
      </w:tr>
      <w:tr>
        <w:trPr>
          <w:jc w:val="center"/>
        </w:trPr>
        <w:tc>
          <w:tcPr>
            <w:tcW w:w="260"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widowControl/>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（6）完成学校交办的其它工作。</w:t>
            </w:r>
            <w:r/>
          </w:p>
        </w:tc>
      </w:tr>
      <w:tr>
        <w:trPr>
          <w:jc w:val="center"/>
        </w:trPr>
        <w:tc>
          <w:tcPr>
            <w:tcW w:w="260" w:type="pct"/>
            <w:vAlign w:val="center"/>
            <w:vMerge w:val="restart"/>
            <w:textDirection w:val="lrTb"/>
            <w:noWrap w:val="false"/>
          </w:tcPr>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p>
        </w:tc>
        <w:tc>
          <w:tcPr>
            <w:tcW w:w="381" w:type="pct"/>
            <w:vAlign w:val="center"/>
            <w:vMerge w:val="restart"/>
            <w:textDirection w:val="lrTb"/>
            <w:noWrap w:val="false"/>
          </w:tcPr>
          <w:p>
            <w:pPr>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保洁岗位</w:t>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建立健全保洁服务相关制度，承担校内门厅、走道、楼梯道、电梯轿厢、天花板、所有卫生间、会议室、墙面、露台、广场、道路、绿化带、水景景观等场所卫生保洁、突发情况零时性的消杀工作及零星搬运工作。</w:t>
            </w:r>
            <w:r/>
          </w:p>
        </w:tc>
      </w:tr>
      <w:tr>
        <w:trPr>
          <w:jc w:val="center"/>
        </w:trPr>
        <w:tc>
          <w:tcPr>
            <w:tcW w:w="260" w:type="pct"/>
            <w:vAlign w:val="center"/>
            <w:vMerge w:val="continue"/>
            <w:textDirection w:val="lrTb"/>
            <w:noWrap w:val="false"/>
          </w:tcPr>
          <w:p>
            <w:pPr>
              <w:spacing w:line="360" w:lineRule="auto"/>
            </w:pPr>
            <w:r/>
            <w:r/>
          </w:p>
        </w:tc>
        <w:tc>
          <w:tcPr>
            <w:tcW w:w="381" w:type="pct"/>
            <w:vAlign w:val="center"/>
            <w:vMerge w:val="continue"/>
            <w:textDirection w:val="lrTb"/>
            <w:noWrap w:val="false"/>
          </w:tcPr>
          <w:p>
            <w:pPr>
              <w:spacing w:line="360" w:lineRule="auto"/>
            </w:pPr>
            <w:r/>
            <w:r/>
          </w:p>
        </w:tc>
        <w:tc>
          <w:tcPr>
            <w:tcW w:w="4358" w:type="pct"/>
            <w:vAlign w:val="center"/>
            <w:textDirection w:val="lrTb"/>
            <w:noWrap w:val="false"/>
          </w:tcPr>
          <w:p>
            <w:pP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在合理时间开展保洁服务，每天打扫不少于2次，做到干净，整洁，无污迹、无乱悬挂、无乱张贴等现象，其它时段巡回保洁。环境保洁达到“六不”、“六净”标准，即不见明显积水、不见积土、不见杂物、不漏收堆、不乱倒垃圾、不见人畜粪，路面净、路沿净、人行道净、雨水口净、树坑墙根净、垃圾箱净。</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（3）每天不定时巡查各个楼层，劝止违反公共安全秩序的行为，纠正各种浪费能源现象；因管理不当、服务不及时等原因造成的各教学楼水电浪费现象。</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（4）及时清理水体表面漂浮物，检查是否存在污水排放现象，做好污染防治工作，保持水体清洁、无异味。</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5）根据学校实际情况，负责校园整体的垃圾管理，以高效、环保的方法对校园内各类垃圾进行分类、收集，垃圾外运满足属地城市生活垃圾清运标准，符合相关规定。每周至少擦抹垃圾桶一次，及时更换损坏的垃圾桶。</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（6）遇雨雪等恶劣天气应立即启动应急预案，采取有效措施迅速清扫路面，确保道路通行安全。</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（7）了解建筑物内外设备设施底数，熟悉本教学楼一切情况，保持教学楼内的正常秩序。每日认真检查管辖区域内公用设施设备完好情况，维修问题及时报修并跟踪处理结果。</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（8）主动配合学校各部门的日常工作，完成学校交办的其它工作，积极满足学校临时性的工作需求，保证学校重要活动的开展。</w:t>
            </w:r>
            <w:r/>
          </w:p>
        </w:tc>
      </w:tr>
      <w:tr>
        <w:trPr>
          <w:jc w:val="center"/>
        </w:trPr>
        <w:tc>
          <w:tcPr>
            <w:tcW w:w="260" w:type="pct"/>
            <w:vAlign w:val="center"/>
            <w:vMerge w:val="restart"/>
            <w:textDirection w:val="lrTb"/>
            <w:noWrap w:val="false"/>
          </w:tcPr>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p>
        </w:tc>
        <w:tc>
          <w:tcPr>
            <w:tcW w:w="381" w:type="pct"/>
            <w:vAlign w:val="center"/>
            <w:vMerge w:val="restart"/>
            <w:textDirection w:val="lrTb"/>
            <w:noWrap w:val="false"/>
          </w:tcPr>
          <w:p>
            <w:pPr>
              <w:spacing w:line="360" w:lineRule="auto"/>
              <w:rPr>
                <w:rFonts w:ascii="宋体" w:hAnsi="宋体" w:cs="宋体"/>
                <w:color w:val="000000"/>
                <w:sz w:val="24"/>
                <w:szCs w:val="24"/>
              </w:rPr>
            </w:pPr>
            <w:r>
              <w:rPr>
                <w:rFonts w:hint="eastAsia" w:ascii="宋体" w:hAnsi="宋体" w:cs="宋体"/>
                <w:b/>
                <w:bCs/>
                <w:color w:val="000000"/>
                <w:sz w:val="24"/>
                <w:szCs w:val="24"/>
              </w:rPr>
              <w:t xml:space="preserve">勤杂工岗位</w:t>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sz w:val="24"/>
                <w:szCs w:val="24"/>
              </w:rPr>
              <w:t xml:space="preserve">（1）负责学校内部的门窗、 地面、墙面等简单零星修缮工作，做好由第三方维修的协调配合的工作。</w:t>
            </w:r>
            <w:r/>
          </w:p>
        </w:tc>
      </w:tr>
      <w:tr>
        <w:trPr>
          <w:jc w:val="center"/>
        </w:trPr>
        <w:tc>
          <w:tcPr>
            <w:tcW w:w="260" w:type="pct"/>
            <w:vAlign w:val="center"/>
            <w:vMerge w:val="continue"/>
            <w:textDirection w:val="lrTb"/>
            <w:noWrap w:val="false"/>
          </w:tcPr>
          <w:p>
            <w:pPr>
              <w:spacing w:line="360" w:lineRule="auto"/>
            </w:pPr>
            <w:r/>
            <w:r/>
          </w:p>
        </w:tc>
        <w:tc>
          <w:tcPr>
            <w:tcW w:w="381" w:type="pct"/>
            <w:vAlign w:val="center"/>
            <w:vMerge w:val="continue"/>
            <w:textDirection w:val="lrTb"/>
            <w:noWrap w:val="false"/>
          </w:tcPr>
          <w:p>
            <w:pPr>
              <w:spacing w:line="360" w:lineRule="auto"/>
            </w:p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（2）负责垃圾亭区域的卫生保洁和分类垃圾桶的清洁消毒工作。</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（3）负责学校绿植的简单修整维护工作，做好由第三方维护的协调配合的工作。</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（4）协助资产管理员做好平时对教室、办公室、教学楼、实训楼、宿舍等的财产检查和管理维修工作。确保学校设施运行正常。</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（5）负责学校内部活动场地布置和维护工作，包括会议室、教室及校园走廊、广场等公共场所物品的摆放，横幅、灯笼悬挂和拆除，整理和搬运工作。</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6）做好学校巡查工作，重点排查校舍、围墙、橱窗、张贴物、供水、排（下）水、门窗玻璃、体育器材、课桌椅等情况，并做好巡查记载，对于存在问题特别是安全隐患，若遇有设备损坏、短缺，及时报备并维修。</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pStyle w:val="956"/>
              <w:spacing w:line="360" w:lineRule="auto"/>
              <w:rPr>
                <w:rFonts w:ascii="宋体" w:hAnsi="宋体" w:cs="宋体"/>
                <w:sz w:val="24"/>
                <w:szCs w:val="24"/>
              </w:rPr>
            </w:pPr>
            <w:r>
              <w:rPr>
                <w:rFonts w:hint="eastAsia" w:ascii="宋体" w:hAnsi="宋体" w:cs="宋体"/>
                <w:sz w:val="24"/>
                <w:szCs w:val="24"/>
              </w:rPr>
              <w:t xml:space="preserve">（7）每年雨季前对下水道、排水沟、楼顶屋面进行排查，发现有堵塞及时疏通，预防洪涝灾害发生。</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（8）做好学校灭鼠、灭蝇和消毒工作。</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（9）协助水电工做好水电维修的配合工作。</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（10）协助保安人员维护校园安全，保护学生和教职工的人身安全和财产安全。</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pStyle w:val="956"/>
              <w:spacing w:line="360" w:lineRule="auto"/>
              <w:rPr>
                <w:rFonts w:ascii="宋体" w:hAnsi="宋体" w:cs="宋体"/>
                <w:sz w:val="24"/>
                <w:szCs w:val="24"/>
              </w:rPr>
            </w:pPr>
            <w:r>
              <w:rPr>
                <w:rFonts w:hint="eastAsia" w:ascii="宋体" w:hAnsi="宋体" w:cs="宋体"/>
                <w:sz w:val="24"/>
                <w:szCs w:val="24"/>
              </w:rPr>
              <w:t xml:space="preserve">（11）每周离校前检查学校各区域的水龙头、电闸、门窗是否关好，发现问题及时处理。</w:t>
            </w:r>
            <w:r/>
          </w:p>
        </w:tc>
      </w:tr>
      <w:tr>
        <w:trPr>
          <w:jc w:val="center"/>
        </w:trPr>
        <w:tc>
          <w:tcPr>
            <w:tcW w:w="260"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381" w:type="pct"/>
            <w:vAlign w:val="center"/>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4358"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（12）</w:t>
            </w:r>
            <w:r>
              <w:rPr>
                <w:rFonts w:hint="eastAsia" w:ascii="宋体" w:hAnsi="宋体" w:cs="宋体"/>
                <w:color w:val="000000"/>
                <w:sz w:val="24"/>
                <w:szCs w:val="24"/>
              </w:rPr>
              <w:t xml:space="preserve">完成学校交办的其它工作。</w:t>
            </w:r>
            <w:r/>
          </w:p>
        </w:tc>
      </w:tr>
      <w:tr>
        <w:trPr>
          <w:jc w:val="center"/>
        </w:trPr>
        <w:tc>
          <w:tcPr>
            <w:tcW w:w="260" w:type="pct"/>
            <w:vAlign w:val="center"/>
            <w:vMerge w:val="restart"/>
            <w:textDirection w:val="lrTb"/>
            <w:noWrap w:val="false"/>
          </w:tcPr>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p>
        </w:tc>
        <w:tc>
          <w:tcPr>
            <w:tcW w:w="381" w:type="pct"/>
            <w:vAlign w:val="center"/>
            <w:vMerge w:val="restart"/>
            <w:textDirection w:val="lrTb"/>
            <w:noWrap w:val="false"/>
          </w:tcPr>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宿舍管理</w:t>
            </w:r>
            <w:r>
              <w:rPr>
                <w:rFonts w:hint="eastAsia" w:ascii="宋体" w:hAnsi="宋体" w:cs="宋体"/>
                <w:b/>
                <w:bCs/>
                <w:color w:val="000000"/>
                <w:sz w:val="24"/>
                <w:szCs w:val="24"/>
              </w:rPr>
              <w:t xml:space="preserve">岗位</w:t>
            </w:r>
            <w:r/>
          </w:p>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（1）热爱本职工作，遵守职业道德，遵守国家法律法规，严格执行学校《寄宿生管理制度》，热忱为学生服务。</w:t>
            </w:r>
            <w:r/>
          </w:p>
        </w:tc>
      </w:tr>
      <w:tr>
        <w:trPr>
          <w:jc w:val="center"/>
        </w:trPr>
        <w:tc>
          <w:tcPr>
            <w:tcW w:w="260" w:type="pct"/>
            <w:vAlign w:val="center"/>
            <w:vMerge w:val="continue"/>
            <w:textDirection w:val="lrTb"/>
            <w:noWrap w:val="false"/>
          </w:tcPr>
          <w:p>
            <w:pPr>
              <w:spacing w:line="360" w:lineRule="auto"/>
            </w:pPr>
            <w:r/>
            <w:r/>
          </w:p>
        </w:tc>
        <w:tc>
          <w:tcPr>
            <w:tcW w:w="381" w:type="pct"/>
            <w:vAlign w:val="center"/>
            <w:vMerge w:val="continue"/>
            <w:textDirection w:val="lrTb"/>
            <w:noWrap w:val="false"/>
          </w:tcPr>
          <w:p>
            <w:pPr>
              <w:spacing w:line="360" w:lineRule="auto"/>
            </w:p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（2）坚守岗位，恪尽职守，不擅自离岗，每日认真做好台帐记录，并定期上报学校职能部门。</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严格按照作息制度，按时开关宿舍区大门，并及时做好清舍工作，上课期间学生无《进舍许可单》一律不得进入宿舍，校外人员实行来访登记制度，经审核无误后方可允许其进舍，未经学校允许不得留宿非寄宿生或校外人员。</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开学初切实做好寄宿生就宿安排工作，严禁学生随便更换床位，严禁并铺或在双人床上铺学习、活动，甚至嬉闹等，教育学生进出宿舍按秩序、不拥挤，防止宿舍内学生伤害事件发生。期末做好宿舍区域卫生工作，做好公共财物清点、归还。放假或休息期间确保公共财物安全。</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（5）按时开关电源、水源，注意节约用水、用电。严禁学生私拉电线、私接电器，严禁学生点蜡烛、蚊香等明火，严禁吸烟，杜绝安全隐患，平时要严格检查和督促。</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（6）检查学生宿舍门窗开关情况，确保学生财物安全，检查楼道扶梯等公物有无损坏现象，教育学生爱护公物，如有损坏按价赔偿并及时报修。</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（7）每日检查学生就寝纪律，教育学生按时就寝，不得喧哗，禁止宿舍内赌博、斗殴、打架、偷窃等严重违纪事件发生，一经发现，不得隐瞒，要及时上报学校，协助严肃查处，合理做好学生思想工作。</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（8）关心学生、爱护学生。寄宿生生急病应及时与班主任、家长联系，安排人员护送去医院就治，并做好寄宿生饮食卫生教育工作。</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9）督促学生按时起床，上课不迟到，严格晚间点名制度，做到无一遗漏，准确无误，发现问题及时上报学校，并配合学校对学生翻墙越窗、夜不归宿等违纪行为严肃查处，要求学生按时上床，熄灯后，宿舍区保持安静。</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（10）搞好宿舍楼内外公共区域卫生保洁工作，做到无污水、无尘土、无垃圾，墙壁无灰尘、无蛛网，地面无垃圾。 </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11）每日上午全面认真检查各舍的卫生工作，坚持标准，合理打分，检查结果及时公布并上报学生处，扣分严重的及时与班主任联系，做好整改工作。协助学校职能部门开展宿舍内的各项宣传活动和评比工作，努力做到公正合理。</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pPr>
            <w:r>
              <w:rPr>
                <w:rFonts w:hint="eastAsia" w:ascii="宋体" w:hAnsi="宋体" w:cs="宋体"/>
                <w:color w:val="000000"/>
                <w:sz w:val="24"/>
                <w:szCs w:val="24"/>
              </w:rPr>
              <w:t xml:space="preserve">（12）舍务员应加强安全法律知识方面的学习，不断提高业务素质。严格用电安全操作，熟悉使用消防设备，学生住宿期间，必须保证消防通道畅通。</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（13）妥善处理学生宿舍中的一般事件，重大问题与学校联系，协同解决，经</w:t>
            </w:r>
            <w:r>
              <w:rPr>
                <w:rFonts w:hint="eastAsia" w:ascii="宋体" w:hAnsi="宋体" w:cs="宋体"/>
                <w:color w:val="000000"/>
                <w:sz w:val="24"/>
                <w:szCs w:val="24"/>
              </w:rPr>
              <w:t xml:space="preserve">常对学生进行寄宿生规范教育和安全教育，增强学生自我管理能力和安全防范能力。</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（14）宿舍内公物不准带出宿舍，严禁学生将易燃、易爆、有毒、腐蚀、放射性物品、管制刀具、棍等危险物品和硬击器带入宿舍，一经发现予以扣留并上报学校。</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（15）平时加强与学校各部门的密切配合，特别要与学生处、系部、班主任、后勤管理处、保安等经常联系，积极预防，正确处理偶发事件，做好全方位安全保卫工作。</w:t>
            </w:r>
            <w:r/>
          </w:p>
        </w:tc>
      </w:tr>
      <w:tr>
        <w:trPr>
          <w:jc w:val="center"/>
        </w:trPr>
        <w:tc>
          <w:tcPr>
            <w:tcW w:w="260" w:type="pct"/>
            <w:vAlign w:val="center"/>
            <w:vMerge w:val="restart"/>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restart"/>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（16）学生宿舍实行24小时昼夜值班制，不脱岗、不迟到早退、不做与本职工作无关的事情。做好任务区的服务、管理工作，给学生一个安全、卫生、舒适的生活环境。</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（17）熟悉本宿舍楼住宿的学生，制定详细的住校生花名册、床位表，及时掌握宿舍楼的住宿情况，进行动态管理，保证学生信息资料的准确性。防止闲杂人员进入宿舍楼，严禁异性进入宿舍。</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（18）掌握各种突发事件的应急处理程序，作出应急处理，发生异常情况立即上报。</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（19）值班室干净、整洁，物品摆放整齐规范，无杂物，规范用电，不私拉电线，不使用大功率电器。</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（20）关心学生，发现学生生病要及时督促学生就医并上报。</w:t>
            </w:r>
            <w:r/>
          </w:p>
        </w:tc>
      </w:tr>
      <w:tr>
        <w:trPr>
          <w:jc w:val="center"/>
        </w:trPr>
        <w:tc>
          <w:tcPr>
            <w:tcW w:w="260"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381"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358"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（21）完成学校交办的其它工作。</w:t>
            </w:r>
            <w:r/>
          </w:p>
        </w:tc>
      </w:tr>
    </w:tbl>
    <w:p>
      <w:pPr>
        <w:ind w:firstLine="472"/>
        <w:rPr>
          <w:rFonts w:ascii="宋体" w:hAnsi="宋体" w:cs="宋体"/>
          <w:b/>
          <w:bCs/>
          <w:sz w:val="24"/>
          <w:szCs w:val="24"/>
        </w:rPr>
      </w:pPr>
      <w:r/>
      <w:bookmarkStart w:id="89" w:name="_Hlk114671315"/>
      <w:r/>
      <w:bookmarkEnd w:id="89"/>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(三)物业考核细则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为保证物业服务质量和服务水平,实现物业服务的科学化、制度化、规范化，特制订本办法。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6"/>
        <w:gridCol w:w="1248"/>
        <w:gridCol w:w="8091"/>
      </w:tblGrid>
      <w:tr>
        <w:trPr>
          <w:jc w:val="center"/>
        </w:trPr>
        <w:tc>
          <w:tcPr>
            <w:tcW w:w="262"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W w:w="633"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考核内容</w:t>
            </w:r>
            <w:r/>
          </w:p>
        </w:tc>
        <w:tc>
          <w:tcPr>
            <w:tcW w:w="4103" w:type="pct"/>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考核细则</w:t>
            </w:r>
            <w:r/>
          </w:p>
        </w:tc>
      </w:tr>
      <w:tr>
        <w:trPr>
          <w:jc w:val="center"/>
          <w:trHeight w:val="600"/>
        </w:trPr>
        <w:tc>
          <w:tcPr>
            <w:tcW w:w="262" w:type="pct"/>
            <w:vAlign w:val="center"/>
            <w:vMerge w:val="restart"/>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1</w:t>
            </w:r>
            <w:r/>
          </w:p>
        </w:tc>
        <w:tc>
          <w:tcPr>
            <w:tcW w:w="633" w:type="pct"/>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日常管理</w:t>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1、规章制度健全，工作人员的岗位职责明确，管理工作台帐完备，有详尽的记录。不符合要求，每查处一次扣1分。</w:t>
            </w:r>
            <w:r/>
          </w:p>
        </w:tc>
      </w:tr>
      <w:tr>
        <w:trPr>
          <w:jc w:val="center"/>
          <w:trHeight w:val="600"/>
        </w:trPr>
        <w:tc>
          <w:tcPr>
            <w:tcW w:w="262" w:type="pct"/>
            <w:vAlign w:val="center"/>
            <w:vMerge w:val="continue"/>
            <w:textDirection w:val="lrTb"/>
            <w:noWrap w:val="false"/>
          </w:tcPr>
          <w:p>
            <w:pPr>
              <w:spacing w:line="360" w:lineRule="auto"/>
            </w:pPr>
            <w:r/>
            <w:r/>
          </w:p>
        </w:tc>
        <w:tc>
          <w:tcPr>
            <w:tcW w:w="633" w:type="pct"/>
            <w:vAlign w:val="center"/>
            <w:vMerge w:val="continue"/>
            <w:textDirection w:val="lrTb"/>
            <w:noWrap w:val="false"/>
          </w:tcPr>
          <w:p>
            <w:pPr>
              <w:spacing w:line="360" w:lineRule="auto"/>
            </w:p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2、工作人员配置齐全，挂牌持证上岗；员工的考勤、考核纪录完备；工作人员不缺勤、不脱岗。不符合要求，每查处一次扣2分。</w:t>
            </w:r>
            <w:r/>
          </w:p>
        </w:tc>
      </w:tr>
      <w:tr>
        <w:trPr>
          <w:jc w:val="center"/>
          <w:trHeight w:val="600"/>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3、工作人员服装统一、整齐，佩戴统一标识，工作纪律严明。对待师生态</w:t>
            </w:r>
            <w:r>
              <w:rPr>
                <w:rFonts w:hint="eastAsia" w:ascii="宋体" w:hAnsi="宋体" w:cs="宋体"/>
                <w:color w:val="000000"/>
                <w:sz w:val="24"/>
                <w:szCs w:val="24"/>
              </w:rPr>
              <w:t xml:space="preserve">度谦和、服务热情。不符合要求，每查处一次扣1分。</w:t>
            </w:r>
            <w:r/>
          </w:p>
        </w:tc>
      </w:tr>
      <w:tr>
        <w:trPr>
          <w:jc w:val="center"/>
          <w:trHeight w:val="600"/>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4、校园保洁区域划分合理，不存在无责任人区域。不符合要求，每查处一次扣1分。</w:t>
            </w:r>
            <w:r/>
          </w:p>
        </w:tc>
      </w:tr>
      <w:tr>
        <w:trPr>
          <w:jc w:val="center"/>
          <w:trHeight w:val="496"/>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5、受到上级部门、领导点名批评，扣5分/次。</w:t>
            </w:r>
            <w:r/>
          </w:p>
        </w:tc>
      </w:tr>
      <w:tr>
        <w:trPr>
          <w:jc w:val="center"/>
          <w:trHeight w:val="477"/>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6、发生紧急情况处置不当，造成不良影响的，扣10分/次。</w:t>
            </w:r>
            <w:r/>
          </w:p>
        </w:tc>
      </w:tr>
      <w:tr>
        <w:trPr>
          <w:jc w:val="center"/>
          <w:trHeight w:val="600"/>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7、主动做好学校重大活动的配合服务工作，认真完成学校相关管理人员临时交办的突击性任务。不符合要求，根据具体情况每次扣10分。</w:t>
            </w:r>
            <w:r/>
          </w:p>
        </w:tc>
      </w:tr>
      <w:tr>
        <w:trPr>
          <w:jc w:val="center"/>
          <w:trHeight w:val="90"/>
        </w:trPr>
        <w:tc>
          <w:tcPr>
            <w:tcW w:w="262" w:type="pct"/>
            <w:vAlign w:val="center"/>
            <w:vMerge w:val="restart"/>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2</w:t>
            </w:r>
            <w:r/>
          </w:p>
        </w:tc>
        <w:tc>
          <w:tcPr>
            <w:tcW w:w="633" w:type="pct"/>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校园环境</w:t>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1、广场、道路、绿化带、水景景观、楼宇等建筑物和设施，必须保持整洁、美观、完好。不符合要求，每查处一次扣1分。</w:t>
            </w:r>
            <w:r/>
          </w:p>
        </w:tc>
      </w:tr>
      <w:tr>
        <w:trPr>
          <w:jc w:val="center"/>
          <w:trHeight w:val="1050"/>
        </w:trPr>
        <w:tc>
          <w:tcPr>
            <w:tcW w:w="262" w:type="pct"/>
            <w:vAlign w:val="center"/>
            <w:vMerge w:val="continue"/>
            <w:textDirection w:val="lrTb"/>
            <w:noWrap w:val="false"/>
          </w:tcPr>
          <w:p>
            <w:pPr>
              <w:spacing w:line="360" w:lineRule="auto"/>
            </w:pPr>
            <w:r/>
            <w:r/>
          </w:p>
        </w:tc>
        <w:tc>
          <w:tcPr>
            <w:tcW w:w="633" w:type="pct"/>
            <w:vAlign w:val="center"/>
            <w:vMerge w:val="continue"/>
            <w:textDirection w:val="lrTb"/>
            <w:noWrap w:val="false"/>
          </w:tcPr>
          <w:p>
            <w:pPr>
              <w:spacing w:line="360" w:lineRule="auto"/>
            </w:p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2、校园无卫生死角，室外休闲座椅擦拭及时；广场、台阶、道路干净，排水沟、道路边、花坛草坪内无杂物、无垃圾；定期清除雨水格栅内的垃圾。不符合要求，每查处一次扣1分。</w:t>
            </w:r>
            <w:r/>
          </w:p>
        </w:tc>
      </w:tr>
      <w:tr>
        <w:trPr>
          <w:jc w:val="center"/>
          <w:trHeight w:val="1050"/>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3、垃圾亭内垃圾桶摆放整齐，桶体干净，周边无垃圾；绿化带内大块建筑垃圾等及时清除，在指定地点集中堆放；做好垃圾分类工作。不符合要求，每查处一次扣1分。</w:t>
            </w:r>
            <w:r/>
          </w:p>
        </w:tc>
      </w:tr>
      <w:tr>
        <w:trPr>
          <w:jc w:val="center"/>
          <w:trHeight w:val="496"/>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4、水面及周围保持无垃圾和杂物。不符合要求，每查处一次扣扣1分。</w:t>
            </w:r>
            <w:r/>
          </w:p>
        </w:tc>
      </w:tr>
      <w:tr>
        <w:trPr>
          <w:jc w:val="center"/>
          <w:trHeight w:val="154"/>
        </w:trPr>
        <w:tc>
          <w:tcPr>
            <w:tcW w:w="262" w:type="pct"/>
            <w:vAlign w:val="center"/>
            <w:vMerge w:val="restart"/>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3</w:t>
            </w:r>
            <w:r/>
          </w:p>
        </w:tc>
        <w:tc>
          <w:tcPr>
            <w:tcW w:w="633" w:type="pct"/>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楼宇保洁</w:t>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1、地面、墙壁、楼梯扶手、窗台、窗玻璃等无污迹、无积灰、无垃圾。不符合要求，每查处一次扣1分。</w:t>
            </w:r>
            <w:r/>
          </w:p>
        </w:tc>
      </w:tr>
      <w:tr>
        <w:trPr>
          <w:jc w:val="center"/>
          <w:trHeight w:val="154"/>
        </w:trPr>
        <w:tc>
          <w:tcPr>
            <w:tcW w:w="262" w:type="pct"/>
            <w:vAlign w:val="center"/>
            <w:vMerge w:val="continue"/>
            <w:textDirection w:val="lrTb"/>
            <w:noWrap w:val="false"/>
          </w:tcPr>
          <w:p>
            <w:pPr>
              <w:spacing w:line="360" w:lineRule="auto"/>
            </w:pPr>
            <w:r/>
            <w:r/>
          </w:p>
        </w:tc>
        <w:tc>
          <w:tcPr>
            <w:tcW w:w="633" w:type="pct"/>
            <w:vAlign w:val="center"/>
            <w:vMerge w:val="continue"/>
            <w:textDirection w:val="lrTb"/>
            <w:noWrap w:val="false"/>
          </w:tcPr>
          <w:p>
            <w:pPr>
              <w:spacing w:line="360" w:lineRule="auto"/>
            </w:p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2、公共区域灯具、开关、天花板等无灰尘，无蜘蛛网。不符合要求，每查处一次扣1分。</w:t>
            </w:r>
            <w:r/>
          </w:p>
        </w:tc>
      </w:tr>
      <w:tr>
        <w:trPr>
          <w:jc w:val="center"/>
          <w:trHeight w:val="154"/>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3、卫生间垃圾桶、纸篓按固定位置摆放，定期清理；地面、墙壁、台面、大小便池保持整洁，无臭味。不符合要求，每查处一次扣1分。</w:t>
            </w:r>
            <w:r/>
          </w:p>
        </w:tc>
      </w:tr>
      <w:tr>
        <w:trPr>
          <w:jc w:val="center"/>
          <w:trHeight w:val="154"/>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4、楼宇内公共区域无卫生死角，承担保洁责任的会议室和专间干净整洁无杂物。不符合要求，每查处一次扣1分。</w:t>
            </w:r>
            <w:r/>
          </w:p>
        </w:tc>
      </w:tr>
      <w:tr>
        <w:trPr>
          <w:jc w:val="center"/>
          <w:trHeight w:val="154"/>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5、楼宇内损坏的设备设施要及时报修；及时开关门窗。不符合要求，每查处一次扣1分。</w:t>
            </w:r>
            <w:r/>
          </w:p>
        </w:tc>
      </w:tr>
      <w:tr>
        <w:trPr>
          <w:jc w:val="center"/>
          <w:trHeight w:val="154"/>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6、保洁用房整洁，保洁用具摆放整齐，无私拉乱接、擅自占用楼内其他房间、挪用家具等现象。不符合要求，每查处一次扣1分。</w:t>
            </w:r>
            <w:r/>
          </w:p>
        </w:tc>
      </w:tr>
      <w:tr>
        <w:trPr>
          <w:jc w:val="center"/>
          <w:trHeight w:val="233"/>
        </w:trPr>
        <w:tc>
          <w:tcPr>
            <w:tcW w:w="262" w:type="pct"/>
            <w:vAlign w:val="center"/>
            <w:vMerge w:val="restart"/>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4</w:t>
            </w:r>
            <w:r/>
          </w:p>
        </w:tc>
        <w:tc>
          <w:tcPr>
            <w:tcW w:w="633" w:type="pct"/>
            <w:vAlign w:val="center"/>
            <w:vMerge w:val="restart"/>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公寓管理</w:t>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1、公寓公共区域，要求做到地面、墙壁、门窗、走廊、楼梯及扶手、草坪都干净、无杂物；不符合要求，每查处一次扣1分。</w:t>
            </w:r>
            <w:r/>
          </w:p>
        </w:tc>
      </w:tr>
      <w:tr>
        <w:trPr>
          <w:jc w:val="center"/>
          <w:trHeight w:val="233"/>
        </w:trPr>
        <w:tc>
          <w:tcPr>
            <w:tcW w:w="262" w:type="pct"/>
            <w:vAlign w:val="center"/>
            <w:vMerge w:val="continue"/>
            <w:textDirection w:val="lrTb"/>
            <w:noWrap w:val="false"/>
          </w:tcPr>
          <w:p>
            <w:pPr>
              <w:spacing w:line="360" w:lineRule="auto"/>
            </w:pPr>
            <w:r/>
            <w:r/>
          </w:p>
        </w:tc>
        <w:tc>
          <w:tcPr>
            <w:tcW w:w="633" w:type="pct"/>
            <w:vAlign w:val="center"/>
            <w:vMerge w:val="continue"/>
            <w:textDirection w:val="lrTb"/>
            <w:noWrap w:val="false"/>
          </w:tcPr>
          <w:p>
            <w:pPr>
              <w:spacing w:line="360" w:lineRule="auto"/>
            </w:p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2、公寓管理员未按规定进行卫生检查打分；未进行台帐记录上报；未公开、公平、公正打分，有学生有效投诉。不符合要求，每查处一次扣1分。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3、公寓管理员要认真检查学生晚上住宿情况，对未住宿学生和晚归学生要有记录，上报要及时、数据要准确。不符合要求，每查处一次扣1分。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4、公寓管理员要检查学生就寝纪律，教育学生按时就寝，不得喧哗，对就寝纪律做好记录并及时上报。不符合要求，每查处一次扣1分。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5、公寓大门未按规定及时上锁的，每查处一次扣1分。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6、外来人员未登记进入宿舍，每查处一次扣2分。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7、发现学生使用高功率电器、抽烟、赌博、饲养小宠物等，未没收或没及时反映问题，一次扣2分；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8、公寓管理员私自将非个人物品带回家或因管理不到位造成财物失窃或损害，一次扣20分。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9、公寓管理员行为不文明，与学生发生冲突，或者学生有困难不及时处理，每查处一次扣5分。</w:t>
            </w:r>
            <w:r/>
          </w:p>
        </w:tc>
      </w:tr>
      <w:tr>
        <w:trPr>
          <w:jc w:val="center"/>
          <w:trHeight w:val="233"/>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10、学生及公寓有异常情况或突发事件，要及时向学校领导、职能部门汇报，并妥善处理，每查处一次扣5分；处置不当，造成不良影响的一次扣10分。</w:t>
            </w:r>
            <w:r/>
          </w:p>
        </w:tc>
      </w:tr>
      <w:tr>
        <w:trPr>
          <w:jc w:val="center"/>
          <w:trHeight w:val="780"/>
        </w:trPr>
        <w:tc>
          <w:tcPr>
            <w:tcW w:w="262" w:type="pct"/>
            <w:vAlign w:val="center"/>
            <w:vMerge w:val="restart"/>
            <w:textDirection w:val="lrTb"/>
            <w:noWrap w:val="false"/>
          </w:tcPr>
          <w:p>
            <w:pPr>
              <w:jc w:val="center"/>
              <w:rPr>
                <w:rFonts w:ascii="宋体" w:hAnsi="宋体" w:cs="宋体"/>
                <w:bCs/>
                <w:color w:val="000000"/>
                <w:sz w:val="24"/>
                <w:szCs w:val="24"/>
              </w:rPr>
            </w:pPr>
            <w:r>
              <w:rPr>
                <w:rFonts w:hint="eastAsia" w:ascii="宋体" w:hAnsi="宋体" w:cs="宋体"/>
                <w:bCs/>
                <w:color w:val="000000"/>
                <w:sz w:val="24"/>
                <w:szCs w:val="24"/>
              </w:rPr>
              <w:t xml:space="preserve">5</w:t>
            </w:r>
            <w:r/>
          </w:p>
        </w:tc>
        <w:tc>
          <w:tcPr>
            <w:tcW w:w="633" w:type="pct"/>
            <w:vAlign w:val="center"/>
            <w:vMerge w:val="restart"/>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责任追究制度</w:t>
            </w:r>
            <w:r/>
          </w:p>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1、由学校对物业服务的进行考核，考核出现扣分学校第一时间告知物业公司。</w:t>
            </w:r>
            <w:r/>
          </w:p>
        </w:tc>
      </w:tr>
      <w:tr>
        <w:trPr>
          <w:jc w:val="center"/>
          <w:trHeight w:val="780"/>
        </w:trPr>
        <w:tc>
          <w:tcPr>
            <w:tcW w:w="262" w:type="pct"/>
            <w:vAlign w:val="center"/>
            <w:vMerge w:val="continue"/>
            <w:textDirection w:val="lrTb"/>
            <w:noWrap w:val="false"/>
          </w:tcPr>
          <w:p>
            <w:pPr>
              <w:spacing w:line="360" w:lineRule="auto"/>
            </w:pPr>
            <w:r/>
            <w:r/>
          </w:p>
        </w:tc>
        <w:tc>
          <w:tcPr>
            <w:tcW w:w="633" w:type="pct"/>
            <w:vAlign w:val="center"/>
            <w:vMerge w:val="continue"/>
            <w:textDirection w:val="lrTb"/>
            <w:noWrap w:val="false"/>
          </w:tcPr>
          <w:p>
            <w:pPr>
              <w:spacing w:line="360" w:lineRule="auto"/>
            </w:pPr>
            <w:r/>
            <w:r/>
          </w:p>
        </w:tc>
        <w:tc>
          <w:tcPr>
            <w:tcW w:w="4103"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2、每月学校将考核结果汇总后以书面形式告知物业公司，物业个人单月扣分在20分以上的，物业公司必须一周内对此人员进行更换。</w:t>
            </w:r>
            <w:r/>
          </w:p>
        </w:tc>
      </w:tr>
      <w:tr>
        <w:trPr>
          <w:jc w:val="center"/>
          <w:trHeight w:val="536"/>
        </w:trPr>
        <w:tc>
          <w:tcPr>
            <w:tcW w:w="262"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633" w:type="pct"/>
            <w:vAlign w:val="center"/>
            <w:vMerge w:val="continue"/>
            <w:textDirection w:val="lrTb"/>
            <w:noWrap w:val="false"/>
          </w:tcPr>
          <w:p>
            <w:pPr>
              <w:spacing w:line="360" w:lineRule="auto"/>
              <w:rPr>
                <w:rFonts w:ascii="宋体" w:hAnsi="宋体" w:cs="宋体"/>
                <w:color w:val="000000"/>
                <w:sz w:val="24"/>
                <w:szCs w:val="24"/>
              </w:rPr>
            </w:pPr>
            <w:r>
              <w:rPr>
                <w:rFonts w:ascii="宋体" w:hAnsi="宋体" w:cs="宋体"/>
                <w:color w:val="000000"/>
                <w:sz w:val="24"/>
                <w:szCs w:val="24"/>
              </w:rPr>
            </w:r>
            <w:r/>
          </w:p>
        </w:tc>
        <w:tc>
          <w:tcPr>
            <w:tcW w:w="4103" w:type="pct"/>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3、因物业公司人员工作失职造成的一切后果由物业公司负全责。</w:t>
            </w:r>
            <w:r/>
          </w:p>
        </w:tc>
      </w:tr>
    </w:tbl>
    <w:p>
      <w:pPr>
        <w:spacing w:line="360" w:lineRule="auto"/>
        <w:rPr>
          <w:rFonts w:ascii="黑体" w:hAnsi="黑体" w:eastAsia="黑体" w:cs="黑体"/>
          <w:b/>
        </w:rPr>
      </w:pPr>
      <w:r>
        <w:rPr>
          <w:rFonts w:ascii="黑体" w:hAnsi="黑体" w:eastAsia="黑体" w:cs="黑体"/>
        </w:rPr>
        <w:br w:type="page" w:clear="all"/>
      </w:r>
      <w:r>
        <w:rPr>
          <w:rFonts w:hint="eastAsia" w:ascii="宋体" w:hAnsi="宋体" w:cs="宋体"/>
          <w:b/>
          <w:color w:val="000000"/>
          <w:sz w:val="24"/>
          <w:szCs w:val="24"/>
        </w:rPr>
        <w:t xml:space="preserve">附学校平面图</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1、校本部平面图</w:t>
      </w:r>
      <w:r/>
    </w:p>
    <w:p>
      <w:pPr>
        <w:rPr>
          <w:rFonts w:ascii="宋体" w:hAnsi="宋体" w:cs="黑体"/>
          <w:sz w:val="32"/>
          <w:szCs w:val="32"/>
        </w:rPr>
      </w:pPr>
      <w:r>
        <mc:AlternateContent>
          <mc:Choice Requires="wpg">
            <w:drawing>
              <wp:inline xmlns:wp="http://schemas.openxmlformats.org/drawingml/2006/wordprocessingDrawing" distT="0" distB="0" distL="0" distR="0">
                <wp:extent cx="6124575" cy="6048375"/>
                <wp:effectExtent l="1905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6124575" cy="60483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2.2pt;height:476.2pt;mso-wrap-distance-left:0.0pt;mso-wrap-distance-top:0.0pt;mso-wrap-distance-right:0.0pt;mso-wrap-distance-bottom:0.0pt;" stroked="f" strokeweight="0.75pt">
                <v:path textboxrect="0,0,0,0"/>
                <v:imagedata r:id="rId20" o:title=""/>
              </v:shape>
            </w:pict>
          </mc:Fallback>
        </mc:AlternateContent>
      </w:r>
      <w:r/>
    </w:p>
    <w:p>
      <w:pPr>
        <w:pStyle w:val="931"/>
        <w:spacing w:line="360" w:lineRule="auto"/>
        <w:rPr>
          <w:rFonts w:ascii="宋体" w:hAnsi="宋体" w:cs="黑体"/>
          <w:sz w:val="32"/>
          <w:szCs w:val="32"/>
        </w:rPr>
      </w:pPr>
      <w:r>
        <w:rPr>
          <w:rFonts w:ascii="宋体" w:hAnsi="宋体" w:cs="黑体"/>
          <w:sz w:val="32"/>
          <w:szCs w:val="32"/>
        </w:rPr>
      </w:r>
      <w:r/>
    </w:p>
    <w:p>
      <w:pPr>
        <w:spacing w:line="360" w:lineRule="auto"/>
        <w:rPr>
          <w:rFonts w:ascii="宋体" w:hAnsi="宋体" w:cs="黑体"/>
          <w:sz w:val="24"/>
          <w:szCs w:val="32"/>
        </w:rPr>
      </w:pPr>
      <w:r>
        <w:rPr>
          <w:rFonts w:hint="eastAsia" w:ascii="宋体" w:hAnsi="宋体" w:cs="黑体"/>
          <w:sz w:val="24"/>
          <w:szCs w:val="32"/>
        </w:rPr>
        <w:br w:type="page" w:clear="all"/>
      </w:r>
      <w:r>
        <w:rPr>
          <w:rFonts w:hint="eastAsia" w:ascii="宋体" w:hAnsi="宋体" w:cs="黑体"/>
          <w:sz w:val="24"/>
          <w:szCs w:val="32"/>
        </w:rPr>
        <w:t xml:space="preserve">2、学前教育学院平面图</w:t>
      </w:r>
      <w:r/>
    </w:p>
    <w:p>
      <w:pPr>
        <w:pStyle w:val="931"/>
      </w:pPr>
      <w:r>
        <mc:AlternateContent>
          <mc:Choice Requires="wpg">
            <w:drawing>
              <wp:inline xmlns:wp="http://schemas.openxmlformats.org/drawingml/2006/wordprocessingDrawing" distT="0" distB="0" distL="0" distR="0">
                <wp:extent cx="6143625" cy="4086225"/>
                <wp:effectExtent l="1905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1"/>
                        <a:stretch/>
                      </pic:blipFill>
                      <pic:spPr bwMode="auto">
                        <a:xfrm>
                          <a:off x="0" y="0"/>
                          <a:ext cx="6143625" cy="40862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3.8pt;height:321.8pt;mso-wrap-distance-left:0.0pt;mso-wrap-distance-top:0.0pt;mso-wrap-distance-right:0.0pt;mso-wrap-distance-bottom:0.0pt;" stroked="f" strokeweight="0.75pt">
                <v:path textboxrect="0,0,0,0"/>
                <v:imagedata r:id="rId21" o:title=""/>
              </v:shape>
            </w:pict>
          </mc:Fallback>
        </mc:AlternateContent>
      </w:r>
      <w:r/>
    </w:p>
    <w:p>
      <w:pPr>
        <w:pStyle w:val="931"/>
        <w:spacing w:line="360" w:lineRule="auto"/>
        <w:rPr>
          <w:rFonts w:ascii="宋体" w:hAnsi="宋体" w:cs="黑体"/>
          <w:sz w:val="24"/>
          <w:szCs w:val="32"/>
        </w:rPr>
      </w:pPr>
      <w:r>
        <w:rPr>
          <w:rFonts w:hint="eastAsia" w:ascii="宋体" w:hAnsi="宋体" w:cs="黑体"/>
          <w:sz w:val="24"/>
          <w:szCs w:val="32"/>
        </w:rPr>
        <w:t xml:space="preserve">3、继续教育学院平面图</w:t>
      </w:r>
      <w:r/>
    </w:p>
    <w:p>
      <w:pPr>
        <w:rPr>
          <w:rFonts w:ascii="黑体" w:hAnsi="黑体" w:eastAsia="黑体" w:cs="黑体"/>
          <w:sz w:val="32"/>
          <w:szCs w:val="32"/>
        </w:rPr>
      </w:pPr>
      <w:r>
        <mc:AlternateContent>
          <mc:Choice Requires="wpg">
            <w:drawing>
              <wp:inline xmlns:wp="http://schemas.openxmlformats.org/drawingml/2006/wordprocessingDrawing" distT="0" distB="0" distL="0" distR="0">
                <wp:extent cx="6124575" cy="4076700"/>
                <wp:effectExtent l="1905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2"/>
                        <a:stretch/>
                      </pic:blipFill>
                      <pic:spPr bwMode="auto">
                        <a:xfrm>
                          <a:off x="0" y="0"/>
                          <a:ext cx="6124575" cy="407669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2.2pt;height:321.0pt;mso-wrap-distance-left:0.0pt;mso-wrap-distance-top:0.0pt;mso-wrap-distance-right:0.0pt;mso-wrap-distance-bottom:0.0pt;" stroked="f" strokeweight="0.75pt">
                <v:path textboxrect="0,0,0,0"/>
                <v:imagedata r:id="rId22" o:title=""/>
              </v:shape>
            </w:pict>
          </mc:Fallback>
        </mc:AlternateContent>
      </w:r>
      <w:r/>
    </w:p>
    <w:p>
      <w:pPr>
        <w:jc w:val="left"/>
        <w:spacing w:line="360" w:lineRule="auto"/>
        <w:rPr>
          <w:rFonts w:ascii="宋体" w:hAnsi="宋体"/>
          <w:sz w:val="24"/>
          <w:szCs w:val="24"/>
          <w:highlight w:val="yellow"/>
        </w:rPr>
      </w:pPr>
      <w:r>
        <w:rPr>
          <w:rFonts w:ascii="宋体" w:hAnsi="宋体"/>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二、商务要求</w:t>
      </w:r>
      <w:r/>
    </w:p>
    <w:p>
      <w:pPr>
        <w:ind w:firstLine="482"/>
        <w:jc w:val="left"/>
        <w:spacing w:line="360" w:lineRule="auto"/>
        <w:rPr>
          <w:rFonts w:ascii="宋体" w:hAnsi="宋体"/>
          <w:b/>
          <w:bCs/>
          <w:sz w:val="24"/>
          <w:szCs w:val="24"/>
        </w:rPr>
      </w:pPr>
      <w:r>
        <w:rPr>
          <w:rFonts w:hint="eastAsia" w:ascii="宋体" w:hAnsi="宋体"/>
          <w:b/>
          <w:bCs/>
          <w:sz w:val="24"/>
          <w:szCs w:val="24"/>
        </w:rPr>
        <w:t xml:space="preserve">1、服务期限：</w:t>
      </w:r>
      <w:r>
        <w:rPr>
          <w:rFonts w:hint="eastAsia" w:ascii="宋体" w:hAnsi="宋体" w:cs="宋体"/>
          <w:sz w:val="24"/>
          <w:szCs w:val="24"/>
        </w:rPr>
        <w:t xml:space="preserve">期限自签订合同后一年。</w:t>
      </w:r>
      <w:r/>
    </w:p>
    <w:p>
      <w:pPr>
        <w:ind w:firstLine="482"/>
        <w:jc w:val="left"/>
        <w:spacing w:line="360" w:lineRule="auto"/>
        <w:rPr>
          <w:rFonts w:ascii="宋体" w:hAnsi="宋体"/>
          <w:sz w:val="24"/>
        </w:rPr>
      </w:pPr>
      <w:r>
        <w:rPr>
          <w:rFonts w:hint="eastAsia" w:ascii="宋体" w:hAnsi="宋体"/>
          <w:b/>
          <w:bCs/>
          <w:sz w:val="24"/>
          <w:szCs w:val="24"/>
        </w:rPr>
        <w:t xml:space="preserve">2、服务地点：</w:t>
      </w:r>
      <w:r>
        <w:rPr>
          <w:rFonts w:hint="eastAsia" w:ascii="宋体" w:hAnsi="宋体" w:cs="宋体"/>
          <w:sz w:val="24"/>
          <w:szCs w:val="24"/>
        </w:rPr>
        <w:t xml:space="preserve">校本部、学前教育学院校区、继续教育学院校区。</w:t>
      </w:r>
      <w:r/>
    </w:p>
    <w:p>
      <w:pPr>
        <w:ind w:firstLine="482"/>
        <w:jc w:val="left"/>
        <w:spacing w:line="360" w:lineRule="auto"/>
        <w:rPr>
          <w:rFonts w:ascii="宋体" w:hAnsi="宋体" w:cs="宋体"/>
          <w:sz w:val="24"/>
          <w:szCs w:val="24"/>
        </w:rPr>
      </w:pPr>
      <w:r>
        <w:rPr>
          <w:rFonts w:hint="eastAsia" w:ascii="宋体" w:hAnsi="宋体"/>
          <w:b/>
          <w:bCs/>
          <w:sz w:val="24"/>
          <w:szCs w:val="24"/>
        </w:rPr>
        <w:t xml:space="preserve">3、验收标准：</w:t>
      </w:r>
      <w:r>
        <w:rPr>
          <w:rFonts w:hint="eastAsia" w:ascii="宋体" w:hAnsi="宋体" w:cs="宋体"/>
          <w:sz w:val="24"/>
          <w:szCs w:val="24"/>
        </w:rPr>
        <w:t xml:space="preserve">按月组织验收。由学校对物业服务进行考核，根据月考核结果结算费用。月度考核分数达85分以上（含）为合格，全额支付当月服务费用；75≤得分＜85分的，扣除当月服务费用的20%；得分＜75分的，扣除当月服务费用的50%。</w:t>
      </w:r>
      <w:r/>
    </w:p>
    <w:p>
      <w:pPr>
        <w:ind w:firstLine="482"/>
        <w:jc w:val="left"/>
        <w:spacing w:line="360" w:lineRule="auto"/>
        <w:rPr>
          <w:rFonts w:ascii="宋体" w:hAnsi="宋体"/>
          <w:b/>
          <w:bCs/>
          <w:sz w:val="24"/>
          <w:szCs w:val="24"/>
        </w:rPr>
      </w:pPr>
      <w:r>
        <w:rPr>
          <w:rFonts w:hint="eastAsia" w:ascii="宋体" w:hAnsi="宋体"/>
          <w:b/>
          <w:bCs/>
          <w:sz w:val="24"/>
          <w:szCs w:val="24"/>
        </w:rPr>
        <w:t xml:space="preserve">4、付款步骤：</w:t>
      </w:r>
      <w:r>
        <w:rPr>
          <w:rFonts w:hint="eastAsia" w:ascii="宋体" w:hAnsi="宋体" w:cs="宋体"/>
          <w:sz w:val="24"/>
          <w:szCs w:val="24"/>
        </w:rPr>
        <w:t xml:space="preserve">按月结算支付资金（12个月），根据每月末考核结果，于下月初的7个工作日内支付上月资金的70%，服务期满后15日内支付余款。</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w:t>
      </w:r>
      <w:bookmarkStart w:id="90" w:name="_Hlk160720028"/>
      <w:r>
        <w:rPr>
          <w:rFonts w:hint="eastAsia" w:ascii="宋体" w:hAnsi="宋体"/>
          <w:b/>
          <w:bCs/>
          <w:sz w:val="24"/>
          <w:szCs w:val="24"/>
        </w:rPr>
        <w:t xml:space="preserve">实质性要求</w:t>
      </w:r>
      <w:bookmarkEnd w:id="90"/>
      <w:r/>
      <w:r/>
    </w:p>
    <w:p>
      <w:pPr>
        <w:ind w:firstLine="480"/>
        <w:jc w:val="left"/>
        <w:spacing w:line="360" w:lineRule="auto"/>
        <w:rPr>
          <w:rFonts w:ascii="宋体" w:hAnsi="宋体"/>
          <w:sz w:val="24"/>
        </w:rPr>
      </w:pPr>
      <w:r/>
      <w:bookmarkStart w:id="91" w:name="_Hlk160720671"/>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ind w:firstLine="480"/>
        <w:jc w:val="left"/>
        <w:spacing w:line="360" w:lineRule="auto"/>
        <w:rPr>
          <w:rFonts w:ascii="宋体" w:hAnsi="宋体"/>
          <w:sz w:val="24"/>
        </w:rPr>
      </w:pPr>
      <w:r>
        <w:rPr>
          <w:rFonts w:ascii="宋体" w:hAnsi="宋体"/>
          <w:sz w:val="24"/>
        </w:rPr>
      </w:r>
      <w:r/>
    </w:p>
    <w:p>
      <w:pPr>
        <w:jc w:val="center"/>
        <w:rPr>
          <w:rFonts w:ascii="黑体" w:hAnsi="黑体" w:eastAsia="黑体"/>
          <w:sz w:val="36"/>
          <w:szCs w:val="36"/>
        </w:rPr>
        <w:outlineLvl w:val="0"/>
      </w:pPr>
      <w:r/>
      <w:bookmarkStart w:id="92" w:name="_Toc23355"/>
      <w:r/>
      <w:bookmarkEnd w:id="88"/>
      <w:r/>
      <w:bookmarkEnd w:id="91"/>
      <w:r>
        <w:rPr>
          <w:rFonts w:hint="eastAsia" w:ascii="黑体" w:hAnsi="黑体" w:eastAsia="黑体"/>
          <w:sz w:val="28"/>
        </w:rPr>
        <w:br w:type="page" w:clear="all"/>
      </w:r>
      <w:bookmarkStart w:id="93" w:name="_Toc157174691"/>
      <w:r/>
      <w:bookmarkStart w:id="94" w:name="_Toc526779129"/>
      <w:r/>
      <w:bookmarkStart w:id="95" w:name="_Toc5576"/>
      <w:r/>
      <w:bookmarkStart w:id="96" w:name="_Toc2535"/>
      <w:r/>
      <w:bookmarkStart w:id="97" w:name="_Toc487900374"/>
      <w:r/>
      <w:bookmarkEnd w:id="92"/>
      <w:r>
        <w:rPr>
          <w:rFonts w:hint="eastAsia" w:ascii="黑体" w:hAnsi="黑体" w:eastAsia="黑体"/>
          <w:sz w:val="36"/>
          <w:szCs w:val="36"/>
        </w:rPr>
        <w:t xml:space="preserve">第四章 评标方法和标准</w:t>
      </w:r>
      <w:bookmarkEnd w:id="93"/>
      <w:r/>
      <w:r/>
    </w:p>
    <w:p>
      <w:pPr>
        <w:pStyle w:val="955"/>
        <w:numPr>
          <w:ilvl w:val="0"/>
          <w:numId w:val="6"/>
        </w:numPr>
        <w:ind w:firstLine="0"/>
        <w:spacing w:line="500" w:lineRule="exact"/>
        <w:rPr>
          <w:rFonts w:cs="Arial"/>
          <w:b/>
          <w:sz w:val="30"/>
          <w:szCs w:val="30"/>
        </w:rPr>
      </w:pPr>
      <w:r/>
      <w:bookmarkStart w:id="98" w:name="_Hlk160542436"/>
      <w:r>
        <w:rPr>
          <w:rFonts w:hint="eastAsia" w:cs="Arial"/>
          <w:b/>
          <w:sz w:val="30"/>
          <w:szCs w:val="30"/>
        </w:rPr>
        <w:t xml:space="preserve">评标方法</w:t>
      </w:r>
      <w:r/>
    </w:p>
    <w:p>
      <w:pPr>
        <w:pStyle w:val="955"/>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55"/>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5"/>
        <w:spacing w:before="0" w:after="0" w:line="500" w:lineRule="exact"/>
        <w:rPr>
          <w:rFonts w:ascii="宋体" w:hAnsi="宋体"/>
          <w:b/>
        </w:rPr>
      </w:pPr>
      <w:r>
        <w:rPr>
          <w:rFonts w:hint="eastAsia" w:ascii="宋体" w:hAnsi="宋体"/>
          <w:b/>
        </w:rPr>
        <w:t xml:space="preserve">3、落实政府采购政策的价格调整。</w:t>
      </w:r>
      <w:r>
        <w:rPr>
          <w:rFonts w:hint="eastAsia" w:ascii="宋体" w:hAnsi="宋体"/>
          <w:bCs/>
        </w:rPr>
        <w:t xml:space="preserve">详见“第二章 投标人须知”中“3.6 政府采购支持中小企业发展”。</w:t>
      </w:r>
      <w:r/>
    </w:p>
    <w:p>
      <w:pPr>
        <w:ind w:firstLine="482"/>
        <w:jc w:val="left"/>
        <w:spacing w:line="500" w:lineRule="exact"/>
        <w:rPr>
          <w:rFonts w:ascii="宋体" w:hAnsi="宋体"/>
          <w:b/>
          <w:bCs/>
          <w:sz w:val="24"/>
          <w:szCs w:val="24"/>
        </w:rPr>
      </w:pPr>
      <w:r>
        <w:rPr>
          <w:rFonts w:hint="eastAsia" w:ascii="宋体" w:hAnsi="宋体"/>
          <w:b/>
          <w:bCs/>
          <w:sz w:val="24"/>
          <w:szCs w:val="24"/>
        </w:rPr>
        <w:t xml:space="preserve">3.1 小微型企业价格扣除：专门面向中小/小微企业的项目不做价格扣除。</w:t>
      </w:r>
      <w:r/>
    </w:p>
    <w:p>
      <w:pPr>
        <w:jc w:val="cente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55"/>
        <w:numPr>
          <w:ilvl w:val="0"/>
          <w:numId w:val="6"/>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bookmarkStart w:id="99" w:name="_Hlk160542197"/>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85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bookmarkStart w:id="100" w:name="OLE_LINK8"/>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总体设想</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总体设想，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物业管理方案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物业管理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保洁服务方案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保洁服务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人员培训、管理方案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管理重点难点分析及处理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设施设备管理方案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设施设备管理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突发应急保障方案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突发应急保障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档案管理方案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档案管理方案，进行评审：方案内容全面完整，针对性强，科学合理，可行性强的，得10分；方案内容较为全面，针对性良好，科学性、合理性良好，可行性较强的，得7分；方案内容不够完善，针对性一般，科学性、合理性、可行性一般的，得4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项目管理制度、服务规章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5分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评委根据供应商提供的项目管理制度、服务规章，进行评审：方案内容全面完整，针对性强，科学合理，可行性强的，得5分；方案内容较为全面，针对性良好，科学性、合理性良好，可行性较强的，得3分；方案内容不够完善，针对性一般，科学性、合理性、可行性一般的，得1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校本部：1人</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投标人拟派项目主管具有全国城建培训中心机构颁发的《全国物业管理企业经理资格证书》的，得2分。本项最高2分。</w:t>
            </w:r>
            <w:r/>
          </w:p>
          <w:p>
            <w:pPr>
              <w:rPr>
                <w:rFonts w:ascii="宋体" w:hAnsi="宋体"/>
                <w:b/>
                <w:sz w:val="24"/>
                <w:szCs w:val="24"/>
              </w:rPr>
            </w:pPr>
            <w:r>
              <w:rPr>
                <w:rFonts w:ascii="宋体" w:hAnsi="宋体"/>
                <w:b/>
                <w:sz w:val="24"/>
                <w:szCs w:val="24"/>
              </w:rPr>
              <w:t xml:space="preserve">【</w:t>
            </w:r>
            <w:r>
              <w:rPr>
                <w:rFonts w:hint="eastAsia" w:ascii="宋体" w:hAnsi="宋体"/>
                <w:b/>
                <w:sz w:val="24"/>
                <w:szCs w:val="24"/>
              </w:rPr>
              <w:t xml:space="preserve">投标文件中须提供以上人员证书的扫描件并加盖公章，同时必须提供投标人为以上人员缴纳的近六个月中任意一个月的社保证明，否则不得分。</w:t>
            </w:r>
            <w:r>
              <w:rPr>
                <w:rFonts w:ascii="宋体" w:hAnsi="宋体"/>
                <w:b/>
                <w:sz w:val="24"/>
                <w:szCs w:val="24"/>
              </w:rPr>
              <w:t xml:space="preserve">】</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继续教育学院和学前教育学院校区：1人</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投标人拟派项目主管具有全国城建培训中心机构颁发的《全国物业管理企业经理资格证书》的，得2分。本项最高2分。</w:t>
            </w:r>
            <w:r/>
          </w:p>
          <w:p>
            <w:pPr>
              <w:rPr>
                <w:rFonts w:ascii="宋体" w:hAnsi="宋体"/>
                <w:sz w:val="24"/>
                <w:szCs w:val="24"/>
              </w:rPr>
            </w:pPr>
            <w:r>
              <w:rPr>
                <w:rFonts w:ascii="宋体" w:hAnsi="宋体"/>
                <w:sz w:val="24"/>
                <w:szCs w:val="24"/>
              </w:rPr>
              <w:t xml:space="preserve">【</w:t>
            </w:r>
            <w:r>
              <w:rPr>
                <w:rFonts w:hint="eastAsia" w:ascii="宋体" w:hAnsi="宋体"/>
                <w:b/>
                <w:sz w:val="24"/>
                <w:szCs w:val="24"/>
              </w:rPr>
              <w:t xml:space="preserve">投标文件中须提供以上人员证书的扫描件并加盖公章，同时必须提供投标人为以上人员缴纳的近六个月中任意一个月的社保证明，否则不得分。</w:t>
            </w:r>
            <w:r>
              <w:rPr>
                <w:rFonts w:ascii="宋体" w:hAnsi="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类似业绩</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投标人自2023年1月1日（以合同签订日期为准）以来承担过类似物业管理项目的，每提供一份合同得2分，本项最高得6分。</w:t>
            </w:r>
            <w:r/>
          </w:p>
          <w:p>
            <w:pPr>
              <w:rPr>
                <w:rFonts w:ascii="宋体" w:hAnsi="宋体"/>
                <w:b/>
                <w:sz w:val="24"/>
                <w:szCs w:val="24"/>
              </w:rPr>
            </w:pPr>
            <w:r>
              <w:rPr>
                <w:rFonts w:ascii="宋体" w:hAnsi="宋体"/>
                <w:b/>
                <w:sz w:val="24"/>
                <w:szCs w:val="24"/>
              </w:rPr>
              <w:t xml:space="preserve">【</w:t>
            </w:r>
            <w:r>
              <w:rPr>
                <w:rFonts w:hint="eastAsia" w:ascii="宋体" w:hAnsi="宋体"/>
                <w:b/>
                <w:sz w:val="24"/>
                <w:szCs w:val="24"/>
              </w:rPr>
              <w:t xml:space="preserve">投标文件中须提供完整的有效合同扫描件，未提供不得分。</w:t>
            </w:r>
            <w:r>
              <w:rPr>
                <w:rFonts w:ascii="宋体" w:hAnsi="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/投标报价）×15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bookmarkEnd w:id="100"/>
            <w:r/>
            <w:r/>
          </w:p>
        </w:tc>
      </w:tr>
    </w:tbl>
    <w:p>
      <w:pPr>
        <w:jc w:val="left"/>
        <w:rPr>
          <w:rFonts w:ascii="宋体" w:hAnsi="宋体"/>
          <w:b/>
          <w:bCs/>
          <w:sz w:val="24"/>
          <w:szCs w:val="24"/>
        </w:rPr>
      </w:pPr>
      <w:r>
        <w:rPr>
          <w:rFonts w:ascii="宋体" w:hAnsi="宋体"/>
          <w:b/>
          <w:bCs/>
          <w:sz w:val="24"/>
          <w:szCs w:val="24"/>
        </w:rPr>
      </w:r>
      <w:bookmarkEnd w:id="98"/>
      <w:r/>
      <w:bookmarkEnd w:id="99"/>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ascii="宋体" w:hAnsi="宋体" w:cs="宋体"/>
          <w:bCs/>
          <w:sz w:val="24"/>
          <w:szCs w:val="24"/>
        </w:rPr>
      </w:r>
      <w:r/>
    </w:p>
    <w:p>
      <w:pPr>
        <w:ind w:firstLine="480"/>
        <w:jc w:val="left"/>
        <w:spacing w:line="360" w:lineRule="auto"/>
        <w:rPr>
          <w:rFonts w:ascii="宋体" w:hAnsi="宋体"/>
          <w:sz w:val="24"/>
          <w:szCs w:val="24"/>
        </w:rPr>
      </w:pPr>
      <w:r>
        <w:rPr>
          <w:rFonts w:ascii="宋体" w:hAnsi="宋体"/>
          <w:sz w:val="24"/>
          <w:szCs w:val="24"/>
        </w:rPr>
      </w:r>
      <w:r/>
    </w:p>
    <w:p>
      <w:pPr>
        <w:ind w:firstLine="480"/>
        <w:jc w:val="left"/>
        <w:spacing w:line="360" w:lineRule="auto"/>
        <w:rPr>
          <w:rFonts w:ascii="宋体" w:hAnsi="宋体"/>
          <w:sz w:val="24"/>
          <w:szCs w:val="24"/>
        </w:rPr>
      </w:pPr>
      <w:r>
        <w:rPr>
          <w:rFonts w:ascii="宋体" w:hAnsi="宋体"/>
          <w:sz w:val="24"/>
          <w:szCs w:val="24"/>
        </w:rPr>
      </w:r>
      <w:r/>
    </w:p>
    <w:p>
      <w:pPr>
        <w:pStyle w:val="925"/>
        <w:jc w:val="center"/>
        <w:rPr>
          <w:rFonts w:ascii="黑体" w:hAnsi="黑体" w:eastAsia="黑体"/>
          <w:b w:val="0"/>
          <w:bCs w:val="0"/>
          <w:sz w:val="28"/>
        </w:rPr>
      </w:pPr>
      <w:r>
        <w:rPr>
          <w:rFonts w:hint="eastAsia" w:ascii="宋体" w:hAnsi="宋体"/>
          <w:sz w:val="24"/>
          <w:szCs w:val="24"/>
        </w:rPr>
        <w:br w:type="page" w:clear="all"/>
      </w:r>
      <w:bookmarkStart w:id="101" w:name="_Toc157174692"/>
      <w:r>
        <w:rPr>
          <w:rFonts w:hint="eastAsia" w:ascii="黑体" w:hAnsi="黑体" w:eastAsia="黑体"/>
          <w:b w:val="0"/>
          <w:bCs w:val="0"/>
          <w:sz w:val="36"/>
          <w:szCs w:val="36"/>
        </w:rPr>
        <w:t xml:space="preserve">第五章 政府采购合同（格式）</w:t>
      </w:r>
      <w:bookmarkEnd w:id="94"/>
      <w:r/>
      <w:bookmarkEnd w:id="95"/>
      <w:r/>
      <w:bookmarkEnd w:id="96"/>
      <w:r/>
      <w:bookmarkEnd w:id="101"/>
      <w:r/>
      <w:r/>
    </w:p>
    <w:p>
      <w:pPr>
        <w:pStyle w:val="944"/>
        <w:ind w:firstLine="0"/>
        <w:jc w:val="right"/>
        <w:rPr>
          <w:rFonts w:hAnsi="宋体" w:cs="宋体"/>
          <w:b/>
          <w:sz w:val="28"/>
          <w:szCs w:val="28"/>
          <w:lang w:val="zh-CN"/>
        </w:rPr>
      </w:pPr>
      <w:r>
        <w:rPr>
          <w:rFonts w:hAnsi="宋体" w:cs="宋体"/>
          <w:b/>
          <w:sz w:val="28"/>
          <w:szCs w:val="28"/>
          <w:lang w:val="zh-CN"/>
        </w:rPr>
      </w:r>
      <w:r/>
    </w:p>
    <w:p>
      <w:pPr>
        <w:pStyle w:val="944"/>
        <w:ind w:firstLine="0"/>
        <w:jc w:val="right"/>
        <w:rPr>
          <w:rFonts w:hAnsi="宋体" w:cs="宋体"/>
          <w:szCs w:val="24"/>
        </w:rPr>
      </w:pPr>
      <w:r>
        <w:rPr>
          <w:rFonts w:hAnsi="宋体" w:cs="宋体"/>
          <w:szCs w:val="24"/>
        </w:rPr>
      </w:r>
      <w:r/>
    </w:p>
    <w:p>
      <w:pPr>
        <w:pStyle w:val="944"/>
        <w:ind w:firstLine="0"/>
        <w:rPr>
          <w:rFonts w:hAnsi="宋体" w:cs="宋体"/>
          <w:szCs w:val="24"/>
        </w:rPr>
      </w:pPr>
      <w:r>
        <w:rPr>
          <w:rFonts w:hAnsi="宋体" w:cs="宋体"/>
          <w:szCs w:val="24"/>
        </w:rPr>
      </w:r>
      <w:r/>
    </w:p>
    <w:p>
      <w:pPr>
        <w:pStyle w:val="944"/>
        <w:ind w:firstLine="0"/>
        <w:rPr>
          <w:rFonts w:hAnsi="宋体" w:cs="宋体"/>
          <w:szCs w:val="24"/>
        </w:rPr>
      </w:pPr>
      <w:r>
        <w:rPr>
          <w:rFonts w:hAnsi="宋体" w:cs="宋体"/>
          <w:szCs w:val="24"/>
        </w:rPr>
      </w:r>
      <w:r/>
    </w:p>
    <w:p>
      <w:pPr>
        <w:pStyle w:val="944"/>
        <w:ind w:firstLine="0"/>
        <w:jc w:val="center"/>
        <w:rPr>
          <w:rFonts w:hAnsi="宋体" w:cs="宋体"/>
          <w:b/>
          <w:szCs w:val="24"/>
        </w:rPr>
      </w:pPr>
      <w:r>
        <w:rPr>
          <w:rFonts w:hint="eastAsia" w:hAnsi="宋体" w:cs="宋体"/>
          <w:b/>
          <w:szCs w:val="24"/>
        </w:rPr>
        <w:t xml:space="preserve">第一部分 合同书</w:t>
      </w:r>
      <w:r/>
    </w:p>
    <w:p>
      <w:pPr>
        <w:pStyle w:val="944"/>
        <w:ind w:firstLine="0"/>
        <w:rPr>
          <w:rFonts w:hAnsi="宋体" w:cs="宋体"/>
          <w:szCs w:val="24"/>
        </w:rPr>
      </w:pPr>
      <w:r>
        <w:rPr>
          <w:rFonts w:hAnsi="宋体" w:cs="宋体"/>
          <w:szCs w:val="24"/>
        </w:rPr>
      </w:r>
      <w:r/>
    </w:p>
    <w:p>
      <w:pPr>
        <w:pStyle w:val="944"/>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945"/>
        <w:spacing w:before="120" w:line="22" w:lineRule="atLeast"/>
        <w:rPr>
          <w:rFonts w:ascii="宋体" w:hAnsi="宋体" w:eastAsia="宋体" w:cs="宋体"/>
          <w:szCs w:val="24"/>
        </w:rPr>
      </w:pPr>
      <w:r>
        <w:rPr>
          <w:rFonts w:ascii="宋体" w:hAnsi="宋体" w:eastAsia="宋体" w:cs="宋体"/>
          <w:szCs w:val="24"/>
        </w:rPr>
      </w:r>
      <w:r/>
    </w:p>
    <w:p>
      <w:pPr>
        <w:pStyle w:val="945"/>
        <w:ind w:firstLine="960"/>
        <w:spacing w:before="120" w:line="22" w:lineRule="atLeast"/>
        <w:rPr>
          <w:rFonts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sz w:val="24"/>
        </w:rPr>
      </w:r>
      <w:r/>
    </w:p>
    <w:p>
      <w:pPr>
        <w:ind w:firstLine="480"/>
        <w:spacing w:line="560" w:lineRule="exact"/>
        <w:rPr>
          <w:rFonts w:ascii="宋体" w:hAnsi="宋体" w:cs="宋体"/>
          <w:sz w:val="24"/>
        </w:rPr>
      </w:pPr>
      <w:r/>
      <w:bookmarkStart w:id="102" w:name="_Toc28855"/>
      <w:r/>
      <w:bookmarkStart w:id="103" w:name="_Toc15367"/>
      <w:r/>
      <w:bookmarkStart w:id="104" w:name="_Toc19273"/>
      <w:r/>
      <w:bookmarkStart w:id="105" w:name="_Toc22967"/>
      <w:r/>
      <w:bookmarkStart w:id="106" w:name="_Toc20421"/>
      <w:r/>
      <w:bookmarkEnd w:id="97"/>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07" w:name="_Hlk151450445"/>
      <w:r>
        <w:rPr>
          <w:rFonts w:hint="eastAsia" w:ascii="宋体" w:hAnsi="宋体" w:cs="宋体"/>
          <w:sz w:val="24"/>
          <w:u w:val="single"/>
        </w:rPr>
        <w:t xml:space="preserve"> 宜兴高等职业技术学校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宜兴高等职业技术学校物业管理服务项目 </w:t>
      </w:r>
      <w:r>
        <w:rPr>
          <w:rFonts w:hint="eastAsia" w:ascii="宋体" w:hAnsi="宋体" w:cs="宋体"/>
          <w:sz w:val="24"/>
        </w:rPr>
        <w:t xml:space="preserve">进行了采购。</w:t>
      </w:r>
      <w:bookmarkEnd w:id="107"/>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宜兴高等职业技术学校</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08" w:name="_Hlk151450466"/>
      <w:r>
        <w:rPr>
          <w:rFonts w:hint="eastAsia" w:ascii="宋体" w:hAnsi="宋体" w:cs="宋体"/>
          <w:sz w:val="24"/>
          <w:lang w:val="zh-CN"/>
        </w:rPr>
        <w:t xml:space="preserve">经</w:t>
      </w:r>
      <w:r>
        <w:rPr>
          <w:rFonts w:hint="eastAsia" w:ascii="宋体" w:hAnsi="宋体" w:cs="宋体"/>
          <w:sz w:val="24"/>
          <w:u w:val="single"/>
        </w:rPr>
        <w:t xml:space="preserve"> 宜兴高等职业技术学校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08"/>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spacing w:line="560" w:lineRule="exact"/>
        <w:rPr>
          <w:rFonts w:ascii="宋体" w:hAnsi="宋体" w:cs="宋体"/>
          <w:sz w:val="24"/>
          <w:szCs w:val="24"/>
        </w:rPr>
      </w:pPr>
      <w:r>
        <w:rPr>
          <w:rFonts w:hint="eastAsia" w:ascii="宋体" w:hAnsi="宋体" w:cs="宋体"/>
          <w:b/>
          <w:sz w:val="24"/>
          <w:szCs w:val="24"/>
        </w:rPr>
        <w:t xml:space="preserve">1.1 合同组成部分</w:t>
      </w:r>
      <w:bookmarkEnd w:id="102"/>
      <w:r/>
      <w:bookmarkEnd w:id="103"/>
      <w:r/>
      <w:bookmarkEnd w:id="104"/>
      <w:r/>
      <w:bookmarkEnd w:id="105"/>
      <w:r/>
      <w:bookmarkEnd w:id="106"/>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ascii="宋体" w:hAnsi="宋体" w:cs="宋体"/>
          <w:b/>
          <w:sz w:val="24"/>
          <w:szCs w:val="24"/>
        </w:rPr>
      </w:pPr>
      <w:r/>
      <w:bookmarkStart w:id="109" w:name="_Toc6311"/>
      <w:r/>
      <w:bookmarkStart w:id="110" w:name="_Toc18585"/>
      <w:r/>
      <w:bookmarkStart w:id="111" w:name="_Toc2918"/>
      <w:r/>
      <w:bookmarkStart w:id="112" w:name="_Toc6773"/>
      <w:r/>
      <w:bookmarkStart w:id="113" w:name="_Toc22185"/>
      <w:r>
        <w:rPr>
          <w:rFonts w:hint="eastAsia" w:ascii="宋体" w:hAnsi="宋体" w:cs="宋体"/>
          <w:b/>
          <w:sz w:val="24"/>
          <w:szCs w:val="24"/>
        </w:rPr>
        <w:t xml:space="preserve">1.2 标的</w:t>
      </w:r>
      <w:bookmarkEnd w:id="109"/>
      <w:r/>
      <w:bookmarkEnd w:id="110"/>
      <w:r/>
      <w:bookmarkEnd w:id="111"/>
      <w:r/>
      <w:bookmarkEnd w:id="112"/>
      <w:r/>
      <w:bookmarkEnd w:id="113"/>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14" w:name="_Toc13918"/>
      <w:r/>
      <w:bookmarkStart w:id="115" w:name="_Toc5635"/>
      <w:r/>
      <w:bookmarkStart w:id="116" w:name="_Toc21124"/>
      <w:r/>
      <w:bookmarkStart w:id="117" w:name="_Toc4929"/>
      <w:r/>
      <w:bookmarkStart w:id="118" w:name="_Toc1386"/>
      <w:r>
        <w:rPr>
          <w:rFonts w:hint="eastAsia" w:ascii="宋体" w:hAnsi="宋体" w:cs="宋体"/>
          <w:b/>
          <w:sz w:val="24"/>
          <w:szCs w:val="24"/>
        </w:rPr>
        <w:t xml:space="preserve">1.3 价款</w:t>
      </w:r>
      <w:bookmarkEnd w:id="114"/>
      <w:r/>
      <w:bookmarkEnd w:id="115"/>
      <w:r/>
      <w:bookmarkEnd w:id="116"/>
      <w:r/>
      <w:bookmarkEnd w:id="117"/>
      <w:r/>
      <w:bookmarkEnd w:id="118"/>
      <w:r/>
      <w:r/>
    </w:p>
    <w:p>
      <w:pPr>
        <w:ind w:firstLine="480"/>
        <w:spacing w:line="560" w:lineRule="exact"/>
        <w:rPr>
          <w:rFonts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分项价格：</w:t>
      </w:r>
      <w:r/>
    </w:p>
    <w:tbl>
      <w:tblPr>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46"/>
              <w:jc w:val="center"/>
              <w:spacing w:line="560" w:lineRule="exact"/>
              <w:rPr>
                <w:rFonts w:hAnsi="宋体" w:cs="宋体"/>
                <w:color w:val="000000"/>
                <w:sz w:val="24"/>
                <w:szCs w:val="24"/>
              </w:rPr>
            </w:pPr>
            <w:r>
              <w:rPr>
                <w:rFonts w:hint="eastAsia" w:hAnsi="宋体" w:cs="宋体"/>
                <w:color w:val="000000"/>
                <w:sz w:val="24"/>
                <w:szCs w:val="24"/>
              </w:rPr>
              <w:t xml:space="preserve">序号</w:t>
            </w:r>
            <w:r/>
          </w:p>
        </w:tc>
        <w:tc>
          <w:tcPr>
            <w:tcW w:w="3402" w:type="dxa"/>
            <w:vAlign w:val="center"/>
            <w:textDirection w:val="lrTb"/>
            <w:noWrap w:val="false"/>
          </w:tcPr>
          <w:p>
            <w:pPr>
              <w:pStyle w:val="946"/>
              <w:ind w:firstLine="200"/>
              <w:jc w:val="center"/>
              <w:spacing w:line="560" w:lineRule="exact"/>
              <w:rPr>
                <w:rFonts w:hAnsi="宋体" w:cs="宋体"/>
                <w:color w:val="000000"/>
                <w:sz w:val="24"/>
                <w:szCs w:val="24"/>
              </w:rPr>
            </w:pPr>
            <w:r>
              <w:rPr>
                <w:rFonts w:hint="eastAsia" w:hAnsi="宋体" w:cs="宋体"/>
                <w:color w:val="000000"/>
                <w:sz w:val="24"/>
                <w:szCs w:val="24"/>
              </w:rPr>
              <w:t xml:space="preserve">分项名称</w:t>
            </w:r>
            <w:r/>
          </w:p>
        </w:tc>
        <w:tc>
          <w:tcPr>
            <w:tcW w:w="2552" w:type="dxa"/>
            <w:vAlign w:val="center"/>
            <w:textDirection w:val="lrTb"/>
            <w:noWrap w:val="false"/>
          </w:tcPr>
          <w:p>
            <w:pPr>
              <w:pStyle w:val="946"/>
              <w:jc w:val="center"/>
              <w:spacing w:line="560" w:lineRule="exact"/>
              <w:rPr>
                <w:rFonts w:hAnsi="宋体" w:cs="宋体"/>
                <w:color w:val="000000"/>
                <w:sz w:val="24"/>
                <w:szCs w:val="24"/>
              </w:rPr>
            </w:pPr>
            <w:r>
              <w:rPr>
                <w:rFonts w:hint="eastAsia" w:hAnsi="宋体" w:cs="宋体"/>
                <w:color w:val="000000"/>
                <w:sz w:val="24"/>
                <w:szCs w:val="24"/>
              </w:rPr>
              <w:t xml:space="preserve">分项价格</w:t>
            </w:r>
            <w:r/>
          </w:p>
        </w:tc>
      </w:tr>
      <w:tr>
        <w:trPr>
          <w:jc w:val="center"/>
          <w:trHeight w:val="369"/>
        </w:trPr>
        <w:tc>
          <w:tcPr>
            <w:tcW w:w="1201"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tcW w:w="1201"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340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c>
          <w:tcPr>
            <w:tcW w:w="255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369"/>
        </w:trPr>
        <w:tc>
          <w:tcPr>
            <w:gridSpan w:val="2"/>
            <w:tcW w:w="4603" w:type="dxa"/>
            <w:vAlign w:val="center"/>
            <w:textDirection w:val="lrTb"/>
            <w:noWrap w:val="false"/>
          </w:tcPr>
          <w:p>
            <w:pPr>
              <w:pStyle w:val="946"/>
              <w:ind w:firstLine="200"/>
              <w:jc w:val="center"/>
              <w:spacing w:line="560" w:lineRule="exact"/>
              <w:rPr>
                <w:rFonts w:hAnsi="宋体" w:cs="宋体"/>
                <w:color w:val="000000"/>
                <w:sz w:val="24"/>
                <w:szCs w:val="24"/>
              </w:rPr>
            </w:pPr>
            <w:r>
              <w:rPr>
                <w:rFonts w:hint="eastAsia" w:hAnsi="宋体" w:cs="宋体"/>
                <w:color w:val="000000"/>
                <w:sz w:val="24"/>
                <w:szCs w:val="24"/>
              </w:rPr>
              <w:t xml:space="preserve">总价</w:t>
            </w:r>
            <w:r/>
          </w:p>
        </w:tc>
        <w:tc>
          <w:tcPr>
            <w:tcW w:w="2552" w:type="dxa"/>
            <w:vAlign w:val="center"/>
            <w:textDirection w:val="lrTb"/>
            <w:noWrap w:val="false"/>
          </w:tcPr>
          <w:p>
            <w:pPr>
              <w:pStyle w:val="946"/>
              <w:ind w:firstLine="200"/>
              <w:jc w:val="center"/>
              <w:spacing w:line="560" w:lineRule="exact"/>
              <w:rPr>
                <w:rFonts w:hAnsi="宋体" w:cs="宋体"/>
                <w:color w:val="000000"/>
                <w:sz w:val="24"/>
                <w:szCs w:val="24"/>
              </w:rPr>
            </w:pPr>
            <w:r>
              <w:rPr>
                <w:rFonts w:hAnsi="宋体" w:cs="宋体"/>
                <w:color w:val="000000"/>
                <w:sz w:val="24"/>
                <w:szCs w:val="24"/>
              </w:rPr>
            </w:r>
            <w:r/>
          </w:p>
        </w:tc>
      </w:tr>
    </w:tbl>
    <w:p>
      <w:pPr>
        <w:ind w:firstLine="482"/>
        <w:spacing w:line="560" w:lineRule="exact"/>
        <w:rPr>
          <w:rFonts w:ascii="宋体" w:hAnsi="宋体" w:cs="宋体"/>
          <w:b/>
          <w:sz w:val="24"/>
          <w:szCs w:val="24"/>
        </w:rPr>
      </w:pPr>
      <w:r/>
      <w:bookmarkStart w:id="119" w:name="_Toc30506"/>
      <w:r/>
      <w:bookmarkStart w:id="120" w:name="_Toc3654"/>
      <w:r/>
      <w:bookmarkStart w:id="121" w:name="_Toc14993"/>
      <w:r/>
      <w:bookmarkStart w:id="122" w:name="_Toc30158"/>
      <w:r/>
      <w:bookmarkStart w:id="123" w:name="_Toc26916"/>
      <w:r>
        <w:rPr>
          <w:rFonts w:hint="eastAsia" w:ascii="宋体" w:hAnsi="宋体" w:cs="宋体"/>
          <w:b/>
          <w:sz w:val="24"/>
          <w:szCs w:val="24"/>
        </w:rPr>
        <w:t xml:space="preserve">1.4 付款方式和发票开具方式</w:t>
      </w:r>
      <w:bookmarkEnd w:id="119"/>
      <w:r/>
      <w:bookmarkEnd w:id="120"/>
      <w:r/>
      <w:bookmarkEnd w:id="121"/>
      <w:r/>
      <w:bookmarkEnd w:id="122"/>
      <w:r/>
      <w:bookmarkEnd w:id="123"/>
      <w:r/>
      <w:r/>
    </w:p>
    <w:p>
      <w:pPr>
        <w:ind w:firstLine="480"/>
        <w:spacing w:line="560" w:lineRule="exact"/>
        <w:rPr>
          <w:rFonts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24" w:name="_Toc3625"/>
      <w:r/>
      <w:bookmarkStart w:id="125" w:name="_Toc8772"/>
      <w:r/>
      <w:bookmarkStart w:id="126" w:name="_Toc31421"/>
      <w:r/>
      <w:bookmarkStart w:id="127" w:name="_Toc11108"/>
      <w:r/>
      <w:bookmarkStart w:id="128" w:name="_Toc4760"/>
      <w:r>
        <w:rPr>
          <w:rFonts w:hint="eastAsia" w:ascii="宋体" w:hAnsi="宋体" w:cs="宋体"/>
          <w:b/>
          <w:sz w:val="24"/>
          <w:szCs w:val="24"/>
        </w:rPr>
        <w:t xml:space="preserve">1.5 履行期限、地点和方式</w:t>
      </w:r>
      <w:bookmarkEnd w:id="124"/>
      <w:r/>
      <w:bookmarkEnd w:id="125"/>
      <w:r/>
      <w:bookmarkEnd w:id="126"/>
      <w:r/>
      <w:bookmarkEnd w:id="127"/>
      <w:r/>
      <w:bookmarkEnd w:id="128"/>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bookmarkStart w:id="129" w:name="_Toc2375"/>
      <w:r/>
      <w:bookmarkStart w:id="130" w:name="_Toc3079"/>
      <w:r/>
      <w:bookmarkStart w:id="131" w:name="_Toc24662"/>
      <w:r/>
      <w:bookmarkStart w:id="132" w:name="_Toc8586"/>
      <w:r/>
      <w:bookmarkStart w:id="133" w:name="_Toc5698"/>
      <w:r>
        <w:rPr>
          <w:rFonts w:hint="eastAsia" w:ascii="宋体" w:hAnsi="宋体" w:cs="宋体"/>
          <w:b/>
          <w:sz w:val="24"/>
          <w:szCs w:val="24"/>
        </w:rPr>
        <w:t xml:space="preserve">1.6 违约责任</w:t>
      </w:r>
      <w:bookmarkEnd w:id="129"/>
      <w:r/>
      <w:bookmarkEnd w:id="130"/>
      <w:r/>
      <w:bookmarkEnd w:id="131"/>
      <w:r/>
      <w:bookmarkEnd w:id="132"/>
      <w:r/>
      <w:bookmarkEnd w:id="133"/>
      <w:r/>
      <w:r/>
    </w:p>
    <w:p>
      <w:pPr>
        <w:ind w:firstLine="480"/>
        <w:spacing w:line="560" w:lineRule="exact"/>
        <w:rPr>
          <w:rFonts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hint="eastAsia" w:ascii="宋体" w:hAnsi="宋体" w:cs="宋体"/>
          <w:sz w:val="24"/>
          <w:szCs w:val="24"/>
        </w:rPr>
        <w:t xml:space="preserve">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sz w:val="24"/>
          <w:szCs w:val="24"/>
        </w:rPr>
      </w:pPr>
      <w:r/>
      <w:bookmarkStart w:id="134" w:name="_Toc26807"/>
      <w:r/>
      <w:bookmarkStart w:id="135" w:name="_Toc9497"/>
      <w:r/>
      <w:bookmarkStart w:id="136" w:name="_Toc18683"/>
      <w:r/>
      <w:bookmarkStart w:id="137" w:name="_Toc32454"/>
      <w:r/>
      <w:bookmarkStart w:id="138" w:name="_Toc30329"/>
      <w:r>
        <w:rPr>
          <w:rFonts w:hint="eastAsia" w:ascii="宋体" w:hAnsi="宋体" w:cs="宋体"/>
          <w:b/>
          <w:sz w:val="24"/>
          <w:szCs w:val="24"/>
        </w:rPr>
        <w:t xml:space="preserve">1.7 合同争议的解决</w:t>
      </w:r>
      <w:bookmarkEnd w:id="134"/>
      <w:r/>
      <w:bookmarkEnd w:id="135"/>
      <w:r/>
      <w:bookmarkEnd w:id="136"/>
      <w:r/>
      <w:bookmarkEnd w:id="137"/>
      <w:r/>
      <w:bookmarkEnd w:id="138"/>
      <w:r/>
      <w:r/>
    </w:p>
    <w:p>
      <w:pPr>
        <w:ind w:firstLine="480"/>
        <w:spacing w:line="560" w:lineRule="exact"/>
        <w:rPr>
          <w:rFonts w:ascii="宋体" w:hAnsi="宋体" w:cs="宋体"/>
          <w:sz w:val="24"/>
          <w:szCs w:val="24"/>
        </w:rPr>
      </w:pPr>
      <w:r/>
      <w:bookmarkStart w:id="139"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bookmarkStart w:id="140" w:name="_Hlk160021638"/>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r/>
    </w:p>
    <w:p>
      <w:pPr>
        <w:ind w:firstLine="480"/>
        <w:spacing w:line="56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spacing w:line="560" w:lineRule="exact"/>
        <w:rPr>
          <w:rFonts w:ascii="宋体" w:hAnsi="宋体" w:cs="宋体"/>
          <w:b/>
          <w:sz w:val="24"/>
          <w:szCs w:val="24"/>
        </w:rPr>
      </w:pPr>
      <w:r/>
      <w:bookmarkStart w:id="141" w:name="_Toc12273"/>
      <w:r/>
      <w:bookmarkStart w:id="142" w:name="_Toc26227"/>
      <w:r/>
      <w:bookmarkStart w:id="143" w:name="_Toc15827"/>
      <w:r/>
      <w:bookmarkStart w:id="144" w:name="_Toc23784"/>
      <w:r/>
      <w:bookmarkStart w:id="145" w:name="_Toc16417"/>
      <w:r/>
      <w:bookmarkEnd w:id="139"/>
      <w:r/>
      <w:bookmarkEnd w:id="140"/>
      <w:r>
        <w:rPr>
          <w:rFonts w:hint="eastAsia" w:ascii="宋体" w:hAnsi="宋体" w:cs="宋体"/>
          <w:b/>
          <w:sz w:val="24"/>
          <w:szCs w:val="24"/>
        </w:rPr>
        <w:t xml:space="preserve">1.8 合同生效</w:t>
      </w:r>
      <w:bookmarkEnd w:id="141"/>
      <w:r/>
      <w:bookmarkEnd w:id="142"/>
      <w:r/>
      <w:bookmarkEnd w:id="143"/>
      <w:r/>
      <w:bookmarkEnd w:id="144"/>
      <w:r/>
      <w:bookmarkEnd w:id="145"/>
      <w:r/>
      <w:r/>
    </w:p>
    <w:p>
      <w:pPr>
        <w:ind w:firstLine="480"/>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ascii="宋体" w:hAnsi="宋体" w:cs="宋体"/>
          <w:sz w:val="24"/>
        </w:rPr>
      </w:r>
      <w:r/>
    </w:p>
    <w:p>
      <w:pPr>
        <w:ind w:firstLine="1265"/>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 xml:space="preserve">统一社会信用代码或身份证号码：</w:t>
      </w:r>
      <w:r/>
    </w:p>
    <w:p>
      <w:pPr>
        <w:ind w:firstLine="1260"/>
        <w:spacing w:line="560" w:lineRule="exact"/>
        <w:rPr>
          <w:rFonts w:ascii="宋体" w:hAnsi="宋体" w:cs="宋体"/>
          <w:sz w:val="24"/>
          <w:szCs w:val="24"/>
          <w:lang w:val="zh-CN"/>
        </w:rPr>
      </w:pPr>
      <w:r>
        <w:rPr>
          <w:rFonts w:ascii="宋体" w:hAnsi="宋体" w:cs="宋体"/>
          <w:sz w:val="24"/>
          <w:szCs w:val="24"/>
          <w:lang w:val="zh-CN"/>
        </w:rPr>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ascii="宋体" w:hAnsi="宋体" w:cs="宋体"/>
          <w:b/>
          <w:sz w:val="24"/>
          <w:szCs w:val="24"/>
        </w:rPr>
      </w:pPr>
      <w:r/>
      <w:bookmarkStart w:id="146" w:name="_Toc331685783"/>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left"/>
        <w:spacing w:line="560" w:lineRule="exact"/>
        <w:widowControl/>
        <w:rPr>
          <w:rFonts w:ascii="宋体" w:hAnsi="宋体" w:cs="宋体"/>
          <w:b/>
          <w:sz w:val="24"/>
          <w:szCs w:val="24"/>
        </w:rPr>
      </w:pPr>
      <w:r>
        <w:rPr>
          <w:rFonts w:ascii="宋体" w:hAnsi="宋体" w:cs="宋体"/>
          <w:b/>
          <w:sz w:val="24"/>
          <w:szCs w:val="24"/>
        </w:rPr>
      </w:r>
      <w:r/>
    </w:p>
    <w:p>
      <w:pPr>
        <w:jc w:val="center"/>
        <w:spacing w:line="560" w:lineRule="exact"/>
        <w:widowControl/>
        <w:rPr>
          <w:rFonts w:hAnsi="宋体" w:cs="宋体"/>
          <w:b/>
          <w:szCs w:val="24"/>
        </w:rPr>
      </w:pPr>
      <w:r>
        <w:rPr>
          <w:rFonts w:ascii="宋体" w:hAnsi="宋体" w:cs="宋体"/>
          <w:b/>
          <w:sz w:val="24"/>
          <w:szCs w:val="24"/>
        </w:rPr>
        <w:br w:type="page" w:clear="all"/>
      </w:r>
      <w:r>
        <w:rPr>
          <w:rFonts w:hint="eastAsia" w:hAnsi="宋体" w:cs="宋体"/>
          <w:b/>
          <w:szCs w:val="24"/>
        </w:rPr>
        <w:t xml:space="preserve">第二部分</w:t>
      </w:r>
      <w:r>
        <w:rPr>
          <w:rFonts w:hint="eastAsia" w:hAnsi="宋体" w:cs="宋体"/>
          <w:b/>
          <w:szCs w:val="24"/>
        </w:rPr>
        <w:t xml:space="preserve"> </w:t>
      </w:r>
      <w:r>
        <w:rPr>
          <w:rFonts w:hint="eastAsia" w:hAnsi="宋体" w:cs="宋体"/>
          <w:b/>
          <w:szCs w:val="24"/>
        </w:rPr>
        <w:t xml:space="preserve">合同一般条款</w:t>
      </w:r>
      <w:bookmarkEnd w:id="146"/>
      <w:r/>
      <w:r/>
    </w:p>
    <w:p>
      <w:pPr>
        <w:ind w:firstLine="482"/>
        <w:spacing w:line="560" w:lineRule="exact"/>
        <w:rPr>
          <w:rFonts w:ascii="宋体" w:hAnsi="宋体" w:cs="宋体"/>
          <w:b/>
          <w:sz w:val="24"/>
          <w:szCs w:val="24"/>
        </w:rPr>
      </w:pPr>
      <w:r/>
      <w:bookmarkStart w:id="147" w:name="_Toc19680"/>
      <w:r/>
      <w:bookmarkStart w:id="148" w:name="_Ref467379195"/>
      <w:r/>
      <w:bookmarkStart w:id="149" w:name="_Toc487900349"/>
      <w:r/>
      <w:bookmarkStart w:id="150" w:name="_Ref467379101"/>
      <w:r/>
      <w:bookmarkStart w:id="151" w:name="_Ref467379109"/>
      <w:r/>
      <w:bookmarkStart w:id="152" w:name="_Ref467379205"/>
      <w:r/>
      <w:bookmarkStart w:id="153" w:name="_Ref467378463"/>
      <w:r/>
      <w:bookmarkStart w:id="154" w:name="_Toc31297"/>
      <w:r/>
      <w:bookmarkStart w:id="155" w:name="_Toc5228"/>
      <w:r/>
      <w:bookmarkStart w:id="156" w:name="_Toc259093669"/>
      <w:r/>
      <w:bookmarkStart w:id="157" w:name="_Ref467379214"/>
      <w:r/>
      <w:bookmarkStart w:id="158" w:name="_Ref467379094"/>
      <w:r/>
      <w:bookmarkStart w:id="159" w:name="_Toc25079"/>
      <w:r/>
      <w:bookmarkStart w:id="160" w:name="_Ref467379225"/>
      <w:r/>
      <w:bookmarkStart w:id="161" w:name="_Ref467378404"/>
      <w:r/>
      <w:bookmarkStart w:id="162" w:name="_Toc14021"/>
      <w:r/>
      <w:bookmarkStart w:id="163" w:name="_Ref467378499"/>
      <w:r/>
      <w:bookmarkStart w:id="164" w:name="_Toc279701240"/>
      <w:r>
        <w:rPr>
          <w:rFonts w:hint="eastAsia" w:ascii="宋体" w:hAnsi="宋体" w:cs="宋体"/>
          <w:b/>
          <w:sz w:val="24"/>
          <w:szCs w:val="24"/>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65" w:name="_Ref467378840"/>
      <w:r>
        <w:rPr>
          <w:rFonts w:hint="eastAsia" w:ascii="宋体" w:hAnsi="宋体" w:cs="宋体"/>
          <w:sz w:val="24"/>
          <w:szCs w:val="24"/>
        </w:rPr>
        <w:t xml:space="preserve">2.1.4 “甲方”系指与中标供应商签署合同的采购人</w:t>
      </w:r>
      <w:bookmarkEnd w:id="165"/>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66" w:name="_Ref467379400"/>
      <w:r>
        <w:rPr>
          <w:rFonts w:hint="eastAsia" w:ascii="宋体" w:hAnsi="宋体" w:cs="宋体"/>
          <w:sz w:val="24"/>
          <w:szCs w:val="24"/>
        </w:rPr>
        <w:t xml:space="preserve">2.1.5 “乙方”系指根据合同约定提供服务的中标供应商</w:t>
      </w:r>
      <w:bookmarkEnd w:id="166"/>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67" w:name="_Ref467379436"/>
      <w:r>
        <w:rPr>
          <w:rFonts w:hint="eastAsia" w:ascii="宋体" w:hAnsi="宋体" w:cs="宋体"/>
          <w:sz w:val="24"/>
          <w:szCs w:val="24"/>
        </w:rPr>
        <w:t xml:space="preserve">2.1.6 “现场”系指合同约定提供服务的地点。</w:t>
      </w:r>
      <w:bookmarkEnd w:id="167"/>
      <w:r/>
      <w:r/>
    </w:p>
    <w:p>
      <w:pPr>
        <w:ind w:firstLine="482"/>
        <w:spacing w:line="560" w:lineRule="exact"/>
        <w:rPr>
          <w:rFonts w:ascii="宋体" w:hAnsi="宋体" w:cs="宋体"/>
          <w:b/>
          <w:sz w:val="24"/>
          <w:szCs w:val="24"/>
        </w:rPr>
      </w:pPr>
      <w:r/>
      <w:bookmarkStart w:id="168" w:name="_Toc31402"/>
      <w:r/>
      <w:bookmarkStart w:id="169" w:name="_Toc259093670"/>
      <w:r/>
      <w:bookmarkStart w:id="170" w:name="_Toc16752"/>
      <w:r/>
      <w:bookmarkStart w:id="171" w:name="_Toc23289"/>
      <w:r/>
      <w:bookmarkStart w:id="172" w:name="_Toc279701241"/>
      <w:r/>
      <w:bookmarkStart w:id="173" w:name="_Toc487900350"/>
      <w:r/>
      <w:bookmarkStart w:id="174" w:name="_Toc3769"/>
      <w:r/>
      <w:bookmarkStart w:id="175" w:name="_Toc19539"/>
      <w:r>
        <w:rPr>
          <w:rFonts w:hint="eastAsia" w:ascii="宋体" w:hAnsi="宋体" w:cs="宋体"/>
          <w:b/>
          <w:sz w:val="24"/>
          <w:szCs w:val="24"/>
        </w:rPr>
        <w:t xml:space="preserve">2.2 技术规范</w:t>
      </w:r>
      <w:bookmarkEnd w:id="168"/>
      <w:r/>
      <w:bookmarkEnd w:id="169"/>
      <w:r/>
      <w:bookmarkEnd w:id="170"/>
      <w:r/>
      <w:bookmarkEnd w:id="171"/>
      <w:r/>
      <w:bookmarkEnd w:id="172"/>
      <w:r/>
      <w:bookmarkEnd w:id="173"/>
      <w:r/>
      <w:bookmarkEnd w:id="174"/>
      <w:r/>
      <w:bookmarkEnd w:id="175"/>
      <w:r/>
      <w:r/>
    </w:p>
    <w:p>
      <w:pPr>
        <w:ind w:firstLine="480"/>
        <w:spacing w:line="560" w:lineRule="exact"/>
        <w:rPr>
          <w:rFonts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pPr>
      <w:r/>
      <w:bookmarkStart w:id="176" w:name="_Toc27945"/>
      <w:r/>
      <w:bookmarkStart w:id="177" w:name="_Toc259093671"/>
      <w:r/>
      <w:bookmarkStart w:id="178" w:name="_Toc4133"/>
      <w:r/>
      <w:bookmarkStart w:id="179" w:name="_Toc487900351"/>
      <w:r/>
      <w:bookmarkStart w:id="180" w:name="_Toc12412"/>
      <w:r/>
      <w:bookmarkStart w:id="181" w:name="_Toc279701242"/>
      <w:r/>
      <w:bookmarkStart w:id="182" w:name="_Toc9161"/>
      <w:r/>
      <w:bookmarkStart w:id="183" w:name="_Toc13673"/>
      <w:r>
        <w:rPr>
          <w:rFonts w:hint="eastAsia" w:ascii="宋体" w:hAnsi="宋体" w:cs="宋体"/>
          <w:b/>
          <w:sz w:val="24"/>
          <w:szCs w:val="24"/>
        </w:rPr>
        <w:t xml:space="preserve">2.3 知识产权</w:t>
      </w:r>
      <w:bookmarkEnd w:id="176"/>
      <w:r/>
      <w:bookmarkEnd w:id="177"/>
      <w:r/>
      <w:bookmarkEnd w:id="178"/>
      <w:r/>
      <w:bookmarkEnd w:id="179"/>
      <w:r/>
      <w:bookmarkEnd w:id="180"/>
      <w:r/>
      <w:bookmarkEnd w:id="181"/>
      <w:r/>
      <w:bookmarkEnd w:id="182"/>
      <w:r/>
      <w:bookmarkEnd w:id="183"/>
      <w:r/>
      <w:r/>
    </w:p>
    <w:p>
      <w:pPr>
        <w:ind w:firstLine="480"/>
        <w:spacing w:line="560" w:lineRule="exact"/>
        <w:rPr>
          <w:rFonts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ascii="宋体" w:hAnsi="宋体" w:cs="宋体"/>
          <w:sz w:val="24"/>
          <w:szCs w:val="24"/>
        </w:rPr>
      </w:pPr>
      <w:r/>
      <w:bookmarkStart w:id="184" w:name="_Ref467379657"/>
      <w:r>
        <w:rPr>
          <w:rFonts w:hint="eastAsia" w:ascii="宋体" w:hAnsi="宋体" w:cs="宋体"/>
          <w:sz w:val="24"/>
          <w:szCs w:val="24"/>
        </w:rPr>
        <w:t xml:space="preserve">2.4.1</w:t>
      </w:r>
      <w:bookmarkStart w:id="185" w:name="_Toc186431854"/>
      <w:r/>
      <w:bookmarkStart w:id="186" w:name="_Toc487900357"/>
      <w:r/>
      <w:bookmarkStart w:id="187" w:name="_Toc259093676"/>
      <w:r/>
      <w:bookmarkStart w:id="188" w:name="_Ref467379793"/>
      <w:r/>
      <w:bookmarkStart w:id="189" w:name="_Ref467379807"/>
      <w:r/>
      <w:bookmarkStart w:id="190" w:name="_Toc279701247"/>
      <w:r/>
      <w:bookmarkEnd w:id="184"/>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Start w:id="191" w:name="_Toc186431855"/>
      <w:r/>
      <w:bookmarkEnd w:id="185"/>
      <w:r>
        <w:rPr>
          <w:rFonts w:hint="eastAsia" w:ascii="宋体" w:hAnsi="宋体" w:cs="宋体"/>
          <w:sz w:val="24"/>
          <w:szCs w:val="24"/>
        </w:rPr>
        <w:t xml:space="preserve">。</w:t>
      </w:r>
      <w:r/>
    </w:p>
    <w:p>
      <w:pPr>
        <w:ind w:firstLine="482"/>
        <w:spacing w:line="560" w:lineRule="exact"/>
        <w:rPr>
          <w:rFonts w:ascii="宋体" w:hAnsi="宋体" w:cs="宋体"/>
          <w:b/>
          <w:sz w:val="24"/>
          <w:szCs w:val="24"/>
        </w:rPr>
      </w:pPr>
      <w:r/>
      <w:bookmarkStart w:id="192" w:name="_Toc279701248"/>
      <w:r/>
      <w:bookmarkStart w:id="193" w:name="_Ref467379852"/>
      <w:r/>
      <w:bookmarkStart w:id="194" w:name="_Ref467379863"/>
      <w:r/>
      <w:bookmarkStart w:id="195" w:name="_Toc487900358"/>
      <w:r/>
      <w:bookmarkStart w:id="196" w:name="_Toc259093677"/>
      <w:r/>
      <w:bookmarkStart w:id="197" w:name="_Ref467379923"/>
      <w:r/>
      <w:bookmarkStart w:id="198" w:name="_Toc16163"/>
      <w:r/>
      <w:bookmarkStart w:id="199" w:name="_Toc18990"/>
      <w:r/>
      <w:bookmarkStart w:id="200" w:name="_Toc13467"/>
      <w:r/>
      <w:bookmarkStart w:id="201" w:name="_Toc13154"/>
      <w:r/>
      <w:bookmarkStart w:id="202" w:name="_Toc30507"/>
      <w:r/>
      <w:bookmarkEnd w:id="186"/>
      <w:r/>
      <w:bookmarkEnd w:id="187"/>
      <w:r/>
      <w:bookmarkEnd w:id="188"/>
      <w:r/>
      <w:bookmarkEnd w:id="189"/>
      <w:r/>
      <w:bookmarkEnd w:id="190"/>
      <w:r/>
      <w:bookmarkEnd w:id="191"/>
      <w:r>
        <w:rPr>
          <w:rFonts w:hint="eastAsia" w:ascii="宋体" w:hAnsi="宋体" w:cs="宋体"/>
          <w:b/>
          <w:sz w:val="24"/>
          <w:szCs w:val="24"/>
        </w:rPr>
        <w:t xml:space="preserve">2.5 技术资料</w:t>
      </w:r>
      <w:bookmarkEnd w:id="192"/>
      <w:r/>
      <w:bookmarkEnd w:id="193"/>
      <w:r/>
      <w:bookmarkEnd w:id="194"/>
      <w:r/>
      <w:bookmarkEnd w:id="195"/>
      <w:r/>
      <w:bookmarkEnd w:id="196"/>
      <w:r/>
      <w:bookmarkEnd w:id="197"/>
      <w:r>
        <w:rPr>
          <w:rFonts w:hint="eastAsia" w:ascii="宋体" w:hAnsi="宋体" w:cs="宋体"/>
          <w:b/>
          <w:sz w:val="24"/>
          <w:szCs w:val="24"/>
        </w:rPr>
        <w:t xml:space="preserve">和保密义务</w:t>
      </w:r>
      <w:bookmarkEnd w:id="198"/>
      <w:r/>
      <w:bookmarkEnd w:id="199"/>
      <w:r/>
      <w:bookmarkEnd w:id="200"/>
      <w:r/>
      <w:bookmarkEnd w:id="201"/>
      <w:r/>
      <w:bookmarkEnd w:id="202"/>
      <w:r/>
      <w:r/>
    </w:p>
    <w:p>
      <w:pPr>
        <w:ind w:firstLine="480"/>
        <w:spacing w:line="560" w:lineRule="exact"/>
        <w:rPr>
          <w:rFonts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rPr>
      </w:pPr>
      <w:r/>
      <w:bookmarkStart w:id="203" w:name="_Toc19069"/>
      <w:r/>
      <w:bookmarkStart w:id="204" w:name="_Toc487900362"/>
      <w:r/>
      <w:bookmarkStart w:id="205" w:name="_Toc259093681"/>
      <w:r/>
      <w:bookmarkStart w:id="206" w:name="_Toc279701252"/>
      <w:r>
        <w:rPr>
          <w:rFonts w:hint="eastAsia" w:ascii="宋体" w:hAnsi="宋体" w:cs="宋体"/>
          <w:b/>
          <w:sz w:val="24"/>
          <w:szCs w:val="24"/>
        </w:rPr>
        <w:t xml:space="preserve">2.6 质量保证</w:t>
      </w:r>
      <w:bookmarkEnd w:id="203"/>
      <w:r/>
      <w:r/>
    </w:p>
    <w:p>
      <w:pPr>
        <w:ind w:firstLine="480"/>
        <w:spacing w:line="560" w:lineRule="exact"/>
        <w:rPr>
          <w:rFonts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pPr>
      <w:r/>
      <w:bookmarkStart w:id="207" w:name="_Toc22267"/>
      <w:r>
        <w:rPr>
          <w:rFonts w:hint="eastAsia" w:ascii="宋体" w:hAnsi="宋体" w:cs="宋体"/>
          <w:b/>
          <w:sz w:val="24"/>
          <w:szCs w:val="24"/>
        </w:rPr>
        <w:t xml:space="preserve">2.7 延迟</w:t>
      </w:r>
      <w:bookmarkEnd w:id="204"/>
      <w:r/>
      <w:bookmarkEnd w:id="205"/>
      <w:r/>
      <w:bookmarkEnd w:id="206"/>
      <w:r>
        <w:rPr>
          <w:rFonts w:hint="eastAsia" w:ascii="宋体" w:hAnsi="宋体" w:cs="宋体"/>
          <w:b/>
          <w:sz w:val="24"/>
          <w:szCs w:val="24"/>
        </w:rPr>
        <w:t xml:space="preserve">履行</w:t>
      </w:r>
      <w:bookmarkEnd w:id="207"/>
      <w:r/>
      <w:r/>
    </w:p>
    <w:p>
      <w:pPr>
        <w:ind w:firstLine="480"/>
        <w:spacing w:line="560" w:lineRule="exact"/>
        <w:rPr>
          <w:rFonts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rPr>
      </w:pPr>
      <w:r/>
      <w:bookmarkStart w:id="208" w:name="_Toc10611"/>
      <w:r/>
      <w:bookmarkStart w:id="209" w:name="_Toc259093683"/>
      <w:r/>
      <w:bookmarkStart w:id="210" w:name="_Toc487900364"/>
      <w:r/>
      <w:bookmarkStart w:id="211" w:name="_Ref467378121"/>
      <w:r/>
      <w:bookmarkStart w:id="212" w:name="_Toc279701254"/>
      <w:r>
        <w:rPr>
          <w:rFonts w:hint="eastAsia" w:ascii="宋体" w:hAnsi="宋体" w:cs="宋体"/>
          <w:b/>
          <w:sz w:val="24"/>
          <w:szCs w:val="24"/>
        </w:rPr>
        <w:t xml:space="preserve">2.8 合同变更</w:t>
      </w:r>
      <w:bookmarkEnd w:id="208"/>
      <w:r/>
      <w:r/>
    </w:p>
    <w:p>
      <w:pPr>
        <w:ind w:firstLine="480"/>
        <w:spacing w:line="560" w:lineRule="exact"/>
        <w:rPr>
          <w:rFonts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w:t>
      </w:r>
      <w:r>
        <w:rPr>
          <w:rFonts w:hint="eastAsia" w:ascii="宋体" w:hAnsi="宋体" w:cs="宋体"/>
          <w:sz w:val="24"/>
          <w:szCs w:val="24"/>
        </w:rPr>
        <w:t xml:space="preserve">得超过原合同价的10%；</w:t>
      </w:r>
      <w:r/>
    </w:p>
    <w:p>
      <w:pPr>
        <w:ind w:firstLine="480"/>
        <w:spacing w:line="560" w:lineRule="exact"/>
        <w:rPr>
          <w:rFonts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13" w:name="_Toc279701259"/>
      <w:r/>
      <w:bookmarkStart w:id="214" w:name="_Toc487900369"/>
      <w:r/>
      <w:bookmarkStart w:id="215" w:name="_Toc259093688"/>
      <w:r/>
      <w:r/>
    </w:p>
    <w:p>
      <w:pPr>
        <w:ind w:firstLine="482"/>
        <w:spacing w:line="560" w:lineRule="exact"/>
        <w:rPr>
          <w:rFonts w:ascii="宋体" w:hAnsi="宋体" w:cs="宋体"/>
          <w:b/>
          <w:sz w:val="24"/>
          <w:szCs w:val="24"/>
        </w:rPr>
      </w:pPr>
      <w:r/>
      <w:bookmarkStart w:id="216" w:name="_Toc23368"/>
      <w:r/>
      <w:bookmarkStart w:id="217" w:name="_Toc42"/>
      <w:r/>
      <w:bookmarkStart w:id="218" w:name="_Toc10663"/>
      <w:r/>
      <w:bookmarkStart w:id="219" w:name="_Toc21830"/>
      <w:r/>
      <w:bookmarkStart w:id="220" w:name="_Toc26689"/>
      <w:r>
        <w:rPr>
          <w:rFonts w:hint="eastAsia" w:ascii="宋体" w:hAnsi="宋体" w:cs="宋体"/>
          <w:b/>
          <w:sz w:val="24"/>
          <w:szCs w:val="24"/>
        </w:rPr>
        <w:t xml:space="preserve">2.9 合同转让</w:t>
      </w:r>
      <w:bookmarkEnd w:id="213"/>
      <w:r/>
      <w:bookmarkEnd w:id="214"/>
      <w:r/>
      <w:bookmarkEnd w:id="215"/>
      <w:r>
        <w:rPr>
          <w:rFonts w:hint="eastAsia" w:ascii="宋体" w:hAnsi="宋体" w:cs="宋体"/>
          <w:b/>
          <w:sz w:val="24"/>
          <w:szCs w:val="24"/>
        </w:rPr>
        <w:t xml:space="preserve">和分包</w:t>
      </w:r>
      <w:bookmarkEnd w:id="216"/>
      <w:r/>
      <w:bookmarkEnd w:id="217"/>
      <w:r/>
      <w:bookmarkEnd w:id="218"/>
      <w:r/>
      <w:bookmarkEnd w:id="219"/>
      <w:r/>
      <w:bookmarkEnd w:id="220"/>
      <w:r/>
      <w:r/>
    </w:p>
    <w:p>
      <w:pPr>
        <w:ind w:firstLine="480"/>
        <w:spacing w:line="560" w:lineRule="exact"/>
        <w:rPr>
          <w:rFonts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rPr>
      </w:pPr>
      <w:r/>
      <w:bookmarkStart w:id="221" w:name="_Toc14371"/>
      <w:r/>
      <w:bookmarkStart w:id="222" w:name="_Toc26633"/>
      <w:r/>
      <w:bookmarkStart w:id="223" w:name="_Toc4720"/>
      <w:r/>
      <w:bookmarkStart w:id="224" w:name="_Toc25571"/>
      <w:r/>
      <w:bookmarkStart w:id="225" w:name="_Toc32494"/>
      <w:r>
        <w:rPr>
          <w:rFonts w:hint="eastAsia" w:ascii="宋体" w:hAnsi="宋体" w:cs="宋体"/>
          <w:b/>
          <w:sz w:val="24"/>
          <w:szCs w:val="24"/>
        </w:rPr>
        <w:t xml:space="preserve">2.10 不可抗力</w:t>
      </w:r>
      <w:bookmarkEnd w:id="221"/>
      <w:r/>
      <w:bookmarkEnd w:id="222"/>
      <w:r/>
      <w:bookmarkEnd w:id="223"/>
      <w:r/>
      <w:bookmarkEnd w:id="224"/>
      <w:r/>
      <w:bookmarkEnd w:id="225"/>
      <w:r/>
      <w:r/>
    </w:p>
    <w:p>
      <w:pPr>
        <w:ind w:firstLine="480"/>
        <w:spacing w:line="560" w:lineRule="exact"/>
        <w:rPr>
          <w:rFonts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rPr>
      </w:pPr>
      <w:r/>
      <w:bookmarkStart w:id="226" w:name="_Toc487900365"/>
      <w:r/>
      <w:bookmarkStart w:id="227" w:name="_Toc25783"/>
      <w:r/>
      <w:bookmarkStart w:id="228" w:name="_Toc259093684"/>
      <w:r/>
      <w:bookmarkStart w:id="229" w:name="_Toc3638"/>
      <w:r/>
      <w:bookmarkStart w:id="230" w:name="_Toc279701255"/>
      <w:r/>
      <w:bookmarkStart w:id="231" w:name="_Toc24465"/>
      <w:r/>
      <w:bookmarkStart w:id="232" w:name="_Toc23854"/>
      <w:r/>
      <w:bookmarkStart w:id="233" w:name="_Toc14115"/>
      <w:r>
        <w:rPr>
          <w:rFonts w:hint="eastAsia" w:ascii="宋体" w:hAnsi="宋体" w:cs="宋体"/>
          <w:b/>
          <w:sz w:val="24"/>
          <w:szCs w:val="24"/>
        </w:rPr>
        <w:t xml:space="preserve">2.11 税费</w:t>
      </w:r>
      <w:bookmarkEnd w:id="226"/>
      <w:r/>
      <w:bookmarkEnd w:id="227"/>
      <w:r/>
      <w:bookmarkEnd w:id="228"/>
      <w:r/>
      <w:bookmarkEnd w:id="229"/>
      <w:r/>
      <w:bookmarkEnd w:id="230"/>
      <w:r/>
      <w:bookmarkEnd w:id="231"/>
      <w:r/>
      <w:bookmarkEnd w:id="232"/>
      <w:r/>
      <w:bookmarkEnd w:id="233"/>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ascii="宋体" w:hAnsi="宋体" w:cs="宋体"/>
          <w:b/>
          <w:sz w:val="24"/>
          <w:szCs w:val="24"/>
        </w:rPr>
      </w:pPr>
      <w:r/>
      <w:bookmarkStart w:id="234" w:name="_Toc487900368"/>
      <w:r/>
      <w:bookmarkStart w:id="235" w:name="_Toc14814"/>
      <w:r/>
      <w:bookmarkStart w:id="236" w:name="_Toc259093687"/>
      <w:r/>
      <w:bookmarkStart w:id="237" w:name="_Toc279701258"/>
      <w:r/>
      <w:bookmarkStart w:id="238" w:name="_Toc25525"/>
      <w:r/>
      <w:bookmarkStart w:id="239" w:name="_Toc7315"/>
      <w:r/>
      <w:bookmarkStart w:id="240" w:name="_Toc26883"/>
      <w:r/>
      <w:bookmarkStart w:id="241" w:name="_Toc30105"/>
      <w:r>
        <w:rPr>
          <w:rFonts w:hint="eastAsia" w:ascii="宋体" w:hAnsi="宋体" w:cs="宋体"/>
          <w:b/>
          <w:sz w:val="24"/>
          <w:szCs w:val="24"/>
        </w:rPr>
        <w:t xml:space="preserve">2.12 乙方破产</w:t>
      </w:r>
      <w:bookmarkEnd w:id="234"/>
      <w:r/>
      <w:bookmarkEnd w:id="235"/>
      <w:r/>
      <w:bookmarkEnd w:id="236"/>
      <w:r/>
      <w:bookmarkEnd w:id="237"/>
      <w:r/>
      <w:bookmarkEnd w:id="238"/>
      <w:r/>
      <w:bookmarkEnd w:id="239"/>
      <w:r/>
      <w:bookmarkEnd w:id="240"/>
      <w:r/>
      <w:bookmarkEnd w:id="241"/>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sz w:val="24"/>
          <w:szCs w:val="24"/>
        </w:rPr>
        <w:t xml:space="preserve">付违约金、赔偿损失等的行动或补救措施的权利。</w:t>
      </w:r>
      <w:r/>
    </w:p>
    <w:p>
      <w:pPr>
        <w:ind w:firstLine="482"/>
        <w:spacing w:line="560" w:lineRule="exact"/>
        <w:rPr>
          <w:rFonts w:ascii="宋体" w:hAnsi="宋体" w:cs="宋体"/>
          <w:b/>
          <w:sz w:val="24"/>
          <w:szCs w:val="24"/>
        </w:rPr>
      </w:pPr>
      <w:r/>
      <w:bookmarkStart w:id="242" w:name="_Toc1123"/>
      <w:r/>
      <w:bookmarkStart w:id="243" w:name="_Toc23323"/>
      <w:r/>
      <w:bookmarkStart w:id="244" w:name="_Toc2016"/>
      <w:r>
        <w:rPr>
          <w:rFonts w:hint="eastAsia" w:ascii="宋体" w:hAnsi="宋体" w:cs="宋体"/>
          <w:b/>
          <w:sz w:val="24"/>
          <w:szCs w:val="24"/>
        </w:rPr>
        <w:t xml:space="preserve">2.13 合同中止、终止</w:t>
      </w:r>
      <w:bookmarkEnd w:id="242"/>
      <w:r/>
      <w:bookmarkEnd w:id="243"/>
      <w:r/>
      <w:bookmarkEnd w:id="244"/>
      <w:r/>
      <w:r/>
    </w:p>
    <w:p>
      <w:pPr>
        <w:ind w:firstLine="480"/>
        <w:spacing w:line="560" w:lineRule="exact"/>
        <w:rPr>
          <w:rFonts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pPr>
      <w:r/>
      <w:bookmarkStart w:id="245" w:name="_Toc1969"/>
      <w:r/>
      <w:bookmarkStart w:id="246" w:name="_Toc17363"/>
      <w:r/>
      <w:bookmarkStart w:id="247" w:name="_Toc14525"/>
      <w:r>
        <w:rPr>
          <w:rFonts w:hint="eastAsia" w:ascii="宋体" w:hAnsi="宋体" w:cs="宋体"/>
          <w:b/>
          <w:sz w:val="24"/>
          <w:szCs w:val="24"/>
        </w:rPr>
        <w:t xml:space="preserve">2.14 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cs="宋体"/>
          <w:b/>
          <w:sz w:val="24"/>
          <w:szCs w:val="24"/>
        </w:rPr>
      </w:pPr>
      <w:r/>
      <w:bookmarkStart w:id="248" w:name="_Toc259093690"/>
      <w:r/>
      <w:bookmarkStart w:id="249" w:name="_Toc279701261"/>
      <w:r/>
      <w:bookmarkStart w:id="250" w:name="_Toc487900371"/>
      <w:r/>
      <w:bookmarkStart w:id="251" w:name="_Toc2308"/>
      <w:r/>
      <w:bookmarkStart w:id="252" w:name="_Toc31892"/>
      <w:r/>
      <w:bookmarkStart w:id="253" w:name="_Toc25198"/>
      <w:r/>
      <w:bookmarkStart w:id="254" w:name="_Toc9808"/>
      <w:r/>
      <w:bookmarkStart w:id="255" w:name="_Toc12666"/>
      <w:r/>
      <w:bookmarkEnd w:id="209"/>
      <w:r/>
      <w:bookmarkEnd w:id="210"/>
      <w:r/>
      <w:bookmarkEnd w:id="211"/>
      <w:r/>
      <w:bookmarkEnd w:id="212"/>
      <w:r>
        <w:rPr>
          <w:rFonts w:hint="eastAsia" w:ascii="宋体" w:hAnsi="宋体" w:cs="宋体"/>
          <w:b/>
          <w:sz w:val="24"/>
          <w:szCs w:val="24"/>
        </w:rPr>
        <w:t xml:space="preserve">2.15 通知</w:t>
      </w:r>
      <w:bookmarkEnd w:id="248"/>
      <w:r/>
      <w:bookmarkEnd w:id="249"/>
      <w:r/>
      <w:bookmarkEnd w:id="250"/>
      <w:r>
        <w:rPr>
          <w:rFonts w:hint="eastAsia" w:ascii="宋体" w:hAnsi="宋体" w:cs="宋体"/>
          <w:b/>
          <w:sz w:val="24"/>
          <w:szCs w:val="24"/>
        </w:rPr>
        <w:t xml:space="preserve">和送达</w:t>
      </w:r>
      <w:bookmarkEnd w:id="251"/>
      <w:r/>
      <w:bookmarkEnd w:id="252"/>
      <w:r/>
      <w:bookmarkEnd w:id="253"/>
      <w:r/>
      <w:bookmarkEnd w:id="254"/>
      <w:r/>
      <w:bookmarkEnd w:id="255"/>
      <w:r/>
      <w:r/>
    </w:p>
    <w:p>
      <w:pPr>
        <w:ind w:firstLine="480"/>
        <w:spacing w:line="560" w:lineRule="exact"/>
        <w:rPr>
          <w:rFonts w:ascii="宋体" w:hAnsi="宋体" w:cs="宋体"/>
          <w:sz w:val="24"/>
          <w:szCs w:val="24"/>
        </w:rPr>
      </w:pPr>
      <w:r/>
      <w:bookmarkStart w:id="256" w:name="_Toc29220"/>
      <w:r/>
      <w:bookmarkStart w:id="257" w:name="_Toc7073"/>
      <w:r/>
      <w:bookmarkStart w:id="258" w:name="_Toc487900372"/>
      <w:r/>
      <w:bookmarkStart w:id="259" w:name="_Toc279701262"/>
      <w:r/>
      <w:bookmarkStart w:id="260" w:name="_Toc259093691"/>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56"/>
      <w:r/>
      <w:bookmarkEnd w:id="257"/>
      <w:r/>
      <w:r/>
    </w:p>
    <w:p>
      <w:pPr>
        <w:ind w:firstLine="480"/>
        <w:spacing w:line="560" w:lineRule="exact"/>
        <w:rPr>
          <w:rFonts w:ascii="宋体" w:hAnsi="宋体" w:cs="宋体"/>
          <w:sz w:val="24"/>
          <w:szCs w:val="24"/>
        </w:rPr>
      </w:pPr>
      <w:r/>
      <w:bookmarkStart w:id="261" w:name="_Toc27674"/>
      <w:r/>
      <w:bookmarkStart w:id="262"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r/>
      <w:bookmarkEnd w:id="262"/>
      <w:r/>
      <w:r/>
    </w:p>
    <w:p>
      <w:pPr>
        <w:ind w:firstLine="482"/>
        <w:spacing w:line="560" w:lineRule="exact"/>
        <w:rPr>
          <w:rFonts w:ascii="宋体" w:hAnsi="宋体" w:cs="宋体"/>
          <w:b/>
          <w:sz w:val="24"/>
          <w:szCs w:val="24"/>
        </w:rPr>
      </w:pPr>
      <w:r/>
      <w:bookmarkStart w:id="263" w:name="_Toc28906"/>
      <w:r/>
      <w:bookmarkStart w:id="264" w:name="_Toc487900373"/>
      <w:r/>
      <w:bookmarkStart w:id="265" w:name="_Toc5063"/>
      <w:r/>
      <w:bookmarkStart w:id="266" w:name="_Toc12254"/>
      <w:r/>
      <w:bookmarkStart w:id="267" w:name="_Toc279701263"/>
      <w:r/>
      <w:bookmarkStart w:id="268" w:name="_Toc20808"/>
      <w:r/>
      <w:bookmarkStart w:id="269" w:name="_Toc27644"/>
      <w:r/>
      <w:bookmarkStart w:id="270" w:name="_Toc259093692"/>
      <w:r/>
      <w:bookmarkEnd w:id="258"/>
      <w:r/>
      <w:bookmarkEnd w:id="259"/>
      <w:r/>
      <w:bookmarkEnd w:id="260"/>
      <w:r>
        <w:rPr>
          <w:rFonts w:hint="eastAsia" w:ascii="宋体" w:hAnsi="宋体" w:cs="宋体"/>
          <w:b/>
          <w:sz w:val="24"/>
          <w:szCs w:val="24"/>
        </w:rPr>
        <w:t xml:space="preserve">2.16 合同使用的文字和适用的法律</w:t>
      </w:r>
      <w:bookmarkEnd w:id="263"/>
      <w:r/>
      <w:bookmarkEnd w:id="264"/>
      <w:r/>
      <w:bookmarkEnd w:id="265"/>
      <w:r/>
      <w:bookmarkEnd w:id="266"/>
      <w:r/>
      <w:bookmarkEnd w:id="267"/>
      <w:r/>
      <w:bookmarkEnd w:id="268"/>
      <w:r/>
      <w:bookmarkEnd w:id="269"/>
      <w:r/>
      <w:bookmarkEnd w:id="270"/>
      <w:r/>
      <w:r/>
    </w:p>
    <w:p>
      <w:pPr>
        <w:ind w:firstLine="480"/>
        <w:spacing w:line="560" w:lineRule="exact"/>
        <w:rPr>
          <w:rFonts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ascii="宋体" w:hAnsi="宋体" w:cs="宋体"/>
          <w:b/>
          <w:sz w:val="24"/>
          <w:szCs w:val="24"/>
        </w:rPr>
      </w:pPr>
      <w:r/>
      <w:bookmarkStart w:id="271" w:name="_Toc27127"/>
      <w:r/>
      <w:bookmarkStart w:id="272" w:name="_Toc30096"/>
      <w:r/>
      <w:bookmarkStart w:id="273" w:name="_Toc279701264"/>
      <w:r/>
      <w:bookmarkStart w:id="274" w:name="_Toc27403"/>
      <w:r/>
      <w:bookmarkStart w:id="275" w:name="_Toc259093693"/>
      <w:r/>
      <w:bookmarkStart w:id="276" w:name="_Toc22266"/>
      <w:r/>
      <w:bookmarkStart w:id="277" w:name="_Toc1492"/>
      <w:r>
        <w:rPr>
          <w:rFonts w:hint="eastAsia" w:ascii="宋体" w:hAnsi="宋体" w:cs="宋体"/>
          <w:b/>
          <w:sz w:val="24"/>
          <w:szCs w:val="24"/>
        </w:rPr>
        <w:t xml:space="preserve">2.17 履约保证金</w:t>
      </w:r>
      <w:bookmarkEnd w:id="271"/>
      <w:r/>
      <w:bookmarkEnd w:id="272"/>
      <w:r/>
      <w:bookmarkEnd w:id="273"/>
      <w:r/>
      <w:bookmarkEnd w:id="274"/>
      <w:r/>
      <w:bookmarkEnd w:id="275"/>
      <w:r/>
      <w:bookmarkEnd w:id="276"/>
      <w:r/>
      <w:bookmarkEnd w:id="277"/>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w:t>
      </w:r>
      <w:r>
        <w:rPr>
          <w:rFonts w:hint="eastAsia" w:ascii="宋体" w:hAnsi="宋体" w:cs="宋体"/>
          <w:sz w:val="24"/>
          <w:szCs w:val="24"/>
        </w:rPr>
        <w:t xml:space="preserve">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2.17.3 如果甲方未及时退还履约保证金，相关责任由甲乙双方在合同中自行约定。</w:t>
      </w:r>
      <w:r/>
    </w:p>
    <w:p>
      <w:pPr>
        <w:pStyle w:val="939"/>
      </w:pPr>
      <w:r/>
      <w:r/>
    </w:p>
    <w:p>
      <w:pPr>
        <w:jc w:val="center"/>
        <w:rPr>
          <w:rFonts w:ascii="黑体" w:hAnsi="黑体" w:eastAsia="黑体"/>
          <w:sz w:val="28"/>
        </w:rPr>
        <w:outlineLvl w:val="0"/>
      </w:pPr>
      <w:r>
        <w:rPr>
          <w:rFonts w:ascii="黑体" w:hAnsi="黑体" w:eastAsia="黑体"/>
          <w:sz w:val="28"/>
        </w:rPr>
        <w:br w:type="page" w:clear="all"/>
      </w:r>
      <w:bookmarkStart w:id="278" w:name="_Toc157174693"/>
      <w:r/>
      <w:bookmarkStart w:id="279" w:name="_Toc27444"/>
      <w:r/>
      <w:bookmarkStart w:id="280" w:name="_Toc24602"/>
      <w:r>
        <w:rPr>
          <w:rFonts w:hint="eastAsia" w:ascii="黑体" w:hAnsi="黑体" w:eastAsia="黑体"/>
          <w:sz w:val="36"/>
          <w:szCs w:val="36"/>
        </w:rPr>
        <w:t xml:space="preserve">第六章 投标文件</w:t>
      </w:r>
      <w:bookmarkEnd w:id="278"/>
      <w:r/>
      <w:bookmarkEnd w:id="279"/>
      <w:r>
        <w:rPr>
          <w:rFonts w:hint="eastAsia" w:ascii="黑体" w:hAnsi="黑体" w:eastAsia="黑体"/>
          <w:sz w:val="36"/>
          <w:szCs w:val="36"/>
        </w:rPr>
        <w:t xml:space="preserve">内容与格式</w:t>
      </w:r>
      <w:r/>
    </w:p>
    <w:p>
      <w:pPr>
        <w:pStyle w:val="955"/>
        <w:ind w:firstLine="0"/>
        <w:spacing w:line="500" w:lineRule="exact"/>
        <w:rPr>
          <w:rFonts w:cs="Arial"/>
          <w:b/>
          <w:sz w:val="30"/>
          <w:szCs w:val="30"/>
        </w:rPr>
      </w:pPr>
      <w:r/>
      <w:bookmarkStart w:id="281" w:name="OLE_LINK146"/>
      <w:r/>
      <w:bookmarkStart w:id="282" w:name="OLE_LINK173"/>
      <w:r/>
      <w:bookmarkEnd w:id="280"/>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5"/>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5"/>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5"/>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5"/>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5"/>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5"/>
              <w:ind w:firstLine="0"/>
              <w:spacing w:before="0" w:after="0" w:line="240" w:lineRule="auto"/>
              <w:rPr>
                <w:rFonts w:ascii="宋体" w:hAnsi="宋体" w:cs="宋体"/>
              </w:rPr>
            </w:pPr>
            <w:r>
              <w:rPr>
                <w:rFonts w:hint="eastAsia" w:ascii="宋体" w:hAnsi="宋体"/>
                <w:bCs/>
                <w:lang w:val="zh-CN"/>
              </w:rPr>
              <w:t xml:space="preserve">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w:t>
            </w:r>
            <w:r>
              <w:rPr>
                <w:rFonts w:hint="eastAsia" w:ascii="宋体" w:hAnsi="宋体"/>
                <w:b/>
              </w:rPr>
              <w:t xml:space="preserve">项目</w:t>
            </w:r>
            <w:r>
              <w:rPr>
                <w:rFonts w:hint="eastAsia" w:ascii="宋体" w:hAnsi="宋体"/>
                <w:b/>
                <w:lang w:val="zh-CN"/>
              </w:rPr>
              <w:t xml:space="preserve">无需提供）</w:t>
            </w:r>
            <w:r>
              <w:rPr>
                <w:rFonts w:hint="eastAsia" w:ascii="宋体" w:hAnsi="宋体"/>
                <w:bCs/>
                <w:lang w:val="zh-CN"/>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5"/>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955"/>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5"/>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5"/>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5"/>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5"/>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5"/>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7"/>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5"/>
        <w:numPr>
          <w:ilvl w:val="0"/>
          <w:numId w:val="8"/>
        </w:numPr>
        <w:ind w:firstLine="0"/>
        <w:spacing w:line="500" w:lineRule="exact"/>
        <w:rPr>
          <w:b/>
          <w:sz w:val="28"/>
          <w:szCs w:val="28"/>
        </w:rPr>
      </w:pPr>
      <w:r>
        <w:rPr>
          <w:rFonts w:hint="eastAsia"/>
          <w:b/>
          <w:sz w:val="28"/>
          <w:szCs w:val="28"/>
        </w:rPr>
        <w:t xml:space="preserve">符合性证明文件及评审因素</w:t>
      </w:r>
      <w:r/>
    </w:p>
    <w:p>
      <w:pPr>
        <w:pStyle w:val="955"/>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5"/>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5"/>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5"/>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5"/>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5"/>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5"/>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5"/>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5"/>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5"/>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9"/>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9"/>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5"/>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955"/>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955"/>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95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955"/>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955"/>
              <w:ind w:firstLine="0"/>
              <w:jc w:val="both"/>
              <w:spacing w:before="0" w:after="0" w:line="240" w:lineRule="auto"/>
              <w:rPr>
                <w:rFonts w:ascii="宋体" w:hAnsi="宋体" w:cs="宋体"/>
              </w:rPr>
            </w:pPr>
            <w:r>
              <w:rPr>
                <w:rFonts w:hint="eastAsia" w:ascii="宋体" w:hAnsi="宋体"/>
                <w:bCs/>
              </w:rPr>
              <w:t xml:space="preserve">本项</w:t>
            </w:r>
            <w:r>
              <w:rPr>
                <w:rFonts w:hint="eastAsia" w:ascii="宋体" w:hAnsi="宋体"/>
                <w:bCs/>
              </w:rPr>
              <w:t xml:space="preserve">目</w:t>
            </w:r>
            <w:r>
              <w:rPr>
                <w:rFonts w:hint="eastAsia" w:ascii="宋体" w:hAnsi="宋体"/>
                <w:b/>
                <w:bCs/>
              </w:rPr>
              <w:t xml:space="preserve">专门面向中小企业采购，不做价格扣除。</w:t>
            </w:r>
            <w:r/>
          </w:p>
        </w:tc>
        <w:tc>
          <w:tcPr>
            <w:tcW w:w="2932" w:type="dxa"/>
            <w:vAlign w:val="center"/>
            <w:textDirection w:val="lrTb"/>
            <w:noWrap w:val="false"/>
          </w:tcPr>
          <w:p>
            <w:pPr>
              <w:pStyle w:val="955"/>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pStyle w:val="955"/>
        <w:numPr>
          <w:ilvl w:val="0"/>
          <w:numId w:val="10"/>
        </w:numPr>
        <w:ind w:firstLine="0"/>
        <w:spacing w:line="500" w:lineRule="exact"/>
        <w:rPr>
          <w:rFonts w:ascii="宋体" w:hAnsi="宋体" w:cs="宋体"/>
          <w:color w:val="ff0000"/>
        </w:rPr>
      </w:pPr>
      <w:r>
        <w:rPr>
          <w:rFonts w:ascii="宋体" w:hAnsi="宋体" w:cs="宋体"/>
          <w:color w:val="ff0000"/>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5"/>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left="3252" w:hanging="1807"/>
        <w:rPr>
          <w:rFonts w:ascii="宋体" w:hAnsi="宋体"/>
          <w:b/>
          <w:sz w:val="36"/>
          <w:szCs w:val="36"/>
          <w:u w:val="single"/>
        </w:rPr>
      </w:pPr>
      <w:r/>
      <w:bookmarkStart w:id="283" w:name="_Toc10010"/>
      <w:r/>
      <w:bookmarkStart w:id="284" w:name="_Toc24371"/>
      <w:r>
        <w:rPr>
          <w:rFonts w:hint="eastAsia" w:ascii="宋体" w:hAnsi="宋体"/>
          <w:b/>
          <w:sz w:val="36"/>
          <w:szCs w:val="36"/>
        </w:rPr>
        <w:t xml:space="preserve">项目名称：</w:t>
      </w:r>
      <w:bookmarkEnd w:id="283"/>
      <w:r>
        <w:rPr>
          <w:rFonts w:hint="eastAsia" w:ascii="宋体" w:hAnsi="宋体"/>
          <w:b/>
          <w:sz w:val="36"/>
          <w:szCs w:val="36"/>
          <w:u w:val="single"/>
        </w:rPr>
        <w:t xml:space="preserve">宜兴高等职业技术学校物业管理服务项目                     </w:t>
      </w:r>
      <w:r/>
    </w:p>
    <w:p>
      <w:pPr>
        <w:jc w:val="center"/>
        <w:rPr>
          <w:rFonts w:ascii="宋体" w:hAnsi="宋体"/>
          <w:b/>
          <w:sz w:val="36"/>
          <w:szCs w:val="36"/>
          <w:u w:val="single"/>
        </w:rPr>
      </w:pPr>
      <w:r/>
      <w:bookmarkStart w:id="285" w:name="_Toc2400"/>
      <w:r>
        <w:rPr>
          <w:rFonts w:hint="eastAsia" w:ascii="宋体" w:hAnsi="宋体"/>
          <w:b/>
          <w:sz w:val="36"/>
          <w:szCs w:val="36"/>
        </w:rPr>
        <w:t xml:space="preserve">项目编号：</w:t>
      </w:r>
      <w:bookmarkEnd w:id="285"/>
      <w:r>
        <w:rPr>
          <w:rFonts w:hint="eastAsia" w:ascii="宋体" w:hAnsi="宋体"/>
          <w:b/>
          <w:sz w:val="36"/>
          <w:szCs w:val="36"/>
          <w:u w:val="single"/>
        </w:rPr>
        <w:t xml:space="preserve">JSZC-320282-JZCG-G2026-0016</w:t>
      </w:r>
      <w:r/>
    </w:p>
    <w:p>
      <w:pPr>
        <w:ind w:firstLine="1446"/>
        <w:rPr>
          <w:rFonts w:ascii="宋体" w:hAnsi="宋体"/>
          <w:b/>
          <w:sz w:val="36"/>
          <w:szCs w:val="36"/>
          <w:u w:val="single"/>
        </w:rPr>
      </w:pPr>
      <w:r>
        <w:rPr>
          <w:rFonts w:hint="eastAsia" w:ascii="宋体" w:hAnsi="宋体"/>
          <w:b/>
          <w:sz w:val="36"/>
          <w:szCs w:val="36"/>
        </w:rPr>
        <w:t xml:space="preserve">投 标 人：</w:t>
      </w:r>
      <w:bookmarkEnd w:id="284"/>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rPr>
          <w:rFonts w:ascii="黑体" w:hAnsi="宋体" w:eastAsia="黑体"/>
          <w:bCs/>
          <w:sz w:val="28"/>
          <w:szCs w:val="28"/>
        </w:rPr>
      </w:pPr>
      <w:r>
        <w:rPr>
          <w:rFonts w:hint="eastAsia" w:ascii="黑体" w:hAnsi="宋体" w:eastAsia="黑体"/>
          <w:bCs/>
          <w:sz w:val="24"/>
          <w:szCs w:val="24"/>
        </w:rPr>
        <w:br w:type="page" w:clear="all"/>
      </w:r>
      <w:bookmarkStart w:id="286" w:name="OLE_LINK151"/>
      <w:r/>
      <w:bookmarkStart w:id="287" w:name="_Toc8000"/>
      <w:r>
        <w:rPr>
          <w:rFonts w:hint="eastAsia" w:ascii="黑体" w:hAnsi="宋体" w:eastAsia="黑体"/>
          <w:bCs/>
          <w:sz w:val="28"/>
          <w:szCs w:val="28"/>
        </w:rPr>
        <w:t xml:space="preserve">二、</w:t>
      </w:r>
      <w:bookmarkStart w:id="288" w:name="_Hlk131928370"/>
      <w:r>
        <w:rPr>
          <w:rFonts w:hint="eastAsia" w:ascii="黑体" w:hAnsi="宋体" w:eastAsia="黑体"/>
          <w:bCs/>
          <w:sz w:val="28"/>
          <w:szCs w:val="28"/>
        </w:rPr>
        <w:t xml:space="preserve">开标一览表</w:t>
      </w:r>
      <w:bookmarkEnd w:id="288"/>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289" w:name="_Toc32423"/>
      <w:r/>
      <w:bookmarkStart w:id="290" w:name="OLE_LINK4"/>
      <w:r/>
      <w:bookmarkStart w:id="291" w:name="_Toc4946"/>
      <w:r>
        <w:rPr>
          <w:rFonts w:hint="eastAsia" w:ascii="黑体" w:eastAsia="黑体"/>
          <w:bCs/>
          <w:sz w:val="28"/>
          <w:szCs w:val="28"/>
        </w:rPr>
        <w:t xml:space="preserve">开标一览表</w:t>
      </w:r>
      <w:bookmarkEnd w:id="289"/>
      <w:r/>
      <w:bookmarkEnd w:id="290"/>
      <w:r/>
      <w:r/>
    </w:p>
    <w:p>
      <w:pPr>
        <w:ind w:firstLine="480"/>
        <w:jc w:val="left"/>
        <w:spacing w:line="480" w:lineRule="auto"/>
        <w:rPr>
          <w:rFonts w:ascii="宋体" w:hAnsi="宋体"/>
          <w:bCs/>
          <w:sz w:val="24"/>
          <w:szCs w:val="24"/>
        </w:rPr>
      </w:pPr>
      <w:r/>
      <w:bookmarkStart w:id="292" w:name="_Hlk160022548"/>
      <w:r>
        <w:rPr>
          <w:rFonts w:hint="eastAsia" w:ascii="宋体" w:hAnsi="宋体"/>
          <w:bCs/>
          <w:sz w:val="24"/>
          <w:szCs w:val="24"/>
        </w:rPr>
        <w:t xml:space="preserve">项目编号：</w:t>
      </w:r>
      <w:r>
        <w:rPr>
          <w:rFonts w:hint="eastAsia" w:ascii="宋体" w:hAnsi="宋体"/>
          <w:bCs/>
          <w:sz w:val="24"/>
          <w:lang w:val="zh-CN"/>
        </w:rPr>
        <w:t xml:space="preserve">JSZC-320282-JZCG-G2026-0016</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292"/>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8"/>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宜兴高等职业技术学校物业管理服务项目</w:t>
            </w:r>
            <w:r/>
          </w:p>
        </w:tc>
        <w:tc>
          <w:tcPr>
            <w:tcW w:w="2733"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8"/>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8"/>
              <w:jc w:val="center"/>
              <w:widowControl/>
              <w:rPr>
                <w:rFonts w:ascii="宋体" w:hAnsi="宋体" w:cs="Segoe UI"/>
                <w:color w:val="000000"/>
                <w:sz w:val="27"/>
                <w:szCs w:val="27"/>
              </w:rPr>
            </w:pPr>
            <w:r>
              <w:rPr>
                <w:rFonts w:ascii="宋体" w:hAnsi="宋体" w:cs="Segoe UI"/>
                <w:color w:val="000000"/>
                <w:sz w:val="27"/>
                <w:szCs w:val="27"/>
              </w:rPr>
            </w:r>
            <w:r/>
          </w:p>
        </w:tc>
      </w:tr>
    </w:tbl>
    <w:p>
      <w:pPr>
        <w:pStyle w:val="931"/>
        <w:rPr>
          <w:rFonts w:ascii="宋体" w:hAnsi="宋体"/>
          <w:sz w:val="28"/>
          <w:szCs w:val="28"/>
        </w:rPr>
      </w:pPr>
      <w:r>
        <w:rPr>
          <w:rFonts w:ascii="宋体" w:hAnsi="宋体"/>
          <w:sz w:val="28"/>
          <w:szCs w:val="28"/>
        </w:rPr>
      </w:r>
      <w:r/>
    </w:p>
    <w:p>
      <w:pPr>
        <w:pStyle w:val="938"/>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0"/>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sz w:val="24"/>
          <w:szCs w:val="24"/>
          <w:highlight w:val="red"/>
        </w:rPr>
      </w:pPr>
      <w:r>
        <w:rPr>
          <w:rFonts w:ascii="黑体" w:hAnsi="宋体" w:eastAsia="黑体"/>
          <w:bCs/>
          <w:sz w:val="24"/>
          <w:szCs w:val="24"/>
        </w:rPr>
        <w:br w:type="page" w:clear="all"/>
      </w:r>
      <w:bookmarkStart w:id="293" w:name="_Hlk151458994"/>
      <w:r/>
      <w:bookmarkEnd w:id="291"/>
      <w:r/>
      <w:bookmarkEnd w:id="293"/>
      <w:r/>
      <w:r/>
    </w:p>
    <w:p>
      <w:pPr>
        <w:pStyle w:val="955"/>
        <w:ind w:firstLine="0"/>
        <w:spacing w:before="0" w:after="0"/>
        <w:rPr>
          <w:rFonts w:ascii="黑体" w:eastAsia="黑体"/>
          <w:bCs/>
          <w:sz w:val="36"/>
        </w:rPr>
      </w:pPr>
      <w:r>
        <w:rPr>
          <w:rFonts w:hint="eastAsia" w:cs="Arial"/>
          <w:b/>
          <w:sz w:val="28"/>
          <w:szCs w:val="28"/>
        </w:rPr>
        <w:t xml:space="preserve">三、</w:t>
      </w:r>
      <w:bookmarkEnd w:id="286"/>
      <w:r>
        <w:rPr>
          <w:rFonts w:hint="eastAsia" w:ascii="黑体" w:eastAsia="黑体"/>
          <w:bCs/>
          <w:sz w:val="28"/>
          <w:szCs w:val="28"/>
        </w:rPr>
        <w:t xml:space="preserve">关于资格的声明函</w:t>
      </w:r>
      <w:r>
        <w:rPr>
          <w:rFonts w:hint="eastAsia" w:cs="Arial"/>
          <w:b/>
          <w:sz w:val="28"/>
          <w:szCs w:val="28"/>
        </w:rPr>
        <w:t xml:space="preserve">（给定格式）：</w:t>
      </w:r>
      <w:bookmarkEnd w:id="287"/>
      <w:r/>
      <w:r/>
    </w:p>
    <w:p>
      <w:pPr>
        <w:jc w:val="center"/>
        <w:rPr>
          <w:rFonts w:ascii="黑体" w:eastAsia="黑体"/>
          <w:bCs/>
          <w:sz w:val="32"/>
        </w:rPr>
      </w:pPr>
      <w:r/>
      <w:bookmarkStart w:id="294" w:name="报价方关于资格的声明函（格式）"/>
      <w:r/>
      <w:bookmarkStart w:id="295" w:name="_Toc24943"/>
      <w:r/>
      <w:bookmarkEnd w:id="294"/>
      <w:r>
        <w:rPr>
          <w:rFonts w:hint="eastAsia" w:ascii="黑体" w:eastAsia="黑体"/>
          <w:bCs/>
          <w:sz w:val="28"/>
          <w:szCs w:val="28"/>
        </w:rPr>
        <w:t xml:space="preserve">关于资格的声明函</w:t>
      </w:r>
      <w:bookmarkEnd w:id="295"/>
      <w:r/>
      <w:r/>
    </w:p>
    <w:p>
      <w:pPr>
        <w:jc w:val="center"/>
        <w:spacing w:line="480" w:lineRule="auto"/>
        <w:rPr>
          <w:rFonts w:ascii="宋体"/>
          <w:bCs/>
          <w:sz w:val="24"/>
          <w:szCs w:val="24"/>
        </w:rPr>
      </w:pPr>
      <w:r/>
      <w:bookmarkStart w:id="296" w:name="OLE_LINK80"/>
      <w:r/>
      <w:r/>
    </w:p>
    <w:p>
      <w:pPr>
        <w:spacing w:line="480" w:lineRule="auto"/>
        <w:rPr>
          <w:rFonts w:ascii="宋体"/>
          <w:bCs/>
          <w:sz w:val="24"/>
          <w:szCs w:val="24"/>
        </w:rPr>
      </w:pPr>
      <w:r>
        <w:rPr>
          <w:rFonts w:hint="eastAsia" w:ascii="宋体" w:hAnsi="宋体"/>
          <w:bCs/>
          <w:sz w:val="24"/>
          <w:szCs w:val="24"/>
        </w:rPr>
        <w:t xml:space="preserve">宜兴高等职业技术学校：</w:t>
      </w:r>
      <w:bookmarkEnd w:id="296"/>
      <w:r/>
      <w:r/>
    </w:p>
    <w:p>
      <w:pPr>
        <w:ind w:firstLine="480"/>
        <w:jc w:val="left"/>
        <w:spacing w:line="480" w:lineRule="auto"/>
        <w:rPr>
          <w:rFonts w:ascii="宋体"/>
          <w:bCs/>
          <w:sz w:val="24"/>
          <w:szCs w:val="24"/>
        </w:rPr>
      </w:pPr>
      <w:r/>
      <w:bookmarkStart w:id="297"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298" w:name="_Hlk161058152"/>
      <w:r>
        <w:rPr>
          <w:rFonts w:hint="eastAsia" w:ascii="宋体" w:hAnsi="宋体"/>
          <w:bCs/>
          <w:sz w:val="24"/>
          <w:szCs w:val="24"/>
        </w:rPr>
        <w:t xml:space="preserve">（项目编号：JSZC-320282-JZCG-G2026-0016）</w:t>
      </w:r>
      <w:bookmarkEnd w:id="298"/>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299" w:name="OLE_LINK242"/>
      <w:r>
        <w:rPr>
          <w:rFonts w:hint="eastAsia" w:ascii="宋体" w:hAnsi="宋体" w:cs="宋体"/>
          <w:sz w:val="24"/>
          <w:szCs w:val="24"/>
        </w:rPr>
        <w:t xml:space="preserve">有效期限</w:t>
      </w:r>
      <w:bookmarkEnd w:id="299"/>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297"/>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bookmarkStart w:id="300" w:name="OLE_LINK81"/>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jc w:val="center"/>
        <w:spacing w:line="360" w:lineRule="auto"/>
        <w:rPr>
          <w:rFonts w:ascii="黑体" w:eastAsia="黑体"/>
          <w:bCs/>
          <w:sz w:val="28"/>
          <w:szCs w:val="28"/>
        </w:rPr>
      </w:pPr>
      <w:r/>
      <w:bookmarkStart w:id="301" w:name="OLE_LINK36"/>
      <w:r/>
      <w:bookmarkStart w:id="302" w:name="OLE_LINK152"/>
      <w:r/>
      <w:bookmarkEnd w:id="300"/>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bookmarkEnd w:id="301"/>
      <w:r/>
      <w:r/>
    </w:p>
    <w:p>
      <w:pPr>
        <w:jc w:val="center"/>
        <w:spacing w:line="360" w:lineRule="auto"/>
        <w:rPr>
          <w:rFonts w:ascii="黑体" w:eastAsia="黑体"/>
          <w:bCs/>
          <w:sz w:val="28"/>
          <w:szCs w:val="28"/>
        </w:rPr>
      </w:pPr>
      <w:r>
        <w:rPr>
          <w:rFonts w:ascii="黑体" w:eastAsia="黑体"/>
          <w:bCs/>
          <w:sz w:val="28"/>
          <w:szCs w:val="28"/>
        </w:rPr>
      </w:r>
      <w:r/>
    </w:p>
    <w:p>
      <w:pPr>
        <w:pStyle w:val="931"/>
      </w:pPr>
      <w:r/>
      <w:r/>
    </w:p>
    <w:p>
      <w:pPr>
        <w:pStyle w:val="939"/>
      </w:pPr>
      <w:r/>
      <w:r/>
    </w:p>
    <w:p>
      <w:pPr>
        <w:pStyle w:val="939"/>
      </w:pPr>
      <w:r/>
      <w:r/>
    </w:p>
    <w:p>
      <w:pPr>
        <w:rPr>
          <w:rFonts w:ascii="黑体" w:hAnsi="宋体" w:eastAsia="黑体"/>
          <w:bCs/>
          <w:color w:val="000000"/>
          <w:sz w:val="24"/>
          <w:szCs w:val="24"/>
        </w:rPr>
      </w:pPr>
      <w:r/>
      <w:bookmarkStart w:id="303" w:name="_Hlk131928408"/>
      <w:r>
        <w:rPr>
          <w:rFonts w:hint="eastAsia"/>
          <w:color w:val="000000"/>
        </w:rPr>
        <w:t xml:space="preserve">注：上述所称“重大违法记录”是指投标人因违法经营受到刑事处罚或者责令停产停业、吊销许可证或者执照、较大数额罚款等行政处罚。</w:t>
      </w:r>
      <w:bookmarkEnd w:id="303"/>
      <w:r/>
      <w:r/>
    </w:p>
    <w:p>
      <w:pPr>
        <w:pStyle w:val="939"/>
      </w:pPr>
      <w:r/>
      <w:bookmarkEnd w:id="302"/>
      <w:r/>
      <w:r/>
    </w:p>
    <w:p>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304" w:name="OLE_LINK186"/>
      <w:r>
        <w:rPr>
          <w:rFonts w:hint="eastAsia" w:ascii="宋体" w:hAnsi="宋体"/>
          <w:bCs/>
          <w:sz w:val="24"/>
          <w:lang w:val="zh-CN"/>
        </w:rPr>
        <w:t xml:space="preserve">宜兴高等职业技术学校、</w:t>
      </w:r>
      <w:bookmarkEnd w:id="304"/>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05"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305"/>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代表我公司（单位）全权办理针对本项目（项目编号：JSZC-320282-JZCG-G2026-0016）的投标，以我方名义签署、确认、澄清、提交、撤回、修改相关文件和处理投标活动有关事宜，其法律后果由我方承担。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rPr>
          <w:rFonts w:ascii="黑体" w:hAnsi="宋体" w:eastAsia="黑体"/>
          <w:bCs/>
          <w:sz w:val="24"/>
          <w:szCs w:val="24"/>
        </w:rPr>
      </w:pPr>
      <w:r>
        <w:rPr>
          <w:rFonts w:ascii="黑体" w:hAnsi="宋体" w:eastAsia="黑体"/>
          <w:bCs/>
          <w:sz w:val="24"/>
          <w:szCs w:val="24"/>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pStyle w:val="939"/>
        <w:ind w:firstLine="0"/>
        <w:rPr>
          <w:rFonts w:ascii="黑体" w:hAnsi="宋体" w:eastAsia="黑体"/>
          <w:bCs/>
          <w:sz w:val="24"/>
          <w:szCs w:val="24"/>
          <w:highlight w:val="yellow"/>
        </w:rPr>
      </w:pPr>
      <w:r>
        <w:rPr>
          <w:rFonts w:ascii="黑体" w:hAnsi="宋体" w:eastAsia="黑体"/>
          <w:bCs/>
          <w:sz w:val="24"/>
          <w:szCs w:val="24"/>
          <w:highlight w:val="yellow"/>
        </w:rPr>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1、中小企业声明函（服务）</w:t>
      </w:r>
      <w:r/>
    </w:p>
    <w:p>
      <w:pPr>
        <w:jc w:val="center"/>
        <w:rPr>
          <w:rFonts w:ascii="黑体" w:eastAsia="黑体"/>
          <w:bCs/>
          <w:sz w:val="28"/>
          <w:szCs w:val="28"/>
        </w:rPr>
      </w:pPr>
      <w:r>
        <w:rPr>
          <w:rFonts w:hint="eastAsia" w:ascii="黑体" w:eastAsia="黑体"/>
          <w:bCs/>
          <w:sz w:val="28"/>
          <w:szCs w:val="28"/>
        </w:rPr>
        <w:t xml:space="preserve">中小企业声明函（服务）</w:t>
      </w:r>
      <w:r/>
    </w:p>
    <w:p>
      <w:pPr>
        <w:ind w:firstLine="480"/>
        <w:spacing w:line="580" w:lineRule="exact"/>
        <w:rPr>
          <w:rFonts w:ascii="宋体" w:hAnsi="宋体"/>
          <w:bCs/>
          <w:sz w:val="24"/>
          <w:szCs w:val="24"/>
        </w:rPr>
      </w:pPr>
      <w:r>
        <w:rPr>
          <w:rFonts w:hint="eastAsia" w:ascii="宋体" w:hAnsi="宋体"/>
          <w:bCs/>
          <w:sz w:val="24"/>
          <w:szCs w:val="24"/>
        </w:rPr>
        <w:t xml:space="preserve">本公司（联合体）郑重声明，根据《政府采购促进中小企业发展管理办法》（财库﹝2020﹞46 号）的规定，本公司（联合体）参加</w:t>
      </w:r>
      <w:r>
        <w:rPr>
          <w:rFonts w:hint="eastAsia" w:ascii="宋体" w:hAnsi="宋体"/>
          <w:bCs/>
          <w:sz w:val="24"/>
          <w:szCs w:val="24"/>
          <w:u w:val="single"/>
        </w:rPr>
        <w:t xml:space="preserve">宜兴高等职业技术学校</w:t>
      </w:r>
      <w:r>
        <w:rPr>
          <w:rFonts w:hint="eastAsia" w:ascii="宋体" w:hAnsi="宋体"/>
          <w:bCs/>
          <w:sz w:val="24"/>
          <w:szCs w:val="24"/>
        </w:rPr>
        <w:t xml:space="preserve">的</w:t>
      </w:r>
      <w:r>
        <w:rPr>
          <w:rFonts w:hint="eastAsia" w:ascii="宋体" w:hAnsi="宋体"/>
          <w:bCs/>
          <w:sz w:val="24"/>
          <w:szCs w:val="24"/>
          <w:u w:val="single"/>
        </w:rPr>
        <w:t xml:space="preserve">宜兴高等职业技术学校物业管理服务项目</w:t>
      </w:r>
      <w:r>
        <w:rPr>
          <w:rFonts w:hint="eastAsia"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0"/>
        <w:tblW w:w="9556" w:type="dxa"/>
        <w:jc w:val="center"/>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承接商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总额</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W w:w="1205" w:type="dxa"/>
            <w:vAlign w:val="center"/>
            <w:textDirection w:val="lrTb"/>
            <w:noWrap w:val="false"/>
          </w:tcPr>
          <w:p>
            <w:pPr>
              <w:jc w:val="center"/>
              <w:rPr>
                <w:rFonts w:ascii="宋体" w:hAnsi="宋体"/>
                <w:bCs/>
                <w:szCs w:val="21"/>
              </w:rPr>
            </w:pPr>
            <w:r>
              <w:rPr>
                <w:rFonts w:hint="eastAsia" w:ascii="宋体" w:hAnsi="宋体"/>
                <w:bCs/>
                <w:szCs w:val="21"/>
              </w:rPr>
              <w:t xml:space="preserve">宜兴高等职业技术学校物业管理服务项目</w:t>
            </w:r>
            <w:r/>
          </w:p>
        </w:tc>
        <w:tc>
          <w:tcPr>
            <w:tcW w:w="1149" w:type="dxa"/>
            <w:vAlign w:val="center"/>
            <w:textDirection w:val="lrTb"/>
            <w:noWrap w:val="false"/>
          </w:tcPr>
          <w:p>
            <w:pPr>
              <w:jc w:val="center"/>
              <w:rPr>
                <w:rFonts w:ascii="宋体" w:hAnsi="宋体"/>
                <w:bCs/>
                <w:szCs w:val="21"/>
              </w:rPr>
            </w:pPr>
            <w:r>
              <w:rPr>
                <w:rFonts w:hint="eastAsia" w:ascii="宋体" w:hAnsi="宋体"/>
                <w:bCs/>
                <w:szCs w:val="21"/>
              </w:rPr>
              <w:t xml:space="preserve">物业管理</w:t>
            </w:r>
            <w:r/>
          </w:p>
        </w:tc>
        <w:tc>
          <w:tcPr>
            <w:tcW w:w="2117" w:type="dxa"/>
            <w:vAlign w:val="center"/>
            <w:textDirection w:val="lrTb"/>
            <w:noWrap w:val="false"/>
          </w:tcPr>
          <w:p>
            <w:pPr>
              <w:jc w:val="center"/>
              <w:rPr>
                <w:rFonts w:ascii="宋体" w:hAnsi="宋体"/>
                <w:bCs/>
                <w:szCs w:val="21"/>
              </w:rPr>
            </w:pPr>
            <w:r>
              <w:rPr>
                <w:rFonts w:ascii="宋体" w:hAnsi="宋体"/>
                <w:bCs/>
                <w:szCs w:val="21"/>
              </w:rPr>
            </w:r>
            <w:r/>
          </w:p>
        </w:tc>
        <w:tc>
          <w:tcPr>
            <w:tcW w:w="852" w:type="dxa"/>
            <w:vAlign w:val="center"/>
            <w:textDirection w:val="lrTb"/>
            <w:noWrap w:val="false"/>
          </w:tcPr>
          <w:p>
            <w:pPr>
              <w:jc w:val="center"/>
              <w:rPr>
                <w:rFonts w:ascii="宋体" w:hAnsi="宋体"/>
                <w:bCs/>
                <w:szCs w:val="21"/>
              </w:rPr>
            </w:pPr>
            <w:r>
              <w:rPr>
                <w:rFonts w:ascii="宋体" w:hAnsi="宋体"/>
                <w:bCs/>
                <w:szCs w:val="21"/>
              </w:rPr>
            </w:r>
            <w:r/>
          </w:p>
        </w:tc>
        <w:tc>
          <w:tcPr>
            <w:tcW w:w="1097" w:type="dxa"/>
            <w:vAlign w:val="center"/>
            <w:textDirection w:val="lrTb"/>
            <w:noWrap w:val="false"/>
          </w:tcPr>
          <w:p>
            <w:pPr>
              <w:jc w:val="center"/>
              <w:rPr>
                <w:rFonts w:ascii="宋体" w:hAnsi="宋体"/>
                <w:bCs/>
                <w:szCs w:val="21"/>
              </w:rPr>
            </w:pPr>
            <w:r>
              <w:rPr>
                <w:rFonts w:ascii="宋体" w:hAnsi="宋体"/>
                <w:bCs/>
                <w:szCs w:val="21"/>
              </w:rPr>
            </w:r>
            <w:r/>
          </w:p>
        </w:tc>
        <w:tc>
          <w:tcPr>
            <w:tcW w:w="1121" w:type="dxa"/>
            <w:vAlign w:val="center"/>
            <w:textDirection w:val="lrTb"/>
            <w:noWrap w:val="false"/>
          </w:tcPr>
          <w:p>
            <w:pPr>
              <w:jc w:val="center"/>
              <w:rPr>
                <w:rFonts w:ascii="宋体" w:hAnsi="宋体"/>
                <w:bCs/>
                <w:szCs w:val="21"/>
              </w:rPr>
            </w:pPr>
            <w:r>
              <w:rPr>
                <w:rFonts w:ascii="宋体" w:hAnsi="宋体"/>
                <w:bCs/>
                <w:szCs w:val="21"/>
              </w:rPr>
            </w:r>
            <w:r/>
          </w:p>
        </w:tc>
        <w:tc>
          <w:tcPr>
            <w:tcW w:w="1383" w:type="dxa"/>
            <w:vAlign w:val="center"/>
            <w:textDirection w:val="lrTb"/>
            <w:noWrap w:val="false"/>
          </w:tcPr>
          <w:p>
            <w:pPr>
              <w:jc w:val="center"/>
              <w:rPr>
                <w:rFonts w:ascii="宋体" w:hAnsi="宋体"/>
                <w:bCs/>
                <w:szCs w:val="21"/>
              </w:rPr>
            </w:pPr>
            <w:r>
              <w:rPr>
                <w:rFonts w:ascii="宋体" w:hAnsi="宋体"/>
                <w:bCs/>
                <w:szCs w:val="21"/>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right="96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所属行业为</w:t>
      </w:r>
      <w:r>
        <w:rPr>
          <w:rFonts w:hint="eastAsia" w:asciiTheme="majorEastAsia" w:hAnsiTheme="majorEastAsia" w:eastAsiaTheme="majorEastAsia" w:cstheme="majorEastAsia"/>
          <w:b/>
          <w:bCs/>
          <w:szCs w:val="21"/>
        </w:rPr>
        <w:t xml:space="preserve">物业管理</w:t>
      </w:r>
      <w:r>
        <w:rPr>
          <w:rFonts w:hint="eastAsia" w:asciiTheme="majorEastAsia" w:hAnsiTheme="majorEastAsia" w:eastAsiaTheme="majorEastAsia" w:cstheme="majorEastAsia"/>
          <w:b/>
          <w:szCs w:val="21"/>
        </w:rPr>
        <w:t xml:space="preserve">，</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21"/>
        <w:jc w:val="left"/>
        <w:spacing w:line="360" w:lineRule="auto"/>
        <w:rPr>
          <w:rFonts w:ascii="宋体" w:hAnsi="宋体"/>
          <w:bCs/>
          <w:szCs w:val="21"/>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ascii="黑体" w:hAnsi="黑体" w:eastAsia="黑体"/>
          <w:sz w:val="24"/>
          <w:szCs w:val="24"/>
        </w:rPr>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宜兴高等职业技术学校 </w:t>
      </w:r>
      <w:r>
        <w:rPr>
          <w:rFonts w:hint="eastAsia" w:ascii="宋体" w:hAnsi="宋体"/>
          <w:bCs/>
          <w:sz w:val="24"/>
          <w:szCs w:val="24"/>
        </w:rPr>
        <w:t xml:space="preserve">的</w:t>
      </w:r>
      <w:r>
        <w:rPr>
          <w:rFonts w:hint="eastAsia" w:ascii="宋体" w:hAnsi="宋体"/>
          <w:bCs/>
          <w:sz w:val="24"/>
          <w:szCs w:val="24"/>
          <w:u w:val="single"/>
        </w:rPr>
        <w:t xml:space="preserve"> 宜兴高等职业技术学校物业管理服务项目 </w:t>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1"/>
      </w:pPr>
      <w:r/>
      <w:r/>
    </w:p>
    <w:p>
      <w:pPr>
        <w:pStyle w:val="939"/>
      </w:pPr>
      <w:r/>
      <w:r/>
    </w:p>
    <w:p>
      <w:pPr>
        <w:ind w:firstLine="480"/>
        <w:spacing w:line="580" w:lineRule="exact"/>
        <w:rPr>
          <w:rFonts w:ascii="宋体" w:hAnsi="宋体"/>
          <w:bCs/>
          <w:sz w:val="24"/>
          <w:szCs w:val="24"/>
        </w:rPr>
      </w:pPr>
      <w:r>
        <w:rPr>
          <w:rFonts w:ascii="宋体" w:hAnsi="宋体"/>
          <w:bCs/>
          <w:sz w:val="24"/>
          <w:szCs w:val="24"/>
        </w:rPr>
      </w:r>
      <w:r/>
    </w:p>
    <w:p>
      <w:pPr>
        <w:pStyle w:val="931"/>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pStyle w:val="939"/>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bookmarkStart w:id="306"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307" w:name="_Hlk166058340"/>
      <w:r>
        <w:rPr>
          <w:rFonts w:hint="eastAsia" w:ascii="宋体" w:hAnsi="宋体"/>
          <w:sz w:val="24"/>
          <w:szCs w:val="21"/>
          <w:lang w:val="zh-CN"/>
        </w:rPr>
        <w:t xml:space="preserve">（项目编号：JSZC-320282-JZCG-G2026-0016）</w:t>
      </w:r>
      <w:bookmarkEnd w:id="307"/>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1"/>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308" w:name="_Hlk151451066"/>
      <w:r>
        <w:rPr>
          <w:rFonts w:hint="eastAsia" w:ascii="宋体" w:hAnsi="宋体"/>
          <w:bCs/>
          <w:szCs w:val="21"/>
        </w:rPr>
        <w:t xml:space="preserve">注：如采购人接受联合体且投标人组成联合体的，应提供有效的联合体协议书，否则无需提供。</w:t>
      </w:r>
      <w:bookmarkEnd w:id="308"/>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309" w:name="OLE_LINK82"/>
      <w:r/>
      <w:r/>
    </w:p>
    <w:p>
      <w:pPr>
        <w:rPr>
          <w:rFonts w:ascii="黑体" w:hAnsi="宋体" w:eastAsia="黑体"/>
          <w:bCs/>
          <w:sz w:val="24"/>
          <w:szCs w:val="24"/>
        </w:rPr>
      </w:pPr>
      <w:r>
        <w:rPr>
          <w:rFonts w:hint="eastAsia" w:ascii="黑体" w:hAnsi="黑体" w:eastAsia="黑体"/>
          <w:sz w:val="28"/>
          <w:szCs w:val="28"/>
        </w:rPr>
        <w:t xml:space="preserve">七、分包情况说明</w:t>
      </w:r>
      <w:bookmarkEnd w:id="309"/>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310" w:name="_Hlk152583523"/>
      <w:r/>
      <w:bookmarkEnd w:id="306"/>
      <w:r>
        <w:rPr>
          <w:rFonts w:hint="eastAsia" w:ascii="宋体" w:hAnsi="宋体" w:cs="宋体"/>
          <w:sz w:val="24"/>
          <w:szCs w:val="24"/>
        </w:rPr>
        <w:t xml:space="preserve">我公司根据本项目</w:t>
      </w:r>
      <w:r>
        <w:rPr>
          <w:rFonts w:hint="eastAsia" w:ascii="宋体" w:hAnsi="宋体"/>
          <w:sz w:val="24"/>
          <w:szCs w:val="21"/>
          <w:lang w:val="zh-CN"/>
        </w:rPr>
        <w:t xml:space="preserve">（项目编号：JSZC-320282-JZCG-G2026-0016）</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311" w:name="OLE_LINK203"/>
      <w:r/>
      <w:bookmarkEnd w:id="311"/>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310"/>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0"/>
        <w:rPr>
          <w:rFonts w:ascii="宋体" w:hAnsi="宋体"/>
          <w:bCs/>
          <w:sz w:val="24"/>
          <w:szCs w:val="24"/>
        </w:rPr>
      </w:pPr>
      <w:r>
        <w:rPr>
          <w:rFonts w:ascii="宋体" w:hAnsi="宋体"/>
          <w:bCs/>
          <w:sz w:val="24"/>
          <w:szCs w:val="24"/>
        </w:rPr>
      </w:r>
      <w:r/>
    </w:p>
    <w:p>
      <w:pPr>
        <w:pStyle w:val="930"/>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312" w:name="OLE_LINK3"/>
      <w:r>
        <w:rPr>
          <w:rFonts w:hint="eastAsia" w:ascii="黑体" w:hAnsi="黑体" w:eastAsia="黑体"/>
          <w:sz w:val="28"/>
          <w:szCs w:val="28"/>
        </w:rPr>
        <w:t xml:space="preserve">明细报价表</w:t>
      </w:r>
      <w:bookmarkEnd w:id="312"/>
      <w:r/>
      <w:r/>
    </w:p>
    <w:p>
      <w:pPr>
        <w:rPr>
          <w:rFonts w:ascii="宋体" w:hAnsi="宋体"/>
          <w:sz w:val="24"/>
          <w:szCs w:val="24"/>
        </w:rPr>
      </w:pPr>
      <w:r>
        <w:rPr>
          <w:rFonts w:hint="eastAsia" w:ascii="宋体" w:hAnsi="宋体"/>
          <w:sz w:val="24"/>
          <w:szCs w:val="24"/>
        </w:rPr>
        <w:t xml:space="preserve">项目名称：宜兴高等职业技术学校物业管理服务项目 </w:t>
      </w:r>
      <w:r/>
    </w:p>
    <w:p>
      <w:pPr>
        <w:jc w:val="left"/>
        <w:rPr>
          <w:rFonts w:ascii="黑体" w:hAnsi="黑体"/>
          <w:sz w:val="28"/>
          <w:szCs w:val="28"/>
        </w:rPr>
      </w:pPr>
      <w:r>
        <w:rPr>
          <w:rFonts w:hint="eastAsia" w:ascii="宋体" w:hAnsi="宋体"/>
          <w:sz w:val="24"/>
          <w:szCs w:val="24"/>
        </w:rPr>
        <w:t xml:space="preserve">项目编号：JSZC-320282-JZCG-G2026-0016</w:t>
      </w:r>
      <w:r/>
    </w:p>
    <w:p>
      <w:pPr>
        <w:jc w:val="center"/>
        <w:rPr>
          <w:rFonts w:ascii="宋体" w:hAnsi="宋体"/>
          <w:sz w:val="28"/>
          <w:szCs w:val="28"/>
        </w:rPr>
      </w:pPr>
      <w:r>
        <w:rPr>
          <w:rFonts w:hint="eastAsia" w:ascii="宋体" w:hAnsi="宋体"/>
          <w:sz w:val="24"/>
          <w:szCs w:val="24"/>
        </w:rPr>
        <w:t xml:space="preserve">                         </w:t>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rPr>
            </w:pPr>
            <w:r/>
            <w:bookmarkStart w:id="313" w:name="_Toc14859"/>
            <w:r>
              <w:rPr>
                <w:rFonts w:hint="eastAsia" w:ascii="宋体" w:hAnsi="宋体"/>
                <w:szCs w:val="21"/>
              </w:rPr>
              <w:t xml:space="preserve">序号</w:t>
            </w:r>
            <w:r/>
          </w:p>
        </w:tc>
        <w:tc>
          <w:tcPr>
            <w:tcW w:w="3060" w:type="dxa"/>
            <w:vAlign w:val="center"/>
            <w:textDirection w:val="lrTb"/>
            <w:noWrap w:val="false"/>
          </w:tcPr>
          <w:p>
            <w:pPr>
              <w:jc w:val="center"/>
              <w:rPr>
                <w:rFonts w:ascii="宋体" w:hAnsi="宋体"/>
                <w:szCs w:val="21"/>
              </w:rPr>
            </w:pPr>
            <w:r>
              <w:rPr>
                <w:rFonts w:hint="eastAsia" w:ascii="宋体" w:hAnsi="宋体"/>
                <w:szCs w:val="21"/>
              </w:rPr>
              <w:t xml:space="preserve">服务名称</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单价</w:t>
            </w:r>
            <w:r/>
          </w:p>
          <w:p>
            <w:pPr>
              <w:jc w:val="center"/>
              <w:rPr>
                <w:rFonts w:ascii="宋体" w:hAnsi="宋体"/>
                <w:szCs w:val="21"/>
              </w:rPr>
            </w:pPr>
            <w:r>
              <w:rPr>
                <w:rFonts w:hint="eastAsia" w:ascii="宋体" w:hAnsi="宋体"/>
                <w:szCs w:val="21"/>
              </w:rPr>
              <w:t xml:space="preserve">(元)</w:t>
            </w:r>
            <w:r/>
          </w:p>
        </w:tc>
        <w:tc>
          <w:tcPr>
            <w:tcW w:w="1989" w:type="dxa"/>
            <w:vAlign w:val="center"/>
            <w:textDirection w:val="lrTb"/>
            <w:noWrap w:val="false"/>
          </w:tcPr>
          <w:p>
            <w:pPr>
              <w:jc w:val="center"/>
              <w:rPr>
                <w:rFonts w:ascii="宋体" w:hAnsi="宋体"/>
                <w:szCs w:val="21"/>
              </w:rPr>
            </w:pPr>
            <w:r>
              <w:rPr>
                <w:rFonts w:hint="eastAsia" w:ascii="宋体" w:hAnsi="宋体"/>
                <w:szCs w:val="21"/>
              </w:rPr>
              <w:t xml:space="preserve">合计报价</w:t>
            </w:r>
            <w:r/>
          </w:p>
          <w:p>
            <w:pPr>
              <w:jc w:val="center"/>
              <w:rPr>
                <w:rFonts w:ascii="宋体" w:hAnsi="宋体"/>
                <w:szCs w:val="21"/>
              </w:rPr>
            </w:pPr>
            <w:r>
              <w:rPr>
                <w:rFonts w:hint="eastAsia" w:ascii="宋体" w:hAnsi="宋体"/>
                <w:szCs w:val="21"/>
              </w:rPr>
              <w:t xml:space="preserve">(元)</w:t>
            </w:r>
            <w:r/>
          </w:p>
        </w:tc>
      </w:tr>
      <w:tr>
        <w:trPr>
          <w:jc w:val="center"/>
          <w:trHeight w:val="755"/>
        </w:trPr>
        <w:tc>
          <w:tcPr>
            <w:tcW w:w="828" w:type="dxa"/>
            <w:vAlign w:val="center"/>
            <w:textDirection w:val="lrTb"/>
            <w:noWrap w:val="false"/>
          </w:tcPr>
          <w:p>
            <w:pPr>
              <w:ind w:left="-111" w:firstLine="55"/>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5"/>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5"/>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5"/>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tcW w:w="828" w:type="dxa"/>
            <w:vAlign w:val="center"/>
            <w:textDirection w:val="lrTb"/>
            <w:noWrap w:val="false"/>
          </w:tcPr>
          <w:p>
            <w:pPr>
              <w:ind w:left="-111" w:firstLine="55"/>
              <w:jc w:val="center"/>
              <w:rPr>
                <w:rFonts w:ascii="宋体" w:hAnsi="宋体"/>
                <w:szCs w:val="21"/>
              </w:rPr>
            </w:pPr>
            <w:r>
              <w:rPr>
                <w:rFonts w:ascii="宋体" w:hAnsi="宋体"/>
                <w:szCs w:val="21"/>
              </w:rPr>
            </w:r>
            <w:r/>
          </w:p>
        </w:tc>
        <w:tc>
          <w:tcPr>
            <w:tcW w:w="3060"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c>
          <w:tcPr>
            <w:tcW w:w="1989" w:type="dxa"/>
            <w:vAlign w:val="center"/>
            <w:textDirection w:val="lrTb"/>
            <w:noWrap w:val="false"/>
          </w:tcPr>
          <w:p>
            <w:pPr>
              <w:jc w:val="center"/>
              <w:rPr>
                <w:rFonts w:ascii="宋体" w:hAnsi="宋体"/>
                <w:szCs w:val="21"/>
              </w:rPr>
            </w:pPr>
            <w:r>
              <w:rPr>
                <w:rFonts w:ascii="宋体" w:hAnsi="宋体"/>
                <w:szCs w:val="21"/>
              </w:rPr>
            </w:r>
            <w:r/>
          </w:p>
        </w:tc>
      </w:tr>
      <w:tr>
        <w:trPr>
          <w:jc w:val="center"/>
          <w:trHeight w:val="755"/>
        </w:trPr>
        <w:tc>
          <w:tcPr>
            <w:gridSpan w:val="2"/>
            <w:tcW w:w="3888" w:type="dxa"/>
            <w:vAlign w:val="center"/>
            <w:textDirection w:val="lrTb"/>
            <w:noWrap w:val="false"/>
          </w:tcPr>
          <w:p>
            <w:pPr>
              <w:jc w:val="center"/>
              <w:rPr>
                <w:rFonts w:ascii="宋体" w:hAnsi="宋体"/>
                <w:b/>
                <w:bCs/>
                <w:szCs w:val="21"/>
              </w:rPr>
            </w:pPr>
            <w:r>
              <w:rPr>
                <w:rFonts w:hint="eastAsia" w:ascii="宋体" w:hAnsi="宋体"/>
                <w:b/>
                <w:bCs/>
                <w:szCs w:val="21"/>
              </w:rPr>
              <w:t xml:space="preserve">合计总价</w:t>
            </w:r>
            <w:r>
              <w:rPr>
                <w:rFonts w:hint="eastAsia" w:ascii="宋体" w:hAnsi="宋体"/>
                <w:szCs w:val="21"/>
              </w:rPr>
              <w:t xml:space="preserve">(元)</w:t>
            </w:r>
            <w:r/>
          </w:p>
        </w:tc>
        <w:tc>
          <w:tcPr>
            <w:gridSpan w:val="3"/>
            <w:tcW w:w="5967" w:type="dxa"/>
            <w:vAlign w:val="center"/>
            <w:textDirection w:val="lrTb"/>
            <w:noWrap w:val="false"/>
          </w:tcPr>
          <w:p>
            <w:pPr>
              <w:jc w:val="left"/>
              <w:rPr>
                <w:rFonts w:ascii="宋体" w:hAnsi="宋体"/>
                <w:szCs w:val="21"/>
              </w:rPr>
            </w:pPr>
            <w:r>
              <w:rPr>
                <w:rFonts w:ascii="宋体" w:hAnsi="宋体"/>
                <w:szCs w:val="21"/>
              </w:rPr>
            </w:r>
            <w:r/>
          </w:p>
        </w:tc>
      </w:tr>
    </w:tbl>
    <w:p>
      <w:pPr>
        <w:ind w:left="5460" w:hanging="5460"/>
        <w:jc w:val="cente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14" w:name="OLE_LINK149"/>
      <w:r/>
      <w:bookmarkEnd w:id="313"/>
      <w:r>
        <w:rPr>
          <w:rFonts w:hint="eastAsia" w:ascii="宋体" w:hAnsi="宋体"/>
          <w:bCs/>
          <w:sz w:val="24"/>
        </w:rPr>
        <w:t xml:space="preserve">                      投标人（电子签章）：</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szCs w:val="21"/>
        </w:rPr>
      </w:pPr>
      <w:r/>
      <w:bookmarkStart w:id="315" w:name="_Hlk160009940"/>
      <w:r>
        <w:rPr>
          <w:rFonts w:hint="eastAsia" w:ascii="宋体" w:hAnsi="宋体"/>
          <w:bCs/>
          <w:szCs w:val="21"/>
        </w:rPr>
        <w:t xml:space="preserve">注： 投标人应当根据“第三章 项目技术要求和有关说明”的内容详细填写明细报价表，须包括本次采购的所有细项及提供服务的一切费用，表格不够可自行延长</w:t>
      </w:r>
      <w:bookmarkStart w:id="316" w:name="_Hlk160008571"/>
      <w:r/>
      <w:bookmarkStart w:id="317" w:name="_Hlk160009870"/>
      <w:r>
        <w:rPr>
          <w:rFonts w:hint="eastAsia" w:ascii="宋体" w:hAnsi="宋体"/>
          <w:bCs/>
          <w:szCs w:val="21"/>
        </w:rPr>
        <w:t xml:space="preserve">；</w:t>
      </w:r>
      <w:bookmarkEnd w:id="316"/>
      <w:r>
        <w:rPr>
          <w:rFonts w:hint="eastAsia" w:ascii="宋体" w:hAnsi="宋体"/>
          <w:bCs/>
          <w:szCs w:val="21"/>
        </w:rPr>
        <w:t xml:space="preserve">如本表单价计算的结果与总价不一致，以单价为准修正总价。</w:t>
      </w:r>
      <w:bookmarkEnd w:id="317"/>
      <w:r/>
      <w:r/>
    </w:p>
    <w:p>
      <w:pPr>
        <w:rPr>
          <w:rFonts w:ascii="黑体" w:hAnsi="黑体" w:eastAsia="黑体"/>
          <w:sz w:val="28"/>
          <w:szCs w:val="28"/>
        </w:rPr>
      </w:pPr>
      <w:r>
        <w:rPr>
          <w:rFonts w:ascii="宋体" w:hAnsi="宋体"/>
          <w:bCs/>
          <w:szCs w:val="21"/>
        </w:rPr>
        <w:br w:type="page" w:clear="all"/>
      </w:r>
      <w:bookmarkEnd w:id="314"/>
      <w:r/>
      <w:bookmarkEnd w:id="315"/>
      <w:r>
        <w:rPr>
          <w:rFonts w:hint="eastAsia" w:ascii="黑体" w:hAnsi="黑体" w:eastAsia="黑体"/>
          <w:sz w:val="28"/>
          <w:szCs w:val="28"/>
        </w:rPr>
        <w:t xml:space="preserve">九、投标函（给定格式）：</w:t>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jc w:val="left"/>
        <w:spacing w:line="360" w:lineRule="auto"/>
        <w:rPr>
          <w:rFonts w:ascii="宋体" w:hAnsi="宋体"/>
          <w:bCs/>
          <w:sz w:val="24"/>
          <w:lang w:val="zh-CN"/>
        </w:rPr>
      </w:pPr>
      <w:r>
        <w:rPr>
          <w:rFonts w:hint="eastAsia" w:ascii="宋体" w:hAnsi="宋体"/>
          <w:bCs/>
          <w:sz w:val="24"/>
          <w:lang w:val="zh-CN"/>
        </w:rPr>
        <w:t xml:space="preserve">致宜兴高等职业技术学校、宜兴市公共资源交易中心：</w:t>
      </w:r>
      <w:r/>
    </w:p>
    <w:p>
      <w:pPr>
        <w:ind w:firstLine="480"/>
        <w:jc w:val="left"/>
        <w:spacing w:line="360" w:lineRule="auto"/>
        <w:rPr>
          <w:rFonts w:ascii="宋体" w:hAnsi="宋体"/>
          <w:bCs/>
          <w:sz w:val="24"/>
          <w:lang w:val="zh-CN"/>
        </w:rPr>
      </w:pPr>
      <w:r>
        <w:rPr>
          <w:rFonts w:hint="eastAsia" w:ascii="宋体" w:hAnsi="宋体"/>
          <w:bCs/>
          <w:sz w:val="24"/>
          <w:lang w:val="zh-CN"/>
        </w:rPr>
        <w:t xml:space="preserve">我方收到你们本项目（项目编号：JSZC-320282-JZCG-G2026-0016）招标文件，经仔细阅读和研究，我方决定参加投标。</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我方愿意按照招标文件的一切要求，提供服务，投标总价详见《开标一览表》。</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我方已对照招标文件要求，填写了服务的偏离情况，详见</w:t>
      </w:r>
      <w:bookmarkStart w:id="318" w:name="_Hlk131935611"/>
      <w:r>
        <w:rPr>
          <w:rFonts w:hint="eastAsia" w:ascii="宋体" w:hAnsi="宋体"/>
          <w:bCs/>
          <w:sz w:val="24"/>
          <w:lang w:val="zh-CN"/>
        </w:rPr>
        <w:t xml:space="preserve">《项目技术要求偏离表》</w:t>
      </w:r>
      <w:bookmarkEnd w:id="318"/>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bookmarkStart w:id="319" w:name="_Hlk160091472"/>
      <w:r/>
      <w:bookmarkStart w:id="320" w:name="_Hlk160091080"/>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bookmarkEnd w:id="319"/>
      <w:r>
        <w:rPr>
          <w:rFonts w:hint="eastAsia" w:ascii="宋体" w:hAnsi="宋体"/>
          <w:bCs/>
          <w:sz w:val="24"/>
          <w:lang w:val="zh-CN"/>
        </w:rPr>
        <w:t xml:space="preserve">。</w:t>
      </w:r>
      <w:bookmarkEnd w:id="320"/>
      <w:r/>
      <w:r/>
    </w:p>
    <w:p>
      <w:pPr>
        <w:numPr>
          <w:ilvl w:val="0"/>
          <w:numId w:val="12"/>
        </w:numPr>
        <w:jc w:val="left"/>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bookmarkStart w:id="321"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321"/>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2"/>
        </w:numPr>
        <w:ind w:firstLine="480"/>
        <w:jc w:val="left"/>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spacing w:line="360" w:lineRule="auto"/>
        <w:rPr>
          <w:b/>
          <w:sz w:val="28"/>
          <w:szCs w:val="28"/>
        </w:rPr>
      </w:pPr>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JSZC-320282-JZCG-G2026-0016</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bookmarkEnd w:id="281"/>
      <w:r/>
      <w:r/>
    </w:p>
    <w:p>
      <w:pPr>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项目名称：宜兴高等职业技术学校物业管理服务项目 </w:t>
      </w:r>
      <w:r/>
    </w:p>
    <w:p>
      <w:pPr>
        <w:rPr>
          <w:rFonts w:ascii="宋体" w:hAnsi="宋体"/>
          <w:sz w:val="24"/>
          <w:szCs w:val="21"/>
          <w:lang w:val="zh-CN"/>
        </w:rPr>
      </w:pPr>
      <w:r>
        <w:rPr>
          <w:rFonts w:hint="eastAsia" w:ascii="宋体" w:hAnsi="宋体"/>
          <w:sz w:val="24"/>
          <w:szCs w:val="24"/>
        </w:rPr>
        <w:t xml:space="preserve">项目编号：JSZC-320282-JZCG-G2026-0016</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4"/>
          <w:szCs w:val="24"/>
        </w:rPr>
      </w:pPr>
      <w:r>
        <w:rPr>
          <w:rFonts w:ascii="宋体" w:hAnsi="宋体"/>
          <w:sz w:val="24"/>
          <w:szCs w:val="21"/>
          <w:lang w:val="zh-CN"/>
        </w:rPr>
        <w:br w:type="page" w:clear="all"/>
      </w: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项目名称：宜兴高等职业技术学校物业管理服务项目 </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项目编号：JSZC-320282-JZCG-G2026-0016</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22"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bookmarkEnd w:id="322"/>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1.表格不够可自行延长。</w:t>
      </w:r>
      <w:r/>
    </w:p>
    <w:p>
      <w:pPr>
        <w:ind w:firstLine="420"/>
        <w:jc w:val="left"/>
      </w:pPr>
      <w:r>
        <w:rPr>
          <w:rFonts w:hint="eastAsia" w:ascii="宋体" w:hAnsi="宋体"/>
        </w:rPr>
        <w:t xml:space="preserve">2.上述</w:t>
      </w:r>
      <w:r>
        <w:rPr>
          <w:rFonts w:hint="eastAsia"/>
        </w:rPr>
        <w:t xml:space="preserve">人员如在项目执行过程中需要更换，须经采购人同意。擅自更换或不到位属违约行为。</w:t>
      </w:r>
      <w:r/>
    </w:p>
    <w:p>
      <w:pPr>
        <w:pStyle w:val="931"/>
      </w:pPr>
      <w:r/>
      <w:r/>
    </w:p>
    <w:p>
      <w:pPr>
        <w:pStyle w:val="939"/>
      </w:pPr>
      <w:r/>
      <w:r/>
    </w:p>
    <w:p>
      <w:pPr>
        <w:jc w:val="right"/>
        <w:rPr>
          <w:rFonts w:ascii="宋体" w:hAnsi="宋体"/>
          <w:bCs/>
          <w:sz w:val="24"/>
        </w:rPr>
      </w:pPr>
      <w:r>
        <w:rPr>
          <w:rFonts w:hint="eastAsia" w:ascii="宋体" w:hAnsi="宋体"/>
          <w:bCs/>
          <w:sz w:val="24"/>
        </w:rPr>
        <w:t xml:space="preserve">投标人（电子签章）：</w:t>
      </w:r>
      <w:r/>
    </w:p>
    <w:p>
      <w:pPr>
        <w:pStyle w:val="939"/>
        <w:jc w:val="right"/>
      </w:pPr>
      <w:r/>
      <w:r/>
    </w:p>
    <w:p>
      <w:pPr>
        <w:pStyle w:val="939"/>
        <w:jc w:val="right"/>
      </w:pPr>
      <w:r/>
      <w:r/>
    </w:p>
    <w:p>
      <w:pPr>
        <w:pStyle w:val="939"/>
        <w:jc w:val="right"/>
      </w:pPr>
      <w:r/>
      <w:r/>
    </w:p>
    <w:p>
      <w:pPr>
        <w:pStyle w:val="939"/>
        <w:jc w:val="right"/>
      </w:pPr>
      <w:r/>
      <w:r/>
    </w:p>
    <w:p>
      <w:pPr>
        <w:ind w:left="420" w:firstLine="420"/>
        <w:spacing w:line="360" w:lineRule="auto"/>
        <w:rPr>
          <w:rFonts w:ascii="宋体" w:hAnsi="宋体"/>
          <w:bCs/>
          <w:szCs w:val="21"/>
        </w:rPr>
      </w:pPr>
      <w:r/>
      <w:bookmarkStart w:id="323" w:name="_Hlk162251903"/>
      <w:r/>
      <w:bookmarkStart w:id="324" w:name="_Hlk152234543"/>
      <w:r/>
      <w:bookmarkEnd w:id="282"/>
      <w:r/>
      <w:bookmarkEnd w:id="323"/>
      <w:r/>
      <w:bookmarkEnd w:id="324"/>
      <w:r/>
      <w:r/>
    </w:p>
    <w:p>
      <w:pPr>
        <w:jc w:val="left"/>
        <w:spacing w:line="560" w:lineRule="exact"/>
        <w:rPr>
          <w:rFonts w:ascii="仿宋" w:hAnsi="仿宋" w:eastAsia="仿宋" w:cs="仿宋"/>
          <w:sz w:val="28"/>
          <w:szCs w:val="28"/>
        </w:rPr>
      </w:pPr>
      <w:r>
        <w:rPr>
          <w:rFonts w:ascii="仿宋" w:hAnsi="仿宋" w:eastAsia="仿宋" w:cs="仿宋"/>
          <w:sz w:val="28"/>
          <w:szCs w:val="28"/>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Times">
    <w:panose1 w:val="02020603050405020304"/>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- 59 -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- 59 -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8"/>
  </w:num>
  <w:num w:numId="4">
    <w:abstractNumId w:val="7"/>
  </w:num>
  <w:num w:numId="5">
    <w:abstractNumId w:val="3"/>
  </w:num>
  <w:num w:numId="6">
    <w:abstractNumId w:val="11"/>
  </w:num>
  <w:num w:numId="7">
    <w:abstractNumId w:val="5"/>
  </w:num>
  <w:num w:numId="8">
    <w:abstractNumId w:val="12"/>
  </w:num>
  <w:num w:numId="9">
    <w:abstractNumId w:val="0"/>
  </w:num>
  <w:num w:numId="10">
    <w:abstractNumId w:val="2"/>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7"/>
    <w:link w:val="925"/>
    <w:uiPriority w:val="9"/>
    <w:rPr>
      <w:rFonts w:ascii="Arial" w:hAnsi="Arial" w:eastAsia="Arial" w:cs="Arial"/>
      <w:sz w:val="40"/>
      <w:szCs w:val="40"/>
    </w:rPr>
  </w:style>
  <w:style w:type="character" w:styleId="755">
    <w:name w:val="Heading 2 Char"/>
    <w:basedOn w:val="927"/>
    <w:link w:val="926"/>
    <w:uiPriority w:val="9"/>
    <w:rPr>
      <w:rFonts w:ascii="Arial" w:hAnsi="Arial" w:eastAsia="Arial" w:cs="Arial"/>
      <w:sz w:val="34"/>
    </w:rPr>
  </w:style>
  <w:style w:type="paragraph" w:styleId="756">
    <w:name w:val="Heading 3"/>
    <w:basedOn w:val="924"/>
    <w:next w:val="924"/>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basedOn w:val="927"/>
    <w:link w:val="756"/>
    <w:uiPriority w:val="9"/>
    <w:rPr>
      <w:rFonts w:ascii="Arial" w:hAnsi="Arial" w:eastAsia="Arial" w:cs="Arial"/>
      <w:sz w:val="30"/>
      <w:szCs w:val="30"/>
    </w:rPr>
  </w:style>
  <w:style w:type="paragraph" w:styleId="758">
    <w:name w:val="Heading 4"/>
    <w:basedOn w:val="924"/>
    <w:next w:val="924"/>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basedOn w:val="927"/>
    <w:link w:val="758"/>
    <w:uiPriority w:val="9"/>
    <w:rPr>
      <w:rFonts w:ascii="Arial" w:hAnsi="Arial" w:eastAsia="Arial" w:cs="Arial"/>
      <w:b/>
      <w:bCs/>
      <w:sz w:val="26"/>
      <w:szCs w:val="26"/>
    </w:rPr>
  </w:style>
  <w:style w:type="paragraph" w:styleId="760">
    <w:name w:val="Heading 5"/>
    <w:basedOn w:val="924"/>
    <w:next w:val="924"/>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basedOn w:val="927"/>
    <w:link w:val="760"/>
    <w:uiPriority w:val="9"/>
    <w:rPr>
      <w:rFonts w:ascii="Arial" w:hAnsi="Arial" w:eastAsia="Arial" w:cs="Arial"/>
      <w:b/>
      <w:bCs/>
      <w:sz w:val="24"/>
      <w:szCs w:val="24"/>
    </w:rPr>
  </w:style>
  <w:style w:type="paragraph" w:styleId="762">
    <w:name w:val="Heading 6"/>
    <w:basedOn w:val="924"/>
    <w:next w:val="924"/>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basedOn w:val="927"/>
    <w:link w:val="762"/>
    <w:uiPriority w:val="9"/>
    <w:rPr>
      <w:rFonts w:ascii="Arial" w:hAnsi="Arial" w:eastAsia="Arial" w:cs="Arial"/>
      <w:b/>
      <w:bCs/>
      <w:sz w:val="22"/>
      <w:szCs w:val="22"/>
    </w:rPr>
  </w:style>
  <w:style w:type="paragraph" w:styleId="764">
    <w:name w:val="Heading 7"/>
    <w:basedOn w:val="924"/>
    <w:next w:val="924"/>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basedOn w:val="927"/>
    <w:link w:val="764"/>
    <w:uiPriority w:val="9"/>
    <w:rPr>
      <w:rFonts w:ascii="Arial" w:hAnsi="Arial" w:eastAsia="Arial" w:cs="Arial"/>
      <w:b/>
      <w:bCs/>
      <w:i/>
      <w:iCs/>
      <w:sz w:val="22"/>
      <w:szCs w:val="22"/>
    </w:rPr>
  </w:style>
  <w:style w:type="paragraph" w:styleId="766">
    <w:name w:val="Heading 8"/>
    <w:basedOn w:val="924"/>
    <w:next w:val="924"/>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basedOn w:val="927"/>
    <w:link w:val="766"/>
    <w:uiPriority w:val="9"/>
    <w:rPr>
      <w:rFonts w:ascii="Arial" w:hAnsi="Arial" w:eastAsia="Arial" w:cs="Arial"/>
      <w:i/>
      <w:iCs/>
      <w:sz w:val="22"/>
      <w:szCs w:val="22"/>
    </w:rPr>
  </w:style>
  <w:style w:type="paragraph" w:styleId="768">
    <w:name w:val="Heading 9"/>
    <w:basedOn w:val="924"/>
    <w:next w:val="924"/>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basedOn w:val="927"/>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4"/>
    <w:next w:val="924"/>
    <w:link w:val="772"/>
    <w:uiPriority w:val="10"/>
    <w:qFormat/>
    <w:pPr>
      <w:contextualSpacing/>
      <w:spacing w:before="300" w:after="200"/>
    </w:pPr>
    <w:rPr>
      <w:sz w:val="48"/>
      <w:szCs w:val="48"/>
    </w:rPr>
  </w:style>
  <w:style w:type="character" w:styleId="772">
    <w:name w:val="Title Char"/>
    <w:basedOn w:val="927"/>
    <w:link w:val="771"/>
    <w:uiPriority w:val="10"/>
    <w:rPr>
      <w:sz w:val="48"/>
      <w:szCs w:val="48"/>
    </w:rPr>
  </w:style>
  <w:style w:type="paragraph" w:styleId="773">
    <w:name w:val="Subtitle"/>
    <w:basedOn w:val="924"/>
    <w:next w:val="924"/>
    <w:link w:val="774"/>
    <w:uiPriority w:val="11"/>
    <w:qFormat/>
    <w:pPr>
      <w:spacing w:before="200" w:after="200"/>
    </w:pPr>
    <w:rPr>
      <w:sz w:val="24"/>
      <w:szCs w:val="24"/>
    </w:rPr>
  </w:style>
  <w:style w:type="character" w:styleId="774">
    <w:name w:val="Subtitle Char"/>
    <w:basedOn w:val="927"/>
    <w:link w:val="773"/>
    <w:uiPriority w:val="11"/>
    <w:rPr>
      <w:sz w:val="24"/>
      <w:szCs w:val="24"/>
    </w:rPr>
  </w:style>
  <w:style w:type="paragraph" w:styleId="775">
    <w:name w:val="Quote"/>
    <w:basedOn w:val="924"/>
    <w:next w:val="924"/>
    <w:link w:val="776"/>
    <w:uiPriority w:val="29"/>
    <w:qFormat/>
    <w:pPr>
      <w:ind w:left="720" w:right="720"/>
    </w:pPr>
    <w:rPr>
      <w:i/>
    </w:rPr>
  </w:style>
  <w:style w:type="character" w:styleId="776">
    <w:name w:val="Quote Char"/>
    <w:link w:val="775"/>
    <w:uiPriority w:val="29"/>
    <w:rPr>
      <w:i/>
    </w:rPr>
  </w:style>
  <w:style w:type="paragraph" w:styleId="777">
    <w:name w:val="Intense Quote"/>
    <w:basedOn w:val="924"/>
    <w:next w:val="92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7"/>
    <w:link w:val="934"/>
    <w:uiPriority w:val="99"/>
  </w:style>
  <w:style w:type="character" w:styleId="780">
    <w:name w:val="Footer Char"/>
    <w:basedOn w:val="927"/>
    <w:link w:val="933"/>
    <w:uiPriority w:val="99"/>
  </w:style>
  <w:style w:type="paragraph" w:styleId="781">
    <w:name w:val="Caption"/>
    <w:basedOn w:val="924"/>
    <w:next w:val="924"/>
    <w:uiPriority w:val="35"/>
    <w:semiHidden/>
    <w:unhideWhenUsed/>
    <w:qFormat/>
    <w:pPr>
      <w:spacing w:line="276" w:lineRule="auto"/>
    </w:pPr>
    <w:rPr>
      <w:b/>
      <w:bCs/>
      <w:color w:val="4f81bd" w:themeColor="accent1"/>
      <w:sz w:val="18"/>
      <w:szCs w:val="18"/>
    </w:rPr>
  </w:style>
  <w:style w:type="character" w:styleId="782">
    <w:name w:val="Caption Char"/>
    <w:basedOn w:val="781"/>
    <w:link w:val="933"/>
    <w:uiPriority w:val="99"/>
  </w:style>
  <w:style w:type="table" w:styleId="783">
    <w:name w:val="Table Grid Light"/>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4"/>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7"/>
    <w:uiPriority w:val="99"/>
    <w:unhideWhenUsed/>
    <w:rPr>
      <w:vertAlign w:val="superscript"/>
    </w:rPr>
  </w:style>
  <w:style w:type="paragraph" w:styleId="911">
    <w:name w:val="endnote text"/>
    <w:basedOn w:val="924"/>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7"/>
    <w:uiPriority w:val="99"/>
    <w:semiHidden/>
    <w:unhideWhenUsed/>
    <w:rPr>
      <w:vertAlign w:val="superscript"/>
    </w:r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link w:val="953"/>
    <w:qFormat/>
    <w:pPr>
      <w:jc w:val="both"/>
      <w:widowControl w:val="off"/>
    </w:pPr>
    <w:rPr>
      <w:sz w:val="21"/>
    </w:rPr>
  </w:style>
  <w:style w:type="paragraph" w:styleId="925">
    <w:name w:val="Heading 1"/>
    <w:basedOn w:val="924"/>
    <w:next w:val="924"/>
    <w:link w:val="948"/>
    <w:qFormat/>
    <w:pPr>
      <w:keepLines/>
      <w:keepNext/>
      <w:spacing w:before="340" w:after="330" w:line="578" w:lineRule="auto"/>
      <w:outlineLvl w:val="0"/>
    </w:pPr>
    <w:rPr>
      <w:b/>
      <w:bCs/>
      <w:sz w:val="44"/>
      <w:szCs w:val="44"/>
    </w:rPr>
  </w:style>
  <w:style w:type="paragraph" w:styleId="926">
    <w:name w:val="Heading 2"/>
    <w:basedOn w:val="924"/>
    <w:next w:val="924"/>
    <w:link w:val="949"/>
    <w:qFormat/>
    <w:pPr>
      <w:keepLines/>
      <w:keepNext/>
      <w:spacing w:line="413" w:lineRule="auto"/>
      <w:outlineLvl w:val="1"/>
    </w:pPr>
    <w:rPr>
      <w:rFonts w:ascii="Arial" w:hAnsi="Arial" w:eastAsia="黑体"/>
      <w:b/>
      <w:sz w:val="32"/>
    </w:rPr>
  </w:style>
  <w:style w:type="character" w:styleId="927" w:default="1">
    <w:name w:val="Default Paragraph Font"/>
    <w:uiPriority w:val="1"/>
    <w:semiHidden/>
    <w:unhideWhenUsed/>
  </w:style>
  <w:style w:type="table" w:styleId="928" w:default="1">
    <w:name w:val="Normal Table"/>
    <w:uiPriority w:val="99"/>
    <w:semiHidden/>
    <w:unhideWhenUsed/>
    <w:qFormat/>
    <w:tblPr>
      <w:tblInd w:w="0" w:type="dxa"/>
      <w:tblCellMar>
        <w:left w:w="108" w:type="dxa"/>
        <w:top w:w="0" w:type="dxa"/>
        <w:right w:w="108" w:type="dxa"/>
        <w:bottom w:w="0" w:type="dxa"/>
      </w:tblCellMar>
    </w:tblPr>
  </w:style>
  <w:style w:type="numbering" w:styleId="929" w:default="1">
    <w:name w:val="No List"/>
    <w:uiPriority w:val="99"/>
    <w:semiHidden/>
    <w:unhideWhenUsed/>
  </w:style>
  <w:style w:type="paragraph" w:styleId="930">
    <w:name w:val="annotation text"/>
    <w:basedOn w:val="924"/>
    <w:qFormat/>
    <w:pPr>
      <w:jc w:val="left"/>
    </w:pPr>
  </w:style>
  <w:style w:type="paragraph" w:styleId="931">
    <w:name w:val="Body Text"/>
    <w:basedOn w:val="924"/>
    <w:qFormat/>
    <w:rPr>
      <w:sz w:val="20"/>
    </w:rPr>
  </w:style>
  <w:style w:type="paragraph" w:styleId="932">
    <w:name w:val="Plain Text"/>
    <w:basedOn w:val="924"/>
    <w:qFormat/>
    <w:rPr>
      <w:rFonts w:ascii="宋体" w:hAnsi="Courier New"/>
    </w:rPr>
  </w:style>
  <w:style w:type="paragraph" w:styleId="933">
    <w:name w:val="Footer"/>
    <w:basedOn w:val="924"/>
    <w:link w:val="950"/>
    <w:uiPriority w:val="99"/>
    <w:qFormat/>
    <w:pPr>
      <w:jc w:val="left"/>
      <w:tabs>
        <w:tab w:val="center" w:pos="4153" w:leader="none"/>
        <w:tab w:val="right" w:pos="8306" w:leader="none"/>
      </w:tabs>
    </w:pPr>
    <w:rPr>
      <w:sz w:val="18"/>
    </w:rPr>
  </w:style>
  <w:style w:type="paragraph" w:styleId="934">
    <w:name w:val="Header"/>
    <w:basedOn w:val="924"/>
    <w:link w:val="95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5">
    <w:name w:val="toc 1"/>
    <w:basedOn w:val="924"/>
    <w:next w:val="924"/>
    <w:uiPriority w:val="39"/>
    <w:qFormat/>
  </w:style>
  <w:style w:type="paragraph" w:styleId="936">
    <w:name w:val="Body Text Indent 3"/>
    <w:basedOn w:val="924"/>
    <w:link w:val="952"/>
    <w:qFormat/>
    <w:pPr>
      <w:ind w:left="420"/>
      <w:spacing w:after="120"/>
    </w:pPr>
    <w:rPr>
      <w:sz w:val="16"/>
      <w:szCs w:val="16"/>
    </w:rPr>
  </w:style>
  <w:style w:type="paragraph" w:styleId="937">
    <w:name w:val="Body Text 2"/>
    <w:basedOn w:val="924"/>
    <w:qFormat/>
    <w:pPr>
      <w:spacing w:line="480" w:lineRule="auto"/>
    </w:pPr>
    <w:rPr>
      <w:sz w:val="20"/>
    </w:rPr>
  </w:style>
  <w:style w:type="paragraph" w:styleId="938">
    <w:name w:val="Normal (Web)"/>
    <w:basedOn w:val="924"/>
    <w:uiPriority w:val="99"/>
    <w:qFormat/>
    <w:pPr>
      <w:jc w:val="left"/>
      <w:spacing w:before="100" w:beforeAutospacing="1" w:after="100" w:afterAutospacing="1"/>
    </w:pPr>
    <w:rPr>
      <w:sz w:val="24"/>
    </w:rPr>
  </w:style>
  <w:style w:type="paragraph" w:styleId="939">
    <w:name w:val="Body Text First Indent"/>
    <w:basedOn w:val="931"/>
    <w:qFormat/>
    <w:pPr>
      <w:ind w:firstLine="420"/>
      <w:spacing w:after="120"/>
      <w:tabs>
        <w:tab w:val="left" w:pos="2020" w:leader="none"/>
        <w:tab w:val="center" w:pos="4535" w:leader="none"/>
      </w:tabs>
    </w:pPr>
    <w:rPr>
      <w:sz w:val="21"/>
    </w:rPr>
  </w:style>
  <w:style w:type="table" w:styleId="940">
    <w:name w:val="Table Grid"/>
    <w:basedOn w:val="928"/>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FollowedHyperlink"/>
    <w:qFormat/>
    <w:rPr>
      <w:color w:val="auto"/>
      <w:u w:val="none"/>
    </w:rPr>
  </w:style>
  <w:style w:type="character" w:styleId="942">
    <w:name w:val="Hyperlink"/>
    <w:uiPriority w:val="99"/>
    <w:unhideWhenUsed/>
    <w:qFormat/>
    <w:rPr>
      <w:color w:val="0563c1"/>
      <w:u w:val="single"/>
    </w:rPr>
  </w:style>
  <w:style w:type="paragraph" w:styleId="943" w:customStyle="1">
    <w:name w:val="普通文字"/>
    <w:basedOn w:val="924"/>
    <w:next w:val="924"/>
    <w:qFormat/>
    <w:rPr>
      <w:rFonts w:ascii="宋体"/>
      <w:sz w:val="24"/>
    </w:rPr>
  </w:style>
  <w:style w:type="paragraph" w:styleId="944" w:customStyle="1">
    <w:name w:val="正文缩进1"/>
    <w:basedOn w:val="924"/>
    <w:qFormat/>
    <w:pPr>
      <w:ind w:firstLine="420"/>
      <w:jc w:val="left"/>
    </w:pPr>
    <w:rPr>
      <w:rFonts w:ascii="宋体" w:hAnsi="Calibri"/>
      <w:sz w:val="24"/>
      <w:szCs w:val="22"/>
    </w:rPr>
  </w:style>
  <w:style w:type="paragraph" w:styleId="945" w:customStyle="1">
    <w:name w:val="索引 11"/>
    <w:basedOn w:val="924"/>
    <w:next w:val="924"/>
    <w:qFormat/>
    <w:pPr>
      <w:spacing w:line="360" w:lineRule="auto"/>
    </w:pPr>
    <w:rPr>
      <w:rFonts w:ascii="仿宋_GB2312" w:eastAsia="仿宋_GB2312"/>
      <w:sz w:val="24"/>
    </w:rPr>
  </w:style>
  <w:style w:type="paragraph" w:styleId="946" w:customStyle="1">
    <w:name w:val="纯文本1"/>
    <w:basedOn w:val="924"/>
    <w:qFormat/>
    <w:rPr>
      <w:rFonts w:ascii="宋体" w:hAnsi="Courier New"/>
      <w:szCs w:val="22"/>
    </w:rPr>
  </w:style>
  <w:style w:type="paragraph" w:styleId="947">
    <w:name w:val="List Paragraph"/>
    <w:basedOn w:val="924"/>
    <w:uiPriority w:val="1"/>
    <w:qFormat/>
    <w:pPr>
      <w:ind w:firstLine="420"/>
    </w:pPr>
  </w:style>
  <w:style w:type="character" w:styleId="948" w:customStyle="1">
    <w:name w:val="标题 1 Char"/>
    <w:link w:val="925"/>
    <w:qFormat/>
    <w:rPr>
      <w:rFonts w:ascii="Times New Roman" w:hAnsi="Times New Roman"/>
      <w:b/>
      <w:bCs/>
      <w:sz w:val="44"/>
      <w:szCs w:val="44"/>
    </w:rPr>
  </w:style>
  <w:style w:type="character" w:styleId="949" w:customStyle="1">
    <w:name w:val="标题 2 Char"/>
    <w:link w:val="926"/>
    <w:qFormat/>
    <w:rPr>
      <w:rFonts w:ascii="Arial" w:hAnsi="Arial" w:eastAsia="黑体"/>
      <w:b/>
      <w:sz w:val="32"/>
    </w:rPr>
  </w:style>
  <w:style w:type="character" w:styleId="950" w:customStyle="1">
    <w:name w:val="页脚 Char"/>
    <w:link w:val="933"/>
    <w:uiPriority w:val="99"/>
    <w:qFormat/>
    <w:rPr>
      <w:rFonts w:ascii="Times New Roman" w:hAnsi="Times New Roman"/>
      <w:sz w:val="18"/>
    </w:rPr>
  </w:style>
  <w:style w:type="character" w:styleId="951" w:customStyle="1">
    <w:name w:val="页眉 Char"/>
    <w:link w:val="934"/>
    <w:uiPriority w:val="99"/>
    <w:qFormat/>
    <w:rPr>
      <w:rFonts w:ascii="Times New Roman" w:hAnsi="Times New Roman"/>
      <w:sz w:val="18"/>
    </w:rPr>
  </w:style>
  <w:style w:type="character" w:styleId="952" w:customStyle="1">
    <w:name w:val="正文文本缩进 3 Char"/>
    <w:link w:val="936"/>
    <w:qFormat/>
    <w:rPr>
      <w:rFonts w:ascii="Times New Roman" w:hAnsi="Times New Roman"/>
      <w:sz w:val="16"/>
      <w:szCs w:val="16"/>
    </w:rPr>
  </w:style>
  <w:style w:type="character" w:styleId="953" w:customStyle="1">
    <w:name w:val="批注引用1"/>
    <w:semiHidden/>
    <w:qFormat/>
    <w:rPr>
      <w:rFonts w:ascii="Times New Roman" w:hAnsi="Times New Roman" w:eastAsia="宋体" w:cs="Times New Roman"/>
      <w:sz w:val="21"/>
      <w:lang w:val="en-US" w:eastAsia="zh-CN" w:bidi="ar-SA"/>
    </w:rPr>
  </w:style>
  <w:style w:type="paragraph" w:styleId="954" w:customStyle="1">
    <w:name w:val="标题 41"/>
    <w:basedOn w:val="924"/>
    <w:next w:val="944"/>
    <w:qFormat/>
    <w:pPr>
      <w:keepLines/>
      <w:keepNext/>
      <w:spacing w:before="280" w:after="290" w:line="376" w:lineRule="auto"/>
      <w:outlineLvl w:val="3"/>
    </w:pPr>
    <w:rPr>
      <w:rFonts w:ascii="Arial" w:hAnsi="Arial" w:eastAsia="黑体"/>
      <w:b/>
      <w:bCs/>
      <w:sz w:val="28"/>
      <w:szCs w:val="28"/>
    </w:rPr>
  </w:style>
  <w:style w:type="paragraph" w:styleId="955" w:customStyle="1">
    <w:name w:val="普通正文"/>
    <w:basedOn w:val="924"/>
    <w:qFormat/>
    <w:pPr>
      <w:ind w:firstLine="480"/>
      <w:jc w:val="left"/>
      <w:spacing w:before="120" w:after="120" w:line="360" w:lineRule="auto"/>
    </w:pPr>
    <w:rPr>
      <w:rFonts w:ascii="Arial" w:hAnsi="Arial"/>
      <w:sz w:val="24"/>
      <w:szCs w:val="24"/>
    </w:rPr>
  </w:style>
  <w:style w:type="paragraph" w:styleId="956" w:customStyle="1">
    <w:name w:val="表格文字"/>
    <w:basedOn w:val="924"/>
    <w:qFormat/>
    <w:pPr>
      <w:spacing w:line="560" w:lineRule="exact"/>
    </w:pPr>
    <w:rPr>
      <w:rFonts w:ascii="Times" w:hAnsi="Times" w:cs="Calibri"/>
      <w:spacing w:val="10"/>
      <w:sz w:val="32"/>
      <w:szCs w:val="21"/>
    </w:rPr>
  </w:style>
  <w:style w:type="paragraph" w:styleId="957">
    <w:name w:val="Balloon Text"/>
    <w:basedOn w:val="924"/>
    <w:link w:val="958"/>
    <w:rPr>
      <w:sz w:val="18"/>
      <w:szCs w:val="18"/>
    </w:rPr>
  </w:style>
  <w:style w:type="character" w:styleId="958" w:customStyle="1">
    <w:name w:val="批注框文本 Char"/>
    <w:basedOn w:val="927"/>
    <w:link w:val="957"/>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 Id="rId20" Type="http://schemas.openxmlformats.org/officeDocument/2006/relationships/image" Target="media/image1.png"/><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BF6289-8894-41A0-A3C4-49A99F45A08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344</cp:revision>
  <dcterms:created xsi:type="dcterms:W3CDTF">2022-12-23T01:29:00Z</dcterms:created>
  <dcterms:modified xsi:type="dcterms:W3CDTF">2026-06-05T00:41:16Z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