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spacing w:line="360" w:lineRule="auto"/>
        <w:tabs>
          <w:tab w:val="left" w:pos="630"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pStyle w:val="1020"/>
        <w:jc w:val="center"/>
        <w:spacing w:line="360" w:lineRule="auto"/>
        <w:shd w:val="clear" w:color="auto" w:fill="ffffff"/>
        <w:widowControl/>
        <w:rPr>
          <w:rFonts w:hint="eastAsia" w:ascii="宋体" w:hAnsi="宋体" w:cs="宋体"/>
          <w:b/>
          <w:bCs/>
          <w:sz w:val="36"/>
          <w:szCs w:val="36"/>
        </w:rPr>
      </w:pPr>
      <w:r>
        <w:rPr>
          <w:rFonts w:hint="eastAsia" w:ascii="宋体" w:hAnsi="宋体" w:cs="宋体"/>
          <w:b/>
          <w:bCs/>
          <w:sz w:val="36"/>
          <w:szCs w:val="36"/>
        </w:rPr>
      </w:r>
      <w:r/>
    </w:p>
    <w:p>
      <w:pPr>
        <w:pStyle w:val="1020"/>
        <w:jc w:val="center"/>
        <w:spacing w:line="360" w:lineRule="auto"/>
        <w:shd w:val="clear" w:color="auto" w:fill="ffffff"/>
        <w:widowControl/>
        <w:rPr>
          <w:rFonts w:hint="eastAsia" w:ascii="宋体" w:hAnsi="宋体" w:cs="宋体"/>
          <w:b/>
          <w:bCs/>
          <w:sz w:val="44"/>
          <w:szCs w:val="44"/>
          <w:lang w:val="zh-CN"/>
        </w:rPr>
      </w:pPr>
      <w:r>
        <w:rPr>
          <w:rFonts w:hint="eastAsia" w:ascii="宋体" w:hAnsi="宋体" w:cs="宋体"/>
          <w:b/>
          <w:bCs/>
          <w:sz w:val="44"/>
          <w:szCs w:val="44"/>
        </w:rPr>
        <w:t xml:space="preserve">江苏卫生健康职业学院人体结构教学科普馆场馆改造</w:t>
      </w:r>
      <w:r>
        <w:rPr>
          <w:rFonts w:hint="eastAsia" w:ascii="宋体" w:hAnsi="宋体" w:cs="宋体"/>
          <w:b/>
          <w:bCs/>
          <w:sz w:val="44"/>
          <w:szCs w:val="44"/>
          <w:lang w:val="zh-CN"/>
        </w:rPr>
      </w:r>
      <w:r/>
    </w:p>
    <w:p>
      <w:pPr>
        <w:pStyle w:val="1020"/>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pStyle w:val="1020"/>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r>
      <w:r/>
    </w:p>
    <w:p>
      <w:pPr>
        <w:pStyle w:val="1020"/>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t xml:space="preserve">竞争性磋商文件</w:t>
      </w:r>
      <w:r>
        <w:rPr>
          <w:rFonts w:hint="eastAsia" w:ascii="宋体" w:hAnsi="宋体" w:cs="宋体"/>
          <w:b/>
          <w:bCs/>
          <w:color w:val="000000"/>
          <w:sz w:val="44"/>
          <w:szCs w:val="44"/>
        </w:rPr>
      </w:r>
      <w:r/>
    </w:p>
    <w:p>
      <w:pPr>
        <w:pStyle w:val="1020"/>
        <w:jc w:val="center"/>
        <w:spacing w:line="360" w:lineRule="auto"/>
        <w:tabs>
          <w:tab w:val="left" w:pos="390" w:leader="none"/>
          <w:tab w:val="center" w:pos="4404" w:leader="none"/>
        </w:tabs>
        <w:rPr>
          <w:rFonts w:hint="eastAsia" w:ascii="宋体" w:hAnsi="宋体" w:cs="宋体"/>
          <w:b/>
          <w:bCs/>
          <w:color w:val="000000"/>
          <w:sz w:val="44"/>
          <w:szCs w:val="44"/>
        </w:rPr>
      </w:pPr>
      <w:r>
        <w:rPr>
          <w:rFonts w:hint="eastAsia" w:ascii="宋体" w:hAnsi="宋体" w:cs="宋体"/>
          <w:b/>
          <w:bCs/>
          <w:color w:val="000000"/>
          <w:sz w:val="44"/>
          <w:szCs w:val="44"/>
        </w:rPr>
        <w:t xml:space="preserve">（工程类）</w:t>
      </w:r>
      <w:r>
        <w:rPr>
          <w:rFonts w:hint="eastAsia" w:ascii="宋体" w:hAnsi="宋体" w:cs="宋体"/>
          <w:b/>
          <w:bCs/>
          <w:color w:val="000000"/>
          <w:sz w:val="44"/>
          <w:szCs w:val="44"/>
        </w:rPr>
      </w:r>
      <w:r/>
    </w:p>
    <w:p>
      <w:pPr>
        <w:pStyle w:val="1020"/>
        <w:jc w:val="center"/>
        <w:spacing w:line="360" w:lineRule="auto"/>
        <w:rPr>
          <w:rFonts w:hint="eastAsia" w:ascii="宋体" w:hAnsi="宋体" w:eastAsia="宋体" w:cs="宋体"/>
          <w:b/>
          <w:bCs/>
          <w:color w:val="000000"/>
          <w:sz w:val="40"/>
          <w:szCs w:val="40"/>
          <w:lang w:eastAsia="zh-CN"/>
        </w:rPr>
      </w:pPr>
      <w:r>
        <w:rPr>
          <w:rFonts w:hint="eastAsia" w:ascii="宋体" w:hAnsi="宋体" w:cs="宋体"/>
          <w:b/>
          <w:bCs/>
          <w:color w:val="000000"/>
          <w:sz w:val="36"/>
          <w:szCs w:val="36"/>
        </w:rPr>
        <w:t xml:space="preserve">项目编号：</w:t>
      </w:r>
      <w:r>
        <w:rPr>
          <w:rFonts w:hint="eastAsia" w:ascii="宋体" w:hAnsi="宋体" w:cs="宋体"/>
          <w:b/>
          <w:bCs/>
          <w:color w:val="000000"/>
          <w:sz w:val="36"/>
          <w:szCs w:val="36"/>
          <w:lang w:eastAsia="zh-CN"/>
        </w:rPr>
        <w:t xml:space="preserve">JSZC-320000-NJJC-C2026-0035</w:t>
      </w:r>
      <w:r>
        <w:rPr>
          <w:rFonts w:hint="eastAsia" w:ascii="宋体" w:hAnsi="宋体" w:eastAsia="宋体" w:cs="宋体"/>
          <w:b/>
          <w:bCs/>
          <w:color w:val="000000"/>
          <w:sz w:val="40"/>
          <w:szCs w:val="40"/>
          <w:lang w:eastAsia="zh-CN"/>
        </w:rPr>
      </w:r>
      <w:r/>
    </w:p>
    <w:p>
      <w:pPr>
        <w:pStyle w:val="1020"/>
        <w:jc w:val="center"/>
        <w:spacing w:line="360" w:lineRule="auto"/>
        <w:rPr>
          <w:rFonts w:hint="eastAsia" w:ascii="宋体" w:hAnsi="宋体" w:cs="宋体"/>
          <w:b/>
          <w:bCs/>
          <w:color w:val="000000"/>
          <w:sz w:val="40"/>
          <w:szCs w:val="40"/>
        </w:rPr>
      </w:pPr>
      <w:r>
        <w:rPr>
          <w:rFonts w:hint="eastAsia" w:ascii="宋体" w:hAnsi="宋体" w:cs="宋体"/>
          <w:b/>
          <w:bCs/>
          <w:color w:val="000000"/>
          <w:sz w:val="40"/>
          <w:szCs w:val="40"/>
        </w:rPr>
      </w:r>
      <w:r/>
    </w:p>
    <w:p>
      <w:pPr>
        <w:pStyle w:val="1020"/>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1020"/>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1020"/>
        <w:jc w:val="center"/>
        <w:spacing w:line="360" w:lineRule="auto"/>
        <w:rPr>
          <w:rFonts w:hint="eastAsia" w:ascii="宋体" w:hAnsi="宋体" w:cs="宋体"/>
          <w:color w:val="000000"/>
          <w:sz w:val="48"/>
          <w:szCs w:val="48"/>
        </w:rPr>
      </w:pPr>
      <w:r>
        <w:rPr>
          <w:rFonts w:hint="eastAsia" w:ascii="宋体" w:hAnsi="宋体" w:cs="宋体"/>
          <w:color w:val="000000"/>
          <w:sz w:val="48"/>
          <w:szCs w:val="48"/>
        </w:rPr>
      </w:r>
      <w:r/>
    </w:p>
    <w:p>
      <w:pPr>
        <w:pStyle w:val="1104"/>
        <w:ind w:firstLine="1285"/>
        <w:rPr>
          <w:rFonts w:hint="eastAsia" w:ascii="宋体" w:hAnsi="宋体" w:cs="宋体"/>
          <w:b/>
          <w:sz w:val="32"/>
          <w:szCs w:val="32"/>
        </w:rPr>
      </w:pPr>
      <w:r>
        <w:rPr>
          <w:rFonts w:hint="eastAsia" w:ascii="宋体" w:hAnsi="宋体" w:cs="宋体"/>
          <w:b/>
          <w:sz w:val="32"/>
          <w:szCs w:val="32"/>
        </w:rPr>
        <w:t xml:space="preserve">采   购   人：江苏卫生健康职业学院</w:t>
      </w:r>
      <w:r>
        <w:rPr>
          <w:rFonts w:hint="eastAsia" w:ascii="宋体" w:hAnsi="宋体" w:cs="宋体"/>
          <w:b/>
          <w:sz w:val="32"/>
          <w:szCs w:val="32"/>
        </w:rPr>
      </w:r>
      <w:r/>
    </w:p>
    <w:p>
      <w:pPr>
        <w:pStyle w:val="1104"/>
        <w:ind w:firstLine="1285"/>
        <w:rPr>
          <w:rFonts w:hint="eastAsia" w:ascii="宋体" w:hAnsi="宋体" w:cs="宋体"/>
          <w:b/>
          <w:sz w:val="32"/>
          <w:szCs w:val="32"/>
        </w:rPr>
      </w:pPr>
      <w:r>
        <w:rPr>
          <w:rFonts w:hint="eastAsia" w:ascii="宋体" w:hAnsi="宋体" w:cs="宋体"/>
          <w:b/>
          <w:sz w:val="32"/>
          <w:szCs w:val="32"/>
        </w:rPr>
        <w:t xml:space="preserve">采购代理机构：</w:t>
      </w:r>
      <w:bookmarkStart w:id="0" w:name="_Toc29585"/>
      <w:r>
        <w:rPr>
          <w:rFonts w:hint="eastAsia" w:ascii="宋体" w:hAnsi="宋体" w:cs="宋体"/>
          <w:b/>
          <w:sz w:val="32"/>
          <w:szCs w:val="32"/>
        </w:rPr>
        <w:t xml:space="preserve">南京江城工程项目管理有限公司</w:t>
      </w:r>
      <w:r>
        <w:rPr>
          <w:rFonts w:hint="eastAsia" w:ascii="宋体" w:hAnsi="宋体" w:cs="宋体"/>
          <w:b/>
          <w:sz w:val="32"/>
          <w:szCs w:val="32"/>
        </w:rPr>
      </w:r>
      <w:r/>
    </w:p>
    <w:p>
      <w:pPr>
        <w:pStyle w:val="1104"/>
        <w:ind w:firstLine="0"/>
        <w:jc w:val="center"/>
        <w:rPr>
          <w:rFonts w:hint="eastAsia"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5</w:t>
      </w:r>
      <w:r>
        <w:rPr>
          <w:rFonts w:hint="eastAsia" w:ascii="宋体" w:hAnsi="宋体" w:cs="宋体"/>
          <w:b/>
          <w:sz w:val="32"/>
          <w:szCs w:val="32"/>
        </w:rPr>
        <w:t xml:space="preserve">月</w:t>
      </w:r>
      <w:r>
        <w:rPr>
          <w:rFonts w:hint="eastAsia" w:ascii="宋体" w:hAnsi="宋体" w:cs="宋体"/>
          <w:b/>
          <w:sz w:val="32"/>
          <w:szCs w:val="32"/>
        </w:rPr>
        <w:br w:type="page" w:clear="all"/>
      </w:r>
      <w:r>
        <w:rPr>
          <w:rFonts w:hint="eastAsia" w:ascii="宋体" w:hAnsi="宋体" w:cs="宋体"/>
          <w:b/>
          <w:sz w:val="32"/>
          <w:szCs w:val="32"/>
        </w:rPr>
      </w:r>
      <w:r/>
    </w:p>
    <w:p>
      <w:pPr>
        <w:pStyle w:val="1316"/>
        <w:numPr>
          <w:ilvl w:val="0"/>
          <w:numId w:val="0"/>
        </w:numPr>
        <w:jc w:val="center"/>
        <w:spacing w:after="624" w:line="360" w:lineRule="auto"/>
        <w:rPr>
          <w:rFonts w:hint="eastAsia" w:ascii="宋体" w:hAnsi="宋体" w:cs="宋体"/>
          <w:color w:val="000000"/>
          <w:sz w:val="36"/>
          <w:lang w:val="zh-CN"/>
        </w:rPr>
      </w:pPr>
      <w:r>
        <w:rPr>
          <w:rFonts w:hint="eastAsia" w:ascii="宋体" w:hAnsi="宋体" w:cs="宋体"/>
          <w:color w:val="000000"/>
          <w:sz w:val="36"/>
          <w:lang w:val="zh-CN"/>
        </w:rPr>
        <w:t xml:space="preserve">目</w:t>
      </w:r>
      <w:r>
        <w:rPr>
          <w:rFonts w:hint="eastAsia" w:ascii="宋体" w:hAnsi="宋体" w:cs="宋体"/>
          <w:color w:val="000000"/>
          <w:sz w:val="36"/>
        </w:rPr>
        <w:t xml:space="preserve"> </w:t>
      </w:r>
      <w:r>
        <w:rPr>
          <w:rFonts w:hint="eastAsia" w:ascii="宋体" w:hAnsi="宋体" w:cs="宋体"/>
          <w:color w:val="000000"/>
          <w:sz w:val="36"/>
          <w:lang w:val="zh-CN"/>
        </w:rPr>
        <w:t xml:space="preserve">录</w:t>
      </w:r>
      <w:bookmarkEnd w:id="0"/>
      <w:r>
        <w:rPr>
          <w:rFonts w:hint="eastAsia" w:ascii="宋体" w:hAnsi="宋体" w:cs="宋体"/>
          <w:color w:val="000000"/>
          <w:sz w:val="36"/>
          <w:lang w:val="zh-CN"/>
        </w:rPr>
      </w:r>
      <w:r/>
    </w:p>
    <w:p>
      <w:pPr>
        <w:pStyle w:val="1079"/>
        <w:jc w:val="both"/>
        <w:spacing w:before="0" w:after="0" w:line="360" w:lineRule="auto"/>
        <w:tabs>
          <w:tab w:val="right" w:pos="8496" w:leader="dot"/>
        </w:tabs>
        <w:rPr>
          <w:rStyle w:val="1114"/>
          <w:rFonts w:hint="eastAsia" w:ascii="宋体" w:hAnsi="宋体" w:cs="宋体"/>
          <w:b w:val="0"/>
          <w:bCs/>
          <w:caps w:val="0"/>
          <w:color w:val="000000"/>
          <w:sz w:val="28"/>
          <w:szCs w:val="28"/>
        </w:rPr>
      </w:pPr>
      <w:r>
        <w:rPr>
          <w:rStyle w:val="1114"/>
          <w:rFonts w:hint="eastAsia" w:ascii="宋体" w:hAnsi="宋体" w:cs="宋体"/>
          <w:b w:val="0"/>
          <w:bCs/>
          <w:caps w:val="0"/>
          <w:color w:val="000000"/>
          <w:sz w:val="28"/>
          <w:szCs w:val="28"/>
        </w:rPr>
        <w:fldChar w:fldCharType="begin"/>
      </w:r>
      <w:r>
        <w:rPr>
          <w:rStyle w:val="1114"/>
          <w:rFonts w:hint="eastAsia" w:ascii="宋体" w:hAnsi="宋体" w:cs="宋体"/>
          <w:b w:val="0"/>
          <w:bCs/>
          <w:caps w:val="0"/>
          <w:color w:val="000000"/>
          <w:sz w:val="28"/>
          <w:szCs w:val="28"/>
        </w:rPr>
        <w:instrText xml:space="preserve"> TOC \o "1-3" \h \z \u </w:instrText>
      </w:r>
      <w:r>
        <w:rPr>
          <w:rStyle w:val="1114"/>
          <w:rFonts w:hint="eastAsia" w:ascii="宋体" w:hAnsi="宋体" w:cs="宋体"/>
          <w:b w:val="0"/>
          <w:bCs/>
          <w:caps w:val="0"/>
          <w:color w:val="000000"/>
          <w:sz w:val="28"/>
          <w:szCs w:val="28"/>
        </w:rPr>
        <w:fldChar w:fldCharType="separate"/>
      </w:r>
      <w:r>
        <w:fldChar w:fldCharType="begin"/>
      </w:r>
      <w:r>
        <w:instrText xml:space="preserve"> HYPERLINK \l "_Toc22476" \o "#_Toc22476" </w:instrText>
      </w:r>
      <w:r>
        <w:fldChar w:fldCharType="separate"/>
      </w:r>
      <w:r>
        <w:rPr>
          <w:rStyle w:val="1114"/>
          <w:rFonts w:hint="eastAsia" w:ascii="宋体" w:hAnsi="宋体" w:cs="宋体"/>
          <w:b w:val="0"/>
          <w:bCs/>
          <w:caps w:val="0"/>
          <w:color w:val="000000"/>
          <w:sz w:val="28"/>
          <w:szCs w:val="28"/>
        </w:rPr>
        <w:t xml:space="preserve">第一章  竞争性磋商公告</w:t>
      </w:r>
      <w:r>
        <w:rPr>
          <w:rStyle w:val="1114"/>
          <w:rFonts w:hint="eastAsia" w:ascii="宋体" w:hAnsi="宋体" w:cs="宋体"/>
          <w:b w:val="0"/>
          <w:bCs/>
          <w:caps w:val="0"/>
          <w:color w:val="000000"/>
          <w:sz w:val="28"/>
          <w:szCs w:val="28"/>
        </w:rPr>
        <w:fldChar w:fldCharType="end"/>
      </w:r>
      <w:r>
        <w:rPr>
          <w:rStyle w:val="1114"/>
          <w:rFonts w:hint="eastAsia" w:ascii="宋体" w:hAnsi="宋体" w:cs="宋体"/>
          <w:b w:val="0"/>
          <w:bCs/>
          <w:caps w:val="0"/>
          <w:color w:val="000000"/>
          <w:sz w:val="28"/>
          <w:szCs w:val="28"/>
        </w:rPr>
      </w:r>
      <w:r/>
    </w:p>
    <w:p>
      <w:pPr>
        <w:pStyle w:val="1079"/>
        <w:jc w:val="both"/>
        <w:spacing w:before="0" w:after="0" w:line="360" w:lineRule="auto"/>
        <w:tabs>
          <w:tab w:val="right" w:pos="8496" w:leader="dot"/>
        </w:tabs>
        <w:rPr>
          <w:rStyle w:val="1114"/>
          <w:rFonts w:hint="eastAsia" w:ascii="宋体" w:hAnsi="宋体" w:cs="宋体"/>
          <w:b w:val="0"/>
          <w:bCs/>
          <w:caps w:val="0"/>
          <w:color w:val="000000"/>
          <w:sz w:val="28"/>
          <w:szCs w:val="28"/>
        </w:rPr>
      </w:pPr>
      <w:r>
        <w:fldChar w:fldCharType="begin"/>
      </w:r>
      <w:r>
        <w:instrText xml:space="preserve"> HYPERLINK \l "_Toc349" \o "#_Toc349" </w:instrText>
      </w:r>
      <w:r>
        <w:fldChar w:fldCharType="separate"/>
      </w:r>
      <w:r>
        <w:rPr>
          <w:rStyle w:val="1114"/>
          <w:rFonts w:hint="eastAsia" w:ascii="宋体" w:hAnsi="宋体" w:cs="宋体"/>
          <w:b w:val="0"/>
          <w:bCs/>
          <w:caps w:val="0"/>
          <w:color w:val="000000"/>
          <w:sz w:val="28"/>
          <w:szCs w:val="28"/>
        </w:rPr>
        <w:t xml:space="preserve">第二章  竞争性磋商须知</w:t>
      </w:r>
      <w:r>
        <w:rPr>
          <w:rStyle w:val="1114"/>
          <w:rFonts w:hint="eastAsia" w:ascii="宋体" w:hAnsi="宋体" w:cs="宋体"/>
          <w:b w:val="0"/>
          <w:bCs/>
          <w:caps w:val="0"/>
          <w:color w:val="000000"/>
          <w:sz w:val="28"/>
          <w:szCs w:val="28"/>
        </w:rPr>
        <w:fldChar w:fldCharType="end"/>
      </w:r>
      <w:r>
        <w:rPr>
          <w:rStyle w:val="1114"/>
          <w:rFonts w:hint="eastAsia" w:ascii="宋体" w:hAnsi="宋体" w:cs="宋体"/>
          <w:b w:val="0"/>
          <w:bCs/>
          <w:caps w:val="0"/>
          <w:color w:val="000000"/>
          <w:sz w:val="28"/>
          <w:szCs w:val="28"/>
        </w:rPr>
      </w:r>
      <w:r/>
    </w:p>
    <w:p>
      <w:pPr>
        <w:pStyle w:val="1079"/>
        <w:jc w:val="both"/>
        <w:spacing w:before="0" w:after="0" w:line="360" w:lineRule="auto"/>
        <w:tabs>
          <w:tab w:val="right" w:pos="8496" w:leader="dot"/>
        </w:tabs>
        <w:rPr>
          <w:rStyle w:val="1114"/>
          <w:rFonts w:hint="eastAsia" w:ascii="宋体" w:hAnsi="宋体" w:cs="宋体"/>
          <w:b w:val="0"/>
          <w:bCs/>
          <w:caps w:val="0"/>
          <w:color w:val="000000"/>
          <w:sz w:val="28"/>
          <w:szCs w:val="28"/>
        </w:rPr>
      </w:pPr>
      <w:r>
        <w:fldChar w:fldCharType="begin"/>
      </w:r>
      <w:r>
        <w:instrText xml:space="preserve"> HYPERLINK \l "_Toc614" \o "#_Toc614" </w:instrText>
      </w:r>
      <w:r>
        <w:fldChar w:fldCharType="separate"/>
      </w:r>
      <w:r>
        <w:rPr>
          <w:rStyle w:val="1114"/>
          <w:rFonts w:hint="eastAsia" w:ascii="宋体" w:hAnsi="宋体" w:cs="宋体"/>
          <w:b w:val="0"/>
          <w:bCs/>
          <w:caps w:val="0"/>
          <w:color w:val="000000"/>
          <w:sz w:val="28"/>
          <w:szCs w:val="28"/>
        </w:rPr>
        <w:t xml:space="preserve">第三章  评标标准</w:t>
      </w:r>
      <w:r>
        <w:rPr>
          <w:rStyle w:val="1114"/>
          <w:rFonts w:hint="eastAsia" w:ascii="宋体" w:hAnsi="宋体" w:cs="宋体"/>
          <w:b w:val="0"/>
          <w:bCs/>
          <w:caps w:val="0"/>
          <w:color w:val="000000"/>
          <w:sz w:val="28"/>
          <w:szCs w:val="28"/>
        </w:rPr>
        <w:fldChar w:fldCharType="end"/>
      </w:r>
      <w:r>
        <w:rPr>
          <w:rStyle w:val="1114"/>
          <w:rFonts w:hint="eastAsia" w:ascii="宋体" w:hAnsi="宋体" w:cs="宋体"/>
          <w:b w:val="0"/>
          <w:bCs/>
          <w:caps w:val="0"/>
          <w:color w:val="000000"/>
          <w:sz w:val="28"/>
          <w:szCs w:val="28"/>
        </w:rPr>
      </w:r>
      <w:r/>
    </w:p>
    <w:p>
      <w:pPr>
        <w:pStyle w:val="1079"/>
        <w:jc w:val="both"/>
        <w:spacing w:before="0" w:after="0" w:line="360" w:lineRule="auto"/>
        <w:tabs>
          <w:tab w:val="right" w:pos="8496" w:leader="dot"/>
        </w:tabs>
        <w:rPr>
          <w:rStyle w:val="1114"/>
          <w:rFonts w:hint="eastAsia" w:ascii="宋体" w:hAnsi="宋体" w:cs="宋体"/>
          <w:b w:val="0"/>
          <w:bCs/>
          <w:caps w:val="0"/>
          <w:color w:val="000000"/>
          <w:sz w:val="28"/>
          <w:szCs w:val="28"/>
        </w:rPr>
      </w:pPr>
      <w:r>
        <w:fldChar w:fldCharType="begin"/>
      </w:r>
      <w:r>
        <w:instrText xml:space="preserve"> HYPERLINK \l "_Toc7631" \o "#_Toc7631" </w:instrText>
      </w:r>
      <w:r>
        <w:fldChar w:fldCharType="separate"/>
      </w:r>
      <w:r>
        <w:rPr>
          <w:rStyle w:val="1114"/>
          <w:rFonts w:hint="eastAsia" w:ascii="宋体" w:hAnsi="宋体" w:cs="宋体"/>
          <w:b w:val="0"/>
          <w:bCs/>
          <w:caps w:val="0"/>
          <w:color w:val="000000"/>
          <w:sz w:val="28"/>
          <w:szCs w:val="28"/>
        </w:rPr>
        <w:t xml:space="preserve">第四章  采购需求</w:t>
      </w:r>
      <w:r>
        <w:rPr>
          <w:rStyle w:val="1114"/>
          <w:rFonts w:hint="eastAsia" w:ascii="宋体" w:hAnsi="宋体" w:cs="宋体"/>
          <w:b w:val="0"/>
          <w:bCs/>
          <w:caps w:val="0"/>
          <w:color w:val="000000"/>
          <w:sz w:val="28"/>
          <w:szCs w:val="28"/>
        </w:rPr>
        <w:fldChar w:fldCharType="end"/>
      </w:r>
      <w:r>
        <w:rPr>
          <w:rStyle w:val="1114"/>
          <w:rFonts w:hint="eastAsia" w:ascii="宋体" w:hAnsi="宋体" w:cs="宋体"/>
          <w:b w:val="0"/>
          <w:bCs/>
          <w:caps w:val="0"/>
          <w:color w:val="000000"/>
          <w:sz w:val="28"/>
          <w:szCs w:val="28"/>
        </w:rPr>
      </w:r>
      <w:r/>
    </w:p>
    <w:p>
      <w:pPr>
        <w:pStyle w:val="1079"/>
        <w:jc w:val="both"/>
        <w:spacing w:before="0" w:after="0" w:line="360" w:lineRule="auto"/>
        <w:tabs>
          <w:tab w:val="right" w:pos="8496" w:leader="dot"/>
        </w:tabs>
        <w:rPr>
          <w:rStyle w:val="1114"/>
          <w:rFonts w:hint="eastAsia" w:ascii="宋体" w:hAnsi="宋体" w:cs="宋体"/>
          <w:b w:val="0"/>
          <w:bCs/>
          <w:caps w:val="0"/>
          <w:color w:val="000000"/>
          <w:sz w:val="28"/>
          <w:szCs w:val="28"/>
        </w:rPr>
      </w:pPr>
      <w:r>
        <w:fldChar w:fldCharType="begin"/>
      </w:r>
      <w:r>
        <w:instrText xml:space="preserve"> HYPERLINK \l "_Toc13426" \o "#_Toc13426" </w:instrText>
      </w:r>
      <w:r>
        <w:fldChar w:fldCharType="separate"/>
      </w:r>
      <w:r>
        <w:rPr>
          <w:rStyle w:val="1114"/>
          <w:rFonts w:hint="eastAsia" w:ascii="宋体" w:hAnsi="宋体" w:cs="宋体"/>
          <w:b w:val="0"/>
          <w:bCs/>
          <w:caps w:val="0"/>
          <w:color w:val="000000"/>
          <w:sz w:val="28"/>
          <w:szCs w:val="28"/>
        </w:rPr>
        <w:t xml:space="preserve">第五章  合同主要条款</w:t>
      </w:r>
      <w:r>
        <w:rPr>
          <w:rStyle w:val="1114"/>
          <w:rFonts w:hint="eastAsia" w:ascii="宋体" w:hAnsi="宋体" w:cs="宋体"/>
          <w:b w:val="0"/>
          <w:bCs/>
          <w:caps w:val="0"/>
          <w:color w:val="000000"/>
          <w:sz w:val="28"/>
          <w:szCs w:val="28"/>
        </w:rPr>
        <w:fldChar w:fldCharType="end"/>
      </w:r>
      <w:r>
        <w:rPr>
          <w:rStyle w:val="1114"/>
          <w:rFonts w:hint="eastAsia" w:ascii="宋体" w:hAnsi="宋体" w:cs="宋体"/>
          <w:b w:val="0"/>
          <w:bCs/>
          <w:caps w:val="0"/>
          <w:color w:val="000000"/>
          <w:sz w:val="28"/>
          <w:szCs w:val="28"/>
        </w:rPr>
      </w:r>
      <w:r/>
    </w:p>
    <w:p>
      <w:pPr>
        <w:pStyle w:val="1079"/>
        <w:jc w:val="both"/>
        <w:spacing w:before="0" w:after="0" w:line="360" w:lineRule="auto"/>
        <w:tabs>
          <w:tab w:val="right" w:pos="8496" w:leader="dot"/>
        </w:tabs>
        <w:rPr>
          <w:rStyle w:val="1114"/>
          <w:rFonts w:hint="eastAsia" w:ascii="宋体" w:hAnsi="宋体" w:cs="宋体"/>
          <w:b w:val="0"/>
          <w:bCs/>
          <w:caps w:val="0"/>
          <w:color w:val="000000"/>
          <w:sz w:val="28"/>
          <w:szCs w:val="28"/>
        </w:rPr>
      </w:pPr>
      <w:r>
        <w:fldChar w:fldCharType="begin"/>
      </w:r>
      <w:r>
        <w:instrText xml:space="preserve"> HYPERLINK \l "_Toc10404" \o "#_Toc10404" </w:instrText>
      </w:r>
      <w:r>
        <w:fldChar w:fldCharType="separate"/>
      </w:r>
      <w:r>
        <w:rPr>
          <w:rStyle w:val="1114"/>
          <w:rFonts w:hint="eastAsia" w:ascii="宋体" w:hAnsi="宋体" w:cs="宋体"/>
          <w:b w:val="0"/>
          <w:bCs/>
          <w:caps w:val="0"/>
          <w:color w:val="000000"/>
          <w:sz w:val="28"/>
          <w:szCs w:val="28"/>
        </w:rPr>
        <w:t xml:space="preserve">第六章  磋商响应文件格式及附件</w:t>
      </w:r>
      <w:r>
        <w:rPr>
          <w:rStyle w:val="1114"/>
          <w:rFonts w:hint="eastAsia" w:ascii="宋体" w:hAnsi="宋体" w:cs="宋体"/>
          <w:b w:val="0"/>
          <w:bCs/>
          <w:caps w:val="0"/>
          <w:color w:val="000000"/>
          <w:sz w:val="28"/>
          <w:szCs w:val="28"/>
        </w:rPr>
        <w:fldChar w:fldCharType="end"/>
      </w:r>
      <w:r>
        <w:rPr>
          <w:rStyle w:val="1114"/>
          <w:rFonts w:hint="eastAsia" w:ascii="宋体" w:hAnsi="宋体" w:cs="宋体"/>
          <w:b w:val="0"/>
          <w:bCs/>
          <w:caps w:val="0"/>
          <w:color w:val="000000"/>
          <w:sz w:val="28"/>
          <w:szCs w:val="28"/>
        </w:rPr>
      </w:r>
      <w:r/>
    </w:p>
    <w:p>
      <w:pPr>
        <w:pStyle w:val="1079"/>
        <w:jc w:val="both"/>
        <w:spacing w:before="0" w:after="0" w:line="360" w:lineRule="auto"/>
        <w:tabs>
          <w:tab w:val="right" w:pos="8496" w:leader="dot"/>
        </w:tabs>
        <w:rPr>
          <w:rFonts w:hint="eastAsia" w:ascii="宋体" w:hAnsi="宋体" w:cs="宋体"/>
          <w:b w:val="0"/>
          <w:bCs/>
          <w:sz w:val="72"/>
          <w:szCs w:val="30"/>
          <w:lang w:val="zh-CN"/>
        </w:rPr>
      </w:pPr>
      <w:r>
        <w:rPr>
          <w:rStyle w:val="1114"/>
          <w:rFonts w:hint="eastAsia" w:ascii="宋体" w:hAnsi="宋体" w:cs="宋体"/>
          <w:b w:val="0"/>
          <w:bCs/>
          <w:caps w:val="0"/>
          <w:color w:val="000000"/>
          <w:sz w:val="28"/>
          <w:szCs w:val="28"/>
        </w:rPr>
        <w:fldChar w:fldCharType="end"/>
      </w:r>
      <w:r>
        <w:rPr>
          <w:rFonts w:hint="eastAsia" w:ascii="宋体" w:hAnsi="宋体" w:cs="宋体"/>
          <w:b w:val="0"/>
          <w:bCs/>
          <w:sz w:val="72"/>
          <w:szCs w:val="30"/>
          <w:lang w:val="zh-CN"/>
        </w:rPr>
      </w:r>
      <w:r/>
    </w:p>
    <w:p>
      <w:pPr>
        <w:pStyle w:val="1100"/>
        <w:rPr>
          <w:rFonts w:hint="eastAsia" w:ascii="宋体" w:hAnsi="宋体" w:cs="宋体"/>
          <w:lang w:val="zh-CN"/>
        </w:rPr>
        <w:sectPr>
          <w:footerReference w:type="default" r:id="rId11"/>
          <w:footnotePr/>
          <w:endnotePr/>
          <w:type w:val="continuous"/>
          <w:pgSz w:w="11906" w:h="16838" w:orient="portrait"/>
          <w:pgMar w:top="1440" w:right="1486" w:bottom="1440" w:left="1600" w:header="851" w:footer="992" w:gutter="0"/>
          <w:pgNumType w:start="1"/>
          <w:cols w:num="1" w:sep="0" w:space="1701" w:equalWidth="1"/>
          <w:docGrid w:linePitch="360"/>
          <w:titlePg/>
        </w:sectPr>
      </w:pPr>
      <w:r/>
      <w:bookmarkStart w:id="1" w:name="_Toc22476"/>
      <w:r>
        <w:rPr>
          <w:rFonts w:hint="eastAsia" w:ascii="宋体" w:hAnsi="宋体" w:cs="宋体"/>
          <w:lang w:val="zh-CN"/>
        </w:rPr>
        <w:br w:type="page" w:clear="all"/>
      </w:r>
      <w:r/>
    </w:p>
    <w:p>
      <w:pPr>
        <w:pStyle w:val="1100"/>
        <w:rPr>
          <w:rFonts w:hint="eastAsia" w:ascii="宋体" w:hAnsi="宋体" w:cs="宋体"/>
          <w:color w:val="000000"/>
          <w:sz w:val="24"/>
          <w:szCs w:val="24"/>
          <w:lang w:val="zh-CN"/>
        </w:rPr>
      </w:pPr>
      <w:r>
        <w:rPr>
          <w:rFonts w:hint="eastAsia" w:ascii="宋体" w:hAnsi="宋体" w:cs="宋体"/>
          <w:lang w:val="zh-CN"/>
        </w:rPr>
        <w:t xml:space="preserve">第一章 竞争性磋商公告</w:t>
      </w:r>
      <w:bookmarkEnd w:id="1"/>
      <w:r>
        <w:rPr>
          <w:rFonts w:hint="eastAsia" w:ascii="宋体" w:hAnsi="宋体" w:cs="宋体"/>
          <w:color w:val="000000"/>
          <w:sz w:val="24"/>
          <w:szCs w:val="24"/>
          <w:lang w:val="zh-CN"/>
        </w:rPr>
      </w:r>
      <w:r/>
    </w:p>
    <w:p>
      <w:pPr>
        <w:pStyle w:val="1020"/>
        <w:ind w:firstLine="452"/>
        <w:spacing w:line="360" w:lineRule="auto"/>
        <w:shd w:val="clear" w:color="auto" w:fill="ffffff"/>
        <w:widowControl/>
        <w:rPr>
          <w:rFonts w:hint="eastAsia" w:ascii="宋体" w:hAnsi="宋体" w:cs="宋体"/>
          <w:szCs w:val="21"/>
        </w:rPr>
      </w:pPr>
      <w:r>
        <w:rPr>
          <w:rFonts w:hint="eastAsia" w:ascii="宋体" w:hAnsi="宋体" w:cs="宋体"/>
          <w:spacing w:val="8"/>
          <w:szCs w:val="21"/>
        </w:rPr>
        <w:t xml:space="preserve">江苏卫生健康职业学院人体结构教学科普馆场馆改造</w:t>
      </w:r>
      <w:r>
        <w:rPr>
          <w:rFonts w:hint="eastAsia" w:ascii="宋体" w:hAnsi="宋体" w:cs="宋体"/>
          <w:szCs w:val="21"/>
        </w:rPr>
        <w:t xml:space="preserve">的潜在供应商应在</w:t>
      </w:r>
      <w:r>
        <w:rPr>
          <w:rFonts w:hint="eastAsia" w:ascii="宋体" w:hAnsi="宋体" w:cs="宋体"/>
          <w:spacing w:val="15"/>
          <w:szCs w:val="21"/>
          <w:u w:val="single"/>
          <w:shd w:val="clear" w:color="auto" w:fill="ffffff"/>
        </w:rPr>
        <w:t xml:space="preserve">江苏政府采购网（http://www.ccgp-jiangsu.gov.cn/）</w:t>
      </w:r>
      <w:r>
        <w:fldChar w:fldCharType="begin"/>
      </w:r>
      <w:r>
        <w:instrText xml:space="preserve"> HYPERLINK "http://nynct.jiangsu.gov.cn）获取采购文件，并于2025年" \o "http://nynct.jiangsu.gov.cn）获取采购文件，并于2025年" </w:instrText>
      </w:r>
      <w:r>
        <w:fldChar w:fldCharType="separate"/>
      </w:r>
      <w:r>
        <w:rPr>
          <w:rStyle w:val="1110"/>
          <w:rFonts w:hint="eastAsia" w:ascii="宋体" w:hAnsi="宋体" w:cs="宋体"/>
          <w:color w:val="000000"/>
          <w:szCs w:val="21"/>
        </w:rPr>
        <w:t xml:space="preserve">获取采购文件，并于</w:t>
      </w:r>
      <w:r>
        <w:rPr>
          <w:rStyle w:val="1110"/>
          <w:rFonts w:hint="eastAsia" w:ascii="宋体" w:hAnsi="宋体" w:cs="宋体"/>
          <w:iCs/>
          <w:color w:val="000000"/>
          <w:spacing w:val="8"/>
          <w:szCs w:val="21"/>
        </w:rPr>
        <w:t xml:space="preserve">202</w:t>
      </w:r>
      <w:r>
        <w:rPr>
          <w:rStyle w:val="1110"/>
          <w:rFonts w:hint="eastAsia" w:ascii="宋体" w:hAnsi="宋体" w:cs="宋体"/>
          <w:iCs/>
          <w:color w:val="000000"/>
          <w:spacing w:val="8"/>
          <w:szCs w:val="21"/>
          <w:lang w:val="en-US" w:eastAsia="zh-CN"/>
        </w:rPr>
        <w:t xml:space="preserve">6</w:t>
      </w:r>
      <w:r>
        <w:rPr>
          <w:rStyle w:val="1110"/>
          <w:rFonts w:hint="eastAsia" w:ascii="宋体" w:hAnsi="宋体" w:cs="宋体"/>
          <w:iCs/>
          <w:color w:val="000000"/>
          <w:spacing w:val="8"/>
          <w:szCs w:val="21"/>
        </w:rPr>
        <w:t xml:space="preserve">年</w:t>
      </w:r>
      <w:r>
        <w:rPr>
          <w:rStyle w:val="1114"/>
          <w:rFonts w:hint="eastAsia" w:ascii="宋体" w:hAnsi="宋体" w:cs="宋体"/>
          <w:iCs/>
          <w:color w:val="000000"/>
          <w:spacing w:val="8"/>
          <w:szCs w:val="21"/>
        </w:rPr>
        <w:fldChar w:fldCharType="end"/>
      </w:r>
      <w:r>
        <w:rPr>
          <w:rFonts w:hint="eastAsia" w:ascii="宋体" w:hAnsi="宋体" w:cs="宋体"/>
          <w:iCs/>
          <w:spacing w:val="8"/>
          <w:szCs w:val="21"/>
          <w:u w:val="single"/>
          <w:lang w:val="en-US" w:eastAsia="zh-CN"/>
        </w:rPr>
        <w:t xml:space="preserve">6</w:t>
      </w:r>
      <w:r>
        <w:rPr>
          <w:rFonts w:hint="eastAsia" w:ascii="宋体" w:hAnsi="宋体" w:cs="宋体"/>
          <w:iCs/>
          <w:spacing w:val="8"/>
          <w:szCs w:val="21"/>
          <w:u w:val="single"/>
        </w:rPr>
        <w:t xml:space="preserve">月</w:t>
      </w:r>
      <w:r>
        <w:rPr>
          <w:rFonts w:hint="eastAsia" w:ascii="宋体" w:hAnsi="宋体" w:cs="宋体"/>
          <w:iCs/>
          <w:spacing w:val="8"/>
          <w:szCs w:val="21"/>
          <w:u w:val="single"/>
          <w:lang w:val="en-US" w:eastAsia="zh-CN"/>
        </w:rPr>
        <w:t xml:space="preserve">3</w:t>
      </w:r>
      <w:r>
        <w:rPr>
          <w:rFonts w:hint="eastAsia" w:ascii="宋体" w:hAnsi="宋体" w:cs="宋体"/>
          <w:iCs/>
          <w:spacing w:val="8"/>
          <w:szCs w:val="21"/>
          <w:u w:val="single"/>
        </w:rPr>
        <w:t xml:space="preserve">日</w:t>
      </w:r>
      <w:r>
        <w:rPr>
          <w:rFonts w:hint="eastAsia" w:ascii="宋体" w:hAnsi="宋体" w:cs="宋体"/>
          <w:iCs/>
          <w:spacing w:val="8"/>
          <w:szCs w:val="21"/>
          <w:u w:val="single"/>
          <w:lang w:val="en-US" w:eastAsia="zh-CN"/>
        </w:rPr>
        <w:t xml:space="preserve">13</w:t>
      </w:r>
      <w:r>
        <w:rPr>
          <w:rFonts w:hint="eastAsia" w:ascii="宋体" w:hAnsi="宋体" w:cs="宋体"/>
          <w:iCs/>
          <w:spacing w:val="8"/>
          <w:szCs w:val="21"/>
          <w:u w:val="single"/>
        </w:rPr>
        <w:t xml:space="preserve">时</w:t>
      </w:r>
      <w:r>
        <w:rPr>
          <w:rFonts w:hint="eastAsia" w:ascii="宋体" w:hAnsi="宋体" w:cs="宋体"/>
          <w:iCs/>
          <w:spacing w:val="8"/>
          <w:szCs w:val="21"/>
          <w:u w:val="single"/>
          <w:lang w:val="en-US" w:eastAsia="zh-CN"/>
        </w:rPr>
        <w:t xml:space="preserve">30</w:t>
      </w:r>
      <w:r>
        <w:rPr>
          <w:rFonts w:hint="eastAsia" w:ascii="宋体" w:hAnsi="宋体" w:cs="宋体"/>
          <w:iCs/>
          <w:spacing w:val="8"/>
          <w:szCs w:val="21"/>
          <w:u w:val="single"/>
        </w:rPr>
        <w:t xml:space="preserve">分</w:t>
      </w:r>
      <w:r>
        <w:rPr>
          <w:rFonts w:hint="eastAsia" w:ascii="宋体" w:hAnsi="宋体" w:cs="宋体"/>
          <w:bCs/>
          <w:szCs w:val="21"/>
          <w:u w:val="single"/>
        </w:rPr>
        <w:t xml:space="preserve">（北京时间）</w:t>
      </w:r>
      <w:r>
        <w:rPr>
          <w:rFonts w:hint="eastAsia" w:ascii="宋体" w:hAnsi="宋体" w:cs="宋体"/>
          <w:bCs/>
          <w:szCs w:val="21"/>
        </w:rPr>
        <w:t xml:space="preserve">前提交响应文件</w:t>
      </w:r>
      <w:r>
        <w:rPr>
          <w:rFonts w:hint="eastAsia" w:ascii="宋体" w:hAnsi="宋体" w:cs="宋体"/>
          <w:szCs w:val="21"/>
        </w:rPr>
        <w:t xml:space="preserve">。</w:t>
      </w:r>
      <w:r>
        <w:rPr>
          <w:rFonts w:hint="eastAsia" w:ascii="宋体" w:hAnsi="宋体" w:cs="宋体"/>
          <w:szCs w:val="21"/>
        </w:rPr>
      </w:r>
      <w:r/>
    </w:p>
    <w:p>
      <w:pPr>
        <w:pStyle w:val="1020"/>
        <w:spacing w:line="360" w:lineRule="auto"/>
        <w:shd w:val="clear" w:color="auto" w:fill="ffffff"/>
        <w:widowControl/>
        <w:rPr>
          <w:rFonts w:hint="eastAsia" w:ascii="宋体" w:hAnsi="宋体" w:cs="宋体"/>
          <w:b/>
          <w:spacing w:val="8"/>
          <w:sz w:val="24"/>
        </w:rPr>
        <w:outlineLvl w:val="1"/>
      </w:pPr>
      <w:r/>
      <w:bookmarkStart w:id="2" w:name="_Toc1270"/>
      <w:r/>
      <w:bookmarkStart w:id="3" w:name="_Toc19084"/>
      <w:r>
        <w:rPr>
          <w:rFonts w:hint="eastAsia" w:ascii="宋体" w:hAnsi="宋体" w:cs="宋体"/>
          <w:b/>
          <w:spacing w:val="8"/>
          <w:sz w:val="24"/>
        </w:rPr>
        <w:t xml:space="preserve">一、项目基本情况</w:t>
      </w:r>
      <w:bookmarkEnd w:id="2"/>
      <w:r/>
      <w:bookmarkEnd w:id="3"/>
      <w:r>
        <w:rPr>
          <w:rFonts w:hint="eastAsia" w:ascii="宋体" w:hAnsi="宋体" w:cs="宋体"/>
          <w:b/>
          <w:spacing w:val="8"/>
          <w:sz w:val="24"/>
        </w:rPr>
      </w:r>
      <w:r/>
    </w:p>
    <w:p>
      <w:pPr>
        <w:pStyle w:val="1020"/>
        <w:ind w:firstLine="420"/>
        <w:spacing w:line="360" w:lineRule="auto"/>
        <w:widowControl/>
        <w:rPr>
          <w:rFonts w:hint="eastAsia" w:ascii="宋体" w:hAnsi="宋体" w:eastAsia="宋体" w:cs="宋体"/>
          <w:szCs w:val="21"/>
          <w:lang w:eastAsia="zh-CN"/>
        </w:rPr>
      </w:pPr>
      <w:r>
        <w:rPr>
          <w:rFonts w:hint="eastAsia" w:ascii="宋体" w:hAnsi="宋体" w:cs="宋体"/>
          <w:szCs w:val="21"/>
        </w:rPr>
        <w:t xml:space="preserve">1.1项目编号：</w:t>
      </w:r>
      <w:r>
        <w:rPr>
          <w:rFonts w:hint="eastAsia" w:ascii="宋体" w:hAnsi="宋体" w:cs="宋体"/>
          <w:szCs w:val="21"/>
          <w:lang w:eastAsia="zh-CN"/>
        </w:rPr>
        <w:t xml:space="preserve">JSZC-320000-NJJC-C2026-0035</w:t>
      </w:r>
      <w:r>
        <w:rPr>
          <w:rFonts w:hint="eastAsia" w:ascii="宋体" w:hAnsi="宋体" w:eastAsia="宋体" w:cs="宋体"/>
          <w:szCs w:val="21"/>
          <w:lang w:eastAsia="zh-CN"/>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1.2项目名称：人体结构教学科普馆场馆改造</w:t>
      </w:r>
      <w:r>
        <w:rPr>
          <w:rFonts w:hint="eastAsia" w:ascii="宋体" w:hAnsi="宋体" w:cs="宋体"/>
          <w:szCs w:val="21"/>
        </w:rPr>
      </w:r>
      <w:r/>
    </w:p>
    <w:p>
      <w:pPr>
        <w:pStyle w:val="1020"/>
        <w:ind w:firstLine="420"/>
        <w:spacing w:line="360" w:lineRule="auto"/>
        <w:widowControl/>
        <w:rPr>
          <w:rFonts w:hint="eastAsia" w:ascii="宋体" w:hAnsi="宋体" w:cs="宋体"/>
          <w:szCs w:val="21"/>
          <w:highlight w:val="none"/>
        </w:rPr>
      </w:pPr>
      <w:r>
        <w:rPr>
          <w:rFonts w:hint="eastAsia" w:ascii="宋体" w:hAnsi="宋体" w:cs="宋体"/>
          <w:szCs w:val="21"/>
        </w:rPr>
        <w:t xml:space="preserve">1.3预</w:t>
      </w:r>
      <w:r>
        <w:rPr>
          <w:rFonts w:hint="eastAsia" w:ascii="宋体" w:hAnsi="宋体" w:cs="宋体"/>
          <w:szCs w:val="21"/>
          <w:highlight w:val="none"/>
        </w:rPr>
        <w:t xml:space="preserve">算金额：195万元。</w:t>
      </w:r>
      <w:r>
        <w:rPr>
          <w:rFonts w:hint="eastAsia" w:ascii="宋体" w:hAnsi="宋体" w:cs="宋体"/>
          <w:szCs w:val="21"/>
          <w:highlight w:val="none"/>
        </w:rPr>
      </w:r>
      <w:r/>
    </w:p>
    <w:p>
      <w:pPr>
        <w:pStyle w:val="1020"/>
        <w:ind w:firstLine="420"/>
        <w:spacing w:line="360" w:lineRule="auto"/>
        <w:widowControl/>
        <w:rPr>
          <w:rFonts w:hint="eastAsia" w:ascii="宋体" w:hAnsi="宋体" w:cs="宋体"/>
          <w:szCs w:val="21"/>
        </w:rPr>
      </w:pPr>
      <w:r>
        <w:rPr>
          <w:rFonts w:hint="eastAsia" w:ascii="宋体" w:hAnsi="宋体" w:cs="宋体"/>
          <w:szCs w:val="21"/>
          <w:highlight w:val="none"/>
        </w:rPr>
        <w:t xml:space="preserve">1.4最高限价：19</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万元，超过最高限</w:t>
      </w:r>
      <w:r>
        <w:rPr>
          <w:rFonts w:hint="eastAsia" w:ascii="宋体" w:hAnsi="宋体" w:cs="宋体"/>
          <w:szCs w:val="21"/>
        </w:rPr>
        <w:t xml:space="preserve">价作无效响应处理。</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1.5采购需求：本项目为江苏卫生健康职业学院人体结构教学科普馆场馆改造，主要包</w:t>
      </w:r>
      <w:bookmarkStart w:id="4" w:name="_Hlk208912223"/>
      <w:r>
        <w:rPr>
          <w:rFonts w:hint="eastAsia" w:ascii="宋体" w:hAnsi="宋体" w:cs="宋体"/>
          <w:szCs w:val="21"/>
        </w:rPr>
        <w:t xml:space="preserve">含装饰、电气</w:t>
      </w:r>
      <w:bookmarkEnd w:id="4"/>
      <w:r>
        <w:rPr>
          <w:rFonts w:hint="eastAsia" w:ascii="宋体" w:hAnsi="宋体" w:cs="宋体"/>
          <w:szCs w:val="21"/>
        </w:rPr>
        <w:t xml:space="preserve">、暖通。具体详见图纸及工程量清单。</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1.6合同履行期限：45日历天。</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1.7行业划分：建筑业。</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1.8本项目非专门面向中小企业（或监狱企业或残疾人福利性单位）采购。</w:t>
      </w:r>
      <w:r>
        <w:rPr>
          <w:rFonts w:hint="eastAsia" w:ascii="宋体" w:hAnsi="宋体" w:cs="宋体"/>
          <w:szCs w:val="21"/>
        </w:rPr>
      </w:r>
      <w:r/>
    </w:p>
    <w:p>
      <w:pPr>
        <w:pStyle w:val="1020"/>
        <w:ind w:firstLine="420"/>
        <w:spacing w:line="360" w:lineRule="auto"/>
        <w:widowControl/>
        <w:rPr>
          <w:rFonts w:hint="eastAsia" w:ascii="宋体" w:hAnsi="宋体" w:cs="宋体"/>
          <w:spacing w:val="8"/>
          <w:szCs w:val="21"/>
        </w:rPr>
      </w:pPr>
      <w:r>
        <w:rPr>
          <w:rFonts w:hint="eastAsia" w:ascii="宋体" w:hAnsi="宋体" w:cs="宋体"/>
          <w:szCs w:val="21"/>
        </w:rPr>
        <w:t xml:space="preserve">1.9本项目不接受联合体响应，不允许转包、分包。</w:t>
      </w:r>
      <w:r>
        <w:rPr>
          <w:rFonts w:hint="eastAsia" w:ascii="宋体" w:hAnsi="宋体" w:cs="宋体"/>
          <w:spacing w:val="8"/>
          <w:szCs w:val="21"/>
        </w:rPr>
      </w:r>
      <w:r/>
    </w:p>
    <w:p>
      <w:pPr>
        <w:pStyle w:val="1020"/>
        <w:spacing w:line="360" w:lineRule="auto"/>
        <w:shd w:val="clear" w:color="auto" w:fill="ffffff"/>
        <w:widowControl/>
        <w:rPr>
          <w:rFonts w:hint="eastAsia" w:ascii="宋体" w:hAnsi="宋体" w:cs="宋体"/>
          <w:b/>
          <w:spacing w:val="8"/>
          <w:sz w:val="24"/>
        </w:rPr>
        <w:outlineLvl w:val="1"/>
      </w:pPr>
      <w:r/>
      <w:bookmarkStart w:id="5" w:name="_Toc1756"/>
      <w:r/>
      <w:bookmarkStart w:id="6" w:name="_Toc26468"/>
      <w:r>
        <w:rPr>
          <w:rFonts w:hint="eastAsia" w:ascii="宋体" w:hAnsi="宋体" w:cs="宋体"/>
          <w:b/>
          <w:spacing w:val="8"/>
          <w:sz w:val="24"/>
        </w:rPr>
        <w:t xml:space="preserve">二、申请人的资格要求：</w:t>
      </w:r>
      <w:bookmarkEnd w:id="5"/>
      <w:r/>
      <w:bookmarkEnd w:id="6"/>
      <w:r>
        <w:rPr>
          <w:rFonts w:hint="eastAsia" w:ascii="宋体" w:hAnsi="宋体" w:cs="宋体"/>
          <w:b/>
          <w:spacing w:val="8"/>
          <w:sz w:val="24"/>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2.1满足《中华人民共和国政府采购法》第二十二条规定；</w:t>
      </w:r>
      <w:r>
        <w:rPr>
          <w:rFonts w:hint="eastAsia" w:ascii="宋体" w:hAnsi="宋体" w:cs="宋体"/>
          <w:b/>
          <w:bCs/>
          <w:szCs w:val="21"/>
        </w:rPr>
      </w:r>
      <w:r/>
    </w:p>
    <w:p>
      <w:pPr>
        <w:pStyle w:val="1020"/>
        <w:ind w:firstLine="422"/>
        <w:spacing w:line="360" w:lineRule="auto"/>
        <w:widowControl/>
        <w:rPr>
          <w:rFonts w:hint="eastAsia" w:ascii="宋体" w:hAnsi="宋体" w:cs="宋体"/>
          <w:szCs w:val="21"/>
        </w:rPr>
      </w:pPr>
      <w:r>
        <w:rPr>
          <w:rFonts w:hint="eastAsia" w:ascii="宋体" w:hAnsi="宋体" w:cs="宋体"/>
          <w:szCs w:val="21"/>
        </w:rPr>
        <w:t xml:space="preserve">（1）具有独立承担民事责任的能力（提供法人或者其他组织的营业执照，自然人的身份证明</w:t>
      </w:r>
      <w:r>
        <w:rPr>
          <w:rFonts w:hint="eastAsia" w:ascii="宋体" w:hAnsi="宋体" w:cs="宋体"/>
          <w:szCs w:val="21"/>
          <w:lang w:eastAsia="zh-CN"/>
        </w:rPr>
        <w:t xml:space="preserve">扫描件加盖电子公章</w:t>
      </w:r>
      <w:r>
        <w:rPr>
          <w:rFonts w:hint="eastAsia" w:ascii="宋体" w:hAnsi="宋体" w:cs="宋体"/>
          <w:szCs w:val="21"/>
        </w:rPr>
        <w:t xml:space="preserve">）；</w:t>
      </w:r>
      <w:r>
        <w:rPr>
          <w:rFonts w:hint="eastAsia" w:ascii="宋体" w:hAnsi="宋体" w:cs="宋体"/>
          <w:szCs w:val="21"/>
        </w:rPr>
      </w:r>
      <w:r/>
    </w:p>
    <w:p>
      <w:pPr>
        <w:pStyle w:val="1020"/>
        <w:ind w:firstLine="422"/>
        <w:spacing w:line="360" w:lineRule="auto"/>
        <w:widowControl/>
        <w:rPr>
          <w:rFonts w:hint="eastAsia" w:ascii="宋体" w:hAnsi="宋体" w:cs="宋体"/>
          <w:szCs w:val="21"/>
        </w:rPr>
      </w:pPr>
      <w:r>
        <w:rPr>
          <w:rFonts w:hint="eastAsia" w:ascii="宋体" w:hAnsi="宋体" w:cs="宋体"/>
          <w:szCs w:val="21"/>
        </w:rPr>
        <w:t xml:space="preserve">（2）具有良好的商业信誉和健全的财务会计制度（提供经审计的2024或2025年度财务报告</w:t>
      </w:r>
      <w:r>
        <w:rPr>
          <w:rFonts w:hint="eastAsia" w:ascii="宋体" w:hAnsi="宋体" w:cs="宋体"/>
          <w:szCs w:val="21"/>
          <w:lang w:eastAsia="zh-CN"/>
        </w:rPr>
        <w:t xml:space="preserve">扫描件加盖电子公章</w:t>
      </w:r>
      <w:r>
        <w:rPr>
          <w:rFonts w:hint="eastAsia" w:ascii="宋体" w:hAnsi="宋体" w:cs="宋体"/>
          <w:szCs w:val="21"/>
        </w:rPr>
        <w:t xml:space="preserve">，或提供投标截止时间前6个月内</w:t>
      </w:r>
      <w:bookmarkStart w:id="7" w:name="_Hlk212586715"/>
      <w:r>
        <w:rPr>
          <w:rFonts w:hint="eastAsia" w:ascii="宋体" w:hAnsi="宋体" w:cs="宋体"/>
          <w:szCs w:val="21"/>
        </w:rPr>
        <w:t xml:space="preserve">（即2025年11月以来</w:t>
      </w:r>
      <w:bookmarkEnd w:id="7"/>
      <w:r>
        <w:rPr>
          <w:rFonts w:hint="eastAsia" w:ascii="宋体" w:hAnsi="宋体" w:cs="宋体"/>
          <w:szCs w:val="21"/>
        </w:rPr>
        <w:t xml:space="preserve">）任意一个月的财务报表（至少包含利润表和资产负债表）</w:t>
      </w:r>
      <w:r>
        <w:rPr>
          <w:rFonts w:hint="eastAsia" w:ascii="宋体" w:hAnsi="宋体" w:cs="宋体"/>
          <w:szCs w:val="21"/>
          <w:lang w:eastAsia="zh-CN"/>
        </w:rPr>
        <w:t xml:space="preserve">扫描件加盖电子公章</w:t>
      </w:r>
      <w:r>
        <w:rPr>
          <w:rFonts w:hint="eastAsia" w:ascii="宋体" w:hAnsi="宋体" w:cs="宋体"/>
          <w:szCs w:val="21"/>
        </w:rPr>
        <w:t xml:space="preserve">，</w:t>
      </w:r>
      <w:r>
        <w:rPr>
          <w:rFonts w:hint="eastAsia" w:ascii="宋体" w:hAnsi="宋体" w:cs="宋体"/>
          <w:szCs w:val="21"/>
          <w:lang w:val="zh-TW"/>
        </w:rPr>
        <w:t xml:space="preserve">或银行出具的</w:t>
      </w:r>
      <w:r>
        <w:rPr>
          <w:rFonts w:hint="eastAsia" w:ascii="宋体" w:hAnsi="宋体" w:cs="宋体"/>
          <w:szCs w:val="21"/>
        </w:rPr>
        <w:t xml:space="preserve">磋商</w:t>
      </w:r>
      <w:r>
        <w:rPr>
          <w:rFonts w:hint="eastAsia" w:ascii="宋体" w:hAnsi="宋体" w:cs="宋体"/>
          <w:szCs w:val="21"/>
          <w:lang w:val="zh-TW"/>
        </w:rPr>
        <w:t xml:space="preserve">截止时间前6个月</w:t>
      </w:r>
      <w:r>
        <w:rPr>
          <w:rFonts w:hint="eastAsia" w:ascii="宋体" w:hAnsi="宋体" w:cs="宋体"/>
          <w:szCs w:val="21"/>
        </w:rPr>
        <w:t xml:space="preserve">（即2025年11月以来）</w:t>
      </w:r>
      <w:r>
        <w:rPr>
          <w:rFonts w:hint="eastAsia" w:ascii="宋体" w:hAnsi="宋体" w:cs="宋体"/>
          <w:szCs w:val="21"/>
          <w:lang w:val="zh-TW"/>
        </w:rPr>
        <w:t xml:space="preserve">内资信证书</w:t>
      </w:r>
      <w:r>
        <w:rPr>
          <w:rFonts w:hint="eastAsia" w:ascii="宋体" w:hAnsi="宋体" w:cs="宋体"/>
          <w:szCs w:val="21"/>
          <w:lang w:val="zh-TW" w:eastAsia="zh-CN"/>
        </w:rPr>
        <w:t xml:space="preserve">扫描件加盖电子公章</w:t>
      </w:r>
      <w:r>
        <w:rPr>
          <w:rFonts w:hint="eastAsia" w:ascii="宋体" w:hAnsi="宋体" w:cs="宋体"/>
          <w:szCs w:val="21"/>
          <w:lang w:val="zh-TW"/>
        </w:rPr>
        <w:t xml:space="preserve">，</w:t>
      </w:r>
      <w:r>
        <w:rPr>
          <w:rFonts w:hint="eastAsia" w:ascii="宋体" w:hAnsi="宋体" w:cs="宋体"/>
          <w:szCs w:val="21"/>
        </w:rPr>
        <w:t xml:space="preserve">或财政部门认可的政府采购专业担保机构出具的投标担保函）；</w:t>
      </w:r>
      <w:r>
        <w:rPr>
          <w:rFonts w:hint="eastAsia" w:ascii="宋体" w:hAnsi="宋体" w:cs="宋体"/>
          <w:szCs w:val="21"/>
        </w:rPr>
      </w:r>
      <w:r/>
    </w:p>
    <w:p>
      <w:pPr>
        <w:pStyle w:val="1020"/>
        <w:ind w:firstLine="422"/>
        <w:spacing w:line="360" w:lineRule="auto"/>
        <w:widowControl/>
        <w:rPr>
          <w:rFonts w:hint="eastAsia" w:ascii="宋体" w:hAnsi="宋体" w:cs="宋体"/>
          <w:szCs w:val="21"/>
        </w:rPr>
      </w:pPr>
      <w:r>
        <w:rPr>
          <w:rFonts w:hint="eastAsia" w:ascii="宋体" w:hAnsi="宋体" w:cs="宋体"/>
          <w:szCs w:val="21"/>
        </w:rPr>
        <w:t xml:space="preserve">（3）具有履行合同所必需的设备和专业技术能力（根据项目需求提供履行合同所必需的设备和专业技术能力的证明材料的承诺书原件）；</w:t>
      </w:r>
      <w:r>
        <w:rPr>
          <w:rFonts w:hint="eastAsia" w:ascii="宋体" w:hAnsi="宋体" w:cs="宋体"/>
          <w:szCs w:val="21"/>
        </w:rPr>
      </w:r>
      <w:r/>
    </w:p>
    <w:p>
      <w:pPr>
        <w:pStyle w:val="1020"/>
        <w:ind w:firstLine="422"/>
        <w:spacing w:line="360" w:lineRule="auto"/>
        <w:widowControl/>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（4）有依法缴纳税收和社会保障资金的良好记录（提供参加本次政府采购活动前半年内（即2025年11月以来），至少1个月缴纳税收和社会保险的凭证</w:t>
      </w:r>
      <w:r>
        <w:rPr>
          <w:rFonts w:hint="eastAsia" w:ascii="宋体" w:hAnsi="宋体" w:cs="宋体"/>
          <w:szCs w:val="21"/>
          <w:lang w:eastAsia="zh-CN"/>
        </w:rPr>
        <w:t xml:space="preserve">扫描件加盖电子公章</w:t>
      </w:r>
      <w:r>
        <w:rPr>
          <w:rFonts w:hint="eastAsia" w:ascii="宋体" w:hAnsi="宋体" w:cs="宋体"/>
          <w:szCs w:val="21"/>
        </w:rPr>
        <w:t xml:space="preserve">，依法享受免缴、缓缴的，提供证明材料</w:t>
      </w:r>
      <w:r>
        <w:rPr>
          <w:rFonts w:hint="eastAsia" w:ascii="宋体" w:hAnsi="宋体" w:cs="宋体"/>
          <w:szCs w:val="21"/>
          <w:lang w:eastAsia="zh-CN"/>
        </w:rPr>
        <w:t xml:space="preserve">扫描件加盖电子公章</w:t>
      </w:r>
      <w:r>
        <w:rPr>
          <w:rFonts w:hint="eastAsia" w:ascii="宋体" w:hAnsi="宋体" w:cs="宋体"/>
          <w:szCs w:val="21"/>
        </w:rPr>
        <w:t xml:space="preserve">）；</w:t>
      </w:r>
      <w:r>
        <w:rPr>
          <w:rFonts w:hint="eastAsia" w:ascii="宋体" w:hAnsi="宋体" w:cs="宋体"/>
          <w:szCs w:val="21"/>
        </w:rPr>
      </w:r>
      <w:r/>
    </w:p>
    <w:p>
      <w:pPr>
        <w:pStyle w:val="1020"/>
        <w:ind w:firstLine="422"/>
        <w:spacing w:line="360" w:lineRule="auto"/>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szCs w:val="21"/>
        </w:rPr>
      </w:r>
      <w:r/>
    </w:p>
    <w:p>
      <w:pPr>
        <w:pStyle w:val="1020"/>
        <w:ind w:firstLine="422"/>
        <w:spacing w:line="360" w:lineRule="auto"/>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2.2落实政府采购政策需满足的资格要求：无。</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2.3采购人根据采购项目的特殊要求规定的特定条件：</w:t>
      </w:r>
      <w:r>
        <w:rPr>
          <w:rFonts w:hint="eastAsia" w:ascii="宋体" w:hAnsi="宋体" w:cs="宋体"/>
          <w:b/>
          <w:bCs/>
          <w:szCs w:val="21"/>
        </w:rPr>
      </w:r>
      <w:r/>
    </w:p>
    <w:p>
      <w:pPr>
        <w:pStyle w:val="1020"/>
        <w:ind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（1）供应商须具有建筑装饰装修工程专业承包二级及以上资质并具有有效的安全生产许可证（提供证书</w:t>
      </w:r>
      <w:r>
        <w:rPr>
          <w:rFonts w:hint="eastAsia" w:ascii="宋体" w:hAnsi="宋体" w:cs="宋体"/>
          <w:b/>
          <w:bCs/>
          <w:spacing w:val="8"/>
          <w:szCs w:val="21"/>
          <w:lang w:eastAsia="zh-CN"/>
        </w:rPr>
        <w:t xml:space="preserve">扫描件</w:t>
      </w:r>
      <w:r>
        <w:rPr>
          <w:rFonts w:hint="eastAsia" w:ascii="宋体" w:hAnsi="宋体" w:cs="宋体"/>
          <w:b/>
          <w:bCs/>
          <w:spacing w:val="8"/>
          <w:szCs w:val="21"/>
        </w:rPr>
        <w:t xml:space="preserve">并</w:t>
      </w:r>
      <w:r>
        <w:rPr>
          <w:rFonts w:hint="eastAsia" w:ascii="宋体" w:hAnsi="宋体" w:cs="宋体"/>
          <w:b/>
          <w:bCs/>
          <w:spacing w:val="8"/>
          <w:szCs w:val="21"/>
          <w:lang w:eastAsia="zh-CN"/>
        </w:rPr>
        <w:t xml:space="preserve">加盖电子公章</w:t>
      </w:r>
      <w:r>
        <w:rPr>
          <w:rFonts w:hint="eastAsia" w:ascii="宋体" w:hAnsi="宋体" w:cs="宋体"/>
          <w:b/>
          <w:bCs/>
          <w:spacing w:val="8"/>
          <w:szCs w:val="21"/>
        </w:rPr>
        <w:t xml:space="preserve">）；</w:t>
      </w:r>
      <w:r>
        <w:rPr>
          <w:rFonts w:hint="eastAsia" w:ascii="宋体" w:hAnsi="宋体" w:cs="宋体"/>
          <w:b/>
          <w:bCs/>
          <w:spacing w:val="8"/>
          <w:szCs w:val="21"/>
        </w:rPr>
      </w:r>
      <w:r/>
    </w:p>
    <w:p>
      <w:pPr>
        <w:pStyle w:val="1020"/>
        <w:ind w:firstLine="454"/>
        <w:spacing w:line="360" w:lineRule="auto"/>
        <w:rPr>
          <w:rFonts w:hint="eastAsia" w:ascii="宋体" w:hAnsi="宋体" w:cs="宋体"/>
          <w:b/>
        </w:rPr>
      </w:pPr>
      <w:r>
        <w:rPr>
          <w:rFonts w:hint="eastAsia" w:ascii="宋体" w:hAnsi="宋体" w:cs="宋体"/>
          <w:b/>
          <w:bCs/>
          <w:spacing w:val="8"/>
          <w:szCs w:val="21"/>
        </w:rPr>
        <w:t xml:space="preserve">（2）拟派项目经理</w:t>
      </w:r>
      <w:r>
        <w:rPr>
          <w:rFonts w:hint="eastAsia" w:ascii="宋体" w:hAnsi="宋体" w:cs="宋体"/>
          <w:b/>
          <w:spacing w:val="8"/>
          <w:szCs w:val="21"/>
        </w:rPr>
        <w:t xml:space="preserve">具有建筑工程专业注册建造师证二级（含）以上资格且具备有效的安全生产考核合格证书（B类证）</w:t>
      </w:r>
      <w:r>
        <w:rPr>
          <w:rFonts w:hint="eastAsia" w:ascii="宋体" w:hAnsi="宋体" w:cs="宋体"/>
          <w:b/>
          <w:bCs/>
          <w:spacing w:val="8"/>
          <w:szCs w:val="21"/>
        </w:rPr>
        <w:t xml:space="preserve">。（提供相关证书</w:t>
      </w:r>
      <w:r>
        <w:rPr>
          <w:rFonts w:hint="eastAsia" w:ascii="宋体" w:hAnsi="宋体" w:cs="宋体"/>
          <w:b/>
          <w:bCs/>
          <w:spacing w:val="8"/>
          <w:szCs w:val="21"/>
          <w:lang w:eastAsia="zh-CN"/>
        </w:rPr>
        <w:t xml:space="preserve">扫描件</w:t>
      </w:r>
      <w:r>
        <w:rPr>
          <w:rFonts w:hint="eastAsia" w:ascii="宋体" w:hAnsi="宋体" w:cs="宋体"/>
          <w:b/>
          <w:bCs/>
          <w:spacing w:val="8"/>
          <w:szCs w:val="21"/>
        </w:rPr>
        <w:t xml:space="preserve">并</w:t>
      </w:r>
      <w:r>
        <w:rPr>
          <w:rFonts w:hint="eastAsia" w:ascii="宋体" w:hAnsi="宋体" w:cs="宋体"/>
          <w:b/>
          <w:bCs/>
          <w:spacing w:val="8"/>
          <w:szCs w:val="21"/>
          <w:lang w:eastAsia="zh-CN"/>
        </w:rPr>
        <w:t xml:space="preserve">加盖电子公章</w:t>
      </w:r>
      <w:r>
        <w:rPr>
          <w:rFonts w:hint="eastAsia" w:ascii="宋体" w:hAnsi="宋体" w:cs="宋体"/>
          <w:b/>
          <w:bCs/>
          <w:spacing w:val="8"/>
          <w:szCs w:val="21"/>
        </w:rPr>
        <w:t xml:space="preserve">及</w:t>
      </w:r>
      <w:r>
        <w:rPr>
          <w:rFonts w:hint="eastAsia" w:cs="宋体"/>
          <w:b/>
          <w:szCs w:val="21"/>
        </w:rPr>
        <w:t xml:space="preserve">供应商为项目经理缴纳的近半年（2025年11月—2026年4月）任意一个月社保证明材料</w:t>
      </w:r>
      <w:r>
        <w:rPr>
          <w:rFonts w:hint="eastAsia" w:ascii="宋体" w:hAnsi="宋体" w:cs="宋体"/>
          <w:b/>
          <w:bCs/>
          <w:spacing w:val="8"/>
          <w:szCs w:val="21"/>
        </w:rPr>
        <w:t xml:space="preserve">）</w:t>
      </w:r>
      <w:r>
        <w:rPr>
          <w:rFonts w:hint="eastAsia" w:ascii="宋体" w:hAnsi="宋体" w:cs="宋体"/>
          <w:b/>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2.4拒绝下述供应商参加本次招标活动：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020"/>
        <w:ind w:firstLine="480"/>
        <w:spacing w:line="360" w:lineRule="auto"/>
        <w:widowControl/>
        <w:rPr>
          <w:rFonts w:hint="eastAsia" w:ascii="宋体" w:hAnsi="宋体" w:cs="宋体"/>
          <w:b/>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（3）供应商被“信用中国”网站（www.creditchina.gov.cn）、“中国政府采购网”（www.ccgp.gov.cn） 列入失信被执行人、重大税收违法失信主体名单、政府采购严重违法失信行为记录名单。磋商小组对响应文件进行审查时，代理机构依法通过“中国政府采购网”、“信用中国”网站渠道查询供应商信用记录并保存。</w:t>
      </w:r>
      <w:r>
        <w:rPr>
          <w:rFonts w:hint="eastAsia" w:ascii="宋体" w:hAnsi="宋体" w:cs="宋体"/>
          <w:b/>
          <w:szCs w:val="21"/>
          <w:lang w:val="zh-CN"/>
        </w:rPr>
      </w:r>
      <w:r/>
    </w:p>
    <w:p>
      <w:pPr>
        <w:pStyle w:val="1020"/>
        <w:spacing w:line="360" w:lineRule="auto"/>
        <w:shd w:val="clear" w:color="auto" w:fill="ffffff"/>
        <w:widowControl/>
        <w:rPr>
          <w:rFonts w:hint="eastAsia" w:ascii="宋体" w:hAnsi="宋体" w:cs="宋体"/>
          <w:b/>
          <w:spacing w:val="8"/>
          <w:sz w:val="24"/>
        </w:rPr>
        <w:outlineLvl w:val="1"/>
      </w:pPr>
      <w:r/>
      <w:bookmarkStart w:id="8" w:name="_Toc24617"/>
      <w:r/>
      <w:bookmarkStart w:id="9" w:name="_Toc5823"/>
      <w:r>
        <w:rPr>
          <w:rFonts w:hint="eastAsia" w:ascii="宋体" w:hAnsi="宋体" w:cs="宋体"/>
          <w:b/>
          <w:spacing w:val="8"/>
          <w:sz w:val="24"/>
        </w:rPr>
        <w:t xml:space="preserve">三、获取采购文件</w:t>
      </w:r>
      <w:bookmarkEnd w:id="8"/>
      <w:r/>
      <w:bookmarkEnd w:id="9"/>
      <w:r>
        <w:rPr>
          <w:rFonts w:hint="eastAsia" w:ascii="宋体" w:hAnsi="宋体" w:cs="宋体"/>
          <w:b/>
          <w:spacing w:val="8"/>
          <w:sz w:val="24"/>
        </w:rPr>
      </w:r>
      <w:r/>
    </w:p>
    <w:p>
      <w:pPr>
        <w:pStyle w:val="1020"/>
        <w:ind w:firstLine="420"/>
        <w:spacing w:line="360" w:lineRule="auto"/>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0" w:name="_Toc21817"/>
      <w:r/>
      <w:bookmarkStart w:id="11" w:name="_Toc1456"/>
      <w:r>
        <w:rPr>
          <w:rFonts w:hint="eastAsia" w:ascii="宋体" w:hAnsi="宋体" w:cs="宋体"/>
          <w:szCs w:val="21"/>
        </w:rPr>
        <w:t xml:space="preserve">3.1时间：</w:t>
      </w:r>
      <w:r>
        <w:rPr>
          <w:rFonts w:hint="eastAsia" w:ascii="宋体" w:hAnsi="Arial" w:cs="宋体"/>
          <w:bCs/>
          <w:szCs w:val="21"/>
        </w:rPr>
        <w:t xml:space="preserve">自竞争性磋商文件公告发布之日起5个工作日。</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3.2地点：“苏采云”系统内免费下载（供应商必须在苏采云系统中获取采购文件，方能参与本次政府采购项目）</w:t>
      </w:r>
      <w:r>
        <w:rPr>
          <w:rFonts w:hint="eastAsia" w:ascii="宋体" w:hAnsi="宋体" w:cs="宋体"/>
          <w:szCs w:val="21"/>
        </w:rPr>
      </w:r>
      <w:r/>
    </w:p>
    <w:p>
      <w:pPr>
        <w:pStyle w:val="1020"/>
        <w:ind w:firstLine="420"/>
        <w:keepLines/>
        <w:keepNext/>
        <w:spacing w:before="20" w:after="20" w:line="360" w:lineRule="auto"/>
        <w:widowControl/>
        <w:rPr>
          <w:rFonts w:ascii="宋体" w:hAnsi="Arial" w:cs="宋体"/>
          <w:bCs/>
          <w:szCs w:val="21"/>
        </w:rPr>
      </w:pPr>
      <w:r>
        <w:rPr>
          <w:rFonts w:hint="eastAsia" w:ascii="宋体" w:hAnsi="宋体" w:cs="宋体"/>
          <w:szCs w:val="21"/>
        </w:rPr>
        <w:t xml:space="preserve">3.3</w:t>
      </w:r>
      <w:r>
        <w:rPr>
          <w:rFonts w:hint="eastAsia" w:ascii="宋体" w:hAnsi="Arial" w:cs="宋体"/>
          <w:bCs/>
          <w:szCs w:val="21"/>
        </w:rPr>
        <w:t xml:space="preserve">方式：苏采云系统注册登记成功后系统内免费下载。</w:t>
      </w:r>
      <w:r>
        <w:rPr>
          <w:rFonts w:ascii="宋体" w:hAnsi="Arial" w:cs="宋体"/>
          <w:bCs/>
          <w:szCs w:val="21"/>
        </w:rPr>
      </w:r>
      <w:r/>
    </w:p>
    <w:p>
      <w:pPr>
        <w:pStyle w:val="1020"/>
        <w:ind w:firstLine="420"/>
        <w:keepLines/>
        <w:keepNext/>
        <w:spacing w:before="20" w:after="20" w:line="360" w:lineRule="auto"/>
        <w:widowControl/>
        <w:rPr>
          <w:rFonts w:hint="eastAsia" w:ascii="宋体" w:hAnsi="宋体" w:cs="宋体"/>
          <w:szCs w:val="21"/>
        </w:rPr>
      </w:pPr>
      <w:r>
        <w:rPr>
          <w:rFonts w:hint="eastAsia" w:ascii="宋体" w:hAnsi="宋体" w:cs="宋体"/>
          <w:szCs w:val="21"/>
        </w:rPr>
        <w:t xml:space="preserve">3.4</w:t>
      </w:r>
      <w:r>
        <w:rPr>
          <w:rFonts w:hint="eastAsia" w:ascii="宋体" w:hAnsi="Arial" w:cs="宋体"/>
          <w:bCs/>
          <w:szCs w:val="21"/>
        </w:rPr>
        <w:t xml:space="preserve">售价：0元。</w:t>
      </w:r>
      <w:r>
        <w:rPr>
          <w:rFonts w:hint="eastAsia" w:ascii="宋体" w:hAnsi="宋体" w:cs="宋体"/>
          <w:szCs w:val="21"/>
        </w:rPr>
      </w:r>
      <w:r/>
    </w:p>
    <w:p>
      <w:pPr>
        <w:pStyle w:val="1020"/>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四、响应文件提交</w:t>
      </w:r>
      <w:bookmarkEnd w:id="10"/>
      <w:r/>
      <w:bookmarkEnd w:id="11"/>
      <w:r>
        <w:rPr>
          <w:rFonts w:hint="eastAsia" w:ascii="宋体" w:hAnsi="宋体" w:cs="宋体"/>
          <w:b/>
          <w:spacing w:val="8"/>
          <w:sz w:val="24"/>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4.1截止时间：2026年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w:t>
      </w:r>
      <w:r>
        <w:rPr>
          <w:rFonts w:hint="eastAsia" w:ascii="宋体" w:hAnsi="宋体" w:cs="宋体"/>
          <w:szCs w:val="21"/>
          <w:lang w:val="en-US" w:eastAsia="zh-CN"/>
        </w:rPr>
        <w:t xml:space="preserve">13</w:t>
      </w:r>
      <w:r>
        <w:rPr>
          <w:rFonts w:hint="eastAsia" w:ascii="宋体" w:hAnsi="宋体" w:cs="宋体"/>
          <w:szCs w:val="21"/>
        </w:rPr>
        <w:t xml:space="preserve">点</w:t>
      </w:r>
      <w:r>
        <w:rPr>
          <w:rFonts w:hint="eastAsia" w:ascii="宋体" w:hAnsi="宋体" w:cs="宋体"/>
          <w:szCs w:val="21"/>
          <w:lang w:val="en-US" w:eastAsia="zh-CN"/>
        </w:rPr>
        <w:t xml:space="preserve">30</w:t>
      </w:r>
      <w:r>
        <w:rPr>
          <w:rFonts w:hint="eastAsia" w:ascii="宋体" w:hAnsi="宋体" w:cs="宋体"/>
          <w:szCs w:val="21"/>
        </w:rPr>
        <w:t xml:space="preserve">分（北京时间）</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4.2提交响应文件地点：江苏省政府采购管理交易系统（苏采云）（以下简称“苏采云”）（网址：http：//jszfcg.jsczt.cn/）</w:t>
      </w:r>
      <w:r>
        <w:rPr>
          <w:rFonts w:hint="eastAsia" w:ascii="宋体" w:hAnsi="宋体" w:cs="宋体"/>
          <w:szCs w:val="21"/>
        </w:rPr>
      </w:r>
      <w:r/>
    </w:p>
    <w:p>
      <w:pPr>
        <w:pStyle w:val="1020"/>
        <w:spacing w:line="360" w:lineRule="auto"/>
        <w:shd w:val="clear" w:color="auto" w:fill="ffffff"/>
        <w:widowControl/>
        <w:rPr>
          <w:rFonts w:hint="eastAsia" w:ascii="宋体" w:hAnsi="宋体" w:cs="宋体"/>
          <w:b/>
          <w:spacing w:val="8"/>
          <w:sz w:val="24"/>
        </w:rPr>
        <w:outlineLvl w:val="1"/>
      </w:pPr>
      <w:r/>
      <w:bookmarkStart w:id="12" w:name="_Toc22940"/>
      <w:r/>
      <w:bookmarkStart w:id="13" w:name="_Toc21891"/>
      <w:r>
        <w:rPr>
          <w:rFonts w:hint="eastAsia" w:ascii="宋体" w:hAnsi="宋体" w:cs="宋体"/>
          <w:b/>
          <w:spacing w:val="8"/>
          <w:sz w:val="24"/>
        </w:rPr>
        <w:t xml:space="preserve">五、开启</w:t>
      </w:r>
      <w:bookmarkEnd w:id="12"/>
      <w:r/>
      <w:bookmarkEnd w:id="13"/>
      <w:r>
        <w:rPr>
          <w:rFonts w:hint="eastAsia" w:ascii="宋体" w:hAnsi="宋体" w:cs="宋体"/>
          <w:b/>
          <w:spacing w:val="8"/>
          <w:sz w:val="24"/>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5.1时间：2026年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3</w:t>
      </w:r>
      <w:r>
        <w:rPr>
          <w:rFonts w:hint="eastAsia" w:ascii="宋体" w:hAnsi="宋体" w:cs="宋体"/>
          <w:szCs w:val="21"/>
        </w:rPr>
        <w:t xml:space="preserve">日</w:t>
      </w:r>
      <w:r>
        <w:rPr>
          <w:rFonts w:hint="eastAsia" w:ascii="宋体" w:hAnsi="宋体" w:cs="宋体"/>
          <w:szCs w:val="21"/>
          <w:lang w:val="en-US" w:eastAsia="zh-CN"/>
        </w:rPr>
        <w:t xml:space="preserve">13</w:t>
      </w:r>
      <w:r>
        <w:rPr>
          <w:rFonts w:hint="eastAsia" w:ascii="宋体" w:hAnsi="宋体" w:cs="宋体"/>
          <w:szCs w:val="21"/>
        </w:rPr>
        <w:t xml:space="preserve">点</w:t>
      </w:r>
      <w:r>
        <w:rPr>
          <w:rFonts w:hint="eastAsia" w:ascii="宋体" w:hAnsi="宋体" w:cs="宋体"/>
          <w:szCs w:val="21"/>
          <w:lang w:val="en-US" w:eastAsia="zh-CN"/>
        </w:rPr>
        <w:t xml:space="preserve">30</w:t>
      </w:r>
      <w:r>
        <w:rPr>
          <w:rFonts w:hint="eastAsia" w:ascii="宋体" w:hAnsi="宋体" w:cs="宋体"/>
          <w:szCs w:val="21"/>
        </w:rPr>
        <w:t xml:space="preserve">分（北京时间）</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5.2地点：“苏采云”网上开标大厅</w:t>
      </w:r>
      <w:r>
        <w:rPr>
          <w:rFonts w:hint="eastAsia" w:ascii="宋体" w:hAnsi="宋体" w:cs="宋体"/>
          <w:szCs w:val="21"/>
        </w:rPr>
      </w:r>
      <w:r/>
    </w:p>
    <w:p>
      <w:pPr>
        <w:pStyle w:val="1020"/>
        <w:spacing w:line="360" w:lineRule="auto"/>
        <w:shd w:val="clear" w:color="auto" w:fill="ffffff"/>
        <w:widowControl/>
        <w:rPr>
          <w:rFonts w:hint="eastAsia" w:ascii="宋体" w:hAnsi="宋体" w:cs="宋体"/>
          <w:b/>
          <w:spacing w:val="8"/>
          <w:sz w:val="24"/>
        </w:rPr>
        <w:outlineLvl w:val="1"/>
      </w:pPr>
      <w:r/>
      <w:bookmarkStart w:id="14" w:name="_Toc26308"/>
      <w:r/>
      <w:bookmarkStart w:id="15" w:name="_Toc23729"/>
      <w:r>
        <w:rPr>
          <w:rFonts w:hint="eastAsia" w:ascii="宋体" w:hAnsi="宋体" w:cs="宋体"/>
          <w:b/>
          <w:spacing w:val="8"/>
          <w:sz w:val="24"/>
        </w:rPr>
        <w:t xml:space="preserve">六、公告期限</w:t>
      </w:r>
      <w:bookmarkEnd w:id="14"/>
      <w:r/>
      <w:bookmarkEnd w:id="15"/>
      <w:r>
        <w:rPr>
          <w:rFonts w:hint="eastAsia" w:ascii="宋体" w:hAnsi="宋体" w:cs="宋体"/>
          <w:b/>
          <w:spacing w:val="8"/>
          <w:sz w:val="24"/>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自本公告发布之日起3个工作日。</w:t>
      </w:r>
      <w:bookmarkStart w:id="16" w:name="_Toc29605"/>
      <w:r/>
      <w:bookmarkStart w:id="17" w:name="_Toc11013"/>
      <w:r>
        <w:rPr>
          <w:rFonts w:hint="eastAsia" w:ascii="宋体" w:hAnsi="宋体" w:cs="宋体"/>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16"/>
      <w:r/>
      <w:bookmarkEnd w:id="17"/>
      <w:r>
        <w:rPr>
          <w:rFonts w:hint="eastAsia" w:ascii="宋体" w:hAnsi="宋体" w:cs="宋体"/>
          <w:b/>
          <w:spacing w:val="8"/>
          <w:sz w:val="24"/>
        </w:rPr>
      </w:r>
      <w:r/>
    </w:p>
    <w:p>
      <w:pPr>
        <w:pStyle w:val="1020"/>
        <w:ind w:firstLine="420"/>
        <w:spacing w:line="360" w:lineRule="auto"/>
        <w:widowControl/>
        <w:rPr>
          <w:rFonts w:hint="eastAsia" w:ascii="宋体" w:hAnsi="宋体" w:cs="宋体"/>
          <w:szCs w:val="21"/>
        </w:rPr>
      </w:pPr>
      <w:r/>
      <w:bookmarkStart w:id="18" w:name="_Toc7011"/>
      <w:r/>
      <w:bookmarkStart w:id="19" w:name="_Toc18338"/>
      <w:r>
        <w:rPr>
          <w:rFonts w:hint="eastAsia" w:ascii="宋体" w:hAnsi="宋体" w:cs="宋体"/>
          <w:szCs w:val="21"/>
        </w:rPr>
        <w:t xml:space="preserve">7.1集中现场考察或答疑：本项目不</w:t>
      </w:r>
      <w:r>
        <w:rPr>
          <w:rFonts w:hint="eastAsia" w:ascii="宋体" w:hAnsi="宋体" w:cs="宋体"/>
          <w:szCs w:val="21"/>
          <w:lang w:val="en-US" w:eastAsia="zh-CN"/>
        </w:rPr>
        <w:t xml:space="preserve">集中</w:t>
      </w:r>
      <w:r>
        <w:rPr>
          <w:rFonts w:hint="eastAsia" w:ascii="宋体" w:hAnsi="宋体" w:cs="宋体"/>
          <w:szCs w:val="21"/>
        </w:rPr>
        <w:t xml:space="preserve">组织现场考察或答疑。</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hint="eastAsia" w:ascii="宋体" w:hAnsi="宋体" w:cs="宋体"/>
          <w:szCs w:val="21"/>
        </w:rPr>
      </w:r>
      <w:r/>
    </w:p>
    <w:p>
      <w:pPr>
        <w:pStyle w:val="1020"/>
        <w:ind w:firstLine="420"/>
        <w:spacing w:line="360" w:lineRule="auto"/>
        <w:widowControl/>
        <w:rPr>
          <w:rFonts w:hint="eastAsia" w:ascii="宋体" w:hAnsi="宋体" w:cs="宋体"/>
          <w:szCs w:val="21"/>
        </w:rPr>
      </w:pPr>
      <w:r>
        <w:rPr>
          <w:rFonts w:hint="eastAsia" w:ascii="宋体" w:hAnsi="宋体" w:cs="宋体"/>
          <w:szCs w:val="21"/>
        </w:rPr>
        <w:t xml:space="preserve">7.3本次采购公告在“江苏政府采购网”上发布，有关本次采购的事项若存在变动或修改，敬请及时关注代理机构在“江苏政府采购网”发布的更正公告。</w:t>
      </w:r>
      <w:r>
        <w:rPr>
          <w:rFonts w:hint="eastAsia" w:ascii="宋体" w:hAnsi="宋体" w:cs="宋体"/>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八、对本次采购提出询问，请按以下方式联系。</w:t>
      </w:r>
      <w:bookmarkEnd w:id="18"/>
      <w:r/>
      <w:bookmarkEnd w:id="19"/>
      <w:r>
        <w:rPr>
          <w:rFonts w:hint="eastAsia" w:ascii="宋体" w:hAnsi="宋体" w:cs="宋体"/>
          <w:b/>
          <w:spacing w:val="8"/>
          <w:sz w:val="24"/>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8.1采购人信息</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名称：江苏卫生健康职业学院</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地址：南京市浦口区黄山岭路69号</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联系人：钟老师</w:t>
      </w:r>
      <w:r>
        <w:rPr>
          <w:rFonts w:hint="eastAsia" w:ascii="宋体" w:hAnsi="宋体" w:cs="宋体"/>
          <w:szCs w:val="21"/>
        </w:rPr>
      </w:r>
      <w:r/>
    </w:p>
    <w:p>
      <w:pPr>
        <w:pStyle w:val="1020"/>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联系电话：025-68170931</w:t>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8.2招标代理机构</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名称：南京江城工程项目管理有限公司</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地址：南京市建邺区云龙山路89号龙湖时代1栋29楼</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联系人：汪丹丹</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电话：025-58835827-8015</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8.3项目联系方式</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项目联系人：汪丹丹</w:t>
      </w:r>
      <w:r>
        <w:rPr>
          <w:rFonts w:hint="eastAsia" w:ascii="宋体" w:hAnsi="宋体" w:cs="宋体"/>
          <w:szCs w:val="21"/>
        </w:rPr>
      </w:r>
      <w:r/>
    </w:p>
    <w:p>
      <w:pPr>
        <w:pStyle w:val="1020"/>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　话： 025-58835827-8015</w:t>
      </w:r>
      <w:r>
        <w:rPr>
          <w:rFonts w:hint="eastAsia" w:ascii="宋体" w:hAnsi="宋体" w:cs="宋体"/>
          <w:szCs w:val="21"/>
        </w:rPr>
      </w:r>
      <w:r/>
    </w:p>
    <w:p>
      <w:pPr>
        <w:pStyle w:val="1302"/>
        <w:ind w:firstLine="452"/>
        <w:rPr>
          <w:rFonts w:hint="eastAsia" w:ascii="宋体" w:hAnsi="宋体" w:cs="宋体"/>
          <w:spacing w:val="8"/>
        </w:rPr>
        <w:sectPr>
          <w:footerReference w:type="first" r:id="rId12"/>
          <w:footnotePr/>
          <w:endnotePr/>
          <w:type w:val="nextPage"/>
          <w:pgSz w:w="11906" w:h="16838" w:orient="portrait"/>
          <w:pgMar w:top="1440" w:right="1486" w:bottom="1440" w:left="1600" w:header="851" w:footer="992" w:gutter="0"/>
          <w:pgNumType w:start="1"/>
          <w:cols w:num="1" w:sep="0" w:space="1701" w:equalWidth="1"/>
          <w:docGrid w:linePitch="360"/>
          <w:titlePg/>
        </w:sectPr>
      </w:pPr>
      <w:r>
        <w:rPr>
          <w:rFonts w:hint="eastAsia" w:ascii="宋体" w:hAnsi="宋体" w:cs="宋体"/>
          <w:spacing w:val="8"/>
        </w:rPr>
      </w:r>
      <w:r/>
    </w:p>
    <w:p>
      <w:pPr>
        <w:pStyle w:val="1100"/>
        <w:rPr>
          <w:rFonts w:hint="eastAsia" w:ascii="宋体" w:hAnsi="宋体" w:cs="宋体"/>
          <w:lang w:val="zh-CN"/>
        </w:rPr>
      </w:pPr>
      <w:r/>
      <w:bookmarkStart w:id="20" w:name="_Toc349"/>
      <w:r>
        <w:rPr>
          <w:rFonts w:hint="eastAsia" w:ascii="宋体" w:hAnsi="宋体" w:cs="宋体"/>
          <w:lang w:val="zh-CN"/>
        </w:rPr>
        <w:br w:type="page" w:clear="all"/>
      </w:r>
      <w:r>
        <w:rPr>
          <w:rFonts w:hint="eastAsia" w:ascii="宋体" w:hAnsi="宋体" w:cs="宋体"/>
          <w:lang w:val="zh-CN"/>
        </w:rPr>
        <w:t xml:space="preserve">第二章  竞争性磋商须知</w:t>
      </w:r>
      <w:bookmarkEnd w:id="20"/>
      <w:r>
        <w:rPr>
          <w:rFonts w:hint="eastAsia" w:ascii="宋体" w:hAnsi="宋体" w:cs="宋体"/>
          <w:lang w:val="zh-CN"/>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一、总    则</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w:t>
      </w:r>
      <w:r>
        <w:rPr>
          <w:rFonts w:hint="eastAsia" w:ascii="宋体" w:hAnsi="宋体" w:cs="宋体"/>
          <w:b/>
          <w:szCs w:val="21"/>
        </w:rPr>
        <w:t xml:space="preserve">.</w:t>
      </w:r>
      <w:r>
        <w:rPr>
          <w:rFonts w:hint="eastAsia" w:ascii="宋体" w:hAnsi="宋体" w:cs="宋体"/>
          <w:b/>
          <w:szCs w:val="21"/>
          <w:lang w:val="zh-CN"/>
        </w:rPr>
        <w:t xml:space="preserve">适用法律</w:t>
      </w:r>
      <w:r>
        <w:rPr>
          <w:rFonts w:hint="eastAsia" w:ascii="宋体" w:hAnsi="宋体" w:cs="宋体"/>
          <w:b/>
          <w:szCs w:val="21"/>
          <w:lang w:val="zh-CN"/>
        </w:rPr>
      </w:r>
      <w:r/>
    </w:p>
    <w:p>
      <w:pPr>
        <w:pStyle w:val="1020"/>
        <w:ind w:firstLine="420"/>
        <w:spacing w:line="360" w:lineRule="auto"/>
        <w:rPr>
          <w:rFonts w:hint="eastAsia" w:ascii="宋体" w:hAnsi="宋体" w:cs="宋体"/>
          <w:sz w:val="24"/>
          <w:szCs w:val="24"/>
          <w:lang w:val="zh-CN"/>
        </w:rPr>
      </w:pPr>
      <w:r>
        <w:rPr>
          <w:rFonts w:hint="eastAsia" w:ascii="宋体" w:hAnsi="宋体" w:cs="宋体"/>
          <w:szCs w:val="21"/>
        </w:rPr>
        <w:t xml:space="preserve">本项目适用</w:t>
      </w:r>
      <w:r>
        <w:rPr>
          <w:rFonts w:hint="eastAsia" w:ascii="宋体" w:hAnsi="宋体" w:cs="宋体"/>
          <w:szCs w:val="21"/>
          <w:lang w:val="zh-CN"/>
        </w:rPr>
        <w:t xml:space="preserve">《中华人民共和国政府采购法》《中华人民共和国政府采购法实施条例》《</w:t>
      </w:r>
      <w:r>
        <w:rPr>
          <w:rFonts w:hint="eastAsia" w:ascii="宋体" w:hAnsi="宋体" w:cs="宋体"/>
          <w:szCs w:val="21"/>
        </w:rPr>
        <w:t xml:space="preserve">政府采购竞争性磋商采购方式管理暂行办法</w:t>
      </w:r>
      <w:r>
        <w:rPr>
          <w:rFonts w:hint="eastAsia" w:ascii="宋体" w:hAnsi="宋体" w:cs="宋体"/>
          <w:szCs w:val="21"/>
          <w:lang w:val="zh-CN"/>
        </w:rPr>
        <w:t xml:space="preserve">》</w:t>
      </w:r>
      <w:r>
        <w:rPr>
          <w:rFonts w:hint="eastAsia" w:ascii="宋体" w:hAnsi="宋体" w:cs="宋体"/>
          <w:szCs w:val="21"/>
        </w:rPr>
        <w:t xml:space="preserve">等</w:t>
      </w:r>
      <w:r>
        <w:rPr>
          <w:rFonts w:hint="eastAsia" w:ascii="宋体" w:hAnsi="宋体" w:cs="宋体"/>
          <w:szCs w:val="21"/>
          <w:lang w:val="zh-CN"/>
        </w:rPr>
        <w:t xml:space="preserve">有关法律、法规、规章和规定等。</w:t>
      </w:r>
      <w:r>
        <w:rPr>
          <w:rFonts w:hint="eastAsia" w:ascii="宋体" w:hAnsi="宋体" w:cs="宋体"/>
          <w:sz w:val="24"/>
          <w:szCs w:val="24"/>
          <w:lang w:val="zh-CN"/>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w:t>
      </w:r>
      <w:r>
        <w:rPr>
          <w:rFonts w:hint="eastAsia" w:ascii="宋体" w:hAnsi="宋体" w:cs="宋体"/>
          <w:b/>
          <w:szCs w:val="21"/>
          <w:lang w:val="zh-CN"/>
        </w:rPr>
        <w:t xml:space="preserve">定义</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2.1 “采购人”是指依法进行政府采购的国家机关、事业单位、团体组织。</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2.2 “供应商”是指参加竞争性磋商，并符合采购文件规定资格条件的法人、其他组织或者自然人。</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2.3 “采购代理机构”是指集中采购机构和集中采购机构以外的采购代理机构，集中采购机构以外的采购代理机构，是从事采购代理业务的社会中介机构。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2.4 “工程”指本采购文件中所述产工程。</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2.5 “用户或使用单位”是指使用服务的单位。</w:t>
      </w:r>
      <w:r>
        <w:rPr>
          <w:rFonts w:hint="eastAsia" w:ascii="宋体" w:hAnsi="宋体" w:cs="宋体"/>
          <w:szCs w:val="21"/>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3</w:t>
      </w:r>
      <w:r>
        <w:rPr>
          <w:rFonts w:hint="eastAsia" w:ascii="宋体" w:hAnsi="宋体" w:cs="宋体"/>
          <w:b/>
          <w:szCs w:val="21"/>
        </w:rPr>
        <w:t xml:space="preserve">.</w:t>
      </w:r>
      <w:r>
        <w:rPr>
          <w:rFonts w:hint="eastAsia" w:ascii="宋体" w:hAnsi="宋体" w:cs="宋体"/>
          <w:b/>
          <w:szCs w:val="21"/>
          <w:lang w:val="zh-CN"/>
        </w:rPr>
        <w:t xml:space="preserve">政策功能</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3.3 政府采购促进残疾人就业政策，残疾人福利性单位提供的产品和服务在评标时将获得优势，参加响应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3.5 强制采购信息安全产品。参加政府采购活动的信息安全产品供应商应当选择经国家认证的信息安全产品响应，并提供由国家信息安全认证中心按国家标准认证颁发的有效认证证书。</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3.6 进口产品政策</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3.7 未按要求提供相关材料的，不享受相关政策。</w:t>
      </w:r>
      <w:r>
        <w:rPr>
          <w:rFonts w:hint="eastAsia" w:ascii="宋体" w:hAnsi="宋体" w:cs="宋体"/>
          <w:szCs w:val="21"/>
        </w:rPr>
      </w:r>
      <w:r/>
    </w:p>
    <w:p>
      <w:pPr>
        <w:pStyle w:val="1020"/>
        <w:numPr>
          <w:ilvl w:val="0"/>
          <w:numId w:val="6"/>
        </w:num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磋商文件</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4</w:t>
      </w:r>
      <w:r>
        <w:rPr>
          <w:rFonts w:hint="eastAsia" w:ascii="宋体" w:hAnsi="宋体" w:cs="宋体"/>
          <w:b/>
          <w:szCs w:val="21"/>
        </w:rPr>
        <w:t xml:space="preserve">.</w:t>
      </w:r>
      <w:r>
        <w:rPr>
          <w:rFonts w:hint="eastAsia" w:ascii="宋体" w:hAnsi="宋体" w:cs="宋体"/>
          <w:b/>
          <w:szCs w:val="21"/>
          <w:lang w:val="zh-CN"/>
        </w:rPr>
        <w:t xml:space="preserve">磋商文件构成</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4.1 磋商文件包括以下主要内容：</w:t>
      </w:r>
      <w:r>
        <w:rPr>
          <w:rFonts w:hint="eastAsia" w:ascii="宋体" w:hAnsi="宋体" w:cs="宋体"/>
          <w:szCs w:val="21"/>
        </w:rPr>
      </w:r>
      <w:r/>
    </w:p>
    <w:p>
      <w:pPr>
        <w:pStyle w:val="1020"/>
        <w:ind w:firstLine="779"/>
        <w:spacing w:line="360" w:lineRule="auto"/>
        <w:shd w:val="clear" w:color="auto" w:fill="ffffff"/>
        <w:widowControl/>
        <w:rPr>
          <w:rFonts w:hint="eastAsia" w:ascii="宋体" w:hAnsi="宋体" w:cs="宋体"/>
          <w:szCs w:val="21"/>
        </w:rPr>
      </w:pPr>
      <w:r>
        <w:rPr>
          <w:rFonts w:hint="eastAsia" w:ascii="宋体" w:hAnsi="宋体" w:cs="宋体"/>
          <w:szCs w:val="21"/>
        </w:rPr>
        <w:t xml:space="preserve">第一章  竞争性磋商公告</w:t>
      </w:r>
      <w:r>
        <w:rPr>
          <w:rFonts w:hint="eastAsia" w:ascii="宋体" w:hAnsi="宋体" w:cs="宋体"/>
          <w:szCs w:val="21"/>
        </w:rPr>
      </w:r>
      <w:r/>
    </w:p>
    <w:p>
      <w:pPr>
        <w:pStyle w:val="1020"/>
        <w:ind w:firstLine="779"/>
        <w:spacing w:line="360" w:lineRule="auto"/>
        <w:shd w:val="clear" w:color="auto" w:fill="ffffff"/>
        <w:widowControl/>
        <w:rPr>
          <w:rFonts w:hint="eastAsia" w:ascii="宋体" w:hAnsi="宋体" w:cs="宋体"/>
          <w:szCs w:val="21"/>
        </w:rPr>
      </w:pPr>
      <w:r>
        <w:fldChar w:fldCharType="begin"/>
      </w:r>
      <w:r>
        <w:instrText xml:space="preserve"> HYPERLINK \l "_Toc534273793" \o "#_Toc534273793" </w:instrText>
      </w:r>
      <w:r>
        <w:fldChar w:fldCharType="separate"/>
      </w:r>
      <w:r>
        <w:rPr>
          <w:rFonts w:hint="eastAsia" w:ascii="宋体" w:hAnsi="宋体" w:cs="宋体"/>
          <w:szCs w:val="21"/>
          <w:lang w:val="zh-CN"/>
        </w:rPr>
        <w:t xml:space="preserve">第二章  竞争性磋商须知</w:t>
      </w:r>
      <w:r>
        <w:rPr>
          <w:rFonts w:hint="eastAsia" w:ascii="宋体" w:hAnsi="宋体" w:cs="宋体"/>
          <w:szCs w:val="21"/>
          <w:lang w:val="zh-CN"/>
        </w:rPr>
        <w:fldChar w:fldCharType="end"/>
      </w:r>
      <w:r>
        <w:rPr>
          <w:rFonts w:hint="eastAsia" w:ascii="宋体" w:hAnsi="宋体" w:cs="宋体"/>
          <w:szCs w:val="21"/>
        </w:rPr>
      </w:r>
      <w:r/>
    </w:p>
    <w:p>
      <w:pPr>
        <w:pStyle w:val="1020"/>
        <w:ind w:firstLine="779"/>
        <w:spacing w:line="360" w:lineRule="auto"/>
        <w:shd w:val="clear" w:color="auto" w:fill="ffffff"/>
        <w:widowControl/>
        <w:rPr>
          <w:rFonts w:hint="eastAsia" w:ascii="宋体" w:hAnsi="宋体" w:cs="宋体"/>
          <w:szCs w:val="21"/>
        </w:rPr>
      </w:pPr>
      <w:r>
        <w:fldChar w:fldCharType="begin"/>
      </w:r>
      <w:r>
        <w:instrText xml:space="preserve"> HYPERLINK \l "_Toc534273794" \o "#_Toc534273794" </w:instrText>
      </w:r>
      <w:r>
        <w:fldChar w:fldCharType="separate"/>
      </w:r>
      <w:r>
        <w:rPr>
          <w:rFonts w:hint="eastAsia" w:ascii="宋体" w:hAnsi="宋体" w:cs="宋体"/>
          <w:szCs w:val="21"/>
          <w:lang w:val="zh-CN"/>
        </w:rPr>
        <w:t xml:space="preserve">第三章  评标标准</w:t>
      </w:r>
      <w:r>
        <w:rPr>
          <w:rFonts w:hint="eastAsia" w:ascii="宋体" w:hAnsi="宋体" w:cs="宋体"/>
          <w:szCs w:val="21"/>
          <w:lang w:val="zh-CN"/>
        </w:rPr>
        <w:fldChar w:fldCharType="end"/>
      </w:r>
      <w:r>
        <w:rPr>
          <w:rFonts w:hint="eastAsia" w:ascii="宋体" w:hAnsi="宋体" w:cs="宋体"/>
          <w:szCs w:val="21"/>
        </w:rPr>
      </w:r>
      <w:r/>
    </w:p>
    <w:p>
      <w:pPr>
        <w:pStyle w:val="1020"/>
        <w:ind w:firstLine="779"/>
        <w:spacing w:line="360" w:lineRule="auto"/>
        <w:shd w:val="clear" w:color="auto" w:fill="ffffff"/>
        <w:widowControl/>
        <w:rPr>
          <w:rFonts w:hint="eastAsia" w:ascii="宋体" w:hAnsi="宋体" w:cs="宋体"/>
          <w:szCs w:val="21"/>
        </w:rPr>
      </w:pPr>
      <w:r>
        <w:fldChar w:fldCharType="begin"/>
      </w:r>
      <w:r>
        <w:instrText xml:space="preserve"> HYPERLINK \l "_Toc534273795" \o "#_Toc534273795" </w:instrText>
      </w:r>
      <w:r>
        <w:fldChar w:fldCharType="separate"/>
      </w:r>
      <w:r>
        <w:rPr>
          <w:rFonts w:hint="eastAsia" w:ascii="宋体" w:hAnsi="宋体" w:cs="宋体"/>
          <w:szCs w:val="21"/>
          <w:lang w:val="zh-CN"/>
        </w:rPr>
        <w:t xml:space="preserve">第四章  采购需求</w:t>
      </w:r>
      <w:r>
        <w:rPr>
          <w:rFonts w:hint="eastAsia" w:ascii="宋体" w:hAnsi="宋体" w:cs="宋体"/>
          <w:szCs w:val="21"/>
          <w:lang w:val="zh-CN"/>
        </w:rPr>
        <w:fldChar w:fldCharType="end"/>
      </w:r>
      <w:r>
        <w:rPr>
          <w:rFonts w:hint="eastAsia" w:ascii="宋体" w:hAnsi="宋体" w:cs="宋体"/>
          <w:szCs w:val="21"/>
        </w:rPr>
      </w:r>
      <w:r/>
    </w:p>
    <w:p>
      <w:pPr>
        <w:pStyle w:val="1020"/>
        <w:ind w:firstLine="779"/>
        <w:spacing w:line="360" w:lineRule="auto"/>
        <w:shd w:val="clear" w:color="auto" w:fill="ffffff"/>
        <w:widowControl/>
        <w:rPr>
          <w:rFonts w:hint="eastAsia" w:ascii="宋体" w:hAnsi="宋体" w:cs="宋体"/>
          <w:szCs w:val="21"/>
        </w:rPr>
      </w:pPr>
      <w:r>
        <w:fldChar w:fldCharType="begin"/>
      </w:r>
      <w:r>
        <w:instrText xml:space="preserve"> HYPERLINK \l "_Toc534273796" \o "#_Toc534273796" </w:instrText>
      </w:r>
      <w:r>
        <w:fldChar w:fldCharType="separate"/>
      </w:r>
      <w:r>
        <w:rPr>
          <w:rFonts w:hint="eastAsia" w:ascii="宋体" w:hAnsi="宋体" w:cs="宋体"/>
          <w:szCs w:val="21"/>
          <w:lang w:val="zh-CN"/>
        </w:rPr>
        <w:t xml:space="preserve">第五章  合同主要条款</w:t>
      </w:r>
      <w:r>
        <w:rPr>
          <w:rFonts w:hint="eastAsia" w:ascii="宋体" w:hAnsi="宋体" w:cs="宋体"/>
          <w:szCs w:val="21"/>
          <w:lang w:val="zh-CN"/>
        </w:rPr>
        <w:fldChar w:fldCharType="end"/>
      </w:r>
      <w:r>
        <w:rPr>
          <w:rFonts w:hint="eastAsia" w:ascii="宋体" w:hAnsi="宋体" w:cs="宋体"/>
          <w:szCs w:val="21"/>
        </w:rPr>
      </w:r>
      <w:r/>
    </w:p>
    <w:p>
      <w:pPr>
        <w:pStyle w:val="1020"/>
        <w:ind w:firstLine="779"/>
        <w:spacing w:line="360" w:lineRule="auto"/>
        <w:shd w:val="clear" w:color="auto" w:fill="ffffff"/>
        <w:widowControl/>
        <w:rPr>
          <w:rFonts w:hint="eastAsia" w:ascii="宋体" w:hAnsi="宋体" w:cs="宋体"/>
          <w:szCs w:val="21"/>
        </w:rPr>
      </w:pPr>
      <w:r>
        <w:fldChar w:fldCharType="begin"/>
      </w:r>
      <w:r>
        <w:instrText xml:space="preserve"> HYPERLINK \l "_Toc534273797" \o "#_Toc534273797" </w:instrText>
      </w:r>
      <w:r>
        <w:fldChar w:fldCharType="separate"/>
      </w:r>
      <w:r>
        <w:rPr>
          <w:rFonts w:hint="eastAsia" w:ascii="宋体" w:hAnsi="宋体" w:cs="宋体"/>
          <w:szCs w:val="21"/>
          <w:lang w:val="zh-CN"/>
        </w:rPr>
        <w:t xml:space="preserve">第六章  </w:t>
      </w:r>
      <w:r>
        <w:rPr>
          <w:rFonts w:hint="eastAsia" w:ascii="宋体" w:hAnsi="宋体" w:cs="宋体"/>
          <w:szCs w:val="21"/>
        </w:rPr>
        <w:t xml:space="preserve">磋商响应文件格式及附件</w:t>
      </w:r>
      <w:r>
        <w:rPr>
          <w:rFonts w:hint="eastAsia" w:ascii="宋体" w:hAnsi="宋体" w:cs="宋体"/>
          <w:szCs w:val="21"/>
        </w:rPr>
        <w:fldChar w:fldCharType="end"/>
      </w:r>
      <w:r>
        <w:rPr>
          <w:rFonts w:hint="eastAsia" w:ascii="宋体" w:hAnsi="宋体" w:cs="宋体"/>
          <w:szCs w:val="21"/>
        </w:rPr>
      </w:r>
      <w:r/>
    </w:p>
    <w:p>
      <w:pPr>
        <w:pStyle w:val="1020"/>
        <w:ind w:firstLine="422"/>
        <w:spacing w:line="360" w:lineRule="auto"/>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lang w:val="zh-CN"/>
        </w:rPr>
        <w:t xml:space="preserve">磋商文件的澄清或者修改</w:t>
      </w:r>
      <w:r>
        <w:rPr>
          <w:rFonts w:hint="eastAsia" w:ascii="宋体" w:hAnsi="宋体" w:cs="宋体"/>
          <w:b/>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5.1 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5.2 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rFonts w:hint="eastAsia" w:ascii="宋体" w:hAnsi="宋体" w:cs="宋体"/>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三、磋商响应文件编制</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6</w:t>
      </w:r>
      <w:r>
        <w:rPr>
          <w:rFonts w:hint="eastAsia" w:ascii="宋体" w:hAnsi="宋体" w:cs="宋体"/>
          <w:b/>
          <w:szCs w:val="21"/>
        </w:rPr>
        <w:t xml:space="preserve">.</w:t>
      </w:r>
      <w:r>
        <w:rPr>
          <w:rFonts w:hint="eastAsia" w:ascii="宋体" w:hAnsi="宋体" w:cs="宋体"/>
          <w:b/>
          <w:szCs w:val="21"/>
          <w:lang w:val="zh-CN"/>
        </w:rPr>
        <w:t xml:space="preserve">磋商响应文件的语言、计量单位、货币和编制</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6.2 供应商所使用的计量单位应为国家法定计量单位。</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6.3 供应商应用人民币报价。报价产品如果是进口产品的，应提供人民币与外币之间的汇率。</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6.4 磋商响应文件应按照竞争性磋商文件规定的顺序打印、装订成册并编制目录，由于编排混乱导致响应文件被误读或查找不到，责任由供应商承担。</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6.5 供应商应在磋商响应文件中写清相应的项目编号、项目名称、供应商全称、地址、电话、传真等。</w:t>
      </w:r>
      <w:r>
        <w:rPr>
          <w:rFonts w:hint="eastAsia" w:ascii="宋体" w:hAnsi="宋体" w:cs="宋体"/>
          <w:szCs w:val="21"/>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7</w:t>
      </w:r>
      <w:r>
        <w:rPr>
          <w:rFonts w:hint="eastAsia" w:ascii="宋体" w:hAnsi="宋体" w:cs="宋体"/>
          <w:b/>
          <w:szCs w:val="21"/>
        </w:rPr>
        <w:t xml:space="preserve">.</w:t>
      </w:r>
      <w:r>
        <w:rPr>
          <w:rFonts w:hint="eastAsia" w:ascii="宋体" w:hAnsi="宋体" w:cs="宋体"/>
          <w:b/>
          <w:szCs w:val="21"/>
          <w:lang w:val="zh-CN"/>
        </w:rPr>
        <w:t xml:space="preserve">磋商响应文件的组成</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7.1 供应商应当根据磋商文件要求编制磋商响应文件，并根据自己的商务能力、技术水平对磋商文件提出的要求和条件逐条标明是否响应。</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7.2 磋商响应文件由商务、技术、价格，以及其他部分内容组成。磋商响应文件目录及有关格式按磋商文件“第六章磋商响应文件格式及附件”的要求编制。</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7.3 本次采购的最小单位是标段。采购项目的技术要求中未分标段的，供应商对要求提供的服务不得部分响应；采购项目的技术要求中已经分标段的，可以以标段为单位响应。</w:t>
      </w:r>
      <w:r>
        <w:rPr>
          <w:rFonts w:hint="eastAsia" w:ascii="宋体" w:hAnsi="宋体" w:cs="宋体"/>
          <w:szCs w:val="21"/>
        </w:rPr>
      </w:r>
      <w:r/>
    </w:p>
    <w:p>
      <w:pPr>
        <w:pStyle w:val="1020"/>
        <w:ind w:firstLine="420"/>
        <w:spacing w:line="360" w:lineRule="auto"/>
        <w:rPr>
          <w:rFonts w:hint="eastAsia" w:ascii="宋体" w:hAnsi="宋体"/>
          <w:szCs w:val="21"/>
          <w:lang w:val="zh-CN"/>
        </w:rPr>
      </w:pPr>
      <w:r>
        <w:rPr>
          <w:rFonts w:hint="eastAsia" w:ascii="宋体" w:hAnsi="宋体" w:cs="宋体"/>
          <w:szCs w:val="21"/>
        </w:rPr>
        <w:t xml:space="preserve">7.4 </w:t>
      </w:r>
      <w:r>
        <w:rPr>
          <w:rFonts w:hint="eastAsia" w:ascii="宋体" w:hAnsi="宋体" w:cs="宋体"/>
          <w:b/>
          <w:bCs/>
          <w:szCs w:val="21"/>
        </w:rPr>
        <w:t xml:space="preserve">磋商响应文件的商务内容。</w:t>
      </w:r>
      <w:r>
        <w:rPr>
          <w:rFonts w:hint="eastAsia" w:ascii="宋体" w:hAnsi="宋体" w:cs="宋体"/>
          <w:szCs w:val="21"/>
        </w:rPr>
        <w:t xml:space="preserve">商务部分内容是证明供应商有资格参加磋商和成交后有能力履行合同的文件，这些文件应能满足竞争性磋商采购的要求，包括但不限于下列文件</w:t>
      </w:r>
      <w:r>
        <w:rPr>
          <w:rFonts w:hint="eastAsia" w:ascii="宋体" w:hAnsi="宋体"/>
          <w:szCs w:val="21"/>
          <w:lang w:val="zh-CN"/>
        </w:rPr>
        <w:t xml:space="preserve">，其中加“★”项目不得有缺失或无效：</w:t>
      </w:r>
      <w:r>
        <w:rPr>
          <w:rFonts w:hint="eastAsia" w:ascii="宋体" w:hAnsi="宋体"/>
          <w:szCs w:val="21"/>
          <w:lang w:val="zh-CN"/>
        </w:rPr>
      </w:r>
      <w:r/>
    </w:p>
    <w:p>
      <w:pPr>
        <w:pStyle w:val="1020"/>
        <w:ind w:firstLine="420"/>
        <w:jc w:val="left"/>
        <w:spacing w:line="360" w:lineRule="auto"/>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lang w:val="zh-CN"/>
        </w:rPr>
        <w:t xml:space="preserve">（1）竞争性磋商申请及声明</w:t>
      </w:r>
      <w:r>
        <w:rPr>
          <w:rFonts w:hint="eastAsia" w:ascii="宋体" w:hAnsi="宋体" w:cs="宋体"/>
          <w:b/>
          <w:bCs/>
          <w:szCs w:val="21"/>
        </w:rPr>
        <w:t xml:space="preserve">（格式见第六章）</w:t>
      </w:r>
      <w:r>
        <w:rPr>
          <w:rFonts w:hint="eastAsia" w:ascii="宋体" w:hAnsi="宋体" w:cs="宋体"/>
          <w:szCs w:val="21"/>
          <w:lang w:val="zh-CN"/>
        </w:rPr>
        <w:t xml:space="preserve">；</w:t>
      </w:r>
      <w:r>
        <w:rPr>
          <w:rFonts w:hint="eastAsia" w:ascii="宋体" w:hAnsi="宋体" w:cs="宋体"/>
          <w:szCs w:val="21"/>
          <w:lang w:val="zh-CN"/>
        </w:rPr>
      </w:r>
      <w:r/>
    </w:p>
    <w:p>
      <w:pPr>
        <w:pStyle w:val="1020"/>
        <w:ind w:firstLine="420"/>
        <w:jc w:val="left"/>
        <w:spacing w:line="360" w:lineRule="auto"/>
        <w:widowControl/>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lang w:val="zh-CN"/>
        </w:rPr>
        <w:t xml:space="preserve">（2）法定代表人授权书及委托代理人的身份证扫描件</w:t>
      </w:r>
      <w:r>
        <w:rPr>
          <w:rFonts w:hint="eastAsia" w:ascii="宋体" w:hAnsi="宋体" w:cs="宋体"/>
          <w:b/>
          <w:bCs/>
          <w:szCs w:val="21"/>
        </w:rPr>
        <w:t xml:space="preserve">（格式见第六章）</w:t>
      </w:r>
      <w:r>
        <w:rPr>
          <w:rFonts w:hint="eastAsia" w:ascii="宋体" w:hAnsi="宋体" w:cs="宋体"/>
          <w:szCs w:val="21"/>
          <w:lang w:val="zh-CN"/>
        </w:rPr>
        <w:t xml:space="preserve">；</w:t>
      </w:r>
      <w:r>
        <w:rPr>
          <w:rFonts w:hint="eastAsia" w:ascii="宋体" w:hAnsi="宋体" w:cs="宋体"/>
          <w:szCs w:val="21"/>
          <w:lang w:val="zh-CN"/>
        </w:rPr>
      </w:r>
      <w:r/>
    </w:p>
    <w:p>
      <w:pPr>
        <w:pStyle w:val="1020"/>
        <w:ind w:firstLine="420"/>
        <w:jc w:val="left"/>
        <w:spacing w:line="360" w:lineRule="auto"/>
        <w:widowControl/>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lang w:val="zh-CN"/>
        </w:rPr>
        <w:t xml:space="preserve">（3）申请人资格资信证明文件：</w:t>
      </w:r>
      <w:r>
        <w:rPr>
          <w:rFonts w:hint="eastAsia" w:ascii="宋体" w:hAnsi="宋体" w:cs="宋体"/>
          <w:szCs w:val="21"/>
          <w:lang w:val="zh-CN"/>
        </w:rPr>
      </w:r>
      <w:r/>
    </w:p>
    <w:p>
      <w:pPr>
        <w:pStyle w:val="1020"/>
        <w:ind w:firstLine="84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1）第一章竞争性磋商公告中2.1《中华人民共和国政府采购法》规定的资格条件证明文件；</w:t>
      </w:r>
      <w:r>
        <w:rPr>
          <w:rFonts w:hint="eastAsia" w:ascii="宋体" w:hAnsi="宋体" w:cs="宋体"/>
          <w:szCs w:val="21"/>
          <w:lang w:val="zh-CN"/>
        </w:rPr>
      </w:r>
      <w:r/>
    </w:p>
    <w:p>
      <w:pPr>
        <w:pStyle w:val="1020"/>
        <w:ind w:firstLine="84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2）第一章竞争性磋商公告中2.2落实政府采购政策需满足的资格要求；</w:t>
      </w:r>
      <w:r>
        <w:rPr>
          <w:rFonts w:hint="eastAsia" w:ascii="宋体" w:hAnsi="宋体" w:cs="宋体"/>
          <w:szCs w:val="21"/>
          <w:lang w:val="zh-CN"/>
        </w:rPr>
      </w:r>
      <w:r/>
    </w:p>
    <w:p>
      <w:pPr>
        <w:pStyle w:val="1020"/>
        <w:ind w:firstLine="84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3）第一章竞争性磋商公告中2.3采购人根据采购项目的特殊要求规定的特定条件证明文件；</w:t>
      </w:r>
      <w:r>
        <w:rPr>
          <w:rFonts w:hint="eastAsia" w:ascii="宋体" w:hAnsi="宋体" w:cs="宋体"/>
          <w:szCs w:val="21"/>
          <w:lang w:val="zh-CN"/>
        </w:rPr>
      </w:r>
      <w:r/>
    </w:p>
    <w:p>
      <w:pPr>
        <w:pStyle w:val="1020"/>
        <w:ind w:firstLine="420"/>
        <w:jc w:val="left"/>
        <w:spacing w:line="360" w:lineRule="auto"/>
        <w:widowControl/>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rPr>
        <w:t xml:space="preserve">（4）报价一览表及附表</w:t>
      </w:r>
      <w:r>
        <w:rPr>
          <w:rFonts w:hint="eastAsia" w:ascii="宋体" w:hAnsi="宋体" w:cs="宋体"/>
          <w:b/>
          <w:bCs/>
          <w:szCs w:val="21"/>
        </w:rPr>
        <w:t xml:space="preserve">（格式见第六章）</w:t>
      </w:r>
      <w:r>
        <w:rPr>
          <w:rFonts w:hint="eastAsia" w:ascii="宋体" w:hAnsi="宋体" w:cs="宋体"/>
          <w:szCs w:val="21"/>
        </w:rPr>
        <w:t xml:space="preserve">；</w:t>
      </w:r>
      <w:r>
        <w:rPr>
          <w:rFonts w:hint="eastAsia" w:ascii="宋体" w:hAnsi="宋体" w:cs="宋体"/>
          <w:szCs w:val="21"/>
          <w:lang w:val="zh-CN"/>
        </w:rPr>
      </w:r>
      <w:r/>
    </w:p>
    <w:p>
      <w:pPr>
        <w:pStyle w:val="1020"/>
        <w:ind w:firstLine="420"/>
        <w:jc w:val="left"/>
        <w:spacing w:line="360" w:lineRule="auto"/>
        <w:rPr>
          <w:rFonts w:hint="eastAsia" w:ascii="宋体" w:hAnsi="宋体" w:cs="宋体"/>
          <w:szCs w:val="21"/>
          <w:lang w:val="zh-CN"/>
        </w:rPr>
      </w:pPr>
      <w:r>
        <w:rPr>
          <w:rFonts w:hint="eastAsia" w:ascii="宋体" w:hAnsi="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商务</w:t>
      </w:r>
      <w:r>
        <w:rPr>
          <w:rFonts w:hint="eastAsia" w:ascii="宋体" w:hAnsi="宋体" w:cs="宋体"/>
          <w:szCs w:val="21"/>
          <w:lang w:val="zh-CN"/>
        </w:rPr>
        <w:t xml:space="preserve">条款偏离表》；</w:t>
      </w:r>
      <w:r>
        <w:rPr>
          <w:rFonts w:hint="eastAsia" w:ascii="宋体" w:hAnsi="宋体" w:cs="宋体"/>
          <w:szCs w:val="21"/>
          <w:lang w:val="zh-CN"/>
        </w:rPr>
      </w:r>
      <w:r/>
    </w:p>
    <w:p>
      <w:pPr>
        <w:pStyle w:val="102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）供应商认为需要提供的其他资格证明文件和商务资料。</w:t>
      </w:r>
      <w:r>
        <w:rPr>
          <w:rFonts w:hint="eastAsia" w:ascii="宋体" w:hAnsi="宋体" w:cs="宋体"/>
          <w:szCs w:val="21"/>
          <w:lang w:val="zh-CN"/>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7.5 </w:t>
      </w:r>
      <w:r>
        <w:rPr>
          <w:rFonts w:hint="eastAsia" w:ascii="宋体" w:hAnsi="宋体" w:cs="宋体"/>
          <w:b/>
          <w:szCs w:val="21"/>
        </w:rPr>
        <w:t xml:space="preserve">磋商响应文件的技术内容。</w:t>
      </w:r>
      <w:r>
        <w:rPr>
          <w:rFonts w:hint="eastAsia" w:ascii="宋体" w:hAnsi="宋体" w:cs="宋体"/>
          <w:bCs/>
          <w:szCs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rPr>
          <w:rFonts w:hint="eastAsia" w:ascii="宋体" w:hAnsi="宋体" w:cs="宋体"/>
          <w:bCs/>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（1）项目技术方案或服务说明；</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（2）《采购需求条款偏离表》；</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（3）供应商认为需要提供的其他技术资料。</w:t>
      </w:r>
      <w:r>
        <w:rPr>
          <w:rFonts w:hint="eastAsia" w:ascii="宋体" w:hAnsi="宋体" w:cs="宋体"/>
          <w:szCs w:val="21"/>
        </w:rPr>
      </w:r>
      <w:r/>
    </w:p>
    <w:p>
      <w:pPr>
        <w:pStyle w:val="1020"/>
        <w:ind w:firstLine="420"/>
        <w:spacing w:line="360" w:lineRule="auto"/>
        <w:rPr>
          <w:rFonts w:hint="eastAsia" w:ascii="宋体" w:hAnsi="宋体" w:cs="宋体"/>
          <w:color w:val="000000"/>
          <w:szCs w:val="21"/>
        </w:rPr>
      </w:pPr>
      <w:r>
        <w:rPr>
          <w:rFonts w:hint="eastAsia" w:ascii="宋体" w:hAnsi="宋体" w:cs="宋体"/>
          <w:color w:val="000000"/>
          <w:szCs w:val="21"/>
        </w:rPr>
        <w:t xml:space="preserve">7.6 磋商响应文件的价格内容</w:t>
      </w:r>
      <w:r>
        <w:rPr>
          <w:rFonts w:hint="eastAsia" w:ascii="宋体" w:hAnsi="宋体" w:cs="宋体"/>
          <w:color w:val="000000"/>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（1）价格部分内容是对标的价格构成的说明，磋商文件如没有特别说明的话，仅接受一个价格。</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（3）供应商应在《报价一览表》《分项报价表》等标明标的的单价、总价以及分项报价等。</w:t>
      </w:r>
      <w:r>
        <w:rPr>
          <w:rFonts w:hint="eastAsia" w:ascii="宋体" w:hAnsi="宋体" w:cs="宋体"/>
          <w:szCs w:val="21"/>
        </w:rPr>
      </w:r>
      <w:r/>
    </w:p>
    <w:p>
      <w:pPr>
        <w:pStyle w:val="1020"/>
        <w:ind w:firstLine="422"/>
        <w:spacing w:line="360" w:lineRule="auto"/>
        <w:rPr>
          <w:rFonts w:hint="eastAsia" w:ascii="宋体" w:hAnsi="宋体" w:cs="宋体"/>
          <w:b/>
          <w:bCs/>
          <w:szCs w:val="21"/>
        </w:rPr>
      </w:pPr>
      <w:r>
        <w:rPr>
          <w:rFonts w:hint="eastAsia" w:ascii="宋体" w:hAnsi="宋体" w:cs="宋体"/>
          <w:b/>
          <w:bCs/>
          <w:szCs w:val="21"/>
        </w:rPr>
        <w:t xml:space="preserve">（4）响应文件所报的响应价格不得超过磋商文件规定的预算价、限价，超过磋商文件规定的，响应文件按无效处理。</w:t>
      </w:r>
      <w:r>
        <w:rPr>
          <w:rFonts w:hint="eastAsia" w:ascii="宋体" w:hAnsi="宋体" w:cs="宋体"/>
          <w:b/>
          <w:bCs/>
          <w:szCs w:val="21"/>
        </w:rPr>
      </w:r>
      <w:r/>
    </w:p>
    <w:p>
      <w:pPr>
        <w:pStyle w:val="1020"/>
        <w:ind w:firstLine="420"/>
        <w:spacing w:line="360" w:lineRule="auto"/>
        <w:rPr>
          <w:rFonts w:hint="eastAsia" w:ascii="宋体" w:hAnsi="宋体" w:cs="宋体"/>
          <w:b/>
          <w:bCs/>
          <w:szCs w:val="21"/>
          <w:lang w:val="zh-CN"/>
        </w:rPr>
      </w:pPr>
      <w:r>
        <w:rPr>
          <w:rFonts w:hint="eastAsia" w:ascii="宋体" w:hAnsi="宋体" w:cs="宋体"/>
          <w:szCs w:val="21"/>
        </w:rPr>
        <w:t xml:space="preserve">（5）经磋商后，如果成交价低于供应商首次响应报价的话，除特别注明外</w:t>
      </w:r>
      <w:r>
        <w:rPr>
          <w:rFonts w:hint="eastAsia" w:ascii="宋体" w:hAnsi="宋体" w:cs="宋体"/>
          <w:szCs w:val="21"/>
          <w:lang w:val="zh-CN"/>
        </w:rPr>
        <w:t xml:space="preserve">，</w:t>
      </w:r>
      <w:r>
        <w:rPr>
          <w:rFonts w:hint="eastAsia" w:ascii="宋体" w:hAnsi="宋体" w:cs="宋体"/>
          <w:b/>
          <w:bCs/>
          <w:szCs w:val="21"/>
          <w:lang w:val="zh-CN"/>
        </w:rPr>
        <w:t xml:space="preserve">其分项报价（除暂列金、暂估价以外）同比例调整。</w:t>
      </w:r>
      <w:r>
        <w:rPr>
          <w:rFonts w:hint="eastAsia" w:ascii="宋体" w:hAnsi="宋体" w:cs="宋体"/>
          <w:b/>
          <w:bCs/>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7.7 磋商响应文件的其他部分。其他部分由供应商根据编制磋商响应文件需要提供的其他相关文件组成。</w:t>
      </w:r>
      <w:r>
        <w:rPr>
          <w:rFonts w:hint="eastAsia" w:ascii="宋体" w:hAnsi="宋体" w:cs="宋体"/>
          <w:szCs w:val="21"/>
        </w:rPr>
      </w:r>
      <w:r/>
    </w:p>
    <w:p>
      <w:pPr>
        <w:pStyle w:val="1020"/>
        <w:ind w:firstLine="422"/>
        <w:spacing w:line="360" w:lineRule="auto"/>
        <w:rPr>
          <w:rFonts w:hint="eastAsia" w:ascii="宋体" w:hAnsi="宋体" w:cs="宋体"/>
          <w:b/>
          <w:szCs w:val="21"/>
        </w:rPr>
      </w:pPr>
      <w:r>
        <w:rPr>
          <w:rFonts w:hint="eastAsia" w:ascii="宋体" w:hAnsi="宋体" w:cs="宋体"/>
          <w:b/>
          <w:szCs w:val="21"/>
        </w:rPr>
        <w:t xml:space="preserve">8.磋商保证金：不收取。</w:t>
      </w:r>
      <w:r>
        <w:rPr>
          <w:rFonts w:hint="eastAsia" w:ascii="宋体" w:hAnsi="宋体" w:cs="宋体"/>
          <w:b/>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四、磋商响应文件的递交</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9</w:t>
      </w:r>
      <w:r>
        <w:rPr>
          <w:rFonts w:hint="eastAsia" w:ascii="宋体" w:hAnsi="宋体" w:cs="宋体"/>
          <w:b/>
          <w:szCs w:val="21"/>
        </w:rPr>
        <w:t xml:space="preserve">.</w:t>
      </w:r>
      <w:r>
        <w:rPr>
          <w:rFonts w:hint="eastAsia" w:ascii="宋体" w:hAnsi="宋体" w:cs="宋体"/>
          <w:b/>
          <w:szCs w:val="21"/>
          <w:lang w:val="zh-CN"/>
        </w:rPr>
        <w:t xml:space="preserve">磋商响应文件递交与解密</w:t>
      </w:r>
      <w:r>
        <w:rPr>
          <w:rFonts w:hint="eastAsia" w:ascii="宋体" w:hAnsi="宋体" w:cs="宋体"/>
          <w:b/>
          <w:szCs w:val="21"/>
          <w:lang w:val="zh-CN"/>
        </w:rPr>
      </w:r>
      <w:r/>
    </w:p>
    <w:p>
      <w:pPr>
        <w:pStyle w:val="1020"/>
        <w:ind w:firstLine="420"/>
        <w:spacing w:line="360" w:lineRule="auto"/>
        <w:rPr>
          <w:rFonts w:hint="eastAsia" w:ascii="宋体" w:hAnsi="宋体" w:cs="宋体"/>
          <w:b/>
          <w:bCs/>
          <w:szCs w:val="21"/>
        </w:rPr>
      </w:pPr>
      <w:r>
        <w:rPr>
          <w:rFonts w:hint="eastAsia" w:ascii="宋体" w:hAnsi="宋体" w:cs="宋体"/>
          <w:b/>
          <w:bCs/>
          <w:szCs w:val="21"/>
        </w:rPr>
        <w:t xml:space="preserve">9.1 供应商应当按照《操作手册》的规定递交电子响应文件，在磋商响应截止时间前制作并上传电子响应文件。招标代理机构拒绝接收提交响应文件截止时间后上传的任何电子响应文件。</w:t>
      </w:r>
      <w:r>
        <w:rPr>
          <w:rFonts w:hint="eastAsia" w:ascii="宋体" w:hAnsi="宋体" w:cs="宋体"/>
          <w:b/>
          <w:bCs/>
          <w:szCs w:val="21"/>
        </w:rPr>
      </w:r>
      <w:r/>
    </w:p>
    <w:p>
      <w:pPr>
        <w:pStyle w:val="1020"/>
        <w:ind w:firstLine="420"/>
        <w:spacing w:line="360" w:lineRule="auto"/>
        <w:rPr>
          <w:rFonts w:hint="eastAsia" w:ascii="宋体" w:hAnsi="宋体" w:cs="宋体"/>
          <w:b/>
          <w:bCs/>
          <w:szCs w:val="21"/>
        </w:rPr>
      </w:pPr>
      <w:r>
        <w:rPr>
          <w:rFonts w:hint="eastAsia" w:ascii="宋体" w:hAnsi="宋体" w:cs="宋体"/>
          <w:b/>
          <w:bCs/>
          <w:szCs w:val="21"/>
        </w:rPr>
        <w:t xml:space="preserve">9.2 供应商应当按照《操作手册》规定，在“苏采云”系统规定的时间内对响应文件进行解密。</w:t>
      </w:r>
      <w:r>
        <w:rPr>
          <w:rFonts w:hint="eastAsia" w:ascii="宋体" w:hAnsi="宋体" w:cs="宋体"/>
          <w:b/>
          <w:bCs/>
          <w:szCs w:val="21"/>
        </w:rPr>
      </w:r>
      <w:r/>
    </w:p>
    <w:p>
      <w:pPr>
        <w:pStyle w:val="1020"/>
        <w:ind w:firstLine="420"/>
        <w:spacing w:line="360" w:lineRule="auto"/>
        <w:rPr>
          <w:rFonts w:hint="eastAsia" w:ascii="宋体" w:hAnsi="宋体" w:cs="宋体"/>
          <w:szCs w:val="21"/>
          <w:lang w:val="zh-CN"/>
        </w:rPr>
      </w:pPr>
      <w:r>
        <w:rPr>
          <w:rFonts w:hint="eastAsia" w:ascii="宋体" w:hAnsi="宋体" w:cs="宋体"/>
          <w:b/>
          <w:bCs/>
          <w:szCs w:val="21"/>
        </w:rPr>
        <w:t xml:space="preserve">9.3 供应商应充分考虑到网络环境、网络带宽等风险因素，如因供应商自身原因造成电子响应文件未在“苏采云”系统规定的时间内成功解密的，按照本磋商文件规定做无效响应处理。</w:t>
      </w:r>
      <w:r>
        <w:rPr>
          <w:rFonts w:hint="eastAsia" w:ascii="宋体" w:hAnsi="宋体" w:cs="宋体"/>
          <w:szCs w:val="21"/>
          <w:lang w:val="zh-CN"/>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10</w:t>
      </w:r>
      <w:r>
        <w:rPr>
          <w:rFonts w:hint="eastAsia" w:ascii="宋体" w:hAnsi="宋体" w:cs="宋体"/>
          <w:b/>
          <w:szCs w:val="21"/>
        </w:rPr>
        <w:t xml:space="preserve">.</w:t>
      </w:r>
      <w:r>
        <w:rPr>
          <w:rFonts w:hint="eastAsia" w:ascii="宋体" w:hAnsi="宋体" w:cs="宋体"/>
          <w:b/>
          <w:szCs w:val="21"/>
          <w:lang w:val="zh-CN"/>
        </w:rPr>
        <w:t xml:space="preserve">联合体：本项目</w:t>
      </w:r>
      <w:r>
        <w:rPr>
          <w:rFonts w:hint="eastAsia" w:ascii="宋体" w:hAnsi="宋体" w:cs="宋体"/>
          <w:b/>
          <w:bCs/>
          <w:szCs w:val="21"/>
        </w:rPr>
        <w:t xml:space="preserve">不接受联合体响应。</w:t>
      </w:r>
      <w:r>
        <w:rPr>
          <w:rFonts w:hint="eastAsia" w:ascii="宋体" w:hAnsi="宋体" w:cs="宋体"/>
          <w:b/>
          <w:szCs w:val="21"/>
          <w:lang w:val="zh-CN"/>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五、磋商</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11</w:t>
      </w:r>
      <w:r>
        <w:rPr>
          <w:rFonts w:hint="eastAsia" w:ascii="宋体" w:hAnsi="宋体" w:cs="宋体"/>
          <w:b/>
          <w:szCs w:val="21"/>
        </w:rPr>
        <w:t xml:space="preserve">.</w:t>
      </w:r>
      <w:r>
        <w:rPr>
          <w:rFonts w:hint="eastAsia" w:ascii="宋体" w:hAnsi="宋体" w:cs="宋体"/>
          <w:b/>
          <w:szCs w:val="21"/>
          <w:lang w:val="zh-CN"/>
        </w:rPr>
        <w:t xml:space="preserve">磋商有效期</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磋商有效期为90天，从提交磋商响应文件的截止之日起算。磋商响应文件中承诺的磋商有效期应当不少于磋商文件中载明的磋商有效期。</w:t>
      </w:r>
      <w:r>
        <w:rPr>
          <w:rFonts w:hint="eastAsia" w:ascii="宋体" w:hAnsi="宋体" w:cs="宋体"/>
          <w:szCs w:val="21"/>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12</w:t>
      </w:r>
      <w:r>
        <w:rPr>
          <w:rFonts w:hint="eastAsia" w:ascii="宋体" w:hAnsi="宋体" w:cs="宋体"/>
          <w:b/>
          <w:szCs w:val="21"/>
        </w:rPr>
        <w:t xml:space="preserve">.</w:t>
      </w:r>
      <w:r>
        <w:rPr>
          <w:rFonts w:hint="eastAsia" w:ascii="宋体" w:hAnsi="宋体" w:cs="宋体"/>
          <w:b/>
          <w:szCs w:val="21"/>
          <w:lang w:val="zh-CN"/>
        </w:rPr>
        <w:t xml:space="preserve">磋商组织</w:t>
      </w:r>
      <w:r>
        <w:rPr>
          <w:rFonts w:hint="eastAsia" w:ascii="宋体" w:hAnsi="宋体" w:cs="宋体"/>
          <w:b/>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递交磋商响应文件时间截止后，采购代理机构在规定的时间和地点组织磋商小组分别与供应商进行磋商。具体磋商事务由依法组建的磋商小组负责。</w:t>
      </w:r>
      <w:r>
        <w:rPr>
          <w:rFonts w:hint="eastAsia" w:ascii="宋体" w:hAnsi="宋体" w:cs="宋体"/>
          <w:szCs w:val="21"/>
          <w:lang w:val="zh-CN"/>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13</w:t>
      </w:r>
      <w:r>
        <w:rPr>
          <w:rFonts w:hint="eastAsia" w:ascii="宋体" w:hAnsi="宋体" w:cs="宋体"/>
          <w:b/>
          <w:szCs w:val="21"/>
        </w:rPr>
        <w:t xml:space="preserve">.</w:t>
      </w:r>
      <w:r>
        <w:rPr>
          <w:rFonts w:hint="eastAsia" w:ascii="宋体" w:hAnsi="宋体" w:cs="宋体"/>
          <w:b/>
          <w:szCs w:val="21"/>
          <w:lang w:val="zh-CN"/>
        </w:rPr>
        <w:t xml:space="preserve">磋商程序</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13.1 磋商小组审阅供应商所递交的响应文件，凡不具备资格条件的供应商不得进入磋商程序。</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13.2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13.4 如磋商文件有实质性变动的，供应商应当按照磋商文件的变动情况和磋商小组的要求在苏采云系统中重新提交响应文件，并加盖电子公章。</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13.5 磋商</w:t>
      </w:r>
      <w:r>
        <w:rPr>
          <w:rFonts w:hint="eastAsia" w:ascii="宋体" w:hAnsi="宋体" w:cs="宋体"/>
          <w:szCs w:val="21"/>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szCs w:val="21"/>
        </w:rPr>
      </w:r>
      <w:r/>
    </w:p>
    <w:p>
      <w:pPr>
        <w:pStyle w:val="1020"/>
        <w:ind w:firstLine="422"/>
        <w:spacing w:line="360" w:lineRule="auto"/>
        <w:rPr>
          <w:rFonts w:hint="eastAsia" w:ascii="宋体" w:hAnsi="宋体" w:cs="宋体"/>
          <w:b/>
          <w:bCs/>
          <w:szCs w:val="21"/>
        </w:rPr>
      </w:pPr>
      <w:r>
        <w:rPr>
          <w:rFonts w:hint="eastAsia" w:ascii="宋体" w:hAnsi="宋体" w:cs="宋体"/>
          <w:b/>
          <w:bCs/>
          <w:szCs w:val="21"/>
        </w:rPr>
        <w:t xml:space="preserve">13.7 出现下列情形之一的响应文件按照无效处理：</w:t>
      </w:r>
      <w:r>
        <w:rPr>
          <w:rFonts w:hint="eastAsia" w:ascii="宋体" w:hAnsi="宋体" w:cs="宋体"/>
          <w:b/>
          <w:bCs/>
          <w:szCs w:val="21"/>
        </w:rPr>
      </w:r>
      <w:r/>
    </w:p>
    <w:p>
      <w:pPr>
        <w:pStyle w:val="1020"/>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w:t>
      </w:r>
      <w:bookmarkStart w:id="21" w:name="OLE_LINK2"/>
      <w:r>
        <w:rPr>
          <w:rFonts w:hint="eastAsia" w:ascii="宋体" w:hAnsi="宋体" w:cs="宋体"/>
          <w:b/>
          <w:bCs/>
          <w:szCs w:val="21"/>
        </w:rPr>
        <w:t xml:space="preserve">响应文件所报的投标价格超过磋商文件规定的预算价、限价的</w:t>
      </w:r>
      <w:bookmarkEnd w:id="21"/>
      <w:r>
        <w:rPr>
          <w:rFonts w:hint="eastAsia" w:ascii="宋体" w:hAnsi="宋体" w:cs="宋体"/>
          <w:b/>
          <w:bCs/>
          <w:szCs w:val="21"/>
        </w:rPr>
        <w:t xml:space="preserve">；</w:t>
      </w:r>
      <w:r>
        <w:rPr>
          <w:rFonts w:hint="eastAsia" w:ascii="宋体" w:hAnsi="宋体" w:cs="宋体"/>
          <w:b/>
          <w:bCs/>
          <w:szCs w:val="21"/>
          <w:lang w:val="zh-CN"/>
        </w:rPr>
      </w:r>
      <w:r/>
    </w:p>
    <w:p>
      <w:pPr>
        <w:pStyle w:val="1020"/>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2</w:t>
      </w:r>
      <w:r>
        <w:rPr>
          <w:rFonts w:hint="eastAsia" w:ascii="宋体" w:hAnsi="宋体" w:cs="宋体"/>
          <w:b/>
          <w:bCs/>
          <w:szCs w:val="21"/>
          <w:lang w:val="zh-CN"/>
        </w:rPr>
        <w:t xml:space="preserve">）未实质性响应磋商文件要求的（实质性要求是指本磋商文件中用带星号（“★”）要求）；</w:t>
      </w:r>
      <w:r>
        <w:rPr>
          <w:rFonts w:hint="eastAsia" w:ascii="宋体" w:hAnsi="宋体" w:cs="宋体"/>
          <w:b/>
          <w:bCs/>
          <w:szCs w:val="21"/>
          <w:lang w:val="zh-CN"/>
        </w:rPr>
      </w:r>
      <w:r/>
    </w:p>
    <w:p>
      <w:pPr>
        <w:pStyle w:val="1020"/>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（3）响应文件中已标价工程量清单与采购文件规定的暂估价、暂列金额及甲供材料价格不一致的；</w:t>
      </w:r>
      <w:r>
        <w:rPr>
          <w:rFonts w:hint="eastAsia" w:ascii="宋体" w:hAnsi="宋体" w:cs="宋体"/>
          <w:b/>
          <w:bCs/>
          <w:szCs w:val="21"/>
          <w:lang w:val="zh-CN"/>
        </w:rPr>
      </w:r>
      <w:r/>
    </w:p>
    <w:p>
      <w:pPr>
        <w:pStyle w:val="1020"/>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（4）响应文件中已标价工程量清单与采购文件明确列出的不可竞争费用项目或费率或计算基础不一致的；</w:t>
      </w:r>
      <w:r>
        <w:rPr>
          <w:rFonts w:hint="eastAsia" w:ascii="宋体" w:hAnsi="宋体" w:cs="宋体"/>
          <w:b/>
          <w:bCs/>
          <w:szCs w:val="21"/>
          <w:lang w:val="zh-CN"/>
        </w:rPr>
      </w:r>
      <w:r/>
    </w:p>
    <w:p>
      <w:pPr>
        <w:pStyle w:val="1020"/>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（5）</w:t>
      </w:r>
      <w:bookmarkStart w:id="22" w:name="OLE_LINK3"/>
      <w:r>
        <w:rPr>
          <w:rFonts w:hint="eastAsia" w:ascii="宋体" w:hAnsi="宋体" w:cs="宋体"/>
          <w:b/>
          <w:bCs/>
          <w:szCs w:val="21"/>
          <w:lang w:val="zh-CN"/>
        </w:rPr>
        <w:t xml:space="preserve">响应文件中已标价工程量清单与采购文件提供的工程量清单中的项目编码、项目名称、项目特征、计量单位、工程量不一致的（措施项目增项除外）</w:t>
      </w:r>
      <w:bookmarkEnd w:id="22"/>
      <w:r>
        <w:rPr>
          <w:rFonts w:hint="eastAsia" w:ascii="宋体" w:hAnsi="宋体" w:cs="宋体"/>
          <w:b/>
          <w:bCs/>
          <w:szCs w:val="21"/>
          <w:lang w:val="zh-CN"/>
        </w:rPr>
        <w:t xml:space="preserve">；</w:t>
      </w:r>
      <w:r>
        <w:rPr>
          <w:rFonts w:hint="eastAsia" w:ascii="宋体" w:hAnsi="宋体" w:cs="宋体"/>
          <w:b/>
          <w:bCs/>
          <w:szCs w:val="21"/>
          <w:lang w:val="zh-CN"/>
        </w:rPr>
      </w:r>
      <w:r/>
    </w:p>
    <w:p>
      <w:pPr>
        <w:pStyle w:val="1020"/>
        <w:ind w:firstLine="422"/>
        <w:spacing w:line="360" w:lineRule="auto"/>
        <w:rPr>
          <w:rFonts w:hint="eastAsia" w:ascii="宋体" w:hAnsi="宋体" w:cs="宋体"/>
          <w:szCs w:val="21"/>
        </w:rPr>
      </w:pPr>
      <w:r>
        <w:rPr>
          <w:rFonts w:hint="eastAsia" w:ascii="宋体" w:hAnsi="宋体" w:cs="宋体"/>
          <w:b/>
          <w:bCs/>
          <w:szCs w:val="21"/>
          <w:lang w:val="zh-CN"/>
        </w:rPr>
        <w:t xml:space="preserve">（</w:t>
      </w:r>
      <w:r>
        <w:rPr>
          <w:rFonts w:hint="eastAsia" w:ascii="宋体" w:hAnsi="宋体" w:cs="宋体"/>
          <w:b/>
          <w:bCs/>
          <w:szCs w:val="21"/>
        </w:rPr>
        <w:t xml:space="preserve">6</w:t>
      </w:r>
      <w:r>
        <w:rPr>
          <w:rFonts w:hint="eastAsia" w:ascii="宋体" w:hAnsi="宋体" w:cs="宋体"/>
          <w:b/>
          <w:bCs/>
          <w:szCs w:val="21"/>
          <w:lang w:val="zh-CN"/>
        </w:rPr>
        <w:t xml:space="preserve">）不符合法律、法规和磋商文件规定的其他实质性要求的；</w:t>
      </w:r>
      <w:r>
        <w:rPr>
          <w:rFonts w:hint="eastAsia" w:ascii="宋体" w:hAnsi="宋体" w:cs="宋体"/>
          <w:szCs w:val="21"/>
        </w:rPr>
      </w:r>
      <w:r/>
    </w:p>
    <w:p>
      <w:pPr>
        <w:pStyle w:val="1020"/>
        <w:ind w:firstLine="422"/>
        <w:spacing w:line="360" w:lineRule="auto"/>
        <w:rPr>
          <w:rFonts w:hint="eastAsia" w:ascii="宋体" w:hAnsi="宋体" w:cs="宋体"/>
          <w:b/>
          <w:bCs/>
          <w:szCs w:val="21"/>
        </w:rPr>
      </w:pPr>
      <w:r>
        <w:rPr>
          <w:rFonts w:hint="eastAsia" w:ascii="宋体" w:hAnsi="宋体" w:cs="宋体"/>
          <w:b/>
          <w:bCs/>
          <w:szCs w:val="21"/>
        </w:rPr>
        <w:t xml:space="preserve">13.8 出现下列情形之一的磋商终止：</w:t>
      </w:r>
      <w:r>
        <w:rPr>
          <w:rFonts w:hint="eastAsia" w:ascii="宋体" w:hAnsi="宋体" w:cs="宋体"/>
          <w:b/>
          <w:bCs/>
          <w:szCs w:val="21"/>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（1）因情况变化，不再符合规定的竞争性磋商采购方式适用情形的；</w:t>
      </w:r>
      <w:r>
        <w:rPr>
          <w:rFonts w:hint="eastAsia" w:ascii="宋体" w:hAnsi="宋体" w:cs="宋体"/>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（2）出现影响采购公正的违法、违规行为的；</w:t>
      </w:r>
      <w:r>
        <w:rPr>
          <w:rFonts w:hint="eastAsia" w:ascii="宋体" w:hAnsi="宋体" w:cs="宋体"/>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cs="宋体"/>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（4）在“苏采云”系统规定时间内成功解密电子响应文件的供应商不足3家的。</w:t>
      </w:r>
      <w:r>
        <w:rPr>
          <w:rFonts w:hint="eastAsia" w:ascii="宋体" w:hAnsi="宋体" w:cs="宋体"/>
          <w:szCs w:val="21"/>
          <w:lang w:val="zh-CN"/>
        </w:rPr>
      </w:r>
      <w:r/>
    </w:p>
    <w:p>
      <w:pPr>
        <w:pStyle w:val="1020"/>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13.9</w:t>
      </w:r>
      <w:r>
        <w:rPr>
          <w:rFonts w:hint="eastAsia" w:ascii="宋体" w:hAnsi="宋体" w:cs="宋体"/>
          <w:b/>
          <w:bCs/>
          <w:szCs w:val="21"/>
        </w:rPr>
        <w:t xml:space="preserve"> 磋商小组</w:t>
      </w:r>
      <w:r>
        <w:rPr>
          <w:rFonts w:hint="eastAsia" w:ascii="宋体" w:hAnsi="宋体" w:cs="宋体"/>
          <w:b/>
          <w:bCs/>
          <w:szCs w:val="21"/>
          <w:lang w:val="zh-CN"/>
        </w:rPr>
        <w:t xml:space="preserve">启动异常低价</w:t>
      </w:r>
      <w:r>
        <w:rPr>
          <w:rFonts w:hint="eastAsia" w:ascii="宋体" w:hAnsi="宋体" w:cs="宋体"/>
          <w:b/>
          <w:bCs/>
          <w:szCs w:val="21"/>
        </w:rPr>
        <w:t xml:space="preserve">响应</w:t>
      </w:r>
      <w:r>
        <w:rPr>
          <w:rFonts w:hint="eastAsia" w:ascii="宋体" w:hAnsi="宋体" w:cs="宋体"/>
          <w:b/>
          <w:bCs/>
          <w:szCs w:val="21"/>
          <w:lang w:val="zh-CN"/>
        </w:rPr>
        <w:t xml:space="preserve">审查的情形和具体要求：</w:t>
      </w:r>
      <w:r>
        <w:rPr>
          <w:rFonts w:hint="eastAsia" w:ascii="宋体" w:hAnsi="宋体" w:cs="宋体"/>
          <w:b/>
          <w:bCs/>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rPr>
        <w:t xml:space="preserve">13.9.1 </w:t>
      </w:r>
      <w:r>
        <w:rPr>
          <w:rFonts w:hint="eastAsia" w:ascii="宋体" w:hAnsi="宋体" w:cs="宋体"/>
          <w:szCs w:val="21"/>
          <w:lang w:val="zh-CN"/>
        </w:rPr>
        <w:t xml:space="preserve">评</w:t>
      </w:r>
      <w:r>
        <w:rPr>
          <w:rFonts w:hint="eastAsia" w:ascii="宋体" w:hAnsi="宋体" w:cs="宋体"/>
          <w:szCs w:val="21"/>
        </w:rPr>
        <w:t xml:space="preserve">审</w:t>
      </w:r>
      <w:r>
        <w:rPr>
          <w:rFonts w:hint="eastAsia" w:ascii="宋体" w:hAnsi="宋体" w:cs="宋体"/>
          <w:szCs w:val="21"/>
          <w:lang w:val="zh-CN"/>
        </w:rPr>
        <w:t xml:space="preserve">过程中出现下列情形之一的，</w:t>
      </w:r>
      <w:r>
        <w:rPr>
          <w:rFonts w:hint="eastAsia" w:ascii="宋体" w:hAnsi="宋体" w:cs="宋体"/>
          <w:szCs w:val="21"/>
        </w:rPr>
        <w:t xml:space="preserve">磋商小组</w:t>
      </w:r>
      <w:r>
        <w:rPr>
          <w:rFonts w:hint="eastAsia" w:ascii="宋体" w:hAnsi="宋体" w:cs="宋体"/>
          <w:szCs w:val="21"/>
          <w:lang w:val="zh-CN"/>
        </w:rPr>
        <w:t xml:space="preserve">应当启动异常低价</w:t>
      </w:r>
      <w:r>
        <w:rPr>
          <w:rFonts w:hint="eastAsia" w:ascii="宋体" w:hAnsi="宋体" w:cs="宋体"/>
          <w:szCs w:val="21"/>
        </w:rPr>
        <w:t xml:space="preserve">响应</w:t>
      </w:r>
      <w:r>
        <w:rPr>
          <w:rFonts w:hint="eastAsia" w:ascii="宋体" w:hAnsi="宋体" w:cs="宋体"/>
          <w:szCs w:val="21"/>
          <w:lang w:val="zh-CN"/>
        </w:rPr>
        <w:t xml:space="preserve">审查程序：</w:t>
      </w:r>
      <w:r>
        <w:rPr>
          <w:rFonts w:hint="eastAsia" w:ascii="宋体" w:hAnsi="宋体" w:cs="宋体"/>
          <w:szCs w:val="21"/>
          <w:lang w:val="zh-CN"/>
        </w:rPr>
      </w:r>
      <w:r/>
    </w:p>
    <w:p>
      <w:pPr>
        <w:pStyle w:val="102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（1）响应报价低于全部通过符合性审查供应商响应报价平均值50%的，即响应报价＜全部通过符合性审查供应商响应报价平均值×50%；</w:t>
      </w:r>
      <w:r>
        <w:rPr>
          <w:rFonts w:hint="eastAsia" w:ascii="宋体" w:hAnsi="宋体" w:cs="宋体"/>
          <w:szCs w:val="21"/>
        </w:rPr>
      </w:r>
      <w:r/>
    </w:p>
    <w:p>
      <w:pPr>
        <w:pStyle w:val="102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（2）响应报价低于通过符合性审查的次低报价供应商响应报价50%的，即响应报价＜通过符合性审查的次低报价供应商响应报价×50%；</w:t>
      </w:r>
      <w:r>
        <w:rPr>
          <w:rFonts w:hint="eastAsia" w:ascii="宋体" w:hAnsi="宋体" w:cs="宋体"/>
          <w:szCs w:val="21"/>
        </w:rPr>
      </w:r>
      <w:r/>
    </w:p>
    <w:p>
      <w:pPr>
        <w:pStyle w:val="102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（3）响应报价低于本项目最高限价45%的，即响应报价＜本项目最高限价×45%；</w:t>
      </w:r>
      <w:r>
        <w:rPr>
          <w:rFonts w:hint="eastAsia" w:ascii="宋体" w:hAnsi="宋体" w:cs="宋体"/>
          <w:szCs w:val="21"/>
        </w:rPr>
      </w:r>
      <w:r/>
    </w:p>
    <w:p>
      <w:pPr>
        <w:pStyle w:val="102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（4）磋商小组基于专业判断，认为供应商报价过低，有可能影响产品质量或者不能诚信履约的其他情形。</w:t>
      </w:r>
      <w:r>
        <w:rPr>
          <w:rFonts w:hint="eastAsia" w:ascii="宋体" w:hAnsi="宋体" w:cs="宋体"/>
          <w:szCs w:val="21"/>
        </w:rPr>
      </w:r>
      <w:r/>
    </w:p>
    <w:p>
      <w:pPr>
        <w:pStyle w:val="1020"/>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宋体" w:hAnsi="宋体" w:cs="宋体"/>
          <w:szCs w:val="21"/>
        </w:rPr>
      </w:r>
      <w:r/>
    </w:p>
    <w:p>
      <w:pPr>
        <w:pStyle w:val="1020"/>
        <w:ind w:firstLine="42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13.9.3 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供应商不能提供书面说明、证明材料，或者提供的书面说明、证明材料不能证明其报价合理性的，磋商小组应当将其作为无效响应处理。</w:t>
      </w:r>
      <w:r>
        <w:rPr>
          <w:rFonts w:hint="eastAsia" w:ascii="宋体" w:hAnsi="宋体" w:cs="宋体"/>
          <w:b/>
          <w:bCs/>
          <w:szCs w:val="21"/>
        </w:rPr>
      </w:r>
      <w:r/>
    </w:p>
    <w:p>
      <w:pPr>
        <w:pStyle w:val="1020"/>
        <w:ind w:firstLine="420"/>
        <w:spacing w:line="360" w:lineRule="auto"/>
        <w:rPr>
          <w:rFonts w:hint="eastAsia" w:ascii="宋体" w:hAnsi="宋体" w:cs="宋体"/>
          <w:szCs w:val="21"/>
          <w:lang w:val="zh-CN"/>
        </w:rPr>
      </w:pPr>
      <w:r>
        <w:rPr>
          <w:rFonts w:hint="eastAsia" w:ascii="宋体" w:hAnsi="宋体" w:cs="宋体"/>
          <w:szCs w:val="21"/>
        </w:rPr>
        <w:t xml:space="preserve">13.9.4 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14、评分方法和标准</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14.2 综合评分的主要因素是：价格、服务、业绩等。</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14.3 评分标准详见第三章。</w:t>
      </w:r>
      <w:r>
        <w:rPr>
          <w:rFonts w:hint="eastAsia" w:ascii="宋体" w:hAnsi="宋体" w:cs="宋体"/>
          <w:szCs w:val="21"/>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15</w:t>
      </w:r>
      <w:r>
        <w:rPr>
          <w:rFonts w:hint="eastAsia" w:ascii="宋体" w:hAnsi="宋体" w:cs="宋体"/>
          <w:b/>
          <w:szCs w:val="21"/>
        </w:rPr>
        <w:t xml:space="preserve">.</w:t>
      </w:r>
      <w:r>
        <w:rPr>
          <w:rFonts w:hint="eastAsia" w:ascii="宋体" w:hAnsi="宋体" w:cs="宋体"/>
          <w:b/>
          <w:szCs w:val="21"/>
          <w:lang w:val="zh-CN"/>
        </w:rPr>
        <w:t xml:space="preserve">确定成交供应商</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15.1 综合比较与评价后按照得分高低顺序对供应商进行排列。评审得分相同的，按照最后报价由低到高顺序排列。评审得分且最后报价相同的，按技术指标优劣顺序排列。磋商小组依次推荐排序前三名的供应商为成交候选人。</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15.2 磋商小组根据磋商过程和结果编写磋商（评审）报告。</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15.3 采购人将按磋商小组推荐的排序确定成交供应商。</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15.4 成交供应商确定之日起2个工作日内，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15.5 成交通知书对采购人和成交供应商具有同等法律效力。</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15.6 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15.7 所有响应文件不论成交与否，均不退回。</w:t>
      </w:r>
      <w:r>
        <w:rPr>
          <w:rFonts w:hint="eastAsia" w:ascii="宋体" w:hAnsi="宋体" w:cs="宋体"/>
          <w:szCs w:val="21"/>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16</w:t>
      </w:r>
      <w:r>
        <w:rPr>
          <w:rFonts w:hint="eastAsia" w:ascii="宋体" w:hAnsi="宋体" w:cs="宋体"/>
          <w:b/>
          <w:szCs w:val="21"/>
        </w:rPr>
        <w:t xml:space="preserve">.</w:t>
      </w:r>
      <w:r>
        <w:rPr>
          <w:rFonts w:hint="eastAsia" w:ascii="宋体" w:hAnsi="宋体" w:cs="宋体"/>
          <w:b/>
          <w:szCs w:val="21"/>
          <w:lang w:val="zh-CN"/>
        </w:rPr>
        <w:t xml:space="preserve">签订合同</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16.1 成交供应商应当自成交通知书发出之日起三十日内，与采购人签订合同，所签订的合同不得对磋商文件和响应文件作实质性修改。</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16.2 采购人不得向成交供应商提出任何不合理的要求作为签订合同的条件，不得与成交供应商私下订立背离合同实质性内容的协议。</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b/>
          <w:bCs/>
          <w:szCs w:val="21"/>
        </w:rPr>
        <w:t xml:space="preserve">放弃或拒绝签订政府采购合同的成交供应商不得参加对该项目重新开展的采购活动</w:t>
      </w:r>
      <w:r>
        <w:rPr>
          <w:rFonts w:hint="eastAsia" w:ascii="宋体" w:hAnsi="宋体" w:cs="宋体"/>
          <w:b/>
          <w:bCs/>
          <w:szCs w:val="21"/>
          <w:lang w:eastAsia="zh-CN"/>
        </w:rPr>
        <w:t xml:space="preserve">，</w:t>
      </w:r>
      <w:r>
        <w:rPr>
          <w:rFonts w:hint="eastAsia" w:ascii="宋体" w:hAnsi="宋体" w:cs="宋体"/>
          <w:b/>
          <w:bCs/>
          <w:szCs w:val="21"/>
        </w:rPr>
        <w:t xml:space="preserve">成交供应商应向采购人支付采购人为磋商所发生的有关费用。情节严重的提请财政部门将其列入不良行为名单，在一至三年内不得参加政府采购活动，并予以通报。</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六、质疑和投诉</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17</w:t>
      </w:r>
      <w:r>
        <w:rPr>
          <w:rFonts w:hint="eastAsia" w:ascii="宋体" w:hAnsi="宋体" w:cs="宋体"/>
          <w:b/>
          <w:szCs w:val="21"/>
        </w:rPr>
        <w:t xml:space="preserve">.</w:t>
      </w:r>
      <w:r>
        <w:rPr>
          <w:rFonts w:hint="eastAsia" w:ascii="宋体" w:hAnsi="宋体" w:cs="宋体"/>
          <w:b/>
          <w:szCs w:val="21"/>
          <w:lang w:val="zh-CN"/>
        </w:rPr>
        <w:t xml:space="preserve">质疑</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17.1 供应商认为磋商文件、磋商过程和中标、成交结果使自己的权益受到损害的，可以在知道或者应知其权益受到损害之日起七个工作日内，以书面形式向采购代理机构提出质疑。</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17.3 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17.5 供应商质疑应当有明确的请求和必要的证明材料。供应商必须在法定质疑期内一次性提出针对同一采购程序环节的质疑。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质疑文件接收信息：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（1）接收单位：采购代理机构</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（2）联 系 人：汪工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（3）联系电话：025-58835827-8015</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（4）联系邮箱：njjcco@126.com</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（5）接收地址：南京市建邺区云龙山路89号龙湖时代1栋29楼</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（6）邮  编：210019</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17.6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17.7 质疑函应当使用中文。相关当事人提供外文书证或者外国语视听资料的，应当附有中文译本，由翻译机构盖章或者翻译人员签名。</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17.8质疑函应当现场书面提交至采购代理机构联系人（详见竞争性磋商公告）处，提交时应出示有效身份证明。</w:t>
      </w:r>
      <w:r>
        <w:rPr>
          <w:rFonts w:hint="eastAsia" w:ascii="宋体" w:hAnsi="宋体" w:cs="宋体"/>
          <w:szCs w:val="21"/>
        </w:rPr>
      </w:r>
      <w:r/>
    </w:p>
    <w:p>
      <w:pPr>
        <w:pStyle w:val="1020"/>
        <w:ind w:firstLine="422"/>
        <w:spacing w:line="360" w:lineRule="auto"/>
        <w:rPr>
          <w:rFonts w:hint="eastAsia" w:ascii="宋体" w:hAnsi="宋体" w:cs="宋体"/>
          <w:b/>
          <w:szCs w:val="21"/>
        </w:rPr>
      </w:pPr>
      <w:r>
        <w:rPr>
          <w:rFonts w:hint="eastAsia" w:ascii="宋体" w:hAnsi="宋体" w:cs="宋体"/>
          <w:b/>
          <w:szCs w:val="21"/>
        </w:rPr>
        <w:t xml:space="preserve">18.投诉</w:t>
      </w:r>
      <w:r>
        <w:rPr>
          <w:rFonts w:hint="eastAsia" w:ascii="宋体" w:hAnsi="宋体" w:cs="宋体"/>
          <w:b/>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18.1 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18.2 供应商投诉应当有明确的请求和必要的证明材料。供应商投诉的事项不得超出已质疑事项的范围。</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18.3 投诉人对政府采购监督管理部门的投诉处理决定不服或者政府采购监督管理部门逾期未作处理的，可以依法申请行政复议或者向人民法院提起行政诉讼。</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18.4 投诉人有下列行为之一的，属于严重失信行为，由财政部门列入不良行为记录名单，禁止其一至三年内参加政府采购活动。</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（1）投诉人在全国范围12个月内三次以上投诉查无实据的；</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（2）采用捏造事实、提供虚假材料或者以非法手段取得证明材料等方式进行虚假、恶意投诉。</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证据来源的合法性存在明显疑问，投诉人无法证明其取得方式合法的，视为以非法手段取得证明材料。</w:t>
      </w:r>
      <w:r>
        <w:rPr>
          <w:rFonts w:hint="eastAsia" w:ascii="宋体" w:hAnsi="宋体" w:cs="宋体"/>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七、诚实信用</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19</w:t>
      </w:r>
      <w:r>
        <w:rPr>
          <w:rFonts w:hint="eastAsia" w:ascii="宋体" w:hAnsi="宋体" w:cs="宋体"/>
          <w:b/>
          <w:szCs w:val="21"/>
        </w:rPr>
        <w:t xml:space="preserve">.</w:t>
      </w:r>
      <w:r>
        <w:rPr>
          <w:rFonts w:hint="eastAsia" w:ascii="宋体" w:hAnsi="宋体" w:cs="宋体"/>
          <w:b/>
          <w:szCs w:val="21"/>
          <w:lang w:val="zh-CN"/>
        </w:rPr>
        <w:t xml:space="preserve">诚实信用</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19.1 供应商之间不得相互串通报价，不得妨碍其他供应商的公平竞争，不得损害采购人和其他供应商的合法权益。</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19.4 供应商不得虚假承诺，否则，按照提供虚假材料谋取成交处理。</w:t>
      </w:r>
      <w:r>
        <w:rPr>
          <w:rFonts w:hint="eastAsia" w:ascii="宋体" w:hAnsi="宋体" w:cs="宋体"/>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八、磋商费用</w:t>
      </w:r>
      <w:r>
        <w:rPr>
          <w:rFonts w:hint="eastAsia" w:ascii="宋体" w:hAnsi="宋体" w:cs="宋体"/>
          <w:b/>
          <w:spacing w:val="8"/>
          <w:sz w:val="24"/>
        </w:rPr>
      </w:r>
      <w:r/>
    </w:p>
    <w:p>
      <w:pPr>
        <w:pStyle w:val="1020"/>
        <w:ind w:firstLine="422"/>
        <w:spacing w:line="360" w:lineRule="auto"/>
        <w:rPr>
          <w:rFonts w:hint="eastAsia" w:ascii="宋体" w:hAnsi="宋体" w:cs="宋体"/>
          <w:b/>
          <w:szCs w:val="21"/>
          <w:lang w:val="zh-CN"/>
        </w:rPr>
      </w:pPr>
      <w:r>
        <w:rPr>
          <w:rFonts w:hint="eastAsia" w:ascii="宋体" w:hAnsi="宋体" w:cs="宋体"/>
          <w:b/>
          <w:szCs w:val="21"/>
          <w:lang w:val="zh-CN"/>
        </w:rPr>
        <w:t xml:space="preserve">20</w:t>
      </w:r>
      <w:r>
        <w:rPr>
          <w:rFonts w:hint="eastAsia" w:ascii="宋体" w:hAnsi="宋体" w:cs="宋体"/>
          <w:b/>
          <w:szCs w:val="21"/>
        </w:rPr>
        <w:t xml:space="preserve">.</w:t>
      </w:r>
      <w:r>
        <w:rPr>
          <w:rFonts w:hint="eastAsia" w:ascii="宋体" w:hAnsi="宋体" w:cs="宋体"/>
          <w:b/>
          <w:szCs w:val="21"/>
          <w:lang w:val="zh-CN"/>
        </w:rPr>
        <w:t xml:space="preserve">磋商费用</w:t>
      </w:r>
      <w:r>
        <w:rPr>
          <w:rFonts w:hint="eastAsia" w:ascii="宋体" w:hAnsi="宋体" w:cs="宋体"/>
          <w:b/>
          <w:szCs w:val="21"/>
          <w:lang w:val="zh-CN"/>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20.1 供应商应承担所有与准备和参加磋商有关的费用，无论采购结果如何，采购代理机构和采购人在任何情况下均无义务和责任承担这些费用。</w:t>
      </w:r>
      <w:r>
        <w:rPr>
          <w:rFonts w:hint="eastAsia" w:ascii="宋体" w:hAnsi="宋体" w:cs="宋体"/>
          <w:szCs w:val="21"/>
        </w:rPr>
      </w:r>
      <w:r/>
    </w:p>
    <w:p>
      <w:pPr>
        <w:pStyle w:val="1020"/>
        <w:ind w:firstLine="422"/>
        <w:spacing w:line="360" w:lineRule="auto"/>
        <w:rPr>
          <w:rFonts w:hint="eastAsia" w:ascii="宋体" w:hAnsi="宋体" w:cs="宋体"/>
          <w:b/>
          <w:szCs w:val="21"/>
        </w:rPr>
      </w:pPr>
      <w:r>
        <w:rPr>
          <w:rFonts w:hint="eastAsia" w:ascii="宋体" w:hAnsi="宋体" w:cs="宋体"/>
          <w:b/>
          <w:bCs/>
          <w:szCs w:val="21"/>
        </w:rPr>
        <w:t xml:space="preserve">20.2 </w:t>
      </w:r>
      <w:r>
        <w:rPr>
          <w:rFonts w:hint="eastAsia" w:ascii="宋体" w:hAnsi="宋体" w:cs="宋体"/>
          <w:b/>
          <w:szCs w:val="21"/>
        </w:rPr>
        <w:t xml:space="preserve">招标代理服务费：本次采购，成交供应商参照《招标代理服务收费管理暂行办法》（国家发展计划委员会“计价格【2002】1980号”）代理服务招标收费标准的60%计算收取招标代理服务费；清单编制费：本次采购，成交供应商按照苏价服2014文件（383）号文收费标准的60%计算收取清单编制服务费。</w:t>
      </w:r>
      <w:r>
        <w:rPr>
          <w:rFonts w:hint="eastAsia" w:ascii="宋体" w:hAnsi="宋体" w:cs="宋体"/>
          <w:b/>
          <w:szCs w:val="21"/>
        </w:rPr>
      </w:r>
      <w:r/>
    </w:p>
    <w:p>
      <w:pPr>
        <w:pStyle w:val="1020"/>
        <w:ind w:firstLine="422"/>
        <w:spacing w:line="360" w:lineRule="auto"/>
        <w:rPr>
          <w:rFonts w:hint="eastAsia" w:ascii="宋体" w:hAnsi="宋体" w:cs="宋体"/>
          <w:b/>
          <w:bCs/>
          <w:szCs w:val="21"/>
        </w:rPr>
      </w:pPr>
      <w:r>
        <w:rPr>
          <w:rFonts w:hint="eastAsia" w:ascii="宋体" w:hAnsi="宋体" w:cs="宋体"/>
          <w:b/>
          <w:bCs/>
          <w:szCs w:val="21"/>
        </w:rPr>
        <w:t xml:space="preserve">以上两项费用供应商在领取成交通知书前向采购代理机构支付，该费用不单独开列而应计入响应报价。</w:t>
      </w:r>
      <w:r>
        <w:rPr>
          <w:rFonts w:hint="eastAsia" w:ascii="宋体" w:hAnsi="宋体" w:cs="宋体"/>
          <w:b/>
          <w:bCs/>
          <w:szCs w:val="21"/>
        </w:rPr>
      </w:r>
      <w:r/>
    </w:p>
    <w:p>
      <w:pPr>
        <w:pStyle w:val="1020"/>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九、其它</w:t>
      </w:r>
      <w:r>
        <w:rPr>
          <w:rFonts w:hint="eastAsia" w:ascii="宋体" w:hAnsi="宋体" w:cs="宋体"/>
          <w:b/>
          <w:spacing w:val="8"/>
          <w:sz w:val="24"/>
        </w:rPr>
      </w:r>
      <w:r/>
    </w:p>
    <w:p>
      <w:pPr>
        <w:pStyle w:val="1020"/>
        <w:ind w:firstLine="422"/>
        <w:spacing w:line="360" w:lineRule="auto"/>
        <w:rPr>
          <w:rFonts w:hint="eastAsia" w:ascii="宋体" w:hAnsi="宋体" w:cs="宋体"/>
          <w:b/>
          <w:bCs/>
          <w:szCs w:val="21"/>
        </w:rPr>
      </w:pPr>
      <w:r>
        <w:rPr>
          <w:rFonts w:hint="eastAsia" w:ascii="宋体" w:hAnsi="宋体" w:cs="宋体"/>
          <w:b/>
          <w:bCs/>
          <w:szCs w:val="21"/>
        </w:rPr>
        <w:t xml:space="preserve">21.绿色采购</w:t>
      </w:r>
      <w:r>
        <w:rPr>
          <w:rFonts w:hint="eastAsia" w:ascii="宋体" w:hAnsi="宋体" w:cs="宋体"/>
          <w:b/>
          <w:bCs/>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21.1 本项目根据江苏省财政厅关于加强政府绿色采购有关事项的通知（苏财购〔2023〕65号）规定，执行绿色采购需求标准。</w:t>
      </w:r>
      <w:r>
        <w:rPr>
          <w:rFonts w:hint="eastAsia" w:ascii="宋体" w:hAnsi="宋体" w:cs="宋体"/>
          <w:szCs w:val="21"/>
        </w:rPr>
      </w:r>
      <w:r/>
    </w:p>
    <w:p>
      <w:pPr>
        <w:pStyle w:val="1020"/>
        <w:rPr>
          <w:rFonts w:hint="eastAsia" w:ascii="宋体" w:hAnsi="宋体" w:cs="宋体"/>
          <w:lang w:val="zh-CN"/>
        </w:rPr>
      </w:pPr>
      <w:r/>
      <w:bookmarkStart w:id="23" w:name="_Toc614"/>
      <w:r>
        <w:rPr>
          <w:rFonts w:hint="eastAsia" w:ascii="宋体" w:hAnsi="宋体" w:cs="宋体"/>
          <w:lang w:val="zh-CN"/>
        </w:rPr>
      </w:r>
      <w:r/>
    </w:p>
    <w:p>
      <w:pPr>
        <w:pStyle w:val="1100"/>
        <w:rPr>
          <w:rFonts w:hint="eastAsia" w:ascii="宋体" w:hAnsi="宋体" w:cs="宋体"/>
          <w:lang w:val="zh-CN"/>
        </w:rPr>
      </w:pPr>
      <w:r>
        <w:rPr>
          <w:rFonts w:hint="eastAsia" w:ascii="宋体" w:hAnsi="宋体" w:cs="宋体"/>
          <w:lang w:val="zh-CN"/>
        </w:rPr>
        <w:t xml:space="preserve">第三章 评标标准</w:t>
      </w:r>
      <w:bookmarkEnd w:id="23"/>
      <w:r>
        <w:rPr>
          <w:rFonts w:hint="eastAsia" w:ascii="宋体" w:hAnsi="宋体" w:cs="宋体"/>
          <w:lang w:val="zh-CN"/>
        </w:rPr>
      </w:r>
      <w:r/>
    </w:p>
    <w:p>
      <w:pPr>
        <w:pStyle w:val="1020"/>
        <w:ind w:firstLine="420"/>
        <w:spacing w:line="360" w:lineRule="auto"/>
        <w:rPr>
          <w:rFonts w:hint="eastAsia" w:ascii="宋体" w:hAnsi="宋体" w:cs="宋体"/>
          <w:szCs w:val="21"/>
        </w:rPr>
      </w:pPr>
      <w:r>
        <w:rPr>
          <w:rFonts w:hint="eastAsia" w:ascii="宋体" w:hAnsi="宋体" w:cs="宋体"/>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w:t>
      </w:r>
      <w:r>
        <w:rPr>
          <w:rFonts w:hint="eastAsia" w:ascii="宋体" w:hAnsi="宋体" w:cs="宋体"/>
          <w:szCs w:val="21"/>
        </w:rPr>
        <w:t xml:space="preserve">磋商小组依次推荐排序前三名的供应商为成交候选人。</w:t>
      </w:r>
      <w:r>
        <w:rPr>
          <w:rFonts w:hint="eastAsia" w:ascii="宋体" w:hAnsi="宋体" w:cs="宋体"/>
          <w:szCs w:val="21"/>
        </w:rPr>
      </w:r>
      <w:r/>
    </w:p>
    <w:p>
      <w:pPr>
        <w:pStyle w:val="1020"/>
        <w:numPr>
          <w:ilvl w:val="0"/>
          <w:numId w:val="7"/>
        </w:numPr>
        <w:spacing w:line="360" w:lineRule="auto"/>
        <w:rPr>
          <w:rFonts w:hint="eastAsia" w:ascii="宋体" w:hAnsi="宋体" w:cs="宋体"/>
          <w:b/>
          <w:szCs w:val="24"/>
        </w:rPr>
      </w:pPr>
      <w:r>
        <w:rPr>
          <w:rFonts w:hint="eastAsia" w:ascii="宋体" w:hAnsi="宋体" w:cs="宋体"/>
          <w:b/>
          <w:szCs w:val="24"/>
        </w:rPr>
        <w:t xml:space="preserve">价格部分</w:t>
      </w:r>
      <w:r>
        <w:rPr>
          <w:rFonts w:hint="eastAsia" w:ascii="宋体" w:hAnsi="宋体" w:cs="宋体"/>
          <w:b/>
          <w:szCs w:val="24"/>
          <w:lang w:eastAsia="zh-CN"/>
        </w:rPr>
        <w:t xml:space="preserve">（</w:t>
      </w:r>
      <w:r>
        <w:rPr>
          <w:rFonts w:hint="eastAsia" w:ascii="宋体" w:hAnsi="宋体" w:cs="宋体"/>
          <w:b/>
          <w:szCs w:val="24"/>
          <w:lang w:val="en-US" w:eastAsia="zh-CN"/>
        </w:rPr>
        <w:t xml:space="preserve">40</w:t>
      </w:r>
      <w:r>
        <w:rPr>
          <w:rFonts w:hint="eastAsia" w:ascii="宋体" w:hAnsi="宋体" w:cs="宋体"/>
          <w:b/>
          <w:szCs w:val="24"/>
          <w:lang w:eastAsia="zh-CN"/>
        </w:rPr>
        <w:t xml:space="preserve">）</w:t>
      </w:r>
      <w:r>
        <w:rPr>
          <w:rFonts w:hint="eastAsia" w:ascii="宋体" w:hAnsi="宋体" w:cs="宋体"/>
          <w:b/>
          <w:szCs w:val="24"/>
        </w:rPr>
      </w:r>
      <w:r/>
    </w:p>
    <w:tbl>
      <w:tblPr>
        <w:tblW w:w="8877" w:type="dxa"/>
        <w:jc w:val="center"/>
        <w:tblInd w:w="-12" w:type="dxa"/>
        <w:tblLayout w:type="autofit"/>
        <w:tblCellMar>
          <w:left w:w="12" w:type="dxa"/>
          <w:top w:w="12" w:type="dxa"/>
          <w:right w:w="12" w:type="dxa"/>
          <w:bottom w:w="0" w:type="dxa"/>
        </w:tblCellMar>
        <w:tblLook w:val="04A0" w:firstRow="1" w:lastRow="0" w:firstColumn="1" w:lastColumn="0" w:noHBand="0" w:noVBand="1"/>
      </w:tblPr>
      <w:tblGrid>
        <w:gridCol w:w="582"/>
        <w:gridCol w:w="1256"/>
        <w:gridCol w:w="6370"/>
        <w:gridCol w:w="669"/>
      </w:tblGrid>
      <w:tr>
        <w:trPr>
          <w:trHeight w:val="248"/>
          <w:tblHeade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评审细则</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bCs/>
                <w:szCs w:val="21"/>
                <w:lang w:bidi="ar"/>
              </w:rPr>
            </w:pPr>
            <w:r>
              <w:rPr>
                <w:rFonts w:hint="eastAsia" w:ascii="宋体" w:hAnsi="宋体" w:cs="宋体"/>
                <w:bCs/>
                <w:szCs w:val="21"/>
                <w:lang w:bidi="ar"/>
              </w:rPr>
              <w:t xml:space="preserve">价格</w:t>
            </w:r>
            <w:r>
              <w:rPr>
                <w:rFonts w:hint="eastAsia" w:ascii="宋体" w:hAnsi="宋体" w:cs="宋体"/>
                <w:bCs/>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1020"/>
              <w:rPr>
                <w:rFonts w:hint="eastAsia" w:ascii="宋体" w:hAnsi="宋体" w:cs="宋体"/>
                <w:bCs/>
                <w:szCs w:val="21"/>
              </w:rPr>
            </w:pPr>
            <w:r>
              <w:rPr>
                <w:rFonts w:hint="eastAsia" w:ascii="宋体" w:hAnsi="宋体" w:cs="宋体"/>
                <w:bCs/>
                <w:szCs w:val="21"/>
              </w:rPr>
              <w:t xml:space="preserve">采用低价优先法计算，即</w:t>
            </w:r>
            <w:r>
              <w:rPr>
                <w:rFonts w:hint="eastAsia" w:ascii="宋体" w:hAnsi="宋体" w:cs="宋体"/>
                <w:b/>
                <w:bCs/>
                <w:szCs w:val="21"/>
              </w:rPr>
              <w:t xml:space="preserve">满足采购文件要求且响应价格最低的响应报价</w:t>
            </w:r>
            <w:r>
              <w:rPr>
                <w:rFonts w:hint="eastAsia" w:ascii="宋体" w:hAnsi="宋体" w:cs="宋体"/>
                <w:bCs/>
                <w:szCs w:val="21"/>
              </w:rPr>
              <w:t xml:space="preserve">为评标基准价，其价格分为满分。其他供应商的价格分统一按照下列公式计算：报价得分=评标基准价/响应报价×40。（小数点后保留2位）</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b/>
                <w:szCs w:val="21"/>
              </w:rPr>
            </w:pPr>
            <w:r>
              <w:rPr>
                <w:rFonts w:hint="eastAsia" w:ascii="宋体" w:hAnsi="宋体" w:cs="宋体"/>
                <w:bCs/>
                <w:szCs w:val="21"/>
                <w:lang w:bidi="ar"/>
              </w:rPr>
              <w:t xml:space="preserve">40</w:t>
            </w:r>
            <w:r>
              <w:rPr>
                <w:rFonts w:hint="eastAsia" w:ascii="宋体" w:hAnsi="宋体" w:cs="宋体"/>
                <w:b/>
                <w:szCs w:val="21"/>
              </w:rPr>
            </w:r>
            <w:r/>
          </w:p>
        </w:tc>
      </w:tr>
    </w:tbl>
    <w:p>
      <w:pPr>
        <w:pStyle w:val="1020"/>
        <w:spacing w:line="360" w:lineRule="auto"/>
        <w:rPr>
          <w:rFonts w:hint="eastAsia" w:ascii="宋体" w:hAnsi="宋体" w:cs="宋体"/>
          <w:b/>
          <w:szCs w:val="24"/>
        </w:rPr>
      </w:pPr>
      <w:r>
        <w:rPr>
          <w:rFonts w:hint="eastAsia" w:ascii="宋体" w:hAnsi="宋体" w:cs="宋体"/>
          <w:b/>
          <w:szCs w:val="24"/>
        </w:rPr>
      </w:r>
      <w:r/>
    </w:p>
    <w:p>
      <w:pPr>
        <w:pStyle w:val="1020"/>
        <w:numPr>
          <w:ilvl w:val="0"/>
          <w:numId w:val="7"/>
        </w:numPr>
        <w:spacing w:line="360" w:lineRule="auto"/>
        <w:rPr>
          <w:rFonts w:hint="eastAsia" w:ascii="宋体" w:hAnsi="宋体" w:cs="宋体"/>
          <w:b/>
          <w:szCs w:val="24"/>
        </w:rPr>
      </w:pPr>
      <w:r>
        <w:rPr>
          <w:rFonts w:hint="eastAsia" w:ascii="宋体" w:hAnsi="宋体" w:cs="宋体"/>
          <w:b/>
          <w:szCs w:val="24"/>
        </w:rPr>
        <w:t xml:space="preserve">商务部分（23）</w:t>
      </w:r>
      <w:r>
        <w:rPr>
          <w:rFonts w:hint="eastAsia" w:ascii="宋体" w:hAnsi="宋体" w:cs="宋体"/>
          <w:b/>
          <w:szCs w:val="24"/>
        </w:rPr>
      </w:r>
      <w:r/>
    </w:p>
    <w:tbl>
      <w:tblPr>
        <w:tblW w:w="8877" w:type="dxa"/>
        <w:jc w:val="center"/>
        <w:tblInd w:w="-12" w:type="dxa"/>
        <w:tblLayout w:type="autofit"/>
        <w:tblCellMar>
          <w:left w:w="12" w:type="dxa"/>
          <w:top w:w="12" w:type="dxa"/>
          <w:right w:w="12" w:type="dxa"/>
          <w:bottom w:w="0" w:type="dxa"/>
        </w:tblCellMar>
        <w:tblLook w:val="04A0" w:firstRow="1" w:lastRow="0" w:firstColumn="1" w:lastColumn="0" w:noHBand="0" w:noVBand="1"/>
      </w:tblPr>
      <w:tblGrid>
        <w:gridCol w:w="582"/>
        <w:gridCol w:w="1256"/>
        <w:gridCol w:w="6370"/>
        <w:gridCol w:w="669"/>
      </w:tblGrid>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评审因素</w:t>
            </w:r>
            <w:r>
              <w:rPr>
                <w:rFonts w:hint="eastAsia" w:ascii="宋体" w:hAnsi="宋体" w:cs="宋体"/>
                <w:b/>
                <w:bCs/>
                <w:szCs w:val="21"/>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370" w:type="dxa"/>
            <w:vAlign w:val="center"/>
            <w:textDirection w:val="lrTb"/>
            <w:noWrap w:val="false"/>
          </w:tcPr>
          <w:p>
            <w:pPr>
              <w:pStyle w:val="1020"/>
              <w:jc w:val="center"/>
              <w:widowControl/>
              <w:rPr>
                <w:rFonts w:hint="eastAsia" w:ascii="宋体" w:hAnsi="宋体" w:cs="宋体"/>
                <w:b/>
                <w:bCs/>
                <w:szCs w:val="21"/>
                <w:lang w:val="zh-CN"/>
              </w:rPr>
            </w:pPr>
            <w:r>
              <w:rPr>
                <w:rFonts w:hint="eastAsia" w:ascii="宋体" w:hAnsi="宋体" w:cs="宋体"/>
                <w:b/>
                <w:bCs/>
                <w:szCs w:val="21"/>
                <w:lang w:bidi="ar"/>
              </w:rPr>
              <w:t xml:space="preserve">评审细则</w:t>
            </w:r>
            <w:r>
              <w:rPr>
                <w:rFonts w:hint="eastAsia" w:ascii="宋体" w:hAnsi="宋体" w:cs="宋体"/>
                <w:b/>
                <w:bCs/>
                <w:szCs w:val="21"/>
                <w:lang w:val="zh-CN"/>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rPr>
              <w:t xml:space="preserve">项目组人员</w:t>
            </w:r>
            <w:r>
              <w:rPr>
                <w:rFonts w:hint="eastAsia" w:ascii="宋体" w:hAnsi="宋体" w:cs="宋体"/>
                <w:szCs w:val="21"/>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370" w:type="dxa"/>
            <w:vAlign w:val="center"/>
            <w:textDirection w:val="lrTb"/>
            <w:noWrap w:val="false"/>
          </w:tcPr>
          <w:p>
            <w:pPr>
              <w:pStyle w:val="1020"/>
              <w:rPr>
                <w:rFonts w:hint="eastAsia" w:ascii="宋体" w:hAnsi="宋体" w:cs="宋体"/>
              </w:rPr>
            </w:pPr>
            <w:r>
              <w:rPr>
                <w:rFonts w:hint="eastAsia" w:ascii="宋体" w:hAnsi="宋体" w:cs="宋体"/>
              </w:rPr>
              <w:t xml:space="preserve">（1）项目负责人具有工程建设类工程师及以上职称得3分。（提供职称证书</w:t>
            </w:r>
            <w:r>
              <w:rPr>
                <w:rFonts w:hint="eastAsia" w:ascii="宋体" w:hAnsi="宋体" w:cs="宋体"/>
                <w:lang w:eastAsia="zh-CN"/>
              </w:rPr>
              <w:t xml:space="preserve">扫描件加盖电子公章</w:t>
            </w:r>
            <w:r>
              <w:rPr>
                <w:rFonts w:hint="eastAsia" w:ascii="宋体" w:hAnsi="宋体" w:cs="宋体"/>
              </w:rPr>
              <w:t xml:space="preserve">）</w:t>
            </w:r>
            <w:r>
              <w:rPr>
                <w:rFonts w:hint="eastAsia" w:ascii="宋体" w:hAnsi="宋体" w:cs="宋体"/>
              </w:rPr>
            </w:r>
            <w:r/>
          </w:p>
          <w:p>
            <w:pPr>
              <w:pStyle w:val="1020"/>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项目组</w:t>
            </w:r>
            <w:r>
              <w:rPr>
                <w:rFonts w:hint="eastAsia" w:ascii="宋体" w:hAnsi="宋体" w:cs="宋体"/>
              </w:rPr>
              <w:t xml:space="preserve">其他人员（项目负责人除外）</w:t>
            </w:r>
            <w:r>
              <w:rPr>
                <w:rFonts w:hint="eastAsia" w:ascii="宋体" w:hAnsi="宋体" w:cs="宋体"/>
                <w:lang w:val="zh-CN"/>
              </w:rPr>
              <w:t xml:space="preserve">具有包括施工员、</w:t>
            </w:r>
            <w:r>
              <w:rPr>
                <w:rFonts w:hint="eastAsia" w:ascii="宋体" w:hAnsi="宋体" w:cs="宋体"/>
              </w:rPr>
              <w:t xml:space="preserve">预算</w:t>
            </w:r>
            <w:r>
              <w:rPr>
                <w:rFonts w:hint="eastAsia" w:ascii="宋体" w:hAnsi="宋体" w:cs="宋体"/>
                <w:lang w:val="zh-CN"/>
              </w:rPr>
              <w:t xml:space="preserve">员（</w:t>
            </w:r>
            <w:r>
              <w:rPr>
                <w:rFonts w:hint="eastAsia" w:ascii="宋体" w:hAnsi="宋体" w:cs="宋体"/>
              </w:rPr>
              <w:t xml:space="preserve">二级及以上注册造价师</w:t>
            </w:r>
            <w:r>
              <w:rPr>
                <w:rFonts w:hint="eastAsia" w:ascii="宋体" w:hAnsi="宋体" w:cs="宋体"/>
                <w:lang w:val="zh-CN"/>
              </w:rPr>
              <w:t xml:space="preserve">）、安全员、质量员（质检员）具有对应的岗位证书</w:t>
            </w:r>
            <w:r>
              <w:rPr>
                <w:rFonts w:hint="eastAsia" w:ascii="宋体" w:hAnsi="宋体" w:cs="宋体"/>
              </w:rPr>
              <w:t xml:space="preserve">或注册证书</w:t>
            </w:r>
            <w:r>
              <w:rPr>
                <w:rFonts w:hint="eastAsia" w:ascii="宋体" w:hAnsi="宋体" w:cs="宋体"/>
                <w:lang w:val="zh-CN"/>
              </w:rPr>
              <w:t xml:space="preserve">，每提供一个得</w:t>
            </w:r>
            <w:r>
              <w:rPr>
                <w:rFonts w:hint="eastAsia" w:ascii="宋体" w:hAnsi="宋体" w:cs="宋体"/>
              </w:rPr>
              <w:t xml:space="preserve">2</w:t>
            </w:r>
            <w:r>
              <w:rPr>
                <w:rFonts w:hint="eastAsia" w:ascii="宋体" w:hAnsi="宋体" w:cs="宋体"/>
                <w:lang w:val="zh-CN"/>
              </w:rPr>
              <w:t xml:space="preserve">分，满分</w:t>
            </w:r>
            <w:r>
              <w:rPr>
                <w:rFonts w:hint="eastAsia" w:ascii="宋体" w:hAnsi="宋体" w:cs="宋体"/>
              </w:rPr>
              <w:t xml:space="preserve">8</w:t>
            </w:r>
            <w:r>
              <w:rPr>
                <w:rFonts w:hint="eastAsia" w:ascii="宋体" w:hAnsi="宋体" w:cs="宋体"/>
                <w:lang w:val="zh-CN"/>
              </w:rPr>
              <w:t xml:space="preserve">分，未提供不得分。</w:t>
            </w:r>
            <w:r>
              <w:rPr>
                <w:rFonts w:hint="eastAsia" w:ascii="宋体" w:hAnsi="宋体" w:cs="宋体"/>
                <w:lang w:val="zh-CN"/>
              </w:rPr>
            </w:r>
            <w:r/>
          </w:p>
          <w:p>
            <w:pPr>
              <w:pStyle w:val="1020"/>
              <w:rPr>
                <w:rFonts w:hint="eastAsia" w:ascii="宋体" w:hAnsi="宋体" w:cs="宋体"/>
              </w:rPr>
            </w:pPr>
            <w:r>
              <w:rPr>
                <w:rFonts w:hint="eastAsia" w:ascii="宋体" w:hAnsi="宋体" w:cs="宋体"/>
                <w:lang w:val="zh-CN"/>
              </w:rPr>
              <w:t xml:space="preserve">注：上述人员一人只计一证。（提供相关证书扫描件加盖电子公章</w:t>
            </w:r>
            <w:r>
              <w:rPr>
                <w:rFonts w:hint="eastAsia" w:ascii="宋体" w:hAnsi="宋体" w:cs="宋体"/>
              </w:rPr>
              <w:t xml:space="preserve">及供应商为其缴纳的近六个月（2025年11月-2026年4月）任意一个月社保证明材料</w:t>
            </w:r>
            <w:r>
              <w:rPr>
                <w:rFonts w:hint="eastAsia" w:ascii="宋体" w:hAnsi="宋体" w:cs="宋体"/>
                <w:lang w:eastAsia="zh-CN"/>
              </w:rPr>
              <w:t xml:space="preserve">扫描件</w:t>
            </w:r>
            <w:r>
              <w:rPr>
                <w:rFonts w:hint="eastAsia" w:ascii="宋体" w:hAnsi="宋体" w:cs="宋体"/>
              </w:rPr>
              <w:t xml:space="preserve">并</w:t>
            </w:r>
            <w:r>
              <w:rPr>
                <w:rFonts w:hint="eastAsia" w:ascii="宋体" w:hAnsi="宋体" w:cs="宋体"/>
                <w:lang w:eastAsia="zh-CN"/>
              </w:rPr>
              <w:t xml:space="preserve">加盖电子公章</w:t>
            </w:r>
            <w:r>
              <w:rPr>
                <w:rFonts w:hint="eastAsia" w:ascii="宋体" w:hAnsi="宋体" w:cs="宋体"/>
              </w:rPr>
              <w:t xml:space="preserve">，未提供或提供的材料不全的不得分。）</w:t>
            </w: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Mar>
              <w:left w:w="12" w:type="dxa"/>
              <w:top w:w="12" w:type="dxa"/>
              <w:right w:w="12" w:type="dxa"/>
            </w:tcMar>
            <w:tcW w:w="669"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rPr>
                <w:rFonts w:hint="eastAsia" w:ascii="宋体" w:hAnsi="宋体" w:cs="宋体"/>
                <w:szCs w:val="21"/>
                <w:lang w:bidi="ar"/>
              </w:rPr>
            </w:pPr>
            <w:r>
              <w:rPr>
                <w:rFonts w:hint="eastAsia" w:ascii="宋体" w:hAnsi="宋体" w:cs="宋体"/>
                <w:szCs w:val="21"/>
                <w:lang w:bidi="ar"/>
              </w:rPr>
              <w:t xml:space="preserve">业绩</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1020"/>
              <w:rPr>
                <w:rFonts w:hint="eastAsia" w:ascii="宋体" w:hAnsi="宋体" w:cs="宋体"/>
                <w:szCs w:val="21"/>
              </w:rPr>
            </w:pPr>
            <w:r>
              <w:rPr>
                <w:rFonts w:hint="eastAsia" w:ascii="宋体" w:hAnsi="宋体" w:cs="宋体"/>
                <w:szCs w:val="21"/>
              </w:rPr>
              <w:t xml:space="preserve">供应商自2023年</w:t>
            </w:r>
            <w:r>
              <w:rPr>
                <w:rFonts w:hint="eastAsia" w:ascii="宋体" w:hAnsi="宋体" w:cs="宋体"/>
                <w:szCs w:val="21"/>
                <w:lang w:val="en-US" w:eastAsia="zh-CN"/>
              </w:rPr>
              <w:t xml:space="preserve">5</w:t>
            </w:r>
            <w:r>
              <w:rPr>
                <w:rFonts w:hint="eastAsia" w:ascii="宋体" w:hAnsi="宋体" w:cs="宋体"/>
                <w:szCs w:val="21"/>
              </w:rPr>
              <w:t xml:space="preserve">月1日以来（时间以竣工验收证明时间为准）具有类似业绩，每提供一个业绩得3分，最高得12分。</w:t>
            </w:r>
            <w:r>
              <w:rPr>
                <w:rFonts w:hint="eastAsia" w:ascii="宋体" w:hAnsi="宋体" w:cs="宋体"/>
                <w:b/>
                <w:bCs/>
                <w:szCs w:val="21"/>
              </w:rPr>
              <w:t xml:space="preserve">（提供中标</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成交</w:t>
            </w:r>
            <w:r>
              <w:rPr>
                <w:rFonts w:hint="eastAsia" w:ascii="宋体" w:hAnsi="宋体" w:cs="宋体"/>
                <w:b/>
                <w:bCs/>
                <w:szCs w:val="21"/>
                <w:lang w:eastAsia="zh-CN"/>
              </w:rPr>
              <w:t xml:space="preserve">）</w:t>
            </w:r>
            <w:r>
              <w:rPr>
                <w:rFonts w:hint="eastAsia" w:ascii="宋体" w:hAnsi="宋体" w:cs="宋体"/>
                <w:b/>
                <w:bCs/>
                <w:szCs w:val="21"/>
              </w:rPr>
              <w:t xml:space="preserve">通知书、合同、竣工验收证明，三者缺一不可；提供</w:t>
            </w:r>
            <w:r>
              <w:rPr>
                <w:rFonts w:hint="eastAsia" w:ascii="宋体" w:hAnsi="宋体" w:cs="宋体"/>
                <w:b/>
                <w:bCs/>
                <w:szCs w:val="21"/>
                <w:lang w:eastAsia="zh-CN"/>
              </w:rPr>
              <w:t xml:space="preserve">扫描件</w:t>
            </w:r>
            <w:r>
              <w:rPr>
                <w:rFonts w:hint="eastAsia" w:ascii="宋体" w:hAnsi="宋体" w:cs="宋体"/>
                <w:b/>
                <w:bCs/>
                <w:szCs w:val="21"/>
              </w:rPr>
              <w:t xml:space="preserve">并</w:t>
            </w:r>
            <w:r>
              <w:rPr>
                <w:rFonts w:hint="eastAsia" w:ascii="宋体" w:hAnsi="宋体" w:cs="宋体"/>
                <w:b/>
                <w:bCs/>
                <w:szCs w:val="21"/>
                <w:lang w:eastAsia="zh-CN"/>
              </w:rPr>
              <w:t xml:space="preserve">加盖电子公章</w:t>
            </w:r>
            <w:r>
              <w:rPr>
                <w:rFonts w:hint="eastAsia" w:ascii="宋体" w:hAnsi="宋体" w:cs="宋体"/>
                <w:b/>
                <w:bCs/>
                <w:szCs w:val="21"/>
              </w:rPr>
              <w:t xml:space="preserve">）</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szCs w:val="21"/>
                <w:lang w:bidi="ar"/>
              </w:rPr>
            </w:pPr>
            <w:r>
              <w:rPr>
                <w:rFonts w:hint="eastAsia" w:ascii="宋体" w:hAnsi="宋体" w:cs="宋体"/>
                <w:szCs w:val="21"/>
                <w:lang w:bidi="ar"/>
              </w:rPr>
              <w:t xml:space="preserve">12</w:t>
            </w:r>
            <w:r>
              <w:rPr>
                <w:rFonts w:hint="eastAsia" w:ascii="宋体" w:hAnsi="宋体" w:cs="宋体"/>
                <w:szCs w:val="21"/>
                <w:lang w:bidi="ar"/>
              </w:rPr>
            </w:r>
            <w:r/>
          </w:p>
        </w:tc>
      </w:tr>
    </w:tbl>
    <w:p>
      <w:pPr>
        <w:pStyle w:val="1020"/>
        <w:spacing w:line="360" w:lineRule="auto"/>
        <w:rPr>
          <w:rFonts w:hint="eastAsia" w:ascii="宋体" w:hAnsi="宋体" w:cs="宋体"/>
          <w:b/>
          <w:szCs w:val="24"/>
        </w:rPr>
      </w:pPr>
      <w:r>
        <w:rPr>
          <w:rFonts w:hint="eastAsia" w:ascii="宋体" w:hAnsi="宋体" w:cs="宋体"/>
          <w:b/>
          <w:szCs w:val="24"/>
        </w:rPr>
      </w:r>
      <w:r/>
    </w:p>
    <w:p>
      <w:pPr>
        <w:pStyle w:val="1020"/>
        <w:numPr>
          <w:ilvl w:val="0"/>
          <w:numId w:val="7"/>
        </w:numPr>
        <w:spacing w:line="360" w:lineRule="auto"/>
        <w:rPr>
          <w:rFonts w:hint="eastAsia" w:ascii="宋体" w:hAnsi="宋体" w:cs="宋体"/>
          <w:b/>
          <w:szCs w:val="24"/>
        </w:rPr>
      </w:pPr>
      <w:r>
        <w:rPr>
          <w:rFonts w:hint="eastAsia" w:ascii="宋体" w:hAnsi="宋体" w:cs="宋体"/>
          <w:b/>
          <w:szCs w:val="24"/>
        </w:rPr>
        <w:t xml:space="preserve">技术部分（37分）</w:t>
      </w:r>
      <w:r>
        <w:rPr>
          <w:rFonts w:hint="eastAsia" w:ascii="宋体" w:hAnsi="宋体" w:cs="宋体"/>
          <w:b/>
          <w:szCs w:val="24"/>
        </w:rPr>
      </w:r>
      <w:r/>
    </w:p>
    <w:tbl>
      <w:tblPr>
        <w:tblW w:w="8877" w:type="dxa"/>
        <w:jc w:val="center"/>
        <w:tblInd w:w="-12" w:type="dxa"/>
        <w:tblLayout w:type="autofit"/>
        <w:tblCellMar>
          <w:left w:w="12" w:type="dxa"/>
          <w:top w:w="12" w:type="dxa"/>
          <w:right w:w="12" w:type="dxa"/>
          <w:bottom w:w="0" w:type="dxa"/>
        </w:tblCellMar>
        <w:tblLook w:val="04A0" w:firstRow="1" w:lastRow="0" w:firstColumn="1" w:lastColumn="0" w:noHBand="0" w:noVBand="1"/>
      </w:tblPr>
      <w:tblGrid>
        <w:gridCol w:w="582"/>
        <w:gridCol w:w="1256"/>
        <w:gridCol w:w="6370"/>
        <w:gridCol w:w="669"/>
      </w:tblGrid>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评审因素</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1020"/>
              <w:jc w:val="center"/>
              <w:widowControl/>
              <w:rPr>
                <w:rFonts w:hint="eastAsia" w:ascii="宋体" w:hAnsi="宋体" w:cs="宋体"/>
                <w:b/>
                <w:bCs/>
                <w:szCs w:val="21"/>
                <w:lang w:val="zh-CN"/>
              </w:rPr>
            </w:pPr>
            <w:r>
              <w:rPr>
                <w:rFonts w:hint="eastAsia" w:ascii="宋体" w:hAnsi="宋体" w:cs="宋体"/>
                <w:b/>
                <w:bCs/>
                <w:szCs w:val="21"/>
                <w:lang w:bidi="ar"/>
              </w:rPr>
              <w:t xml:space="preserve">评审细则</w:t>
            </w:r>
            <w:r>
              <w:rPr>
                <w:rFonts w:hint="eastAsia" w:ascii="宋体" w:hAnsi="宋体" w:cs="宋体"/>
                <w:b/>
                <w:bCs/>
                <w:szCs w:val="21"/>
                <w:lang w:val="zh-CN"/>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施工总体实施方案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center"/>
            <w:textDirection w:val="lrTb"/>
            <w:noWrap w:val="false"/>
          </w:tcPr>
          <w:p>
            <w:pPr>
              <w:pStyle w:val="1020"/>
              <w:rPr>
                <w:rFonts w:hint="eastAsia" w:ascii="宋体" w:hAnsi="宋体" w:cs="宋体"/>
                <w:lang w:val="zh-TW" w:eastAsia="zh-TW"/>
              </w:rPr>
            </w:pPr>
            <w:r>
              <w:rPr>
                <w:rFonts w:hint="eastAsia" w:ascii="宋体" w:hAnsi="宋体" w:cs="宋体"/>
                <w:lang w:val="zh-TW" w:eastAsia="zh-TW"/>
              </w:rPr>
              <w:t xml:space="preserve">评委根据各供应商提供的项目总体实施方案的清晰性、全面性、合理性、科学性、可行性及针对性进行评分：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（1）总体实施方案表述清晰完整、严谨、科学合理，针对性强、可操作性强的得8分；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（2）总体实施方案表述清晰完整但不够严谨、合理，具有针对性和可操作性的得6分；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（3）总体实施方案表述清晰但不够完整、无针对性，可操作性一般的得4分；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（4）总体实施方案表述不清晰可操作性较差的得2分；</w:t>
            </w:r>
            <w:r>
              <w:rPr>
                <w:rFonts w:hint="eastAsia" w:ascii="宋体" w:hAnsi="宋体" w:cs="宋体"/>
                <w:lang w:val="zh-TW" w:eastAsia="zh-TW"/>
              </w:rPr>
            </w:r>
            <w:r/>
          </w:p>
          <w:p>
            <w:pPr>
              <w:pStyle w:val="1020"/>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施工进度计划和各阶段进度的保证措施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1020"/>
              <w:rPr>
                <w:rFonts w:hint="eastAsia" w:ascii="宋体" w:hAnsi="宋体" w:cs="宋体"/>
                <w:lang w:val="zh-TW" w:eastAsia="zh-TW"/>
              </w:rPr>
            </w:pPr>
            <w:r>
              <w:rPr>
                <w:rFonts w:hint="eastAsia" w:ascii="宋体" w:hAnsi="宋体" w:cs="宋体"/>
                <w:lang w:val="zh-TW" w:eastAsia="zh-TW"/>
              </w:rPr>
              <w:t xml:space="preserve">评委根据各供应商提供的项目进度计划和各阶段进度的保证措施的思路清晰、准确、完整，计划进行评分：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（1）进度计划安排清晰完整、严谨、科学合理，针对性强、可操作性强的得8分；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（2）进度计划安排清晰完整但不够严谨、合理，具有针对性和可操作性的得6分；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（3）进度计划安排清晰但不够完整、无针对性，可操作性一般的得4分；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（4）进度计划安排不清晰可操作性较差的得2分；</w:t>
            </w:r>
            <w:r>
              <w:rPr>
                <w:rFonts w:hint="eastAsia" w:ascii="宋体" w:hAnsi="宋体" w:cs="宋体"/>
                <w:lang w:val="zh-TW" w:eastAsia="zh-TW"/>
              </w:rPr>
            </w:r>
            <w:r/>
          </w:p>
          <w:p>
            <w:pPr>
              <w:pStyle w:val="1020"/>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szCs w:val="21"/>
                <w:lang w:bidi="ar"/>
              </w:rPr>
            </w:pPr>
            <w:r>
              <w:rPr>
                <w:rFonts w:hint="eastAsia" w:ascii="宋体" w:hAnsi="宋体" w:cs="宋体"/>
                <w:szCs w:val="21"/>
                <w:lang w:bidi="ar"/>
              </w:rPr>
            </w:r>
            <w:r/>
          </w:p>
          <w:p>
            <w:pPr>
              <w:pStyle w:val="1020"/>
              <w:jc w:val="center"/>
              <w:widowControl/>
              <w:rPr>
                <w:rFonts w:hint="eastAsia" w:ascii="宋体" w:hAnsi="宋体" w:cs="宋体"/>
                <w:szCs w:val="21"/>
                <w:lang w:bidi="ar"/>
              </w:rPr>
            </w:pPr>
            <w:r>
              <w:rPr>
                <w:rFonts w:hint="eastAsia" w:ascii="宋体" w:hAnsi="宋体" w:cs="宋体"/>
                <w:szCs w:val="21"/>
                <w:lang w:bidi="ar"/>
              </w:rPr>
              <w:t xml:space="preserve">安全、文明施工措施</w:t>
            </w:r>
            <w:r>
              <w:rPr>
                <w:rFonts w:hint="eastAsia" w:ascii="宋体" w:hAnsi="宋体" w:cs="宋体"/>
                <w:szCs w:val="21"/>
                <w:lang w:bidi="ar"/>
              </w:rPr>
            </w:r>
            <w:r/>
          </w:p>
          <w:p>
            <w:pPr>
              <w:pStyle w:val="102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1020"/>
              <w:rPr>
                <w:rFonts w:hint="eastAsia" w:ascii="宋体" w:hAnsi="宋体" w:cs="宋体"/>
                <w:lang w:val="zh-TW" w:eastAsia="zh-TW"/>
              </w:rPr>
            </w:pPr>
            <w:r>
              <w:rPr>
                <w:rFonts w:hint="eastAsia" w:ascii="宋体" w:hAnsi="宋体" w:cs="宋体"/>
                <w:lang w:val="zh-TW" w:eastAsia="zh-TW"/>
              </w:rPr>
              <w:t xml:space="preserve">评委根据供应商提供的针对本项目安全文明措施的规范性、全面性、合理性、针对性、具体性、可靠性</w:t>
            </w:r>
            <w:r>
              <w:rPr>
                <w:rFonts w:hint="eastAsia" w:ascii="宋体" w:hAnsi="宋体" w:cs="宋体"/>
                <w:lang w:val="zh-TW"/>
              </w:rPr>
              <w:t xml:space="preserve">及</w:t>
            </w:r>
            <w:r>
              <w:rPr>
                <w:rFonts w:hint="eastAsia" w:ascii="宋体" w:hAnsi="宋体" w:cs="宋体"/>
                <w:lang w:val="zh-TW" w:eastAsia="zh-TW"/>
              </w:rPr>
              <w:t xml:space="preserve">操作规程科学性进行评分：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（1）安全文明措施表述清晰完整、严谨、科学合理，针对性强、可操作性强的得</w:t>
            </w:r>
            <w:r>
              <w:rPr>
                <w:rFonts w:hint="eastAsia" w:ascii="宋体" w:hAnsi="宋体" w:cs="宋体"/>
              </w:rPr>
              <w:t xml:space="preserve">7</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（2）安全文明措施表述清晰完整但不够严谨、合理，具有针对性和可操作性的得</w:t>
            </w:r>
            <w:r>
              <w:rPr>
                <w:rFonts w:hint="eastAsia" w:ascii="宋体" w:hAnsi="宋体" w:cs="宋体"/>
              </w:rPr>
              <w:t xml:space="preserve">5</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（3）安全文明措施表述清晰但不够完整、无针对性，可操作性一般的得</w:t>
            </w:r>
            <w:r>
              <w:rPr>
                <w:rFonts w:hint="eastAsia" w:ascii="宋体" w:hAnsi="宋体" w:cs="宋体"/>
              </w:rPr>
              <w:t xml:space="preserve">3</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（4）安全文明措施表述不完整可操作性较差的得</w:t>
            </w:r>
            <w:r>
              <w:rPr>
                <w:rFonts w:hint="eastAsia" w:ascii="宋体" w:hAnsi="宋体" w:cs="宋体"/>
              </w:rPr>
              <w:t xml:space="preserve">1</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施工质量保证措施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1020"/>
              <w:rPr>
                <w:rFonts w:hint="eastAsia" w:ascii="宋体" w:hAnsi="宋体" w:cs="宋体"/>
                <w:lang w:val="zh-TW" w:eastAsia="zh-TW"/>
              </w:rPr>
            </w:pPr>
            <w:r>
              <w:rPr>
                <w:rFonts w:hint="eastAsia" w:ascii="宋体" w:hAnsi="宋体" w:cs="宋体"/>
                <w:lang w:val="zh-TW" w:eastAsia="zh-TW"/>
              </w:rPr>
              <w:t xml:space="preserve">评委根据供应商提供的针对本项目质量保证体系及措施符合规范要求，各项措施方法可靠、详尽，有质量保证承诺等进行评分： </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（1）质量保证体系及措施表述清晰完整、严谨、科学合理，针对性强、可操作性强的得</w:t>
            </w:r>
            <w:r>
              <w:rPr>
                <w:rFonts w:hint="eastAsia" w:ascii="宋体" w:hAnsi="宋体" w:cs="宋体"/>
              </w:rPr>
              <w:t xml:space="preserve">7</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（2）质量保证体系及措施表述清晰完整但不够严谨、合理，具有针对性和可操作性的得</w:t>
            </w:r>
            <w:r>
              <w:rPr>
                <w:rFonts w:hint="eastAsia" w:ascii="宋体" w:hAnsi="宋体" w:cs="宋体"/>
              </w:rPr>
              <w:t xml:space="preserve">5</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（3）质量保证体系及措施表述清晰但不够完整、无针对性，可操作性一般的得</w:t>
            </w:r>
            <w:r>
              <w:rPr>
                <w:rFonts w:hint="eastAsia" w:ascii="宋体" w:hAnsi="宋体" w:cs="宋体"/>
              </w:rPr>
              <w:t xml:space="preserve">3</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（4）质量保证体系及措施表述不完整可操作性较差的得</w:t>
            </w:r>
            <w:r>
              <w:rPr>
                <w:rFonts w:hint="eastAsia" w:ascii="宋体" w:hAnsi="宋体" w:cs="宋体"/>
              </w:rPr>
              <w:t xml:space="preserve">1</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582" w:type="dxa"/>
            <w:vAlign w:val="center"/>
            <w:textDirection w:val="lrTb"/>
            <w:noWrap w:val="false"/>
          </w:tcPr>
          <w:p>
            <w:pPr>
              <w:pStyle w:val="1020"/>
              <w:jc w:val="center"/>
              <w:widowControl/>
              <w:rPr>
                <w:rFonts w:hint="eastAsia"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56" w:type="dxa"/>
            <w:vAlign w:val="center"/>
            <w:textDirection w:val="lrTb"/>
            <w:noWrap w:val="false"/>
          </w:tcPr>
          <w:p>
            <w:pPr>
              <w:pStyle w:val="1020"/>
              <w:jc w:val="center"/>
              <w:widowControl/>
              <w:rPr>
                <w:rFonts w:hint="eastAsia" w:ascii="宋体" w:hAnsi="宋体" w:cs="宋体"/>
                <w:szCs w:val="21"/>
                <w:lang w:bidi="ar"/>
              </w:rPr>
            </w:pPr>
            <w:r>
              <w:rPr>
                <w:rFonts w:hint="eastAsia" w:ascii="宋体" w:hAnsi="宋体" w:cs="宋体"/>
                <w:lang w:val="zh-TW" w:eastAsia="zh-TW"/>
              </w:rPr>
              <w:t xml:space="preserve">关键施工技术、工艺及工程项目实施的重点、难点和解决方案</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70" w:type="dxa"/>
            <w:vAlign w:val="top"/>
            <w:textDirection w:val="lrTb"/>
            <w:noWrap w:val="false"/>
          </w:tcPr>
          <w:p>
            <w:pPr>
              <w:pStyle w:val="1020"/>
              <w:rPr>
                <w:rFonts w:hint="eastAsia" w:ascii="宋体" w:hAnsi="宋体" w:cs="宋体"/>
                <w:lang w:val="zh-TW" w:eastAsia="zh-TW"/>
              </w:rPr>
            </w:pPr>
            <w:r>
              <w:rPr>
                <w:rFonts w:hint="eastAsia" w:ascii="宋体" w:hAnsi="宋体" w:cs="宋体"/>
                <w:lang w:val="zh-TW" w:eastAsia="zh-TW"/>
              </w:rPr>
              <w:t xml:space="preserve">评委根据供应商提供的针对本项目关键施工技术、工艺及工程项目实施的重点、难点和解决方案进行评分：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（1）关键方案表述清晰完整、严谨、科学合理，针对性强、可操作性强的得</w:t>
            </w:r>
            <w:r>
              <w:rPr>
                <w:rFonts w:hint="eastAsia" w:ascii="宋体" w:hAnsi="宋体" w:cs="宋体"/>
              </w:rPr>
              <w:t xml:space="preserve">7</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（2）关键方案表述清晰完整但不够严谨、合理，具有针对性和可操作性的得</w:t>
            </w:r>
            <w:r>
              <w:rPr>
                <w:rFonts w:hint="eastAsia" w:ascii="宋体" w:hAnsi="宋体" w:cs="宋体"/>
              </w:rPr>
              <w:t xml:space="preserve">5</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（3）关键方案表述清晰但不够完整、无针对性，可操作性一般的得</w:t>
            </w:r>
            <w:r>
              <w:rPr>
                <w:rFonts w:hint="eastAsia" w:ascii="宋体" w:hAnsi="宋体" w:cs="宋体"/>
              </w:rPr>
              <w:t xml:space="preserve">3</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lang w:val="zh-TW" w:eastAsia="zh-TW"/>
              </w:rPr>
            </w:pPr>
            <w:r>
              <w:rPr>
                <w:rFonts w:hint="eastAsia" w:ascii="宋体" w:hAnsi="宋体" w:cs="宋体"/>
                <w:lang w:val="zh-TW" w:eastAsia="zh-TW"/>
              </w:rPr>
              <w:t xml:space="preserve">（4）关键方案表述不清晰可操作性较差的得</w:t>
            </w:r>
            <w:r>
              <w:rPr>
                <w:rFonts w:hint="eastAsia" w:ascii="宋体" w:hAnsi="宋体" w:cs="宋体"/>
              </w:rPr>
              <w:t xml:space="preserve">1</w:t>
            </w:r>
            <w:r>
              <w:rPr>
                <w:rFonts w:hint="eastAsia" w:ascii="宋体" w:hAnsi="宋体" w:cs="宋体"/>
                <w:lang w:val="zh-TW" w:eastAsia="zh-TW"/>
              </w:rPr>
              <w:t xml:space="preserve">分；</w:t>
            </w:r>
            <w:r>
              <w:rPr>
                <w:rFonts w:hint="eastAsia" w:ascii="宋体" w:hAnsi="宋体" w:cs="宋体"/>
                <w:lang w:val="zh-TW" w:eastAsia="zh-TW"/>
              </w:rPr>
            </w:r>
            <w:r/>
          </w:p>
          <w:p>
            <w:pPr>
              <w:pStyle w:val="1020"/>
              <w:rPr>
                <w:rFonts w:hint="eastAsia" w:ascii="宋体" w:hAnsi="宋体" w:cs="宋体"/>
              </w:rPr>
            </w:pPr>
            <w:r>
              <w:rPr>
                <w:rFonts w:hint="eastAsia" w:ascii="宋体" w:hAnsi="宋体" w:cs="宋体"/>
                <w:lang w:val="zh-TW" w:eastAsia="zh-TW"/>
              </w:rPr>
              <w:t xml:space="preserve">（5）未提供不得分。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69" w:type="dxa"/>
            <w:vAlign w:val="center"/>
            <w:textDirection w:val="lrTb"/>
            <w:noWrap w:val="false"/>
          </w:tcPr>
          <w:p>
            <w:pPr>
              <w:pStyle w:val="1020"/>
              <w:jc w:val="center"/>
              <w:widowControl/>
              <w:rPr>
                <w:rFonts w:hint="eastAsia"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r>
            <w:r/>
          </w:p>
        </w:tc>
      </w:tr>
    </w:tbl>
    <w:p>
      <w:pPr>
        <w:pStyle w:val="1020"/>
        <w:spacing w:line="360" w:lineRule="auto"/>
        <w:rPr>
          <w:rFonts w:hint="eastAsia" w:ascii="宋体" w:hAnsi="宋体" w:cs="宋体"/>
          <w:b/>
          <w:szCs w:val="24"/>
        </w:rPr>
      </w:pPr>
      <w:r>
        <w:rPr>
          <w:rFonts w:hint="eastAsia" w:ascii="宋体" w:hAnsi="宋体" w:cs="宋体"/>
          <w:b/>
          <w:szCs w:val="24"/>
        </w:rPr>
      </w:r>
      <w:r/>
    </w:p>
    <w:p>
      <w:pPr>
        <w:pStyle w:val="1020"/>
        <w:spacing w:line="360" w:lineRule="auto"/>
        <w:rPr>
          <w:rFonts w:hint="eastAsia" w:ascii="宋体" w:hAnsi="宋体" w:cs="宋体"/>
          <w:b/>
          <w:szCs w:val="24"/>
        </w:rPr>
      </w:pPr>
      <w:r>
        <w:rPr>
          <w:rFonts w:hint="eastAsia" w:ascii="宋体" w:hAnsi="宋体" w:cs="宋体"/>
          <w:b/>
          <w:szCs w:val="24"/>
        </w:rPr>
        <w:t xml:space="preserve">说明：</w:t>
      </w:r>
      <w:r>
        <w:rPr>
          <w:rFonts w:hint="eastAsia" w:ascii="宋体" w:hAnsi="宋体" w:cs="宋体"/>
          <w:b/>
          <w:szCs w:val="24"/>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1、所有认证、证明和业绩均以有效清晰的证明文件的</w:t>
      </w:r>
      <w:r>
        <w:rPr>
          <w:rFonts w:hint="eastAsia" w:ascii="宋体" w:hAnsi="宋体" w:cs="宋体"/>
          <w:b/>
          <w:bCs/>
          <w:szCs w:val="21"/>
          <w:lang w:eastAsia="zh-CN"/>
        </w:rPr>
        <w:t xml:space="preserve">扫描件</w:t>
      </w:r>
      <w:r>
        <w:rPr>
          <w:rFonts w:hint="eastAsia" w:ascii="宋体" w:hAnsi="宋体" w:cs="宋体"/>
          <w:b/>
          <w:bCs/>
          <w:szCs w:val="21"/>
          <w:lang w:val="en-US" w:eastAsia="zh-CN"/>
        </w:rPr>
        <w:t xml:space="preserve">加盖电子公章</w:t>
      </w:r>
      <w:r>
        <w:rPr>
          <w:rFonts w:hint="eastAsia" w:ascii="宋体" w:hAnsi="宋体" w:cs="宋体"/>
          <w:b/>
          <w:bCs/>
          <w:szCs w:val="21"/>
        </w:rPr>
        <w:t xml:space="preserve">为依据。</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bookmarkStart w:id="24" w:name="_Hlk213935423"/>
      <w:r>
        <w:rPr>
          <w:rFonts w:hint="eastAsia" w:ascii="宋体" w:hAnsi="宋体" w:cs="宋体"/>
          <w:b/>
          <w:bCs/>
          <w:szCs w:val="21"/>
        </w:rPr>
        <w:t xml:space="preserve">2.小微企业价格扣除</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2.1对于专门面向中小企业或小型、微型企业的项目，只面向中小企业或小型、微型企业采购。对于非专门面向中小企业的项目，对小型和微型企业的价格给予5%的扣除，用扣除后的价格参与评审。</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2.2大中型企业和其他自然人、法人或者其他组织与小型、微型企业组成联合体共同参加响应，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2.3 小企业（含小型、微型企业）应当提供《中小企业声明函》，且符合《政府采购促进中小企业发展管理办法》（财库〔2020〕46号）的相关规定。</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3.监狱和戒毒企业的价格扣除</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3.1 本项目对监狱和戒毒企业，给予5%的价格扣除，用扣除后的价格参与评审。</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3.2 监狱企业需提供由省级以上监狱管理局、戒毒管理局（含新疆生产建设兵团）出具的属于监狱企业的证明文件。</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3.3 监狱企业标准请参照《关于政府采购支持监狱企业发展有关问题的通知》（财库〔2014〕68号）。</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4.残疾人福利性单位的价格扣除</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4.1 本项目对残疾人福利性单位，给予5%的价格扣除，用扣除后的价格参与评审。</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4.2 残疾人福利性单位需提供《残疾人福利性单位声明函》</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4.3 残疾人福利性单位标准请参照《关于促进残疾人就业政府采购政策的通知》（财库〔2017〕141号）。</w:t>
      </w:r>
      <w:r>
        <w:rPr>
          <w:rFonts w:hint="eastAsia" w:ascii="宋体" w:hAnsi="宋体" w:cs="宋体"/>
          <w:b/>
          <w:bCs/>
          <w:szCs w:val="21"/>
        </w:rPr>
      </w:r>
      <w:r/>
    </w:p>
    <w:p>
      <w:pPr>
        <w:pStyle w:val="1020"/>
        <w:ind w:firstLine="422"/>
        <w:spacing w:line="360" w:lineRule="auto"/>
        <w:widowControl/>
        <w:rPr>
          <w:rFonts w:hint="eastAsia" w:ascii="宋体" w:hAnsi="宋体" w:cs="宋体"/>
          <w:b/>
          <w:bCs/>
          <w:szCs w:val="21"/>
        </w:rPr>
      </w:pPr>
      <w:r>
        <w:rPr>
          <w:rFonts w:hint="eastAsia" w:ascii="宋体" w:hAnsi="宋体" w:cs="宋体"/>
          <w:b/>
          <w:bCs/>
          <w:szCs w:val="21"/>
        </w:rPr>
        <w:t xml:space="preserve">5. 监狱企业、残疾人福利性单位属于小型、微型企业的，不重复享受政策。</w:t>
      </w:r>
      <w:bookmarkEnd w:id="24"/>
      <w:r>
        <w:rPr>
          <w:rFonts w:hint="eastAsia" w:ascii="宋体" w:hAnsi="宋体" w:cs="宋体"/>
          <w:b/>
          <w:bCs/>
          <w:szCs w:val="21"/>
        </w:rPr>
      </w:r>
      <w:r/>
    </w:p>
    <w:p>
      <w:pPr>
        <w:pStyle w:val="1020"/>
        <w:ind w:firstLine="420"/>
        <w:spacing w:line="360" w:lineRule="auto"/>
        <w:rPr>
          <w:rFonts w:hint="eastAsia" w:ascii="宋体" w:hAnsi="宋体" w:cs="宋体"/>
          <w:bCs/>
        </w:rPr>
      </w:pPr>
      <w:r>
        <w:rPr>
          <w:rFonts w:hint="eastAsia" w:ascii="宋体" w:hAnsi="宋体" w:cs="宋体"/>
          <w:bCs/>
        </w:rPr>
      </w:r>
      <w:r/>
    </w:p>
    <w:p>
      <w:pPr>
        <w:pStyle w:val="1302"/>
        <w:rPr>
          <w:rFonts w:hint="eastAsia" w:ascii="宋体" w:hAnsi="宋体" w:cs="宋体"/>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宋体" w:hAnsi="宋体" w:cs="宋体"/>
        </w:rPr>
        <w:br w:type="page" w:clear="all"/>
      </w:r>
      <w:r/>
    </w:p>
    <w:p>
      <w:pPr>
        <w:pStyle w:val="1100"/>
        <w:rPr>
          <w:rFonts w:hint="eastAsia" w:ascii="宋体" w:hAnsi="宋体" w:cs="宋体"/>
          <w:lang w:val="zh-CN"/>
        </w:rPr>
      </w:pPr>
      <w:r/>
      <w:bookmarkStart w:id="25" w:name="_Toc7631"/>
      <w:r>
        <w:rPr>
          <w:rFonts w:hint="eastAsia" w:ascii="宋体" w:hAnsi="宋体" w:cs="宋体"/>
        </w:rPr>
        <w:br w:type="page" w:clear="all"/>
      </w:r>
      <w:r>
        <w:rPr>
          <w:rFonts w:hint="eastAsia" w:ascii="宋体" w:hAnsi="宋体" w:cs="宋体"/>
        </w:rPr>
        <w:t xml:space="preserve">第四章 </w:t>
      </w:r>
      <w:r>
        <w:rPr>
          <w:rFonts w:hint="eastAsia" w:ascii="宋体" w:hAnsi="宋体" w:cs="宋体"/>
          <w:lang w:val="zh-CN"/>
        </w:rPr>
        <w:t xml:space="preserve">采购需求</w:t>
      </w:r>
      <w:bookmarkEnd w:id="25"/>
      <w:r>
        <w:rPr>
          <w:rFonts w:hint="eastAsia" w:ascii="宋体" w:hAnsi="宋体" w:cs="宋体"/>
          <w:lang w:val="zh-CN"/>
        </w:rPr>
      </w:r>
      <w:r/>
    </w:p>
    <w:p>
      <w:pPr>
        <w:pStyle w:val="1020"/>
        <w:spacing w:line="360" w:lineRule="auto"/>
        <w:rPr>
          <w:rFonts w:hint="eastAsia" w:ascii="宋体" w:hAnsi="宋体" w:cs="宋体"/>
          <w:b/>
          <w:bCs/>
          <w:szCs w:val="16"/>
        </w:rPr>
      </w:pPr>
      <w:r>
        <w:rPr>
          <w:rFonts w:hint="eastAsia" w:ascii="宋体" w:hAnsi="宋体" w:cs="宋体"/>
          <w:b/>
          <w:bCs/>
          <w:szCs w:val="16"/>
        </w:rPr>
        <w:t xml:space="preserve">一、项目概况</w:t>
      </w:r>
      <w:r>
        <w:rPr>
          <w:rFonts w:hint="eastAsia" w:ascii="宋体" w:hAnsi="宋体" w:cs="宋体"/>
          <w:b/>
          <w:bCs/>
          <w:szCs w:val="16"/>
        </w:rPr>
      </w:r>
      <w:r/>
    </w:p>
    <w:p>
      <w:pPr>
        <w:pStyle w:val="1020"/>
        <w:ind w:firstLine="420"/>
        <w:spacing w:line="360" w:lineRule="auto"/>
        <w:rPr>
          <w:rFonts w:hint="eastAsia" w:ascii="宋体" w:hAnsi="宋体" w:cs="宋体"/>
          <w:szCs w:val="21"/>
        </w:rPr>
      </w:pPr>
      <w:r>
        <w:rPr>
          <w:rFonts w:hint="eastAsia" w:ascii="宋体" w:hAnsi="宋体" w:cs="宋体"/>
          <w:szCs w:val="16"/>
        </w:rPr>
        <w:t xml:space="preserve">1.项目名称：</w:t>
      </w:r>
      <w:r>
        <w:rPr>
          <w:rFonts w:hint="eastAsia" w:ascii="宋体" w:hAnsi="宋体" w:cs="宋体"/>
          <w:szCs w:val="21"/>
        </w:rPr>
        <w:t xml:space="preserve">人体结构教学科普馆场馆改造</w:t>
      </w:r>
      <w:r>
        <w:rPr>
          <w:rFonts w:hint="eastAsia" w:ascii="宋体" w:hAnsi="宋体" w:cs="宋体"/>
          <w:szCs w:val="21"/>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2.项目内容：</w:t>
      </w:r>
      <w:r>
        <w:rPr>
          <w:rFonts w:hint="eastAsia" w:ascii="宋体" w:hAnsi="宋体" w:cs="宋体"/>
        </w:rPr>
        <w:t xml:space="preserve">包含装饰、暖通、电气等，</w:t>
      </w:r>
      <w:r>
        <w:rPr>
          <w:rFonts w:hint="eastAsia" w:ascii="宋体" w:hAnsi="宋体" w:cs="宋体"/>
          <w:szCs w:val="21"/>
        </w:rPr>
        <w:t xml:space="preserve">具体详见图纸及工程量清单。</w:t>
      </w:r>
      <w:r>
        <w:rPr>
          <w:rFonts w:hint="eastAsia" w:ascii="宋体" w:hAnsi="宋体" w:cs="宋体"/>
          <w:szCs w:val="16"/>
        </w:rPr>
      </w:r>
      <w:r/>
    </w:p>
    <w:p>
      <w:pPr>
        <w:pStyle w:val="1020"/>
        <w:spacing w:line="360" w:lineRule="auto"/>
        <w:rPr>
          <w:rFonts w:hint="eastAsia" w:ascii="宋体" w:hAnsi="宋体" w:cs="宋体"/>
          <w:b/>
          <w:bCs/>
          <w:szCs w:val="16"/>
        </w:rPr>
      </w:pPr>
      <w:r>
        <w:rPr>
          <w:rFonts w:hint="eastAsia" w:ascii="宋体" w:hAnsi="宋体" w:cs="宋体"/>
          <w:b/>
          <w:bCs/>
          <w:szCs w:val="16"/>
        </w:rPr>
        <w:t xml:space="preserve">二、工程质量、材料等的特殊要求</w:t>
      </w:r>
      <w:r>
        <w:rPr>
          <w:rFonts w:hint="eastAsia" w:ascii="宋体" w:hAnsi="宋体" w:cs="宋体"/>
          <w:b/>
          <w:bCs/>
          <w:szCs w:val="16"/>
        </w:rPr>
      </w:r>
      <w:r/>
    </w:p>
    <w:p>
      <w:pPr>
        <w:pStyle w:val="1020"/>
        <w:ind w:firstLine="485"/>
        <w:spacing w:line="360" w:lineRule="auto"/>
        <w:rPr>
          <w:rFonts w:hint="eastAsia" w:ascii="宋体" w:hAnsi="宋体" w:cs="宋体"/>
        </w:rPr>
      </w:pPr>
      <w:r>
        <w:rPr>
          <w:rFonts w:hint="eastAsia" w:ascii="宋体" w:hAnsi="宋体" w:cs="宋体"/>
          <w:szCs w:val="16"/>
        </w:rPr>
        <w:t xml:space="preserve">工程质量和设备的技术性能须满足采购文件、设计文件及相关规范的要求。工程量</w:t>
      </w:r>
      <w:r>
        <w:rPr>
          <w:rFonts w:hint="eastAsia" w:ascii="宋体" w:hAnsi="宋体" w:cs="宋体"/>
          <w:szCs w:val="21"/>
        </w:rPr>
        <w:t xml:space="preserve">清单中列出的为主要项目和材料清单，报价时需包含但不限于工程量清单中工程所需的其它零星或辅助材料。</w:t>
      </w:r>
      <w:r>
        <w:rPr>
          <w:rFonts w:hint="eastAsia" w:ascii="宋体" w:hAnsi="宋体" w:cs="宋体"/>
        </w:rPr>
      </w:r>
      <w:r/>
    </w:p>
    <w:p>
      <w:pPr>
        <w:pStyle w:val="1020"/>
        <w:spacing w:line="360" w:lineRule="auto"/>
        <w:rPr>
          <w:rFonts w:hint="eastAsia" w:ascii="宋体" w:hAnsi="宋体" w:cs="宋体"/>
          <w:b/>
          <w:bCs/>
          <w:szCs w:val="16"/>
        </w:rPr>
      </w:pPr>
      <w:r>
        <w:rPr>
          <w:rFonts w:hint="eastAsia" w:ascii="宋体" w:hAnsi="宋体" w:cs="宋体"/>
          <w:b/>
          <w:bCs/>
          <w:szCs w:val="16"/>
        </w:rPr>
        <w:t xml:space="preserve">三、工期</w:t>
      </w:r>
      <w:r>
        <w:rPr>
          <w:rFonts w:hint="eastAsia" w:ascii="宋体" w:hAnsi="宋体" w:cs="宋体"/>
          <w:b/>
          <w:bCs/>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施工日期为</w:t>
      </w:r>
      <w:r>
        <w:rPr>
          <w:rFonts w:hint="eastAsia" w:ascii="宋体" w:hAnsi="宋体" w:cs="宋体"/>
          <w:b/>
          <w:bCs/>
          <w:szCs w:val="16"/>
          <w:u w:val="single"/>
        </w:rPr>
        <w:t xml:space="preserve"> 45 </w:t>
      </w:r>
      <w:r>
        <w:rPr>
          <w:rFonts w:hint="eastAsia" w:ascii="宋体" w:hAnsi="宋体" w:cs="宋体"/>
          <w:szCs w:val="16"/>
        </w:rPr>
        <w:t xml:space="preserve">日历天。开工日期以采购人通知为准。</w:t>
      </w:r>
      <w:r>
        <w:rPr>
          <w:rFonts w:hint="eastAsia" w:ascii="宋体" w:hAnsi="宋体" w:cs="宋体"/>
          <w:szCs w:val="16"/>
        </w:rPr>
      </w:r>
      <w:r/>
    </w:p>
    <w:p>
      <w:pPr>
        <w:pStyle w:val="1020"/>
        <w:spacing w:line="360" w:lineRule="auto"/>
        <w:rPr>
          <w:rFonts w:hint="eastAsia" w:ascii="宋体" w:hAnsi="宋体" w:cs="宋体"/>
          <w:b/>
          <w:bCs/>
          <w:szCs w:val="16"/>
        </w:rPr>
      </w:pPr>
      <w:r>
        <w:rPr>
          <w:rFonts w:hint="eastAsia" w:ascii="宋体" w:hAnsi="宋体" w:cs="宋体"/>
          <w:b/>
          <w:bCs/>
          <w:szCs w:val="16"/>
        </w:rPr>
        <w:t xml:space="preserve">四、采购工程量清单及图纸</w:t>
      </w:r>
      <w:r>
        <w:rPr>
          <w:rFonts w:hint="eastAsia" w:ascii="宋体" w:hAnsi="宋体" w:cs="宋体"/>
          <w:b/>
          <w:bCs/>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登录百度网盘下载</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链接: https://pan.baidu.com/s/1KCQlijA199asRRIR6KoUHw?pwd=fdt2 </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提取码: fdt2</w:t>
      </w:r>
      <w:r>
        <w:rPr>
          <w:rFonts w:hint="eastAsia" w:ascii="宋体" w:hAnsi="宋体" w:cs="宋体"/>
          <w:szCs w:val="16"/>
        </w:rPr>
      </w:r>
      <w:r/>
    </w:p>
    <w:p>
      <w:pPr>
        <w:pStyle w:val="1100"/>
        <w:jc w:val="left"/>
        <w:spacing w:before="0" w:after="0" w:line="360" w:lineRule="auto"/>
        <w:rPr>
          <w:rFonts w:hint="eastAsia" w:ascii="宋体" w:hAnsi="宋体" w:cs="宋体"/>
          <w:sz w:val="21"/>
          <w:szCs w:val="16"/>
        </w:rPr>
      </w:pPr>
      <w:r>
        <w:rPr>
          <w:rFonts w:hint="eastAsia" w:ascii="宋体" w:hAnsi="宋体" w:cs="宋体"/>
          <w:sz w:val="21"/>
          <w:szCs w:val="16"/>
        </w:rPr>
        <w:t xml:space="preserve">五、商务要求</w:t>
      </w:r>
      <w:r>
        <w:rPr>
          <w:rFonts w:hint="eastAsia" w:ascii="宋体" w:hAnsi="宋体" w:cs="宋体"/>
          <w:sz w:val="21"/>
          <w:szCs w:val="16"/>
        </w:rPr>
      </w:r>
      <w:r/>
    </w:p>
    <w:p>
      <w:pPr>
        <w:pStyle w:val="1020"/>
        <w:ind w:firstLine="210"/>
        <w:spacing w:line="360" w:lineRule="auto"/>
        <w:rPr>
          <w:rFonts w:hint="eastAsia" w:ascii="宋体" w:hAnsi="宋体" w:cs="宋体"/>
          <w:szCs w:val="16"/>
        </w:rPr>
      </w:pPr>
      <w:r>
        <w:rPr>
          <w:rFonts w:hint="eastAsia" w:ascii="宋体" w:hAnsi="宋体" w:cs="宋体"/>
          <w:szCs w:val="16"/>
        </w:rPr>
        <w:t xml:space="preserve">1.合同价款支付</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（1）合同签订后，发包人向承包人支付合同总价30%的预付款；</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（2）工程完工验收合格待所有资料移交发包人后，付至合同总价（扣除暂列金及专业工程暂估价）的70%；</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（3）承包人提供竣工结算报告及完整的结算资料，发包人组织结算及审计，审计完成后付至工程审定价款的97%；</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（4）剩余3%，待质保期满后无息付清。</w:t>
      </w:r>
      <w:r>
        <w:rPr>
          <w:rFonts w:hint="eastAsia" w:ascii="宋体" w:hAnsi="宋体" w:cs="宋体"/>
          <w:szCs w:val="16"/>
        </w:rPr>
      </w:r>
      <w:r/>
    </w:p>
    <w:p>
      <w:pPr>
        <w:pStyle w:val="1020"/>
        <w:ind w:firstLine="420"/>
        <w:spacing w:line="360" w:lineRule="auto"/>
        <w:rPr>
          <w:rFonts w:hint="eastAsia" w:ascii="宋体" w:hAnsi="宋体" w:cs="宋体"/>
          <w:szCs w:val="16"/>
        </w:rPr>
      </w:pPr>
      <w:r>
        <w:rPr>
          <w:rFonts w:hint="eastAsia" w:ascii="宋体" w:hAnsi="宋体" w:cs="宋体"/>
          <w:szCs w:val="16"/>
        </w:rPr>
        <w:t xml:space="preserve">备注：每次付款前，承包人应提供当地税务部门认可的等额正规发票，否则发包人有权延期支付相应款项。</w:t>
      </w:r>
      <w:r>
        <w:rPr>
          <w:rFonts w:hint="eastAsia" w:ascii="宋体" w:hAnsi="宋体" w:cs="宋体"/>
          <w:szCs w:val="16"/>
        </w:rPr>
      </w:r>
      <w:r/>
    </w:p>
    <w:p>
      <w:pPr>
        <w:pStyle w:val="1055"/>
        <w:ind w:firstLine="210"/>
        <w:spacing w:line="360" w:lineRule="auto"/>
        <w:rPr>
          <w:rFonts w:hint="eastAsia" w:ascii="宋体" w:hAnsi="宋体" w:cs="宋体"/>
          <w:bCs/>
          <w:sz w:val="21"/>
          <w:szCs w:val="21"/>
        </w:rPr>
      </w:pPr>
      <w:r>
        <w:rPr>
          <w:rFonts w:hint="eastAsia" w:ascii="宋体" w:hAnsi="宋体" w:cs="宋体"/>
          <w:bCs/>
          <w:sz w:val="21"/>
          <w:szCs w:val="21"/>
        </w:rPr>
        <w:t xml:space="preserve">2.履约保证金</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（1）履约担保的形式：履约保证金应以公对公转账的方式缴纳</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（2）履约担保的金额：</w:t>
      </w:r>
      <w:r>
        <w:rPr>
          <w:rFonts w:hint="eastAsia"/>
        </w:rPr>
        <w:t xml:space="preserve">合同金额的5%</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成交供应商在收到成交通知书后，合同签订之前，须向采购人足额提交履约保证金，否则采购人可以取消其成交资格。</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（3）履约保证金的退还：项目完成并验收合格后，成交供应商凭采购人使用部门同意退还履约保证金的证明、汇款凭证到采购人财务处办理履约保证金退还手续(无息退还)。</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开户名称：江苏卫生健康职业学院</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开 户 行：中国工商银行南京江北新区分行</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账   号：4301015619100120908</w:t>
      </w:r>
      <w:r>
        <w:rPr>
          <w:rFonts w:hint="eastAsia" w:ascii="宋体" w:hAnsi="宋体" w:cs="宋体"/>
          <w:bCs/>
          <w:sz w:val="21"/>
          <w:szCs w:val="21"/>
        </w:rPr>
      </w:r>
      <w:r/>
    </w:p>
    <w:p>
      <w:pPr>
        <w:pStyle w:val="1055"/>
        <w:ind w:firstLine="420"/>
        <w:spacing w:line="360" w:lineRule="auto"/>
        <w:rPr>
          <w:rFonts w:hint="eastAsia" w:ascii="宋体" w:hAnsi="宋体" w:cs="宋体"/>
          <w:bCs/>
          <w:sz w:val="21"/>
          <w:szCs w:val="21"/>
        </w:rPr>
      </w:pPr>
      <w:r>
        <w:rPr>
          <w:rFonts w:hint="eastAsia" w:ascii="宋体" w:hAnsi="宋体" w:cs="宋体"/>
          <w:bCs/>
          <w:sz w:val="21"/>
          <w:szCs w:val="21"/>
        </w:rPr>
        <w:t xml:space="preserve">行号：102301000534</w:t>
      </w:r>
      <w:r>
        <w:rPr>
          <w:rFonts w:hint="eastAsia" w:ascii="宋体" w:hAnsi="宋体" w:cs="宋体"/>
          <w:bCs/>
          <w:sz w:val="21"/>
          <w:szCs w:val="21"/>
        </w:rPr>
      </w:r>
      <w:r/>
    </w:p>
    <w:p>
      <w:pPr>
        <w:pStyle w:val="1020"/>
        <w:ind w:firstLine="420"/>
        <w:spacing w:line="360" w:lineRule="auto"/>
        <w:rPr>
          <w:rFonts w:hint="eastAsia" w:ascii="宋体" w:hAnsi="宋体" w:cs="宋体"/>
          <w:szCs w:val="16"/>
        </w:rPr>
      </w:pPr>
      <w:r>
        <w:rPr>
          <w:rFonts w:hint="eastAsia" w:ascii="宋体" w:hAnsi="宋体" w:cs="宋体"/>
          <w:bCs/>
          <w:szCs w:val="21"/>
        </w:rPr>
        <w:t xml:space="preserve">特别提醒:向此账户转账烦请备注汇款事由(备注清楚项目名称及项目编号)</w:t>
      </w:r>
      <w:r>
        <w:rPr>
          <w:rFonts w:hint="eastAsia" w:ascii="宋体" w:hAnsi="宋体" w:cs="宋体"/>
          <w:szCs w:val="16"/>
        </w:rPr>
      </w:r>
      <w:r/>
    </w:p>
    <w:p>
      <w:pPr>
        <w:pStyle w:val="1020"/>
        <w:ind w:firstLine="210"/>
        <w:spacing w:line="360" w:lineRule="auto"/>
        <w:rPr>
          <w:rFonts w:hint="eastAsia" w:ascii="宋体" w:hAnsi="宋体" w:cs="宋体"/>
          <w:szCs w:val="16"/>
        </w:rPr>
      </w:pPr>
      <w:r>
        <w:rPr>
          <w:rFonts w:hint="eastAsia" w:ascii="宋体" w:hAnsi="宋体" w:cs="宋体"/>
          <w:szCs w:val="16"/>
        </w:rPr>
        <w:t xml:space="preserve">4.质量保修期</w:t>
      </w:r>
      <w:r>
        <w:rPr>
          <w:rFonts w:hint="eastAsia" w:ascii="宋体" w:hAnsi="宋体" w:cs="宋体"/>
          <w:szCs w:val="16"/>
        </w:rPr>
      </w:r>
      <w:r/>
    </w:p>
    <w:p>
      <w:pPr>
        <w:pStyle w:val="1264"/>
        <w:ind w:firstLine="420"/>
        <w:rPr>
          <w:rFonts w:hint="eastAsia" w:hAnsi="宋体" w:cs="宋体"/>
          <w:sz w:val="21"/>
          <w:szCs w:val="16"/>
        </w:rPr>
      </w:pPr>
      <w:r>
        <w:rPr>
          <w:rFonts w:hint="eastAsia" w:hAnsi="宋体" w:cs="宋体"/>
          <w:sz w:val="21"/>
          <w:szCs w:val="16"/>
        </w:rPr>
        <w:t xml:space="preserve">根据《建设工程质量管理条例》及有关规定，工程的质量保修期如下：</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（1）地基基础工程和主体结构工程为设计文件规定的工程合理使用年限；</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（2）屋面防水工程、有防水要求的卫生间、房间和外墙面的防渗为5年；</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（3）装修工程为2年；</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（4）电气管线、给排水管道、设备安装工程为2年；</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（5）供热与供冷系统为2个采暖期、供冷期；</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（6）住宅小区内的给排水设施、道路等配套工程为2年；</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（7）其他项目保修期限约定如下：执行国家及江苏省南京市的有关规定。</w:t>
      </w:r>
      <w:r>
        <w:rPr>
          <w:rFonts w:hint="eastAsia" w:hAnsi="宋体" w:cs="宋体"/>
          <w:sz w:val="21"/>
          <w:szCs w:val="16"/>
        </w:rPr>
      </w:r>
      <w:r/>
    </w:p>
    <w:p>
      <w:pPr>
        <w:pStyle w:val="1264"/>
        <w:ind w:firstLine="420"/>
        <w:rPr>
          <w:rFonts w:hint="eastAsia" w:hAnsi="宋体" w:cs="宋体"/>
          <w:sz w:val="21"/>
          <w:szCs w:val="16"/>
        </w:rPr>
      </w:pPr>
      <w:r>
        <w:rPr>
          <w:rFonts w:hint="eastAsia" w:hAnsi="宋体" w:cs="宋体"/>
          <w:sz w:val="21"/>
          <w:szCs w:val="16"/>
        </w:rPr>
        <w:t xml:space="preserve">质量保修期自工程竣工验收合格之日起计算。</w:t>
      </w:r>
      <w:r>
        <w:rPr>
          <w:rFonts w:hint="eastAsia" w:hAnsi="宋体" w:cs="宋体"/>
          <w:sz w:val="21"/>
          <w:szCs w:val="16"/>
        </w:rPr>
      </w:r>
      <w:r/>
    </w:p>
    <w:p>
      <w:pPr>
        <w:pStyle w:val="1100"/>
        <w:jc w:val="left"/>
        <w:spacing w:before="0" w:after="0" w:line="360" w:lineRule="auto"/>
        <w:rPr>
          <w:rFonts w:hint="eastAsia" w:ascii="宋体" w:hAnsi="宋体" w:cs="宋体"/>
          <w:sz w:val="21"/>
          <w:szCs w:val="16"/>
        </w:rPr>
      </w:pPr>
      <w:r>
        <w:rPr>
          <w:rFonts w:hint="eastAsia" w:ascii="宋体" w:hAnsi="宋体" w:cs="宋体"/>
          <w:sz w:val="21"/>
          <w:szCs w:val="16"/>
        </w:rPr>
        <w:t xml:space="preserve">六、勘察现场或答疑：</w:t>
      </w:r>
      <w:r>
        <w:rPr>
          <w:rFonts w:hint="eastAsia" w:ascii="宋体" w:hAnsi="宋体" w:cs="宋体"/>
          <w:sz w:val="21"/>
          <w:szCs w:val="16"/>
        </w:rPr>
      </w:r>
      <w:r/>
    </w:p>
    <w:p>
      <w:pPr>
        <w:pStyle w:val="1020"/>
        <w:ind w:firstLine="420"/>
        <w:spacing w:line="360" w:lineRule="auto"/>
        <w:rPr>
          <w:rFonts w:hint="eastAsia" w:ascii="宋体" w:hAnsi="宋体" w:cs="宋体"/>
          <w:szCs w:val="21"/>
        </w:rPr>
      </w:pPr>
      <w:r>
        <w:rPr>
          <w:rFonts w:hint="eastAsia" w:ascii="宋体" w:hAnsi="宋体" w:cs="宋体"/>
        </w:rPr>
        <w:t xml:space="preserve">本项目不组织集中踏勘，但各供应商自行勘察现场。</w:t>
      </w:r>
      <w:r>
        <w:rPr>
          <w:rFonts w:hint="eastAsia" w:ascii="宋体" w:hAnsi="宋体" w:cs="宋体"/>
          <w:szCs w:val="21"/>
        </w:rPr>
        <w:t xml:space="preserve">未勘察现场或勘察工作不详细的供应商</w:t>
      </w:r>
      <w:r>
        <w:rPr>
          <w:rFonts w:hint="eastAsia" w:ascii="宋体" w:hAnsi="宋体" w:cs="宋体"/>
          <w:szCs w:val="21"/>
          <w:lang w:val="en-US" w:eastAsia="zh-CN"/>
        </w:rPr>
        <w:t xml:space="preserve">成交</w:t>
      </w:r>
      <w:r>
        <w:rPr>
          <w:rFonts w:hint="eastAsia" w:ascii="宋体" w:hAnsi="宋体" w:cs="宋体"/>
          <w:szCs w:val="21"/>
        </w:rPr>
        <w:t xml:space="preserve">后，不得以不完全了解现场情况为理由而向采购人提出任何索赔或其他要求，对此采购人不承担任何责任并将不作任何答复。</w:t>
      </w:r>
      <w:r>
        <w:rPr>
          <w:rFonts w:hint="eastAsia" w:ascii="宋体" w:hAnsi="宋体" w:cs="宋体"/>
          <w:szCs w:val="21"/>
        </w:rPr>
        <w:t xml:space="preserve">如需现场勘查，可自行联系采购人，联系人：</w:t>
      </w:r>
      <w:r>
        <w:rPr>
          <w:rFonts w:hint="eastAsia" w:ascii="宋体" w:hAnsi="宋体" w:cs="宋体"/>
          <w:szCs w:val="21"/>
          <w:lang w:val="en-US" w:eastAsia="zh-CN"/>
        </w:rPr>
        <w:t xml:space="preserve">朱老师</w:t>
      </w:r>
      <w:r>
        <w:rPr>
          <w:rFonts w:hint="eastAsia" w:ascii="宋体" w:hAnsi="宋体" w:cs="宋体"/>
          <w:szCs w:val="21"/>
        </w:rPr>
        <w:t xml:space="preserve">，联系电话：13851702798。（踏勘时间为</w:t>
      </w:r>
      <w:r>
        <w:rPr>
          <w:rFonts w:hint="eastAsia" w:ascii="宋体" w:hAnsi="宋体" w:cs="宋体"/>
          <w:szCs w:val="21"/>
          <w:lang w:val="en-US" w:eastAsia="zh-CN"/>
        </w:rPr>
        <w:t xml:space="preserve">响应文件提交</w:t>
      </w:r>
      <w:r>
        <w:rPr>
          <w:rFonts w:hint="eastAsia" w:ascii="宋体" w:hAnsi="宋体" w:cs="宋体"/>
          <w:szCs w:val="21"/>
        </w:rPr>
        <w:t xml:space="preserve">截止时间前3日，过时不候）</w:t>
      </w:r>
      <w:r>
        <w:rPr>
          <w:rFonts w:hint="eastAsia" w:ascii="宋体" w:hAnsi="宋体" w:cs="宋体"/>
          <w:szCs w:val="21"/>
        </w:rPr>
      </w:r>
      <w:r/>
    </w:p>
    <w:p>
      <w:pPr>
        <w:pStyle w:val="1100"/>
        <w:jc w:val="left"/>
        <w:spacing w:before="0" w:after="0" w:line="360" w:lineRule="auto"/>
        <w:rPr>
          <w:rFonts w:hint="eastAsia" w:ascii="宋体" w:hAnsi="宋体" w:cs="宋体"/>
          <w:sz w:val="21"/>
          <w:szCs w:val="16"/>
        </w:rPr>
      </w:pPr>
      <w:r>
        <w:rPr>
          <w:rFonts w:hint="eastAsia" w:ascii="宋体" w:hAnsi="宋体" w:cs="宋体"/>
          <w:sz w:val="21"/>
          <w:szCs w:val="16"/>
        </w:rPr>
        <w:t xml:space="preserve">七、主要设备材料推荐品牌</w:t>
      </w:r>
      <w:r>
        <w:rPr>
          <w:rFonts w:hint="eastAsia" w:ascii="宋体" w:hAnsi="宋体" w:cs="宋体"/>
          <w:sz w:val="21"/>
          <w:szCs w:val="16"/>
        </w:rPr>
      </w:r>
      <w:r/>
    </w:p>
    <w:p>
      <w:pPr>
        <w:pStyle w:val="1338"/>
        <w:ind w:firstLine="420"/>
        <w:jc w:val="left"/>
        <w:spacing w:line="360" w:lineRule="auto"/>
        <w:rPr>
          <w:rFonts w:hint="eastAsia" w:ascii="宋体" w:hAnsi="宋体" w:cs="宋体"/>
          <w:szCs w:val="21"/>
        </w:rPr>
      </w:pPr>
      <w:r>
        <w:rPr>
          <w:rFonts w:hint="eastAsia" w:ascii="宋体" w:hAnsi="宋体" w:cs="宋体"/>
          <w:szCs w:val="21"/>
        </w:rPr>
        <w:t xml:space="preserve">以下品牌为推荐品牌，仅供参考，供应商可选择相当于或优于所列品牌技术标准的其他品牌。对</w:t>
      </w:r>
      <w:r>
        <w:rPr>
          <w:rFonts w:hint="eastAsia" w:ascii="宋体" w:hAnsi="宋体" w:cs="宋体"/>
          <w:szCs w:val="21"/>
          <w:lang w:val="en-US" w:eastAsia="zh-CN"/>
        </w:rPr>
        <w:t xml:space="preserve">采购人</w:t>
      </w:r>
      <w:r>
        <w:rPr>
          <w:rFonts w:hint="eastAsia" w:ascii="宋体" w:hAnsi="宋体" w:cs="宋体"/>
          <w:szCs w:val="21"/>
        </w:rPr>
        <w:t xml:space="preserve">未包含在此表内的材料设备，</w:t>
      </w:r>
      <w:r>
        <w:rPr>
          <w:rFonts w:hint="eastAsia" w:ascii="宋体" w:hAnsi="宋体" w:cs="宋体"/>
          <w:szCs w:val="21"/>
          <w:lang w:val="en-US" w:eastAsia="zh-CN"/>
        </w:rPr>
        <w:t xml:space="preserve">供应商</w:t>
      </w:r>
      <w:r>
        <w:rPr>
          <w:rFonts w:hint="eastAsia" w:ascii="宋体" w:hAnsi="宋体" w:cs="宋体"/>
          <w:szCs w:val="21"/>
        </w:rPr>
        <w:t xml:space="preserve">在实际施工时，须报</w:t>
      </w:r>
      <w:r>
        <w:rPr>
          <w:rFonts w:hint="eastAsia" w:ascii="宋体" w:hAnsi="宋体" w:cs="宋体"/>
          <w:szCs w:val="21"/>
          <w:lang w:val="en-US" w:eastAsia="zh-CN"/>
        </w:rPr>
        <w:t xml:space="preserve">采购人</w:t>
      </w:r>
      <w:r>
        <w:rPr>
          <w:rFonts w:hint="eastAsia" w:ascii="宋体" w:hAnsi="宋体" w:cs="宋体"/>
          <w:szCs w:val="21"/>
        </w:rPr>
        <w:t xml:space="preserve">确认后采购实施。</w:t>
      </w:r>
      <w:r>
        <w:rPr>
          <w:rFonts w:hint="eastAsia" w:ascii="宋体" w:hAnsi="宋体" w:cs="宋体"/>
          <w:szCs w:val="21"/>
        </w:rPr>
      </w:r>
      <w:r/>
    </w:p>
    <w:tbl>
      <w:tblPr>
        <w:tblStyle w:val="1107"/>
        <w:tblW w:w="87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252"/>
        <w:gridCol w:w="3544"/>
        <w:gridCol w:w="2081"/>
      </w:tblGrid>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25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lang w:val="en-US" w:eastAsia="zh-CN"/>
              </w:rPr>
              <w:t xml:space="preserve">名称</w:t>
            </w:r>
            <w:r>
              <w:rPr>
                <w:rFonts w:hint="eastAsia" w:ascii="宋体" w:hAnsi="宋体" w:cs="宋体"/>
                <w:color w:val="000000"/>
                <w:szCs w:val="21"/>
              </w:rPr>
            </w:r>
            <w:r/>
          </w:p>
        </w:tc>
        <w:tc>
          <w:tcPr>
            <w:tcW w:w="3544"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推荐品牌</w:t>
            </w:r>
            <w:r>
              <w:rPr>
                <w:rFonts w:hint="eastAsia" w:ascii="宋体" w:hAnsi="宋体" w:cs="宋体"/>
                <w:color w:val="000000"/>
                <w:szCs w:val="21"/>
              </w:rPr>
            </w:r>
            <w:r/>
          </w:p>
        </w:tc>
        <w:tc>
          <w:tcPr>
            <w:tcW w:w="2081"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252" w:type="dxa"/>
            <w:vAlign w:val="center"/>
            <w:textDirection w:val="lrTb"/>
            <w:noWrap w:val="false"/>
          </w:tcPr>
          <w:p>
            <w:pPr>
              <w:pStyle w:val="1344"/>
              <w:jc w:val="center"/>
              <w:spacing w:before="93"/>
              <w:rPr>
                <w:rFonts w:hint="eastAsia" w:ascii="宋体" w:hAnsi="宋体" w:cs="宋体"/>
                <w:color w:val="000000"/>
                <w:szCs w:val="21"/>
              </w:rPr>
            </w:pPr>
            <w:r>
              <w:rPr>
                <w:spacing w:val="-2"/>
              </w:rPr>
              <w:t xml:space="preserve">墙地砖</w:t>
            </w:r>
            <w:r>
              <w:rPr>
                <w:rFonts w:hint="eastAsia" w:ascii="宋体" w:hAnsi="宋体" w:cs="宋体"/>
                <w:color w:val="000000"/>
                <w:szCs w:val="21"/>
              </w:rPr>
            </w:r>
            <w:r/>
          </w:p>
        </w:tc>
        <w:tc>
          <w:tcPr>
            <w:tcW w:w="3544" w:type="dxa"/>
            <w:vAlign w:val="center"/>
            <w:textDirection w:val="lrTb"/>
            <w:noWrap w:val="false"/>
          </w:tcPr>
          <w:p>
            <w:pPr>
              <w:pStyle w:val="1344"/>
              <w:jc w:val="center"/>
              <w:spacing w:before="90"/>
              <w:rPr>
                <w:rFonts w:hint="eastAsia" w:ascii="宋体" w:hAnsi="宋体" w:cs="宋体"/>
                <w:color w:val="000000"/>
                <w:szCs w:val="21"/>
              </w:rPr>
            </w:pPr>
            <w:r>
              <w:rPr>
                <w:rFonts w:hint="eastAsia"/>
                <w:color w:val="000000"/>
                <w:lang w:eastAsia="zh-CN" w:bidi="ar"/>
              </w:rPr>
              <w:t xml:space="preserve">马可波罗</w:t>
            </w:r>
            <w:r>
              <w:rPr>
                <w:color w:val="000000"/>
                <w:lang w:eastAsia="zh-CN" w:bidi="ar"/>
              </w:rPr>
              <w:t xml:space="preserve">、</w:t>
            </w:r>
            <w:r>
              <w:rPr>
                <w:rFonts w:hint="eastAsia"/>
                <w:color w:val="000000"/>
                <w:lang w:eastAsia="zh-CN" w:bidi="ar"/>
              </w:rPr>
              <w:t xml:space="preserve">冠珠</w:t>
            </w:r>
            <w:r>
              <w:rPr>
                <w:color w:val="000000"/>
                <w:lang w:eastAsia="zh-CN" w:bidi="ar"/>
              </w:rPr>
              <w:t xml:space="preserve">、</w:t>
            </w:r>
            <w:r>
              <w:rPr>
                <w:rFonts w:hint="eastAsia"/>
                <w:color w:val="000000"/>
                <w:lang w:eastAsia="zh-CN" w:bidi="ar"/>
              </w:rPr>
              <w:t xml:space="preserve">东鹏、诺贝尔</w:t>
            </w:r>
            <w:r>
              <w:rPr>
                <w:rFonts w:hint="eastAsia" w:ascii="宋体" w:hAnsi="宋体" w:cs="宋体"/>
                <w:color w:val="000000"/>
                <w:szCs w:val="21"/>
              </w:rPr>
            </w:r>
            <w:r/>
          </w:p>
        </w:tc>
        <w:tc>
          <w:tcPr>
            <w:tcW w:w="2081" w:type="dxa"/>
            <w:vAlign w:val="top"/>
            <w:textDirection w:val="lrTb"/>
            <w:noWrap w:val="false"/>
          </w:tcPr>
          <w:p>
            <w:pPr>
              <w:pStyle w:val="1337"/>
              <w:jc w:val="center"/>
              <w:spacing w:line="360" w:lineRule="exact"/>
              <w:tabs>
                <w:tab w:val="left" w:pos="360" w:leader="none"/>
              </w:tabs>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w:t>
            </w:r>
            <w:r>
              <w:rPr>
                <w:rFonts w:hint="eastAsia" w:ascii="宋体" w:hAnsi="宋体" w:eastAsia="宋体" w:cs="宋体"/>
                <w:color w:val="000000"/>
                <w:szCs w:val="21"/>
                <w:lang w:val="en-US" w:eastAsia="zh-CN"/>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252" w:type="dxa"/>
            <w:vAlign w:val="center"/>
            <w:textDirection w:val="lrTb"/>
            <w:noWrap w:val="false"/>
          </w:tcPr>
          <w:p>
            <w:pPr>
              <w:pStyle w:val="1344"/>
              <w:jc w:val="center"/>
              <w:spacing w:before="99"/>
              <w:rPr>
                <w:rFonts w:hint="eastAsia" w:ascii="宋体" w:hAnsi="宋体" w:cs="宋体"/>
                <w:color w:val="000000"/>
                <w:szCs w:val="21"/>
              </w:rPr>
            </w:pPr>
            <w:r>
              <w:rPr>
                <w:spacing w:val="1"/>
              </w:rPr>
              <w:t xml:space="preserve">内墙无机涂料</w:t>
            </w:r>
            <w:r>
              <w:rPr>
                <w:rFonts w:hint="eastAsia" w:ascii="宋体" w:hAnsi="宋体" w:cs="宋体"/>
                <w:color w:val="000000"/>
                <w:szCs w:val="21"/>
              </w:rPr>
            </w:r>
            <w:r/>
          </w:p>
        </w:tc>
        <w:tc>
          <w:tcPr>
            <w:tcW w:w="3544" w:type="dxa"/>
            <w:vAlign w:val="center"/>
            <w:textDirection w:val="lrTb"/>
            <w:noWrap w:val="false"/>
          </w:tcPr>
          <w:p>
            <w:pPr>
              <w:pStyle w:val="1344"/>
              <w:jc w:val="center"/>
              <w:spacing w:before="100"/>
              <w:rPr>
                <w:rFonts w:hint="eastAsia" w:ascii="宋体" w:hAnsi="宋体" w:cs="宋体"/>
                <w:color w:val="000000"/>
                <w:szCs w:val="21"/>
              </w:rPr>
            </w:pPr>
            <w:r>
              <w:rPr>
                <w:spacing w:val="-1"/>
                <w:lang w:eastAsia="zh-CN"/>
              </w:rPr>
              <w:t xml:space="preserve">立邦、多乐士、三棵树</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252" w:type="dxa"/>
            <w:vAlign w:val="center"/>
            <w:textDirection w:val="lrTb"/>
            <w:noWrap w:val="false"/>
          </w:tcPr>
          <w:p>
            <w:pPr>
              <w:pStyle w:val="1344"/>
              <w:jc w:val="center"/>
              <w:spacing w:before="100"/>
              <w:rPr>
                <w:rFonts w:hint="eastAsia" w:ascii="宋体" w:hAnsi="宋体" w:cs="宋体"/>
                <w:color w:val="000000"/>
                <w:szCs w:val="21"/>
              </w:rPr>
            </w:pPr>
            <w:r>
              <w:rPr>
                <w:spacing w:val="-2"/>
              </w:rPr>
              <w:t xml:space="preserve">纸面石膏板</w:t>
            </w:r>
            <w:r>
              <w:rPr>
                <w:rFonts w:hint="eastAsia" w:ascii="宋体" w:hAnsi="宋体" w:cs="宋体"/>
                <w:color w:val="000000"/>
                <w:szCs w:val="21"/>
              </w:rPr>
            </w:r>
            <w:r/>
          </w:p>
        </w:tc>
        <w:tc>
          <w:tcPr>
            <w:tcW w:w="3544" w:type="dxa"/>
            <w:vAlign w:val="center"/>
            <w:textDirection w:val="lrTb"/>
            <w:noWrap w:val="false"/>
          </w:tcPr>
          <w:p>
            <w:pPr>
              <w:pStyle w:val="1344"/>
              <w:jc w:val="center"/>
              <w:spacing w:before="101"/>
              <w:rPr>
                <w:rFonts w:hint="eastAsia" w:ascii="宋体" w:hAnsi="宋体" w:cs="宋体"/>
                <w:color w:val="000000"/>
                <w:szCs w:val="21"/>
              </w:rPr>
            </w:pPr>
            <w:r>
              <w:rPr>
                <w:spacing w:val="1"/>
              </w:rPr>
              <w:t xml:space="preserve">泰山、龙牌、可耐福</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252" w:type="dxa"/>
            <w:vAlign w:val="center"/>
            <w:textDirection w:val="lrTb"/>
            <w:noWrap w:val="false"/>
          </w:tcPr>
          <w:p>
            <w:pPr>
              <w:pStyle w:val="1344"/>
              <w:jc w:val="center"/>
              <w:spacing w:before="91"/>
              <w:rPr>
                <w:rFonts w:hint="eastAsia" w:ascii="宋体" w:hAnsi="宋体" w:cs="宋体"/>
                <w:color w:val="000000"/>
                <w:szCs w:val="21"/>
              </w:rPr>
            </w:pPr>
            <w:r>
              <w:rPr>
                <w:spacing w:val="2"/>
              </w:rPr>
              <w:t xml:space="preserve">轻钢龙骨</w:t>
            </w:r>
            <w:r>
              <w:rPr>
                <w:rFonts w:hint="eastAsia" w:ascii="宋体" w:hAnsi="宋体" w:cs="宋体"/>
                <w:color w:val="000000"/>
                <w:szCs w:val="21"/>
              </w:rPr>
            </w:r>
            <w:r/>
          </w:p>
        </w:tc>
        <w:tc>
          <w:tcPr>
            <w:tcW w:w="3544" w:type="dxa"/>
            <w:vAlign w:val="center"/>
            <w:textDirection w:val="lrTb"/>
            <w:noWrap w:val="false"/>
          </w:tcPr>
          <w:p>
            <w:pPr>
              <w:pStyle w:val="1344"/>
              <w:jc w:val="center"/>
              <w:spacing w:before="91"/>
              <w:rPr>
                <w:rFonts w:hint="eastAsia" w:ascii="宋体" w:hAnsi="宋体" w:cs="宋体"/>
                <w:color w:val="000000"/>
                <w:szCs w:val="21"/>
              </w:rPr>
            </w:pPr>
            <w:r>
              <w:rPr>
                <w:spacing w:val="1"/>
              </w:rPr>
              <w:t xml:space="preserve">泰山、龙牌、可耐福</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2252" w:type="dxa"/>
            <w:vAlign w:val="center"/>
            <w:textDirection w:val="lrTb"/>
            <w:noWrap w:val="false"/>
          </w:tcPr>
          <w:p>
            <w:pPr>
              <w:pStyle w:val="1344"/>
              <w:jc w:val="center"/>
              <w:spacing w:before="91"/>
              <w:rPr>
                <w:rFonts w:hint="eastAsia" w:ascii="宋体" w:hAnsi="宋体" w:cs="宋体"/>
                <w:color w:val="000000"/>
                <w:szCs w:val="21"/>
              </w:rPr>
            </w:pPr>
            <w:r>
              <w:rPr>
                <w:spacing w:val="-1"/>
              </w:rPr>
              <w:t xml:space="preserve">PVC地胶</w:t>
            </w:r>
            <w:r>
              <w:rPr>
                <w:rFonts w:hint="eastAsia" w:ascii="宋体" w:hAnsi="宋体" w:cs="宋体"/>
                <w:color w:val="000000"/>
                <w:szCs w:val="21"/>
              </w:rPr>
            </w:r>
            <w:r/>
          </w:p>
        </w:tc>
        <w:tc>
          <w:tcPr>
            <w:tcW w:w="3544" w:type="dxa"/>
            <w:vAlign w:val="center"/>
            <w:textDirection w:val="lrTb"/>
            <w:noWrap w:val="false"/>
          </w:tcPr>
          <w:p>
            <w:pPr>
              <w:pStyle w:val="1344"/>
              <w:jc w:val="center"/>
              <w:spacing w:before="91"/>
              <w:rPr>
                <w:rFonts w:hint="eastAsia" w:ascii="宋体" w:hAnsi="宋体" w:cs="宋体"/>
                <w:color w:val="000000"/>
                <w:szCs w:val="21"/>
              </w:rPr>
            </w:pPr>
            <w:r>
              <w:rPr>
                <w:spacing w:val="-1"/>
                <w:lang w:eastAsia="zh-CN"/>
              </w:rPr>
              <w:t xml:space="preserve">LG、洁福、阿姆斯壮</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2252" w:type="dxa"/>
            <w:vAlign w:val="center"/>
            <w:textDirection w:val="lrTb"/>
            <w:noWrap w:val="false"/>
          </w:tcPr>
          <w:p>
            <w:pPr>
              <w:pStyle w:val="1344"/>
              <w:jc w:val="center"/>
              <w:spacing w:before="91"/>
              <w:rPr>
                <w:rFonts w:hint="eastAsia" w:ascii="宋体" w:hAnsi="宋体" w:cs="宋体"/>
                <w:color w:val="000000"/>
                <w:szCs w:val="21"/>
              </w:rPr>
            </w:pPr>
            <w:r>
              <w:rPr>
                <w:spacing w:val="2"/>
              </w:rPr>
              <w:t xml:space="preserve">吸音墙板</w:t>
            </w:r>
            <w:r>
              <w:rPr>
                <w:rFonts w:hint="eastAsia" w:ascii="宋体" w:hAnsi="宋体" w:cs="宋体"/>
                <w:color w:val="000000"/>
                <w:szCs w:val="21"/>
              </w:rPr>
            </w:r>
            <w:r/>
          </w:p>
        </w:tc>
        <w:tc>
          <w:tcPr>
            <w:tcW w:w="3544" w:type="dxa"/>
            <w:vAlign w:val="center"/>
            <w:textDirection w:val="lrTb"/>
            <w:noWrap w:val="false"/>
          </w:tcPr>
          <w:p>
            <w:pPr>
              <w:pStyle w:val="1344"/>
              <w:jc w:val="center"/>
              <w:spacing w:before="93"/>
              <w:rPr>
                <w:rFonts w:hint="eastAsia" w:ascii="宋体" w:hAnsi="宋体" w:cs="宋体"/>
                <w:color w:val="000000"/>
                <w:szCs w:val="21"/>
              </w:rPr>
            </w:pPr>
            <w:r>
              <w:rPr>
                <w:rFonts w:hint="eastAsia"/>
                <w:spacing w:val="1"/>
                <w:lang w:eastAsia="zh-CN"/>
              </w:rPr>
              <w:t xml:space="preserve">丽</w:t>
            </w:r>
            <w:r>
              <w:rPr>
                <w:spacing w:val="1"/>
              </w:rPr>
              <w:t xml:space="preserve">音、百家丽、音韵</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2252" w:type="dxa"/>
            <w:vAlign w:val="center"/>
            <w:textDirection w:val="lrTb"/>
            <w:noWrap w:val="false"/>
          </w:tcPr>
          <w:p>
            <w:pPr>
              <w:pStyle w:val="1344"/>
              <w:jc w:val="center"/>
              <w:spacing w:before="91"/>
              <w:rPr>
                <w:rFonts w:hint="eastAsia" w:ascii="宋体" w:hAnsi="宋体" w:cs="宋体"/>
                <w:color w:val="000000"/>
                <w:szCs w:val="21"/>
              </w:rPr>
            </w:pPr>
            <w:r>
              <w:rPr>
                <w:spacing w:val="-3"/>
              </w:rPr>
              <w:t xml:space="preserve">铝扣板</w:t>
            </w:r>
            <w:r>
              <w:rPr>
                <w:rFonts w:hint="eastAsia" w:ascii="宋体" w:hAnsi="宋体" w:cs="宋体"/>
                <w:color w:val="000000"/>
                <w:szCs w:val="21"/>
              </w:rPr>
            </w:r>
            <w:r/>
          </w:p>
        </w:tc>
        <w:tc>
          <w:tcPr>
            <w:tcW w:w="3544" w:type="dxa"/>
            <w:vAlign w:val="center"/>
            <w:textDirection w:val="lrTb"/>
            <w:noWrap w:val="false"/>
          </w:tcPr>
          <w:p>
            <w:pPr>
              <w:pStyle w:val="1344"/>
              <w:jc w:val="center"/>
              <w:spacing w:before="90"/>
              <w:rPr>
                <w:rFonts w:hint="eastAsia" w:ascii="宋体" w:hAnsi="宋体" w:cs="宋体"/>
                <w:color w:val="000000"/>
                <w:szCs w:val="21"/>
              </w:rPr>
            </w:pPr>
            <w:r>
              <w:rPr>
                <w:lang w:eastAsia="zh-CN"/>
              </w:rPr>
              <w:t xml:space="preserve">奥普、德宝龙、美尔凯特、法狮龙</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2252" w:type="dxa"/>
            <w:vAlign w:val="center"/>
            <w:textDirection w:val="lrTb"/>
            <w:noWrap w:val="false"/>
          </w:tcPr>
          <w:p>
            <w:pPr>
              <w:pStyle w:val="1344"/>
              <w:jc w:val="center"/>
              <w:spacing w:before="92"/>
              <w:rPr>
                <w:rFonts w:hint="eastAsia" w:ascii="宋体" w:hAnsi="宋体" w:cs="宋体"/>
                <w:color w:val="000000"/>
                <w:szCs w:val="21"/>
              </w:rPr>
            </w:pPr>
            <w:r>
              <w:rPr>
                <w:rFonts w:hint="eastAsia"/>
                <w:color w:val="000000"/>
              </w:rPr>
              <w:t xml:space="preserve">钢制防火门</w:t>
            </w:r>
            <w:r>
              <w:rPr>
                <w:rFonts w:hint="eastAsia" w:ascii="宋体" w:hAnsi="宋体" w:cs="宋体"/>
                <w:color w:val="000000"/>
                <w:szCs w:val="21"/>
              </w:rPr>
            </w:r>
            <w:r/>
          </w:p>
        </w:tc>
        <w:tc>
          <w:tcPr>
            <w:tcW w:w="3544" w:type="dxa"/>
            <w:vAlign w:val="center"/>
            <w:textDirection w:val="lrTb"/>
            <w:noWrap w:val="false"/>
          </w:tcPr>
          <w:p>
            <w:pPr>
              <w:pStyle w:val="1344"/>
              <w:jc w:val="center"/>
              <w:spacing w:before="93"/>
              <w:rPr>
                <w:rFonts w:hint="eastAsia" w:ascii="宋体" w:hAnsi="宋体" w:cs="宋体"/>
                <w:color w:val="000000"/>
                <w:szCs w:val="21"/>
              </w:rPr>
            </w:pPr>
            <w:r>
              <w:rPr>
                <w:rFonts w:hint="eastAsia"/>
                <w:color w:val="000000"/>
                <w:lang w:eastAsia="zh-CN"/>
              </w:rPr>
              <w:t xml:space="preserve">长春铸诚、赛银将军、中泰消防、南京金陵、南京华伟消防、南京安佳</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r>
        <w:trPr/>
        <w:tc>
          <w:tcPr>
            <w:tcW w:w="862" w:type="dxa"/>
            <w:vAlign w:val="center"/>
            <w:textDirection w:val="lrTb"/>
            <w:noWrap w:val="false"/>
          </w:tcPr>
          <w:p>
            <w:pPr>
              <w:pStyle w:val="1337"/>
              <w:jc w:val="center"/>
              <w:spacing w:line="360" w:lineRule="exact"/>
              <w:tabs>
                <w:tab w:val="left" w:pos="360" w:leader="none"/>
              </w:tabs>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2252" w:type="dxa"/>
            <w:vAlign w:val="center"/>
            <w:textDirection w:val="lrTb"/>
            <w:noWrap w:val="false"/>
          </w:tcPr>
          <w:p>
            <w:pPr>
              <w:pStyle w:val="1344"/>
              <w:jc w:val="center"/>
              <w:spacing w:before="93"/>
              <w:rPr>
                <w:rFonts w:hint="eastAsia" w:ascii="宋体" w:hAnsi="宋体" w:cs="宋体"/>
                <w:color w:val="000000"/>
                <w:szCs w:val="21"/>
              </w:rPr>
            </w:pPr>
            <w:r>
              <w:rPr>
                <w:rFonts w:hint="eastAsia"/>
                <w:color w:val="000000"/>
              </w:rPr>
              <w:t xml:space="preserve">铝型材</w:t>
            </w:r>
            <w:r>
              <w:rPr>
                <w:rFonts w:hint="eastAsia" w:ascii="宋体" w:hAnsi="宋体" w:cs="宋体"/>
                <w:color w:val="000000"/>
                <w:szCs w:val="21"/>
              </w:rPr>
            </w:r>
            <w:r/>
          </w:p>
        </w:tc>
        <w:tc>
          <w:tcPr>
            <w:tcW w:w="3544" w:type="dxa"/>
            <w:vAlign w:val="center"/>
            <w:textDirection w:val="lrTb"/>
            <w:noWrap w:val="false"/>
          </w:tcPr>
          <w:p>
            <w:pPr>
              <w:pStyle w:val="1344"/>
              <w:jc w:val="center"/>
              <w:spacing w:before="94"/>
              <w:rPr>
                <w:rFonts w:hint="eastAsia" w:ascii="宋体" w:hAnsi="宋体" w:cs="宋体"/>
                <w:color w:val="000000"/>
                <w:szCs w:val="21"/>
              </w:rPr>
            </w:pPr>
            <w:r>
              <w:rPr>
                <w:rFonts w:hint="eastAsia"/>
                <w:color w:val="000000"/>
                <w:lang w:eastAsia="zh-CN"/>
              </w:rPr>
              <w:t xml:space="preserve">凤铝、闽发、亚铝、兴发</w:t>
            </w:r>
            <w:r>
              <w:rPr>
                <w:rFonts w:hint="eastAsia" w:ascii="宋体" w:hAnsi="宋体" w:cs="宋体"/>
                <w:color w:val="000000"/>
                <w:szCs w:val="21"/>
              </w:rPr>
            </w:r>
            <w:r/>
          </w:p>
        </w:tc>
        <w:tc>
          <w:tcPr>
            <w:tcW w:w="2081" w:type="dxa"/>
            <w:vAlign w:val="top"/>
            <w:textDirection w:val="lrTb"/>
            <w:noWrap w:val="false"/>
          </w:tcPr>
          <w:p>
            <w:pPr>
              <w:pStyle w:val="1020"/>
              <w:jc w:val="center"/>
              <w:spacing w:line="360" w:lineRule="exact"/>
              <w:rPr>
                <w:rFonts w:hint="eastAsia" w:ascii="宋体" w:hAnsi="宋体" w:cs="宋体"/>
                <w:color w:val="000000"/>
                <w:szCs w:val="21"/>
              </w:rPr>
            </w:pPr>
            <w:r>
              <w:rPr>
                <w:rFonts w:hint="eastAsia" w:ascii="宋体" w:hAnsi="宋体" w:cs="宋体"/>
                <w:color w:val="000000"/>
                <w:szCs w:val="21"/>
                <w:lang w:val="en-US" w:eastAsia="zh-CN"/>
              </w:rPr>
              <w:t xml:space="preserve">/</w:t>
            </w:r>
            <w:r>
              <w:rPr>
                <w:rFonts w:hint="eastAsia" w:ascii="宋体" w:hAnsi="宋体" w:cs="宋体"/>
                <w:color w:val="000000"/>
                <w:szCs w:val="21"/>
              </w:rPr>
            </w:r>
            <w:r/>
          </w:p>
        </w:tc>
      </w:tr>
    </w:tbl>
    <w:p>
      <w:pPr>
        <w:pStyle w:val="1100"/>
        <w:ind w:firstLine="482"/>
        <w:spacing w:before="0" w:after="0" w:line="360" w:lineRule="auto"/>
        <w:rPr>
          <w:rFonts w:hint="eastAsia" w:ascii="宋体" w:hAnsi="宋体" w:cs="宋体"/>
          <w:lang w:val="zh-CN"/>
        </w:rPr>
      </w:pPr>
      <w:r>
        <w:rPr>
          <w:rFonts w:hint="eastAsia" w:ascii="宋体" w:hAnsi="宋体" w:cs="宋体"/>
          <w:sz w:val="24"/>
          <w:szCs w:val="24"/>
        </w:rPr>
        <w:br w:type="page" w:clear="all"/>
      </w:r>
      <w:bookmarkStart w:id="26" w:name="_Toc13426"/>
      <w:r>
        <w:rPr>
          <w:rFonts w:hint="eastAsia" w:ascii="宋体" w:hAnsi="宋体" w:cs="宋体"/>
          <w:lang w:val="zh-CN"/>
        </w:rPr>
        <w:t xml:space="preserve">第五章 合同主要条款</w:t>
      </w:r>
      <w:bookmarkEnd w:id="26"/>
      <w:r/>
      <w:bookmarkStart w:id="27" w:name="_Toc16938559"/>
      <w:r/>
      <w:bookmarkStart w:id="28" w:name="_Toc513029243"/>
      <w:r/>
      <w:bookmarkStart w:id="29" w:name="_Toc20823315"/>
      <w:r>
        <w:rPr>
          <w:rFonts w:hint="eastAsia" w:ascii="宋体" w:hAnsi="宋体" w:cs="宋体"/>
          <w:lang w:val="zh-CN"/>
        </w:rPr>
      </w:r>
      <w:r/>
    </w:p>
    <w:p>
      <w:pPr>
        <w:pStyle w:val="1020"/>
        <w:rPr>
          <w:rFonts w:hint="eastAsia" w:ascii="宋体" w:hAnsi="宋体" w:cs="宋体"/>
        </w:rPr>
      </w:pPr>
      <w:r/>
      <w:bookmarkEnd w:id="27"/>
      <w:r/>
      <w:bookmarkEnd w:id="28"/>
      <w:r/>
      <w:bookmarkEnd w:id="29"/>
      <w:r/>
      <w:bookmarkStart w:id="30" w:name="_Toc504573082"/>
      <w:r/>
      <w:bookmarkStart w:id="31" w:name="_Toc26736"/>
      <w:r/>
      <w:bookmarkStart w:id="32" w:name="_Toc14104719"/>
      <w:r/>
      <w:bookmarkStart w:id="33" w:name="_Toc534273798"/>
      <w:r/>
      <w:bookmarkStart w:id="34" w:name="_Toc534273675"/>
      <w:r>
        <w:rPr>
          <w:rFonts w:hint="eastAsia" w:ascii="宋体" w:hAnsi="宋体" w:cs="宋体"/>
        </w:rPr>
      </w:r>
      <w:r/>
    </w:p>
    <w:p>
      <w:pPr>
        <w:pStyle w:val="1020"/>
        <w:jc w:val="center"/>
        <w:spacing w:line="360" w:lineRule="auto"/>
        <w:rPr>
          <w:rFonts w:hint="eastAsia" w:ascii="宋体" w:hAnsi="宋体" w:cs="宋体"/>
          <w:b/>
          <w:sz w:val="24"/>
          <w:szCs w:val="24"/>
        </w:rPr>
      </w:pPr>
      <w:r>
        <w:rPr>
          <w:rFonts w:hint="eastAsia" w:ascii="宋体" w:hAnsi="宋体" w:cs="宋体"/>
          <w:b/>
          <w:sz w:val="24"/>
          <w:szCs w:val="24"/>
        </w:rPr>
      </w:r>
      <w:r/>
    </w:p>
    <w:p>
      <w:pPr>
        <w:pStyle w:val="1020"/>
        <w:rPr>
          <w:rFonts w:hint="eastAsia" w:ascii="宋体" w:hAnsi="宋体" w:cs="宋体"/>
          <w:b/>
          <w:sz w:val="24"/>
          <w:szCs w:val="24"/>
        </w:rPr>
      </w:pPr>
      <w:r>
        <w:rPr>
          <w:rFonts w:hint="eastAsia" w:ascii="宋体" w:hAnsi="宋体" w:cs="宋体"/>
          <w:b/>
          <w:sz w:val="24"/>
          <w:szCs w:val="24"/>
        </w:rPr>
      </w:r>
      <w:r/>
    </w:p>
    <w:p>
      <w:pPr>
        <w:pStyle w:val="1060"/>
        <w:rPr>
          <w:rFonts w:hint="eastAsia" w:ascii="宋体" w:hAnsi="宋体" w:cs="宋体"/>
        </w:rPr>
      </w:pPr>
      <w:r>
        <w:rPr>
          <w:rFonts w:hint="eastAsia" w:ascii="宋体" w:hAnsi="宋体" w:cs="宋体"/>
        </w:rPr>
      </w:r>
      <w:r/>
    </w:p>
    <w:p>
      <w:pPr>
        <w:pStyle w:val="1020"/>
        <w:ind w:right="-378"/>
        <w:spacing w:line="360" w:lineRule="auto"/>
        <w:rPr>
          <w:rFonts w:hint="eastAsia" w:ascii="宋体" w:hAnsi="宋体" w:cs="宋体"/>
        </w:rPr>
      </w:pPr>
      <w:r>
        <w:rPr>
          <w:rFonts w:hint="eastAsia" w:ascii="宋体" w:hAnsi="宋体" w:cs="宋体"/>
          <w:bCs/>
          <w:sz w:val="32"/>
          <w:szCs w:val="32"/>
        </w:rPr>
        <w:t xml:space="preserve">(GF—2017—0201)</w:t>
      </w:r>
      <w:r>
        <w:rPr>
          <w:rFonts w:hint="eastAsia" w:ascii="宋体" w:hAnsi="宋体" w:cs="宋体"/>
        </w:rPr>
      </w:r>
      <w:r/>
    </w:p>
    <w:p>
      <w:pPr>
        <w:pStyle w:val="1020"/>
        <w:ind w:right="-13"/>
        <w:spacing w:line="731" w:lineRule="exact"/>
        <w:rPr>
          <w:rFonts w:hint="eastAsia" w:ascii="宋体" w:hAnsi="宋体" w:cs="宋体"/>
          <w:sz w:val="64"/>
        </w:rPr>
      </w:pPr>
      <w:r>
        <w:rPr>
          <w:rFonts w:hint="eastAsia" w:ascii="宋体" w:hAnsi="宋体" w:cs="宋体"/>
          <w:sz w:val="64"/>
        </w:rPr>
      </w:r>
      <w:r/>
    </w:p>
    <w:p>
      <w:pPr>
        <w:pStyle w:val="1020"/>
        <w:ind w:right="-378"/>
        <w:spacing w:line="360" w:lineRule="auto"/>
        <w:rPr>
          <w:rFonts w:hint="eastAsia" w:ascii="宋体" w:hAnsi="宋体" w:cs="宋体"/>
          <w:b/>
          <w:sz w:val="72"/>
          <w:szCs w:val="52"/>
        </w:rPr>
      </w:pPr>
      <w:r>
        <w:rPr>
          <w:rFonts w:hint="eastAsia" w:ascii="宋体" w:hAnsi="宋体" w:cs="宋体"/>
          <w:b/>
          <w:sz w:val="72"/>
          <w:szCs w:val="52"/>
        </w:rPr>
      </w:r>
      <w:r/>
    </w:p>
    <w:p>
      <w:pPr>
        <w:pStyle w:val="1020"/>
        <w:ind w:right="-378"/>
        <w:jc w:val="center"/>
        <w:spacing w:line="360" w:lineRule="auto"/>
        <w:rPr>
          <w:rFonts w:hint="eastAsia" w:ascii="宋体" w:hAnsi="宋体" w:cs="宋体"/>
          <w:b/>
          <w:sz w:val="72"/>
          <w:szCs w:val="52"/>
        </w:rPr>
      </w:pPr>
      <w:r>
        <w:rPr>
          <w:rFonts w:hint="eastAsia" w:ascii="宋体" w:hAnsi="宋体" w:cs="宋体"/>
          <w:b/>
          <w:sz w:val="72"/>
          <w:szCs w:val="52"/>
        </w:rPr>
        <w:t xml:space="preserve">建设工程施工合同</w:t>
      </w:r>
      <w:r>
        <w:rPr>
          <w:rFonts w:hint="eastAsia" w:ascii="宋体" w:hAnsi="宋体" w:cs="宋体"/>
          <w:b/>
          <w:sz w:val="72"/>
          <w:szCs w:val="52"/>
        </w:rPr>
      </w:r>
      <w:r/>
    </w:p>
    <w:p>
      <w:pPr>
        <w:pStyle w:val="1020"/>
        <w:rPr>
          <w:rFonts w:hint="eastAsia" w:ascii="宋体" w:hAnsi="宋体" w:cs="宋体"/>
          <w:b/>
          <w:sz w:val="72"/>
          <w:szCs w:val="72"/>
        </w:rPr>
      </w:pPr>
      <w:r>
        <w:rPr>
          <w:rFonts w:hint="eastAsia" w:ascii="宋体" w:hAnsi="宋体" w:cs="宋体"/>
          <w:b/>
          <w:sz w:val="72"/>
          <w:szCs w:val="72"/>
        </w:rPr>
      </w:r>
      <w:r/>
    </w:p>
    <w:p>
      <w:pPr>
        <w:pStyle w:val="1020"/>
        <w:rPr>
          <w:rFonts w:hint="eastAsia" w:ascii="宋体" w:hAnsi="宋体" w:cs="宋体"/>
          <w:b/>
          <w:sz w:val="52"/>
          <w:szCs w:val="52"/>
        </w:rPr>
      </w:pPr>
      <w:r>
        <w:rPr>
          <w:rFonts w:hint="eastAsia" w:ascii="宋体" w:hAnsi="宋体" w:cs="宋体"/>
          <w:b/>
          <w:sz w:val="52"/>
          <w:szCs w:val="52"/>
        </w:rPr>
      </w:r>
      <w:r/>
    </w:p>
    <w:p>
      <w:pPr>
        <w:pStyle w:val="1020"/>
        <w:rPr>
          <w:rFonts w:hint="eastAsia" w:ascii="宋体" w:hAnsi="宋体" w:cs="宋体"/>
          <w:b/>
          <w:sz w:val="28"/>
          <w:szCs w:val="28"/>
        </w:rPr>
      </w:pPr>
      <w:r>
        <w:rPr>
          <w:rFonts w:hint="eastAsia" w:ascii="宋体" w:hAnsi="宋体" w:cs="宋体"/>
          <w:b/>
          <w:sz w:val="28"/>
          <w:szCs w:val="28"/>
        </w:rPr>
      </w:r>
      <w:r/>
    </w:p>
    <w:p>
      <w:pPr>
        <w:pStyle w:val="1020"/>
        <w:ind w:left="2824" w:hanging="1606"/>
        <w:rPr>
          <w:rFonts w:hint="eastAsia" w:ascii="宋体" w:hAnsi="宋体" w:cs="宋体"/>
          <w:b/>
          <w:sz w:val="30"/>
          <w:szCs w:val="30"/>
          <w:u w:val="single"/>
        </w:rPr>
      </w:pPr>
      <w:r>
        <w:rPr>
          <w:rFonts w:hint="eastAsia" w:ascii="宋体" w:hAnsi="宋体" w:cs="宋体"/>
          <w:b/>
          <w:sz w:val="32"/>
          <w:szCs w:val="32"/>
        </w:rPr>
        <w:t xml:space="preserve">工程名称：</w:t>
      </w:r>
      <w:r>
        <w:rPr>
          <w:rFonts w:hint="eastAsia" w:ascii="宋体" w:hAnsi="宋体" w:cs="宋体"/>
          <w:b/>
          <w:sz w:val="32"/>
          <w:szCs w:val="32"/>
          <w:u w:val="single"/>
        </w:rPr>
        <w:t xml:space="preserve">人体结构教学科普馆场馆改造</w:t>
      </w:r>
      <w:r>
        <w:rPr>
          <w:rFonts w:hint="eastAsia" w:ascii="宋体" w:hAnsi="宋体" w:cs="宋体"/>
          <w:b/>
          <w:sz w:val="30"/>
          <w:szCs w:val="30"/>
          <w:u w:val="single"/>
        </w:rPr>
      </w:r>
      <w:r/>
    </w:p>
    <w:p>
      <w:pPr>
        <w:pStyle w:val="1020"/>
        <w:rPr>
          <w:rFonts w:hint="eastAsia" w:ascii="宋体" w:hAnsi="宋体" w:cs="宋体"/>
          <w:b/>
          <w:sz w:val="28"/>
          <w:szCs w:val="28"/>
          <w:u w:val="single"/>
        </w:rPr>
      </w:pPr>
      <w:r>
        <w:rPr>
          <w:rFonts w:hint="eastAsia" w:ascii="宋体" w:hAnsi="宋体" w:cs="宋体"/>
          <w:b/>
          <w:sz w:val="28"/>
          <w:szCs w:val="28"/>
          <w:u w:val="single"/>
        </w:rPr>
      </w:r>
      <w:r/>
    </w:p>
    <w:p>
      <w:pPr>
        <w:pStyle w:val="1327"/>
        <w:ind w:firstLine="562"/>
        <w:rPr>
          <w:rFonts w:hint="eastAsia" w:ascii="宋体" w:hAnsi="宋体" w:cs="宋体"/>
          <w:b/>
          <w:sz w:val="28"/>
          <w:szCs w:val="28"/>
          <w:u w:val="single"/>
        </w:rPr>
      </w:pPr>
      <w:r>
        <w:rPr>
          <w:rFonts w:hint="eastAsia" w:ascii="宋体" w:hAnsi="宋体" w:cs="宋体"/>
          <w:b/>
          <w:sz w:val="28"/>
          <w:szCs w:val="28"/>
          <w:u w:val="single"/>
        </w:rPr>
      </w:r>
      <w:r/>
    </w:p>
    <w:p>
      <w:pPr>
        <w:pStyle w:val="1327"/>
        <w:rPr>
          <w:rFonts w:hint="eastAsia" w:ascii="宋体" w:hAnsi="宋体" w:cs="宋体"/>
          <w:b/>
          <w:sz w:val="28"/>
          <w:szCs w:val="28"/>
          <w:u w:val="single"/>
        </w:rPr>
      </w:pPr>
      <w:r>
        <w:rPr>
          <w:rFonts w:hint="eastAsia" w:ascii="宋体" w:hAnsi="宋体" w:cs="宋体"/>
          <w:b/>
          <w:sz w:val="28"/>
          <w:szCs w:val="28"/>
          <w:u w:val="single"/>
        </w:rPr>
      </w:r>
      <w:r/>
    </w:p>
    <w:p>
      <w:pPr>
        <w:pStyle w:val="1327"/>
        <w:ind w:firstLine="0"/>
        <w:rPr>
          <w:rFonts w:hint="eastAsia" w:ascii="宋体" w:hAnsi="宋体" w:cs="宋体"/>
          <w:b/>
          <w:sz w:val="28"/>
          <w:szCs w:val="28"/>
          <w:u w:val="single"/>
        </w:rPr>
      </w:pPr>
      <w:r>
        <w:rPr>
          <w:rFonts w:hint="eastAsia" w:ascii="宋体" w:hAnsi="宋体" w:cs="宋体"/>
          <w:b/>
          <w:sz w:val="28"/>
          <w:szCs w:val="28"/>
          <w:u w:val="single"/>
        </w:rPr>
      </w:r>
      <w:r/>
    </w:p>
    <w:p>
      <w:pPr>
        <w:pStyle w:val="1020"/>
        <w:ind w:firstLine="964"/>
        <w:spacing w:line="360" w:lineRule="auto"/>
        <w:rPr>
          <w:rFonts w:hint="eastAsia" w:ascii="宋体" w:hAnsi="宋体" w:cs="宋体"/>
          <w:b/>
          <w:sz w:val="32"/>
          <w:szCs w:val="32"/>
          <w:u w:val="single"/>
        </w:rPr>
      </w:pPr>
      <w:r>
        <w:rPr>
          <w:rFonts w:hint="eastAsia" w:ascii="宋体" w:hAnsi="宋体" w:cs="宋体"/>
          <w:b/>
          <w:sz w:val="32"/>
          <w:szCs w:val="32"/>
        </w:rPr>
        <w:t xml:space="preserve">发 包 人：</w:t>
      </w:r>
      <w:r>
        <w:rPr>
          <w:rFonts w:hint="eastAsia" w:ascii="宋体" w:hAnsi="宋体" w:cs="宋体"/>
          <w:b/>
          <w:sz w:val="32"/>
          <w:szCs w:val="32"/>
          <w:u w:val="single"/>
        </w:rPr>
        <w:t xml:space="preserve">江苏卫生健康职业学院   </w:t>
      </w:r>
      <w:r>
        <w:rPr>
          <w:rFonts w:hint="eastAsia" w:ascii="宋体" w:hAnsi="宋体" w:cs="宋体"/>
          <w:b/>
          <w:sz w:val="32"/>
          <w:szCs w:val="32"/>
          <w:u w:val="single"/>
        </w:rPr>
      </w:r>
      <w:r/>
    </w:p>
    <w:p>
      <w:pPr>
        <w:pStyle w:val="1020"/>
        <w:ind w:firstLine="964"/>
        <w:spacing w:line="360" w:lineRule="auto"/>
        <w:rPr>
          <w:rFonts w:hint="eastAsia" w:ascii="宋体" w:hAnsi="宋体" w:cs="宋体"/>
          <w:b/>
          <w:sz w:val="32"/>
          <w:szCs w:val="32"/>
        </w:rPr>
      </w:pPr>
      <w:r>
        <w:rPr>
          <w:rFonts w:hint="eastAsia" w:ascii="宋体" w:hAnsi="宋体" w:cs="宋体"/>
          <w:b/>
          <w:sz w:val="32"/>
          <w:szCs w:val="32"/>
        </w:rPr>
        <w:t xml:space="preserve">承 包 人：</w:t>
      </w:r>
      <w:r>
        <w:rPr>
          <w:rFonts w:hint="eastAsia" w:ascii="宋体" w:hAnsi="宋体" w:cs="宋体"/>
          <w:b/>
          <w:sz w:val="32"/>
          <w:szCs w:val="32"/>
          <w:u w:val="single"/>
        </w:rPr>
        <w:t xml:space="preserve">                       </w:t>
      </w:r>
      <w:r>
        <w:rPr>
          <w:rFonts w:hint="eastAsia" w:ascii="宋体" w:hAnsi="宋体" w:cs="宋体"/>
          <w:b/>
          <w:sz w:val="32"/>
          <w:szCs w:val="32"/>
        </w:rPr>
        <w:t xml:space="preserve"> </w:t>
      </w:r>
      <w:r>
        <w:rPr>
          <w:rFonts w:hint="eastAsia" w:ascii="宋体" w:hAnsi="宋体" w:cs="宋体"/>
          <w:b/>
          <w:sz w:val="32"/>
          <w:szCs w:val="32"/>
        </w:rPr>
      </w:r>
      <w:r/>
    </w:p>
    <w:p>
      <w:pPr>
        <w:pStyle w:val="1020"/>
        <w:ind w:firstLine="3052"/>
        <w:rPr>
          <w:rFonts w:hint="eastAsia" w:ascii="宋体" w:hAnsi="宋体" w:cs="宋体"/>
          <w:b/>
          <w:sz w:val="32"/>
          <w:szCs w:val="32"/>
        </w:rPr>
      </w:pPr>
      <w:r>
        <w:rPr>
          <w:rFonts w:hint="eastAsia" w:ascii="宋体" w:hAnsi="宋体" w:cs="宋体"/>
          <w:b/>
          <w:sz w:val="32"/>
          <w:szCs w:val="32"/>
        </w:rPr>
        <w:t xml:space="preserve">年      月     日</w:t>
      </w:r>
      <w:r>
        <w:rPr>
          <w:rFonts w:hint="eastAsia" w:ascii="宋体" w:hAnsi="宋体" w:cs="宋体"/>
          <w:b/>
          <w:sz w:val="32"/>
          <w:szCs w:val="32"/>
        </w:rPr>
      </w:r>
      <w:r/>
    </w:p>
    <w:p>
      <w:pPr>
        <w:pStyle w:val="1023"/>
        <w:jc w:val="center"/>
        <w:spacing w:line="600" w:lineRule="exact"/>
        <w:rPr>
          <w:rFonts w:hint="eastAsia" w:ascii="宋体" w:hAnsi="宋体" w:cs="宋体"/>
        </w:rPr>
        <w:sectPr>
          <w:footerReference w:type="default" r:id="rId15"/>
          <w:footerReference w:type="first" r:id="rId16"/>
          <w:footnotePr/>
          <w:endnotePr/>
          <w:type w:val="continuous"/>
          <w:pgSz w:w="11906" w:h="16838" w:orient="portrait"/>
          <w:pgMar w:top="1418" w:right="1375" w:bottom="1418" w:left="1531" w:header="851" w:footer="992" w:gutter="0"/>
          <w:cols w:num="1" w:sep="0" w:space="1701" w:equalWidth="1"/>
          <w:docGrid w:linePitch="360"/>
          <w:titlePg/>
        </w:sectPr>
      </w:pPr>
      <w:r/>
      <w:bookmarkStart w:id="35" w:name="_Toc296890982"/>
      <w:r/>
      <w:bookmarkStart w:id="36" w:name="_Toc296503025"/>
      <w:r/>
      <w:bookmarkStart w:id="37" w:name="_Toc351203480"/>
      <w:r>
        <w:rPr>
          <w:rFonts w:hint="eastAsia" w:ascii="宋体" w:hAnsi="宋体" w:cs="宋体"/>
        </w:rPr>
        <w:br w:type="page" w:clear="all"/>
      </w:r>
      <w:r/>
    </w:p>
    <w:p>
      <w:pPr>
        <w:pStyle w:val="1023"/>
        <w:jc w:val="center"/>
        <w:spacing w:line="600" w:lineRule="exact"/>
        <w:rPr>
          <w:rFonts w:hint="eastAsia" w:ascii="宋体" w:hAnsi="宋体" w:cs="宋体"/>
        </w:rPr>
      </w:pPr>
      <w:r>
        <w:rPr>
          <w:rFonts w:hint="eastAsia" w:ascii="宋体" w:hAnsi="宋体" w:cs="宋体"/>
        </w:rPr>
        <w:br w:type="page" w:clear="all"/>
      </w:r>
      <w:r>
        <w:rPr>
          <w:rFonts w:hint="eastAsia" w:ascii="宋体" w:hAnsi="宋体" w:cs="宋体"/>
        </w:rPr>
        <w:t xml:space="preserve">第一部分 合同协议书</w:t>
      </w:r>
      <w:bookmarkEnd w:id="35"/>
      <w:r/>
      <w:bookmarkEnd w:id="36"/>
      <w:r/>
      <w:bookmarkEnd w:id="37"/>
      <w:r>
        <w:rPr>
          <w:rFonts w:hint="eastAsia" w:ascii="宋体" w:hAnsi="宋体" w:cs="宋体"/>
        </w:rPr>
      </w:r>
      <w:r/>
    </w:p>
    <w:p>
      <w:pPr>
        <w:pStyle w:val="1020"/>
        <w:spacing w:line="600" w:lineRule="exact"/>
        <w:rPr>
          <w:rFonts w:hint="eastAsia"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w:t>
      </w:r>
      <w:r>
        <w:rPr>
          <w:rFonts w:hint="eastAsia" w:ascii="宋体" w:hAnsi="宋体" w:cs="宋体"/>
          <w:b/>
          <w:sz w:val="24"/>
          <w:szCs w:val="24"/>
          <w:u w:val="single"/>
        </w:rPr>
        <w:t xml:space="preserve">江苏卫生健康职业学院</w:t>
      </w:r>
      <w:r>
        <w:rPr>
          <w:rFonts w:hint="eastAsia" w:ascii="宋体" w:hAnsi="宋体" w:cs="宋体"/>
          <w:b/>
          <w:u w:val="single"/>
        </w:rPr>
        <w:t xml:space="preserve">（以下简称甲方）</w:t>
      </w:r>
      <w:r>
        <w:rPr>
          <w:rFonts w:hint="eastAsia" w:ascii="宋体" w:hAnsi="宋体" w:cs="宋体"/>
          <w:b/>
          <w:u w:val="single"/>
        </w:rPr>
      </w:r>
      <w:r/>
    </w:p>
    <w:p>
      <w:pPr>
        <w:pStyle w:val="1020"/>
        <w:spacing w:line="600" w:lineRule="exact"/>
        <w:rPr>
          <w:rFonts w:hint="eastAsia" w:ascii="宋体" w:hAnsi="宋体" w:eastAsia="宋体" w:cs="宋体"/>
          <w:bCs/>
          <w:u w:val="single"/>
          <w:lang w:eastAsia="zh-CN"/>
        </w:rPr>
      </w:pPr>
      <w:r>
        <w:rPr>
          <w:rFonts w:hint="eastAsia" w:ascii="宋体" w:hAnsi="宋体" w:cs="宋体"/>
          <w:b/>
        </w:rPr>
        <w:t xml:space="preserve">承包人（全称）：</w:t>
      </w:r>
      <w:r>
        <w:rPr>
          <w:rFonts w:hint="eastAsia" w:ascii="宋体" w:hAnsi="宋体" w:cs="宋体"/>
          <w:b/>
          <w:u w:val="single"/>
        </w:rPr>
        <w:t xml:space="preserve">                        （以下简称乙方</w:t>
      </w:r>
      <w:r>
        <w:rPr>
          <w:rFonts w:hint="eastAsia" w:ascii="宋体" w:hAnsi="宋体" w:cs="宋体"/>
          <w:b/>
          <w:u w:val="single"/>
          <w:lang w:eastAsia="zh-CN"/>
        </w:rPr>
        <w:t xml:space="preserve">）</w:t>
      </w:r>
      <w:r>
        <w:rPr>
          <w:rFonts w:hint="eastAsia" w:ascii="宋体" w:hAnsi="宋体" w:eastAsia="宋体" w:cs="宋体"/>
          <w:bCs/>
          <w:u w:val="single"/>
          <w:lang w:eastAsia="zh-CN"/>
        </w:rPr>
      </w:r>
      <w:r/>
    </w:p>
    <w:p>
      <w:pPr>
        <w:pStyle w:val="1020"/>
        <w:ind w:firstLine="480"/>
        <w:spacing w:line="440" w:lineRule="exact"/>
        <w:rPr>
          <w:rFonts w:hint="eastAsia" w:ascii="宋体" w:hAnsi="宋体" w:cs="宋体"/>
          <w:sz w:val="24"/>
          <w:szCs w:val="24"/>
        </w:rPr>
      </w:pPr>
      <w:r>
        <w:rPr>
          <w:rFonts w:hint="eastAsia" w:ascii="宋体" w:hAnsi="宋体" w:cs="宋体"/>
          <w:sz w:val="24"/>
          <w:szCs w:val="24"/>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人体结构教学科普馆场馆改造</w:t>
      </w:r>
      <w:r>
        <w:rPr>
          <w:rFonts w:hint="eastAsia" w:ascii="宋体" w:hAnsi="宋体" w:cs="宋体"/>
          <w:szCs w:val="21"/>
        </w:rPr>
        <w:t xml:space="preserve">及有关事项协商一致，共同达成如下协议：</w:t>
      </w:r>
      <w:r>
        <w:rPr>
          <w:rFonts w:hint="eastAsia" w:ascii="宋体" w:hAnsi="宋体" w:cs="宋体"/>
          <w:szCs w:val="21"/>
        </w:rPr>
      </w:r>
      <w:r/>
    </w:p>
    <w:p>
      <w:pPr>
        <w:pStyle w:val="1024"/>
        <w:spacing w:line="360" w:lineRule="auto"/>
        <w:rPr>
          <w:rFonts w:cs="宋体"/>
          <w:sz w:val="21"/>
          <w:szCs w:val="21"/>
        </w:rPr>
      </w:pPr>
      <w:r/>
      <w:bookmarkStart w:id="38" w:name="_Toc351203481"/>
      <w:r>
        <w:rPr>
          <w:rFonts w:hint="eastAsia" w:cs="宋体"/>
          <w:b w:val="0"/>
          <w:sz w:val="21"/>
          <w:szCs w:val="21"/>
        </w:rPr>
        <w:t xml:space="preserve">一、工程概况</w:t>
      </w:r>
      <w:bookmarkEnd w:id="38"/>
      <w:r>
        <w:rPr>
          <w:rFonts w:cs="宋体"/>
          <w:sz w:val="21"/>
          <w:szCs w:val="21"/>
        </w:rPr>
      </w:r>
      <w:r/>
    </w:p>
    <w:p>
      <w:pPr>
        <w:pStyle w:val="1020"/>
        <w:ind w:firstLine="411"/>
        <w:spacing w:line="360" w:lineRule="auto"/>
        <w:rPr>
          <w:rFonts w:hint="eastAsia" w:ascii="宋体" w:hAnsi="宋体" w:cs="宋体"/>
          <w:bCs/>
          <w:szCs w:val="21"/>
        </w:rPr>
      </w:pPr>
      <w:r>
        <w:rPr>
          <w:rFonts w:hint="eastAsia" w:ascii="宋体" w:hAnsi="宋体" w:cs="宋体"/>
          <w:bCs/>
          <w:szCs w:val="21"/>
        </w:rPr>
        <w:t xml:space="preserve">1.工程名称：</w:t>
      </w:r>
      <w:r>
        <w:rPr>
          <w:rFonts w:hint="eastAsia" w:ascii="宋体" w:hAnsi="宋体" w:cs="宋体"/>
          <w:b/>
          <w:u w:val="single"/>
        </w:rPr>
        <w:t xml:space="preserve">人体结构教学科普馆场馆改造 </w:t>
      </w:r>
      <w:r>
        <w:rPr>
          <w:rFonts w:hint="eastAsia" w:ascii="宋体" w:hAnsi="宋体" w:cs="宋体"/>
          <w:szCs w:val="21"/>
        </w:rPr>
        <w:t xml:space="preserve">。</w:t>
      </w:r>
      <w:r>
        <w:rPr>
          <w:rFonts w:hint="eastAsia" w:ascii="宋体" w:hAnsi="宋体" w:cs="宋体"/>
          <w:bCs/>
          <w:szCs w:val="21"/>
        </w:rPr>
      </w:r>
      <w:r/>
    </w:p>
    <w:p>
      <w:pPr>
        <w:pStyle w:val="1020"/>
        <w:ind w:firstLine="411"/>
        <w:spacing w:line="360" w:lineRule="auto"/>
        <w:rPr>
          <w:rFonts w:hint="eastAsia" w:ascii="宋体" w:hAnsi="宋体" w:cs="宋体"/>
          <w:bCs/>
          <w:szCs w:val="21"/>
          <w:highlight w:val="yellow"/>
        </w:rPr>
      </w:pPr>
      <w:r>
        <w:rPr>
          <w:rFonts w:hint="eastAsia" w:ascii="宋体" w:hAnsi="宋体" w:cs="宋体"/>
          <w:bCs/>
          <w:szCs w:val="21"/>
        </w:rPr>
        <w:t xml:space="preserve">2.工程地点：</w:t>
      </w:r>
      <w:r>
        <w:rPr>
          <w:rFonts w:hint="eastAsia" w:ascii="宋体" w:hAnsi="宋体" w:cs="宋体"/>
          <w:b/>
          <w:u w:val="single"/>
        </w:rPr>
        <w:t xml:space="preserve"> 南京市浦口区</w:t>
      </w:r>
      <w:r>
        <w:rPr>
          <w:rFonts w:hint="eastAsia" w:ascii="宋体" w:hAnsi="宋体" w:cs="宋体"/>
          <w:bCs/>
          <w:szCs w:val="21"/>
          <w:u w:val="single"/>
        </w:rPr>
        <w:t xml:space="preserve">。</w:t>
      </w:r>
      <w:r>
        <w:rPr>
          <w:rFonts w:hint="eastAsia" w:ascii="宋体" w:hAnsi="宋体" w:cs="宋体"/>
          <w:bCs/>
          <w:szCs w:val="21"/>
          <w:highlight w:val="yellow"/>
        </w:rPr>
      </w:r>
      <w:r/>
    </w:p>
    <w:p>
      <w:pPr>
        <w:pStyle w:val="1020"/>
        <w:ind w:firstLine="411"/>
        <w:spacing w:line="360"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b/>
          <w:u w:val="single"/>
        </w:rPr>
        <w:t xml:space="preserve"> /   </w:t>
      </w:r>
      <w:r>
        <w:rPr>
          <w:rFonts w:hint="eastAsia" w:ascii="宋体" w:hAnsi="宋体" w:cs="宋体"/>
          <w:bCs/>
          <w:szCs w:val="21"/>
        </w:rPr>
        <w:t xml:space="preserve"> 。</w:t>
      </w:r>
      <w:r>
        <w:rPr>
          <w:rFonts w:hint="eastAsia" w:ascii="宋体" w:hAnsi="宋体" w:cs="宋体"/>
          <w:bCs/>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b/>
          <w:u w:val="single"/>
        </w:rPr>
        <w:t xml:space="preserve">      </w:t>
      </w:r>
      <w:r>
        <w:rPr>
          <w:rFonts w:hint="eastAsia" w:ascii="宋体" w:hAnsi="宋体" w:cs="宋体"/>
          <w:bCs/>
          <w:szCs w:val="21"/>
        </w:rPr>
        <w:t xml:space="preserve">。</w:t>
      </w:r>
      <w:r>
        <w:rPr>
          <w:rFonts w:hint="eastAsia" w:ascii="宋体" w:hAnsi="宋体" w:cs="宋体"/>
          <w:bCs/>
          <w:szCs w:val="21"/>
        </w:rPr>
      </w:r>
      <w:r/>
    </w:p>
    <w:p>
      <w:pPr>
        <w:pStyle w:val="1020"/>
        <w:ind w:firstLine="411"/>
        <w:spacing w:line="360" w:lineRule="auto"/>
        <w:rPr>
          <w:rFonts w:hint="eastAsia" w:ascii="宋体" w:hAnsi="宋体" w:cs="宋体"/>
          <w:szCs w:val="21"/>
          <w:u w:val="single"/>
        </w:rPr>
      </w:pPr>
      <w:r>
        <w:rPr>
          <w:rFonts w:hint="eastAsia" w:ascii="宋体" w:hAnsi="宋体" w:cs="宋体"/>
          <w:bCs/>
          <w:szCs w:val="21"/>
        </w:rPr>
        <w:t xml:space="preserve">5.工程内容：</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bCs/>
        </w:rPr>
        <w:t xml:space="preserve">。</w:t>
      </w:r>
      <w:r>
        <w:rPr>
          <w:rFonts w:hint="eastAsia" w:ascii="宋体" w:hAnsi="宋体" w:cs="宋体"/>
          <w:szCs w:val="21"/>
          <w:u w:val="single"/>
        </w:rPr>
      </w:r>
      <w:r/>
    </w:p>
    <w:p>
      <w:pPr>
        <w:pStyle w:val="1020"/>
        <w:ind w:firstLine="411"/>
        <w:spacing w:line="360"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b/>
          <w:u w:val="single"/>
        </w:rPr>
        <w:t xml:space="preserve">                                             </w:t>
      </w:r>
      <w:r>
        <w:rPr>
          <w:rFonts w:hint="eastAsia" w:ascii="宋体" w:hAnsi="宋体" w:cs="宋体"/>
          <w:szCs w:val="21"/>
        </w:rPr>
        <w:t xml:space="preserve">。</w:t>
      </w:r>
      <w:r>
        <w:rPr>
          <w:rFonts w:hint="eastAsia" w:ascii="宋体" w:hAnsi="宋体" w:cs="宋体"/>
          <w:szCs w:val="21"/>
        </w:rPr>
      </w:r>
      <w:r/>
    </w:p>
    <w:p>
      <w:pPr>
        <w:pStyle w:val="1024"/>
        <w:spacing w:line="360" w:lineRule="auto"/>
        <w:rPr>
          <w:rFonts w:cs="宋体"/>
          <w:b w:val="0"/>
          <w:sz w:val="21"/>
          <w:szCs w:val="21"/>
        </w:rPr>
      </w:pPr>
      <w:r/>
      <w:bookmarkStart w:id="39" w:name="_Toc351203482"/>
      <w:r>
        <w:rPr>
          <w:rFonts w:hint="eastAsia" w:cs="宋体"/>
          <w:b w:val="0"/>
          <w:sz w:val="21"/>
          <w:szCs w:val="21"/>
        </w:rPr>
        <w:t xml:space="preserve">二、合同工期</w:t>
      </w:r>
      <w:bookmarkEnd w:id="39"/>
      <w:r>
        <w:rPr>
          <w:rFonts w:cs="宋体"/>
          <w:b w:val="0"/>
          <w:sz w:val="21"/>
          <w:szCs w:val="21"/>
        </w:rPr>
      </w:r>
      <w:r/>
    </w:p>
    <w:p>
      <w:pPr>
        <w:pStyle w:val="1020"/>
        <w:ind w:firstLine="459"/>
        <w:spacing w:line="360" w:lineRule="auto"/>
        <w:rPr>
          <w:rFonts w:hint="eastAsia" w:ascii="宋体" w:hAnsi="宋体" w:cs="宋体"/>
          <w:szCs w:val="21"/>
          <w:u w:val="single"/>
        </w:rPr>
      </w:pPr>
      <w:r>
        <w:rPr>
          <w:rFonts w:hint="eastAsia" w:ascii="宋体" w:hAnsi="宋体" w:cs="宋体"/>
          <w:szCs w:val="21"/>
        </w:rPr>
        <w:t xml:space="preserve">计划开工日期：      年     月      日。</w:t>
      </w:r>
      <w:r>
        <w:rPr>
          <w:rFonts w:hint="eastAsia" w:ascii="宋体" w:hAnsi="宋体" w:cs="宋体"/>
          <w:szCs w:val="21"/>
          <w:u w:val="single"/>
        </w:rPr>
      </w:r>
      <w:r/>
    </w:p>
    <w:p>
      <w:pPr>
        <w:pStyle w:val="1020"/>
        <w:ind w:firstLine="459"/>
        <w:spacing w:line="360" w:lineRule="auto"/>
        <w:rPr>
          <w:rFonts w:hint="eastAsia" w:ascii="宋体" w:hAnsi="宋体" w:cs="宋体"/>
          <w:szCs w:val="21"/>
        </w:rPr>
      </w:pPr>
      <w:r>
        <w:rPr>
          <w:rFonts w:hint="eastAsia" w:ascii="宋体" w:hAnsi="宋体" w:cs="宋体"/>
          <w:szCs w:val="21"/>
        </w:rPr>
        <w:t xml:space="preserve">计划竣工日期：      年     月      日。</w:t>
      </w:r>
      <w:r>
        <w:rPr>
          <w:rFonts w:hint="eastAsia" w:ascii="宋体" w:hAnsi="宋体" w:cs="宋体"/>
          <w:szCs w:val="21"/>
        </w:rPr>
      </w:r>
      <w:r/>
    </w:p>
    <w:p>
      <w:pPr>
        <w:pStyle w:val="1020"/>
        <w:ind w:firstLine="459"/>
        <w:spacing w:line="360"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天。以开工报告批准日为实际开工日，工期总日历天数与根据前述计划开竣工日期计算的工期天数不一致的，以工期总日历天数为准。</w:t>
      </w:r>
      <w:r>
        <w:rPr>
          <w:rFonts w:hint="eastAsia" w:ascii="宋体" w:hAnsi="宋体" w:cs="宋体"/>
          <w:szCs w:val="21"/>
        </w:rPr>
      </w:r>
      <w:r/>
    </w:p>
    <w:p>
      <w:pPr>
        <w:pStyle w:val="1024"/>
        <w:spacing w:line="360" w:lineRule="auto"/>
        <w:rPr>
          <w:rFonts w:cs="宋体"/>
          <w:sz w:val="21"/>
          <w:szCs w:val="21"/>
        </w:rPr>
      </w:pPr>
      <w:r/>
      <w:bookmarkStart w:id="40" w:name="_Toc351203483"/>
      <w:r>
        <w:rPr>
          <w:rFonts w:hint="eastAsia" w:cs="宋体"/>
          <w:b w:val="0"/>
          <w:sz w:val="21"/>
          <w:szCs w:val="21"/>
        </w:rPr>
        <w:t xml:space="preserve">三、质量标准</w:t>
      </w:r>
      <w:bookmarkEnd w:id="40"/>
      <w:r>
        <w:rPr>
          <w:rFonts w:cs="宋体"/>
          <w:sz w:val="21"/>
          <w:szCs w:val="21"/>
        </w:rPr>
      </w:r>
      <w:r/>
    </w:p>
    <w:p>
      <w:pPr>
        <w:pStyle w:val="1020"/>
        <w:ind w:firstLine="459"/>
        <w:spacing w:line="360"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b/>
          <w:bCs/>
          <w:szCs w:val="21"/>
          <w:u w:val="single"/>
        </w:rPr>
        <w:t xml:space="preserve">《建筑工程施工质量验收统一标准》合格标准</w:t>
      </w:r>
      <w:r>
        <w:rPr>
          <w:rFonts w:hint="eastAsia" w:ascii="宋体" w:hAnsi="宋体" w:cs="宋体"/>
          <w:szCs w:val="21"/>
        </w:rPr>
        <w:t xml:space="preserve">。</w:t>
      </w:r>
      <w:r>
        <w:rPr>
          <w:rFonts w:hint="eastAsia" w:ascii="宋体" w:hAnsi="宋体" w:cs="宋体"/>
          <w:szCs w:val="21"/>
        </w:rPr>
      </w:r>
      <w:r/>
    </w:p>
    <w:p>
      <w:pPr>
        <w:pStyle w:val="1024"/>
        <w:spacing w:line="360" w:lineRule="auto"/>
        <w:rPr>
          <w:rFonts w:cs="宋体"/>
          <w:sz w:val="21"/>
          <w:szCs w:val="21"/>
        </w:rPr>
      </w:pPr>
      <w:r/>
      <w:bookmarkStart w:id="41" w:name="_Toc351203484"/>
      <w:r>
        <w:rPr>
          <w:rFonts w:hint="eastAsia" w:cs="宋体"/>
          <w:b w:val="0"/>
          <w:sz w:val="21"/>
          <w:szCs w:val="21"/>
        </w:rPr>
        <w:t xml:space="preserve">四、签约合同价与合同价格形式</w:t>
      </w:r>
      <w:bookmarkEnd w:id="41"/>
      <w:r>
        <w:rPr>
          <w:rFonts w:hint="eastAsia" w:cs="宋体"/>
          <w:b w:val="0"/>
          <w:sz w:val="21"/>
          <w:szCs w:val="21"/>
        </w:rPr>
        <w:tab/>
      </w:r>
      <w:r>
        <w:rPr>
          <w:rFonts w:cs="宋体"/>
          <w:sz w:val="21"/>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1.签约合同价为：</w:t>
      </w:r>
      <w:r>
        <w:rPr>
          <w:rFonts w:hint="eastAsia" w:ascii="宋体" w:hAnsi="宋体" w:cs="宋体"/>
          <w:szCs w:val="21"/>
        </w:rPr>
      </w:r>
      <w:r/>
    </w:p>
    <w:p>
      <w:pPr>
        <w:pStyle w:val="1020"/>
        <w:ind w:firstLine="52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1260"/>
        <w:spacing w:line="360" w:lineRule="auto"/>
        <w:rPr>
          <w:rFonts w:hint="eastAsia" w:ascii="宋体" w:hAnsi="宋体" w:cs="宋体"/>
          <w:szCs w:val="21"/>
        </w:rPr>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rPr>
        <w:t xml:space="preserve">元）；</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（1）安全文明施工费：</w:t>
      </w:r>
      <w:r>
        <w:rPr>
          <w:rFonts w:hint="eastAsia" w:ascii="宋体" w:hAnsi="宋体" w:cs="宋体"/>
          <w:szCs w:val="21"/>
        </w:rPr>
      </w:r>
      <w:r/>
    </w:p>
    <w:p>
      <w:pPr>
        <w:pStyle w:val="1020"/>
        <w:ind w:firstLine="94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1785"/>
        <w:spacing w:line="360" w:lineRule="auto"/>
        <w:rPr>
          <w:rFonts w:hint="eastAsia" w:ascii="宋体" w:hAnsi="宋体" w:cs="宋体"/>
          <w:szCs w:val="21"/>
        </w:rPr>
      </w:pPr>
      <w:r>
        <w:rPr>
          <w:rFonts w:hint="eastAsia" w:ascii="宋体" w:hAnsi="宋体" w:cs="宋体"/>
          <w:szCs w:val="21"/>
        </w:rPr>
        <w:t xml:space="preserve"> （小写：¥</w:t>
      </w:r>
      <w:r>
        <w:rPr>
          <w:rFonts w:hint="eastAsia" w:ascii="宋体" w:hAnsi="宋体" w:cs="宋体"/>
          <w:szCs w:val="21"/>
          <w:u w:val="single"/>
        </w:rPr>
        <w:t xml:space="preserve"> </w:t>
      </w:r>
      <w:r>
        <w:rPr>
          <w:rFonts w:hint="eastAsia" w:ascii="宋体" w:hAnsi="宋体" w:cs="宋体"/>
          <w:spacing w:val="-2"/>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（2）材料和工程设备暂估价金额：</w:t>
      </w:r>
      <w:r>
        <w:rPr>
          <w:rFonts w:hint="eastAsia" w:ascii="宋体" w:hAnsi="宋体" w:cs="宋体"/>
          <w:szCs w:val="21"/>
        </w:rPr>
      </w:r>
      <w:r/>
    </w:p>
    <w:p>
      <w:pPr>
        <w:pStyle w:val="1020"/>
        <w:ind w:firstLine="94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（小写：¥</w:t>
      </w:r>
      <w:r>
        <w:rPr>
          <w:rFonts w:hint="eastAsia" w:ascii="宋体" w:hAnsi="宋体" w:cs="宋体"/>
          <w:szCs w:val="21"/>
          <w:u w:val="single"/>
        </w:rPr>
        <w:t xml:space="preserve"> / </w:t>
      </w:r>
      <w:r>
        <w:rPr>
          <w:rFonts w:hint="eastAsia" w:ascii="宋体" w:hAnsi="宋体" w:cs="宋体"/>
          <w:szCs w:val="21"/>
        </w:rPr>
        <w:t xml:space="preserve">元）；</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（3）专业工程暂估价金额：</w:t>
      </w:r>
      <w:r>
        <w:rPr>
          <w:rFonts w:hint="eastAsia" w:ascii="宋体" w:hAnsi="宋体" w:cs="宋体"/>
          <w:szCs w:val="21"/>
        </w:rPr>
      </w:r>
      <w:r/>
    </w:p>
    <w:p>
      <w:pPr>
        <w:pStyle w:val="1020"/>
        <w:ind w:firstLine="945"/>
        <w:spacing w:line="360"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（小写：¥</w:t>
      </w:r>
      <w:r>
        <w:rPr>
          <w:rFonts w:hint="eastAsia" w:ascii="宋体" w:hAnsi="宋体" w:cs="宋体"/>
          <w:szCs w:val="21"/>
          <w:u w:val="single"/>
        </w:rPr>
        <w:t xml:space="preserve">  / 元）</w:t>
      </w:r>
      <w:r>
        <w:rPr>
          <w:rFonts w:hint="eastAsia" w:ascii="宋体" w:hAnsi="宋体" w:cs="宋体"/>
          <w:szCs w:val="21"/>
        </w:rPr>
        <w:t xml:space="preserve">；</w:t>
      </w:r>
      <w:r>
        <w:rPr>
          <w:rFonts w:hint="eastAsia" w:ascii="宋体" w:hAnsi="宋体" w:cs="宋体"/>
          <w:szCs w:val="21"/>
        </w:rPr>
      </w:r>
      <w:r/>
    </w:p>
    <w:p>
      <w:pPr>
        <w:pStyle w:val="1020"/>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暂列金额：</w:t>
      </w:r>
      <w:r>
        <w:rPr>
          <w:rFonts w:hint="eastAsia" w:ascii="宋体" w:hAnsi="宋体" w:cs="宋体"/>
          <w:szCs w:val="21"/>
        </w:rPr>
      </w:r>
      <w:r/>
    </w:p>
    <w:p>
      <w:pPr>
        <w:pStyle w:val="1020"/>
        <w:ind w:firstLine="840"/>
        <w:spacing w:line="360" w:lineRule="auto"/>
        <w:rPr>
          <w:rFonts w:hint="eastAsia" w:ascii="宋体" w:hAnsi="宋体" w:cs="宋体"/>
          <w:szCs w:val="21"/>
        </w:rPr>
      </w:pPr>
      <w:r>
        <w:rPr>
          <w:rFonts w:hint="eastAsia" w:ascii="宋体" w:hAnsi="宋体" w:cs="宋体"/>
          <w:szCs w:val="21"/>
        </w:rPr>
        <w:t xml:space="preserve">人民币  （大写：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1680"/>
        <w:spacing w:line="360" w:lineRule="auto"/>
        <w:rPr>
          <w:rFonts w:hint="eastAsia" w:ascii="宋体" w:hAnsi="宋体" w:cs="宋体"/>
          <w:szCs w:val="21"/>
        </w:rPr>
      </w:pPr>
      <w:r>
        <w:rPr>
          <w:rFonts w:hint="eastAsia" w:ascii="宋体" w:hAnsi="宋体" w:cs="宋体"/>
          <w:szCs w:val="21"/>
        </w:rPr>
        <w:t xml:space="preserve">（小写：¥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1020"/>
        <w:ind w:firstLine="420"/>
        <w:spacing w:line="360" w:lineRule="auto"/>
        <w:rPr>
          <w:rFonts w:hint="eastAsia" w:ascii="宋体" w:hAnsi="宋体" w:cs="宋体"/>
          <w:szCs w:val="21"/>
          <w:u w:val="single"/>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1024"/>
        <w:spacing w:line="360" w:lineRule="auto"/>
        <w:rPr>
          <w:rFonts w:cs="宋体"/>
          <w:b w:val="0"/>
          <w:sz w:val="21"/>
          <w:szCs w:val="21"/>
        </w:rPr>
      </w:pPr>
      <w:r/>
      <w:bookmarkStart w:id="42" w:name="_Toc351203485"/>
      <w:r>
        <w:rPr>
          <w:rFonts w:hint="eastAsia" w:cs="宋体"/>
          <w:b w:val="0"/>
          <w:sz w:val="21"/>
          <w:szCs w:val="21"/>
        </w:rPr>
        <w:t xml:space="preserve">五、</w:t>
      </w:r>
      <w:bookmarkEnd w:id="42"/>
      <w:r>
        <w:rPr>
          <w:rFonts w:hint="eastAsia" w:cs="宋体"/>
          <w:b w:val="0"/>
          <w:sz w:val="21"/>
          <w:szCs w:val="21"/>
        </w:rPr>
        <w:t xml:space="preserve">项目经理</w:t>
      </w:r>
      <w:r>
        <w:rPr>
          <w:rFonts w:cs="宋体"/>
          <w:b w:val="0"/>
          <w:sz w:val="21"/>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 xml:space="preserve">证号</w:t>
      </w:r>
      <w:r>
        <w:rPr>
          <w:rFonts w:hint="eastAsia" w:ascii="宋体" w:hAnsi="宋体" w:cs="宋体"/>
          <w:szCs w:val="21"/>
          <w:u w:val="single"/>
        </w:rPr>
        <w:t xml:space="preserve">：</w:t>
      </w:r>
      <w:r>
        <w:rPr>
          <w:rFonts w:hint="eastAsia" w:ascii="宋体" w:hAnsi="宋体" w:cs="宋体"/>
          <w:b/>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4"/>
        <w:spacing w:line="360" w:lineRule="auto"/>
        <w:rPr>
          <w:rFonts w:cs="宋体"/>
          <w:sz w:val="21"/>
          <w:szCs w:val="21"/>
        </w:rPr>
      </w:pPr>
      <w:r/>
      <w:bookmarkStart w:id="43" w:name="_Toc351203486"/>
      <w:r>
        <w:rPr>
          <w:rFonts w:hint="eastAsia" w:cs="宋体"/>
          <w:b w:val="0"/>
          <w:sz w:val="21"/>
          <w:szCs w:val="21"/>
        </w:rPr>
        <w:t xml:space="preserve">六、合同文件构成</w:t>
      </w:r>
      <w:bookmarkEnd w:id="43"/>
      <w:r>
        <w:rPr>
          <w:rFonts w:cs="宋体"/>
          <w:sz w:val="21"/>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本协议书与下列文件一起构成合同文件：</w:t>
      </w:r>
      <w:r>
        <w:rPr>
          <w:rFonts w:hint="eastAsia" w:ascii="宋体" w:hAnsi="宋体" w:cs="宋体"/>
          <w:bCs/>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（1）中标通知书（如果有）；</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（2）投标函及其附录（如果有）； </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（3）专用合同条款及其附件；</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（4）通用合同条款；</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（5）技术标准和要求；</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（6）图纸；</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（7）已标价工程量清单或预算书；</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（8）其他合同文件。</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rPr>
          <w:rFonts w:hint="eastAsia" w:ascii="宋体" w:hAnsi="宋体" w:cs="宋体"/>
          <w:szCs w:val="21"/>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Cs w:val="21"/>
        </w:rPr>
      </w:r>
      <w:r/>
    </w:p>
    <w:p>
      <w:pPr>
        <w:pStyle w:val="1024"/>
        <w:spacing w:line="360" w:lineRule="auto"/>
        <w:rPr>
          <w:rFonts w:cs="宋体"/>
          <w:b w:val="0"/>
          <w:sz w:val="21"/>
          <w:szCs w:val="21"/>
        </w:rPr>
      </w:pPr>
      <w:r/>
      <w:bookmarkStart w:id="44" w:name="_Toc351203487"/>
      <w:r>
        <w:rPr>
          <w:rFonts w:hint="eastAsia" w:cs="宋体"/>
          <w:b w:val="0"/>
          <w:sz w:val="21"/>
          <w:szCs w:val="21"/>
        </w:rPr>
        <w:t xml:space="preserve">七、承诺</w:t>
      </w:r>
      <w:bookmarkEnd w:id="44"/>
      <w:r>
        <w:rPr>
          <w:rFonts w:cs="宋体"/>
          <w:b w:val="0"/>
          <w:sz w:val="21"/>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rPr>
          <w:rFonts w:hint="eastAsia" w:ascii="宋体" w:hAnsi="宋体" w:cs="宋体"/>
          <w:bCs/>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rPr>
          <w:rFonts w:hint="eastAsia" w:ascii="宋体" w:hAnsi="宋体" w:cs="宋体"/>
          <w:bCs/>
          <w:szCs w:val="21"/>
        </w:rPr>
      </w:r>
      <w:r/>
    </w:p>
    <w:p>
      <w:pPr>
        <w:pStyle w:val="1024"/>
        <w:spacing w:line="360" w:lineRule="auto"/>
        <w:rPr>
          <w:rFonts w:cs="宋体"/>
          <w:b w:val="0"/>
          <w:sz w:val="21"/>
          <w:szCs w:val="21"/>
        </w:rPr>
      </w:pPr>
      <w:r/>
      <w:bookmarkStart w:id="45" w:name="_Toc351203488"/>
      <w:r>
        <w:rPr>
          <w:rFonts w:hint="eastAsia" w:cs="宋体"/>
          <w:b w:val="0"/>
          <w:sz w:val="21"/>
          <w:szCs w:val="21"/>
        </w:rPr>
        <w:t xml:space="preserve">八、词语含义</w:t>
      </w:r>
      <w:bookmarkEnd w:id="45"/>
      <w:r>
        <w:rPr>
          <w:rFonts w:cs="宋体"/>
          <w:b w:val="0"/>
          <w:sz w:val="21"/>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rPr>
          <w:rFonts w:hint="eastAsia" w:ascii="宋体" w:hAnsi="宋体" w:cs="宋体"/>
          <w:bCs/>
          <w:szCs w:val="21"/>
        </w:rPr>
      </w:r>
      <w:r/>
    </w:p>
    <w:p>
      <w:pPr>
        <w:pStyle w:val="1024"/>
        <w:spacing w:line="360" w:lineRule="auto"/>
        <w:rPr>
          <w:rFonts w:cs="宋体"/>
          <w:sz w:val="21"/>
          <w:szCs w:val="21"/>
        </w:rPr>
      </w:pPr>
      <w:r/>
      <w:bookmarkStart w:id="46" w:name="_Toc351203489"/>
      <w:r>
        <w:rPr>
          <w:rFonts w:hint="eastAsia" w:cs="宋体"/>
          <w:b w:val="0"/>
          <w:sz w:val="21"/>
          <w:szCs w:val="21"/>
        </w:rPr>
        <w:t xml:space="preserve">九、签订时间</w:t>
      </w:r>
      <w:bookmarkEnd w:id="46"/>
      <w:r>
        <w:rPr>
          <w:rFonts w:cs="宋体"/>
          <w:sz w:val="21"/>
          <w:szCs w:val="21"/>
        </w:rPr>
      </w:r>
      <w:r/>
    </w:p>
    <w:p>
      <w:pPr>
        <w:pStyle w:val="1020"/>
        <w:ind w:firstLine="420"/>
        <w:spacing w:line="360" w:lineRule="auto"/>
        <w:rPr>
          <w:rFonts w:hint="eastAsia" w:ascii="宋体" w:hAnsi="宋体" w:cs="宋体"/>
          <w:bCs/>
          <w:szCs w:val="21"/>
          <w:u w:val="single"/>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 </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rPr>
          <w:rFonts w:hint="eastAsia" w:ascii="宋体" w:hAnsi="宋体" w:cs="宋体"/>
          <w:bCs/>
          <w:szCs w:val="21"/>
          <w:u w:val="single"/>
        </w:rPr>
      </w:r>
      <w:r/>
    </w:p>
    <w:p>
      <w:pPr>
        <w:pStyle w:val="1024"/>
        <w:spacing w:line="360" w:lineRule="auto"/>
        <w:rPr>
          <w:rFonts w:cs="宋体"/>
          <w:sz w:val="21"/>
          <w:szCs w:val="21"/>
        </w:rPr>
      </w:pPr>
      <w:r/>
      <w:bookmarkStart w:id="47" w:name="_Toc351203490"/>
      <w:r>
        <w:rPr>
          <w:rFonts w:hint="eastAsia" w:cs="宋体"/>
          <w:b w:val="0"/>
          <w:sz w:val="21"/>
          <w:szCs w:val="21"/>
        </w:rPr>
        <w:t xml:space="preserve">十、签订地点</w:t>
      </w:r>
      <w:bookmarkEnd w:id="47"/>
      <w:r>
        <w:rPr>
          <w:rFonts w:cs="宋体"/>
          <w:sz w:val="21"/>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lang w:val="zh-CN"/>
        </w:rPr>
        <w:t xml:space="preserve">南京市</w:t>
      </w:r>
      <w:r>
        <w:rPr>
          <w:rFonts w:hint="eastAsia" w:ascii="宋体" w:hAnsi="宋体" w:cs="宋体"/>
          <w:bCs/>
          <w:szCs w:val="21"/>
          <w:u w:val="single"/>
        </w:rPr>
        <w:t xml:space="preserve">浦口区黄山岭路69号</w:t>
      </w:r>
      <w:r>
        <w:rPr>
          <w:rFonts w:hint="eastAsia" w:ascii="宋体" w:hAnsi="宋体" w:cs="宋体"/>
          <w:bCs/>
          <w:szCs w:val="21"/>
        </w:rPr>
        <w:t xml:space="preserve">签订。</w:t>
      </w:r>
      <w:r>
        <w:rPr>
          <w:rFonts w:hint="eastAsia" w:ascii="宋体" w:hAnsi="宋体" w:cs="宋体"/>
          <w:bCs/>
          <w:szCs w:val="21"/>
        </w:rPr>
      </w:r>
      <w:r/>
    </w:p>
    <w:p>
      <w:pPr>
        <w:pStyle w:val="1024"/>
        <w:spacing w:line="360" w:lineRule="auto"/>
        <w:rPr>
          <w:rFonts w:cs="宋体"/>
          <w:sz w:val="21"/>
          <w:szCs w:val="21"/>
        </w:rPr>
      </w:pPr>
      <w:r/>
      <w:bookmarkStart w:id="48" w:name="_Toc351203491"/>
      <w:r>
        <w:rPr>
          <w:rFonts w:hint="eastAsia" w:cs="宋体"/>
          <w:b w:val="0"/>
          <w:sz w:val="21"/>
          <w:szCs w:val="21"/>
        </w:rPr>
        <w:t xml:space="preserve">十一、补充协议</w:t>
      </w:r>
      <w:bookmarkEnd w:id="48"/>
      <w:r>
        <w:rPr>
          <w:rFonts w:cs="宋体"/>
          <w:sz w:val="21"/>
          <w:szCs w:val="21"/>
        </w:rPr>
      </w:r>
      <w:r/>
    </w:p>
    <w:p>
      <w:pPr>
        <w:pStyle w:val="1020"/>
        <w:ind w:firstLine="420"/>
        <w:spacing w:line="360"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rPr>
          <w:rFonts w:hint="eastAsia" w:ascii="宋体" w:hAnsi="宋体" w:cs="宋体"/>
          <w:b/>
          <w:bCs/>
          <w:szCs w:val="21"/>
        </w:rPr>
      </w:r>
      <w:r/>
    </w:p>
    <w:p>
      <w:pPr>
        <w:pStyle w:val="1024"/>
        <w:spacing w:line="360" w:lineRule="auto"/>
        <w:rPr>
          <w:rFonts w:cs="宋体"/>
          <w:sz w:val="21"/>
          <w:szCs w:val="21"/>
        </w:rPr>
      </w:pPr>
      <w:r/>
      <w:bookmarkStart w:id="49" w:name="_Toc351203492"/>
      <w:r>
        <w:rPr>
          <w:rFonts w:hint="eastAsia" w:cs="宋体"/>
          <w:b w:val="0"/>
          <w:sz w:val="21"/>
          <w:szCs w:val="21"/>
        </w:rPr>
        <w:t xml:space="preserve">十二、合同生效</w:t>
      </w:r>
      <w:bookmarkEnd w:id="49"/>
      <w:r>
        <w:rPr>
          <w:rFonts w:cs="宋体"/>
          <w:sz w:val="21"/>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双方法定代表人或委托代理人签名并加盖单位公章之日起</w:t>
      </w:r>
      <w:r>
        <w:rPr>
          <w:rFonts w:hint="eastAsia" w:ascii="宋体" w:hAnsi="宋体" w:cs="宋体"/>
          <w:bCs/>
          <w:szCs w:val="21"/>
        </w:rPr>
        <w:t xml:space="preserve">生效。</w:t>
      </w:r>
      <w:r>
        <w:rPr>
          <w:rFonts w:hint="eastAsia" w:ascii="宋体" w:hAnsi="宋体" w:cs="宋体"/>
          <w:bCs/>
          <w:szCs w:val="21"/>
        </w:rPr>
      </w:r>
      <w:r/>
    </w:p>
    <w:p>
      <w:pPr>
        <w:pStyle w:val="1024"/>
        <w:spacing w:line="360" w:lineRule="auto"/>
        <w:rPr>
          <w:rFonts w:cs="宋体"/>
          <w:sz w:val="21"/>
          <w:szCs w:val="21"/>
        </w:rPr>
      </w:pPr>
      <w:r/>
      <w:bookmarkStart w:id="50" w:name="_Toc351203493"/>
      <w:r>
        <w:rPr>
          <w:rFonts w:hint="eastAsia" w:cs="宋体"/>
          <w:b w:val="0"/>
          <w:sz w:val="21"/>
          <w:szCs w:val="21"/>
        </w:rPr>
        <w:t xml:space="preserve">十三、合同份数</w:t>
      </w:r>
      <w:bookmarkEnd w:id="50"/>
      <w:r>
        <w:rPr>
          <w:rFonts w:cs="宋体"/>
          <w:sz w:val="21"/>
          <w:szCs w:val="21"/>
        </w:rPr>
      </w:r>
      <w:r/>
    </w:p>
    <w:p>
      <w:pPr>
        <w:pStyle w:val="1020"/>
        <w:ind w:firstLine="420"/>
        <w:spacing w:line="360"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rPr>
        <w:t xml:space="preserve">份。</w:t>
      </w:r>
      <w:r>
        <w:rPr>
          <w:rFonts w:hint="eastAsia" w:ascii="宋体" w:hAnsi="宋体" w:cs="宋体"/>
          <w:bCs/>
          <w:szCs w:val="21"/>
        </w:rPr>
      </w:r>
      <w:r/>
    </w:p>
    <w:p>
      <w:pPr>
        <w:pStyle w:val="1020"/>
        <w:spacing w:line="360" w:lineRule="auto"/>
        <w:rPr>
          <w:rFonts w:hint="eastAsia" w:ascii="宋体" w:hAnsi="宋体" w:cs="宋体"/>
          <w:bCs/>
          <w:szCs w:val="21"/>
        </w:rPr>
      </w:pPr>
      <w:r>
        <w:rPr>
          <w:rFonts w:hint="eastAsia" w:ascii="宋体" w:hAnsi="宋体" w:cs="宋体"/>
          <w:bCs/>
          <w:szCs w:val="21"/>
        </w:rPr>
      </w:r>
      <w:r/>
    </w:p>
    <w:p>
      <w:pPr>
        <w:pStyle w:val="1020"/>
        <w:spacing w:line="360" w:lineRule="auto"/>
        <w:rPr>
          <w:rFonts w:hint="eastAsia" w:ascii="宋体" w:hAnsi="宋体" w:cs="宋体"/>
          <w:bCs/>
          <w:szCs w:val="21"/>
        </w:rPr>
      </w:pPr>
      <w:r>
        <w:rPr>
          <w:rFonts w:hint="eastAsia" w:ascii="宋体" w:hAnsi="宋体" w:cs="宋体"/>
          <w:bCs/>
          <w:szCs w:val="21"/>
        </w:rPr>
      </w:r>
      <w:r/>
    </w:p>
    <w:p>
      <w:pPr>
        <w:pStyle w:val="1327"/>
        <w:ind w:firstLine="400"/>
        <w:rPr>
          <w:rFonts w:hint="eastAsia" w:ascii="宋体" w:hAnsi="宋体" w:cs="宋体"/>
          <w:sz w:val="20"/>
          <w:szCs w:val="20"/>
        </w:rPr>
      </w:pPr>
      <w:r>
        <w:rPr>
          <w:rFonts w:hint="eastAsia" w:ascii="宋体" w:hAnsi="宋体" w:cs="宋体"/>
          <w:sz w:val="20"/>
          <w:szCs w:val="20"/>
        </w:rPr>
      </w:r>
      <w:r/>
    </w:p>
    <w:p>
      <w:pPr>
        <w:pStyle w:val="1020"/>
        <w:spacing w:line="360" w:lineRule="auto"/>
        <w:rPr>
          <w:rFonts w:hint="eastAsia" w:ascii="宋体" w:hAnsi="宋体" w:cs="宋体"/>
          <w:szCs w:val="21"/>
        </w:rPr>
      </w:pPr>
      <w:r>
        <w:rPr>
          <w:rFonts w:hint="eastAsia" w:ascii="宋体" w:hAnsi="宋体" w:cs="宋体"/>
          <w:szCs w:val="21"/>
        </w:rPr>
        <w:t xml:space="preserve">发包人：  （公章）                          承包人：  （公章）</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（签名）                                 （签名）</w:t>
      </w:r>
      <w:r>
        <w:rPr>
          <w:rFonts w:hint="eastAsia" w:ascii="宋体" w:hAnsi="宋体" w:cs="宋体"/>
          <w:szCs w:val="21"/>
        </w:rPr>
      </w:r>
      <w:r/>
    </w:p>
    <w:p>
      <w:pPr>
        <w:pStyle w:val="1020"/>
        <w:spacing w:line="360" w:lineRule="auto"/>
        <w:tabs>
          <w:tab w:val="left" w:pos="4410" w:leader="none"/>
        </w:tabs>
        <w:rPr>
          <w:rFonts w:hint="eastAsia" w:ascii="宋体" w:hAnsi="宋体" w:cs="宋体"/>
          <w:szCs w:val="21"/>
        </w:rPr>
      </w:pPr>
      <w:r>
        <w:rPr>
          <w:rFonts w:hint="eastAsia" w:ascii="宋体" w:hAnsi="宋体" w:cs="宋体"/>
          <w:szCs w:val="21"/>
        </w:rPr>
        <w:t xml:space="preserve">组织机构代码：                           组织机构代码：  </w:t>
      </w:r>
      <w:r>
        <w:rPr>
          <w:rFonts w:hint="eastAsia" w:ascii="宋体" w:hAnsi="宋体" w:cs="宋体"/>
          <w:szCs w:val="21"/>
        </w:rPr>
      </w:r>
      <w:r/>
    </w:p>
    <w:p>
      <w:pPr>
        <w:pStyle w:val="1020"/>
        <w:ind w:left="5250" w:hanging="5250"/>
        <w:spacing w:line="360" w:lineRule="auto"/>
        <w:rPr>
          <w:rFonts w:hint="eastAsia" w:ascii="宋体" w:hAnsi="宋体" w:cs="宋体"/>
          <w:szCs w:val="21"/>
        </w:rPr>
      </w:pPr>
      <w:r>
        <w:rPr>
          <w:rFonts w:hint="eastAsia" w:ascii="宋体" w:hAnsi="宋体" w:cs="宋体"/>
          <w:szCs w:val="21"/>
        </w:rPr>
        <w:t xml:space="preserve">地  址：                                 地  址： </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邮政编码：                               邮政编码： </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法定代表人：                             法定代表人： </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委托代理人：                             委托代理人：</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电  话：                                 电  话： </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传  真：                                 传  真： </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电子信箱：                               电子信箱： </w:t>
      </w:r>
      <w:r>
        <w:rPr>
          <w:rFonts w:hint="eastAsia" w:ascii="宋体" w:hAnsi="宋体" w:cs="宋体"/>
          <w:szCs w:val="21"/>
        </w:rPr>
      </w:r>
      <w:r/>
    </w:p>
    <w:p>
      <w:pPr>
        <w:pStyle w:val="1020"/>
        <w:ind w:left="5460" w:hanging="5460"/>
        <w:spacing w:line="360" w:lineRule="auto"/>
        <w:rPr>
          <w:rFonts w:hint="eastAsia" w:ascii="宋体" w:hAnsi="宋体" w:cs="宋体"/>
          <w:szCs w:val="21"/>
        </w:rPr>
      </w:pPr>
      <w:r>
        <w:rPr>
          <w:rFonts w:hint="eastAsia" w:ascii="宋体" w:hAnsi="宋体" w:cs="宋体"/>
          <w:szCs w:val="21"/>
        </w:rPr>
        <w:t xml:space="preserve">开户银行：                              开户银行： </w:t>
      </w:r>
      <w:r>
        <w:rPr>
          <w:rFonts w:hint="eastAsia" w:ascii="宋体" w:hAnsi="宋体" w:cs="宋体"/>
          <w:szCs w:val="21"/>
        </w:rPr>
      </w:r>
      <w:r/>
    </w:p>
    <w:p>
      <w:pPr>
        <w:pStyle w:val="1020"/>
        <w:ind w:left="5460" w:hanging="5460"/>
        <w:spacing w:line="360" w:lineRule="auto"/>
        <w:rPr>
          <w:rFonts w:hint="eastAsia" w:ascii="宋体" w:hAnsi="宋体" w:cs="宋体"/>
          <w:sz w:val="24"/>
          <w:szCs w:val="24"/>
        </w:rPr>
      </w:pPr>
      <w:r>
        <w:rPr>
          <w:rFonts w:hint="eastAsia" w:ascii="宋体" w:hAnsi="宋体" w:cs="宋体"/>
          <w:szCs w:val="21"/>
        </w:rPr>
        <w:t xml:space="preserve">账  号：                                 账 号：</w:t>
      </w:r>
      <w:bookmarkStart w:id="51" w:name="_Toc36797913"/>
      <w:r/>
      <w:bookmarkStart w:id="52" w:name="_Toc351203494"/>
      <w:r/>
      <w:bookmarkStart w:id="53" w:name="_Toc351203652"/>
      <w:r>
        <w:rPr>
          <w:rFonts w:hint="eastAsia" w:ascii="宋体" w:hAnsi="宋体" w:cs="宋体"/>
          <w:sz w:val="24"/>
          <w:szCs w:val="24"/>
        </w:rPr>
      </w:r>
      <w:r/>
    </w:p>
    <w:p>
      <w:pPr>
        <w:pStyle w:val="1020"/>
        <w:ind w:left="7685" w:hanging="4640"/>
        <w:spacing w:line="360" w:lineRule="auto"/>
        <w:rPr>
          <w:rFonts w:hint="eastAsia" w:ascii="宋体" w:hAnsi="宋体" w:cs="宋体"/>
          <w:sz w:val="24"/>
          <w:szCs w:val="24"/>
        </w:rPr>
      </w:pPr>
      <w:r>
        <w:rPr>
          <w:rFonts w:hint="eastAsia" w:ascii="宋体" w:hAnsi="宋体" w:cs="宋体"/>
          <w:sz w:val="32"/>
          <w:szCs w:val="32"/>
        </w:rPr>
        <w:br w:type="page" w:clear="all"/>
      </w:r>
      <w:r>
        <w:rPr>
          <w:rFonts w:hint="eastAsia" w:ascii="宋体" w:hAnsi="宋体" w:cs="宋体"/>
          <w:sz w:val="32"/>
          <w:szCs w:val="32"/>
        </w:rPr>
        <w:t xml:space="preserve">第二部分 通用合同条款</w:t>
      </w:r>
      <w:bookmarkEnd w:id="51"/>
      <w:r/>
      <w:bookmarkEnd w:id="52"/>
      <w:r/>
      <w:bookmarkStart w:id="54" w:name="_Toc351203495"/>
      <w:r/>
      <w:bookmarkStart w:id="55" w:name="_Toc337558727"/>
      <w:r>
        <w:rPr>
          <w:rFonts w:hint="eastAsia" w:ascii="宋体" w:hAnsi="宋体" w:cs="宋体"/>
          <w:sz w:val="24"/>
          <w:szCs w:val="24"/>
        </w:rPr>
      </w:r>
      <w:r/>
    </w:p>
    <w:p>
      <w:pPr>
        <w:pStyle w:val="1020"/>
        <w:ind w:firstLine="480"/>
        <w:spacing w:line="360" w:lineRule="auto"/>
        <w:rPr>
          <w:rFonts w:hint="eastAsia" w:ascii="宋体" w:hAnsi="宋体" w:cs="宋体"/>
          <w:szCs w:val="21"/>
        </w:rPr>
      </w:pPr>
      <w:r/>
      <w:bookmarkEnd w:id="54"/>
      <w:r/>
      <w:bookmarkEnd w:id="55"/>
      <w:r>
        <w:rPr>
          <w:rFonts w:ascii="宋体" w:hAnsi="宋体" w:cs="宋体"/>
          <w:sz w:val="24"/>
          <w:szCs w:val="24"/>
        </w:rPr>
        <w:t xml:space="preserve">此部分采用《建设设工程施工合同》范本（GF-2017-0201）中《第二部分通用条款》</w:t>
      </w:r>
      <w:r>
        <w:rPr>
          <w:rFonts w:hint="eastAsia" w:ascii="宋体" w:hAnsi="宋体" w:cs="宋体"/>
          <w:szCs w:val="21"/>
        </w:rPr>
      </w:r>
      <w:r/>
    </w:p>
    <w:p>
      <w:pPr>
        <w:pStyle w:val="1023"/>
        <w:jc w:val="center"/>
        <w:spacing w:line="600" w:lineRule="exact"/>
        <w:rPr>
          <w:rFonts w:hint="eastAsia" w:ascii="宋体" w:hAnsi="宋体" w:cs="宋体"/>
        </w:rPr>
      </w:pPr>
      <w:r/>
      <w:bookmarkStart w:id="56" w:name="_Toc351203632"/>
      <w:r>
        <w:rPr>
          <w:rFonts w:hint="eastAsia" w:ascii="宋体" w:hAnsi="宋体" w:cs="宋体"/>
          <w:sz w:val="36"/>
          <w:szCs w:val="36"/>
        </w:rPr>
        <w:br w:type="page" w:clear="all"/>
      </w:r>
      <w:bookmarkStart w:id="57" w:name="_Toc36797918"/>
      <w:r>
        <w:rPr>
          <w:rFonts w:hint="eastAsia" w:ascii="宋体" w:hAnsi="宋体" w:cs="宋体"/>
        </w:rPr>
        <w:t xml:space="preserve">第三部分 专用合同条款</w:t>
      </w:r>
      <w:bookmarkEnd w:id="56"/>
      <w:r/>
      <w:bookmarkEnd w:id="57"/>
      <w:r>
        <w:rPr>
          <w:rFonts w:hint="eastAsia" w:ascii="宋体" w:hAnsi="宋体" w:cs="宋体"/>
        </w:rPr>
      </w:r>
      <w:r/>
    </w:p>
    <w:p>
      <w:pPr>
        <w:pStyle w:val="1020"/>
        <w:ind w:firstLine="420"/>
        <w:spacing w:line="288" w:lineRule="auto"/>
        <w:rPr>
          <w:rFonts w:hint="eastAsia" w:ascii="宋体" w:hAnsi="宋体" w:cs="宋体"/>
        </w:rPr>
      </w:pPr>
      <w:r>
        <w:rPr>
          <w:rFonts w:hint="eastAsia" w:ascii="宋体" w:hAnsi="宋体" w:cs="宋体"/>
        </w:rPr>
      </w:r>
      <w:r/>
    </w:p>
    <w:p>
      <w:pPr>
        <w:pStyle w:val="1020"/>
        <w:ind w:firstLine="420"/>
        <w:spacing w:line="360" w:lineRule="auto"/>
        <w:rPr>
          <w:rFonts w:hint="eastAsia" w:ascii="宋体" w:hAnsi="宋体" w:cs="宋体"/>
          <w:szCs w:val="21"/>
        </w:rPr>
      </w:pPr>
      <w:r>
        <w:rPr>
          <w:rFonts w:hint="eastAsia" w:ascii="宋体" w:hAnsi="宋体" w:cs="宋体"/>
          <w:szCs w:val="21"/>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End w:id="53"/>
      <w:r>
        <w:rPr>
          <w:rFonts w:hint="eastAsia" w:ascii="宋体" w:hAnsi="宋体" w:cs="宋体"/>
          <w:szCs w:val="21"/>
        </w:rPr>
        <w:t xml:space="preserve">1.一般约定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1.1词语定义</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1.1.1.10其他合同文件包括：</w:t>
      </w:r>
      <w:r>
        <w:rPr>
          <w:rFonts w:hint="eastAsia" w:ascii="宋体" w:hAnsi="宋体" w:cs="宋体"/>
          <w:szCs w:val="21"/>
          <w:u w:val="single"/>
        </w:rPr>
        <w:t xml:space="preserve">（1）本合同协议书；（2）补充协议；（3）本合同专用条款；（4）中标通知书；（5）招标文件；（6）投标函及投标函附录；（7）本合同通用条款；（8）图纸；（9）标准、规范及有关技术文件、技术要求；（10）投标文件（不含投标函及投标函附录）；（11）双方有关工程的洽商、变更等相关文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1.1.2合同当事人及其他相关方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1.1.2.4监理人：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1.1.2.5设计人：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名称：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020"/>
        <w:ind w:firstLine="48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1.1.3工程和设备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永久占地和临时占地</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1.1.3.9 永久占地包括：</w:t>
      </w:r>
      <w:r>
        <w:rPr>
          <w:rFonts w:hint="eastAsia" w:ascii="宋体" w:hAnsi="宋体" w:cs="宋体"/>
          <w:szCs w:val="21"/>
          <w:u w:val="single"/>
        </w:rPr>
        <w:t xml:space="preserve">规划红线范围内工程占地</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1.1.3.10 临时占地包括：经</w:t>
      </w:r>
      <w:r>
        <w:rPr>
          <w:rFonts w:hint="eastAsia" w:ascii="宋体" w:hAnsi="宋体" w:cs="宋体"/>
          <w:szCs w:val="21"/>
          <w:u w:val="single"/>
        </w:rPr>
        <w:t xml:space="preserve">发包人批准的用于搭设临时设施的红线内场地，红线外场地由承包人自行解决，如果需要发包人协助解决，承包人承担相关费用</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1.3法律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建筑法》、《中华人民共和国民法典》、《中华人民共和国招标投标法》、《中华人民共和国招标投标法实施条例》、《中华人民共和国安全生产法》、《建设工程安全生产管理条例》、《建设工程质量管理条例》、《中华人民共和国劳动法》、《保障农民工工资支付条例》及国家、江苏省、南京市其他有关建筑工程的法律、法规。</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1.4标准和规范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1.4.1适用于工程的标准规范包括：</w:t>
      </w:r>
      <w:r>
        <w:rPr>
          <w:rFonts w:hint="eastAsia" w:ascii="宋体" w:hAnsi="宋体" w:cs="宋体"/>
          <w:szCs w:val="21"/>
          <w:u w:val="single"/>
        </w:rPr>
        <w:t xml:space="preserve">竣工验收前实施的现行国家、行业、专业及南京市的有关标准、规范、规定和条例所阐明的强制性标准。当对同一考核指标国家、行业、专业和南京市颁布的有关标准、规范产生不一致时，承包人应及时通知监理工程师和发包人代表，可考虑以其颁布的标准、规范较为严格者为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如果本合同约定的标准、规范、图纸以及国家或地区发布的标准、规范之间出现歧义或矛盾时，其中的数量以图纸为准，质量要求、工艺标准按照以下原则选择：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(1)如果图纸或本合同约定的工程建设标准中的质量要求、工艺标准低于国家、地区标准的，则按国家、地区标准执行；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(2)如果图纸或本合同约定的工程建设标准中的质量要求、工艺标准高于国家、地区标准的，则按图纸或本合同约定的质量要求、工艺标准执行；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1.4.2发包人提供国外标准、规范的名称：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发包人提供国外标准、规范的份数：</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无</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1.5合同文件的优先顺序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（1）本合同协议书；（2）中标通知书；（3）投标函及其附录；（4）专用条款及其附件；（5）通用合同条款；（6）技术标准和要求；（7）图纸；（8）已标价工程量清单及投标文件；（9）其他合同文件。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1.6图纸和承包人文件</w:t>
      </w:r>
      <w:r>
        <w:rPr>
          <w:rFonts w:hint="eastAsia" w:ascii="宋体" w:hAnsi="宋体" w:cs="宋体"/>
          <w:szCs w:val="21"/>
        </w:rPr>
        <w:tab/>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1.6.1图纸的提供</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开工之日14天前提供</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发包人向承包人提供图纸的数量：</w:t>
      </w:r>
      <w:r>
        <w:rPr>
          <w:rFonts w:hint="eastAsia" w:ascii="宋体" w:hAnsi="宋体" w:cs="宋体"/>
          <w:szCs w:val="21"/>
          <w:u w:val="single"/>
        </w:rPr>
        <w:t xml:space="preserve">贰份</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发包人向承包人提供图纸的内容：</w:t>
      </w:r>
      <w:r>
        <w:rPr>
          <w:rFonts w:hint="eastAsia" w:ascii="宋体" w:hAnsi="宋体" w:cs="宋体"/>
          <w:szCs w:val="21"/>
          <w:u w:val="single"/>
        </w:rPr>
        <w:t xml:space="preserve">施工图及其电子图；如承包人需要增加图纸，发包人可代为复制，费用由承包人承担</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1.6.4承包人文件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需要由承包人提供的文件，包括：</w:t>
      </w:r>
      <w:r>
        <w:rPr>
          <w:rFonts w:hint="eastAsia" w:ascii="宋体" w:hAnsi="宋体" w:cs="宋体"/>
          <w:szCs w:val="21"/>
          <w:u w:val="single"/>
        </w:rPr>
        <w:t xml:space="preserve">总体及分项目施工组织设计文件、专项施工方案、机械设备合格证书及相应检测报告、承包人行为资料、项目经理和质量、安全员等管理人员社保证明和行为资料、机械设备操作人员上岗证、进场施工人员名单和身份证（复印件）、开工报告等资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承包人提供的文件的期限为：</w:t>
      </w:r>
      <w:r>
        <w:rPr>
          <w:rFonts w:hint="eastAsia" w:ascii="宋体" w:hAnsi="宋体" w:cs="宋体"/>
          <w:szCs w:val="21"/>
          <w:u w:val="single"/>
        </w:rPr>
        <w:t xml:space="preserve">合同签订后10天内</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承包人提供的文件的数量为：</w:t>
      </w:r>
      <w:r>
        <w:rPr>
          <w:rFonts w:hint="eastAsia" w:ascii="宋体" w:hAnsi="宋体" w:cs="宋体"/>
          <w:szCs w:val="21"/>
          <w:u w:val="single"/>
        </w:rPr>
        <w:t xml:space="preserve">纸质文件四份，电子文档一份</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承包人提供的文件的形式为：</w:t>
      </w:r>
      <w:r>
        <w:rPr>
          <w:rFonts w:hint="eastAsia" w:ascii="宋体" w:hAnsi="宋体" w:cs="宋体"/>
          <w:szCs w:val="21"/>
          <w:u w:val="single"/>
        </w:rPr>
        <w:t xml:space="preserve">纸质文件（按要求盖章签字），当面送达</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发包人审批承包人文件的期限：</w:t>
      </w:r>
      <w:r>
        <w:rPr>
          <w:rFonts w:hint="eastAsia" w:ascii="宋体" w:hAnsi="宋体" w:cs="宋体"/>
          <w:szCs w:val="21"/>
          <w:u w:val="single"/>
        </w:rPr>
        <w:t xml:space="preserve">收到文件后7天内</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1.6.5现场图纸准备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关于现场图纸准备的约定：</w:t>
      </w:r>
      <w:r>
        <w:rPr>
          <w:rFonts w:hint="eastAsia" w:ascii="宋体" w:hAnsi="宋体" w:cs="宋体"/>
          <w:szCs w:val="21"/>
          <w:u w:val="single"/>
        </w:rPr>
        <w:t xml:space="preserve">承包人应在施工现场另外保存一套完整的图纸和承包人文件，供发包人、监理人及有关人员进行工程检查时使用</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1.7联络</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1.7.1发包人和承包人应当在合同签订后</w:t>
      </w:r>
      <w:r>
        <w:rPr>
          <w:rFonts w:hint="eastAsia" w:ascii="宋体" w:hAnsi="宋体" w:cs="宋体"/>
          <w:szCs w:val="21"/>
          <w:u w:val="single"/>
        </w:rPr>
        <w:t xml:space="preserve">7</w:t>
      </w:r>
      <w:r>
        <w:rPr>
          <w:rFonts w:hint="eastAsia" w:ascii="宋体" w:hAnsi="宋体" w:cs="宋体"/>
          <w:szCs w:val="21"/>
        </w:rPr>
        <w:t xml:space="preserve">天内将与合同有关的通知、批准、证明、证书、指示、指令、要求、请求、同意、意见、确定和决定等书面函件送达对方当事人。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1.7.2发包人接收文件的地点：</w:t>
      </w:r>
      <w:r>
        <w:rPr>
          <w:rFonts w:hint="eastAsia" w:ascii="宋体" w:hAnsi="宋体" w:cs="宋体"/>
          <w:szCs w:val="21"/>
          <w:u w:val="single"/>
        </w:rPr>
        <w:t xml:space="preserve">发包人办公地点</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发包人指定的接收人为：</w:t>
      </w:r>
      <w:r>
        <w:rPr>
          <w:rFonts w:hint="eastAsia" w:ascii="宋体" w:hAnsi="宋体" w:cs="宋体"/>
          <w:szCs w:val="21"/>
          <w:u w:val="single"/>
        </w:rPr>
        <w:t xml:space="preserve">项目发包人现场代表</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承包人接收文件的地点：</w:t>
      </w:r>
      <w:r>
        <w:rPr>
          <w:rFonts w:hint="eastAsia" w:ascii="宋体" w:hAnsi="宋体" w:cs="宋体"/>
          <w:szCs w:val="21"/>
          <w:u w:val="single"/>
        </w:rPr>
        <w:t xml:space="preserve">施工项目部</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承包人指定的接收人为：</w:t>
      </w:r>
      <w:r>
        <w:rPr>
          <w:rFonts w:hint="eastAsia" w:ascii="宋体" w:hAnsi="宋体" w:cs="宋体"/>
          <w:szCs w:val="21"/>
          <w:u w:val="single"/>
        </w:rPr>
        <w:t xml:space="preserve">承包人现场负责人</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监理人接收文件的地点：</w:t>
      </w:r>
      <w:r>
        <w:rPr>
          <w:rFonts w:hint="eastAsia" w:ascii="宋体" w:hAnsi="宋体" w:cs="宋体"/>
          <w:szCs w:val="21"/>
          <w:u w:val="single"/>
        </w:rPr>
        <w:t xml:space="preserve">监理项目部</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1.10交通运输</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1.10.1出入现场的权利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关于出入现场的权利的约定：</w:t>
      </w:r>
      <w:r>
        <w:rPr>
          <w:rFonts w:hint="eastAsia" w:ascii="宋体" w:hAnsi="宋体" w:cs="宋体"/>
          <w:szCs w:val="21"/>
          <w:u w:val="single"/>
        </w:rPr>
        <w:t xml:space="preserve">按发包人要求</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1.10.3场内交通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施工现场范围内及红线范围为界。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1.10.4超大件和超重件的运输</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1.11知识产权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1.11.2关于承包人为实施工程所编制文件的著作权的归属：</w:t>
      </w:r>
      <w:r>
        <w:rPr>
          <w:rFonts w:hint="eastAsia" w:ascii="宋体" w:hAnsi="宋体" w:cs="宋体"/>
          <w:szCs w:val="21"/>
          <w:u w:val="single"/>
        </w:rPr>
        <w:t xml:space="preserve">除署名权以外的著作权属于发包人</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1.11.4承包人在施工过程中所采用的专利、专有技术、技术秘密的使用费的承担方式：</w:t>
      </w:r>
      <w:r>
        <w:rPr>
          <w:rFonts w:hint="eastAsia" w:ascii="宋体" w:hAnsi="宋体" w:cs="宋体"/>
          <w:szCs w:val="21"/>
          <w:u w:val="single"/>
        </w:rPr>
        <w:t xml:space="preserve">已包含在签约合同价中</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1.13工程量清单错误的修正</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允许调整合同价格的工程量偏差范围：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新增工程量清单项目的项目特征与招标文件工程量清单中项目相同的，如实际施工工程量与招标工程量超过15%以内，单价不作调整，如超过15%，（超出的15%参照原单价执行）超出15%以外部分计算如下：如为增加工程量，按投标单价下浮5%，如为减少工作量，单价不作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b.新增工程量清单项目的项目特征与招标文件工程量清单中项目类似的，综合单价按类似项目在《建设工程工程量清单计价规范》（GB50500-2013）；《江苏省建</w:t>
      </w:r>
      <w:r>
        <w:rPr>
          <w:rFonts w:hint="eastAsia" w:ascii="宋体" w:hAnsi="宋体" w:cs="宋体"/>
          <w:szCs w:val="21"/>
          <w:u w:val="single"/>
        </w:rPr>
        <w:t xml:space="preserve">筑与装饰工程计价定额》（2014）、《江苏省市政工程计价定额》（2014）、《江苏省安装工程计价定额》（2014）、《江苏省仿古建筑与园林工程计价表》（2007）中的人工、材料、机械台班耗用量、类似项目投标报价时的人工、机械台班单价、管理费、利润等费用标准及材料价格（无材料价格的材料按施工时期的市场价）计算，作为结算单价。其相应综合单价及材料市场价由承包人提出，经发包人及监理方审核后确定。上述的“与招标文件工程量清单中项目类似的”新增项目，指与分部分项工程量清单项目编码一至九位完全相同的新增的分部分项工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招标文件中没有综合单价的新增工程量清单项目，新增综合单价按《建设工程工程量清单计价规范》（GB50500-2013）；《江苏省建筑与装饰工程计价定额》（2014）、《江苏省市政工程计价定额》（2014）、《江苏省安装工程计价定额》（2014）、《江苏省仿古建筑与园林工程计价表》（2007）中的人工、材料、机械台班耗用量、投标报价时的人工、机械台班单价、材料价格（无材料价格的材料按施工时期的市场价），按照计价表相应的管理费和利润的取费组成的单价作为结算单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d.招标文件中没有综合单价的新增工程量清单项目，新增综合单价在《建设工程工程量清单计价规范》（GB50500-2013）；《江苏省建筑与装饰工程计价定额》（2014）、《江苏省市政工程计价定额》（2014）、《江苏省安装工程计价定额》（2014）、《江苏省仿古建筑与园林工程计价表》（2007）中的人工、材料、机械台班耗用量缺项的，其人工、材料、机械台班耗用量自行测算，按投标文件的人工、机械台班单价、材料价格（无材料价格的材料按施工时期的市场价）计算，按照计价表相应的管理费和利润的取费组成的单价作为结算单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e.新增综合单价及材料市场价由承包人提出，经监理方及发包人现场代表审核后报发包人确定。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2.发包人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2.2发包人代表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发包人代表：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送交承包人；代表发包人履行工程量、设计变更等签证、分包单位的确认、工期的签证、工程竣工验收报告的确认职责</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2.4施工现场、施工条件和基础资料的提供</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2.4.1提供施工现场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开工日期7天前</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2.4.2提供施工条件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施工所需临时供电、临时供水、临时进场道路由承包人自行调查解决并承担所有费用，发包人不再单独计列。承包人于投标前必须根据现场情况，分析施工条件（水、电、路等）；涉及到的（水、电、路等）须增加投入的因素，承包人已在合同总价中予以考虑，结算时不得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开工前，发包人以书面形式向承包人提供水准点与坐标控制点，由发包人、承包人和监理人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3、施工场地与场外公共道路以现场实际场地条件为准，发包人对此将不增加任何投入，承包人已充分考虑该因素，相关费用已计入本合同总价内，不得以此为理由延误进场施工。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4、前期施工许可证等建设程序相关手续由发包人按规定办理，并及时提供。临时用地、停水、停电、中断道路交通、爆破作业等的申请批准手续由承包人负责办理，相关费用由承包人承担，发包人帮助协调。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5、施工场地周围地下管线和邻近建筑物、构筑物（含文物保护建筑）、古树名木的保护等工作由承包人负责，相关费用由承包人承担，发包人帮助协调。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6、双方约定发包人应做的其他工作：由发包人委托，承包人不得拒绝。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7、施工场地具备施工条件的要求及完成的时间：按现状发包，场地已具备一定的施工条件。若有不全事项承包人自行完善，费用已包含在合同总价中。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8、本项目施工地点为学校校园内，不具备搭建临时宿舍的条件，承包人需在校外住宿，工作人员住宿相关费用由承包人承担。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2.5资金来源证明及支付担保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3.承包人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3.1承包人的一般义务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（9）承包人提交的竣工资料的内容：</w:t>
      </w:r>
      <w:r>
        <w:rPr>
          <w:rFonts w:hint="eastAsia" w:ascii="宋体" w:hAnsi="宋体" w:cs="宋体"/>
          <w:szCs w:val="21"/>
          <w:u w:val="single"/>
        </w:rPr>
        <w:t xml:space="preserve">按照GB/T50328-2014《建设工程文件归档整理规范》绘制竣工图一式两份及电子版壹份，根据国家、省、市、区相关规定提交工程竣工验收资料和工程竣工结算资料。所需费用已包含在合同总价中。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承包人需要提交的竣工资料套数：</w:t>
      </w:r>
      <w:r>
        <w:rPr>
          <w:rFonts w:hint="eastAsia" w:ascii="宋体" w:hAnsi="宋体" w:cs="宋体"/>
          <w:szCs w:val="21"/>
          <w:u w:val="single"/>
        </w:rPr>
        <w:t xml:space="preserve">一式两份及电子版壹份。</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由承包人承担，费用包含在总价中。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竣工验收后28日内。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书面形式及电子版。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（10）承包人应履行的其他义务：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必须按发包人和监理人的要求完成开工前的申请报告以及所要求的各类报表，有针对性的施工组织设计。提供施工进度总计划，供应材料清单及时间要求、承包人自购材料清单、材料进场计划、劳动力及用款计划等资料；按发包人要求向发包人、监理提交详细的施工进度计划，已完工作量报表，施工计划及已完成情况报表。上述施工计划将作为承包人全面适当履行本合同的重要依据，承包人未按照施工计划投入相应劳动力及完成相应工程进度的，则构成违约，承包人应承担相应的违约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w:t>
      </w:r>
      <w:r>
        <w:rPr>
          <w:rFonts w:hint="eastAsia" w:ascii="宋体" w:hAnsi="宋体" w:cs="宋体"/>
          <w:szCs w:val="21"/>
          <w:u w:val="single"/>
        </w:rPr>
        <w:t xml:space="preserve">在实施和完成本工程过程中，承包人承担施工范围内的安全保卫工作，建立安全巡查制度，对施工场地的安全防护工作（包括照明、安全设施、脚手架、支架等）负全责。承包人应充分关注和保障所有在场人员及行人的安全，采取有效措施，使施工现场和本工程的实施保持有条不紊；为保护本工程免遭损坏，保障现场附近和过往人群的安全与方便，或当监理工程师或有关主管部门要求时，承包人应根据施工现场情况自费提供照明、警卫、护栅、警告标志等安全防护措施。非施工人员不得进入现场。费用包含在合同总价中，发生安全事故所产生的一切后果及费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3）遵守政府有关主管部门对施工场地交通、施工噪音以及环境保护和安全生产等的管理规定，办理有关手续及承担费用，并以书面形式通知发包人。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遵守政府和市容、环保等有关部门对施工现场的一切规定和要求，承担因自身原因违反有关规定造成的损失和罚款。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应自费采取一切必要措施，使其施工对于邻近单位、人员的干扰、不方便及危险降至最低程度。工程事故引起的一切责任与费用，均由承包人承担。承包人必须保证发包人不承担由于施工产生的安全事故、噪音、污染或其他干扰所造成的一切索赔、诉讼、损害、费用、罚款及开支等有关的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因重大活动、领导视察而发生的道路保洁、交通畅通、控制施工噪音、临时停工等方面的临时突击工作而产生的费用由承包人承担，此费用包含合同总价内，承包人不得另行提出此项付款请求。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承包人应充分了解其它项目工程施工已存在的、或潜在的因素对本项目管线的破坏因素，并采取切实的保护措施，防止本项目管道遭到破坏。同时，承包人应充分了解本项目工程施工对其他市政公用管线已存在的、或潜在的破坏因素，并要求本项目工程管理和施工人员采取切实的保护措施，防止因本项目工程施工而破坏其他市政公用管线，承包人因采取此类措施所需费用已包括在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施工场地周围地下管线和邻近建筑物、构筑物(含文物保护建筑)、古树名木的保护要求及费用承担：承包人应自费做好施工场地地下管线（如果有）和邻近建筑物、构筑物、高压线、古树名木的保护工作。承包人应采取相应的措施，保证其安全及正常使用，如未履行上述义务造成损失的，由承包人承担责任及所发生的费用。施工单位应做好管线保护工作，必须做到：1、有审批手续；2、有施工方案；3、有标志标识；4、有管线资料和现场交底；5、有探挖工序；6、有应急预案（联络方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临时工程用地是承包人为完成工程建设临时占用的土地，不含取土场用地。临时工程用地中，临时工程的租地费用、场地处理、工程完工后承包人将临时工程用地上的构筑物拆除、恢复（含复垦）等费用由承包人摊入各相关项目的综合单价或措施项目单价中，不单独计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按文件要求执行，做到文明施工、规范施工，保持场地整洁卫生，竣工验收合格后一周内负责将现场所有临时设施拆除，将建筑垃圾清运出场，做到工完场清，并承担相关费用。如承包人未按要求做到工完场清，发包人有权另行委托他人进行清场，相关费用直接从承包人的工程款中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保证施工现场符合南京市和浦口区建设、规划、环保及城管部门文明施工的有关规定。交工前清理现场达到监理工程师和发包人要求，承担因违反有关规定造成的损失和罚款。该费用由承包人承担，含在合同总价内，承包人不得另行提出此项付款请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9）承包人出入现场使用地方道路时，应认为承包人已接受的原有地方道路是完好的，承包人应负责自费与地方协调、改善、加固并养护，因承包人出入或施工运输使用造成的损坏，承包人应负责自行处理，并确保避免为业主带来赔偿和诉讼等不利后果。所有使用的临时道路应恢复到不低于施工前原先的通行标准，费用由承包人负责，含于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10）施工围档（如果有）按发包人统一要求制作，承包人应按发包人要求，按规定做好场内各项标识，标牌，便于检查、视察或参观。费用含于合同总价中。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11）在施工过程中及工程移交的保修期内，由于承包人出现的文明施工、质量问题、安全事故或其他原因，受到报纸、电视等媒体的曝光或政府有关部门的通报，造成严重负面影响时，每曝光一次承包人需向发包人支付5000-10000元的违约金，并在当期工程款中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12）承包人必须按照相关规定的要求缴纳民工工资保障金；并按照政府相关规定，建立健全雇员工资发放和劳动保障制度。如因雇员的工资发放和劳动保障制度不健全等原因而引发纠纷，发包人有权单方面终止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13）在合同实施期间，根据工程需要，发包人可能在本工程工地进行有关试验，承包人应积极配合并承担相应的工作。承包人有义务配合发包人委托的技术服务单位及相关科研单位的监测、科研、试验等工作，其配合费用已含在综合单价中，不再另行计量与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14）准时参加业主和监理组织的工程例会和专题会议，如迟到或缺席，发包人有权采取相应的处罚措施。</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15）承包人应在施工前对现场进行详细的测量和勘察，如因承包人未能很好地审核图纸和对现场进行详细的测量与勘察，而造成施工中不得不返工的责任应由承包人自行负责，并承担所有相关费用和工期延误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16）开工前承包人对施工图纸认真核查，积极主动核对图纸中的标高、轴线、预留洞口尺寸等技术数据，充分理解设计意图，积极配合发包人组织的设计交底及图纸会审工作，并有义务指出图纸上任何不符施工常规、惯例或规范之处，以及设计图纸中错、漏、碰问题，如有需要修改或澄清的内容，承包人制定相关方案报发包人及监理认可后实施。如因承包人未能在施工该道工序提前10天协调解决好此类矛盾、问题而造成的工期、费用的损失，由承包人承担全部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17）发包人将在项目实施过程中，发布项目管理的相关管理办法，承包人必须遵照执行.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18）在施工配合上，应服从发包人的协调。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19）对专项施工方案，承包人应组织专家组会审，专家组成员由发包人或发包人代表选定，所产生费用由承包人承担，含于合同总价中。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20）承包人必须组织采用证照、手续齐全，性能良好，确保能安全施工的车辆、设备进行各项施工，在施工过程中非因发包人原因所发生的一切安全事故均由承包人自行负责。</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21）严格要求对堆放的施工材料进行覆盖，开挖进行带水作业，加强清尘冲洗；各项工序紧密衔接，快速规范施工，尽量减少扬尘的影响；完工后及时清场，减少扬尘污染；针对为保证交通需要而必须在夜间施工的工地，将严格按照环保部门要求实施，同时主动与住户沟通，争得理解和谅解。</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22）因设计变更影响，承包人应因时制宜及时对施工组织和生产要素(工、料、机等)做好调整安排，避免造成停工停机损失。若承包人未及时做好妥善调整和安排，发包人不承担由此引起的索赔和补偿。</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23）不论材料以何种方式供应，承包人都必须对工程上使用的所有材料与监理及发包人代表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监理、发包人代表对材料的认可，不免除承包人的相关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24）在高温天气时，承包人必须对工程覆盖及采取相应保护措施，承包人采取相应措施之前应报监理人，经监理批准后，方可实施，其费用已含在综合单价中，不再另行计量与支付。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25）承包人同意在工程实施过程中，因为工程变更、发包人根据工程建设的需要等原因，将可能对承包人承包范围内的项目、材料品种和工程数量进行增加或删减，合同价按合同约定调整。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26）承包人应做好与进入施工现场的发包人的其他承包人的配合、管理及其他一切必要的工作，配合和交叉施工所产生的费用已含在合同总价中，结算时不予调整（包括与其他承包人交叉施工、相互干扰给工程施工带来的增加费用），但其他承包人使用现场水电发生的费用由其他承包人直接和承包人结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27）如因客观原因造成某些分项工程必须由其他专业承包单位进行施工，在取得发包人书面同意后，则承包人须按发包人的书面指令与这些单位签署分包合同，该分包单位的工程款由总承包单位支付。如该承包单位必须与发包人签署合同作为独立承包单位，则该分项工程的相应的工程款从总承包合同金额中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28）与发包人另行发包的专业工程（如排水、通风、消防等）的配合工作及其费用由承包人自行考虑计入综合报价，发包人不再另行支付。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29）承包人取得批准分包并不解除合同规定的承包人的任何责任或义务，应对分包人加强监督和管理，并对分包人的工程质量及其职工的行为、违约和疏忽完全负责。分包人就分包项目向发包人承担连带责任。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30）如项目现场同时存在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31）在本工程施工期间，发包人在必要时将可以调用承包人的部分机械设备用于其他标段的重点工序的突击作业或抢险。对此，承包人不得拒绝。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32）承包人在施工期间不得以问题、争议未及时解决而停止施工，如承包人因此未能按合同约定的日期完工，承包人承担违约责任。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33）已竣工工程未交付发包人之前，承包人应负责保护，保护期间发生损坏，承包人自费予以修复。</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34）承包人应按发包人的指令，完成发包人要求的对工程内容任何的增加和删减。承包人在接到中标通知书后，应立即组织投标时承诺数量的机械设备、材料、人员进场。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35）承包人负责工地临时设施的维护修理工作，以达到发包人或政府部门要求，费用由承包人承担。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36）承包人应负责材料设备的卸货、堆放和保管留样工作，相应费用承包人已列入合同总价中，结算时不作调整。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37）非发包人原因导致的停电、停水，承包人不得向发包人提出索赔。</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38）承担总包管理的义务，向场内各专业分包单位提供轴线、标高、脚手架和垂直运输机械、道路、施工场地和办公室的使用、工程验收资料收集与汇总，为专业分包的区域提供水电接口，安全文明施工和保安治安管理、施工协调等，费用含在总承包服务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39）承包人不能很好提供施工配合，由相关专业施工单位提出，经本工程监理审核后，发包人有权扣减相应分包专业工程总承包服务费，并视为承包人违约，违约金为该分包专业工程总承包服务费的三倍金额。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40）在施工过程中，必须配合发包人的其他专业施工需要，积极进行现场调整，无条件按发包人要求提供工作面和作业时间，配合其他专业施工。若不能按时配合提供作业面，视承包人违约并承担相应违约责任。影响工期的，按工期违约承担责任。</w:t>
      </w:r>
      <w:r>
        <w:rPr>
          <w:rFonts w:hint="eastAsia" w:ascii="宋体" w:hAnsi="宋体" w:cs="宋体"/>
          <w:szCs w:val="21"/>
        </w:rPr>
      </w:r>
      <w:r/>
    </w:p>
    <w:p>
      <w:pPr>
        <w:pStyle w:val="1020"/>
        <w:ind w:firstLine="480"/>
        <w:spacing w:before="240" w:after="240" w:line="360" w:lineRule="auto"/>
        <w:tabs>
          <w:tab w:val="left" w:pos="38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41）施工过程中须达到以下两点：①施工现场禁止使用国一级以下和排放不达标的非道路移动机械（如有）。②施工现场全部使用水性建筑涂料（如有）。</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3.2项目经理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3.2.1项目经理：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对本项目的建设进行全面管理，行使合同约定的承包人权利，全面履行合同约定的承包人义务和责任。一般情况下，承包人的要求、通知均应以书面形式由承包人项目经理签署并加盖承包人现场项目部或承包人公章后递交发包人/监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施工期间每周不少于6天，每天不少于8小时，如有夜间施工的情况，项目经理必须全程在施工现场。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承包人未提交劳动合同，以及未提交承包人为项目经理缴纳社会保险证明的违约责任,</w:t>
      </w:r>
      <w:r>
        <w:rPr>
          <w:rFonts w:hint="eastAsia" w:ascii="宋体" w:hAnsi="宋体" w:cs="宋体"/>
          <w:szCs w:val="21"/>
          <w:u w:val="single"/>
        </w:rPr>
        <w:t xml:space="preserve">一经发现，处以5000元违约金，并要求在一周内签订劳动合同和缴纳社会保险，如未履行，每延迟一天，处以1000元违约金，违约金从工程款中直接扣抵。</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按每次人民币5000元向发包人支付违约金，由发包人代表签发处罚指令，此费用将在工程结算时直接扣除；项目经理未经批准，擅自离开施工现场后，施工现场出现紧急情况造成人员伤亡、财产损失的，发包人有权要求更换项目经理，并按10000元/次由承包人向发包人支付违约金，且由此增加的费用和延误的工期由承包人承担。项目经理在合同工期内擅自离开现场累计超过5次的，将按10000元/次由承包人向发包人支付违约金，上述违约金在工程结算时直接扣除，且发包人有权单方解除本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3.2.3承包人擅自更换项目经理的违约责任：</w:t>
      </w:r>
      <w:r>
        <w:rPr>
          <w:rFonts w:hint="eastAsia" w:ascii="宋体" w:hAnsi="宋体" w:cs="宋体"/>
          <w:szCs w:val="21"/>
          <w:u w:val="single"/>
        </w:rPr>
        <w:t xml:space="preserve">承包人向发包人支付合同价5%的违约金，由发包人代表签发处罚指令，该违约金将在工程结算时直接扣除，并勒令停工至发包人书面同意其更换项目经理，停工期间一切损失由承包人承担。发包人</w:t>
      </w:r>
      <w:r>
        <w:rPr>
          <w:rFonts w:hint="eastAsia" w:ascii="宋体" w:hAnsi="宋体" w:cs="宋体"/>
          <w:szCs w:val="21"/>
          <w:u w:val="single"/>
        </w:rPr>
        <w:t xml:space="preserve">有权要求承包人撤换调整发包人认为不称职的项目经理及项目部成员，新项目经理及其他项目部主要成员人选须经发包人书面审核同意，项目经理必须采取有效措施保证在整个施工期间现场有足够的劳力、材料、设备，保证工程顺利实施，并不受节假日的影响，否则视为项目经理失职，发包人有权要求承包人支付10000元/次的违约金，该违约金将在工程结算时直接扣除。承包人的项目经理及其他主要管理人员、主要技术人员等不履行上述义务的，发包人有权单方解除本合同，并由承包人按照10000元/人/次向发包人支付违约金，该违约金在工程结算时直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3.2.4承包人无正当理由拒绝更换项目经理的违约责任：</w:t>
      </w:r>
      <w:r>
        <w:rPr>
          <w:rFonts w:hint="eastAsia" w:ascii="宋体" w:hAnsi="宋体" w:cs="宋体"/>
          <w:szCs w:val="21"/>
          <w:u w:val="single"/>
        </w:rPr>
        <w:t xml:space="preserve">承包人向发包人支付合同价5%的违约金，由发包人代表签发处罚指令，同时发包人有权单方解除合同，由此产生的相关费用、给发包人造成的损失由承包人承担。上述违约金及由此产生的相关费用将在工程结算时直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3.3承包人人员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3.3.1承包人提交项目管理机构及施工现场管理人员安排报告的期限：</w:t>
      </w:r>
      <w:r>
        <w:rPr>
          <w:rFonts w:hint="eastAsia" w:ascii="宋体" w:hAnsi="宋体" w:cs="宋体"/>
          <w:szCs w:val="21"/>
          <w:u w:val="single"/>
        </w:rPr>
        <w:t xml:space="preserve">开工前7天。承包人提交关键人员信息及注册执业资格等证明其具备担任关键人员能力的相关文件的期限：开工前7天。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3.3.3承包人无正当理由拒绝撤换主要施工管理人员的违约责任：</w:t>
      </w:r>
      <w:r>
        <w:rPr>
          <w:rFonts w:hint="eastAsia" w:ascii="宋体" w:hAnsi="宋体" w:cs="宋体"/>
          <w:szCs w:val="21"/>
          <w:u w:val="single"/>
        </w:rPr>
        <w:t xml:space="preserve">按每人次人民币10000元向发包人支付违约金，由发包人代表签发处罚指令，此费用将在工程结算时直接扣除，发包人有权解除合同，由此产生的相关费用、给发包人造成的损失由承包人承担。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3.3.4承包人主要施工管理人员离开施工现场的批准要求：</w:t>
      </w:r>
      <w:r>
        <w:rPr>
          <w:rFonts w:hint="eastAsia" w:ascii="宋体" w:hAnsi="宋体" w:cs="宋体"/>
          <w:szCs w:val="21"/>
          <w:u w:val="single"/>
        </w:rPr>
        <w:t xml:space="preserve">须经发包人书面同意，否则承包人将向发包人支付2000元违约金/人次，由发包人代表签发处罚指令，该违约金将在工程结算时直接扣除，一个月累计过三次，发包人有权更换人员，发包人有权解除合同，由此产生的相关费用、给发包人造成的损失由承包人承担，且发包人有权在工程结算时直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按每人次人民币5000元向发包人支付违约金，由发包人代表签发处罚指令，此费用将在工程结算时直接扣除，发包人有权解除合同，由此产生的相关费用、给发包人造成的损失由承包人承担。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按每人次人民币2000元向发包人支付违约金，由发包人代表签发处罚指令，此费用将在工程结算时直接扣除。主要施工管理人员未经批准，擅自离开施工现场后，施工现场出现紧急情况造成人员伤亡、财产损失超过1万元或一个月内离开累计超过三次的，发包人有权要求更换主要施工管理人员，并按5000元/人次由承包人向发包人支付违约金，由此增加的费用和延误的工期由承包人承担。施工管理人员在合同工期内擅自离开现场累计超过5次的，将按10000元/次由承包人向发包人支付违约金，上述违约金在工程结算时直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3.5分包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3.5.1分包的一般约定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主体结构、关键性工作，未经发包人同意，承包人不得擅自分包。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主体结构、关键性工作的范围：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3.5.2分包的确定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允许分包的专业工程包括：</w:t>
      </w:r>
      <w:r>
        <w:rPr>
          <w:rFonts w:hint="eastAsia" w:ascii="宋体" w:hAnsi="宋体" w:cs="宋体"/>
          <w:szCs w:val="21"/>
          <w:u w:val="single"/>
        </w:rPr>
        <w:t xml:space="preserve">未经发包人同意，承包人不得擅自分包。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其他关于分包的约定：</w:t>
      </w:r>
      <w:r>
        <w:rPr>
          <w:rFonts w:hint="eastAsia" w:ascii="宋体" w:hAnsi="宋体" w:cs="宋体"/>
          <w:szCs w:val="21"/>
          <w:u w:val="single"/>
        </w:rPr>
        <w:t xml:space="preserve">经过发包人和监理人同意，承包人可以将其他非主体、非关键性工作分包给第三人，但分包人应当经过发包人和监理人同时审批。发包人和监理人有权拒绝承包人的分包请求和承包人选择的分包人。承包人对分包人的工程质量承担连带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3.5.4分包合同价款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关于分包合同价款支付的约定：</w:t>
      </w:r>
      <w:r>
        <w:rPr>
          <w:rFonts w:hint="eastAsia" w:ascii="宋体" w:hAnsi="宋体" w:cs="宋体"/>
          <w:szCs w:val="21"/>
          <w:u w:val="single"/>
        </w:rPr>
        <w:t xml:space="preserve">由承包人与分包人结算，发包人有监督权。未经承包人同意，发包人不得直接向分包人支付分包工程价款。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3.6工程照管与成品、半成品保护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在工程竣工验收合格并交付前，成品保护由承包人负责，费用已含在合同价款内，发生成品损坏，承包人负责予以修复，费用自理；如交付后，发包人要求承包人继续保护，费用另行商定。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3.7履约担保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承包人是否提供履约担保：</w:t>
      </w:r>
      <w:r>
        <w:rPr>
          <w:rFonts w:hint="eastAsia" w:ascii="宋体" w:hAnsi="宋体" w:cs="宋体"/>
          <w:szCs w:val="21"/>
          <w:u w:val="single"/>
        </w:rPr>
        <w:t xml:space="preserve">采用。</w:t>
      </w:r>
      <w:r>
        <w:rPr>
          <w:rFonts w:hint="eastAsia" w:ascii="宋体" w:hAnsi="宋体" w:cs="宋体"/>
          <w:szCs w:val="21"/>
        </w:rPr>
      </w:r>
      <w:r/>
    </w:p>
    <w:p>
      <w:pPr>
        <w:pStyle w:val="1020"/>
        <w:ind w:firstLine="480"/>
        <w:spacing w:before="24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承包人提供履约担保的形式、金额及期限的：</w:t>
      </w:r>
      <w:r>
        <w:rPr>
          <w:rFonts w:hint="eastAsia" w:ascii="宋体" w:hAnsi="宋体" w:cs="宋体"/>
          <w:szCs w:val="21"/>
        </w:rPr>
      </w:r>
      <w:r/>
    </w:p>
    <w:p>
      <w:pPr>
        <w:pStyle w:val="1020"/>
        <w:ind w:firstLine="480"/>
        <w:spacing w:before="240"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履约担保的形式：履约保证金应以公对公转账的方式缴纳</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履约担保的金额：中标价的5%</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承包人在收到成交通知书后，合同签订之前，须向发包人足额提交履约保证金，否则发包人可以取消其成交资格。</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履约保证金的退还：项目完成并验收合格后，承包人凭发包人使用部门同意退还履约保证金的证明、汇款凭证到发包人财务处办理履约保证金退还手续(无息退还)。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开户名称：江苏卫生健康职业学院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开 户 行：中国工商银行南京江北新区分行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账   号：4301015619100120908</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行号：102301000534</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特别提醒:向此账户转账烦请备注汇款事由(备注清楚项目名称及项目编号) </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4.监理人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4.1监理人的一般规定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关于监理人的监理内容：</w:t>
      </w:r>
      <w:r>
        <w:rPr>
          <w:rFonts w:hint="eastAsia" w:ascii="宋体" w:hAnsi="宋体" w:cs="宋体"/>
          <w:szCs w:val="21"/>
          <w:u w:val="single"/>
        </w:rPr>
        <w:t xml:space="preserve">施工阶段质量、进度、造价控制，以及安全管理、合同管理、信息管理和现场的组织协调，具体见本工程监理合同。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关于监理人的监理权限：</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（1）审核工程施工组织设计和技术方案或设计变更，按照保质量、保工期、降低成本的原则，优化或修正承包人施工组织设计和技术方案，并向发包人提出书面报告。</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（2）主持工程建设的组织协调工作，重要协调事项需事先向发包人报告。</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（3）征得发包人同意，监理工程师有权发布开工令、停工令、复工令。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（5）对工程施工的质量、安全文明、进度的检查、监督权。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（6）对工程施工过程中费用索赔或工程延期的审查权。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（7）在合同约定的工程价格范围内，对工程款支付的审查权，以及工程结算的复查权。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（8）有权要求更换承包人的施工现场人员。经发包人同意后，监理工程师有权要求承包人撤换那些不能胜任本职工作或行为不端或玩忽职守的施工现场人员。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（9）除合同内有明确约定或经发包人同意外，负责的监理工程师无权免除本合同约定的承包人的任何权利与义务。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监理人对以下事项的签证、通知、说明必须经发包人加盖印章批准方为有效：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（1）发出可能引起工程范围的扩大或缩小、工程质量标准的提高或降低、合同价款增加、合同工期延长的工程变更指令或其他指令；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（2）批准或同意承包人提出的追加或变更工程价款、补偿损失的申请及工程索赔价款的确认；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（3）批准或同意承包人提出的顺延工期的申请；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（4）批准或同意承包人的材料、设备供应商或承包人对工程的部分或全部的分包；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（5）工程竣工验收报告或甩项验收报告及工程缺陷证书的确认；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（6）确认工程竣工结算价款；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（7）撤换承包单位代表（项目经理）；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（8）变更合同权利义务关系或作出单方面解除合同的决定。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人在发出上述指令、批准或确认时应附上发包人加盖公章的书面确认。承包人在收到监理人的上述指令、批准或确认时应核对有无发包人的书面确认，一旦监理人未经发包人确认作出上述指令、批准或确认，承包人应该立即将该情况通知发包人，要求发包人予以追认，发包人未予追认的，监理人的该行动对发包人无约束力。</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办公场所及生活场所由监理人自行解决，费用由监理人承担。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4.2监理人员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总监理工程师：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关于监理人的其他约定：</w:t>
      </w:r>
      <w:r>
        <w:rPr>
          <w:rFonts w:hint="eastAsia" w:ascii="宋体" w:hAnsi="宋体" w:cs="宋体"/>
          <w:szCs w:val="21"/>
          <w:u w:val="single"/>
        </w:rPr>
        <w:t xml:space="preserve">经发包人委托，监理人职责如下：1、工程变更（含设计变更及工程量变更）及现场签证单；2、工期顺延及费用索赔的认可或确认；3、承包人付款的审核及确认（含索赔）；4、开工/停工（在紧急状态下的情况除外）/复工/竣工指令。5、分包单位的确定；6、材料设备价格及品牌的认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监理工程师下达给承包人或其项目经理的任何涉及工程造价的指示，必须得到发包人及造价咨询的书面认可，该指示于发包人及造价咨询批准之日起有效。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监理工程师的职责包含以上内容，但不限于以上内容。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4.4商定或确定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在发包人和承包人不能通过协商达成一致意见时，发包人授权监理人对以下事项进行确定：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（1）分部分项施工方案及其调整；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（2）关于工程建设安全方面的相关问题；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（3）关于工程建设进度方面的相关问题；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（4）关于工程建设质量方面的相关问题。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5.工程质量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5.1质量要求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5.1.1特殊质量标准和要求：</w:t>
      </w:r>
      <w:r>
        <w:rPr>
          <w:rFonts w:hint="eastAsia" w:ascii="宋体" w:hAnsi="宋体" w:cs="宋体"/>
          <w:szCs w:val="21"/>
          <w:u w:val="single"/>
        </w:rPr>
        <w:t xml:space="preserve">工程质量必须满足最新《建筑工程施工质量验收统一标准》（GB50300-2013）以及现行国家和江苏省有关工程施工质量验收规范和标准、设计文件（含施工图）规定要求。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质量检测：承包人100%自检，承包人的试验检测工作应委托具有相应资质等级并经监理工程师批准的检测单位进行，费用计入合同总价中。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应采取一切必要的措施，严格执行招标文件要求、国家或行业技术规范、标准及施工图纸的各项规定，当上述文件要求有冲突时，以要求高者为准，以保证达到合同规定的质量要求，在工程交工和竣工质量要求未发生实质性改变的情况下，即使业主或监理工程师对施工工艺提出了特别要求，承包人也不得就此要求业主给予额外费用补贴，由此发生的一切费用视为已计入合同总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工程完工后的相关检测如室内空气检测等必须符合国家有关标准，若不符合，由此产生的返工费、治理费等一切损失由承办方承担。检测费计入合同总价中（工程验收时承包方应提交第三方出具的室内空气质量检测报告）。发包人有权委托第三方进行检测，检测结果合格的，费用由发包人承担；检测结果不合格的，检测费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开工前承包商必须提供详细的、切实可行的计划报监理及发包人现场代表。按照国家有关工程竣工验收标准以及设计施工图的要求进行验收。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关于工程奖项的约定：</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5.3隐蔽工程检查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共同检查前24小时书面通知监理人。隐蔽及中间工程未经发包人及监理检查，承包人不得进行下一个工序施工。已经进行的施工必须返工，返工费用由承包人自行承担。造成发包人损失的，承包人还应承担赔偿责任，由此产生的相关费用发包人有权在结算工程款时直接扣除。发包人对承包人隐蔽的工程若有质量疑问时，可委托专业检测机构检测，如检测结果符合质量验收要求，检测费用由发包人承担。如检测结果不能满足验收要求，检测费用由承包人承担，发包人保留因此对承包人进行索赔的权力</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监理人不能按时进行检查时，应提前</w:t>
      </w:r>
      <w:r>
        <w:rPr>
          <w:rFonts w:hint="eastAsia" w:ascii="宋体" w:hAnsi="宋体" w:cs="宋体"/>
          <w:szCs w:val="21"/>
          <w:u w:val="single"/>
        </w:rPr>
        <w:t xml:space="preserve">12</w:t>
      </w:r>
      <w:r>
        <w:rPr>
          <w:rFonts w:hint="eastAsia" w:ascii="宋体" w:hAnsi="宋体" w:cs="宋体"/>
          <w:szCs w:val="21"/>
        </w:rPr>
        <w:t xml:space="preserve">小时提交书面延期要求。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6.安全文明施工与环境保护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6.1安全文明施工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6.1.1项目安全生产的达标目标及相应事项的约定：</w:t>
      </w:r>
      <w:r>
        <w:rPr>
          <w:rFonts w:hint="eastAsia" w:ascii="宋体" w:hAnsi="宋体" w:cs="宋体"/>
          <w:szCs w:val="21"/>
          <w:u w:val="single"/>
        </w:rPr>
        <w:t xml:space="preserve">除执行通用条款的相关规定外，</w:t>
      </w:r>
      <w:r>
        <w:rPr>
          <w:rFonts w:hint="eastAsia" w:ascii="宋体" w:hAnsi="宋体" w:cs="宋体"/>
          <w:szCs w:val="21"/>
          <w:u w:val="single"/>
        </w:rPr>
        <w:t xml:space="preserve">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w:t>
      </w:r>
      <w:r>
        <w:rPr>
          <w:rFonts w:hint="eastAsia" w:ascii="宋体" w:hAnsi="宋体" w:cs="宋体"/>
          <w:szCs w:val="21"/>
          <w:u w:val="single"/>
        </w:rPr>
        <w:t xml:space="preserve">在施工现场以外堆放材料、垃圾。2）施工现场布局及工序安排应考虑噪声、照明控制，严格按照江苏省、南京市、工程所在行政区有关规定执行，避免扰民；施工现场必须设置专用厕所，并有专人管理，严禁随意大小便；生活、生产废水及施工降水未处理合格，不得排入市政地下水；不得破坏树木、绿地；土方外运过程，严格按程序操作，不得遗洒，同时应有避免扬尘的措施。3）施工人员必须办理相关证件，禁止非施工单位人员在工地留宿，施工现场禁止聚众打牌、饮酒闹事、传阅淫秽物品、吸毒等；禁止施工人员在非施工区随意走动，严禁发生冲突。4）施工车辆进出</w:t>
      </w:r>
      <w:r>
        <w:rPr>
          <w:rFonts w:hint="eastAsia" w:ascii="宋体" w:hAnsi="宋体" w:cs="宋体"/>
          <w:szCs w:val="21"/>
          <w:u w:val="single"/>
        </w:rPr>
        <w:t xml:space="preserve">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w:t>
      </w:r>
      <w:r>
        <w:rPr>
          <w:rFonts w:hint="eastAsia" w:ascii="宋体" w:hAnsi="宋体" w:cs="宋体"/>
          <w:szCs w:val="21"/>
          <w:u w:val="single"/>
        </w:rPr>
        <w:t xml:space="preserve">施和有关安全条款，并且在机房内严禁使用明火。确因工程需要必须动用明火时，应向发包人提出书面申请，并认真填写《要害部位动火作业证》，在得到发包人批准后方可施工。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200元。8）各种施工机械的合格证、检测证及安全防护装置齐全。9）承包人现场应有专门负责安全、</w:t>
      </w:r>
      <w:r>
        <w:rPr>
          <w:rFonts w:hint="eastAsia" w:ascii="宋体" w:hAnsi="宋体" w:cs="宋体"/>
          <w:szCs w:val="21"/>
          <w:u w:val="single"/>
        </w:rPr>
        <w:t xml:space="preserve">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员清理，清理费用从工程款中扣除。12）严禁在绿地上堆物及行走或严禁污染绿地，一旦发现，即扣除违约金500元/次，而无须任何确认手续即可生效。13）发包人或监理对承包人的违章现象提出整改通知后24小时内未采取相应整改措施，</w:t>
      </w:r>
      <w:r>
        <w:rPr>
          <w:rFonts w:hint="eastAsia" w:ascii="宋体" w:hAnsi="宋体" w:cs="宋体"/>
          <w:szCs w:val="21"/>
          <w:u w:val="single"/>
        </w:rPr>
        <w:t xml:space="preserve">承包人每次支付违约金500元。累计3次后，每次支付违约金2000元。14）施工期间由于承包人原因造成人员伤亡而导致停工，承包人应按停工时间支付10000元/天的违约金。15）施工期间由于承包人违反安全操作规程，被政府有关部门处罚，如通报、批评、警告和罚款等，承包人应支付5000元/次的违约金。16）除本合同已有约定外，承包人未履行本条义务的，发包人有权要求其立即整改。承包人不整改或整改仍不符合要求的，承包人应向发包人支付合同总额1%的违约金。该违约金将从履约保证金中直接扣除。情况严重的，发包人有权解除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6.1.4关于治安保卫的特别约定：</w:t>
      </w:r>
      <w:r>
        <w:rPr>
          <w:rFonts w:hint="eastAsia" w:ascii="宋体" w:hAnsi="宋体" w:cs="宋体"/>
          <w:szCs w:val="21"/>
          <w:u w:val="single"/>
        </w:rPr>
        <w:t xml:space="preserve">承包人应保证在整个合同履行期间中不发生治安或刑事案件，妥善保护好施工现场人员人身及财产安全。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在开工前提交的施工组织设计中体现，由承包人制定，发包人协助。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6.1.5文明施工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合同当事人对文明施工的要求：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（1）因承包人原因出现重大安全事故造成的停工，不得作为顺延工期的理由</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（2）承包人应严格执行发包人施工现场安全生产处罚规定</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（3）承包人必须实行文明施工管理，对施工现场的安全施工负总责，承包人有权对专业工程承包单位的建筑垃圾堆放等进行督促、管理，各专业承包单位应服从承包人的文明施工管理；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承包人负责施工现场场地（含现场临时建筑和水电）的统一规划和分配，并按照江苏省省级标化星级工地的要求进行场地硬化，公平公正地为本工程各专业承包单位提供现场施工场地，并不得以此为借口向各专业承包单位收取费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（5）具体执行关于安全生产的相关规定和《施工现场管理条例及处罚制度标准》。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（6）本工程在整个施工期间杜绝一切人</w:t>
      </w:r>
      <w:r>
        <w:rPr>
          <w:rFonts w:hint="eastAsia" w:ascii="宋体" w:hAnsi="宋体" w:cs="宋体"/>
          <w:szCs w:val="21"/>
          <w:u w:val="single"/>
        </w:rPr>
        <w:t xml:space="preserve">身伤亡和重大质量安全事故，如发生上述事故，则发包人视为承包人违约；承包人承担一切法律及经济赔偿责任。在施工期间每发生一起重大人身伤亡事故，承包人除了接受相关行政监督部门的处罚外，承包人赔偿发包人违约金5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3天通知发包人/监理工程师。承包人必须服从发包人现场安全考核管理办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6.1.6关于安全文明施工费支付比例和支付期限的约定：</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7.工期和进度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7.1施工组织设计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7.1.1合同当事人约定的施工组织设计应包括的其他内容：</w:t>
      </w:r>
      <w:r>
        <w:rPr>
          <w:rFonts w:hint="eastAsia" w:ascii="宋体" w:hAnsi="宋体" w:cs="宋体"/>
          <w:szCs w:val="21"/>
          <w:u w:val="single"/>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w:t>
      </w:r>
      <w:r>
        <w:rPr>
          <w:rFonts w:hint="eastAsia" w:ascii="宋体" w:hAnsi="宋体" w:cs="宋体"/>
          <w:szCs w:val="21"/>
          <w:u w:val="single"/>
        </w:rPr>
        <w:t xml:space="preserve">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要求承包人支付1000-5000元的违约金，并可拒付工程进度款，责任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7.1.2施工组织设计的提交和修改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进场施工前7天内。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接收计划后7天内。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7.2施工进度计划</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7.2.2施工进度计划的修订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承包人提供的施工组织设计必须是经发包方和监理方审核后的施工组织设计。收到承包方资料一周内予以答复告知确认的时间。工程师对施工组织设计和进度计划的任何确认和修改意见不免除和减轻承包人责任。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7.3开工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7.3.1开工准备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应在合同签订后14天内，但至迟不得晚于开工日期前7天。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发包人将按延误工期处罚。3</w:t>
      </w:r>
      <w:r>
        <w:rPr>
          <w:rFonts w:hint="eastAsia" w:ascii="宋体" w:hAnsi="宋体" w:cs="宋体"/>
          <w:szCs w:val="21"/>
          <w:u w:val="single"/>
        </w:rPr>
        <w:t xml:space="preserve">）若工地上确实存在问题或其他工程施工进度对本项目施工产生的影响足以耽误本工程开工的，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7.3.2开工通知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90</w:t>
      </w:r>
      <w:r>
        <w:rPr>
          <w:rFonts w:hint="eastAsia" w:ascii="宋体" w:hAnsi="宋体" w:cs="宋体"/>
          <w:szCs w:val="21"/>
        </w:rPr>
        <w:t xml:space="preserve">天内发出开工通知的，承包人有权提出价格调整要求，或者解除合同。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7.4测量放线</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同通用条款。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7.5工期延误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7.5.1因发包人原因导致工期延误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非承包人原因造成政府部门指令的停工、暂停施工作业</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7.5.2因承包人原因导致工期延误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每天5000元，发包方可从应向承包方支付的任何款项中扣除此违约金,此违约金的支付并不能解除承包方完成工程的责任和合同规定的其他责任。如工期拖延超过15天或施工过程中承包方在监理和发包方合理要求下不按要求增加施工机械和人员的，超过五天以上，发包方有权另行安排具有相应资质的单位进行剩余工程的施工，由此产生的所有费用由承包方承担，且承包人应当按本合同总价的5%支付发包人违约金。如造成发包方损失的，还应承担赔偿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总额不超过合同价款的5%。延误超过30天的发包方有权终止合同，并要求承包方赔偿全部损失。</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因承包人原因造成工期延误的，延误期间发生的材料价格上涨差额由承包人承担。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7.6不利物质条件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同通用条款。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7.7异常恶劣的气候条件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发包人和承包人同意以下情形视为异常恶劣的气候条件：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（1）暴雪；</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（2）洪水；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（3）5级以上的地震并实际影响工程施工的（根据江苏地震局发布的为准）。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7.9提前竣工的奖励</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7.9.2提前竣工的奖励：</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8.材料与设备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8.2承包人采购材料与工程设备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(1)、承包人应根据采购需要在其项目经理部中配置专门的、熟悉业务的采购人员。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(2)、承包人在项目中使用的采购程序和质量控制办法应报发包人、监理备案。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双方约定,除甲供材或甲控乙购材料外，其他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采用甲控品牌（或甲控乙供）乙供采购方式的由承包人采购的材料：承包人在采购之前应按招标文件及投标文件要求将厂商资料（发包人要求提供样品的，须提供样品）提供给发包人且必须经发包人确认并实物验收合格方能购买或使用。投标文件已经确定的材料设备的品牌、规格、材质未经发包人准许，承包人不得擅自变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承包人采购进场的材料设备应严格按照设计要求、招标文件和有关标准、规范进行检验。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(5)、材料设备按规定在使用前必须进行材料设备的检测或复试，不符合发包人要求或质量不合格的不得使用，按规定需要检测或复试的材料设备要在有资质的检测单位进行，所有费用由承包人承担。材料的</w:t>
      </w:r>
      <w:r>
        <w:rPr>
          <w:rFonts w:hint="eastAsia" w:ascii="宋体" w:hAnsi="宋体" w:cs="宋体"/>
          <w:szCs w:val="21"/>
          <w:u w:val="single"/>
        </w:rPr>
        <w:t xml:space="preserve">检测或复试结果证明材料设备合格的方能购买或使用。承包人使用代用材料前，代用材料的采购价格和品牌及其他相关技术文件必须经发包人、监理人、设计单位的书面认可后方可进行采购,并以此作为调整投标报价中材料价格的依据。如发包人或监理人发现不符合发包人要求或质量不合格的材料设备进场，有权责令其无条件退场，由此造成的工期延误损失由承包人承担；对于已经使用的不符合发包人要求或质量不合格的材料设备，承包人应无条件返工，由此造成的工期延误损失由承包人承担；不按要求退场或返工的，承包人承担相应责任及赔偿由此给发包人带来一切损失。</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承包人应对其采购的材料设备的数量、规格及供应时间负责，满足工程要求。除发包人已明确采购范围的，必须选用市场主流品牌厂家的优质产品，否则在工程实施过程中，发包人有权予以变更厂家。如承包人所采购的材料市场价格明显低于投标时所报单价，或承包人擅自变更或取消合同项目，发包人有权选择由发包人供应，并以招标控制价对应价格的三倍从承包人合同价中扣除相关费用作为承包人应当支付发包人的违约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如发包人推荐了品牌范围，承包人可以在推荐的品牌范围中选择一个进行报价，或者选择与推荐品牌同等及以上档次的品牌，并在投标文件中注明品牌名称。结算时按照承包人在投标时承诺的价格结算。招标文件和工程量清单中未确定品牌、规格及档次的材料，承包人必须按照投标文件中明确的品牌经发包人认可后方可施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(8)、对于乙供材料，发包人应作为材料供应合同的鉴定方，来控制乙供材的质量、付款及进度。根据工程需要，发包人有权直接从工程款中扣除部分材料的供货款，并直接支付给相关材料的供货方。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(9)、对于由承包人采购的材料（包括成品、半成品和配件等），承包人应根据材料规格、平面尺寸等自行测算其加工损耗，材料的加工辅助材料费用、加工人工机械费用、采保费、包装费、运输费、上下力费等均包含在合同价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(10)、监理工程师或发包人对承包人自行采购材料的批准或认可并不解除承包人应负的质量、工期的责任，也不解除承包人对材料设备应负的职责。</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8.4材料与工程设备的保管与使用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8.6样品</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8.6.1样品的报送与封存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以现场发包人指令或监理指令为准。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8.8施工设备和临时设施</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8.8.1承包人提供的施工设备和临时设施</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由承包人承担，已包含在合同价内。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9.试验与检验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9.1试验设备与试验人员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9.1.2试验设备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施工现场需要配置的试验场所：</w:t>
      </w:r>
      <w:r>
        <w:rPr>
          <w:rFonts w:hint="eastAsia" w:ascii="宋体" w:hAnsi="宋体" w:cs="宋体"/>
          <w:szCs w:val="21"/>
          <w:u w:val="single"/>
        </w:rPr>
        <w:t xml:space="preserve">符合相应试验规程的要求。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施工现场需要配备的试验设备：</w:t>
      </w:r>
      <w:r>
        <w:rPr>
          <w:rFonts w:hint="eastAsia" w:ascii="宋体" w:hAnsi="宋体" w:cs="宋体"/>
          <w:szCs w:val="21"/>
          <w:u w:val="single"/>
        </w:rPr>
        <w:t xml:space="preserve">为保证本工程达到约定质量标准所必需的试验设备。</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施工现场需要具备的其他试验条件：</w:t>
      </w:r>
      <w:r>
        <w:rPr>
          <w:rFonts w:hint="eastAsia" w:ascii="宋体" w:hAnsi="宋体" w:cs="宋体"/>
          <w:szCs w:val="21"/>
          <w:u w:val="single"/>
        </w:rPr>
        <w:t xml:space="preserve">符合相应试验规程的要求。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9.4现场工艺试验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现场工艺试验的有关约定：</w:t>
      </w:r>
      <w:r>
        <w:rPr>
          <w:rFonts w:hint="eastAsia" w:ascii="宋体" w:hAnsi="宋体" w:cs="宋体"/>
          <w:szCs w:val="21"/>
          <w:u w:val="single"/>
        </w:rPr>
        <w:t xml:space="preserve">符合发包人或监理人现场要求。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10.变更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10.1变更的范围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关于变更的范围的约定：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a、以下情况允许进行合同价款变更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（1）发包人、监理方、承包人及设计方四方均认可的工程设计变更；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（2）工程量签证需发包人、监理方、承包人、三方均认可；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有效工程变更签证的认定原则：签证单上必须有发包人代表、监理工程师、承包人（项目部）、三方的签字和盖章，方可作为竣工结算的依据；签证单上必须明确签证的原因、位置、尺寸、数量、材料、人工、机械台班、价格等和签证时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（4）政策性调整。（合同约定除外）</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承包人不得随意更改设计，因承包人自身原因导致的工程变更，承包人无权要求追加合同价款；造成发包人损失的，发包人有权要求其承担赔偿责任并承担违约责任。经过发包人同意的变更内容，承包人须无条件接受，所需发生造价的变更，承包人必须在变更发出后7天以内向监理和发包人驻现场代表以书面的形式提出，并须得到发包人和监理的书面确认，否则视为不需变更造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b、关于临时用工的签证事项，双方应在签证通知单上协商确定以下问题：工作内容及工作量、工作时间、工作人数、取定的人工单价（综合单价，已含管理费和利润）；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当变更的工作内容完成之后，承包人要及时督促监理人员、发包人工地代表签字确认，对于隐蔽工程的签证，必须在覆盖前完成验收手续、工程量的确认和费用的报送，否则发包人可以不予支付；对于其他签证，承包人要及时督促监理人员、发包人工地代表必须在完工后10日内签字确认；所有变更签证对未能及时报送，事后补报的发包人一律不予认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10.4变更估价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10.4.1变更估价原则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关于变更估价的约定：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的，单价下浮5%；减少超出15%以外部分的，单价不作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（2）已标价工程量清单中无相同项目，但有类似项目的，可在合理范围内参照类似子目的单价，参照投标报价水平重新组价；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单位确认后调整乘以（1-承包人报价浮动率L）为结算综合单价。承包人报价浮动率按下列公式计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承包人报价浮动率L=[1-（中标价/招标控制价）]×100%；</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（4）对于按照（1）、（2）条的综合单价变更合同价款的，其综合单价如在投标报价时采用了不平衡报价，且超过正常报价+10%的综合单价按上述变更方法执行。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10.5承包人的合理化建议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收到承包人提交的合理化建议后7天内审查完毕。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收到监理人报送的合理化建议后7天内审批完毕。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10.7暂估价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暂估价材料和工程设备的明细详见附件11：</w:t>
      </w:r>
      <w:r>
        <w:rPr>
          <w:rFonts w:hint="eastAsia" w:ascii="宋体" w:hAnsi="宋体" w:cs="宋体"/>
          <w:szCs w:val="21"/>
          <w:u w:val="single"/>
        </w:rPr>
        <w:t xml:space="preserve">《暂估价一览表》。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10.7.1依法必须招标的暂估价项目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2</w:t>
      </w:r>
      <w:r>
        <w:rPr>
          <w:rFonts w:hint="eastAsia" w:ascii="宋体" w:hAnsi="宋体" w:cs="宋体"/>
          <w:szCs w:val="21"/>
        </w:rPr>
        <w:t xml:space="preserve">种方式确定。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第2种方式：</w:t>
      </w:r>
      <w:r>
        <w:rPr>
          <w:rFonts w:hint="eastAsia" w:ascii="宋体" w:hAnsi="宋体" w:cs="宋体"/>
          <w:szCs w:val="21"/>
          <w:u w:val="single"/>
        </w:rPr>
        <w:t xml:space="preserve">对于依法必须招标的暂估价项目，由发包人招标确定暂估价供应商或分包人，确定中标人后，由发包人、承包人与中标人共同签订暂估价合同。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10.7.2不属于依法必须招标的暂估价项目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3</w:t>
      </w:r>
      <w:r>
        <w:rPr>
          <w:rFonts w:hint="eastAsia" w:ascii="宋体" w:hAnsi="宋体" w:cs="宋体"/>
          <w:szCs w:val="21"/>
        </w:rPr>
        <w:t xml:space="preserve">种方式确定。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第3种方式：</w:t>
      </w:r>
      <w:r>
        <w:rPr>
          <w:rFonts w:hint="eastAsia" w:ascii="宋体" w:hAnsi="宋体" w:cs="宋体"/>
          <w:szCs w:val="21"/>
          <w:u w:val="single"/>
        </w:rPr>
        <w:t xml:space="preserve">如承包人不具备实施暂估价项目的资格和条件的，由发包人招标确定暂估价供应商或分包人。如承包人具备实施暂估价项目的资格和条件的，经发包人和承包人协商一致后，可由承包人自行实施暂估价项目。如协商不成，最终由发包人招标确定暂估价供应商或分包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由承包人实施暂估价项目时，承包人应按照本合同相应条款的规定提出专业工程价款随直接实施书面申请报发包人审批，经发包人批准后以此为依据取代专业工程暂估价，调整合同价款。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10.8暂列金额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经发包人同意后，方可使用。在用于各项价款调整、索赔与现场签证后，若有余额，则余额全部归发包人。结算该余额时，该余额费用（含费税）执行怎么进怎么出的结算原则。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11.价格调整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11.1市场价格波动引起的调整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2 </w:t>
      </w:r>
      <w:r>
        <w:rPr>
          <w:rFonts w:hint="eastAsia" w:ascii="宋体" w:hAnsi="宋体" w:cs="宋体"/>
          <w:szCs w:val="21"/>
        </w:rPr>
        <w:t xml:space="preserve">种方式对合同价格进行调整：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第1种方式：</w:t>
      </w:r>
      <w:r>
        <w:rPr>
          <w:rFonts w:hint="eastAsia" w:ascii="宋体" w:hAnsi="宋体" w:cs="宋体"/>
          <w:szCs w:val="21"/>
          <w:u w:val="single"/>
        </w:rPr>
        <w:t xml:space="preserve">采用价格指数进行价格调整。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关于各可调因子、定值和变值权重，以及基本价格指数及其来源的约定： </w:t>
      </w:r>
      <w:r>
        <w:rPr>
          <w:rFonts w:hint="eastAsia" w:ascii="宋体" w:hAnsi="宋体" w:cs="宋体"/>
          <w:szCs w:val="21"/>
          <w:u w:val="single"/>
        </w:rPr>
        <w:t xml:space="preserve">不采用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第2种方式：</w:t>
      </w:r>
      <w:r>
        <w:rPr>
          <w:rFonts w:hint="eastAsia" w:ascii="宋体" w:hAnsi="宋体" w:cs="宋体"/>
          <w:szCs w:val="21"/>
          <w:u w:val="single"/>
        </w:rPr>
        <w:t xml:space="preserve">采用造价信息按第12.1条风险范围以外合同价格的调整方法进行价格调整。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关于基准价格的约定：</w:t>
      </w:r>
      <w:r>
        <w:rPr>
          <w:rFonts w:hint="eastAsia" w:ascii="宋体" w:hAnsi="宋体" w:cs="宋体"/>
          <w:szCs w:val="21"/>
          <w:u w:val="single"/>
        </w:rPr>
        <w:t xml:space="preserve">材料设备按合同基准期（投标截止日前28天）的当月南京市浦口区建设工程造价管理所发布的南京市浦口区地方材料及部分安装工程材料的预算指导价和南京市建设工程造价管理处与南京市工程造价管理协会共同发布的《南京工程造价管理》中的指导价，采用一般计税方法计算增值税的按扣除增值税可抵扣进项税额后的指导价格（简称“除税价格”）；人工、机械价格按合同基准期（投标截止日28天前）的江苏省、南京市的相关文件规定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第3种方式：其他价格调整方式：</w:t>
      </w:r>
      <w:r>
        <w:rPr>
          <w:rFonts w:hint="eastAsia" w:ascii="宋体" w:hAnsi="宋体" w:cs="宋体"/>
          <w:szCs w:val="21"/>
          <w:u w:val="single"/>
        </w:rPr>
        <w:t xml:space="preserve">不采用。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12.合同价格、计量与支付及审计费用的承担支付。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12.1合同价格形式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1、单价合同。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12.1.1.2综合单价包含的风险范围：</w:t>
      </w:r>
      <w:r>
        <w:rPr>
          <w:rFonts w:hint="eastAsia" w:ascii="宋体" w:hAnsi="宋体" w:cs="宋体"/>
          <w:szCs w:val="21"/>
        </w:rPr>
      </w:r>
      <w:r/>
    </w:p>
    <w:p>
      <w:pPr>
        <w:pStyle w:val="1020"/>
        <w:ind w:firstLine="480"/>
        <w:spacing w:line="360" w:lineRule="auto"/>
        <w:tabs>
          <w:tab w:val="left" w:pos="3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A、对图纸、清单、现场条件的理解偏差及预测不足导致的报价失误及费用增加。</w:t>
      </w:r>
      <w:r>
        <w:rPr>
          <w:rFonts w:hint="eastAsia" w:ascii="宋体" w:hAnsi="宋体" w:cs="宋体"/>
          <w:szCs w:val="21"/>
        </w:rPr>
      </w:r>
      <w:r/>
    </w:p>
    <w:p>
      <w:pPr>
        <w:pStyle w:val="1020"/>
        <w:ind w:firstLine="480"/>
        <w:spacing w:line="360" w:lineRule="auto"/>
        <w:tabs>
          <w:tab w:val="left" w:pos="397" w:leader="none"/>
        </w:tabs>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B、按合同工期完工所采取的赶工措施费。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C、承包人在实际施工中改变既定的施工组织、施工顺序、施工方法导致的费用增加风险（包括技术和其他措施费用）。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D、合同约定的其他由承包人承担的降效风险。措施项目费（除安全文明措施费及模板）、承包人原因引起的工期延误所造成的承包人费用增加的风险等风险均已包含在合同总价中，今后不作调整。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在投标报价时，要结合场地现场情况，充分考虑施工现场场地狭小等限制原因，对材料堆场、加工点及各类临时设施的搭建等进行合理布置，费用在合同总价中综合考虑，结算时与此相关项均不作调整。如需发包人协调，由此产生的相关协调费用亦由承包人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风险费用的计算方法：</w:t>
      </w:r>
      <w:r>
        <w:rPr>
          <w:rFonts w:hint="eastAsia" w:ascii="宋体" w:hAnsi="宋体" w:cs="宋体"/>
          <w:szCs w:val="21"/>
          <w:u w:val="single"/>
        </w:rPr>
        <w:t xml:space="preserve">已包含于签约合同价中，不予调整。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12.1.1.3风险范围以外合同价格的调整方法：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工程设计变更、现场变更签证以及发包人另</w:t>
      </w:r>
      <w:r>
        <w:rPr>
          <w:rFonts w:hint="eastAsia" w:ascii="宋体" w:hAnsi="宋体" w:cs="宋体"/>
          <w:szCs w:val="21"/>
          <w:u w:val="single"/>
        </w:rPr>
        <w:t xml:space="preserve">行委托施工的追加工程。必须经发包人、监理等有关各方共同签字确认，经确定后14天内由承包人按照投标报价和取费标准提出变更工程价款的报告，经发包人、监理在收到变更工程价款报告之日起14天内予以审核确认。在工程完工后，进行汇总结算。具体对设计变更、签证部分的结算办法双方约定如下；①）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w:t>
      </w:r>
      <w:r>
        <w:rPr>
          <w:rFonts w:hint="eastAsia" w:ascii="宋体" w:hAnsi="宋体" w:cs="宋体"/>
          <w:szCs w:val="21"/>
          <w:u w:val="single"/>
        </w:rPr>
        <w:t xml:space="preserve">的，单价下浮5%；减少单价不作调整；②合同中有类似于变更工程价款的，可以参照此价格确定变更合同价款③合同中没有适用或类似于变更工程价格，具体计算方法依据江苏省计价表内人工、机械、材料的消耗量，人工、机械单价、管理费、利润依照承包人投标书相应单价或费率（如合同总价中人工、机械、材料的消耗量、管理费率、利润率有下浮比例的按投标下浮比例计算，如各部分下浮比例不一致时按投标报价时该分部的最低系数计算），材料单价按同期信息指导价，信息指导价没有的，由承包人提出相应单价，然后三方询价，最后按发包人、监理核定的价格计取。</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因市场价格波动调整合同价格，采用以下方式对合同价格进行调整：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1、价格调整：因市场价格波动调整合同价格，采用以下方式：①投标文件承包人材料价格明细表已有的材料，根据承包人材料价格</w:t>
      </w:r>
      <w:r>
        <w:rPr>
          <w:rFonts w:hint="eastAsia" w:ascii="宋体" w:hAnsi="宋体" w:cs="宋体"/>
          <w:szCs w:val="21"/>
          <w:u w:val="single"/>
        </w:rPr>
        <w:t xml:space="preserve">明细表所列的材料单价计算；②承包人材料价格明细表中没有的材料，由承包人呈报价格, 最终经监理审核、发包人批准后的价格为准。③如承包人材料价格明细表中已有的材料，在建设过程中因市场原因无法采购，而发生材料代用时，必须经监理和发包人同意后方可代用，并由承包人呈报价格，经监理审核、发包人批准后的价格为准，超出原材料价款的费用由承包人承担，节省的费用由发包人扣回。④因发包人原因造成材料代换时，除非该代换为工程所必须的，须由承包人呈报价格经设计、监理审核，发包人批准确定该材料价格，否则材料代换发生的价格变化不予调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2、因承包人原因造成工期延误的，延误期间发生的材料价格上涨差额由承包人承担。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3、人工工资的政策性调整予以调整，人工工资按《省住房和城乡建设厅关于发布2026年上半年建设工程人工价格指数的通知》[苏建函价〔2026〕27号]文件执行。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12.1.2总价合同。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12.2预付款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12.2.1预付款的支付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预付款支付期限：</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12.2.2预付款担保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预付款担保的形式为：和预付款同等金额，</w:t>
      </w:r>
      <w:r>
        <w:rPr>
          <w:rFonts w:hint="eastAsia" w:ascii="宋体" w:hAnsi="宋体" w:cs="宋体"/>
          <w:szCs w:val="21"/>
          <w:u w:val="single"/>
        </w:rPr>
        <w:t xml:space="preserve">银行保函，保函有效期5个月。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12.3计量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12.3.1计量原则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工程量计算规则：</w:t>
      </w:r>
      <w:r>
        <w:rPr>
          <w:rFonts w:hint="eastAsia" w:ascii="宋体" w:hAnsi="宋体" w:cs="宋体"/>
          <w:szCs w:val="21"/>
          <w:u w:val="single"/>
        </w:rPr>
        <w:t xml:space="preserve">按苏建价（2014）448号《省住房城乡建设厅关于〈建设工程工程量清单计价规范〉（GB50500-2013）及其9本工程量计算规范的贯彻意见》执行。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有下列情况之一者，不予计量与支付：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(a)无开工报告或开工报告未经批准；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(b)无计量资料或计量资料不完整；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(c)因施工错误而增加的工程量；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(d)工程量计算不符合相关计算规则；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(e)措施项目超出投标报价措施项目费总额；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(f)材料未按规定试验，或未被确认为合格；</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(g)合同外项目费用未按发包人有关规定办理审批手续。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12.3.2计量周期</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12.3.3单价合同的计量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关于单价合同计量的约定：</w:t>
      </w:r>
      <w:r>
        <w:rPr>
          <w:rFonts w:hint="eastAsia" w:ascii="宋体" w:hAnsi="宋体" w:cs="宋体"/>
          <w:szCs w:val="21"/>
          <w:u w:val="single"/>
        </w:rPr>
        <w:t xml:space="preserve">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有权不予支付本期工程进度款或推迟付款时间。</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12.3.4总价合同的计量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12.3.5总价合同采用支付分解表计量支付的，是否适用第12.3.4项〔总价合同的计量〕约定进行计量：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12.3.6其他价格形式合同的计量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12.4工程进度款支付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12.4.1付款周期</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关于付款周期的约定：</w:t>
      </w:r>
      <w:r>
        <w:rPr>
          <w:rFonts w:hint="eastAsia" w:ascii="宋体" w:hAnsi="宋体" w:cs="宋体"/>
          <w:szCs w:val="21"/>
        </w:rPr>
      </w:r>
      <w:r/>
    </w:p>
    <w:p>
      <w:pPr>
        <w:pStyle w:val="1020"/>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（1）合同签订后，发包人向承包人支付合同总价30%的预付款；</w:t>
      </w:r>
      <w:r>
        <w:rPr>
          <w:rFonts w:ascii="宋体" w:hAnsi="宋体" w:cs="宋体"/>
          <w:szCs w:val="21"/>
        </w:rPr>
      </w:r>
      <w:r/>
    </w:p>
    <w:p>
      <w:pPr>
        <w:pStyle w:val="1020"/>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（2）工程完工验收合格待所有资料移交发包人后，付至合同总价（扣除暂列金及专业工程暂估价）的70%；</w:t>
      </w:r>
      <w:r>
        <w:rPr>
          <w:rFonts w:ascii="宋体" w:hAnsi="宋体" w:cs="宋体"/>
          <w:szCs w:val="21"/>
        </w:rPr>
      </w:r>
      <w:r/>
    </w:p>
    <w:p>
      <w:pPr>
        <w:pStyle w:val="1020"/>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（3）承包人提供竣工结算报告及完整的结算资料，发包人组织结算及审计，审计完成后付至工程审定价款的97%；</w:t>
      </w:r>
      <w:r>
        <w:rPr>
          <w:rFonts w:ascii="宋体" w:hAnsi="宋体" w:cs="宋体"/>
          <w:szCs w:val="21"/>
        </w:rPr>
      </w:r>
      <w:r/>
    </w:p>
    <w:p>
      <w:pPr>
        <w:pStyle w:val="1020"/>
        <w:ind w:left="-220" w:right="-220"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（4）剩余3%，待质保期满后无息付清。</w:t>
      </w:r>
      <w:r>
        <w:rPr>
          <w:rFonts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备注：每次付款前，承包人应提供当地税务部门认可的等额正规发票，否则发包人有权延期支付相应款项。</w:t>
      </w:r>
      <w:r>
        <w:rPr>
          <w:rFonts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12.4.2进度付款申请单的编制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关于进度付款申请单编制的约定：</w:t>
      </w:r>
      <w:r>
        <w:rPr>
          <w:rFonts w:hint="eastAsia" w:ascii="宋体" w:hAnsi="宋体" w:cs="宋体"/>
          <w:szCs w:val="21"/>
          <w:u w:val="single"/>
        </w:rPr>
        <w:t xml:space="preserve">按通用条款执行。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12.4.3进度付款申请单的提交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根据付款约定提交。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12.4.4进度款审核和支付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（1）监理人审查并报送发包人的期限：</w:t>
      </w:r>
      <w:r>
        <w:rPr>
          <w:rFonts w:hint="eastAsia" w:ascii="宋体" w:hAnsi="宋体" w:cs="宋体"/>
          <w:szCs w:val="21"/>
          <w:u w:val="single"/>
        </w:rPr>
        <w:t xml:space="preserve">5个工作日内。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12.4.6支付分解表的编制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12.5审计费用的承担与支付（按发包人工程建设项目审计办法有关规定合理分摊审计服务费）：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①审计费用按发包人工程建设项目审计办法有关规定合理分摊审计服务费，具体规定如下：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a、单项工程核减率超过10%的，其审计费用全部由承包人承担，并由发包人从承包人工程款中扣除（下同）；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b、单项工程核减率在8%-10%（含10%）之间的，其审计费用由发包人承担20%，承包人承担80%；</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c、单项工程核减率在5%-8%（含8%）之间的，其审计费用由承包人承担20%，发包人承担80%；</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d、单项工程核减率在5%及其以下的，其审计费用由发包人承担；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e、非复审项目的核减率按照审计核减额/承包人申报的决算额*100%计算；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f、复审项目的核减率按照（初审核减额+复审核减额）/承包人申报的决算额*100%计算；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g、上述审计核减率的计算以及审计费用承担条款应写入发包人与承包人签订的有关合同中。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②复审项目应预留30%的初审费用作为审计质量保证金，待复审结束后符合支付条件的，再予以支付。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③委托社会中介机构实施工程结算初审的项目，按以下规则扣减审计质量保证金：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a、复审核减率在1%以下（含1%）的，不扣除该初审中介机构的审计质量保证金；复审核减率在1%（不含1%）-2%（含2%）的，应扣除该初审中介机构审计质量保证金的1/3；</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b、复审核减率在2%（不含2%）-3%（含3%）的，应扣除该初审中介机构审计质量保证金的2/3；</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c、复审核减率在3%以上的，应扣除该初审中介机构的全部审计质量保证金；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d、复审核减率按复审核减额/承包人申报的决算额*100%计算；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e、上述复审核减率的计算方式、预留审计质量保证金及其扣减规则应写入发包人与中介机构的审计服务合同中。</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13.验收和工程试车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13.1分部分项工程验收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13.2竣工验收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13.2.2竣工验收程序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关于竣工验收程序的约定：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（5）本合同规定的竣工验收日期是指本合同约定工程承包内容全部完工，并通过发包人组织的竣工验收之日，承包内容中任何一项分部分项工程未完工或经发包人组织的验收评定不合格，均视为工期延误。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13.2.5移交、接收全部与部分工程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承包人向发包人移交工程的期限：</w:t>
      </w:r>
      <w:r>
        <w:rPr>
          <w:rFonts w:hint="eastAsia" w:ascii="宋体" w:hAnsi="宋体" w:cs="宋体"/>
          <w:szCs w:val="21"/>
          <w:u w:val="single"/>
        </w:rPr>
        <w:t xml:space="preserve">自竣工验收合格之日起20天内</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按照中国人民银行发布的同期同类贷款基准利率支付违约金。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除不可抗力与发包人的原因外，工期不得拖延。若承包方原因造成工期延误，则由承包人以5000元/天的违约金向发包人支付，以合同总价的5%为限，此违约金并不能免除承包人应完成工程的责任或合同及法律规定的其他责任。如承包人累计延误工期达合同工期的30%，则发包人有权解除合同，并追究承包人的违约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13.3工程试车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13.3.1试车程序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工程试车内容：</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（1）单机无负荷试车费用由/承担；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（2）无负荷联动试车费用由/承担。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13.3.3投料试车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关于投料试车相关事项的约定：</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13.6竣工退场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13.6.1竣工退场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承包人完成竣工退场的期限：</w:t>
      </w:r>
      <w:r>
        <w:rPr>
          <w:rFonts w:hint="eastAsia" w:ascii="宋体" w:hAnsi="宋体" w:cs="宋体"/>
          <w:szCs w:val="21"/>
          <w:u w:val="single"/>
        </w:rPr>
        <w:t xml:space="preserve">自验收结束之日起20天内承包人将工程移交给发包人，撤出全部临建、施工人员、施工机械和剩余材料，并将施工现场及临时占地范围内的所有场地清理干净。</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14.竣工结算</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14.1竣工付款申请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承包人提交竣工结算的期限：</w:t>
      </w:r>
      <w:r>
        <w:rPr>
          <w:rFonts w:hint="eastAsia" w:ascii="宋体" w:hAnsi="宋体" w:cs="宋体"/>
          <w:szCs w:val="21"/>
          <w:u w:val="single"/>
        </w:rPr>
        <w:t xml:space="preserve">工程竣工验收合格且完成竣工验收备案后的28 天内，承包人必须将符合规范的完整的竣工结算资料递交给发包人。否则，由此造成发包人、监理人单位管理费用的增加，由承包人承担。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承包人提交竣工付款申请单的期限：</w:t>
      </w:r>
      <w:r>
        <w:rPr>
          <w:rFonts w:hint="eastAsia" w:ascii="宋体" w:hAnsi="宋体" w:cs="宋体"/>
          <w:szCs w:val="21"/>
          <w:u w:val="single"/>
        </w:rPr>
        <w:t xml:space="preserve">结算审计结束后7日内</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竣工付款申请单应包括的内容：</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14.2竣工结算审核</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发包人审批竣工付款申请单的期限：</w:t>
      </w:r>
      <w:r>
        <w:rPr>
          <w:rFonts w:hint="eastAsia" w:ascii="宋体" w:hAnsi="宋体" w:cs="宋体"/>
          <w:szCs w:val="21"/>
          <w:u w:val="single"/>
        </w:rPr>
        <w:t xml:space="preserve">发包人、承包人对竣工结算审核审计结果无异议的，发包人应在双方签认后14天内，向承包人出具竣工付款证书。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发包人完成竣工付款的期限：</w:t>
      </w:r>
      <w:r>
        <w:rPr>
          <w:rFonts w:hint="eastAsia" w:ascii="宋体" w:hAnsi="宋体" w:cs="宋体"/>
          <w:szCs w:val="21"/>
          <w:u w:val="single"/>
        </w:rPr>
        <w:t xml:space="preserve">发包人应在签发竣工付款证书后的14天内，完成对承包人的竣工付款。发包人逾期支付的，按照中国人民银行发布的同期同类贷款基准利率支付违约金</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对于有异议部分应在收到发包人签认的竣工付款证书后7天内提出异议，并共同委托给第三方或建设工程造价管理部门鉴证，或按照第20条（争议解决）约定处理。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14.4最终结清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14.4.1最终结清申请单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承包人提交最终结清申请单的份数：</w:t>
      </w:r>
      <w:r>
        <w:rPr>
          <w:rFonts w:hint="eastAsia" w:ascii="宋体" w:hAnsi="宋体" w:cs="宋体"/>
          <w:szCs w:val="21"/>
          <w:u w:val="single"/>
        </w:rPr>
        <w:t xml:space="preserve">按发包人要求。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承包人提交最终结算申请单的期限：</w:t>
      </w:r>
      <w:r>
        <w:rPr>
          <w:rFonts w:hint="eastAsia" w:ascii="宋体" w:hAnsi="宋体" w:cs="宋体"/>
          <w:szCs w:val="21"/>
          <w:u w:val="single"/>
        </w:rPr>
        <w:t xml:space="preserve">按发包人要求。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14.4.2最终结清证书和支付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（2）发包人完成支付的期限：</w:t>
      </w:r>
      <w:r>
        <w:rPr>
          <w:rFonts w:hint="eastAsia" w:ascii="宋体" w:hAnsi="宋体" w:cs="宋体"/>
          <w:szCs w:val="21"/>
          <w:u w:val="single"/>
        </w:rPr>
        <w:t xml:space="preserve">发包人应在颁发最终结清证书后14天内完成支付。发包人逾期支付的，按照中国人民银行发布的同期同类贷款基准利率支付违约金。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15.缺陷责任期与保修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15.2缺陷责任期</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缺陷责任期的具体期限：</w:t>
      </w:r>
      <w:r>
        <w:rPr>
          <w:rFonts w:hint="eastAsia" w:ascii="宋体" w:hAnsi="宋体" w:cs="宋体"/>
          <w:szCs w:val="21"/>
          <w:u w:val="single"/>
        </w:rPr>
        <w:t xml:space="preserve">工程竣工验收合格之日起24个月</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15.3质量保证金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扣留3%的工程款作为质量保证金</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15.3.1承包人提供质量保证金的方式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（1）质量保证金保函，保证金额为：</w:t>
      </w:r>
      <w:r>
        <w:rPr>
          <w:rFonts w:hint="eastAsia" w:ascii="宋体" w:hAnsi="宋体" w:cs="宋体"/>
          <w:szCs w:val="21"/>
          <w:u w:val="single"/>
        </w:rPr>
        <w:t xml:space="preserve">不采用</w:t>
      </w:r>
      <w:r>
        <w:rPr>
          <w:rFonts w:hint="eastAsia" w:ascii="宋体" w:hAnsi="宋体" w:cs="宋体"/>
          <w:szCs w:val="21"/>
        </w:rPr>
        <w:t xml:space="preserve">；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hint="eastAsia" w:ascii="宋体" w:hAnsi="宋体" w:cs="宋体"/>
          <w:szCs w:val="21"/>
          <w:u w:val="single"/>
        </w:rPr>
        <w:t xml:space="preserve">3%</w:t>
      </w:r>
      <w:r>
        <w:rPr>
          <w:rFonts w:hint="eastAsia" w:ascii="宋体" w:hAnsi="宋体" w:cs="宋体"/>
          <w:szCs w:val="21"/>
        </w:rPr>
        <w:t xml:space="preserve">的工程款；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（3）其他方式：</w:t>
      </w:r>
      <w:r>
        <w:rPr>
          <w:rFonts w:hint="eastAsia" w:ascii="宋体" w:hAnsi="宋体" w:cs="宋体"/>
          <w:szCs w:val="21"/>
          <w:u w:val="single"/>
        </w:rPr>
        <w:t xml:space="preserve">不采用</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15.3.2质量保证金的扣留</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质量保证金的扣留采取以下第</w:t>
      </w:r>
      <w:r>
        <w:rPr>
          <w:rFonts w:hint="eastAsia" w:ascii="宋体" w:hAnsi="宋体" w:cs="宋体"/>
          <w:szCs w:val="21"/>
          <w:u w:val="single"/>
        </w:rPr>
        <w:t xml:space="preserve"> 2</w:t>
      </w:r>
      <w:r>
        <w:rPr>
          <w:rFonts w:hint="eastAsia" w:ascii="宋体" w:hAnsi="宋体" w:cs="宋体"/>
          <w:szCs w:val="21"/>
        </w:rPr>
        <w:t xml:space="preserve">种方式：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（1）在支付工程进度款时逐次扣留，在此情形下，质量保证金的计算基数不包括预付款的支付、扣回以及价格调整的金额；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（2）工程竣工结算时一次性扣留质量保证金；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（3）其他扣留方式；</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关于质量保证金的补充约定：</w:t>
      </w:r>
      <w:r>
        <w:rPr>
          <w:rFonts w:hint="eastAsia" w:ascii="宋体" w:hAnsi="宋体" w:cs="宋体"/>
          <w:szCs w:val="21"/>
          <w:u w:val="single"/>
        </w:rPr>
        <w:t xml:space="preserve">结算审计价款的3%余款作为质保金，质保期满后十五日付清（保修金不计利息，并扣除发包人自行维修的费用）。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15.4保修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15.4.1保修责任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工程保修期为：</w:t>
      </w:r>
      <w:r>
        <w:rPr>
          <w:rFonts w:hint="eastAsia" w:ascii="宋体" w:hAnsi="宋体" w:cs="宋体"/>
          <w:szCs w:val="21"/>
          <w:u w:val="single"/>
        </w:rPr>
        <w:t xml:space="preserve">本工程的质量保修期以工程竣工验收合格之日起计算，质量保修期限详见质量保修书。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15.4.3修复通知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承包人收到保修通知后24小时内到达工程现场。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16.违约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16.1发包人违约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16.1.1发包人违约的情形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发包人违约的其他情形：</w:t>
      </w:r>
      <w:r>
        <w:rPr>
          <w:rFonts w:hint="eastAsia" w:ascii="宋体" w:hAnsi="宋体" w:cs="宋体"/>
          <w:szCs w:val="21"/>
          <w:u w:val="single"/>
        </w:rPr>
        <w:t xml:space="preserve">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16.1.2发包人违约的责任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发包人违约责任的承担方式和计算方法：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（1）因发包人原因未能在计划开工日期前7天内下达开工通知的违约责任：工期顺延。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（2）因发包人原因未能按合同约定支付合同价款的违约责任：无。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（3）发包人违反变更要求，自行实施被取消的工作或转由他人实施的违约责任：发包人不承担责任。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（4）发包人提供的材料、工程设备的规格、数量或质量不符合合同约定，或因发包人原因导致交货日期延误或交货地点变更等情况的违约责任：双方协商。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（5）因发包人违反合同约定造成暂停施工的违约责任：双方协商。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（6）发包人无正当理由没有在约定期限内发出复工指示，导致承包人无法复工的违约责任：双方协商。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（7）其他：无。</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16.1.3因发包人违约解除合同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28</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16.2承包人违约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16.2.1承包人违约的情形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承包人违约的其他情形：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按工程结算价款的20%支付违约金，发包人有权在结算工程款时直接扣除，此项赔偿并不能解除中标单位完成工程的责任及合同规定的其他责任。整改超过一个月仍达不到合同和设计要求，发包人有权单方面解除合同，承包人无权要求支付工程款，发包人已付的工程款承包人应无条件立即退还，已供设备和已完成工作归发包人所有。</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如因施工质量、施工管理、施工行为导致安全生产事故、消防事故、水电安全事故、人身伤亡等，由承包人承担包括损失赔偿在内的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上述违约金发包人有权在结算工程款时直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材料进场管理的违约责任：所有进入本项目工地的材料即为本工程使用的材料，承包人负有保管义务，因材料设备损坏或灭失而造成的损失，由承包人承担；承包方不得将其他项目的材料设备运入本项目现场，否则视为不合</w:t>
      </w:r>
      <w:r>
        <w:rPr>
          <w:rFonts w:hint="eastAsia" w:ascii="宋体" w:hAnsi="宋体" w:cs="宋体"/>
          <w:szCs w:val="21"/>
          <w:u w:val="single"/>
        </w:rPr>
        <w:t xml:space="preserve">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由此造成工期延误的，由承包人承担，并且发包人有权按违反监理程序要求承包人支付3000元/次违约金，该违约金发包人有权在结算工程款时直接扣除；承包人不按合同履行应承担的工作，对工程进展造成影响时，发包人有权自行或委托他人完成合同约定承包人该项工作，所产生的费用从承包人应得的款项中获得，不足部分由承包人偿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现场必须达到标准化现场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该违约金发包人有权在结算工程款时直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双方约定的承包人其他违约责任：在施工期间承包人如发生重大质量和安全事故、消防事故、水电安全事故、人身伤亡事故的，承包人必须承担包括损失赔偿在内的事故处理的一切费用、工程的恢复费用及因此造成后续工程延期费用（承包人应按照10000元/天的标准向发包人支付违约金，该违约金发包人有权在结算工程款时直接扣除），发包人有权单方解除本合同并勒令承包人退场，或减少其承包内容，所造成的损失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非因发包人原因导致工程未按时竣工，承包人应向发包人支付违约金5000元/天。发包方可从承包方支付的任何款项中扣除此违约金,此违约金的支付并不能解除承包方完成工程的责任和合同规定的其他责任。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16.2.2承包人违约的责任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承包人违约责任的承担方式和计算方法：</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若承包人擅自停工或单方面终止合同的执行或违约，造成合同无法履行，在本合同解除后，承包人必须在5天内无条件退场。承包人应承担由此而给发包方造成的一切损失，由此给发包人造成的损失及承包人应当支付的违约金及其他费用，发包人有权在结算工程款时予以扣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16.2.3因承包人违约解除合同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承包人存在招标过程中的违法行为和发包人认为承包人已不具备正常履约能力。</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承包人发生下列情况解除合同，履约保证金不予退还，承包人退场：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（一）发生挂靠、擅自转包、擅自分包；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（二）施工任务、计划工期进度因承包人自身原因延误合同工期30%以上天数或发生重大质量安全事故的；</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（三）连续两个月以上不按法律、法规规定要求发放工人工资或因其造成工地工人群体上访恶性事件的（因被拖欠工程款引发的除外）；</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（四）拒不履行投标承诺及合约职责与义务的。</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合同解除承包人退场后，发包人组织相关责任单位进行工程质量验收和工程造价清算，重新确定承包人，由此产生的费用超过原中标价部分由原承包人负责赔偿。同时承包人应向发包人支付合同总价30%的违约金。</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发包人继续使用承包人在施工现场的材料、设备、临时工程、承包人文件和由承包人或以其名义编制的其他文件的费用承担方式：另行协商。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因承包人原因解除合同的，承包人应向发包人支付合同价30%的违约金。违约金不能完全赔偿发包人损失的，承包人应在支付违约金外，继续赔偿剩余损失。</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17.不可抗力</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17.1不可抗力的确认</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因国家、省、市政府政策调整或重大事件，或是发包人上级主管单位规划调整，发包人被动暂停或取消本工程的全部或部分工作内容。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17.4因不可抗力解除合同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28</w:t>
      </w:r>
      <w:r>
        <w:rPr>
          <w:rFonts w:hint="eastAsia" w:ascii="宋体" w:hAnsi="宋体" w:cs="宋体"/>
          <w:szCs w:val="21"/>
        </w:rPr>
        <w:t xml:space="preserve">天内完成款项的支付。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18.保险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18.1工程保险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关于工程保险的特别约定：</w:t>
      </w:r>
      <w:r>
        <w:rPr>
          <w:rFonts w:hint="eastAsia" w:ascii="宋体" w:hAnsi="宋体" w:cs="宋体"/>
          <w:szCs w:val="21"/>
          <w:u w:val="single"/>
        </w:rPr>
        <w:t xml:space="preserve">发包人委托承包人办理本项目的建筑工程一切险和第三者责任险。保险费包含在承包人报价中。承包人必须为其设备投保设备险、雇员（包括临时工和民工）投保人身意外事故险，此项保险的一切费用包含在所报的合同总价中，不单独计量与支付。</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承包人投保内容：</w:t>
      </w:r>
      <w:r>
        <w:rPr>
          <w:rFonts w:hint="eastAsia" w:ascii="宋体" w:hAnsi="宋体" w:cs="宋体"/>
          <w:szCs w:val="21"/>
          <w:u w:val="single"/>
        </w:rPr>
        <w:t xml:space="preserve">必须为施工场地内员工办理意外伤害保险，并缴纳保险费。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18.3其他保险</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关于其他保险的约定：</w:t>
      </w:r>
      <w:r>
        <w:rPr>
          <w:rFonts w:hint="eastAsia" w:ascii="宋体" w:hAnsi="宋体" w:cs="宋体"/>
          <w:szCs w:val="21"/>
          <w:u w:val="single"/>
        </w:rPr>
        <w:t xml:space="preserve">承包人必须按法律法规及省市政策、文件要求为该项目所有人员办理保险，包括工伤保险、施工现场从事危险作业的人员投保人身意外伤害险，以及自有机械机具的保险等，并及时支付保险费，承担保险责任。一旦发生上述保险范围内的事件，损失由承包人自行承担。承包人必须在工程开工前将保单提供给发包人或其委托的监理工程师核查和备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是。</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18.7通知义务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20.争议解决</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20.3争议评审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不采用。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20.3.1争议评审小组的确定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20.3.2争议评审小组的决定</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20.4仲裁或诉讼</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（1）向</w:t>
      </w:r>
      <w:r>
        <w:rPr>
          <w:rFonts w:hint="eastAsia" w:ascii="宋体" w:hAnsi="宋体" w:cs="宋体"/>
          <w:szCs w:val="21"/>
          <w:u w:val="single"/>
        </w:rPr>
        <w:t xml:space="preserve">工程所在地</w:t>
      </w:r>
      <w:r>
        <w:rPr>
          <w:rFonts w:hint="eastAsia" w:ascii="宋体" w:hAnsi="宋体" w:cs="宋体"/>
          <w:szCs w:val="21"/>
        </w:rPr>
        <w:t xml:space="preserve">仲裁委员会申请仲裁；</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21补充条款：</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1.施工单位完工后，要向相关的主管部门进行报验，并保证能通过相关部门的验收。</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2.凡是非设计变更及非发包人原因造成的施工条件的变更，施工方案和施工措施的修改而造成增加的费用由承包人承担。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3.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4.任何图纸未明确工作量的项目，涉及工程造价变更和增项的确认要遵循“先批后建”的原则，必须得到发包人监理人和造价咨询人的书面确认后方可生效。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5.竣工验收前，承包人需提供完整的竣工验收资料，竣工验收后一个月内提供完整的竣工结算资料。审计费用的计取标准：按发包人审计部门要求确定。承包人提供的所有资料需满足工程备案要求。</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6.承包人应配合发包人监理人对本工程的监督、检查，按发包人要求及时报送有关资料和变更价款情况。</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7.如发生施工单位间的纠纷协调由各施工单位自行解决，发包人不承担任何连带责任。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8.其他未尽事宜由双方协商解决。</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br w:type="page" w:clear="all"/>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附件1：</w:t>
      </w:r>
      <w:r>
        <w:rPr>
          <w:rFonts w:hint="eastAsia" w:ascii="宋体" w:hAnsi="宋体" w:cs="宋体"/>
          <w:szCs w:val="21"/>
        </w:rPr>
      </w:r>
      <w:r/>
    </w:p>
    <w:p>
      <w:pPr>
        <w:pStyle w:val="1020"/>
        <w:ind w:firstLine="643"/>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工程质量保修书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发包人（全称）：江苏卫生健康职业学院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承包人（全称）：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江苏卫生健康职业学院图书馆校园书吧装修项目</w:t>
      </w:r>
      <w:r>
        <w:rPr>
          <w:rFonts w:hint="eastAsia" w:ascii="宋体" w:hAnsi="宋体" w:cs="宋体"/>
          <w:szCs w:val="21"/>
        </w:rPr>
        <w:t xml:space="preserve">签订工程质量保修书。</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一、工程质量保修范围和内容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承包人在质量保修期内，按照有关法律规定和合同约定，承担工程质量保修责任。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但凡非人为原因影响建设项目正常使用的情况均属保修内容</w:t>
      </w:r>
      <w:r>
        <w:rPr>
          <w:rFonts w:hint="eastAsia" w:ascii="宋体" w:hAnsi="宋体" w:cs="宋体"/>
          <w:szCs w:val="21"/>
        </w:rPr>
        <w:t xml:space="preserve">。</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二、质量保修期</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根据《建设工程质量管理条例》及有关规定，工程的质量保修期如下：</w:t>
      </w:r>
      <w:r>
        <w:rPr>
          <w:rFonts w:hint="eastAsia"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（1）地基基础工程和主体结构工程为设计文件规定的工程合理使用年限；</w:t>
      </w:r>
      <w:r>
        <w:rPr>
          <w:rFonts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（2）屋面防水工程、有防水要求的卫生间、房间和外墙面的防渗为5年；</w:t>
      </w:r>
      <w:r>
        <w:rPr>
          <w:rFonts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（3）装修工程为2年；</w:t>
      </w:r>
      <w:r>
        <w:rPr>
          <w:rFonts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（4）电气管线、给排水管道、设备安装工程为2年；</w:t>
      </w:r>
      <w:r>
        <w:rPr>
          <w:rFonts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（5）供热与供冷系统为2个采暖期、供冷期；</w:t>
      </w:r>
      <w:r>
        <w:rPr>
          <w:rFonts w:ascii="宋体" w:hAnsi="宋体" w:cs="宋体"/>
          <w:szCs w:val="21"/>
        </w:rPr>
      </w:r>
      <w:r/>
    </w:p>
    <w:p>
      <w:pPr>
        <w:pStyle w:val="1020"/>
        <w:ind w:firstLine="48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（6）住宅小区内的给排水设施、道路等配套工程为2年；</w:t>
      </w:r>
      <w:r>
        <w:rPr>
          <w:rFonts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（7）其他项目保修期限约定如下：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u w:val="single"/>
        </w:rPr>
        <w:t xml:space="preserve">本工程其他项目保修期为2年</w:t>
      </w:r>
      <w:r>
        <w:rPr>
          <w:rFonts w:hint="eastAsia" w:ascii="宋体" w:hAnsi="宋体" w:cs="宋体"/>
          <w:szCs w:val="21"/>
        </w:rPr>
        <w:t xml:space="preserve">。</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质量保修期自工程竣工验收合格之日起计算。</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三、缺陷责任期</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工程缺陷责任期为24个月，缺陷责任期自工程通过竣工验收之日起计算。单位工程先于全部工程进行验收，单位工程缺陷责任期自单位工程验收合格之日起算。</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四、质量保修责任</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1.属于保修范围、内容的项目，承包人应当在接到保修通知之日起2天内派人保修。承包人不在约定期限内派人保修的，发包人可以委托他人修理。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2.发生紧急事故需抢修的，承包人在接到事故通知后，应当立即到达事故现场抢修。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4.质量保修完成后，由发包人组织验收。</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五、保修费用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保修费用由造成质量缺陷的责任方承担。</w:t>
      </w:r>
      <w:r>
        <w:rPr>
          <w:rFonts w:hint="eastAsia" w:ascii="宋体" w:hAnsi="宋体" w:cs="宋体"/>
          <w:szCs w:val="21"/>
        </w:rPr>
      </w:r>
      <w:r/>
    </w:p>
    <w:p>
      <w:pPr>
        <w:pStyle w:val="1020"/>
        <w:ind w:firstLine="482"/>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六、双方约定的其他工程质量保修事项</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1.发包人指定发包人现场代表负责协调保修具体事宜。</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2.本工程质量保修书，由施工合同发包人、承包人双方共同签署，作为施工合同附件，其有效期限至保修期满。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3.承包人上门维保人员须持证上岗，具备相关资质，持有相关有效证件；且承包人须为上门维保人员缴纳人身意外险，人身意外险保额应大于等于100万元，承包人须保证社保和人身意外险的真实性、有效性。</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4.本保修书经承、发包双方签章后生效，未尽事宜由双方另行签订补充条款进行约定。任何一方不得擅自变更或解除本保修书。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5.工程质量保修书由发包人、承包人在工程竣工验收前共同签署，作为施工合同附件，其有效期限至保修期满。</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发包人(公章)：江苏卫生健康职业学院    承包人(公章)：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  地址：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法定代表人(签名)：                  法定代表人(签名)：</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委托代理人(签名)：                委托代理人(签名)：</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                电话：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传真：                传真：</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开户银行：                 开户银行：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账号：                  账号：</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邮政编码：               邮政编码：</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br w:type="page" w:clear="all"/>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附件2：</w:t>
      </w:r>
      <w:r>
        <w:rPr>
          <w:rFonts w:hint="eastAsia" w:ascii="宋体" w:hAnsi="宋体" w:cs="宋体"/>
          <w:szCs w:val="21"/>
        </w:rPr>
      </w:r>
      <w:r/>
    </w:p>
    <w:p>
      <w:pPr>
        <w:pStyle w:val="1020"/>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安全生产责任协议书</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为落实安全生产的管理要求，确保工程建设的顺利进行，经甲乙双方共同协商，一致同意如下：</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发包人在施工开始前向承包人提交必要的施工场地，明确承包人安全生产管理的责任区域和要求，承包人负责施工现场的安全管理工作，是施工现场的安全管理的责任单位。承包人必须建立安全生产保证体系，其相关文件报发包人备案。</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二、发包人可以组织和督促承包人开展安全达标活动；及时传达和部署上级的有关安全生产精神和要求，定期听取承包人的意见和要求。加强安全生产的指导和协调。</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三、发包人有权组织对承包人安全规范作业、文明施工情况的</w:t>
      </w:r>
      <w:r>
        <w:rPr>
          <w:rFonts w:hint="eastAsia" w:ascii="宋体" w:hAnsi="宋体" w:cs="宋体"/>
          <w:szCs w:val="21"/>
        </w:rPr>
        <w:t xml:space="preserve">检查，定期组织考核；对承包人及有关人员在安全生产工作中有突出贡献或成绩显著的集体、个人可以给予表彰和物资奖励。对承包人及有关人员发生的违章、违法行为和存在的问题以及在安全生产、文明施工等创优达标活动中不积极配合的，发包人有权进行教育、责成其限期整改。发包人有权按200—500元不等向承包人收取违约金（发包人有权从应付工程款项中扣除相应违约金金额）。对未按要求限期整改的或整改不力、情节严重并造成一定后果的，发包人有权按1000—2000元不等向承包人收取违约金（发包人有权从应付工程款项中扣除相应违约金金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凡工地内发生生产事故或重大人员伤亡的，发包人派员参与劳动行政部门、司法机关调查处理。发包人可按其造成的后果及影响，对责任单以按责任违约给予一次性经济的处理。责任违约的经济处罚按照司法行政机关处理意见从工程款中扣除。事故造成的经济损失及因承包人责任给发包人造成的连带经济损失全部由承包人承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五、承包人要严格贯彻执行国家和本市颁发的有关安全生产的法律、法规，严格按照中华人民共和国建设部《关于印发&lt;2009年工程建设标准规范制订、修订计划&gt;的通知》（建标[2009]88号）要求修订后的《建筑施工安全检查标准》(编号JGJ59-2011)的要求加强内部安全管理，落实各项安全防护措施，确保工程建设中不发生重大伤亡事故。</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六、承包人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七、乙方进入工地后应明确落实施工现场安全生产第一责任人。乙方应当根据住房城乡建设部2025年9月26日印发《建筑施工企业、工程项目安全生产管理机构设置及安全生产管理人员配备办法》（建质规〔2025〕3号）文件规定为本项目配备专职安全生产管理人员，且施工期间在岗履职人员数量应当满足下列要求：（一）建筑工程、装修工程项目按照建筑面积配备：1万平方米以下的项目不少于1人；1万～5万平方米的项目不少于2人；5万平方米以上的项目不少于3人，且每增加5万平方米，应当至少增加1名专职安全生产管理人员；（二）市政基础设</w:t>
      </w:r>
      <w:r>
        <w:rPr>
          <w:rFonts w:hint="eastAsia" w:ascii="宋体" w:hAnsi="宋体" w:cs="宋体"/>
          <w:szCs w:val="21"/>
        </w:rPr>
        <w:t xml:space="preserve">施工程项目按照工程合同价款配备：5000万元以下的项目不少于1人；5000万～2亿元的项目不少于2人；2亿元以上的项目不少于3人，且每增加2亿元，应当至少增加1名专职安全生产管理人员；（三）在前款所述基础上，施工活动涉及建筑起重机械的，应当至少增加1名机械类专职安全生产管理人员。如本项目允许分包的，则乙方应当在分包合同中明确分包企业项目专职安全生产管理人员的配备要求，且人员数量应当至少满足下列要求：50人以下的，配备不少于1人；50人～200人的，配备不少于2人；200人以上的，配备不少于3人，且不得少于工</w:t>
      </w:r>
      <w:r>
        <w:rPr>
          <w:rFonts w:hint="eastAsia" w:ascii="宋体" w:hAnsi="宋体" w:cs="宋体"/>
          <w:szCs w:val="21"/>
        </w:rPr>
        <w:t xml:space="preserve">程施工人员总人数的1%，并根据所承担的分部分项工程施工危险程度增加。城市桥梁、隧道、城市轨道交通工程以及采用新技术、新工艺、新材料、新设备或致害因素多、施工作业难度大、同时实施多项危险性较大的分部分项工程的项目，乙方应当根据施工实际情况，在以上规定的配备标准上增加项目专职安全生产管理人员的数量。乙方应当将配备的专职安全生产管理人员名单报甲方备案。乙方要建立健全安全生产保证体系，落实各级安全责任制，完善各项安全生产制度(包括奖惩制度)；按照“谁施工谁负责”的原则，负责单位内部和施工责任区域的安全生产管理工作。</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八、承包人对施工人员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九、承包人要按照“安全自查，隐患自改、责任自负”的原则加强对施工责任区的日常安全检查。及时制止和处理各类违章违法行为。对查获的隐患要及时落实整改措施，消除隐患。</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承包人应主动接受发包人在安全生产工作上的业务指导，检查和督促，服从管理；对发包人的工作布置和组织的活动要积极贯彻实施和参加。对发包人给予因责任违约的经济处理如有异议可要求复核。对发包人工作人员利用职权营私舞弊、有意刁难的违法行为，有权检举揭发，要求处理。</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十一、承包人因疏于管理违章违法作业发生安全事故或造成人员伤亡的，应在积极抢救受伤人员、保护现场的同时，严格按安全事故上报的规定时限向发包人和当地劳动行政部门汇报，不得迟报瞒报。</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十二、本协议中未涉及的有关条款，甲乙双方可根据需要协商补充修改。如遇有国家和本市的有关法规不符的，应按国家和本市的有关法规执行。</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十三、本协议作为甲乙双方工程合同的附件，在工程合同签约后生效，与工程合同具有同等法律效力。工程合同期满，本协议终止。</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发包人：(盖章)江苏卫生健康职业学院    承包人：(盖章)  </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法定代表人：                             法定代表人：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委托代理人：                             委托代理人：</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地址：                                   地址：</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电话：                                   电话：</w:t>
      </w:r>
      <w:r>
        <w:rPr>
          <w:rFonts w:hint="eastAsia" w:ascii="宋体" w:hAnsi="宋体" w:cs="宋体"/>
          <w:szCs w:val="21"/>
        </w:rPr>
      </w:r>
      <w:r/>
    </w:p>
    <w:p>
      <w:pPr>
        <w:pStyle w:val="1020"/>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2026年月日                             2026年月日</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szCs w:val="21"/>
        </w:rPr>
      </w:r>
      <w:r/>
    </w:p>
    <w:p>
      <w:pPr>
        <w:pStyle w:val="10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br w:type="page" w:clear="all"/>
      </w:r>
      <w:r>
        <w:rPr>
          <w:rFonts w:hint="eastAsia" w:ascii="宋体" w:hAnsi="宋体" w:cs="宋体"/>
          <w:szCs w:val="21"/>
        </w:rPr>
        <w:t xml:space="preserve">附件3：                           </w:t>
      </w:r>
      <w:r>
        <w:rPr>
          <w:rFonts w:hint="eastAsia" w:ascii="宋体" w:hAnsi="宋体" w:cs="宋体"/>
          <w:b/>
          <w:szCs w:val="21"/>
        </w:rPr>
        <w:t xml:space="preserve">     </w:t>
      </w:r>
      <w:r>
        <w:rPr>
          <w:rFonts w:hint="eastAsia" w:ascii="宋体" w:hAnsi="宋体" w:cs="宋体"/>
          <w:szCs w:val="21"/>
        </w:rPr>
      </w:r>
      <w:r/>
    </w:p>
    <w:p>
      <w:pPr>
        <w:pStyle w:val="1020"/>
        <w:jc w:val="center"/>
        <w:spacing w:line="360" w:lineRule="auto"/>
        <w:rPr>
          <w:rFonts w:hint="eastAsia" w:ascii="Cambria" w:hAnsi="Cambria" w:eastAsia="方正小标宋_GBK"/>
          <w:sz w:val="44"/>
          <w:szCs w:val="44"/>
        </w:rPr>
        <w:outlineLvl w:val="0"/>
      </w:pPr>
      <w:r>
        <w:rPr>
          <w:rFonts w:hint="eastAsia" w:eastAsia="方正黑体_GBK"/>
          <w:b/>
          <w:bCs/>
          <w:sz w:val="32"/>
          <w:szCs w:val="32"/>
        </w:rPr>
        <w:t xml:space="preserve">廉</w:t>
      </w:r>
      <w:r>
        <w:rPr>
          <w:rFonts w:hint="eastAsia" w:ascii="Cambria" w:hAnsi="Cambria" w:eastAsia="方正黑体_GBK"/>
          <w:b/>
          <w:bCs/>
          <w:sz w:val="32"/>
          <w:szCs w:val="32"/>
        </w:rPr>
        <w:t xml:space="preserve">  政  协  议  书</w:t>
      </w:r>
      <w:r>
        <w:rPr>
          <w:rFonts w:hint="eastAsia" w:ascii="Cambria" w:hAnsi="Cambria" w:eastAsia="方正小标宋_GBK"/>
          <w:sz w:val="44"/>
          <w:szCs w:val="44"/>
        </w:rPr>
      </w:r>
      <w:r/>
    </w:p>
    <w:p>
      <w:pPr>
        <w:pStyle w:val="1020"/>
        <w:rPr>
          <w:rFonts w:hint="eastAsia" w:ascii="宋体" w:hAnsi="宋体"/>
          <w:szCs w:val="21"/>
        </w:rPr>
      </w:pPr>
      <w:r>
        <w:rPr>
          <w:rFonts w:hint="eastAsia" w:ascii="宋体" w:hAnsi="宋体"/>
          <w:szCs w:val="21"/>
        </w:rPr>
      </w:r>
      <w:r/>
    </w:p>
    <w:p>
      <w:pPr>
        <w:pStyle w:val="1020"/>
        <w:ind w:firstLine="420"/>
        <w:spacing w:line="360" w:lineRule="auto"/>
        <w:rPr>
          <w:bCs/>
          <w:szCs w:val="22"/>
        </w:rPr>
      </w:pPr>
      <w:r>
        <w:rPr>
          <w:rFonts w:hint="eastAsia"/>
          <w:bCs/>
          <w:szCs w:val="22"/>
        </w:rPr>
        <w:t xml:space="preserve">发包人（甲方）: 江苏卫生健康职业学院          </w:t>
      </w:r>
      <w:r>
        <w:rPr>
          <w:bCs/>
          <w:szCs w:val="22"/>
        </w:rPr>
      </w:r>
      <w:r/>
    </w:p>
    <w:p>
      <w:pPr>
        <w:pStyle w:val="1020"/>
        <w:ind w:firstLine="420"/>
        <w:spacing w:line="360" w:lineRule="auto"/>
        <w:rPr>
          <w:bCs/>
          <w:szCs w:val="22"/>
        </w:rPr>
      </w:pPr>
      <w:r>
        <w:rPr>
          <w:rFonts w:hint="eastAsia"/>
          <w:bCs/>
          <w:szCs w:val="22"/>
        </w:rPr>
        <w:t xml:space="preserve">承包人（乙方）:                           </w:t>
      </w:r>
      <w:r>
        <w:rPr>
          <w:bCs/>
          <w:szCs w:val="22"/>
        </w:rPr>
      </w:r>
      <w:r/>
    </w:p>
    <w:p>
      <w:pPr>
        <w:pStyle w:val="1020"/>
        <w:ind w:firstLine="420"/>
        <w:spacing w:line="360" w:lineRule="auto"/>
        <w:rPr>
          <w:bCs/>
          <w:szCs w:val="22"/>
        </w:rPr>
      </w:pPr>
      <w:r>
        <w:rPr>
          <w:rFonts w:hint="eastAsia"/>
          <w:bCs/>
          <w:szCs w:val="22"/>
        </w:rPr>
        <w:t xml:space="preserve">甲乙双方按照《中华人民共和国民法典》和国家颁布的廉政建设有关规定,协商签订本协议。 </w:t>
      </w:r>
      <w:r>
        <w:rPr>
          <w:bCs/>
          <w:szCs w:val="22"/>
        </w:rPr>
      </w:r>
      <w:r/>
    </w:p>
    <w:p>
      <w:pPr>
        <w:pStyle w:val="1020"/>
        <w:ind w:firstLine="420"/>
        <w:spacing w:line="360" w:lineRule="auto"/>
        <w:rPr>
          <w:bCs/>
          <w:szCs w:val="22"/>
        </w:rPr>
      </w:pPr>
      <w:r>
        <w:rPr>
          <w:rFonts w:hint="eastAsia"/>
          <w:bCs/>
          <w:szCs w:val="22"/>
        </w:rPr>
        <w:t xml:space="preserve">第一条 本协议为甲乙双方签订的工程业务合同(以下简称《业务合同》的附协议。 </w:t>
      </w:r>
      <w:r>
        <w:rPr>
          <w:bCs/>
          <w:szCs w:val="22"/>
        </w:rPr>
      </w:r>
      <w:r/>
    </w:p>
    <w:p>
      <w:pPr>
        <w:pStyle w:val="1020"/>
        <w:ind w:firstLine="420"/>
        <w:spacing w:line="360" w:lineRule="auto"/>
        <w:rPr>
          <w:bCs/>
          <w:szCs w:val="22"/>
        </w:rPr>
      </w:pPr>
      <w:r>
        <w:rPr>
          <w:rFonts w:hint="eastAsia"/>
          <w:bCs/>
          <w:szCs w:val="22"/>
        </w:rPr>
        <w:t xml:space="preserve">第二条  甲乙双方在业务活动中必须遵守国家廉政建设的各项规定，自觉抵制行业不正之风，遵纪守法。 </w:t>
      </w:r>
      <w:r>
        <w:rPr>
          <w:bCs/>
          <w:szCs w:val="22"/>
        </w:rPr>
      </w:r>
      <w:r/>
    </w:p>
    <w:p>
      <w:pPr>
        <w:pStyle w:val="1020"/>
        <w:ind w:firstLine="420"/>
        <w:spacing w:line="360" w:lineRule="auto"/>
        <w:rPr>
          <w:rFonts w:hint="eastAsia" w:ascii="方正仿宋_GBK" w:hAnsi="宋体" w:eastAsia="方正仿宋_GBK"/>
          <w:sz w:val="32"/>
          <w:szCs w:val="32"/>
        </w:rPr>
      </w:pPr>
      <w:r>
        <w:rPr>
          <w:rFonts w:hint="eastAsia"/>
          <w:bCs/>
          <w:szCs w:val="22"/>
        </w:rPr>
        <w:t xml:space="preserve">第三条 </w:t>
      </w:r>
      <w:r>
        <w:rPr>
          <w:rFonts w:hint="eastAsia"/>
          <w:b/>
          <w:szCs w:val="22"/>
        </w:rPr>
        <w:t xml:space="preserve"> 甲乙双方人员严禁通过损害国家、学校和企业利益的方式谋取私利。</w:t>
      </w:r>
      <w:r>
        <w:rPr>
          <w:rFonts w:hint="eastAsia"/>
          <w:bCs/>
          <w:szCs w:val="22"/>
        </w:rPr>
        <w:t xml:space="preserve"> </w:t>
      </w:r>
      <w:r>
        <w:rPr>
          <w:rFonts w:hint="eastAsia" w:ascii="方正仿宋_GBK" w:hAnsi="宋体" w:eastAsia="方正仿宋_GBK"/>
          <w:sz w:val="32"/>
          <w:szCs w:val="32"/>
        </w:rPr>
      </w:r>
      <w:r/>
    </w:p>
    <w:p>
      <w:pPr>
        <w:pStyle w:val="1020"/>
        <w:ind w:firstLine="420"/>
        <w:spacing w:line="360" w:lineRule="auto"/>
        <w:rPr>
          <w:bCs/>
          <w:szCs w:val="22"/>
        </w:rPr>
      </w:pPr>
      <w:r>
        <w:rPr>
          <w:rFonts w:hint="eastAsia"/>
          <w:bCs/>
          <w:szCs w:val="22"/>
        </w:rPr>
        <w:t xml:space="preserve">第四条  甲乙双方人员不得在家中洽谈业务。 </w:t>
      </w:r>
      <w:r>
        <w:rPr>
          <w:bCs/>
          <w:szCs w:val="22"/>
        </w:rPr>
      </w:r>
      <w:r/>
    </w:p>
    <w:p>
      <w:pPr>
        <w:pStyle w:val="1020"/>
        <w:ind w:firstLine="420"/>
        <w:spacing w:line="360" w:lineRule="auto"/>
        <w:rPr>
          <w:bCs/>
          <w:szCs w:val="22"/>
        </w:rPr>
      </w:pPr>
      <w:r>
        <w:rPr>
          <w:rFonts w:hint="eastAsia"/>
          <w:bCs/>
          <w:szCs w:val="22"/>
        </w:rPr>
        <w:t xml:space="preserve">第五条  甲乙双方人员不得以任何理由或借口，赠送或收受《业务合同》规定以外的任何钱物（含各类有价证券等）。 </w:t>
      </w:r>
      <w:r>
        <w:rPr>
          <w:bCs/>
          <w:szCs w:val="22"/>
        </w:rPr>
      </w:r>
      <w:r/>
    </w:p>
    <w:p>
      <w:pPr>
        <w:pStyle w:val="1020"/>
        <w:ind w:firstLine="420"/>
        <w:spacing w:line="360" w:lineRule="auto"/>
        <w:rPr>
          <w:bCs/>
          <w:szCs w:val="22"/>
        </w:rPr>
      </w:pPr>
      <w:r>
        <w:rPr>
          <w:rFonts w:hint="eastAsia"/>
          <w:bCs/>
          <w:szCs w:val="22"/>
        </w:rPr>
        <w:t xml:space="preserve">第六条  甲方人员不得参加由乙方人员(含乙方关系人)支付的娱乐消费等活动。 </w:t>
      </w:r>
      <w:r>
        <w:rPr>
          <w:bCs/>
          <w:szCs w:val="22"/>
        </w:rPr>
      </w:r>
      <w:r/>
    </w:p>
    <w:p>
      <w:pPr>
        <w:pStyle w:val="1020"/>
        <w:ind w:firstLine="420"/>
        <w:spacing w:line="360" w:lineRule="auto"/>
        <w:rPr>
          <w:bCs/>
          <w:szCs w:val="22"/>
        </w:rPr>
      </w:pPr>
      <w:r>
        <w:rPr>
          <w:rFonts w:hint="eastAsia"/>
          <w:bCs/>
          <w:szCs w:val="22"/>
        </w:rPr>
        <w:t xml:space="preserve">第七条  乙方人员不得支付应由甲方人员自行支付的各类费用。 </w:t>
      </w:r>
      <w:r>
        <w:rPr>
          <w:bCs/>
          <w:szCs w:val="22"/>
        </w:rPr>
      </w:r>
      <w:r/>
    </w:p>
    <w:p>
      <w:pPr>
        <w:pStyle w:val="1020"/>
        <w:ind w:firstLine="420"/>
        <w:spacing w:line="360" w:lineRule="auto"/>
        <w:rPr>
          <w:bCs/>
          <w:szCs w:val="22"/>
        </w:rPr>
      </w:pPr>
      <w:r>
        <w:rPr>
          <w:rFonts w:hint="eastAsia"/>
          <w:bCs/>
          <w:szCs w:val="22"/>
        </w:rPr>
        <w:t xml:space="preserve">第八条  甲方人员违反本协议，甲方单位将按有关规定对违纪者进行查处，并向乙方道歉。</w:t>
      </w:r>
      <w:r>
        <w:rPr>
          <w:bCs/>
          <w:szCs w:val="22"/>
        </w:rPr>
      </w:r>
      <w:r/>
    </w:p>
    <w:p>
      <w:pPr>
        <w:pStyle w:val="1020"/>
        <w:ind w:firstLine="420"/>
        <w:spacing w:line="360" w:lineRule="auto"/>
        <w:rPr>
          <w:bCs/>
          <w:szCs w:val="22"/>
        </w:rPr>
      </w:pPr>
      <w:r>
        <w:rPr>
          <w:rFonts w:hint="eastAsia"/>
          <w:bCs/>
          <w:szCs w:val="22"/>
        </w:rPr>
        <w:t xml:space="preserve">第九条  乙方人员违反本协议第二、三、四条款规定,甲方可以终止《业务合同》，给甲方造成的经济损失，由乙方给予赔偿。 </w:t>
      </w:r>
      <w:r>
        <w:rPr>
          <w:bCs/>
          <w:szCs w:val="22"/>
        </w:rPr>
      </w:r>
      <w:r/>
    </w:p>
    <w:p>
      <w:pPr>
        <w:pStyle w:val="1020"/>
        <w:ind w:firstLine="420"/>
        <w:spacing w:line="360" w:lineRule="auto"/>
        <w:rPr>
          <w:bCs/>
          <w:szCs w:val="22"/>
        </w:rPr>
      </w:pPr>
      <w:r>
        <w:rPr>
          <w:rFonts w:hint="eastAsia"/>
          <w:bCs/>
          <w:szCs w:val="22"/>
        </w:rPr>
        <w:t xml:space="preserve">第十条  乙方人员违反本合同第五、六、七条款规定,甲方按所涉及金额的10倍扣罚乙方违约金。 </w:t>
      </w:r>
      <w:r>
        <w:rPr>
          <w:bCs/>
          <w:szCs w:val="22"/>
        </w:rPr>
      </w:r>
      <w:r/>
    </w:p>
    <w:p>
      <w:pPr>
        <w:pStyle w:val="1020"/>
        <w:ind w:firstLine="420"/>
        <w:spacing w:line="360" w:lineRule="auto"/>
        <w:rPr>
          <w:bCs/>
          <w:szCs w:val="22"/>
        </w:rPr>
      </w:pPr>
      <w:r>
        <w:rPr>
          <w:rFonts w:hint="eastAsia"/>
          <w:bCs/>
          <w:szCs w:val="22"/>
        </w:rPr>
        <w:t xml:space="preserve">第十一条  乙方如发生以上行为，将取消乙方在我单位签订工程项目合同的资格。 </w:t>
      </w:r>
      <w:r>
        <w:rPr>
          <w:bCs/>
          <w:szCs w:val="22"/>
        </w:rPr>
      </w:r>
      <w:r/>
    </w:p>
    <w:p>
      <w:pPr>
        <w:pStyle w:val="1020"/>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1020"/>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1020"/>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1020"/>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1020"/>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1020"/>
        <w:spacing w:line="360" w:lineRule="auto"/>
        <w:rPr>
          <w:rFonts w:hint="eastAsia" w:ascii="方正仿宋_GBK" w:hAnsi="宋体" w:eastAsia="方正仿宋_GBK"/>
          <w:sz w:val="32"/>
          <w:szCs w:val="32"/>
        </w:rPr>
      </w:pPr>
      <w:r>
        <w:rPr>
          <w:rFonts w:hint="eastAsia" w:ascii="方正仿宋_GBK" w:hAnsi="宋体" w:eastAsia="方正仿宋_GBK"/>
          <w:sz w:val="32"/>
          <w:szCs w:val="32"/>
        </w:rPr>
      </w:r>
      <w:r/>
    </w:p>
    <w:p>
      <w:pPr>
        <w:pStyle w:val="1020"/>
        <w:ind w:firstLine="420"/>
        <w:spacing w:line="360" w:lineRule="auto"/>
        <w:rPr>
          <w:rFonts w:hint="eastAsia" w:ascii="宋体" w:hAnsi="宋体"/>
          <w:szCs w:val="21"/>
        </w:rPr>
      </w:pPr>
      <w:r>
        <w:rPr>
          <w:rFonts w:hint="eastAsia" w:ascii="宋体" w:hAnsi="宋体"/>
          <w:szCs w:val="21"/>
        </w:rPr>
        <w:t xml:space="preserve">附件：双方廉政责任清单 </w:t>
      </w:r>
      <w:r>
        <w:rPr>
          <w:rFonts w:hint="eastAsia" w:ascii="宋体" w:hAnsi="宋体"/>
          <w:szCs w:val="21"/>
        </w:rPr>
      </w:r>
      <w:r/>
    </w:p>
    <w:tbl>
      <w:tblPr>
        <w:tblStyle w:val="1107"/>
        <w:tblW w:w="9215"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7"/>
        <w:gridCol w:w="4608"/>
      </w:tblGrid>
      <w:tr>
        <w:trPr/>
        <w:tc>
          <w:tcPr>
            <w:tcW w:w="4607" w:type="dxa"/>
            <w:vAlign w:val="top"/>
            <w:textDirection w:val="lrTb"/>
            <w:noWrap w:val="false"/>
          </w:tcPr>
          <w:p>
            <w:pPr>
              <w:pStyle w:val="1020"/>
              <w:jc w:val="center"/>
              <w:spacing w:line="360" w:lineRule="auto"/>
              <w:rPr>
                <w:rFonts w:hint="eastAsia" w:ascii="宋体" w:hAnsi="宋体"/>
                <w:szCs w:val="21"/>
              </w:rPr>
            </w:pPr>
            <w:r>
              <w:rPr>
                <w:rFonts w:hint="eastAsia" w:ascii="宋体" w:hAnsi="宋体"/>
                <w:szCs w:val="21"/>
              </w:rPr>
              <w:t xml:space="preserve">甲方廉政责任清单</w:t>
            </w:r>
            <w:r>
              <w:rPr>
                <w:rFonts w:hint="eastAsia" w:ascii="宋体" w:hAnsi="宋体"/>
                <w:szCs w:val="21"/>
              </w:rPr>
            </w:r>
            <w:r/>
          </w:p>
        </w:tc>
        <w:tc>
          <w:tcPr>
            <w:tcW w:w="4608" w:type="dxa"/>
            <w:vAlign w:val="top"/>
            <w:textDirection w:val="lrTb"/>
            <w:noWrap w:val="false"/>
          </w:tcPr>
          <w:p>
            <w:pPr>
              <w:pStyle w:val="1020"/>
              <w:jc w:val="center"/>
              <w:spacing w:line="360" w:lineRule="auto"/>
              <w:rPr>
                <w:rFonts w:hint="eastAsia" w:ascii="宋体" w:hAnsi="宋体"/>
                <w:szCs w:val="21"/>
              </w:rPr>
            </w:pPr>
            <w:r>
              <w:rPr>
                <w:rFonts w:hint="eastAsia" w:ascii="宋体" w:hAnsi="宋体"/>
                <w:szCs w:val="21"/>
              </w:rPr>
              <w:t xml:space="preserve">乙方</w:t>
            </w:r>
            <w:r>
              <w:rPr>
                <w:rFonts w:ascii="宋体" w:hAnsi="宋体"/>
                <w:szCs w:val="21"/>
              </w:rPr>
              <w:t xml:space="preserve">廉政责任清单</w:t>
            </w:r>
            <w:r>
              <w:rPr>
                <w:szCs w:val="21"/>
              </w:rPr>
              <w:t xml:space="preserve">​</w:t>
            </w:r>
            <w:r>
              <w:rPr>
                <w:rFonts w:hint="eastAsia" w:ascii="宋体" w:hAnsi="宋体"/>
                <w:szCs w:val="21"/>
              </w:rPr>
            </w:r>
            <w:r/>
          </w:p>
        </w:tc>
      </w:tr>
      <w:tr>
        <w:trPr/>
        <w:tc>
          <w:tcPr>
            <w:tcW w:w="4607" w:type="dxa"/>
            <w:vAlign w:val="top"/>
            <w:textDirection w:val="lrTb"/>
            <w:noWrap w:val="false"/>
          </w:tcPr>
          <w:p>
            <w:pPr>
              <w:pStyle w:val="1020"/>
              <w:ind w:left="360"/>
              <w:spacing w:line="360" w:lineRule="auto"/>
              <w:rPr>
                <w:rFonts w:hint="eastAsia" w:ascii="宋体" w:hAnsi="宋体"/>
                <w:szCs w:val="21"/>
              </w:rPr>
            </w:pPr>
            <w:r>
              <w:rPr>
                <w:rFonts w:hint="eastAsia" w:ascii="宋体" w:hAnsi="宋体"/>
                <w:szCs w:val="21"/>
              </w:rPr>
              <w:t xml:space="preserve">１.每年度组织召开基建廉政专题会议，分析研判项目建设中的廉政风险点，针对招投标、工程变更、资金拨付等关键环节制定防控措施。</w:t>
            </w:r>
            <w:r>
              <w:rPr>
                <w:szCs w:val="21"/>
              </w:rPr>
              <w:t xml:space="preserve">​</w:t>
            </w:r>
            <w:r>
              <w:rPr>
                <w:rFonts w:hint="eastAsia" w:ascii="宋体" w:hAnsi="宋体"/>
                <w:szCs w:val="21"/>
              </w:rPr>
            </w:r>
            <w:r/>
          </w:p>
          <w:p>
            <w:pPr>
              <w:pStyle w:val="1020"/>
              <w:ind w:left="360"/>
              <w:spacing w:line="360" w:lineRule="auto"/>
              <w:rPr>
                <w:rFonts w:ascii="宋体" w:hAnsi="宋体"/>
                <w:szCs w:val="21"/>
              </w:rPr>
            </w:pPr>
            <w:r>
              <w:rPr>
                <w:rFonts w:hint="eastAsia" w:ascii="宋体" w:hAnsi="宋体"/>
                <w:szCs w:val="21"/>
              </w:rPr>
              <w:t xml:space="preserve">2．带头执行廉政规定，主动接受监督，严禁利用职务之便为亲属、特定关系人承揽工程或干预项目正常招投标、施工管理等工作。</w:t>
            </w:r>
            <w:r>
              <w:rPr>
                <w:szCs w:val="21"/>
              </w:rPr>
              <w:t xml:space="preserve">​</w:t>
            </w:r>
            <w:r>
              <w:rPr>
                <w:rFonts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3．贯彻落实学校基建廉政管理制度，对分管业务科室的廉政工作负直接领导责任，定期检查科室廉政责任落实情况。</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4．组织开展人员廉政教育培训，每半年至少开展　１　次廉政警示教育活动，提高工作人员廉洁自律意识和风险防范能力。</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5．严格审核工程变更、签证、进度款支付等事项，加强对项目现场管理人员履职情况的监督，及时发现并纠正违规行为。</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6．严格遵守江苏卫生健康职业学院基建项目管理规章制度和廉政协议要求，在项目招投标、施工管理、验收结算等工作中，不接受承建单位的宴请、礼品、礼金及其他不正当利益。</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7．如实记录工程建设过程中的各类事项，及时整理归档项目资料，发现承建单位存在违规行为或廉政风险隐患，须在　２４　小时内向部门负责人报告。</w:t>
            </w:r>
            <w:r>
              <w:rPr>
                <w:szCs w:val="21"/>
              </w:rPr>
              <w:t xml:space="preserve">​</w:t>
            </w:r>
            <w:r>
              <w:rPr>
                <w:rFonts w:hint="eastAsia" w:ascii="宋体" w:hAnsi="宋体"/>
                <w:szCs w:val="21"/>
              </w:rPr>
              <w:t xml:space="preserve">8．积极配合学校纪检监察部门、审计部门对基建项目的监督检查工作，如实提供相关资料和情况说明。</w:t>
            </w:r>
            <w:r>
              <w:rPr>
                <w:rFonts w:hint="eastAsia" w:ascii="宋体" w:hAnsi="宋体"/>
                <w:szCs w:val="21"/>
              </w:rPr>
            </w:r>
            <w:r/>
          </w:p>
        </w:tc>
        <w:tc>
          <w:tcPr>
            <w:tcW w:w="4608" w:type="dxa"/>
            <w:vAlign w:val="top"/>
            <w:textDirection w:val="lrTb"/>
            <w:noWrap w:val="false"/>
          </w:tcPr>
          <w:p>
            <w:pPr>
              <w:pStyle w:val="1020"/>
              <w:ind w:left="360"/>
              <w:spacing w:line="360" w:lineRule="auto"/>
              <w:rPr>
                <w:rFonts w:hint="eastAsia" w:ascii="宋体" w:hAnsi="宋体"/>
                <w:szCs w:val="21"/>
              </w:rPr>
            </w:pPr>
            <w:r>
              <w:rPr>
                <w:rFonts w:hint="eastAsia" w:ascii="宋体" w:hAnsi="宋体"/>
                <w:szCs w:val="21"/>
              </w:rPr>
              <w:t xml:space="preserve">1．对江苏卫生健康职业学院基建项目廉政工作进行专项检查和评估，对发现的问题及时整改，确保各项廉政措施有效落实。</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2．严禁授意或纵容企业员工通过不正当手段获取江苏卫生健康职业学院基建项目，不得与其他企业串通围标、串标，扰乱市场秩序。</w:t>
            </w:r>
            <w:r>
              <w:rPr>
                <w:rFonts w:hint="eastAsia" w:ascii="宋体" w:hAnsi="宋体"/>
                <w:szCs w:val="21"/>
              </w:rPr>
            </w:r>
            <w:r/>
          </w:p>
          <w:p>
            <w:pPr>
              <w:pStyle w:val="1020"/>
              <w:ind w:left="360"/>
              <w:spacing w:line="360" w:lineRule="auto"/>
              <w:rPr>
                <w:rFonts w:hint="eastAsia" w:ascii="宋体" w:hAnsi="宋体"/>
                <w:szCs w:val="21"/>
              </w:rPr>
            </w:pPr>
            <w:r>
              <w:rPr>
                <w:szCs w:val="21"/>
              </w:rPr>
              <w:t xml:space="preserve">​</w:t>
            </w:r>
            <w:r>
              <w:rPr>
                <w:rFonts w:hint="eastAsia" w:ascii="宋体" w:hAnsi="宋体"/>
                <w:szCs w:val="21"/>
              </w:rPr>
              <w:t xml:space="preserve">3．组织实施企业廉政管理制度，对项目团队成员的廉政行为进行日常监督管理，将廉洁施工情况纳入员工绩效考核。</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4．严格审核项目资金使用情况，规范工程款项支付流程，防止出现挪用资金、虚报费用等违规行为，确保资金专款专用。</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5．积极配合江苏卫生健康职业学院后勤基建处、纪检监察部门的廉政检查工作，如实提供项目合同、财务账目、施工日志等相关资料。</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6．在工程施工过程中，严格按照设计图纸和规范要求施工，不使用不合格材料设备，不擅自变更施工方案，确保工程质量安全，杜绝通过偷工减料谋取利益。</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7．发现江苏卫生健康职业学院基建处工作人员存在违规索贿、吃拿卡要等行为，应及时向企业管理层和江苏卫生健康职业学院纪检监察部门举报。</w:t>
            </w:r>
            <w:r>
              <w:rPr>
                <w:szCs w:val="21"/>
              </w:rPr>
              <w:t xml:space="preserve">​</w:t>
            </w:r>
            <w:r>
              <w:rPr>
                <w:rFonts w:hint="eastAsia" w:ascii="宋体" w:hAnsi="宋体"/>
                <w:szCs w:val="21"/>
              </w:rPr>
            </w:r>
            <w:r/>
          </w:p>
          <w:p>
            <w:pPr>
              <w:pStyle w:val="1020"/>
              <w:ind w:left="360"/>
              <w:spacing w:line="360" w:lineRule="auto"/>
              <w:rPr>
                <w:rFonts w:hint="eastAsia" w:ascii="宋体" w:hAnsi="宋体"/>
                <w:szCs w:val="21"/>
              </w:rPr>
            </w:pPr>
            <w:r>
              <w:rPr>
                <w:rFonts w:hint="eastAsia" w:ascii="宋体" w:hAnsi="宋体"/>
                <w:szCs w:val="21"/>
              </w:rPr>
              <w:t xml:space="preserve">8．做好施工过程中的各类记录，包括材料进场验收、隐蔽工程施工、工程量变更等，确保资料真实、完整、可追溯，为项目审计和验收提供依据。</w:t>
            </w:r>
            <w:r>
              <w:rPr>
                <w:rFonts w:hint="eastAsia" w:ascii="宋体" w:hAnsi="宋体"/>
                <w:szCs w:val="21"/>
              </w:rPr>
            </w:r>
            <w:r/>
          </w:p>
        </w:tc>
      </w:tr>
    </w:tbl>
    <w:p>
      <w:pPr>
        <w:pStyle w:val="1020"/>
        <w:spacing w:line="360" w:lineRule="auto"/>
        <w:rPr>
          <w:rFonts w:hint="eastAsia" w:ascii="宋体" w:hAnsi="宋体"/>
          <w:szCs w:val="21"/>
        </w:rPr>
      </w:pPr>
      <w:r>
        <w:rPr>
          <w:rFonts w:hint="eastAsia" w:ascii="宋体" w:hAnsi="宋体"/>
          <w:szCs w:val="21"/>
        </w:rPr>
      </w:r>
      <w:r/>
    </w:p>
    <w:p>
      <w:pPr>
        <w:pStyle w:val="1020"/>
        <w:spacing w:line="360" w:lineRule="auto"/>
        <w:rPr>
          <w:rFonts w:ascii="宋体" w:hAnsi="宋体"/>
          <w:szCs w:val="21"/>
        </w:rPr>
      </w:pPr>
      <w:r>
        <w:rPr>
          <w:rFonts w:hint="eastAsia" w:ascii="宋体" w:hAnsi="宋体"/>
          <w:szCs w:val="21"/>
        </w:rPr>
        <w:t xml:space="preserve">发包人（</w:t>
      </w:r>
      <w:r>
        <w:rPr>
          <w:rFonts w:hint="eastAsia" w:ascii="宋体" w:hAnsi="宋体" w:cs="宋体"/>
          <w:bCs/>
          <w:szCs w:val="21"/>
        </w:rPr>
        <w:t xml:space="preserve">盖章</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承包人（</w:t>
      </w:r>
      <w:r>
        <w:rPr>
          <w:rFonts w:hint="eastAsia" w:ascii="宋体" w:hAnsi="宋体" w:cs="宋体"/>
          <w:bCs/>
          <w:szCs w:val="21"/>
        </w:rPr>
        <w:t xml:space="preserve">盖章</w:t>
      </w:r>
      <w:r>
        <w:rPr>
          <w:rFonts w:hint="eastAsia" w:ascii="宋体" w:hAnsi="宋体"/>
          <w:szCs w:val="21"/>
        </w:rPr>
        <w:t xml:space="preserve">） </w:t>
      </w:r>
      <w:r>
        <w:rPr>
          <w:rFonts w:ascii="宋体" w:hAnsi="宋体"/>
          <w:szCs w:val="21"/>
        </w:rPr>
      </w:r>
      <w:r/>
    </w:p>
    <w:p>
      <w:pPr>
        <w:pStyle w:val="10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1020"/>
        <w:rPr>
          <w:rFonts w:hint="eastAsia" w:ascii="宋体" w:hAnsi="宋体" w:cs="宋体"/>
        </w:rPr>
      </w:pPr>
      <w:r>
        <w:rPr>
          <w:rFonts w:hint="eastAsia" w:ascii="宋体" w:hAnsi="宋体" w:cs="宋体"/>
        </w:rPr>
      </w:r>
      <w:r/>
    </w:p>
    <w:p>
      <w:pPr>
        <w:pStyle w:val="1100"/>
        <w:rPr>
          <w:rFonts w:hint="eastAsia" w:ascii="宋体" w:hAnsi="宋体" w:cs="宋体"/>
        </w:rPr>
      </w:pPr>
      <w:r/>
      <w:bookmarkEnd w:id="31"/>
      <w:r/>
      <w:bookmarkEnd w:id="32"/>
      <w:r/>
      <w:bookmarkStart w:id="58" w:name="_Toc10404"/>
      <w:r>
        <w:rPr>
          <w:rFonts w:hint="eastAsia" w:ascii="宋体" w:hAnsi="宋体" w:cs="宋体"/>
          <w:lang w:val="zh-CN"/>
        </w:rPr>
        <w:t xml:space="preserve">第六章  </w:t>
      </w:r>
      <w:bookmarkEnd w:id="30"/>
      <w:r/>
      <w:bookmarkEnd w:id="33"/>
      <w:r/>
      <w:bookmarkEnd w:id="34"/>
      <w:r>
        <w:rPr>
          <w:rFonts w:hint="eastAsia" w:ascii="宋体" w:hAnsi="宋体" w:cs="宋体"/>
          <w:szCs w:val="21"/>
        </w:rPr>
        <w:t xml:space="preserve">磋商响应文件格式及附件</w:t>
      </w:r>
      <w:bookmarkEnd w:id="58"/>
      <w:r>
        <w:rPr>
          <w:rFonts w:hint="eastAsia" w:ascii="宋体" w:hAnsi="宋体" w:cs="宋体"/>
        </w:rPr>
      </w:r>
      <w:r/>
    </w:p>
    <w:p>
      <w:pPr>
        <w:pStyle w:val="1020"/>
        <w:spacing w:line="440" w:lineRule="exact"/>
        <w:rPr>
          <w:rFonts w:hint="eastAsia" w:ascii="宋体" w:hAnsi="宋体" w:cs="宋体"/>
          <w:sz w:val="20"/>
        </w:rPr>
      </w:pPr>
      <w:r>
        <w:rPr>
          <w:rFonts w:hint="eastAsia" w:ascii="宋体" w:hAnsi="宋体" w:cs="宋体"/>
          <w:sz w:val="20"/>
        </w:rPr>
      </w:r>
      <w:r/>
    </w:p>
    <w:p>
      <w:pPr>
        <w:pStyle w:val="1020"/>
        <w:jc w:val="center"/>
        <w:spacing w:line="440" w:lineRule="exact"/>
        <w:rPr>
          <w:rFonts w:hint="eastAsia" w:ascii="宋体" w:hAnsi="宋体" w:cs="宋体"/>
          <w:sz w:val="20"/>
        </w:rPr>
      </w:pPr>
      <w:r>
        <w:rPr>
          <w:rFonts w:hint="eastAsia" w:ascii="宋体" w:hAnsi="宋体" w:cs="宋体"/>
          <w:sz w:val="20"/>
        </w:rPr>
      </w:r>
      <w:r/>
    </w:p>
    <w:p>
      <w:pPr>
        <w:pStyle w:val="1020"/>
        <w:jc w:val="center"/>
        <w:spacing w:line="440" w:lineRule="exact"/>
        <w:rPr>
          <w:rFonts w:hint="eastAsia" w:ascii="宋体" w:hAnsi="宋体" w:cs="宋体"/>
          <w:sz w:val="20"/>
        </w:rPr>
      </w:pPr>
      <w:r>
        <w:rPr>
          <w:rFonts w:hint="eastAsia" w:ascii="宋体" w:hAnsi="宋体" w:cs="宋体"/>
          <w:sz w:val="20"/>
        </w:rPr>
      </w:r>
      <w:r/>
    </w:p>
    <w:p>
      <w:pPr>
        <w:pStyle w:val="1020"/>
        <w:spacing w:line="440" w:lineRule="exact"/>
        <w:rPr>
          <w:rFonts w:hint="eastAsia" w:ascii="宋体" w:hAnsi="宋体" w:cs="宋体"/>
          <w:sz w:val="20"/>
        </w:rPr>
      </w:pPr>
      <w:r>
        <w:rPr>
          <w:rFonts w:hint="eastAsia" w:ascii="宋体" w:hAnsi="宋体" w:cs="宋体"/>
          <w:sz w:val="20"/>
        </w:rPr>
      </w:r>
      <w:r/>
    </w:p>
    <w:p>
      <w:pPr>
        <w:pStyle w:val="1020"/>
        <w:spacing w:line="440" w:lineRule="exact"/>
        <w:rPr>
          <w:rFonts w:hint="eastAsia" w:ascii="宋体" w:hAnsi="宋体" w:cs="宋体"/>
          <w:sz w:val="20"/>
        </w:rPr>
      </w:pPr>
      <w:r>
        <w:rPr>
          <w:rFonts w:hint="eastAsia" w:ascii="宋体" w:hAnsi="宋体" w:cs="宋体"/>
          <w:sz w:val="20"/>
        </w:rPr>
      </w:r>
      <w:r/>
    </w:p>
    <w:p>
      <w:pPr>
        <w:pStyle w:val="1020"/>
        <w:jc w:val="center"/>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rPr>
      </w:r>
      <w:r/>
    </w:p>
    <w:p>
      <w:pPr>
        <w:pStyle w:val="1020"/>
        <w:jc w:val="center"/>
        <w:spacing w:line="440" w:lineRule="exact"/>
        <w:rPr>
          <w:rFonts w:hint="eastAsia" w:ascii="宋体" w:hAnsi="宋体" w:cs="宋体"/>
          <w:sz w:val="20"/>
        </w:rPr>
      </w:pPr>
      <w:r>
        <w:rPr>
          <w:rFonts w:hint="eastAsia" w:ascii="宋体" w:hAnsi="宋体" w:cs="宋体"/>
          <w:sz w:val="20"/>
        </w:rPr>
      </w:r>
      <w:r/>
    </w:p>
    <w:p>
      <w:pPr>
        <w:pStyle w:val="1020"/>
        <w:jc w:val="center"/>
        <w:rPr>
          <w:rFonts w:hint="eastAsia" w:ascii="宋体" w:hAnsi="宋体" w:cs="宋体"/>
          <w:sz w:val="20"/>
        </w:rPr>
      </w:pPr>
      <w:r>
        <w:rPr>
          <w:rFonts w:hint="eastAsia" w:ascii="宋体" w:hAnsi="宋体" w:cs="宋体"/>
          <w:sz w:val="20"/>
        </w:rPr>
      </w:r>
      <w:r/>
    </w:p>
    <w:p>
      <w:pPr>
        <w:pStyle w:val="1020"/>
        <w:jc w:val="center"/>
        <w:rPr>
          <w:rFonts w:hint="eastAsia" w:ascii="宋体" w:hAnsi="宋体" w:cs="宋体"/>
          <w:sz w:val="20"/>
        </w:rPr>
      </w:pPr>
      <w:r>
        <w:rPr>
          <w:rFonts w:hint="eastAsia" w:ascii="宋体" w:hAnsi="宋体" w:cs="宋体"/>
          <w:sz w:val="20"/>
        </w:rPr>
      </w:r>
      <w:r/>
    </w:p>
    <w:p>
      <w:pPr>
        <w:pStyle w:val="1020"/>
        <w:jc w:val="center"/>
        <w:rPr>
          <w:rFonts w:hint="eastAsia" w:ascii="宋体" w:hAnsi="宋体" w:cs="宋体"/>
          <w:sz w:val="20"/>
        </w:rPr>
      </w:pPr>
      <w:r>
        <w:rPr>
          <w:rFonts w:hint="eastAsia" w:ascii="宋体" w:hAnsi="宋体" w:cs="宋体"/>
          <w:sz w:val="20"/>
        </w:rPr>
      </w:r>
      <w:r/>
    </w:p>
    <w:p>
      <w:pPr>
        <w:pStyle w:val="1020"/>
        <w:jc w:val="center"/>
        <w:rPr>
          <w:rFonts w:hint="eastAsia" w:ascii="宋体" w:hAnsi="宋体" w:cs="宋体"/>
          <w:sz w:val="44"/>
          <w:szCs w:val="44"/>
        </w:rPr>
      </w:pPr>
      <w:r>
        <w:rPr>
          <w:rFonts w:hint="eastAsia" w:ascii="宋体" w:hAnsi="宋体" w:cs="宋体"/>
          <w:sz w:val="44"/>
          <w:szCs w:val="44"/>
        </w:rPr>
        <w:t xml:space="preserve">竞争性磋商响应文件</w:t>
      </w:r>
      <w:r>
        <w:rPr>
          <w:rFonts w:hint="eastAsia" w:ascii="宋体" w:hAnsi="宋体" w:cs="宋体"/>
          <w:sz w:val="44"/>
          <w:szCs w:val="44"/>
        </w:rPr>
      </w:r>
      <w:r/>
    </w:p>
    <w:p>
      <w:pPr>
        <w:pStyle w:val="1020"/>
        <w:rPr>
          <w:rFonts w:hint="eastAsia" w:ascii="宋体" w:hAnsi="宋体" w:cs="宋体"/>
          <w:sz w:val="28"/>
          <w:szCs w:val="28"/>
        </w:rPr>
      </w:pPr>
      <w:r>
        <w:rPr>
          <w:rFonts w:hint="eastAsia" w:ascii="宋体" w:hAnsi="宋体" w:cs="宋体"/>
          <w:sz w:val="28"/>
          <w:szCs w:val="28"/>
        </w:rPr>
      </w:r>
      <w:r/>
    </w:p>
    <w:p>
      <w:pPr>
        <w:pStyle w:val="1020"/>
        <w:jc w:val="center"/>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rPr>
          <w:rFonts w:ascii="宋体" w:hAnsi="宋体" w:cs="宋体"/>
          <w:sz w:val="28"/>
          <w:szCs w:val="28"/>
        </w:rPr>
      </w:pPr>
      <w:r>
        <w:rPr>
          <w:rFonts w:ascii="宋体" w:hAnsi="宋体" w:cs="宋体"/>
          <w:sz w:val="28"/>
          <w:szCs w:val="28"/>
        </w:rPr>
      </w:r>
      <w:r/>
    </w:p>
    <w:p>
      <w:pPr>
        <w:pStyle w:val="1020"/>
        <w:rPr>
          <w:rFonts w:ascii="宋体" w:hAnsi="宋体" w:cs="宋体"/>
          <w:sz w:val="28"/>
          <w:szCs w:val="28"/>
        </w:rPr>
      </w:pPr>
      <w:r>
        <w:rPr>
          <w:rFonts w:ascii="宋体" w:hAnsi="宋体" w:cs="宋体"/>
          <w:sz w:val="28"/>
          <w:szCs w:val="28"/>
        </w:rPr>
      </w:r>
      <w:r/>
    </w:p>
    <w:p>
      <w:pPr>
        <w:pStyle w:val="1020"/>
        <w:rPr>
          <w:rFonts w:ascii="宋体" w:hAnsi="宋体" w:cs="宋体"/>
          <w:sz w:val="28"/>
          <w:szCs w:val="28"/>
        </w:rPr>
      </w:pPr>
      <w:r>
        <w:rPr>
          <w:rFonts w:ascii="宋体" w:hAnsi="宋体" w:cs="宋体"/>
          <w:sz w:val="28"/>
          <w:szCs w:val="28"/>
        </w:rPr>
      </w:r>
      <w:r/>
    </w:p>
    <w:p>
      <w:pPr>
        <w:pStyle w:val="1020"/>
        <w:rPr>
          <w:rFonts w:ascii="宋体" w:hAnsi="宋体" w:cs="宋体"/>
          <w:sz w:val="28"/>
          <w:szCs w:val="28"/>
        </w:rPr>
      </w:pPr>
      <w:r>
        <w:rPr>
          <w:rFonts w:ascii="宋体" w:hAnsi="宋体" w:cs="宋体"/>
          <w:sz w:val="28"/>
          <w:szCs w:val="28"/>
        </w:rPr>
      </w:r>
      <w:r/>
    </w:p>
    <w:p>
      <w:pPr>
        <w:pStyle w:val="1020"/>
        <w:rPr>
          <w:rFonts w:hint="eastAsia" w:ascii="宋体" w:hAnsi="宋体" w:cs="宋体"/>
          <w:sz w:val="28"/>
          <w:szCs w:val="28"/>
        </w:rPr>
      </w:pPr>
      <w:r>
        <w:rPr>
          <w:rFonts w:hint="eastAsia" w:ascii="宋体" w:hAnsi="宋体" w:cs="宋体"/>
          <w:sz w:val="28"/>
          <w:szCs w:val="28"/>
        </w:rPr>
      </w:r>
      <w:r/>
    </w:p>
    <w:p>
      <w:pPr>
        <w:pStyle w:val="1020"/>
        <w:jc w:val="center"/>
        <w:rPr>
          <w:rFonts w:hint="eastAsia" w:ascii="宋体" w:hAnsi="宋体" w:cs="宋体"/>
          <w:sz w:val="28"/>
          <w:szCs w:val="28"/>
          <w:u w:val="single"/>
        </w:rPr>
      </w:pPr>
      <w:r>
        <w:rPr>
          <w:rFonts w:hint="eastAsia" w:ascii="宋体" w:hAnsi="宋体" w:cs="宋体"/>
          <w:sz w:val="28"/>
          <w:szCs w:val="28"/>
        </w:rPr>
        <w:t xml:space="preserve">供应商：（盖单位电子章）</w:t>
      </w:r>
      <w:r>
        <w:rPr>
          <w:rFonts w:hint="eastAsia" w:ascii="宋体" w:hAnsi="宋体" w:cs="宋体"/>
          <w:sz w:val="28"/>
          <w:szCs w:val="28"/>
          <w:u w:val="single"/>
        </w:rPr>
      </w:r>
      <w:r/>
    </w:p>
    <w:p>
      <w:pPr>
        <w:pStyle w:val="1020"/>
        <w:jc w:val="center"/>
        <w:rPr>
          <w:rFonts w:hint="eastAsia" w:ascii="宋体" w:hAnsi="宋体" w:cs="宋体"/>
          <w:sz w:val="28"/>
          <w:szCs w:val="28"/>
        </w:rPr>
      </w:pPr>
      <w:r>
        <w:rPr>
          <w:rFonts w:hint="eastAsia" w:ascii="宋体" w:hAnsi="宋体" w:cs="宋体"/>
          <w:sz w:val="28"/>
          <w:szCs w:val="28"/>
        </w:rPr>
        <w:t xml:space="preserve">法定代表人或其授权代表：（签字/签章）</w:t>
      </w:r>
      <w:r>
        <w:rPr>
          <w:rFonts w:hint="eastAsia" w:ascii="宋体" w:hAnsi="宋体" w:cs="宋体"/>
          <w:sz w:val="28"/>
          <w:szCs w:val="28"/>
        </w:rPr>
      </w:r>
      <w:r/>
    </w:p>
    <w:p>
      <w:pPr>
        <w:pStyle w:val="1020"/>
        <w:jc w:val="center"/>
        <w:rPr>
          <w:rFonts w:hint="eastAsia" w:ascii="宋体" w:hAnsi="宋体" w:cs="宋体"/>
          <w:sz w:val="20"/>
        </w:rPr>
      </w:pPr>
      <w:r>
        <w:rPr>
          <w:rFonts w:hint="eastAsia" w:ascii="宋体" w:hAnsi="宋体" w:cs="宋体"/>
          <w:sz w:val="28"/>
          <w:szCs w:val="28"/>
        </w:rPr>
        <w:t xml:space="preserve">年 月 日</w:t>
      </w:r>
      <w:r>
        <w:rPr>
          <w:rFonts w:hint="eastAsia" w:ascii="宋体" w:hAnsi="宋体" w:cs="宋体"/>
          <w:sz w:val="20"/>
        </w:rPr>
      </w:r>
      <w:r/>
    </w:p>
    <w:p>
      <w:pPr>
        <w:pStyle w:val="1020"/>
        <w:ind w:firstLine="472"/>
        <w:spacing w:line="360" w:lineRule="auto"/>
        <w:shd w:val="clear" w:color="auto" w:fill="ffffff"/>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r>
      <w:r/>
    </w:p>
    <w:p>
      <w:pPr>
        <w:pStyle w:val="1020"/>
        <w:jc w:val="center"/>
        <w:spacing w:line="440" w:lineRule="exact"/>
        <w:rPr>
          <w:rFonts w:hint="eastAsia" w:ascii="宋体" w:hAnsi="宋体" w:cs="宋体"/>
          <w:b/>
          <w:bCs/>
          <w:color w:val="000000"/>
          <w:sz w:val="44"/>
          <w:szCs w:val="44"/>
        </w:rPr>
      </w:pPr>
      <w:r>
        <w:rPr>
          <w:rFonts w:hint="eastAsia" w:ascii="宋体" w:hAnsi="宋体" w:cs="宋体"/>
          <w:b/>
          <w:bCs/>
          <w:color w:val="000000"/>
          <w:sz w:val="44"/>
          <w:szCs w:val="44"/>
        </w:rPr>
        <w:t xml:space="preserve">目录</w:t>
      </w:r>
      <w:r>
        <w:rPr>
          <w:rFonts w:hint="eastAsia" w:ascii="宋体" w:hAnsi="宋体" w:cs="宋体"/>
          <w:b/>
          <w:bCs/>
          <w:color w:val="000000"/>
          <w:sz w:val="44"/>
          <w:szCs w:val="44"/>
        </w:rPr>
      </w:r>
      <w:r/>
    </w:p>
    <w:p>
      <w:pPr>
        <w:pStyle w:val="1020"/>
        <w:jc w:val="center"/>
        <w:spacing w:line="440" w:lineRule="exact"/>
        <w:rPr>
          <w:rFonts w:hint="eastAsia" w:ascii="宋体" w:hAnsi="宋体" w:cs="宋体"/>
          <w:b/>
          <w:bCs/>
          <w:color w:val="000000"/>
          <w:sz w:val="36"/>
          <w:szCs w:val="36"/>
        </w:rPr>
      </w:pPr>
      <w:r>
        <w:rPr>
          <w:rFonts w:hint="eastAsia" w:ascii="宋体" w:hAnsi="宋体" w:cs="宋体"/>
          <w:b/>
          <w:bCs/>
          <w:color w:val="000000"/>
          <w:sz w:val="36"/>
          <w:szCs w:val="36"/>
        </w:rPr>
      </w:r>
      <w:r/>
    </w:p>
    <w:p>
      <w:pPr>
        <w:pStyle w:val="1020"/>
        <w:jc w:val="center"/>
        <w:rPr>
          <w:rFonts w:hint="eastAsia" w:ascii="宋体" w:hAnsi="宋体" w:cs="宋体"/>
          <w:szCs w:val="21"/>
        </w:rPr>
      </w:pPr>
      <w:r>
        <w:rPr>
          <w:rFonts w:hint="eastAsia" w:ascii="宋体" w:hAnsi="宋体" w:cs="宋体"/>
          <w:szCs w:val="21"/>
        </w:rPr>
        <w:t xml:space="preserve">（注：供应商根据本章提供的附件顺序编制响应文件并制作目录（须生成页码））</w:t>
      </w:r>
      <w:r>
        <w:rPr>
          <w:rFonts w:hint="eastAsia" w:ascii="宋体" w:hAnsi="宋体" w:cs="宋体"/>
          <w:szCs w:val="21"/>
        </w:rPr>
      </w:r>
      <w:r/>
    </w:p>
    <w:p>
      <w:pPr>
        <w:pStyle w:val="1020"/>
        <w:jc w:val="center"/>
        <w:rPr>
          <w:rFonts w:hint="eastAsia" w:ascii="宋体" w:hAnsi="宋体" w:cs="宋体"/>
          <w:b/>
          <w:bCs/>
        </w:rPr>
      </w:pPr>
      <w:r/>
      <w:bookmarkStart w:id="59" w:name="_Toc504573083"/>
      <w:r/>
      <w:bookmarkStart w:id="60" w:name="_Toc490133028"/>
      <w:r/>
      <w:bookmarkStart w:id="61" w:name="_Toc504044380"/>
      <w:r/>
      <w:bookmarkStart w:id="62" w:name="_Toc504056868"/>
      <w:r>
        <w:rPr>
          <w:rFonts w:hint="eastAsia" w:ascii="宋体" w:hAnsi="宋体" w:cs="宋体"/>
          <w:b/>
          <w:bCs/>
        </w:rPr>
        <w:br w:type="page" w:clear="all"/>
      </w:r>
      <w:bookmarkStart w:id="63" w:name="_Toc534273677"/>
      <w:r/>
      <w:bookmarkStart w:id="64" w:name="_Toc534273800"/>
      <w:r>
        <w:rPr>
          <w:rFonts w:hint="eastAsia" w:ascii="宋体" w:hAnsi="宋体" w:cs="宋体"/>
          <w:b/>
          <w:bCs/>
        </w:rPr>
      </w:r>
      <w:r/>
    </w:p>
    <w:p>
      <w:pPr>
        <w:pStyle w:val="1020"/>
        <w:spacing w:before="312" w:after="312"/>
        <w:rPr>
          <w:rFonts w:hint="eastAsia" w:ascii="宋体" w:hAnsi="宋体" w:cs="宋体"/>
          <w:b/>
        </w:rPr>
      </w:pPr>
      <w:r>
        <w:rPr>
          <w:rFonts w:hint="eastAsia" w:ascii="宋体" w:hAnsi="宋体" w:cs="宋体"/>
          <w:b/>
        </w:rPr>
        <w:t xml:space="preserve">附件一、竞争性磋商申请及声明</w:t>
      </w:r>
      <w:bookmarkEnd w:id="59"/>
      <w:r/>
      <w:bookmarkEnd w:id="60"/>
      <w:r/>
      <w:bookmarkEnd w:id="61"/>
      <w:r/>
      <w:bookmarkEnd w:id="62"/>
      <w:r/>
      <w:bookmarkEnd w:id="63"/>
      <w:r/>
      <w:bookmarkEnd w:id="64"/>
      <w:r>
        <w:rPr>
          <w:rFonts w:hint="eastAsia" w:ascii="宋体" w:hAnsi="宋体" w:cs="宋体"/>
          <w:b/>
        </w:rPr>
      </w:r>
      <w:r/>
    </w:p>
    <w:p>
      <w:pPr>
        <w:pStyle w:val="1020"/>
        <w:rPr>
          <w:rFonts w:hint="eastAsia" w:ascii="宋体" w:hAnsi="宋体" w:cs="宋体"/>
          <w:szCs w:val="21"/>
          <w:lang w:val="zh-CN"/>
        </w:rPr>
      </w:pPr>
      <w:r>
        <w:rPr>
          <w:rFonts w:hint="eastAsia" w:ascii="宋体" w:hAnsi="宋体" w:cs="宋体"/>
          <w:szCs w:val="21"/>
          <w:lang w:val="zh-CN"/>
        </w:rPr>
      </w:r>
      <w:r/>
    </w:p>
    <w:p>
      <w:pPr>
        <w:pStyle w:val="1020"/>
        <w:jc w:val="center"/>
        <w:rPr>
          <w:rFonts w:hint="eastAsia" w:ascii="宋体" w:hAnsi="宋体" w:cs="宋体"/>
          <w:b/>
          <w:sz w:val="36"/>
          <w:szCs w:val="36"/>
        </w:rPr>
      </w:pPr>
      <w:r>
        <w:rPr>
          <w:rFonts w:hint="eastAsia" w:ascii="宋体" w:hAnsi="宋体" w:cs="宋体"/>
          <w:b/>
          <w:sz w:val="36"/>
          <w:szCs w:val="36"/>
        </w:rPr>
        <w:t xml:space="preserve">竞争性磋商申请及声明</w:t>
      </w:r>
      <w:r>
        <w:rPr>
          <w:rFonts w:hint="eastAsia" w:ascii="宋体" w:hAnsi="宋体" w:cs="宋体"/>
          <w:b/>
          <w:sz w:val="36"/>
          <w:szCs w:val="36"/>
        </w:rPr>
      </w:r>
      <w:r/>
    </w:p>
    <w:p>
      <w:pPr>
        <w:pStyle w:val="1020"/>
        <w:jc w:val="center"/>
        <w:rPr>
          <w:rFonts w:hint="eastAsia" w:ascii="宋体" w:hAnsi="宋体" w:cs="宋体"/>
          <w:szCs w:val="21"/>
        </w:rPr>
      </w:pPr>
      <w:r>
        <w:rPr>
          <w:rFonts w:hint="eastAsia" w:ascii="宋体" w:hAnsi="宋体" w:cs="宋体"/>
          <w:szCs w:val="21"/>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致：南京江城工程项目管理有限公司</w:t>
      </w:r>
      <w:r>
        <w:rPr>
          <w:rFonts w:hint="eastAsia" w:ascii="宋体" w:hAnsi="宋体" w:cs="宋体"/>
          <w:szCs w:val="21"/>
          <w:lang w:val="zh-CN"/>
        </w:rPr>
      </w:r>
      <w:r/>
    </w:p>
    <w:p>
      <w:pPr>
        <w:pStyle w:val="1020"/>
        <w:ind w:firstLine="420"/>
        <w:spacing w:line="440" w:lineRule="exact"/>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(姓名和职务)代表（供应商名称），提交响应性文件并参加磋商。</w:t>
      </w:r>
      <w:r>
        <w:rPr>
          <w:rFonts w:hint="eastAsia" w:ascii="宋体" w:hAnsi="宋体" w:cs="宋体"/>
          <w:szCs w:val="21"/>
          <w:lang w:val="zh-CN"/>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我们的资格条件完全符合政府采购法和本次采购要求，</w:t>
      </w:r>
      <w:r>
        <w:rPr>
          <w:rFonts w:hint="eastAsia" w:ascii="宋体" w:hAnsi="宋体" w:cs="宋体"/>
          <w:szCs w:val="21"/>
        </w:rPr>
        <w:t xml:space="preserve">我们</w:t>
      </w:r>
      <w:r>
        <w:rPr>
          <w:rFonts w:hint="eastAsia" w:ascii="宋体" w:hAnsi="宋体" w:cs="宋体"/>
          <w:szCs w:val="21"/>
          <w:lang w:val="zh-CN"/>
        </w:rPr>
        <w:t xml:space="preserve">同意并向贵方提供了与本次采购活动有关的所有证据和资料</w:t>
      </w:r>
      <w:r>
        <w:rPr>
          <w:rFonts w:hint="eastAsia" w:ascii="宋体" w:hAnsi="宋体" w:cs="宋体"/>
          <w:szCs w:val="21"/>
        </w:rPr>
        <w:t xml:space="preserve">。</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2、按磋商文件要求，我们的总报价</w:t>
      </w:r>
      <w:r>
        <w:rPr>
          <w:rFonts w:hint="eastAsia" w:ascii="宋体" w:hAnsi="宋体" w:cs="宋体"/>
          <w:szCs w:val="21"/>
          <w:u w:val="single"/>
        </w:rPr>
        <w:t xml:space="preserve">详见报价一览表</w:t>
      </w:r>
      <w:r>
        <w:rPr>
          <w:rFonts w:hint="eastAsia" w:ascii="宋体" w:hAnsi="宋体" w:cs="宋体"/>
          <w:szCs w:val="21"/>
        </w:rPr>
        <w:t xml:space="preserve">。</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3、本项目交付时间为：</w:t>
      </w:r>
      <w:r>
        <w:rPr>
          <w:rFonts w:hint="eastAsia" w:ascii="宋体" w:hAnsi="宋体" w:cs="宋体"/>
          <w:szCs w:val="21"/>
          <w:u w:val="single"/>
        </w:rPr>
        <w:t xml:space="preserve">满足磋商文件要求</w:t>
      </w:r>
      <w:r>
        <w:rPr>
          <w:rFonts w:hint="eastAsia" w:ascii="宋体" w:hAnsi="宋体" w:cs="宋体"/>
          <w:szCs w:val="21"/>
        </w:rPr>
        <w:t xml:space="preserve">。</w:t>
      </w:r>
      <w:r>
        <w:rPr>
          <w:rFonts w:hint="eastAsia" w:ascii="宋体" w:hAnsi="宋体" w:cs="宋体"/>
          <w:szCs w:val="21"/>
        </w:rPr>
      </w:r>
      <w:r/>
    </w:p>
    <w:p>
      <w:pPr>
        <w:pStyle w:val="1020"/>
        <w:ind w:firstLine="420"/>
        <w:spacing w:line="440" w:lineRule="exact"/>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我们已详细阅读全部磋商文件及其有效补充文件，我们放弃对磋商文件任何误解的权利，提交响应文件后，</w:t>
      </w:r>
      <w:r>
        <w:rPr>
          <w:rFonts w:hint="eastAsia" w:ascii="宋体" w:hAnsi="宋体" w:cs="宋体"/>
          <w:b/>
          <w:szCs w:val="21"/>
          <w:lang w:val="zh-CN"/>
        </w:rPr>
        <w:t xml:space="preserve">不对磋商文件本身提出质疑</w:t>
      </w:r>
      <w:r>
        <w:rPr>
          <w:rFonts w:hint="eastAsia" w:ascii="宋体" w:hAnsi="宋体" w:cs="宋体"/>
          <w:szCs w:val="21"/>
          <w:lang w:val="zh-CN"/>
        </w:rPr>
        <w:t xml:space="preserve">。</w:t>
      </w:r>
      <w:r>
        <w:rPr>
          <w:rFonts w:hint="eastAsia" w:ascii="宋体" w:hAnsi="宋体" w:cs="宋体"/>
          <w:szCs w:val="21"/>
          <w:lang w:val="zh-CN"/>
        </w:rPr>
      </w:r>
      <w:r/>
    </w:p>
    <w:p>
      <w:pPr>
        <w:pStyle w:val="1020"/>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5、一旦我方成交，我方将根据磋商文件的规定及我方响应承诺严格履行合同。</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7、我方正式通讯方式为：</w:t>
      </w:r>
      <w:r>
        <w:rPr>
          <w:rFonts w:hint="eastAsia" w:ascii="宋体" w:hAnsi="宋体" w:cs="宋体"/>
          <w:szCs w:val="21"/>
        </w:rPr>
      </w:r>
      <w:r/>
    </w:p>
    <w:p>
      <w:pPr>
        <w:pStyle w:val="1020"/>
        <w:ind w:firstLine="420"/>
        <w:spacing w:line="440" w:lineRule="exact"/>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u w:val="single"/>
        </w:rPr>
      </w:r>
      <w:r/>
    </w:p>
    <w:p>
      <w:pPr>
        <w:pStyle w:val="1020"/>
        <w:ind w:firstLine="420"/>
        <w:spacing w:line="44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u w:val="single"/>
        </w:rPr>
      </w:r>
      <w:r/>
    </w:p>
    <w:p>
      <w:pPr>
        <w:pStyle w:val="1020"/>
        <w:ind w:firstLine="420"/>
        <w:spacing w:line="44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8、我方正式开户银行和账号为：</w:t>
      </w:r>
      <w:r>
        <w:rPr>
          <w:rFonts w:hint="eastAsia" w:ascii="宋体" w:hAnsi="宋体" w:cs="宋体"/>
          <w:szCs w:val="21"/>
        </w:rPr>
      </w:r>
      <w:r/>
    </w:p>
    <w:p>
      <w:pPr>
        <w:pStyle w:val="1020"/>
        <w:ind w:firstLine="420"/>
        <w:spacing w:line="440" w:lineRule="exact"/>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供应商名称（加盖电子公章）：</w:t>
      </w:r>
      <w:r>
        <w:rPr>
          <w:rFonts w:hint="eastAsia" w:ascii="宋体" w:hAnsi="宋体" w:cs="宋体"/>
          <w:szCs w:val="21"/>
          <w:u w:val="single"/>
        </w:rPr>
        <w:t xml:space="preserve">                 </w:t>
      </w:r>
      <w:r>
        <w:rPr>
          <w:rFonts w:hint="eastAsia" w:ascii="宋体" w:hAnsi="宋体" w:cs="宋体"/>
          <w:szCs w:val="21"/>
        </w:rPr>
      </w:r>
      <w:r/>
    </w:p>
    <w:p>
      <w:pPr>
        <w:pStyle w:val="1020"/>
        <w:ind w:firstLine="420"/>
        <w:spacing w:line="44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020"/>
        <w:spacing w:before="312" w:after="312"/>
        <w:rPr>
          <w:rFonts w:hint="eastAsia" w:ascii="宋体" w:hAnsi="宋体" w:cs="宋体"/>
          <w:b/>
        </w:rPr>
      </w:pPr>
      <w:r>
        <w:rPr>
          <w:rFonts w:hint="eastAsia" w:ascii="宋体" w:hAnsi="宋体" w:cs="宋体"/>
          <w:szCs w:val="21"/>
          <w:lang w:val="zh-CN"/>
        </w:rPr>
        <w:br w:type="page" w:clear="all"/>
      </w:r>
      <w:bookmarkStart w:id="65" w:name="_Toc534273678"/>
      <w:r/>
      <w:bookmarkStart w:id="66" w:name="_Toc534273801"/>
      <w:r/>
      <w:bookmarkStart w:id="67" w:name="_Toc504573084"/>
      <w:r/>
      <w:bookmarkStart w:id="68" w:name="_Toc504044381"/>
      <w:r/>
      <w:bookmarkStart w:id="69" w:name="_Toc490133029"/>
      <w:r/>
      <w:bookmarkStart w:id="70" w:name="_Toc504056869"/>
      <w:r>
        <w:rPr>
          <w:rFonts w:hint="eastAsia" w:ascii="宋体" w:hAnsi="宋体" w:cs="宋体"/>
          <w:b/>
        </w:rPr>
        <w:t xml:space="preserve">附件二、法定代表人授权书格式</w:t>
      </w:r>
      <w:bookmarkEnd w:id="65"/>
      <w:r/>
      <w:bookmarkEnd w:id="66"/>
      <w:r/>
      <w:bookmarkEnd w:id="67"/>
      <w:r/>
      <w:bookmarkEnd w:id="68"/>
      <w:r/>
      <w:bookmarkEnd w:id="69"/>
      <w:r/>
      <w:bookmarkEnd w:id="70"/>
      <w:r>
        <w:rPr>
          <w:rFonts w:hint="eastAsia" w:ascii="宋体" w:hAnsi="宋体" w:cs="宋体"/>
          <w:b/>
        </w:rPr>
      </w:r>
      <w:r/>
    </w:p>
    <w:p>
      <w:pPr>
        <w:pStyle w:val="1020"/>
        <w:rPr>
          <w:rFonts w:hint="eastAsia" w:ascii="宋体" w:hAnsi="宋体" w:cs="宋体"/>
          <w:b/>
          <w:szCs w:val="21"/>
          <w:lang w:val="zh-CN"/>
        </w:rPr>
      </w:pPr>
      <w:r>
        <w:rPr>
          <w:rFonts w:hint="eastAsia" w:ascii="宋体" w:hAnsi="宋体" w:cs="宋体"/>
          <w:b/>
          <w:szCs w:val="21"/>
          <w:lang w:val="zh-CN"/>
        </w:rPr>
      </w:r>
      <w:r/>
    </w:p>
    <w:p>
      <w:pPr>
        <w:pStyle w:val="1020"/>
        <w:jc w:val="center"/>
        <w:rPr>
          <w:rFonts w:hint="eastAsia" w:ascii="宋体" w:hAnsi="宋体" w:cs="宋体"/>
          <w:b/>
          <w:sz w:val="36"/>
          <w:szCs w:val="36"/>
        </w:rPr>
      </w:pPr>
      <w:r>
        <w:rPr>
          <w:rFonts w:hint="eastAsia" w:ascii="宋体" w:hAnsi="宋体" w:cs="宋体"/>
          <w:b/>
          <w:sz w:val="36"/>
          <w:szCs w:val="36"/>
        </w:rPr>
        <w:t xml:space="preserve">法定代表人授权书</w:t>
      </w:r>
      <w:r>
        <w:rPr>
          <w:rFonts w:hint="eastAsia" w:ascii="宋体" w:hAnsi="宋体" w:cs="宋体"/>
          <w:b/>
          <w:sz w:val="36"/>
          <w:szCs w:val="36"/>
        </w:rPr>
      </w:r>
      <w:r/>
    </w:p>
    <w:p>
      <w:pPr>
        <w:pStyle w:val="1020"/>
        <w:spacing w:line="360" w:lineRule="auto"/>
        <w:rPr>
          <w:rFonts w:hint="eastAsia" w:ascii="宋体" w:hAnsi="宋体" w:cs="宋体"/>
          <w:szCs w:val="21"/>
          <w:lang w:val="zh-CN"/>
        </w:rPr>
      </w:pPr>
      <w:r>
        <w:rPr>
          <w:rFonts w:hint="eastAsia" w:ascii="宋体" w:hAnsi="宋体" w:cs="宋体"/>
          <w:szCs w:val="21"/>
          <w:lang w:val="zh-CN"/>
        </w:rPr>
      </w:r>
      <w:r/>
    </w:p>
    <w:p>
      <w:pPr>
        <w:pStyle w:val="1020"/>
        <w:spacing w:line="360" w:lineRule="auto"/>
        <w:rPr>
          <w:rFonts w:hint="eastAsia"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南京江城工程项目管理有限公司</w:t>
      </w:r>
      <w:r>
        <w:rPr>
          <w:rFonts w:hint="eastAsia" w:ascii="宋体" w:hAnsi="宋体" w:cs="宋体"/>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本授权书声明：注册于</w:t>
      </w:r>
      <w:r>
        <w:rPr>
          <w:rFonts w:hint="eastAsia" w:ascii="宋体" w:hAnsi="宋体" w:cs="宋体"/>
          <w:szCs w:val="21"/>
          <w:u w:val="single"/>
          <w:lang w:val="zh-CN"/>
        </w:rPr>
        <w:t xml:space="preserve">                      </w:t>
      </w:r>
      <w:r>
        <w:rPr>
          <w:rFonts w:hint="eastAsia" w:ascii="宋体" w:hAnsi="宋体" w:cs="宋体"/>
          <w:szCs w:val="21"/>
          <w:lang w:val="zh-CN"/>
        </w:rPr>
        <w:t xml:space="preserve">（供应商住址）的</w:t>
      </w:r>
      <w:r>
        <w:rPr>
          <w:rFonts w:hint="eastAsia" w:ascii="宋体" w:hAnsi="宋体" w:cs="宋体"/>
          <w:szCs w:val="21"/>
          <w:u w:val="single"/>
          <w:lang w:val="zh-CN"/>
        </w:rPr>
        <w:t xml:space="preserve">             </w:t>
      </w:r>
      <w:r>
        <w:rPr>
          <w:rFonts w:hint="eastAsia" w:ascii="宋体" w:hAnsi="宋体" w:cs="宋体"/>
          <w:szCs w:val="21"/>
          <w:lang w:val="zh-CN"/>
        </w:rPr>
        <w:t xml:space="preserve">（供应商名称）法定代表人</w:t>
      </w:r>
      <w:r>
        <w:rPr>
          <w:rFonts w:hint="eastAsia" w:ascii="宋体" w:hAnsi="宋体" w:cs="宋体"/>
          <w:szCs w:val="21"/>
          <w:u w:val="single"/>
          <w:lang w:val="zh-CN"/>
        </w:rPr>
        <w:t xml:space="preserve">                      </w:t>
      </w:r>
      <w:r>
        <w:rPr>
          <w:rFonts w:hint="eastAsia" w:ascii="宋体" w:hAnsi="宋体" w:cs="宋体"/>
          <w:szCs w:val="21"/>
          <w:lang w:val="zh-CN"/>
        </w:rPr>
        <w:t xml:space="preserve">（法定代表人姓名、职务）代表本公司授权在下面签字的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 xml:space="preserve">（供应商代表姓名、职务）为本公司的合法代理人，就贵方组织的项目名称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 xml:space="preserve">，项目编号：</w:t>
      </w:r>
      <w:r>
        <w:rPr>
          <w:rFonts w:hint="eastAsia" w:ascii="宋体" w:hAnsi="宋体" w:cs="宋体"/>
          <w:szCs w:val="21"/>
          <w:u w:val="single"/>
          <w:lang w:val="zh-CN"/>
        </w:rPr>
        <w:t xml:space="preserve">        </w:t>
      </w:r>
      <w:r>
        <w:rPr>
          <w:rFonts w:hint="eastAsia" w:ascii="宋体" w:hAnsi="宋体" w:cs="宋体"/>
          <w:szCs w:val="21"/>
          <w:lang w:val="zh-CN"/>
        </w:rPr>
        <w:t xml:space="preserve">竞争性磋商，以本公司名义处理一切与之有关的事务。</w:t>
      </w:r>
      <w:r>
        <w:rPr>
          <w:rFonts w:hint="eastAsia" w:ascii="宋体" w:hAnsi="宋体" w:cs="宋体"/>
          <w:szCs w:val="21"/>
          <w:lang w:val="zh-CN"/>
        </w:rPr>
      </w:r>
      <w:r/>
    </w:p>
    <w:p>
      <w:pPr>
        <w:pStyle w:val="1020"/>
        <w:ind w:firstLine="420"/>
        <w:spacing w:line="360" w:lineRule="auto"/>
        <w:rPr>
          <w:rFonts w:hint="eastAsia" w:ascii="宋体" w:hAnsi="宋体" w:cs="宋体"/>
          <w:szCs w:val="21"/>
          <w:lang w:val="zh-CN"/>
        </w:rPr>
      </w:pPr>
      <w:r>
        <w:rPr>
          <w:rFonts w:hint="eastAsia" w:ascii="宋体" w:hAnsi="宋体" w:cs="宋体"/>
          <w:szCs w:val="21"/>
          <w:lang w:val="zh-CN"/>
        </w:rPr>
        <w:t xml:space="preserve">本授权书于        年   月   日签字生效，特此声明。</w:t>
      </w:r>
      <w:r>
        <w:rPr>
          <w:rFonts w:hint="eastAsia" w:ascii="宋体" w:hAnsi="宋体" w:cs="宋体"/>
          <w:szCs w:val="21"/>
          <w:lang w:val="zh-CN"/>
        </w:rPr>
      </w:r>
      <w:r/>
    </w:p>
    <w:p>
      <w:pPr>
        <w:pStyle w:val="1020"/>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被授权人身份证号码：</w:t>
      </w:r>
      <w:r>
        <w:rPr>
          <w:rFonts w:hint="eastAsia" w:ascii="宋体" w:hAnsi="宋体" w:cs="宋体"/>
          <w:szCs w:val="21"/>
          <w:lang w:val="zh-CN"/>
        </w:rPr>
      </w:r>
      <w:r/>
    </w:p>
    <w:p>
      <w:pPr>
        <w:pStyle w:val="1020"/>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被授权人联系电话：（手机）</w:t>
      </w:r>
      <w:r>
        <w:rPr>
          <w:rFonts w:hint="eastAsia" w:ascii="宋体" w:hAnsi="宋体" w:cs="宋体"/>
          <w:szCs w:val="21"/>
          <w:lang w:val="zh-CN"/>
        </w:rPr>
      </w:r>
      <w:r/>
    </w:p>
    <w:p>
      <w:pPr>
        <w:pStyle w:val="1020"/>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单位名称：（加盖电子公章）</w:t>
      </w:r>
      <w:r>
        <w:rPr>
          <w:rFonts w:hint="eastAsia" w:ascii="宋体" w:hAnsi="宋体" w:cs="宋体"/>
          <w:szCs w:val="21"/>
          <w:lang w:val="zh-CN"/>
        </w:rPr>
      </w:r>
      <w:r/>
    </w:p>
    <w:p>
      <w:pPr>
        <w:pStyle w:val="1020"/>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p>
      <w:pPr>
        <w:pStyle w:val="1020"/>
        <w:ind w:firstLine="420"/>
        <w:spacing w:line="360" w:lineRule="auto"/>
        <w:tabs>
          <w:tab w:val="left" w:pos="1440" w:leader="none"/>
        </w:tabs>
        <w:rPr>
          <w:rFonts w:hint="eastAsia"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lang w:val="zh-CN"/>
        </w:rPr>
      </w:r>
      <w:r/>
    </w:p>
    <w:p>
      <w:pPr>
        <w:pStyle w:val="1020"/>
        <w:spacing w:line="360" w:lineRule="auto"/>
        <w:rPr>
          <w:rFonts w:hint="eastAsia" w:ascii="宋体" w:hAnsi="宋体" w:cs="宋体"/>
          <w:szCs w:val="21"/>
          <w:lang w:val="zh-CN"/>
        </w:rPr>
      </w:pPr>
      <w:r>
        <w:rPr>
          <w:rFonts w:hint="eastAsia" w:ascii="宋体" w:hAnsi="宋体" w:cs="宋体"/>
          <w:szCs w:val="21"/>
          <w:lang w:val="zh-CN"/>
        </w:rPr>
      </w:r>
      <w:r/>
    </w:p>
    <w:p>
      <w:pPr>
        <w:pStyle w:val="1020"/>
        <w:spacing w:before="312" w:after="312"/>
        <w:rPr>
          <w:rFonts w:hint="eastAsia" w:ascii="宋体" w:hAnsi="宋体" w:cs="宋体"/>
          <w:b/>
          <w:szCs w:val="21"/>
        </w:rPr>
      </w:pPr>
      <w:r>
        <w:rPr>
          <w:rFonts w:hint="eastAsia" w:ascii="宋体" w:hAnsi="宋体" w:cs="宋体"/>
          <w:b/>
          <w:szCs w:val="21"/>
        </w:rPr>
        <w:t xml:space="preserve">附：法定代表人、供应商授权代表的身份证</w:t>
      </w:r>
      <w:r>
        <w:rPr>
          <w:rFonts w:hint="eastAsia" w:ascii="宋体" w:hAnsi="宋体" w:cs="宋体"/>
          <w:b/>
          <w:szCs w:val="21"/>
          <w:lang w:eastAsia="zh-CN"/>
        </w:rPr>
        <w:t xml:space="preserve">扫描件</w:t>
      </w:r>
      <w:r>
        <w:rPr>
          <w:rFonts w:hint="eastAsia" w:ascii="宋体" w:hAnsi="宋体" w:cs="宋体"/>
          <w:b/>
          <w:szCs w:val="21"/>
        </w:rPr>
        <w:t xml:space="preserve">：</w:t>
      </w:r>
      <w:r>
        <w:rPr>
          <w:rFonts w:hint="eastAsia" w:ascii="宋体" w:hAnsi="宋体" w:cs="宋体"/>
          <w:b/>
          <w:szCs w:val="21"/>
        </w:rPr>
      </w:r>
      <w:r/>
    </w:p>
    <w:p>
      <w:pPr>
        <w:pStyle w:val="1020"/>
        <w:spacing w:before="312" w:after="312"/>
        <w:rPr>
          <w:rFonts w:hint="eastAsia" w:ascii="宋体" w:hAnsi="宋体" w:cs="宋体"/>
          <w:b/>
          <w:szCs w:val="21"/>
        </w:rPr>
      </w:pPr>
      <w:r>
        <w:rPr>
          <w:rFonts w:hint="eastAsia" w:ascii="宋体" w:hAnsi="宋体" w:cs="宋体"/>
          <w:b/>
          <w:szCs w:val="21"/>
        </w:rPr>
      </w:r>
      <w:r/>
    </w:p>
    <w:p>
      <w:pPr>
        <w:pStyle w:val="1020"/>
        <w:spacing w:before="312" w:after="312"/>
        <w:rPr>
          <w:rFonts w:hint="eastAsia" w:ascii="宋体" w:hAnsi="宋体" w:cs="宋体"/>
          <w:b/>
        </w:rPr>
      </w:pPr>
      <w:r>
        <w:rPr>
          <w:rFonts w:hint="eastAsia" w:ascii="宋体" w:hAnsi="宋体" w:cs="宋体"/>
          <w:lang w:val="zh-CN"/>
        </w:rPr>
        <w:br w:type="page" w:clear="all"/>
      </w:r>
      <w:bookmarkStart w:id="71" w:name="_Toc504573085"/>
      <w:r/>
      <w:bookmarkStart w:id="72" w:name="_Toc490133030"/>
      <w:r/>
      <w:bookmarkStart w:id="73" w:name="_Toc534273679"/>
      <w:r/>
      <w:bookmarkStart w:id="74" w:name="_Toc534273802"/>
      <w:r/>
      <w:bookmarkStart w:id="75" w:name="_Toc504044382"/>
      <w:r/>
      <w:bookmarkStart w:id="76" w:name="_Toc504056870"/>
      <w:r/>
      <w:bookmarkStart w:id="77" w:name="_Hlk213935803"/>
      <w:r>
        <w:rPr>
          <w:rFonts w:hint="eastAsia" w:ascii="宋体" w:hAnsi="宋体" w:cs="宋体"/>
          <w:b/>
        </w:rPr>
        <w:t xml:space="preserve">附件三、报价表</w:t>
      </w:r>
      <w:bookmarkEnd w:id="71"/>
      <w:r/>
      <w:bookmarkEnd w:id="72"/>
      <w:r/>
      <w:bookmarkEnd w:id="73"/>
      <w:r/>
      <w:bookmarkEnd w:id="74"/>
      <w:r/>
      <w:bookmarkEnd w:id="75"/>
      <w:r/>
      <w:bookmarkEnd w:id="76"/>
      <w:r>
        <w:rPr>
          <w:rFonts w:hint="eastAsia" w:ascii="宋体" w:hAnsi="宋体" w:cs="宋体"/>
          <w:b/>
        </w:rPr>
      </w:r>
      <w:r/>
    </w:p>
    <w:p>
      <w:pPr>
        <w:pStyle w:val="1020"/>
        <w:rPr>
          <w:rFonts w:hint="eastAsia" w:ascii="宋体" w:hAnsi="宋体" w:cs="宋体"/>
          <w:b/>
          <w:szCs w:val="21"/>
          <w:lang w:val="zh-CN"/>
        </w:rPr>
      </w:pPr>
      <w:r>
        <w:rPr>
          <w:rFonts w:hint="eastAsia" w:ascii="宋体" w:hAnsi="宋体" w:cs="宋体"/>
          <w:b/>
          <w:szCs w:val="21"/>
          <w:lang w:val="zh-CN"/>
        </w:rPr>
      </w:r>
      <w:r/>
    </w:p>
    <w:p>
      <w:pPr>
        <w:pStyle w:val="1020"/>
        <w:jc w:val="center"/>
        <w:rPr>
          <w:rFonts w:hint="eastAsia" w:ascii="宋体" w:hAnsi="宋体" w:cs="宋体"/>
          <w:b/>
          <w:sz w:val="36"/>
          <w:szCs w:val="36"/>
        </w:rPr>
      </w:pPr>
      <w:r>
        <w:rPr>
          <w:rFonts w:hint="eastAsia" w:ascii="宋体" w:hAnsi="宋体" w:cs="宋体"/>
          <w:b/>
          <w:sz w:val="36"/>
          <w:szCs w:val="36"/>
        </w:rPr>
        <w:t xml:space="preserve">报价一览表</w:t>
      </w:r>
      <w:r>
        <w:rPr>
          <w:rFonts w:hint="eastAsia" w:ascii="宋体" w:hAnsi="宋体" w:cs="宋体"/>
          <w:b/>
          <w:sz w:val="36"/>
          <w:szCs w:val="36"/>
        </w:rPr>
      </w:r>
      <w:r/>
    </w:p>
    <w:p>
      <w:pPr>
        <w:pStyle w:val="1020"/>
        <w:jc w:val="center"/>
        <w:spacing w:line="360" w:lineRule="auto"/>
        <w:shd w:val="clear" w:color="auto" w:fill="ffffff"/>
        <w:widowControl/>
        <w:rPr>
          <w:rFonts w:hint="eastAsia" w:ascii="宋体" w:hAnsi="宋体" w:cs="宋体"/>
          <w:szCs w:val="21"/>
        </w:rPr>
      </w:pPr>
      <w:r>
        <w:rPr>
          <w:rFonts w:hint="eastAsia" w:ascii="宋体" w:hAnsi="宋体" w:cs="宋体"/>
          <w:szCs w:val="21"/>
          <w:lang w:val="zh-CN"/>
        </w:rPr>
        <w:t xml:space="preserve">               </w:t>
      </w:r>
      <w:r>
        <w:rPr>
          <w:rFonts w:hint="eastAsia" w:ascii="宋体" w:hAnsi="宋体" w:cs="宋体"/>
          <w:szCs w:val="21"/>
        </w:rPr>
      </w:r>
      <w:r/>
    </w:p>
    <w:p>
      <w:pPr>
        <w:pStyle w:val="1035"/>
        <w:ind w:firstLine="473"/>
        <w:spacing w:line="440" w:lineRule="exact"/>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4998"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3"/>
        <w:gridCol w:w="1310"/>
        <w:gridCol w:w="5406"/>
      </w:tblGrid>
      <w:tr>
        <w:trPr>
          <w:cantSplit/>
          <w:trHeight w:val="2063"/>
        </w:trPr>
        <w:tc>
          <w:tcPr>
            <w:tcW w:w="1951" w:type="dxa"/>
            <w:vAlign w:val="center"/>
            <w:textDirection w:val="lrTb"/>
            <w:noWrap w:val="false"/>
          </w:tcPr>
          <w:p>
            <w:pPr>
              <w:pStyle w:val="1035"/>
              <w:ind w:firstLine="0"/>
              <w:jc w:val="center"/>
              <w:spacing w:line="440" w:lineRule="exact"/>
              <w:rPr>
                <w:rFonts w:hint="eastAsia" w:ascii="宋体" w:hAnsi="宋体" w:cs="宋体"/>
                <w:szCs w:val="21"/>
              </w:rPr>
            </w:pPr>
            <w:r>
              <w:rPr>
                <w:rFonts w:hint="eastAsia" w:ascii="宋体" w:hAnsi="宋体" w:cs="宋体"/>
                <w:szCs w:val="21"/>
              </w:rPr>
              <w:t xml:space="preserve">响应总价</w:t>
            </w:r>
            <w:r>
              <w:rPr>
                <w:rFonts w:hint="eastAsia" w:ascii="宋体" w:hAnsi="宋体" w:cs="宋体"/>
                <w:szCs w:val="21"/>
              </w:rPr>
            </w:r>
            <w:r/>
          </w:p>
        </w:tc>
        <w:tc>
          <w:tcPr>
            <w:tcW w:w="1276" w:type="dxa"/>
            <w:vAlign w:val="center"/>
            <w:textDirection w:val="lrTb"/>
            <w:noWrap w:val="false"/>
          </w:tcPr>
          <w:p>
            <w:pPr>
              <w:pStyle w:val="1035"/>
              <w:ind w:firstLine="0"/>
              <w:jc w:val="center"/>
              <w:spacing w:line="440" w:lineRule="exact"/>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5266" w:type="dxa"/>
            <w:vAlign w:val="center"/>
            <w:textDirection w:val="lrTb"/>
            <w:noWrap w:val="false"/>
          </w:tcPr>
          <w:p>
            <w:pPr>
              <w:pStyle w:val="1035"/>
              <w:ind w:firstLine="0"/>
              <w:spacing w:line="440" w:lineRule="exact"/>
              <w:rPr>
                <w:rFonts w:hint="eastAsia" w:ascii="宋体" w:hAnsi="宋体" w:cs="宋体"/>
                <w:bCs/>
                <w:szCs w:val="21"/>
              </w:rPr>
            </w:pPr>
            <w:r>
              <w:rPr>
                <w:rFonts w:hint="eastAsia" w:ascii="宋体" w:hAnsi="宋体" w:cs="宋体"/>
                <w:szCs w:val="21"/>
              </w:rPr>
              <w:t xml:space="preserve">小写：人民币            元</w:t>
            </w:r>
            <w:r>
              <w:rPr>
                <w:rFonts w:hint="eastAsia" w:ascii="宋体" w:hAnsi="宋体" w:cs="宋体"/>
                <w:bCs/>
                <w:szCs w:val="21"/>
              </w:rPr>
            </w:r>
            <w:r/>
          </w:p>
          <w:p>
            <w:pPr>
              <w:pStyle w:val="1035"/>
              <w:ind w:firstLine="473"/>
              <w:spacing w:line="440" w:lineRule="exact"/>
              <w:rPr>
                <w:rFonts w:hint="eastAsia" w:ascii="宋体" w:hAnsi="宋体" w:cs="宋体"/>
                <w:szCs w:val="21"/>
              </w:rPr>
            </w:pPr>
            <w:r>
              <w:rPr>
                <w:rFonts w:hint="eastAsia" w:ascii="宋体" w:hAnsi="宋体" w:cs="宋体"/>
                <w:szCs w:val="21"/>
              </w:rPr>
            </w:r>
            <w:r/>
          </w:p>
          <w:p>
            <w:pPr>
              <w:pStyle w:val="1035"/>
              <w:ind w:firstLine="0"/>
              <w:spacing w:line="440" w:lineRule="exact"/>
              <w:rPr>
                <w:rFonts w:hint="eastAsia" w:ascii="宋体" w:hAnsi="宋体" w:cs="宋体"/>
                <w:szCs w:val="21"/>
              </w:rPr>
            </w:pPr>
            <w:r>
              <w:rPr>
                <w:rFonts w:hint="eastAsia" w:ascii="宋体" w:hAnsi="宋体" w:cs="宋体"/>
                <w:szCs w:val="21"/>
              </w:rPr>
              <w:t xml:space="preserve">大写：人民币            元</w:t>
            </w:r>
            <w:r>
              <w:rPr>
                <w:rFonts w:hint="eastAsia" w:ascii="宋体" w:hAnsi="宋体" w:cs="宋体"/>
                <w:szCs w:val="21"/>
              </w:rPr>
            </w:r>
            <w:r/>
          </w:p>
        </w:tc>
      </w:tr>
      <w:tr>
        <w:trPr>
          <w:trHeight w:val="1396"/>
        </w:trPr>
        <w:tc>
          <w:tcPr>
            <w:tcW w:w="1951" w:type="dxa"/>
            <w:vAlign w:val="center"/>
            <w:textDirection w:val="lrTb"/>
            <w:noWrap w:val="false"/>
          </w:tcPr>
          <w:p>
            <w:pPr>
              <w:pStyle w:val="1035"/>
              <w:ind w:firstLine="0"/>
              <w:jc w:val="center"/>
              <w:spacing w:line="440" w:lineRule="exact"/>
              <w:rPr>
                <w:rFonts w:hint="eastAsia" w:ascii="宋体" w:hAnsi="宋体" w:cs="宋体"/>
                <w:szCs w:val="21"/>
              </w:rPr>
            </w:pPr>
            <w:r>
              <w:rPr>
                <w:rFonts w:hint="eastAsia" w:ascii="宋体" w:hAnsi="宋体" w:cs="宋体"/>
                <w:szCs w:val="21"/>
              </w:rPr>
              <w:t xml:space="preserve">工期</w:t>
            </w:r>
            <w:r>
              <w:rPr>
                <w:rFonts w:hint="eastAsia" w:ascii="宋体" w:hAnsi="宋体" w:cs="宋体"/>
                <w:szCs w:val="21"/>
              </w:rPr>
            </w:r>
            <w:r/>
          </w:p>
        </w:tc>
        <w:tc>
          <w:tcPr>
            <w:gridSpan w:val="2"/>
            <w:tcW w:w="6716" w:type="dxa"/>
            <w:vAlign w:val="center"/>
            <w:textDirection w:val="lrTb"/>
            <w:noWrap w:val="false"/>
          </w:tcPr>
          <w:p>
            <w:pPr>
              <w:pStyle w:val="1035"/>
              <w:ind w:firstLine="2100"/>
              <w:spacing w:line="440" w:lineRule="exact"/>
              <w:rPr>
                <w:rFonts w:hint="eastAsia" w:ascii="宋体" w:hAnsi="宋体" w:cs="宋体"/>
                <w:szCs w:val="21"/>
                <w:u w:val="single"/>
              </w:rPr>
            </w:pPr>
            <w:r>
              <w:rPr>
                <w:rFonts w:hint="eastAsia" w:ascii="宋体" w:hAnsi="宋体" w:cs="宋体"/>
                <w:szCs w:val="21"/>
                <w:u w:val="single"/>
              </w:rPr>
              <w:t xml:space="preserve">满足磋商文件要求。</w:t>
            </w:r>
            <w:r>
              <w:rPr>
                <w:rFonts w:hint="eastAsia" w:ascii="宋体" w:hAnsi="宋体" w:cs="宋体"/>
                <w:szCs w:val="21"/>
                <w:u w:val="single"/>
              </w:rPr>
            </w:r>
            <w:r/>
          </w:p>
        </w:tc>
      </w:tr>
      <w:tr>
        <w:trPr>
          <w:trHeight w:val="1396"/>
        </w:trPr>
        <w:tc>
          <w:tcPr>
            <w:tcW w:w="1951" w:type="dxa"/>
            <w:vAlign w:val="center"/>
            <w:textDirection w:val="lrTb"/>
            <w:noWrap w:val="false"/>
          </w:tcPr>
          <w:p>
            <w:pPr>
              <w:pStyle w:val="1035"/>
              <w:ind w:firstLine="0"/>
              <w:jc w:val="center"/>
              <w:spacing w:line="440" w:lineRule="exact"/>
              <w:rPr>
                <w:rFonts w:hint="eastAsia" w:ascii="宋体" w:hAnsi="宋体" w:cs="宋体"/>
                <w:szCs w:val="21"/>
              </w:rPr>
            </w:pPr>
            <w:r>
              <w:rPr>
                <w:rFonts w:hint="eastAsia" w:ascii="宋体" w:hAnsi="宋体" w:cs="宋体"/>
                <w:szCs w:val="21"/>
              </w:rPr>
              <w:t xml:space="preserve">供应商是否属于小微型企业</w:t>
            </w:r>
            <w:r>
              <w:rPr>
                <w:rFonts w:hint="eastAsia" w:ascii="宋体" w:hAnsi="宋体" w:cs="宋体"/>
                <w:szCs w:val="21"/>
              </w:rPr>
            </w:r>
            <w:r/>
          </w:p>
        </w:tc>
        <w:tc>
          <w:tcPr>
            <w:gridSpan w:val="2"/>
            <w:tcW w:w="6716" w:type="dxa"/>
            <w:vAlign w:val="center"/>
            <w:textDirection w:val="lrTb"/>
            <w:noWrap w:val="false"/>
          </w:tcPr>
          <w:p>
            <w:pPr>
              <w:pStyle w:val="1035"/>
              <w:ind w:firstLine="2100"/>
              <w:spacing w:line="440" w:lineRule="exact"/>
              <w:rPr>
                <w:rFonts w:hint="eastAsia" w:ascii="宋体" w:hAnsi="宋体" w:cs="宋体"/>
                <w:szCs w:val="21"/>
                <w:u w:val="single"/>
              </w:rPr>
            </w:pPr>
            <w:r>
              <w:rPr>
                <w:rFonts w:hint="eastAsia" w:ascii="宋体" w:hAnsi="宋体" w:cs="宋体"/>
                <w:szCs w:val="21"/>
              </w:rPr>
              <w:t xml:space="preserve">（</w:t>
            </w:r>
            <w:r>
              <w:rPr>
                <w:rFonts w:hint="eastAsia" w:ascii="宋体" w:hAnsi="宋体" w:cs="宋体"/>
                <w:szCs w:val="21"/>
                <w:lang w:val="zh-CN"/>
              </w:rPr>
              <w:t xml:space="preserve">填写“是”或“否”</w:t>
            </w:r>
            <w:r>
              <w:rPr>
                <w:rFonts w:hint="eastAsia" w:ascii="宋体" w:hAnsi="宋体" w:cs="宋体"/>
                <w:szCs w:val="21"/>
              </w:rPr>
              <w:t xml:space="preserve">）</w:t>
            </w:r>
            <w:r>
              <w:rPr>
                <w:rFonts w:hint="eastAsia" w:ascii="宋体" w:hAnsi="宋体" w:cs="宋体"/>
                <w:szCs w:val="21"/>
                <w:u w:val="single"/>
              </w:rPr>
            </w:r>
            <w:r/>
          </w:p>
        </w:tc>
      </w:tr>
      <w:tr>
        <w:trPr>
          <w:trHeight w:val="1396"/>
        </w:trPr>
        <w:tc>
          <w:tcPr>
            <w:tcW w:w="1951" w:type="dxa"/>
            <w:vAlign w:val="center"/>
            <w:textDirection w:val="lrTb"/>
            <w:noWrap w:val="false"/>
          </w:tcPr>
          <w:p>
            <w:pPr>
              <w:pStyle w:val="1035"/>
              <w:ind w:firstLine="0"/>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c>
          <w:tcPr>
            <w:gridSpan w:val="2"/>
            <w:tcW w:w="6716" w:type="dxa"/>
            <w:vAlign w:val="center"/>
            <w:textDirection w:val="lrTb"/>
            <w:noWrap w:val="false"/>
          </w:tcPr>
          <w:p>
            <w:pPr>
              <w:pStyle w:val="1035"/>
              <w:ind w:firstLine="0"/>
              <w:spacing w:line="440" w:lineRule="exact"/>
              <w:rPr>
                <w:rFonts w:hint="eastAsia" w:ascii="宋体" w:hAnsi="宋体" w:cs="宋体"/>
                <w:szCs w:val="21"/>
                <w:u w:val="single"/>
              </w:rPr>
            </w:pPr>
            <w:r>
              <w:rPr>
                <w:rFonts w:hint="eastAsia" w:ascii="宋体" w:hAnsi="宋体" w:cs="宋体"/>
                <w:szCs w:val="21"/>
              </w:rPr>
              <w:t xml:space="preserve">如电子响应文件总价金额前后不一致，系统将以“标书制作客户端——基本目录——磋商报价表”中填写的金额为准</w:t>
            </w:r>
            <w:r>
              <w:rPr>
                <w:rFonts w:hint="eastAsia" w:ascii="宋体" w:hAnsi="宋体" w:cs="宋体"/>
                <w:szCs w:val="21"/>
                <w:u w:val="single"/>
              </w:rPr>
            </w:r>
            <w:r/>
          </w:p>
        </w:tc>
      </w:tr>
    </w:tbl>
    <w:p>
      <w:pPr>
        <w:pStyle w:val="1020"/>
        <w:jc w:val="left"/>
        <w:spacing w:line="360" w:lineRule="auto"/>
        <w:shd w:val="clear" w:color="auto" w:fill="ffffff"/>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1020"/>
        <w:jc w:val="left"/>
        <w:spacing w:line="360" w:lineRule="auto"/>
        <w:shd w:val="clear" w:color="auto" w:fill="ffffff"/>
        <w:widowControl/>
        <w:rPr>
          <w:rFonts w:hint="eastAsia" w:ascii="宋体" w:hAnsi="宋体" w:cs="宋体"/>
        </w:rPr>
      </w:pPr>
      <w:r>
        <w:rPr>
          <w:rFonts w:hint="eastAsia" w:ascii="宋体" w:hAnsi="宋体" w:cs="宋体"/>
        </w:rPr>
        <w:t xml:space="preserve">供应商（</w:t>
      </w:r>
      <w:r>
        <w:rPr>
          <w:rFonts w:hint="eastAsia" w:ascii="宋体" w:hAnsi="宋体" w:cs="宋体"/>
          <w:szCs w:val="21"/>
        </w:rPr>
        <w:t xml:space="preserve">加盖电子公章</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r>
      <w:r/>
    </w:p>
    <w:p>
      <w:pPr>
        <w:pStyle w:val="1020"/>
        <w:jc w:val="left"/>
        <w:spacing w:line="360" w:lineRule="auto"/>
        <w:shd w:val="clear" w:color="auto" w:fill="ffffff"/>
        <w:widowControl/>
        <w:rPr>
          <w:rFonts w:hint="eastAsia" w:ascii="宋体" w:hAnsi="宋体" w:cs="宋体"/>
          <w:u w:val="single"/>
        </w:rPr>
      </w:pPr>
      <w:r>
        <w:rPr>
          <w:rFonts w:hint="eastAsia" w:ascii="宋体" w:hAnsi="宋体" w:cs="宋体"/>
          <w:u w:val="single"/>
        </w:rPr>
      </w:r>
      <w:r/>
    </w:p>
    <w:p>
      <w:pPr>
        <w:pStyle w:val="1020"/>
        <w:jc w:val="left"/>
        <w:spacing w:line="360" w:lineRule="auto"/>
        <w:shd w:val="clear" w:color="auto" w:fill="ffffff"/>
        <w:widowControl/>
        <w:rPr>
          <w:rFonts w:hint="eastAsia" w:ascii="宋体" w:hAnsi="宋体" w:cs="宋体"/>
        </w:rPr>
      </w:pPr>
      <w:r>
        <w:rPr>
          <w:rFonts w:hint="eastAsia" w:ascii="宋体" w:hAnsi="宋体" w:cs="宋体"/>
        </w:rPr>
        <w:t xml:space="preserve">说明：</w:t>
      </w:r>
      <w:r>
        <w:rPr>
          <w:rFonts w:hint="eastAsia" w:ascii="宋体" w:hAnsi="宋体" w:cs="宋体"/>
        </w:rPr>
      </w:r>
      <w:r/>
    </w:p>
    <w:p>
      <w:pPr>
        <w:pStyle w:val="1020"/>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1、本项目仅接受一个价格，不得填报有选择性报价方案。如有优惠条款须注明，但不得影响报价，影响项目履约交付。</w:t>
      </w:r>
      <w:r>
        <w:rPr>
          <w:rFonts w:hint="eastAsia" w:ascii="宋体" w:hAnsi="宋体" w:cs="宋体"/>
          <w:b/>
          <w:bCs/>
          <w:szCs w:val="21"/>
        </w:rPr>
      </w:r>
      <w:r/>
    </w:p>
    <w:p>
      <w:pPr>
        <w:pStyle w:val="1020"/>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2、“供应商是否属于小微型企业”栏内填写“是”或“否”。如填写“是”，供应商需提供《中小企业声明函》《残疾人福利性单位声明函》《属于监狱企业的证明文件》。</w:t>
      </w:r>
      <w:r>
        <w:rPr>
          <w:rFonts w:hint="eastAsia" w:ascii="宋体" w:hAnsi="宋体" w:cs="宋体"/>
          <w:b/>
          <w:bCs/>
          <w:szCs w:val="21"/>
        </w:rPr>
      </w:r>
      <w:r/>
    </w:p>
    <w:p>
      <w:pPr>
        <w:pStyle w:val="1020"/>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3、磋商结束后，磋商小组将要求所有实质性响应的供应商在规定时间内提交最后报价。</w:t>
      </w:r>
      <w:bookmarkEnd w:id="77"/>
      <w:r>
        <w:rPr>
          <w:rFonts w:hint="eastAsia" w:ascii="宋体" w:hAnsi="宋体" w:cs="宋体"/>
          <w:b/>
          <w:bCs/>
          <w:szCs w:val="21"/>
        </w:rPr>
      </w:r>
      <w:r/>
    </w:p>
    <w:p>
      <w:pPr>
        <w:pStyle w:val="1020"/>
        <w:ind w:firstLine="422"/>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rPr>
        <w:br w:type="page" w:clear="all"/>
      </w:r>
      <w:r>
        <w:rPr>
          <w:rFonts w:hint="eastAsia" w:ascii="宋体" w:hAnsi="宋体" w:cs="宋体"/>
          <w:b/>
          <w:bCs/>
          <w:szCs w:val="21"/>
        </w:rPr>
        <w:t xml:space="preserve">附表</w:t>
      </w:r>
      <w:r>
        <w:rPr>
          <w:rFonts w:hint="eastAsia" w:ascii="宋体" w:hAnsi="宋体" w:cs="宋体"/>
          <w:b/>
          <w:bCs/>
          <w:szCs w:val="21"/>
          <w:lang w:val="zh-CN"/>
        </w:rPr>
        <w:t xml:space="preserve">——分项报价表格式</w:t>
      </w:r>
      <w:r>
        <w:rPr>
          <w:rFonts w:hint="eastAsia" w:ascii="宋体" w:hAnsi="宋体" w:cs="宋体"/>
          <w:b/>
          <w:bCs/>
          <w:szCs w:val="21"/>
          <w:lang w:val="zh-CN"/>
        </w:rPr>
      </w:r>
      <w:r/>
    </w:p>
    <w:p>
      <w:pPr>
        <w:pStyle w:val="1020"/>
        <w:ind w:firstLine="420"/>
        <w:spacing w:line="360" w:lineRule="auto"/>
        <w:tabs>
          <w:tab w:val="left" w:pos="1440" w:leader="none"/>
        </w:tabs>
        <w:rPr>
          <w:rFonts w:hint="eastAsia" w:ascii="宋体" w:hAnsi="宋体" w:cs="宋体"/>
          <w:b/>
        </w:rPr>
      </w:pPr>
      <w:r>
        <w:rPr>
          <w:rFonts w:hint="eastAsia" w:ascii="宋体" w:hAnsi="宋体" w:cs="宋体"/>
          <w:b/>
        </w:rPr>
      </w:r>
      <w:r/>
    </w:p>
    <w:p>
      <w:pPr>
        <w:pStyle w:val="1020"/>
        <w:rPr>
          <w:rFonts w:hint="eastAsia" w:ascii="宋体" w:hAnsi="宋体" w:cs="宋体"/>
          <w:b/>
          <w:szCs w:val="21"/>
          <w:lang w:val="zh-CN"/>
        </w:rPr>
      </w:pPr>
      <w:r>
        <w:rPr>
          <w:rFonts w:hint="eastAsia" w:ascii="宋体" w:hAnsi="宋体" w:cs="宋体"/>
          <w:b/>
          <w:szCs w:val="21"/>
          <w:lang w:val="zh-CN"/>
        </w:rPr>
      </w:r>
      <w:r/>
    </w:p>
    <w:p>
      <w:pPr>
        <w:pStyle w:val="1020"/>
        <w:jc w:val="center"/>
        <w:spacing w:line="360" w:lineRule="auto"/>
        <w:shd w:val="clear" w:color="auto" w:fill="ffffff"/>
        <w:widowControl/>
        <w:rPr>
          <w:rFonts w:hint="eastAsia" w:ascii="宋体" w:hAnsi="宋体" w:cs="宋体"/>
          <w:b/>
          <w:sz w:val="36"/>
          <w:szCs w:val="36"/>
        </w:rPr>
      </w:pPr>
      <w:r/>
      <w:bookmarkStart w:id="78" w:name="_Toc504044384"/>
      <w:r/>
      <w:bookmarkStart w:id="79" w:name="_Toc490133032"/>
      <w:r/>
      <w:bookmarkStart w:id="80" w:name="_Toc534273804"/>
      <w:r/>
      <w:bookmarkStart w:id="81" w:name="_Toc534273682"/>
      <w:r/>
      <w:bookmarkStart w:id="82" w:name="_Toc534273681"/>
      <w:r/>
      <w:bookmarkStart w:id="83" w:name="_Toc504056872"/>
      <w:r/>
      <w:bookmarkStart w:id="84" w:name="_Toc504573087"/>
      <w:r/>
      <w:bookmarkStart w:id="85" w:name="_Toc534273805"/>
      <w:r>
        <w:rPr>
          <w:rFonts w:hint="eastAsia" w:ascii="宋体" w:hAnsi="宋体" w:cs="宋体"/>
          <w:b/>
          <w:sz w:val="36"/>
          <w:szCs w:val="36"/>
        </w:rPr>
        <w:t xml:space="preserve">分项报价表</w:t>
      </w:r>
      <w:r>
        <w:rPr>
          <w:rFonts w:hint="eastAsia" w:ascii="宋体" w:hAnsi="宋体" w:cs="宋体"/>
          <w:b/>
          <w:sz w:val="36"/>
          <w:szCs w:val="36"/>
        </w:rPr>
      </w:r>
      <w:r/>
    </w:p>
    <w:p>
      <w:pPr>
        <w:pStyle w:val="1020"/>
        <w:jc w:val="center"/>
        <w:spacing w:line="360" w:lineRule="auto"/>
        <w:rPr>
          <w:rFonts w:hint="eastAsia" w:ascii="宋体" w:hAnsi="宋体" w:cs="宋体"/>
          <w:b/>
          <w:sz w:val="36"/>
          <w:szCs w:val="36"/>
        </w:rPr>
      </w:pPr>
      <w:r>
        <w:rPr>
          <w:rFonts w:hint="eastAsia" w:ascii="宋体" w:hAnsi="宋体" w:cs="宋体"/>
          <w:b/>
          <w:sz w:val="36"/>
          <w:szCs w:val="36"/>
        </w:rPr>
        <w:t xml:space="preserve">（根据提供的工程量清单进行报价）</w:t>
      </w:r>
      <w:r>
        <w:rPr>
          <w:rFonts w:hint="eastAsia" w:ascii="宋体" w:hAnsi="宋体" w:cs="宋体"/>
          <w:b/>
          <w:sz w:val="36"/>
          <w:szCs w:val="36"/>
        </w:rPr>
      </w:r>
      <w:r/>
    </w:p>
    <w:p>
      <w:pPr>
        <w:pStyle w:val="1020"/>
        <w:spacing w:line="360" w:lineRule="auto"/>
        <w:rPr>
          <w:rFonts w:hint="eastAsia" w:ascii="宋体" w:hAnsi="宋体" w:cs="宋体"/>
          <w:b/>
          <w:bCs/>
          <w:szCs w:val="21"/>
        </w:rPr>
      </w:pPr>
      <w:r>
        <w:rPr>
          <w:rFonts w:hint="eastAsia" w:ascii="宋体" w:hAnsi="宋体" w:cs="宋体"/>
          <w:b/>
          <w:bCs/>
          <w:szCs w:val="21"/>
        </w:rPr>
      </w:r>
      <w:r/>
    </w:p>
    <w:p>
      <w:pPr>
        <w:pStyle w:val="1020"/>
        <w:spacing w:line="360" w:lineRule="auto"/>
        <w:rPr>
          <w:rFonts w:hint="eastAsia" w:ascii="宋体" w:hAnsi="宋体" w:cs="宋体"/>
          <w:szCs w:val="21"/>
        </w:rPr>
      </w:pPr>
      <w:r>
        <w:rPr>
          <w:rFonts w:hint="eastAsia" w:ascii="宋体" w:hAnsi="宋体" w:cs="宋体"/>
          <w:szCs w:val="21"/>
        </w:rPr>
        <w:t xml:space="preserve">注：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他有价款的单价或总价内。</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2、供应商的任何错漏、优惠、竞争性报价不得作为减轻责任、减少服务、增加收费、降低质量的理由</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3、供应商在报价时应充分考虑政策性调整、市场风险等因素，相关费用计入投标报价。成交后发生的政策变化或市场风险所引起的费用变化一律不再调整。</w:t>
      </w: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4、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rPr>
      </w:pPr>
      <w:r>
        <w:rPr>
          <w:rFonts w:hint="eastAsia" w:ascii="宋体" w:hAnsi="宋体" w:cs="宋体"/>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1020"/>
        <w:spacing w:before="312" w:after="312"/>
        <w:rPr>
          <w:rFonts w:hint="eastAsia" w:ascii="宋体" w:hAnsi="宋体" w:cs="宋体"/>
          <w:b/>
        </w:rPr>
      </w:pPr>
      <w:r>
        <w:rPr>
          <w:rFonts w:hint="eastAsia" w:ascii="宋体" w:hAnsi="宋体" w:cs="宋体"/>
          <w:szCs w:val="21"/>
        </w:rPr>
        <w:br w:type="page" w:clear="all"/>
      </w:r>
      <w:r>
        <w:rPr>
          <w:rFonts w:hint="eastAsia" w:ascii="宋体" w:hAnsi="宋体" w:cs="宋体"/>
          <w:b/>
        </w:rPr>
        <w:t xml:space="preserve">附件四、商务条款偏离表格式</w:t>
      </w:r>
      <w:r>
        <w:rPr>
          <w:rFonts w:hint="eastAsia" w:ascii="宋体" w:hAnsi="宋体" w:cs="宋体"/>
          <w:b/>
        </w:rPr>
      </w:r>
      <w:r/>
    </w:p>
    <w:p>
      <w:pPr>
        <w:pStyle w:val="1020"/>
        <w:ind w:firstLine="420"/>
        <w:rPr>
          <w:rFonts w:hint="eastAsia" w:ascii="宋体" w:hAnsi="宋体" w:cs="宋体"/>
          <w:szCs w:val="21"/>
          <w:lang w:val="zh-CN"/>
        </w:rPr>
      </w:pPr>
      <w:r>
        <w:rPr>
          <w:rFonts w:hint="eastAsia" w:ascii="宋体" w:hAnsi="宋体" w:cs="宋体"/>
          <w:szCs w:val="21"/>
          <w:lang w:val="zh-CN"/>
        </w:rPr>
      </w:r>
      <w:r/>
    </w:p>
    <w:p>
      <w:pPr>
        <w:pStyle w:val="1020"/>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商务条款偏离表</w:t>
      </w:r>
      <w:r>
        <w:rPr>
          <w:rFonts w:hint="eastAsia" w:ascii="宋体" w:hAnsi="宋体" w:cs="宋体"/>
          <w:b/>
          <w:sz w:val="36"/>
          <w:szCs w:val="36"/>
        </w:rPr>
      </w:r>
      <w:r/>
    </w:p>
    <w:p>
      <w:pPr>
        <w:pStyle w:val="1020"/>
        <w:rPr>
          <w:rFonts w:hint="eastAsia" w:ascii="宋体" w:hAnsi="宋体" w:cs="宋体"/>
          <w:szCs w:val="21"/>
          <w:lang w:val="zh-CN"/>
        </w:rPr>
      </w:pPr>
      <w:r>
        <w:rPr>
          <w:rFonts w:hint="eastAsia" w:ascii="宋体" w:hAnsi="宋体" w:cs="宋体"/>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1020"/>
              <w:jc w:val="left"/>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1020"/>
              <w:jc w:val="left"/>
              <w:rPr>
                <w:rFonts w:hint="eastAsia" w:ascii="宋体" w:hAnsi="宋体" w:cs="宋体"/>
                <w:szCs w:val="21"/>
                <w:lang w:val="zh-CN"/>
              </w:rPr>
            </w:pPr>
            <w:r>
              <w:rPr>
                <w:rFonts w:hint="eastAsia" w:ascii="宋体" w:hAnsi="宋体" w:cs="宋体"/>
                <w:szCs w:val="21"/>
                <w:lang w:val="zh-CN"/>
              </w:rPr>
              <w:t xml:space="preserve">项目编号： </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采购文件条目号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20"/>
              <w:jc w:val="center"/>
              <w:rPr>
                <w:rFonts w:hint="eastAsia" w:ascii="宋体" w:hAnsi="宋体" w:cs="宋体"/>
                <w:szCs w:val="21"/>
              </w:rPr>
            </w:pPr>
            <w:r>
              <w:rPr>
                <w:rFonts w:hint="eastAsia" w:ascii="宋体" w:hAnsi="宋体" w:cs="宋体"/>
                <w:szCs w:val="21"/>
                <w:lang w:val="zh-CN"/>
              </w:rPr>
              <w:t xml:space="preserve">条款</w:t>
            </w:r>
            <w:r>
              <w:rPr>
                <w:rFonts w:hint="eastAsia" w:ascii="宋体" w:hAnsi="宋体" w:cs="宋体"/>
                <w:szCs w:val="21"/>
              </w:rPr>
              <w:t xml:space="preserve">内容</w:t>
            </w:r>
            <w:r>
              <w:rPr>
                <w:rFonts w:hint="eastAsia"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磋商响应</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偏离说明</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bl>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说明：磋商响应文件商务部分内容响应存在正偏离或负偏离的，请在本表中逐条列出。未列出的，视为响应磋商文件要求。如果行数不够，请自行增加。</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10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10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10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10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r>
      <w:r/>
    </w:p>
    <w:p>
      <w:pPr>
        <w:pStyle w:val="1020"/>
        <w:spacing w:before="312" w:after="312"/>
        <w:rPr>
          <w:rFonts w:hint="eastAsia" w:ascii="宋体" w:hAnsi="宋体" w:cs="宋体"/>
          <w:b/>
        </w:rPr>
      </w:pPr>
      <w:r>
        <w:rPr>
          <w:rFonts w:hint="eastAsia" w:ascii="宋体" w:hAnsi="宋体" w:cs="宋体"/>
          <w:b/>
          <w:bCs/>
          <w:szCs w:val="21"/>
        </w:rPr>
        <w:br w:type="page" w:clear="all"/>
      </w:r>
      <w:r>
        <w:rPr>
          <w:rFonts w:hint="eastAsia" w:ascii="宋体" w:hAnsi="宋体" w:cs="宋体"/>
          <w:b/>
        </w:rPr>
        <w:t xml:space="preserve">附件五、采购需求条款偏离表格式</w:t>
      </w:r>
      <w:bookmarkEnd w:id="78"/>
      <w:r/>
      <w:bookmarkEnd w:id="79"/>
      <w:r/>
      <w:bookmarkEnd w:id="80"/>
      <w:r/>
      <w:bookmarkEnd w:id="81"/>
      <w:r/>
      <w:bookmarkEnd w:id="82"/>
      <w:r/>
      <w:bookmarkEnd w:id="83"/>
      <w:r/>
      <w:bookmarkEnd w:id="84"/>
      <w:r/>
      <w:bookmarkEnd w:id="85"/>
      <w:r>
        <w:rPr>
          <w:rFonts w:hint="eastAsia" w:ascii="宋体" w:hAnsi="宋体" w:cs="宋体"/>
          <w:b/>
        </w:rPr>
      </w:r>
      <w:r/>
    </w:p>
    <w:p>
      <w:pPr>
        <w:pStyle w:val="1020"/>
        <w:rPr>
          <w:rFonts w:hint="eastAsia" w:ascii="宋体" w:hAnsi="宋体" w:cs="宋体"/>
          <w:b/>
          <w:szCs w:val="21"/>
        </w:rPr>
      </w:pPr>
      <w:r>
        <w:rPr>
          <w:rFonts w:hint="eastAsia" w:ascii="宋体" w:hAnsi="宋体" w:cs="宋体"/>
          <w:b/>
          <w:szCs w:val="21"/>
        </w:rPr>
      </w:r>
      <w:r/>
    </w:p>
    <w:p>
      <w:pPr>
        <w:pStyle w:val="1020"/>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采购需求条款偏离表</w:t>
      </w:r>
      <w:r>
        <w:rPr>
          <w:rFonts w:hint="eastAsia" w:ascii="宋体" w:hAnsi="宋体" w:cs="宋体"/>
          <w:b/>
          <w:sz w:val="36"/>
          <w:szCs w:val="36"/>
        </w:rPr>
      </w:r>
      <w:r/>
    </w:p>
    <w:p>
      <w:pPr>
        <w:pStyle w:val="1020"/>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r>
      <w:r/>
    </w:p>
    <w:p>
      <w:pPr>
        <w:pStyle w:val="1020"/>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1020"/>
              <w:jc w:val="left"/>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1020"/>
              <w:jc w:val="left"/>
              <w:rPr>
                <w:rFonts w:hint="eastAsia" w:ascii="宋体" w:hAnsi="宋体" w:cs="宋体"/>
                <w:szCs w:val="21"/>
                <w:lang w:val="zh-CN"/>
              </w:rPr>
            </w:pPr>
            <w:r>
              <w:rPr>
                <w:rFonts w:hint="eastAsia" w:ascii="宋体" w:hAnsi="宋体" w:cs="宋体"/>
                <w:szCs w:val="21"/>
                <w:lang w:val="zh-CN"/>
              </w:rPr>
              <w:t xml:space="preserve">项目编号： </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采购文件条目号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b/>
                <w:szCs w:val="21"/>
              </w:rPr>
              <w:t xml:space="preserve">条款内容</w:t>
            </w: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磋商响应</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t xml:space="preserve">偏离说明</w:t>
            </w: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020"/>
              <w:jc w:val="center"/>
              <w:rPr>
                <w:rFonts w:hint="eastAsia" w:ascii="宋体" w:hAnsi="宋体" w:cs="宋体"/>
                <w:szCs w:val="21"/>
                <w:lang w:val="zh-CN"/>
              </w:rPr>
            </w:pPr>
            <w:r>
              <w:rPr>
                <w:rFonts w:hint="eastAsia" w:ascii="宋体" w:hAnsi="宋体" w:cs="宋体"/>
                <w:szCs w:val="21"/>
                <w:lang w:val="zh-CN"/>
              </w:rPr>
            </w:r>
            <w:r/>
          </w:p>
        </w:tc>
      </w:tr>
    </w:tbl>
    <w:p>
      <w:pPr>
        <w:pStyle w:val="1020"/>
        <w:rPr>
          <w:rFonts w:hint="eastAsia" w:ascii="宋体" w:hAnsi="宋体" w:cs="宋体"/>
          <w:szCs w:val="21"/>
          <w:lang w:val="zh-CN"/>
        </w:rPr>
      </w:pPr>
      <w:r>
        <w:rPr>
          <w:rFonts w:hint="eastAsia" w:ascii="宋体" w:hAnsi="宋体" w:cs="宋体"/>
          <w:szCs w:val="21"/>
          <w:lang w:val="zh-CN"/>
        </w:rPr>
      </w:r>
      <w:r/>
    </w:p>
    <w:p>
      <w:pPr>
        <w:pStyle w:val="1020"/>
        <w:rPr>
          <w:rFonts w:hint="eastAsia" w:ascii="宋体" w:hAnsi="宋体" w:cs="宋体"/>
          <w:szCs w:val="21"/>
          <w:lang w:val="zh-CN"/>
        </w:rPr>
      </w:pPr>
      <w:r>
        <w:rPr>
          <w:rFonts w:hint="eastAsia" w:ascii="宋体" w:hAnsi="宋体" w:cs="宋体"/>
          <w:szCs w:val="21"/>
          <w:lang w:val="zh-CN"/>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说明：磋商响应文件技术要求部分内容响应存在正偏离或负偏离的，请在本表中逐条列出。未列出的，视为响应磋商文件要求。如果行数不够，请自行增加。</w:t>
      </w:r>
      <w:r>
        <w:rPr>
          <w:rFonts w:hint="eastAsia" w:ascii="宋体" w:hAnsi="宋体" w:cs="宋体"/>
          <w:szCs w:val="21"/>
        </w:rPr>
      </w:r>
      <w:r/>
    </w:p>
    <w:p>
      <w:pPr>
        <w:pStyle w:val="1302"/>
        <w:rPr>
          <w:rFonts w:hint="eastAsia" w:ascii="宋体" w:hAnsi="宋体" w:cs="宋体"/>
          <w:lang w:val="zh-CN"/>
        </w:rPr>
      </w:pPr>
      <w:r>
        <w:rPr>
          <w:rFonts w:hint="eastAsia" w:ascii="宋体" w:hAnsi="宋体" w:cs="宋体"/>
          <w:lang w:val="zh-CN"/>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1020"/>
        <w:rPr>
          <w:rFonts w:hint="eastAsia" w:ascii="宋体" w:hAnsi="宋体" w:cs="宋体"/>
          <w:szCs w:val="21"/>
          <w:lang w:val="zh-CN"/>
        </w:rPr>
      </w:pPr>
      <w:r>
        <w:rPr>
          <w:rFonts w:hint="eastAsia" w:ascii="宋体" w:hAnsi="宋体" w:cs="宋体"/>
          <w:szCs w:val="21"/>
          <w:lang w:val="zh-CN"/>
        </w:rPr>
      </w:r>
      <w:r/>
    </w:p>
    <w:p>
      <w:pPr>
        <w:pStyle w:val="1020"/>
        <w:spacing w:before="312" w:after="312"/>
        <w:rPr>
          <w:rFonts w:hint="eastAsia" w:ascii="宋体" w:hAnsi="宋体" w:cs="宋体"/>
          <w:b/>
        </w:rPr>
      </w:pPr>
      <w:r/>
      <w:bookmarkStart w:id="86" w:name="_Toc504056873"/>
      <w:r/>
      <w:bookmarkStart w:id="87" w:name="_Toc504573088"/>
      <w:r/>
      <w:bookmarkStart w:id="88" w:name="_Toc490133033"/>
      <w:r/>
      <w:bookmarkStart w:id="89" w:name="_Toc504044385"/>
      <w:r>
        <w:rPr>
          <w:rFonts w:hint="eastAsia" w:ascii="宋体" w:hAnsi="宋体" w:cs="宋体"/>
          <w:szCs w:val="21"/>
        </w:rPr>
        <w:br w:type="page" w:clear="all"/>
      </w:r>
      <w:bookmarkEnd w:id="86"/>
      <w:r/>
      <w:bookmarkEnd w:id="87"/>
      <w:r/>
      <w:bookmarkEnd w:id="88"/>
      <w:r/>
      <w:bookmarkEnd w:id="89"/>
      <w:r/>
      <w:bookmarkStart w:id="90" w:name="_Toc504573089"/>
      <w:r/>
      <w:bookmarkStart w:id="91" w:name="_Toc504056874"/>
      <w:r/>
      <w:bookmarkStart w:id="92" w:name="_Toc534273806"/>
      <w:r/>
      <w:bookmarkStart w:id="93" w:name="_Toc504044386"/>
      <w:r/>
      <w:bookmarkStart w:id="94" w:name="_Toc490133034"/>
      <w:r/>
      <w:bookmarkStart w:id="95" w:name="_Toc534273683"/>
      <w:r>
        <w:rPr>
          <w:rFonts w:hint="eastAsia" w:ascii="宋体" w:hAnsi="宋体" w:cs="宋体"/>
          <w:b/>
        </w:rPr>
        <w:t xml:space="preserve">附件六、拟参与本项目人员一览表</w:t>
      </w:r>
      <w:bookmarkEnd w:id="90"/>
      <w:r/>
      <w:bookmarkEnd w:id="91"/>
      <w:r/>
      <w:bookmarkEnd w:id="92"/>
      <w:r/>
      <w:bookmarkEnd w:id="93"/>
      <w:r/>
      <w:bookmarkEnd w:id="94"/>
      <w:r/>
      <w:bookmarkEnd w:id="95"/>
      <w:r>
        <w:rPr>
          <w:rFonts w:hint="eastAsia" w:ascii="宋体" w:hAnsi="宋体" w:cs="宋体"/>
          <w:b/>
        </w:rPr>
      </w:r>
      <w:r/>
    </w:p>
    <w:p>
      <w:pPr>
        <w:pStyle w:val="1020"/>
        <w:rPr>
          <w:rFonts w:hint="eastAsia" w:ascii="宋体" w:hAnsi="宋体" w:cs="宋体"/>
          <w:lang w:val="zh-CN"/>
        </w:rPr>
      </w:pPr>
      <w:r>
        <w:rPr>
          <w:rFonts w:hint="eastAsia" w:ascii="宋体" w:hAnsi="宋体" w:cs="宋体"/>
          <w:lang w:val="zh-CN"/>
        </w:rPr>
      </w:r>
      <w:r/>
    </w:p>
    <w:p>
      <w:pPr>
        <w:pStyle w:val="1020"/>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拟参与本项目人员一览表</w:t>
      </w:r>
      <w:r>
        <w:rPr>
          <w:rFonts w:hint="eastAsia" w:ascii="宋体" w:hAnsi="宋体" w:cs="宋体"/>
          <w:b/>
          <w:sz w:val="36"/>
          <w:szCs w:val="36"/>
        </w:rPr>
      </w:r>
      <w:r/>
    </w:p>
    <w:p>
      <w:pPr>
        <w:pStyle w:val="1020"/>
        <w:jc w:val="center"/>
        <w:rPr>
          <w:rFonts w:hint="eastAsia" w:ascii="宋体" w:hAnsi="宋体" w:cs="宋体"/>
          <w:b/>
          <w:bCs/>
          <w:szCs w:val="21"/>
          <w:lang w:val="zh-CN"/>
        </w:rPr>
      </w:pPr>
      <w:r>
        <w:rPr>
          <w:rFonts w:hint="eastAsia" w:ascii="宋体" w:hAnsi="宋体" w:cs="宋体"/>
          <w:b/>
          <w:bCs/>
          <w:szCs w:val="21"/>
          <w:lang w:val="zh-CN"/>
        </w:rPr>
      </w:r>
      <w:r/>
    </w:p>
    <w:p>
      <w:pPr>
        <w:pStyle w:val="1020"/>
        <w:rPr>
          <w:rFonts w:hint="eastAsia" w:ascii="宋体" w:hAnsi="宋体" w:cs="宋体"/>
          <w:szCs w:val="21"/>
          <w:lang w:val="zh-CN"/>
        </w:rPr>
      </w:pPr>
      <w:r>
        <w:rPr>
          <w:rFonts w:hint="eastAsia" w:ascii="宋体" w:hAnsi="宋体" w:cs="宋体"/>
          <w:szCs w:val="21"/>
          <w:lang w:val="zh-CN"/>
        </w:rPr>
        <w:t xml:space="preserve">项目名称：                                     项目编号：</w:t>
      </w:r>
      <w:r>
        <w:rPr>
          <w:rFonts w:hint="eastAsia" w:ascii="宋体" w:hAnsi="宋体" w:cs="宋体"/>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序号</w:t>
            </w:r>
            <w:r>
              <w:rPr>
                <w:rFonts w:hint="eastAsia" w:ascii="宋体" w:hAnsi="宋体" w:cs="宋体"/>
                <w:b/>
                <w:szCs w:val="21"/>
                <w:lang w:val="zh-CN"/>
              </w:rPr>
            </w:r>
            <w:r/>
          </w:p>
        </w:tc>
        <w:tc>
          <w:tcPr>
            <w:tcW w:w="896"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姓名</w:t>
            </w:r>
            <w:r>
              <w:rPr>
                <w:rFonts w:hint="eastAsia" w:ascii="宋体" w:hAnsi="宋体" w:cs="宋体"/>
                <w:b/>
                <w:szCs w:val="21"/>
                <w:lang w:val="zh-CN"/>
              </w:rPr>
            </w:r>
            <w:r/>
          </w:p>
        </w:tc>
        <w:tc>
          <w:tcPr>
            <w:tcW w:w="663"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性别</w:t>
            </w:r>
            <w:r>
              <w:rPr>
                <w:rFonts w:hint="eastAsia" w:ascii="宋体" w:hAnsi="宋体" w:cs="宋体"/>
                <w:b/>
                <w:szCs w:val="21"/>
                <w:lang w:val="zh-CN"/>
              </w:rPr>
            </w:r>
            <w:r/>
          </w:p>
        </w:tc>
        <w:tc>
          <w:tcPr>
            <w:tcW w:w="709"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年龄</w:t>
            </w:r>
            <w:r>
              <w:rPr>
                <w:rFonts w:hint="eastAsia" w:ascii="宋体" w:hAnsi="宋体" w:cs="宋体"/>
                <w:b/>
                <w:szCs w:val="21"/>
                <w:lang w:val="zh-CN"/>
              </w:rPr>
            </w:r>
            <w:r/>
          </w:p>
        </w:tc>
        <w:tc>
          <w:tcPr>
            <w:tcW w:w="1134"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学历及</w:t>
            </w:r>
            <w:r>
              <w:rPr>
                <w:rFonts w:hint="eastAsia" w:ascii="宋体" w:hAnsi="宋体" w:cs="宋体"/>
                <w:b/>
                <w:szCs w:val="21"/>
                <w:lang w:val="zh-CN"/>
              </w:rPr>
            </w:r>
            <w:r/>
          </w:p>
          <w:p>
            <w:pPr>
              <w:pStyle w:val="1020"/>
              <w:jc w:val="center"/>
              <w:rPr>
                <w:rFonts w:hint="eastAsia" w:ascii="宋体" w:hAnsi="宋体" w:cs="宋体"/>
                <w:b/>
                <w:szCs w:val="21"/>
                <w:lang w:val="zh-CN"/>
              </w:rPr>
            </w:pPr>
            <w:r>
              <w:rPr>
                <w:rFonts w:hint="eastAsia" w:ascii="宋体" w:hAnsi="宋体" w:cs="宋体"/>
                <w:b/>
                <w:szCs w:val="21"/>
                <w:lang w:val="zh-CN"/>
              </w:rPr>
              <w:t xml:space="preserve">专业</w:t>
            </w:r>
            <w:r>
              <w:rPr>
                <w:rFonts w:hint="eastAsia" w:ascii="宋体" w:hAnsi="宋体" w:cs="宋体"/>
                <w:b/>
                <w:szCs w:val="21"/>
                <w:lang w:val="zh-CN"/>
              </w:rPr>
            </w:r>
            <w:r/>
          </w:p>
        </w:tc>
        <w:tc>
          <w:tcPr>
            <w:tcW w:w="1056"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执业</w:t>
            </w:r>
            <w:r>
              <w:rPr>
                <w:rFonts w:hint="eastAsia" w:ascii="宋体" w:hAnsi="宋体" w:cs="宋体"/>
                <w:b/>
                <w:szCs w:val="21"/>
                <w:lang w:val="zh-CN"/>
              </w:rPr>
            </w:r>
            <w:r/>
          </w:p>
          <w:p>
            <w:pPr>
              <w:pStyle w:val="1020"/>
              <w:jc w:val="center"/>
              <w:rPr>
                <w:rFonts w:hint="eastAsia" w:ascii="宋体" w:hAnsi="宋体" w:cs="宋体"/>
                <w:b/>
                <w:szCs w:val="21"/>
                <w:lang w:val="zh-CN"/>
              </w:rPr>
            </w:pPr>
            <w:r>
              <w:rPr>
                <w:rFonts w:hint="eastAsia" w:ascii="宋体" w:hAnsi="宋体" w:cs="宋体"/>
                <w:b/>
                <w:szCs w:val="21"/>
                <w:lang w:val="zh-CN"/>
              </w:rPr>
              <w:t xml:space="preserve">资格及证书号</w:t>
            </w:r>
            <w:r>
              <w:rPr>
                <w:rFonts w:hint="eastAsia" w:ascii="宋体" w:hAnsi="宋体" w:cs="宋体"/>
                <w:b/>
                <w:szCs w:val="21"/>
                <w:lang w:val="zh-CN"/>
              </w:rPr>
            </w:r>
            <w:r/>
          </w:p>
        </w:tc>
        <w:tc>
          <w:tcPr>
            <w:tcW w:w="1020"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技术</w:t>
            </w:r>
            <w:r>
              <w:rPr>
                <w:rFonts w:hint="eastAsia" w:ascii="宋体" w:hAnsi="宋体" w:cs="宋体"/>
                <w:b/>
                <w:szCs w:val="21"/>
                <w:lang w:val="zh-CN"/>
              </w:rPr>
            </w:r>
            <w:r/>
          </w:p>
          <w:p>
            <w:pPr>
              <w:pStyle w:val="1020"/>
              <w:jc w:val="center"/>
              <w:rPr>
                <w:rFonts w:hint="eastAsia" w:ascii="宋体" w:hAnsi="宋体" w:cs="宋体"/>
                <w:b/>
                <w:szCs w:val="21"/>
                <w:lang w:val="zh-CN"/>
              </w:rPr>
            </w:pPr>
            <w:r>
              <w:rPr>
                <w:rFonts w:hint="eastAsia" w:ascii="宋体" w:hAnsi="宋体" w:cs="宋体"/>
                <w:b/>
                <w:szCs w:val="21"/>
                <w:lang w:val="zh-CN"/>
              </w:rPr>
              <w:t xml:space="preserve">职称</w:t>
            </w:r>
            <w:r>
              <w:rPr>
                <w:rFonts w:hint="eastAsia" w:ascii="宋体" w:hAnsi="宋体" w:cs="宋体"/>
                <w:b/>
                <w:szCs w:val="21"/>
                <w:lang w:val="zh-CN"/>
              </w:rPr>
            </w:r>
            <w:r/>
          </w:p>
        </w:tc>
        <w:tc>
          <w:tcPr>
            <w:tcW w:w="1174"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相关工作年限及工作经历</w:t>
            </w:r>
            <w:r>
              <w:rPr>
                <w:rFonts w:hint="eastAsia" w:ascii="宋体" w:hAnsi="宋体" w:cs="宋体"/>
                <w:b/>
                <w:szCs w:val="21"/>
                <w:lang w:val="zh-CN"/>
              </w:rPr>
            </w:r>
            <w:r/>
          </w:p>
        </w:tc>
        <w:tc>
          <w:tcPr>
            <w:tcW w:w="1588"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拟担任本项目何种工作</w:t>
            </w:r>
            <w:r>
              <w:rPr>
                <w:rFonts w:hint="eastAsia" w:ascii="宋体" w:hAnsi="宋体" w:cs="宋体"/>
                <w:b/>
                <w:szCs w:val="21"/>
                <w:lang w:val="zh-CN"/>
              </w:rPr>
            </w:r>
            <w:r/>
          </w:p>
        </w:tc>
        <w:tc>
          <w:tcPr>
            <w:tcW w:w="851"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备注</w:t>
            </w:r>
            <w:r>
              <w:rPr>
                <w:rFonts w:hint="eastAsia" w:ascii="宋体" w:hAnsi="宋体" w:cs="宋体"/>
                <w:b/>
                <w:szCs w:val="21"/>
                <w:lang w:val="zh-CN"/>
              </w:rPr>
            </w:r>
            <w:r/>
          </w:p>
        </w:tc>
      </w:tr>
      <w:tr>
        <w:trPr/>
        <w:tc>
          <w:tcPr>
            <w:tcW w:w="5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c>
          <w:tcPr>
            <w:tcW w:w="5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9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66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709"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3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5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174"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588"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851"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bl>
    <w:p>
      <w:pPr>
        <w:pStyle w:val="1020"/>
        <w:rPr>
          <w:rFonts w:hint="eastAsia" w:ascii="宋体" w:hAnsi="宋体" w:cs="宋体"/>
          <w:szCs w:val="21"/>
          <w:lang w:val="zh-CN"/>
        </w:rPr>
      </w:pPr>
      <w:r>
        <w:rPr>
          <w:rFonts w:hint="eastAsia" w:ascii="宋体" w:hAnsi="宋体" w:cs="宋体"/>
          <w:szCs w:val="21"/>
          <w:lang w:val="zh-CN"/>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1020"/>
        <w:rPr>
          <w:rFonts w:hint="eastAsia" w:ascii="宋体" w:hAnsi="宋体" w:cs="宋体"/>
          <w:szCs w:val="21"/>
          <w:lang w:val="zh-CN"/>
        </w:rPr>
      </w:pPr>
      <w:r>
        <w:rPr>
          <w:rFonts w:hint="eastAsia" w:ascii="宋体" w:hAnsi="宋体" w:cs="宋体"/>
          <w:szCs w:val="21"/>
          <w:lang w:val="zh-CN"/>
        </w:rPr>
      </w:r>
      <w:r/>
    </w:p>
    <w:p>
      <w:pPr>
        <w:pStyle w:val="1020"/>
        <w:spacing w:before="312" w:after="312"/>
        <w:rPr>
          <w:rFonts w:hint="eastAsia" w:ascii="宋体" w:hAnsi="宋体" w:cs="宋体"/>
          <w:b/>
        </w:rPr>
      </w:pPr>
      <w:r>
        <w:rPr>
          <w:rFonts w:hint="eastAsia" w:ascii="宋体" w:hAnsi="宋体" w:cs="宋体"/>
          <w:szCs w:val="21"/>
          <w:lang w:val="zh-CN"/>
        </w:rPr>
        <w:br w:type="page" w:clear="all"/>
      </w:r>
      <w:bookmarkStart w:id="96" w:name="_Toc490133035"/>
      <w:r/>
      <w:bookmarkStart w:id="97" w:name="_Toc504044387"/>
      <w:r/>
      <w:bookmarkStart w:id="98" w:name="_Toc534273684"/>
      <w:r/>
      <w:bookmarkStart w:id="99" w:name="_Toc534273807"/>
      <w:r/>
      <w:bookmarkStart w:id="100" w:name="_Toc504573090"/>
      <w:r/>
      <w:bookmarkStart w:id="101" w:name="_Toc504056875"/>
      <w:r>
        <w:rPr>
          <w:rFonts w:hint="eastAsia" w:ascii="宋体" w:hAnsi="宋体" w:cs="宋体"/>
          <w:b/>
        </w:rPr>
        <w:t xml:space="preserve">附件七、供应商类似业绩情况表</w:t>
      </w:r>
      <w:bookmarkEnd w:id="96"/>
      <w:r/>
      <w:bookmarkEnd w:id="97"/>
      <w:r/>
      <w:bookmarkEnd w:id="98"/>
      <w:r/>
      <w:bookmarkEnd w:id="99"/>
      <w:r/>
      <w:bookmarkEnd w:id="100"/>
      <w:r/>
      <w:bookmarkEnd w:id="101"/>
      <w:r>
        <w:rPr>
          <w:rFonts w:hint="eastAsia" w:ascii="宋体" w:hAnsi="宋体" w:cs="宋体"/>
          <w:b/>
        </w:rPr>
      </w:r>
      <w:r/>
    </w:p>
    <w:p>
      <w:pPr>
        <w:pStyle w:val="1020"/>
        <w:rPr>
          <w:rFonts w:hint="eastAsia" w:ascii="宋体" w:hAnsi="宋体" w:cs="宋体"/>
        </w:rPr>
      </w:pPr>
      <w:r>
        <w:rPr>
          <w:rFonts w:hint="eastAsia" w:ascii="宋体" w:hAnsi="宋体" w:cs="宋体"/>
        </w:rPr>
      </w:r>
      <w:r/>
    </w:p>
    <w:p>
      <w:pPr>
        <w:pStyle w:val="1020"/>
        <w:jc w:val="center"/>
        <w:spacing w:before="312"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供应商类似业绩情况表</w:t>
      </w:r>
      <w:r>
        <w:rPr>
          <w:rFonts w:hint="eastAsia" w:ascii="宋体" w:hAnsi="宋体" w:cs="宋体"/>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序号</w:t>
            </w:r>
            <w:r>
              <w:rPr>
                <w:rFonts w:hint="eastAsia" w:ascii="宋体" w:hAnsi="宋体" w:cs="宋体"/>
                <w:b/>
                <w:szCs w:val="21"/>
                <w:lang w:val="zh-CN"/>
              </w:rPr>
            </w:r>
            <w:r/>
          </w:p>
        </w:tc>
        <w:tc>
          <w:tcPr>
            <w:tcW w:w="1710"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项目名称</w:t>
            </w:r>
            <w:r>
              <w:rPr>
                <w:rFonts w:hint="eastAsia" w:ascii="宋体" w:hAnsi="宋体" w:cs="宋体"/>
                <w:b/>
                <w:szCs w:val="21"/>
                <w:lang w:val="zh-CN"/>
              </w:rPr>
            </w:r>
            <w:r/>
          </w:p>
        </w:tc>
        <w:tc>
          <w:tcPr>
            <w:tcW w:w="1365"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业主单位</w:t>
            </w:r>
            <w:r>
              <w:rPr>
                <w:rFonts w:hint="eastAsia" w:ascii="宋体" w:hAnsi="宋体" w:cs="宋体"/>
                <w:b/>
                <w:szCs w:val="21"/>
                <w:lang w:val="zh-CN"/>
              </w:rPr>
            </w:r>
            <w:r/>
          </w:p>
        </w:tc>
        <w:tc>
          <w:tcPr>
            <w:tcW w:w="1455"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业主联系</w:t>
            </w:r>
            <w:r>
              <w:rPr>
                <w:rFonts w:hint="eastAsia" w:ascii="宋体" w:hAnsi="宋体" w:cs="宋体"/>
                <w:b/>
                <w:szCs w:val="21"/>
                <w:lang w:val="zh-CN"/>
              </w:rPr>
            </w:r>
            <w:r/>
          </w:p>
          <w:p>
            <w:pPr>
              <w:pStyle w:val="1020"/>
              <w:jc w:val="center"/>
              <w:rPr>
                <w:rFonts w:hint="eastAsia" w:ascii="宋体" w:hAnsi="宋体" w:cs="宋体"/>
                <w:b/>
                <w:szCs w:val="21"/>
                <w:lang w:val="zh-CN"/>
              </w:rPr>
            </w:pPr>
            <w:r>
              <w:rPr>
                <w:rFonts w:hint="eastAsia" w:ascii="宋体" w:hAnsi="宋体" w:cs="宋体"/>
                <w:b/>
                <w:szCs w:val="21"/>
                <w:lang w:val="zh-CN"/>
              </w:rPr>
              <w:t xml:space="preserve">方式</w:t>
            </w:r>
            <w:r>
              <w:rPr>
                <w:rFonts w:hint="eastAsia" w:ascii="宋体" w:hAnsi="宋体" w:cs="宋体"/>
                <w:b/>
                <w:szCs w:val="21"/>
                <w:lang w:val="zh-CN"/>
              </w:rPr>
            </w:r>
            <w:r/>
          </w:p>
        </w:tc>
        <w:tc>
          <w:tcPr>
            <w:tcW w:w="1300"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工作主要</w:t>
            </w:r>
            <w:r>
              <w:rPr>
                <w:rFonts w:hint="eastAsia" w:ascii="宋体" w:hAnsi="宋体" w:cs="宋体"/>
                <w:b/>
                <w:szCs w:val="21"/>
                <w:lang w:val="zh-CN"/>
              </w:rPr>
            </w:r>
            <w:r/>
          </w:p>
          <w:p>
            <w:pPr>
              <w:pStyle w:val="1020"/>
              <w:jc w:val="center"/>
              <w:rPr>
                <w:rFonts w:hint="eastAsia" w:ascii="宋体" w:hAnsi="宋体" w:cs="宋体"/>
                <w:b/>
                <w:szCs w:val="21"/>
                <w:lang w:val="zh-CN"/>
              </w:rPr>
            </w:pPr>
            <w:r>
              <w:rPr>
                <w:rFonts w:hint="eastAsia" w:ascii="宋体" w:hAnsi="宋体" w:cs="宋体"/>
                <w:b/>
                <w:szCs w:val="21"/>
                <w:lang w:val="zh-CN"/>
              </w:rPr>
              <w:t xml:space="preserve">内容</w:t>
            </w:r>
            <w:r>
              <w:rPr>
                <w:rFonts w:hint="eastAsia" w:ascii="宋体" w:hAnsi="宋体" w:cs="宋体"/>
                <w:b/>
                <w:szCs w:val="21"/>
                <w:lang w:val="zh-CN"/>
              </w:rPr>
            </w:r>
            <w:r/>
          </w:p>
        </w:tc>
        <w:tc>
          <w:tcPr>
            <w:tcW w:w="1026" w:type="dxa"/>
            <w:vAlign w:val="center"/>
            <w:textDirection w:val="lrTb"/>
            <w:noWrap w:val="false"/>
          </w:tcPr>
          <w:p>
            <w:pPr>
              <w:pStyle w:val="1020"/>
              <w:jc w:val="center"/>
              <w:rPr>
                <w:rFonts w:hint="eastAsia" w:ascii="宋体" w:hAnsi="宋体" w:cs="宋体"/>
                <w:b/>
                <w:szCs w:val="21"/>
              </w:rPr>
            </w:pPr>
            <w:r>
              <w:rPr>
                <w:rFonts w:hint="eastAsia" w:ascii="宋体" w:hAnsi="宋体" w:cs="宋体"/>
                <w:b/>
                <w:szCs w:val="21"/>
              </w:rPr>
              <w:t xml:space="preserve">合同</w:t>
            </w:r>
            <w:r>
              <w:rPr>
                <w:rFonts w:hint="eastAsia" w:ascii="宋体" w:hAnsi="宋体" w:cs="宋体"/>
                <w:b/>
                <w:szCs w:val="21"/>
              </w:rPr>
            </w:r>
            <w:r/>
          </w:p>
          <w:p>
            <w:pPr>
              <w:pStyle w:val="1020"/>
              <w:jc w:val="center"/>
              <w:rPr>
                <w:rFonts w:hint="eastAsia" w:ascii="宋体" w:hAnsi="宋体" w:cs="宋体"/>
                <w:b/>
                <w:szCs w:val="21"/>
              </w:rPr>
            </w:pPr>
            <w:r>
              <w:rPr>
                <w:rFonts w:hint="eastAsia" w:ascii="宋体" w:hAnsi="宋体" w:cs="宋体"/>
                <w:b/>
                <w:szCs w:val="21"/>
              </w:rPr>
              <w:t xml:space="preserve">金额</w:t>
            </w:r>
            <w:r>
              <w:rPr>
                <w:rFonts w:hint="eastAsia" w:ascii="宋体" w:hAnsi="宋体" w:cs="宋体"/>
                <w:b/>
                <w:szCs w:val="21"/>
              </w:rPr>
            </w:r>
            <w:r/>
          </w:p>
        </w:tc>
        <w:tc>
          <w:tcPr>
            <w:tcW w:w="1026" w:type="dxa"/>
            <w:vAlign w:val="center"/>
            <w:textDirection w:val="lrTb"/>
            <w:noWrap w:val="false"/>
          </w:tcPr>
          <w:p>
            <w:pPr>
              <w:pStyle w:val="1020"/>
              <w:jc w:val="center"/>
              <w:rPr>
                <w:rFonts w:hint="eastAsia" w:ascii="宋体" w:hAnsi="宋体" w:cs="宋体"/>
                <w:b/>
                <w:szCs w:val="21"/>
                <w:lang w:val="zh-CN"/>
              </w:rPr>
            </w:pPr>
            <w:r>
              <w:rPr>
                <w:rFonts w:hint="eastAsia" w:ascii="宋体" w:hAnsi="宋体" w:cs="宋体"/>
                <w:b/>
                <w:szCs w:val="21"/>
                <w:lang w:val="zh-CN"/>
              </w:rPr>
              <w:t xml:space="preserve">备注</w:t>
            </w:r>
            <w:r>
              <w:rPr>
                <w:rFonts w:hint="eastAsia" w:ascii="宋体" w:hAnsi="宋体" w:cs="宋体"/>
                <w:b/>
                <w:szCs w:val="21"/>
                <w:lang w:val="zh-CN"/>
              </w:rPr>
            </w:r>
            <w:r/>
          </w:p>
        </w:tc>
      </w:tr>
      <w:tr>
        <w:trPr>
          <w:trHeight w:val="352"/>
        </w:trPr>
        <w:tc>
          <w:tcPr>
            <w:tcW w:w="77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rHeight w:val="352"/>
        </w:trPr>
        <w:tc>
          <w:tcPr>
            <w:tcW w:w="77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rHeight w:val="362"/>
        </w:trPr>
        <w:tc>
          <w:tcPr>
            <w:tcW w:w="77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rHeight w:val="362"/>
        </w:trPr>
        <w:tc>
          <w:tcPr>
            <w:tcW w:w="77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r>
        <w:trPr>
          <w:trHeight w:val="362"/>
        </w:trPr>
        <w:tc>
          <w:tcPr>
            <w:tcW w:w="773"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71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6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455"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300"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c>
          <w:tcPr>
            <w:tcW w:w="1026" w:type="dxa"/>
            <w:vAlign w:val="top"/>
            <w:textDirection w:val="lrTb"/>
            <w:noWrap w:val="false"/>
          </w:tcPr>
          <w:p>
            <w:pPr>
              <w:pStyle w:val="1020"/>
              <w:rPr>
                <w:rFonts w:hint="eastAsia" w:ascii="宋体" w:hAnsi="宋体" w:cs="宋体"/>
                <w:szCs w:val="21"/>
                <w:lang w:val="zh-CN"/>
              </w:rPr>
            </w:pPr>
            <w:r>
              <w:rPr>
                <w:rFonts w:hint="eastAsia" w:ascii="宋体" w:hAnsi="宋体" w:cs="宋体"/>
                <w:szCs w:val="21"/>
                <w:lang w:val="zh-CN"/>
              </w:rPr>
            </w:r>
            <w:r/>
          </w:p>
        </w:tc>
      </w:tr>
    </w:tbl>
    <w:p>
      <w:pPr>
        <w:pStyle w:val="1020"/>
        <w:rPr>
          <w:rFonts w:hint="eastAsia" w:ascii="宋体" w:hAnsi="宋体" w:cs="宋体"/>
          <w:szCs w:val="21"/>
          <w:lang w:val="zh-CN"/>
        </w:rPr>
      </w:pPr>
      <w:r>
        <w:rPr>
          <w:rFonts w:hint="eastAsia" w:ascii="宋体" w:hAnsi="宋体" w:cs="宋体"/>
          <w:szCs w:val="21"/>
          <w:lang w:val="zh-CN"/>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   年    月    日</w:t>
      </w:r>
      <w:r>
        <w:rPr>
          <w:rFonts w:hint="eastAsia" w:ascii="宋体" w:hAnsi="宋体" w:cs="宋体"/>
          <w:szCs w:val="21"/>
        </w:rPr>
      </w:r>
      <w:r/>
    </w:p>
    <w:p>
      <w:pPr>
        <w:pStyle w:val="10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pStyle w:val="1020"/>
        <w:spacing w:before="312" w:after="312"/>
        <w:rPr>
          <w:rFonts w:hint="eastAsia" w:ascii="宋体" w:hAnsi="宋体" w:cs="宋体"/>
          <w:b/>
        </w:rPr>
      </w:pPr>
      <w:r>
        <w:rPr>
          <w:rStyle w:val="1033"/>
          <w:rFonts w:hint="eastAsia" w:ascii="宋体" w:hAnsi="宋体" w:cs="宋体"/>
          <w:sz w:val="21"/>
          <w:szCs w:val="21"/>
        </w:rPr>
        <w:br w:type="page" w:clear="all"/>
      </w:r>
      <w:bookmarkStart w:id="102" w:name="_Toc504056876"/>
      <w:r/>
      <w:bookmarkStart w:id="103" w:name="_Toc534273685"/>
      <w:r/>
      <w:bookmarkStart w:id="104" w:name="_Toc490133036"/>
      <w:r/>
      <w:bookmarkStart w:id="105" w:name="_Toc504573091"/>
      <w:r/>
      <w:bookmarkStart w:id="106" w:name="_Toc504044388"/>
      <w:r/>
      <w:bookmarkStart w:id="107" w:name="_Toc534273808"/>
      <w:r>
        <w:rPr>
          <w:rFonts w:hint="eastAsia" w:ascii="宋体" w:hAnsi="宋体" w:cs="宋体"/>
          <w:b/>
        </w:rPr>
        <w:t xml:space="preserve">附件八、企业声明函格式</w:t>
      </w:r>
      <w:bookmarkEnd w:id="102"/>
      <w:r/>
      <w:bookmarkEnd w:id="103"/>
      <w:r/>
      <w:bookmarkEnd w:id="104"/>
      <w:r/>
      <w:bookmarkEnd w:id="105"/>
      <w:r/>
      <w:bookmarkEnd w:id="106"/>
      <w:r/>
      <w:bookmarkEnd w:id="107"/>
      <w:r>
        <w:rPr>
          <w:rFonts w:hint="eastAsia" w:ascii="宋体" w:hAnsi="宋体" w:cs="宋体"/>
          <w:b/>
        </w:rPr>
      </w:r>
      <w:r/>
    </w:p>
    <w:p>
      <w:pPr>
        <w:pStyle w:val="1020"/>
        <w:rPr>
          <w:rFonts w:hint="eastAsia" w:ascii="宋体" w:hAnsi="宋体" w:cs="宋体"/>
        </w:rPr>
      </w:pPr>
      <w:r>
        <w:rPr>
          <w:rFonts w:hint="eastAsia" w:ascii="宋体" w:hAnsi="宋体" w:cs="宋体"/>
        </w:rPr>
      </w:r>
      <w:r/>
    </w:p>
    <w:p>
      <w:pPr>
        <w:pStyle w:val="1020"/>
        <w:jc w:val="center"/>
        <w:spacing w:before="312" w:after="312" w:line="480" w:lineRule="auto"/>
        <w:rPr>
          <w:rFonts w:hint="eastAsia" w:ascii="宋体" w:hAnsi="宋体" w:cs="宋体"/>
          <w:b/>
          <w:bCs/>
          <w:sz w:val="28"/>
          <w:szCs w:val="28"/>
        </w:rPr>
      </w:pPr>
      <w:r/>
      <w:bookmarkStart w:id="108" w:name="OLE_LINK14"/>
      <w:r/>
      <w:bookmarkStart w:id="109" w:name="OLE_LINK13"/>
      <w:r>
        <w:rPr>
          <w:rFonts w:hint="eastAsia" w:ascii="宋体" w:hAnsi="宋体" w:cs="宋体"/>
          <w:b/>
          <w:bCs/>
          <w:sz w:val="28"/>
          <w:szCs w:val="28"/>
        </w:rPr>
        <w:t xml:space="preserve">中小企业声明函（工程、服务）</w:t>
      </w:r>
      <w:r>
        <w:rPr>
          <w:rFonts w:hint="eastAsia" w:ascii="宋体" w:hAnsi="宋体" w:cs="宋体"/>
          <w:b/>
          <w:bCs/>
          <w:sz w:val="28"/>
          <w:szCs w:val="28"/>
        </w:rPr>
      </w:r>
      <w:r/>
    </w:p>
    <w:p>
      <w:pPr>
        <w:pStyle w:val="1020"/>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 46号）的规定，本公司 （联合体）参加</w:t>
      </w:r>
      <w:r>
        <w:rPr>
          <w:rFonts w:hint="eastAsia" w:ascii="宋体" w:hAnsi="宋体" w:cs="宋体"/>
          <w:u w:val="single"/>
        </w:rPr>
        <w:t xml:space="preserve">  （单位名称）</w:t>
      </w:r>
      <w:r>
        <w:rPr>
          <w:rFonts w:hint="eastAsia" w:ascii="宋体" w:hAnsi="宋体" w:cs="宋体"/>
        </w:rPr>
        <w:t xml:space="preserve">的</w:t>
      </w:r>
      <w:r>
        <w:rPr>
          <w:rFonts w:hint="eastAsia" w:ascii="宋体" w:hAnsi="宋体" w:cs="宋体"/>
          <w:u w:val="single"/>
        </w:rPr>
        <w:t xml:space="preserve">  （项目名称）</w:t>
      </w:r>
      <w:r>
        <w:rPr>
          <w:rFonts w:hint="eastAsia" w:ascii="宋体" w:hAnsi="宋体" w:cs="宋体"/>
        </w:rPr>
        <w:t xml:space="preserve">采购活动，</w:t>
      </w:r>
      <w:r>
        <w:rPr>
          <w:rFonts w:hint="eastAsia" w:ascii="宋体" w:hAnsi="宋体" w:cs="宋体"/>
          <w:u w:val="single"/>
        </w:rPr>
        <w:t xml:space="preserve">工程的施工单位全部为符合政策要求的中小企业（或者：服务全部由符合政策要求的中小企业承接）。</w:t>
      </w:r>
      <w:r>
        <w:rPr>
          <w:rFonts w:hint="eastAsia" w:ascii="宋体" w:hAnsi="宋体" w:cs="宋体"/>
        </w:rPr>
        <w:t xml:space="preserve">相关企业（含联合 体中的中小企业、签订分包意向协议的中小企业）的具体情况如下：</w:t>
      </w:r>
      <w:r>
        <w:rPr>
          <w:rFonts w:hint="eastAsia" w:ascii="宋体" w:hAnsi="宋体" w:cs="宋体"/>
          <w:szCs w:val="21"/>
        </w:rPr>
      </w:r>
      <w:r/>
    </w:p>
    <w:p>
      <w:pPr>
        <w:pStyle w:val="1020"/>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r>
      <w:r/>
    </w:p>
    <w:p>
      <w:pPr>
        <w:pStyle w:val="1020"/>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属于（采购文件中明确的所属行业）,承建（承接）企业为</w:t>
      </w:r>
      <w:r>
        <w:rPr>
          <w:rFonts w:hint="eastAsia" w:ascii="宋体" w:hAnsi="宋体" w:cs="宋体"/>
          <w:u w:val="single"/>
        </w:rPr>
        <w:t xml:space="preserve">  （企业名称）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w:t>
      </w:r>
      <w:r>
        <w:rPr>
          <w:rFonts w:hint="eastAsia" w:ascii="宋体" w:hAnsi="宋体" w:cs="宋体"/>
          <w:i/>
          <w:iCs/>
          <w:u w:val="single"/>
        </w:rPr>
        <w:t xml:space="preserve">填写：中型企业、小型企业、微型企业）</w:t>
      </w:r>
      <w:r>
        <w:rPr>
          <w:rFonts w:hint="eastAsia" w:ascii="宋体" w:hAnsi="宋体" w:cs="宋体"/>
        </w:rPr>
        <w:t xml:space="preserve">；</w:t>
      </w:r>
      <w:r>
        <w:rPr>
          <w:rFonts w:hint="eastAsia" w:ascii="宋体" w:hAnsi="宋体" w:cs="宋体"/>
        </w:rPr>
        <w:tab/>
      </w:r>
      <w:r>
        <w:rPr>
          <w:rFonts w:hint="eastAsia" w:ascii="宋体" w:hAnsi="宋体" w:cs="宋体"/>
        </w:rPr>
      </w:r>
      <w:r/>
    </w:p>
    <w:p>
      <w:pPr>
        <w:pStyle w:val="1020"/>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r>
      <w:r/>
    </w:p>
    <w:p>
      <w:pPr>
        <w:pStyle w:val="1020"/>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rPr>
          <w:rFonts w:hint="eastAsia" w:ascii="宋体" w:hAnsi="宋体" w:cs="宋体"/>
        </w:rPr>
      </w:r>
      <w:r/>
    </w:p>
    <w:p>
      <w:pPr>
        <w:pStyle w:val="1020"/>
        <w:jc w:val="left"/>
        <w:spacing w:line="440" w:lineRule="exact"/>
        <w:widowControl/>
        <w:rPr>
          <w:rFonts w:hint="eastAsia" w:ascii="宋体" w:hAnsi="宋体" w:cs="宋体"/>
        </w:rPr>
      </w:pPr>
      <w:r>
        <w:rPr>
          <w:rFonts w:hint="eastAsia" w:ascii="宋体" w:hAnsi="宋体" w:cs="宋体"/>
        </w:rPr>
      </w:r>
      <w:r/>
    </w:p>
    <w:p>
      <w:pPr>
        <w:pStyle w:val="1020"/>
        <w:ind w:firstLine="420"/>
        <w:jc w:val="left"/>
        <w:spacing w:line="440" w:lineRule="exact"/>
        <w:widowControl/>
        <w:rPr>
          <w:rFonts w:hint="eastAsia" w:ascii="宋体" w:hAnsi="宋体" w:cs="宋体"/>
        </w:rPr>
      </w:pPr>
      <w:r>
        <w:rPr>
          <w:rFonts w:hint="eastAsia" w:ascii="宋体" w:hAnsi="宋体" w:cs="宋体"/>
        </w:rPr>
      </w:r>
      <w:r/>
    </w:p>
    <w:p>
      <w:pPr>
        <w:pStyle w:val="1020"/>
        <w:ind w:firstLine="420"/>
        <w:jc w:val="right"/>
        <w:spacing w:line="440" w:lineRule="exact"/>
        <w:widowControl/>
        <w:rPr>
          <w:rFonts w:hint="eastAsia" w:ascii="宋体" w:hAnsi="宋体" w:cs="宋体"/>
        </w:rPr>
      </w:pPr>
      <w:r>
        <w:rPr>
          <w:rFonts w:hint="eastAsia" w:ascii="宋体" w:hAnsi="宋体" w:cs="宋体"/>
        </w:rPr>
        <w:t xml:space="preserve">企业名称（加盖电子公章）：</w:t>
      </w:r>
      <w:r>
        <w:rPr>
          <w:rFonts w:hint="eastAsia" w:ascii="宋体" w:hAnsi="宋体" w:cs="宋体"/>
        </w:rPr>
      </w:r>
      <w:r/>
    </w:p>
    <w:p>
      <w:pPr>
        <w:pStyle w:val="1020"/>
        <w:jc w:val="left"/>
        <w:spacing w:line="360" w:lineRule="auto"/>
        <w:rPr>
          <w:rFonts w:hint="eastAsia" w:ascii="宋体" w:hAnsi="宋体" w:cs="宋体"/>
        </w:rPr>
      </w:pP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日期：</w:t>
      </w:r>
      <w:r>
        <w:rPr>
          <w:rFonts w:hint="eastAsia" w:ascii="宋体" w:hAnsi="宋体" w:cs="宋体"/>
        </w:rPr>
      </w:r>
      <w:r/>
    </w:p>
    <w:p>
      <w:pPr>
        <w:pStyle w:val="1020"/>
        <w:jc w:val="left"/>
        <w:spacing w:line="360" w:lineRule="auto"/>
        <w:rPr>
          <w:rFonts w:hint="eastAsia" w:ascii="宋体" w:hAnsi="宋体" w:cs="宋体"/>
        </w:rPr>
      </w:pPr>
      <w:r>
        <w:rPr>
          <w:rFonts w:hint="eastAsia" w:ascii="宋体" w:hAnsi="宋体" w:cs="宋体"/>
        </w:rPr>
      </w:r>
      <w:r/>
    </w:p>
    <w:p>
      <w:pPr>
        <w:pStyle w:val="1020"/>
        <w:jc w:val="left"/>
        <w:spacing w:line="360" w:lineRule="auto"/>
        <w:rPr>
          <w:rFonts w:hint="eastAsia" w:ascii="宋体" w:hAnsi="宋体" w:cs="宋体"/>
        </w:rPr>
      </w:pPr>
      <w:r>
        <w:rPr>
          <w:rFonts w:hint="eastAsia" w:ascii="宋体" w:hAnsi="宋体" w:cs="宋体"/>
        </w:rPr>
      </w:r>
      <w:r/>
    </w:p>
    <w:p>
      <w:pPr>
        <w:pStyle w:val="1020"/>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1020"/>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.供应商</w:t>
      </w:r>
      <w:r>
        <w:rPr>
          <w:rFonts w:ascii="宋体" w:hAnsi="宋体" w:eastAsia="宋体" w:cs="宋体"/>
          <w:color w:val="000000"/>
        </w:rPr>
        <w:t xml:space="preserve">如不提供此声明函，价格将不做相应扣除。</w:t>
      </w:r>
      <w:r>
        <w:rPr>
          <w:rFonts w:hint="eastAsia" w:ascii="宋体" w:hAnsi="宋体" w:eastAsia="宋体" w:cs="宋体"/>
          <w:color w:val="000000"/>
          <w:lang w:val="en-US" w:eastAsia="zh-CN"/>
        </w:rPr>
        <w:t xml:space="preserve">成交供应商</w:t>
      </w:r>
      <w:r>
        <w:rPr>
          <w:rFonts w:ascii="宋体" w:hAnsi="宋体" w:eastAsia="宋体" w:cs="宋体"/>
          <w:color w:val="000000"/>
        </w:rPr>
        <w:t xml:space="preserve">如享受本项目中小企业扶持政策的，其声明函将随</w:t>
      </w:r>
      <w:r>
        <w:rPr>
          <w:rFonts w:hint="eastAsia" w:ascii="宋体" w:hAnsi="宋体" w:eastAsia="宋体" w:cs="宋体"/>
          <w:color w:val="000000"/>
          <w:lang w:val="en-US" w:eastAsia="zh-CN"/>
        </w:rPr>
        <w:t xml:space="preserve">成交</w:t>
      </w:r>
      <w:r>
        <w:rPr>
          <w:rFonts w:ascii="宋体" w:hAnsi="宋体" w:eastAsia="宋体" w:cs="宋体"/>
          <w:color w:val="000000"/>
        </w:rPr>
        <w:t xml:space="preserve">结果同时公告，接受社会监督。 </w:t>
      </w:r>
      <w:r>
        <w:rPr>
          <w:color w:val="000000"/>
        </w:rPr>
      </w:r>
      <w:r/>
    </w:p>
    <w:p>
      <w:pPr>
        <w:pStyle w:val="1020"/>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1020"/>
        <w:ind w:right="633"/>
        <w:spacing w:line="85" w:lineRule="atLeast"/>
        <w:shd w:val="clear" w:color="ffffff" w:fill="ffffff"/>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hint="eastAsia" w:ascii="宋体" w:hAnsi="宋体" w:eastAsia="宋体" w:cs="宋体"/>
          <w:b/>
          <w:bCs/>
          <w:color w:val="000000"/>
          <w:lang w:val="en-US" w:eastAsia="zh-CN"/>
        </w:rPr>
        <w:t xml:space="preserve">建筑业</w:t>
      </w:r>
      <w:r>
        <w:rPr>
          <w:rFonts w:ascii="宋体" w:hAnsi="宋体" w:eastAsia="宋体" w:cs="宋体"/>
          <w:b/>
          <w:bCs/>
          <w:color w:val="000000"/>
        </w:rPr>
        <w:t xml:space="preserve">。</w:t>
      </w:r>
      <w:r>
        <w:rPr>
          <w:rFonts w:hint="eastAsia" w:ascii="宋体" w:hAnsi="宋体" w:eastAsia="宋体" w:cs="宋体"/>
          <w:b w:val="0"/>
          <w:bCs w:val="0"/>
          <w:color w:val="00000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b/>
          <w:bCs/>
          <w:color w:val="000000"/>
        </w:rPr>
      </w:r>
      <w:r/>
    </w:p>
    <w:p>
      <w:pPr>
        <w:pStyle w:val="1020"/>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1020"/>
        <w:jc w:val="left"/>
        <w:spacing w:line="360" w:lineRule="auto"/>
        <w:rPr>
          <w:rFonts w:hint="eastAsia" w:ascii="宋体" w:hAnsi="宋体" w:cs="宋体"/>
        </w:rPr>
        <w:sectPr>
          <w:headerReference w:type="default" r:id="rId9"/>
          <w:headerReference w:type="first" r:id="rId10"/>
          <w:footerReference w:type="default" r:id="rId17"/>
          <w:footerReference w:type="first" r:id="rId18"/>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宋体" w:hAnsi="宋体" w:cs="宋体"/>
        </w:rPr>
        <w:br w:type="page" w:clear="all"/>
      </w:r>
      <w:r/>
    </w:p>
    <w:p>
      <w:pPr>
        <w:pStyle w:val="1020"/>
        <w:jc w:val="center"/>
        <w:spacing w:line="360" w:lineRule="auto"/>
        <w:rPr>
          <w:rFonts w:hint="eastAsia" w:ascii="宋体" w:hAnsi="宋体" w:cs="宋体"/>
          <w:b/>
          <w:sz w:val="36"/>
          <w:szCs w:val="36"/>
        </w:rPr>
      </w:pPr>
      <w:r>
        <w:rPr>
          <w:rFonts w:hint="eastAsia" w:ascii="宋体" w:hAnsi="宋体" w:cs="宋体"/>
          <w:b/>
          <w:sz w:val="36"/>
          <w:szCs w:val="36"/>
        </w:rPr>
        <w:t xml:space="preserve">残疾人福利性单位声明函</w:t>
      </w:r>
      <w:bookmarkEnd w:id="108"/>
      <w:r/>
      <w:bookmarkEnd w:id="109"/>
      <w:r>
        <w:rPr>
          <w:rFonts w:hint="eastAsia" w:ascii="宋体" w:hAnsi="宋体" w:cs="宋体"/>
          <w:b/>
          <w:sz w:val="36"/>
          <w:szCs w:val="36"/>
        </w:rPr>
      </w:r>
      <w:r/>
    </w:p>
    <w:p>
      <w:pPr>
        <w:pStyle w:val="1020"/>
        <w:ind w:firstLine="420"/>
        <w:jc w:val="left"/>
        <w:spacing w:line="40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zCs w:val="21"/>
        </w:rPr>
      </w:r>
      <w:r/>
    </w:p>
    <w:p>
      <w:pPr>
        <w:pStyle w:val="1020"/>
        <w:ind w:firstLine="420"/>
        <w:jc w:val="left"/>
        <w:spacing w:line="40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szCs w:val="21"/>
        </w:rPr>
      </w:r>
      <w:r/>
    </w:p>
    <w:p>
      <w:pPr>
        <w:pStyle w:val="1020"/>
        <w:ind w:firstLine="5040"/>
        <w:jc w:val="left"/>
        <w:spacing w:line="440" w:lineRule="exact"/>
        <w:widowControl/>
        <w:rPr>
          <w:rFonts w:hint="eastAsia" w:ascii="宋体" w:hAnsi="宋体" w:cs="宋体"/>
          <w:szCs w:val="21"/>
        </w:rPr>
      </w:pPr>
      <w:r>
        <w:rPr>
          <w:rFonts w:hint="eastAsia" w:ascii="宋体" w:hAnsi="宋体" w:cs="宋体"/>
          <w:szCs w:val="21"/>
        </w:rPr>
      </w:r>
      <w:r/>
    </w:p>
    <w:p>
      <w:pPr>
        <w:pStyle w:val="1020"/>
        <w:ind w:firstLine="5040"/>
        <w:jc w:val="left"/>
        <w:spacing w:line="440" w:lineRule="exact"/>
        <w:widowControl/>
        <w:rPr>
          <w:rFonts w:hint="eastAsia" w:ascii="宋体" w:hAnsi="宋体" w:cs="宋体"/>
          <w:szCs w:val="21"/>
        </w:rPr>
      </w:pPr>
      <w:r>
        <w:rPr>
          <w:rFonts w:hint="eastAsia" w:ascii="宋体" w:hAnsi="宋体" w:cs="宋体"/>
          <w:szCs w:val="21"/>
        </w:rPr>
      </w:r>
      <w:r/>
    </w:p>
    <w:p>
      <w:pPr>
        <w:pStyle w:val="1020"/>
        <w:ind w:firstLine="5040"/>
        <w:jc w:val="left"/>
        <w:spacing w:line="440" w:lineRule="exact"/>
        <w:widowControl/>
        <w:rPr>
          <w:rFonts w:hint="eastAsia" w:ascii="宋体" w:hAnsi="宋体" w:cs="宋体"/>
          <w:szCs w:val="21"/>
        </w:rPr>
      </w:pPr>
      <w:r>
        <w:rPr>
          <w:rFonts w:hint="eastAsia" w:ascii="宋体" w:hAnsi="宋体" w:cs="宋体"/>
          <w:szCs w:val="21"/>
        </w:rPr>
      </w:r>
      <w:r/>
    </w:p>
    <w:p>
      <w:pPr>
        <w:pStyle w:val="1020"/>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供应商（加盖电子公章）：</w:t>
      </w:r>
      <w:r>
        <w:rPr>
          <w:rFonts w:hint="eastAsia" w:ascii="宋体" w:hAnsi="宋体" w:cs="宋体"/>
          <w:szCs w:val="21"/>
          <w:u w:val="single"/>
        </w:rPr>
        <w:t xml:space="preserve">            </w:t>
      </w:r>
      <w:r>
        <w:rPr>
          <w:rFonts w:hint="eastAsia" w:ascii="宋体" w:hAnsi="宋体" w:cs="宋体"/>
          <w:szCs w:val="21"/>
        </w:rPr>
      </w:r>
      <w:r/>
    </w:p>
    <w:p>
      <w:pPr>
        <w:pStyle w:val="1020"/>
        <w:ind w:firstLine="3990"/>
        <w:jc w:val="left"/>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日    期：   年    月    日</w:t>
      </w:r>
      <w:r>
        <w:rPr>
          <w:rFonts w:hint="eastAsia" w:ascii="宋体" w:hAnsi="宋体" w:cs="宋体"/>
          <w:b/>
          <w:bCs/>
          <w:szCs w:val="21"/>
        </w:rPr>
      </w:r>
      <w:r/>
    </w:p>
    <w:p>
      <w:pPr>
        <w:pStyle w:val="1020"/>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1020"/>
        <w:jc w:val="center"/>
        <w:spacing w:before="240"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属于监狱企业的证明文件</w:t>
      </w:r>
      <w:r>
        <w:rPr>
          <w:rFonts w:hint="eastAsia" w:ascii="宋体" w:hAnsi="宋体" w:cs="宋体"/>
          <w:b/>
          <w:sz w:val="36"/>
          <w:szCs w:val="36"/>
        </w:rPr>
      </w:r>
      <w:r/>
    </w:p>
    <w:p>
      <w:pPr>
        <w:pStyle w:val="1020"/>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rPr>
          <w:rFonts w:hint="eastAsia" w:ascii="宋体" w:hAnsi="宋体" w:cs="宋体"/>
          <w:szCs w:val="21"/>
        </w:rPr>
      </w:r>
      <w:r/>
    </w:p>
    <w:p>
      <w:pPr>
        <w:pStyle w:val="1020"/>
        <w:spacing w:line="360" w:lineRule="auto"/>
        <w:rPr>
          <w:rFonts w:hint="eastAsia" w:ascii="宋体" w:hAnsi="宋体" w:cs="宋体"/>
          <w:b/>
          <w:bCs/>
          <w:szCs w:val="21"/>
        </w:rPr>
      </w:pPr>
      <w:r>
        <w:rPr>
          <w:rFonts w:hint="eastAsia" w:ascii="宋体" w:hAnsi="宋体" w:cs="宋体"/>
          <w:b/>
          <w:bCs/>
          <w:szCs w:val="21"/>
        </w:rPr>
      </w:r>
      <w:r/>
    </w:p>
    <w:p>
      <w:pPr>
        <w:pStyle w:val="1020"/>
        <w:spacing w:line="360" w:lineRule="auto"/>
        <w:rPr>
          <w:rFonts w:hint="eastAsia" w:ascii="宋体" w:hAnsi="宋体" w:cs="宋体"/>
          <w:b/>
          <w:bCs/>
          <w:szCs w:val="21"/>
        </w:rPr>
      </w:pPr>
      <w:r>
        <w:rPr>
          <w:rFonts w:hint="eastAsia" w:ascii="宋体" w:hAnsi="宋体" w:cs="宋体"/>
          <w:b/>
          <w:bCs/>
          <w:szCs w:val="21"/>
        </w:rPr>
      </w:r>
      <w:r/>
    </w:p>
    <w:p>
      <w:pPr>
        <w:pStyle w:val="1020"/>
        <w:spacing w:before="240" w:after="240"/>
        <w:rPr>
          <w:rFonts w:hint="eastAsia" w:ascii="宋体" w:hAnsi="宋体" w:cs="宋体"/>
          <w:b/>
        </w:rPr>
      </w:pPr>
      <w:r>
        <w:rPr>
          <w:rFonts w:hint="eastAsia" w:ascii="宋体" w:hAnsi="宋体" w:cs="宋体"/>
          <w:szCs w:val="21"/>
          <w:lang w:val="zh-CN"/>
        </w:rPr>
        <w:br w:type="page" w:clear="all"/>
      </w:r>
      <w:bookmarkStart w:id="110" w:name="_Toc8704"/>
      <w:r/>
      <w:bookmarkStart w:id="111" w:name="_Toc490133037"/>
      <w:r/>
      <w:bookmarkStart w:id="112" w:name="_Toc504573092"/>
      <w:r/>
      <w:bookmarkStart w:id="113" w:name="_Toc534273809"/>
      <w:r/>
      <w:bookmarkStart w:id="114" w:name="_Toc534273686"/>
      <w:r/>
      <w:bookmarkStart w:id="115" w:name="_Toc504044389"/>
      <w:r/>
      <w:bookmarkStart w:id="116" w:name="_Toc504056877"/>
      <w:r>
        <w:rPr>
          <w:rFonts w:hint="eastAsia" w:ascii="宋体" w:hAnsi="宋体" w:cs="宋体"/>
          <w:b/>
        </w:rPr>
        <w:t xml:space="preserve">附件九、无重大违法记录声明格式</w:t>
      </w:r>
      <w:r>
        <w:rPr>
          <w:rFonts w:hint="eastAsia" w:ascii="宋体" w:hAnsi="宋体" w:cs="宋体"/>
          <w:b/>
        </w:rPr>
      </w:r>
      <w:r/>
    </w:p>
    <w:p>
      <w:pPr>
        <w:pStyle w:val="1020"/>
        <w:jc w:val="center"/>
        <w:spacing w:line="240" w:lineRule="atLeast"/>
        <w:rPr>
          <w:rFonts w:hint="eastAsia" w:ascii="宋体" w:hAnsi="宋体" w:cs="宋体"/>
          <w:sz w:val="28"/>
          <w:szCs w:val="36"/>
        </w:rPr>
      </w:pPr>
      <w:r>
        <w:rPr>
          <w:rFonts w:hint="eastAsia" w:ascii="宋体" w:hAnsi="宋体" w:cs="宋体"/>
          <w:sz w:val="28"/>
          <w:szCs w:val="36"/>
        </w:rPr>
      </w:r>
      <w:r/>
    </w:p>
    <w:p>
      <w:pPr>
        <w:pStyle w:val="1020"/>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rPr>
          <w:rFonts w:hint="eastAsia" w:ascii="宋体" w:hAnsi="宋体" w:cs="宋体"/>
          <w:sz w:val="28"/>
          <w:szCs w:val="36"/>
        </w:rPr>
      </w:r>
      <w:r/>
    </w:p>
    <w:p>
      <w:pPr>
        <w:pStyle w:val="1020"/>
        <w:spacing w:line="360" w:lineRule="auto"/>
        <w:rPr>
          <w:rFonts w:hint="eastAsia" w:ascii="宋体" w:hAnsi="宋体" w:cs="宋体"/>
          <w:szCs w:val="21"/>
        </w:rPr>
      </w:pPr>
      <w:r>
        <w:rPr>
          <w:rFonts w:hint="eastAsia" w:ascii="宋体" w:hAnsi="宋体" w:cs="宋体"/>
          <w:szCs w:val="21"/>
        </w:rPr>
      </w:r>
      <w:r/>
    </w:p>
    <w:p>
      <w:pPr>
        <w:pStyle w:val="1020"/>
        <w:spacing w:line="360" w:lineRule="auto"/>
        <w:rPr>
          <w:rFonts w:hint="eastAsia" w:ascii="宋体" w:hAnsi="宋体" w:cs="宋体"/>
          <w:szCs w:val="21"/>
        </w:rPr>
      </w:pPr>
      <w:r>
        <w:rPr>
          <w:rFonts w:hint="eastAsia" w:ascii="宋体" w:hAnsi="宋体" w:cs="宋体"/>
          <w:szCs w:val="21"/>
        </w:rPr>
        <w:t xml:space="preserve">南京江城工程项目管理有限公司：</w:t>
      </w:r>
      <w:r>
        <w:rPr>
          <w:rFonts w:hint="eastAsia" w:ascii="宋体" w:hAnsi="宋体" w:cs="宋体"/>
          <w:szCs w:val="21"/>
        </w:rPr>
      </w:r>
      <w:r/>
    </w:p>
    <w:p>
      <w:pPr>
        <w:pStyle w:val="1020"/>
        <w:spacing w:line="360" w:lineRule="auto"/>
        <w:rPr>
          <w:rFonts w:hint="eastAsia" w:ascii="宋体" w:hAnsi="宋体" w:cs="宋体"/>
        </w:rPr>
      </w:pPr>
      <w:r>
        <w:rPr>
          <w:rFonts w:hint="eastAsia" w:ascii="宋体" w:hAnsi="宋体" w:cs="宋体"/>
        </w:rPr>
      </w:r>
      <w:r/>
    </w:p>
    <w:p>
      <w:pPr>
        <w:pStyle w:val="1020"/>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rPr>
          <w:rFonts w:hint="eastAsia" w:ascii="宋体" w:hAnsi="宋体" w:cs="宋体"/>
          <w:szCs w:val="21"/>
        </w:rPr>
      </w:r>
      <w:r/>
    </w:p>
    <w:p>
      <w:pPr>
        <w:pStyle w:val="1020"/>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rPr>
        <w:t xml:space="preserve">（</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rPr>
          <w:rFonts w:hint="eastAsia" w:ascii="宋体" w:hAnsi="宋体" w:cs="宋体"/>
          <w:b/>
          <w:szCs w:val="21"/>
        </w:rPr>
      </w:r>
      <w:r/>
    </w:p>
    <w:p>
      <w:pPr>
        <w:pStyle w:val="1020"/>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1020"/>
        <w:ind w:firstLine="315"/>
        <w:spacing w:line="360" w:lineRule="auto"/>
        <w:rPr>
          <w:rFonts w:hint="eastAsia" w:ascii="宋体" w:hAnsi="宋体" w:cs="宋体"/>
        </w:rPr>
      </w:pPr>
      <w:r>
        <w:rPr>
          <w:rFonts w:hint="eastAsia" w:ascii="宋体" w:hAnsi="宋体" w:cs="宋体"/>
        </w:rPr>
      </w:r>
      <w:r/>
    </w:p>
    <w:p>
      <w:pPr>
        <w:pStyle w:val="1020"/>
        <w:spacing w:line="360" w:lineRule="auto"/>
        <w:rPr>
          <w:rFonts w:hint="eastAsia" w:ascii="宋体" w:hAnsi="宋体" w:cs="宋体"/>
        </w:rPr>
      </w:pPr>
      <w:r>
        <w:rPr>
          <w:rFonts w:hint="eastAsia" w:ascii="宋体" w:hAnsi="宋体" w:cs="宋体"/>
        </w:rPr>
      </w:r>
      <w:r/>
    </w:p>
    <w:p>
      <w:pPr>
        <w:pStyle w:val="1020"/>
        <w:spacing w:line="360" w:lineRule="auto"/>
        <w:rPr>
          <w:rFonts w:hint="eastAsia" w:ascii="宋体" w:hAnsi="宋体" w:cs="宋体"/>
        </w:rPr>
      </w:pPr>
      <w:r>
        <w:rPr>
          <w:rFonts w:hint="eastAsia" w:ascii="宋体" w:hAnsi="宋体" w:cs="宋体"/>
        </w:rPr>
      </w:r>
      <w:r/>
    </w:p>
    <w:p>
      <w:pPr>
        <w:pStyle w:val="1020"/>
        <w:ind w:firstLine="5103"/>
        <w:spacing w:line="360" w:lineRule="auto"/>
        <w:rPr>
          <w:rFonts w:hint="eastAsia" w:ascii="宋体" w:hAnsi="宋体" w:cs="宋体"/>
        </w:rPr>
      </w:pPr>
      <w:r>
        <w:rPr>
          <w:rFonts w:hint="eastAsia" w:ascii="宋体" w:hAnsi="宋体" w:cs="宋体"/>
        </w:rPr>
        <w:t xml:space="preserve">声明人：（加盖电子公章）</w:t>
      </w:r>
      <w:r>
        <w:rPr>
          <w:rFonts w:hint="eastAsia" w:ascii="宋体" w:hAnsi="宋体" w:cs="宋体"/>
        </w:rPr>
      </w:r>
      <w:r/>
    </w:p>
    <w:p>
      <w:pPr>
        <w:pStyle w:val="1020"/>
        <w:ind w:firstLine="5040"/>
        <w:spacing w:line="360" w:lineRule="auto"/>
        <w:rPr>
          <w:rFonts w:hint="eastAsia" w:ascii="宋体" w:hAnsi="宋体" w:cs="宋体"/>
          <w:b/>
        </w:rPr>
      </w:pPr>
      <w:r>
        <w:rPr>
          <w:rFonts w:hint="eastAsia" w:ascii="宋体" w:hAnsi="宋体" w:cs="宋体"/>
        </w:rPr>
        <w:t xml:space="preserve">日期：    年   月</w:t>
      </w:r>
      <w:r>
        <w:rPr>
          <w:rFonts w:hint="eastAsia" w:ascii="宋体" w:hAnsi="宋体" w:cs="宋体"/>
        </w:rPr>
        <w:br w:type="page" w:clear="all"/>
      </w:r>
      <w:bookmarkEnd w:id="110"/>
      <w:r/>
      <w:bookmarkEnd w:id="111"/>
      <w:r/>
      <w:bookmarkEnd w:id="112"/>
      <w:r/>
      <w:bookmarkEnd w:id="113"/>
      <w:r/>
      <w:bookmarkEnd w:id="114"/>
      <w:r/>
      <w:bookmarkEnd w:id="115"/>
      <w:r/>
      <w:bookmarkEnd w:id="116"/>
      <w:r>
        <w:rPr>
          <w:rFonts w:hint="eastAsia" w:ascii="宋体" w:hAnsi="宋体" w:cs="宋体"/>
          <w:b/>
        </w:rPr>
      </w:r>
      <w:r/>
    </w:p>
    <w:p>
      <w:pPr>
        <w:pStyle w:val="1020"/>
        <w:spacing w:line="360" w:lineRule="auto"/>
        <w:rPr>
          <w:rFonts w:hint="eastAsia" w:ascii="宋体" w:hAnsi="宋体" w:cs="宋体"/>
          <w:b/>
        </w:rPr>
      </w:pPr>
      <w:r>
        <w:rPr>
          <w:rFonts w:hint="eastAsia" w:ascii="宋体" w:hAnsi="宋体" w:cs="宋体"/>
          <w:b/>
        </w:rPr>
        <w:t xml:space="preserve">附件十、 资格证明文件</w:t>
      </w:r>
      <w:r>
        <w:rPr>
          <w:rFonts w:hint="eastAsia" w:ascii="宋体" w:hAnsi="宋体" w:cs="宋体"/>
          <w:b/>
        </w:rPr>
      </w:r>
      <w:r/>
    </w:p>
    <w:p>
      <w:pPr>
        <w:pStyle w:val="1020"/>
        <w:spacing w:line="360" w:lineRule="auto"/>
        <w:rPr>
          <w:rFonts w:hint="eastAsia" w:ascii="宋体" w:hAnsi="宋体" w:cs="宋体"/>
          <w:b/>
        </w:rPr>
      </w:pPr>
      <w:r>
        <w:rPr>
          <w:rFonts w:hint="eastAsia" w:ascii="宋体" w:hAnsi="宋体" w:cs="宋体"/>
          <w:b/>
        </w:rPr>
      </w:r>
      <w:r/>
    </w:p>
    <w:p>
      <w:pPr>
        <w:pStyle w:val="1020"/>
        <w:spacing w:line="360" w:lineRule="auto"/>
        <w:rPr>
          <w:rFonts w:hint="eastAsia" w:ascii="宋体" w:hAnsi="宋体" w:cs="宋体"/>
          <w:b/>
        </w:rPr>
      </w:pPr>
      <w:r>
        <w:rPr>
          <w:rFonts w:hint="eastAsia" w:ascii="宋体" w:hAnsi="宋体" w:cs="宋体"/>
          <w:b/>
        </w:rPr>
      </w:r>
      <w:r/>
    </w:p>
    <w:p>
      <w:pPr>
        <w:pStyle w:val="1020"/>
        <w:spacing w:line="360" w:lineRule="auto"/>
        <w:rPr>
          <w:rFonts w:hint="eastAsia" w:ascii="宋体" w:hAnsi="宋体" w:cs="宋体"/>
          <w:b/>
        </w:rPr>
      </w:pPr>
      <w:r>
        <w:rPr>
          <w:rFonts w:hint="eastAsia" w:ascii="宋体" w:hAnsi="宋体" w:cs="宋体"/>
          <w:b/>
        </w:rPr>
      </w:r>
      <w:r/>
    </w:p>
    <w:p>
      <w:pPr>
        <w:pStyle w:val="1020"/>
        <w:spacing w:line="360" w:lineRule="auto"/>
        <w:rPr>
          <w:rFonts w:hint="eastAsia" w:ascii="宋体" w:hAnsi="宋体" w:cs="宋体"/>
          <w:b/>
        </w:rPr>
      </w:pPr>
      <w:r>
        <w:rPr>
          <w:rFonts w:hint="eastAsia" w:ascii="宋体" w:hAnsi="宋体" w:cs="宋体"/>
          <w:b/>
        </w:rPr>
      </w:r>
      <w:r/>
    </w:p>
    <w:p>
      <w:pPr>
        <w:pStyle w:val="10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附件十一、方案</w:t>
      </w:r>
      <w:r>
        <w:rPr>
          <w:rFonts w:hint="eastAsia" w:ascii="宋体" w:hAnsi="宋体" w:cs="宋体"/>
          <w:b/>
          <w:bCs/>
          <w:szCs w:val="21"/>
        </w:rPr>
      </w:r>
      <w:r/>
    </w:p>
    <w:p>
      <w:pPr>
        <w:pStyle w:val="1020"/>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pStyle w:val="1020"/>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pStyle w:val="1020"/>
        <w:jc w:val="left"/>
        <w:spacing w:line="360" w:lineRule="auto"/>
        <w:shd w:val="clear" w:color="auto" w:fill="ffffff"/>
        <w:widowControl/>
        <w:rPr>
          <w:rFonts w:hint="eastAsia" w:ascii="宋体" w:hAnsi="宋体" w:cs="宋体"/>
          <w:color w:val="0000ff"/>
          <w:szCs w:val="21"/>
        </w:rPr>
      </w:pPr>
      <w:r>
        <w:rPr>
          <w:rFonts w:hint="eastAsia" w:ascii="宋体" w:hAnsi="宋体" w:cs="宋体"/>
          <w:color w:val="0000ff"/>
          <w:szCs w:val="21"/>
        </w:rPr>
      </w:r>
      <w:r/>
    </w:p>
    <w:p>
      <w:pPr>
        <w:pStyle w:val="1020"/>
        <w:jc w:val="left"/>
        <w:spacing w:line="360" w:lineRule="auto"/>
        <w:shd w:val="clear" w:color="auto" w:fill="ffffff"/>
        <w:widowControl/>
        <w:rPr>
          <w:rFonts w:hint="eastAsia" w:ascii="宋体" w:hAnsi="宋体" w:cs="宋体"/>
          <w:b/>
          <w:bCs/>
          <w:color w:val="0000ff"/>
          <w:szCs w:val="21"/>
        </w:rPr>
      </w:pPr>
      <w:r>
        <w:rPr>
          <w:rFonts w:hint="eastAsia" w:ascii="宋体" w:hAnsi="宋体" w:cs="宋体"/>
          <w:b/>
          <w:bCs/>
          <w:color w:val="0000ff"/>
          <w:szCs w:val="21"/>
        </w:rPr>
      </w:r>
      <w:r/>
    </w:p>
    <w:p>
      <w:pPr>
        <w:pStyle w:val="1020"/>
        <w:spacing w:line="360" w:lineRule="auto"/>
        <w:rPr>
          <w:rFonts w:hint="eastAsia" w:ascii="宋体" w:hAnsi="宋体" w:cs="宋体"/>
          <w:b/>
        </w:rPr>
      </w:pPr>
      <w:r>
        <w:rPr>
          <w:rFonts w:hint="eastAsia" w:ascii="宋体" w:hAnsi="宋体" w:cs="宋体"/>
          <w:b/>
        </w:rPr>
      </w:r>
      <w:r/>
    </w:p>
    <w:p>
      <w:pPr>
        <w:pStyle w:val="1020"/>
        <w:spacing w:line="360" w:lineRule="auto"/>
        <w:rPr>
          <w:rFonts w:hint="eastAsia" w:ascii="宋体" w:hAnsi="宋体" w:cs="宋体"/>
          <w:b/>
        </w:rPr>
      </w:pPr>
      <w:r>
        <w:rPr>
          <w:rFonts w:hint="eastAsia" w:ascii="宋体" w:hAnsi="宋体" w:cs="宋体"/>
          <w:b/>
        </w:rPr>
        <w:t xml:space="preserve">附件十二、其他</w:t>
      </w:r>
      <w:r>
        <w:rPr>
          <w:rFonts w:hint="eastAsia" w:ascii="宋体" w:hAnsi="宋体" w:cs="宋体"/>
          <w:b/>
        </w:rPr>
      </w:r>
      <w:r/>
    </w:p>
    <w:p>
      <w:pPr>
        <w:pStyle w:val="1302"/>
        <w:ind w:firstLine="422"/>
        <w:rPr>
          <w:rFonts w:hint="eastAsia" w:ascii="宋体" w:hAnsi="宋体" w:cs="宋体"/>
          <w:b/>
        </w:rPr>
      </w:pPr>
      <w:r>
        <w:rPr>
          <w:rFonts w:hint="eastAsia" w:ascii="宋体" w:hAnsi="宋体" w:cs="宋体"/>
          <w:b/>
        </w:rPr>
      </w:r>
      <w:r/>
    </w:p>
    <w:sectPr>
      <w:footerReference w:type="default" r:id="rId19"/>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小标宋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6700" cy="120650"/>
                      </a:xfrm>
                      <a:prstGeom prst="rect">
                        <a:avLst/>
                      </a:prstGeom>
                      <a:noFill/>
                      <a:ln w="15875">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p>
                          <w:pPr>
                            <w:pStyle w:val="102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8.1pt;mso-position-horizontal:absolute;mso-position-vertical-relative:text;margin-top:0.0pt;mso-position-vertical:absolute;width:21.0pt;height:9.5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p>
                    <w:pPr>
                      <w:pStyle w:val="10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2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0"/>
                    </w:pPr>
                    <w:r/>
                    <w:r/>
                  </w:p>
                </w:txbxContent>
              </v:textbox>
            </v:shape>
          </w:pict>
        </mc:Fallback>
      </mc:AlternateContent>
    </w:r>
    <w:r/>
  </w:p>
  <w:p>
    <w:pPr>
      <w:pStyle w:val="1020"/>
      <w:spacing w:line="14" w:lineRule="auto"/>
      <w:rPr>
        <w:sz w:val="20"/>
      </w:rPr>
    </w:pPr>
    <w:r>
      <w:rPr>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0"/>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pPr>
                            <w:pStyle w:val="102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p>
                    <w:pPr>
                      <w:pStyle w:val="102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2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2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pPr>
                            <w:pStyle w:val="1020"/>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pPr>
                      <w:pStyle w:val="10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both"/>
      <w:tabs>
        <w:tab w:val="center" w:pos="4153" w:leader="none"/>
        <w:tab w:val="right" w:pos="8306" w:leader="none"/>
      </w:tabs>
      <w:pBdr>
        <w:bottom w:val="none" w:color="000000" w:sz="0" w:space="1"/>
      </w:pBdr>
    </w:pPr>
    <w:r>
      <w:t xml:space="preserve">                            </w:t>
    </w:r>
    <w:r>
      <w:rPr>
        <w:rFonts w:hint="eastAsia"/>
      </w:rPr>
      <w:t xml:space="preserve">                          </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29"/>
      <w:isLgl w:val="false"/>
      <w:suff w:val="tab"/>
      <w:lvlText w:val=""/>
      <w:lvlJc w:val="left"/>
      <w:pPr>
        <w:pStyle w:val="1020"/>
        <w:ind w:left="420" w:hanging="420"/>
        <w:tabs>
          <w:tab w:val="num" w:pos="420" w:leader="none"/>
        </w:tabs>
      </w:pPr>
      <w:rPr>
        <w:rFonts w:ascii="Wingdings" w:hAnsi="Wingdings"/>
      </w:rPr>
    </w:lvl>
    <w:lvl w:ilvl="1">
      <w:start w:val="1"/>
      <w:numFmt w:val="decimal"/>
      <w:isLgl w:val="false"/>
      <w:suff w:val="tab"/>
      <w:lvlText w:val="（%2）"/>
      <w:lvlJc w:val="left"/>
      <w:pPr>
        <w:pStyle w:val="1020"/>
        <w:ind w:left="1500" w:hanging="1080"/>
        <w:tabs>
          <w:tab w:val="num" w:pos="1500" w:leader="none"/>
        </w:tabs>
      </w:pPr>
      <w:rPr>
        <w:rFonts w:hint="eastAsia" w:cs="Times New Roman"/>
      </w:rPr>
    </w:lvl>
    <w:lvl w:ilvl="2">
      <w:start w:val="1"/>
      <w:numFmt w:val="decimal"/>
      <w:isLgl w:val="false"/>
      <w:suff w:val="tab"/>
      <w:lvlText w:val="（%3）"/>
      <w:lvlJc w:val="left"/>
      <w:pPr>
        <w:pStyle w:val="1020"/>
        <w:ind w:left="1560" w:hanging="720"/>
        <w:tabs>
          <w:tab w:val="num" w:pos="1560" w:leader="none"/>
        </w:tabs>
      </w:pPr>
      <w:rPr>
        <w:rFonts w:hint="eastAsia" w:cs="Times New Roman"/>
      </w:rPr>
    </w:lvl>
    <w:lvl w:ilvl="3">
      <w:start w:val="1"/>
      <w:numFmt w:val="decimal"/>
      <w:isLgl w:val="false"/>
      <w:suff w:val="tab"/>
      <w:lvlText w:val="%4."/>
      <w:lvlJc w:val="left"/>
      <w:pPr>
        <w:pStyle w:val="1020"/>
        <w:ind w:left="1680" w:hanging="420"/>
        <w:tabs>
          <w:tab w:val="num" w:pos="1680" w:leader="none"/>
        </w:tabs>
      </w:pPr>
      <w:rPr>
        <w:rFonts w:cs="Times New Roman"/>
      </w:rPr>
    </w:lvl>
    <w:lvl w:ilvl="4">
      <w:start w:val="1"/>
      <w:numFmt w:val="lowerLetter"/>
      <w:isLgl w:val="false"/>
      <w:suff w:val="tab"/>
      <w:lvlText w:val="%5)"/>
      <w:lvlJc w:val="left"/>
      <w:pPr>
        <w:pStyle w:val="1020"/>
        <w:ind w:left="2100" w:hanging="420"/>
        <w:tabs>
          <w:tab w:val="num" w:pos="2100" w:leader="none"/>
        </w:tabs>
      </w:pPr>
      <w:rPr>
        <w:rFonts w:cs="Times New Roman"/>
      </w:rPr>
    </w:lvl>
    <w:lvl w:ilvl="5">
      <w:start w:val="1"/>
      <w:numFmt w:val="lowerRoman"/>
      <w:isLgl w:val="false"/>
      <w:suff w:val="tab"/>
      <w:lvlText w:val="%6."/>
      <w:lvlJc w:val="right"/>
      <w:pPr>
        <w:pStyle w:val="1020"/>
        <w:ind w:left="2520" w:hanging="420"/>
        <w:tabs>
          <w:tab w:val="num" w:pos="2520" w:leader="none"/>
        </w:tabs>
      </w:pPr>
      <w:rPr>
        <w:rFonts w:cs="Times New Roman"/>
      </w:rPr>
    </w:lvl>
    <w:lvl w:ilvl="6">
      <w:start w:val="1"/>
      <w:numFmt w:val="decimal"/>
      <w:isLgl w:val="false"/>
      <w:suff w:val="tab"/>
      <w:lvlText w:val="%7."/>
      <w:lvlJc w:val="left"/>
      <w:pPr>
        <w:pStyle w:val="1020"/>
        <w:ind w:left="2940" w:hanging="420"/>
        <w:tabs>
          <w:tab w:val="num" w:pos="2940" w:leader="none"/>
        </w:tabs>
      </w:pPr>
      <w:rPr>
        <w:rFonts w:cs="Times New Roman"/>
      </w:rPr>
    </w:lvl>
    <w:lvl w:ilvl="7">
      <w:start w:val="1"/>
      <w:numFmt w:val="lowerLetter"/>
      <w:isLgl w:val="false"/>
      <w:suff w:val="tab"/>
      <w:lvlText w:val="%8)"/>
      <w:lvlJc w:val="left"/>
      <w:pPr>
        <w:pStyle w:val="1020"/>
        <w:ind w:left="3360" w:hanging="420"/>
        <w:tabs>
          <w:tab w:val="num" w:pos="3360" w:leader="none"/>
        </w:tabs>
      </w:pPr>
      <w:rPr>
        <w:rFonts w:cs="Times New Roman"/>
      </w:rPr>
    </w:lvl>
    <w:lvl w:ilvl="8">
      <w:start w:val="1"/>
      <w:numFmt w:val="lowerRoman"/>
      <w:isLgl w:val="false"/>
      <w:suff w:val="tab"/>
      <w:lvlText w:val="%9."/>
      <w:lvlJc w:val="right"/>
      <w:pPr>
        <w:pStyle w:val="1020"/>
        <w:ind w:left="3780" w:hanging="420"/>
        <w:tabs>
          <w:tab w:val="num" w:pos="3780" w:leader="none"/>
        </w:tabs>
      </w:pPr>
      <w:rPr>
        <w:rFonts w:cs="Times New Roman"/>
      </w:rPr>
    </w:lvl>
  </w:abstractNum>
  <w:abstractNum w:abstractNumId="2">
    <w:multiLevelType w:val="hybridMultilevel"/>
    <w:lvl w:ilvl="0">
      <w:start w:val="1"/>
      <w:numFmt w:val="decimal"/>
      <w:pStyle w:val="1312"/>
      <w:isLgl w:val="false"/>
      <w:suff w:val="tab"/>
      <w:lvlText w:val="(%1)"/>
      <w:lvlJc w:val="left"/>
      <w:pPr>
        <w:pStyle w:val="1020"/>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020"/>
        <w:ind w:left="840" w:hanging="420"/>
        <w:tabs>
          <w:tab w:val="num" w:pos="840" w:leader="none"/>
        </w:tabs>
      </w:pPr>
      <w:rPr>
        <w:rFonts w:cs="Times New Roman"/>
      </w:rPr>
    </w:lvl>
    <w:lvl w:ilvl="2">
      <w:start w:val="1"/>
      <w:numFmt w:val="lowerRoman"/>
      <w:isLgl w:val="false"/>
      <w:suff w:val="tab"/>
      <w:lvlText w:val="%3."/>
      <w:lvlJc w:val="right"/>
      <w:pPr>
        <w:pStyle w:val="1020"/>
        <w:ind w:left="1260" w:hanging="420"/>
        <w:tabs>
          <w:tab w:val="num" w:pos="1260" w:leader="none"/>
        </w:tabs>
      </w:pPr>
      <w:rPr>
        <w:rFonts w:cs="Times New Roman"/>
      </w:rPr>
    </w:lvl>
    <w:lvl w:ilvl="3">
      <w:start w:val="1"/>
      <w:numFmt w:val="decimal"/>
      <w:isLgl w:val="false"/>
      <w:suff w:val="tab"/>
      <w:lvlText w:val="%4."/>
      <w:lvlJc w:val="left"/>
      <w:pPr>
        <w:pStyle w:val="1020"/>
        <w:ind w:left="1680" w:hanging="420"/>
        <w:tabs>
          <w:tab w:val="num" w:pos="1680" w:leader="none"/>
        </w:tabs>
      </w:pPr>
      <w:rPr>
        <w:rFonts w:cs="Times New Roman"/>
      </w:rPr>
    </w:lvl>
    <w:lvl w:ilvl="4">
      <w:start w:val="1"/>
      <w:numFmt w:val="lowerLetter"/>
      <w:isLgl w:val="false"/>
      <w:suff w:val="tab"/>
      <w:lvlText w:val="%5)"/>
      <w:lvlJc w:val="left"/>
      <w:pPr>
        <w:pStyle w:val="1020"/>
        <w:ind w:left="2100" w:hanging="420"/>
        <w:tabs>
          <w:tab w:val="num" w:pos="2100" w:leader="none"/>
        </w:tabs>
      </w:pPr>
      <w:rPr>
        <w:rFonts w:cs="Times New Roman"/>
      </w:rPr>
    </w:lvl>
    <w:lvl w:ilvl="5">
      <w:start w:val="1"/>
      <w:numFmt w:val="lowerRoman"/>
      <w:isLgl w:val="false"/>
      <w:suff w:val="tab"/>
      <w:lvlText w:val="%6."/>
      <w:lvlJc w:val="right"/>
      <w:pPr>
        <w:pStyle w:val="1020"/>
        <w:ind w:left="2520" w:hanging="420"/>
        <w:tabs>
          <w:tab w:val="num" w:pos="2520" w:leader="none"/>
        </w:tabs>
      </w:pPr>
      <w:rPr>
        <w:rFonts w:cs="Times New Roman"/>
      </w:rPr>
    </w:lvl>
    <w:lvl w:ilvl="6">
      <w:start w:val="1"/>
      <w:numFmt w:val="decimal"/>
      <w:isLgl w:val="false"/>
      <w:suff w:val="tab"/>
      <w:lvlText w:val="%7."/>
      <w:lvlJc w:val="left"/>
      <w:pPr>
        <w:pStyle w:val="1020"/>
        <w:ind w:left="2940" w:hanging="420"/>
        <w:tabs>
          <w:tab w:val="num" w:pos="2940" w:leader="none"/>
        </w:tabs>
      </w:pPr>
      <w:rPr>
        <w:rFonts w:cs="Times New Roman"/>
      </w:rPr>
    </w:lvl>
    <w:lvl w:ilvl="7">
      <w:start w:val="1"/>
      <w:numFmt w:val="lowerLetter"/>
      <w:isLgl w:val="false"/>
      <w:suff w:val="tab"/>
      <w:lvlText w:val="%8)"/>
      <w:lvlJc w:val="left"/>
      <w:pPr>
        <w:pStyle w:val="1020"/>
        <w:ind w:left="3360" w:hanging="420"/>
        <w:tabs>
          <w:tab w:val="num" w:pos="3360" w:leader="none"/>
        </w:tabs>
      </w:pPr>
      <w:rPr>
        <w:rFonts w:cs="Times New Roman"/>
      </w:rPr>
    </w:lvl>
    <w:lvl w:ilvl="8">
      <w:start w:val="1"/>
      <w:numFmt w:val="lowerRoman"/>
      <w:isLgl w:val="false"/>
      <w:suff w:val="tab"/>
      <w:lvlText w:val="%9."/>
      <w:lvlJc w:val="right"/>
      <w:pPr>
        <w:pStyle w:val="1020"/>
        <w:ind w:left="3780" w:hanging="420"/>
        <w:tabs>
          <w:tab w:val="num" w:pos="3780" w:leader="none"/>
        </w:tabs>
      </w:pPr>
      <w:rPr>
        <w:rFonts w:cs="Times New Roman"/>
      </w:rPr>
    </w:lvl>
  </w:abstractNum>
  <w:abstractNum w:abstractNumId="3">
    <w:multiLevelType w:val="hybridMultilevel"/>
    <w:lvl w:ilvl="0">
      <w:start w:val="1"/>
      <w:numFmt w:val="decimal"/>
      <w:pStyle w:val="1281"/>
      <w:isLgl w:val="false"/>
      <w:suff w:val="tab"/>
      <w:lvlText w:val="%1"/>
      <w:lvlJc w:val="left"/>
      <w:pPr>
        <w:pStyle w:val="1020"/>
        <w:ind w:left="567" w:hanging="567"/>
        <w:tabs>
          <w:tab w:val="num" w:pos="567" w:leader="none"/>
        </w:tabs>
      </w:pPr>
      <w:rPr>
        <w:rFonts w:hint="eastAsia" w:cs="Times New Roman"/>
      </w:rPr>
    </w:lvl>
    <w:lvl w:ilvl="1">
      <w:start w:val="1"/>
      <w:numFmt w:val="decimal"/>
      <w:isLgl w:val="false"/>
      <w:suff w:val="tab"/>
      <w:lvlText w:val="%1.%2"/>
      <w:lvlJc w:val="left"/>
      <w:pPr>
        <w:pStyle w:val="1020"/>
        <w:ind w:left="567" w:hanging="283"/>
        <w:tabs>
          <w:tab w:val="num" w:pos="1004" w:leader="none"/>
        </w:tabs>
      </w:pPr>
      <w:rPr>
        <w:rFonts w:hint="eastAsia" w:cs="Times New Roman"/>
      </w:rPr>
    </w:lvl>
    <w:lvl w:ilvl="2">
      <w:start w:val="1"/>
      <w:numFmt w:val="decimal"/>
      <w:isLgl w:val="false"/>
      <w:suff w:val="tab"/>
      <w:lvlText w:val="%1.%2.%3"/>
      <w:lvlJc w:val="left"/>
      <w:pPr>
        <w:pStyle w:val="1020"/>
        <w:ind w:left="1134" w:hanging="567"/>
        <w:tabs>
          <w:tab w:val="num" w:pos="1647" w:leader="none"/>
        </w:tabs>
      </w:pPr>
      <w:rPr>
        <w:rFonts w:hint="eastAsia" w:cs="Times New Roman"/>
      </w:rPr>
    </w:lvl>
    <w:lvl w:ilvl="3">
      <w:start w:val="1"/>
      <w:numFmt w:val="decimal"/>
      <w:isLgl w:val="false"/>
      <w:suff w:val="tab"/>
      <w:lvlText w:val="%1.%2.%3.%4"/>
      <w:lvlJc w:val="left"/>
      <w:pPr>
        <w:pStyle w:val="1020"/>
        <w:ind w:left="2851" w:hanging="708"/>
        <w:tabs>
          <w:tab w:val="num" w:pos="3223" w:leader="none"/>
        </w:tabs>
      </w:pPr>
      <w:rPr>
        <w:rFonts w:hint="eastAsia" w:cs="Times New Roman"/>
      </w:rPr>
    </w:lvl>
    <w:lvl w:ilvl="4">
      <w:start w:val="1"/>
      <w:numFmt w:val="decimal"/>
      <w:isLgl w:val="false"/>
      <w:suff w:val="tab"/>
      <w:lvlText w:val="%1.%2.%3.%4.%5"/>
      <w:lvlJc w:val="left"/>
      <w:pPr>
        <w:pStyle w:val="1020"/>
        <w:ind w:left="3418" w:hanging="850"/>
        <w:tabs>
          <w:tab w:val="num" w:pos="3648" w:leader="none"/>
        </w:tabs>
      </w:pPr>
      <w:rPr>
        <w:rFonts w:hint="eastAsia" w:cs="Times New Roman"/>
      </w:rPr>
    </w:lvl>
    <w:lvl w:ilvl="5">
      <w:start w:val="1"/>
      <w:numFmt w:val="decimal"/>
      <w:isLgl w:val="false"/>
      <w:suff w:val="tab"/>
      <w:lvlText w:val="%1.%2.%3.%4.%5.%6"/>
      <w:lvlJc w:val="left"/>
      <w:pPr>
        <w:pStyle w:val="1020"/>
        <w:ind w:left="4127" w:hanging="1134"/>
        <w:tabs>
          <w:tab w:val="num" w:pos="4433" w:leader="none"/>
        </w:tabs>
      </w:pPr>
      <w:rPr>
        <w:rFonts w:hint="eastAsia" w:cs="Times New Roman"/>
      </w:rPr>
    </w:lvl>
    <w:lvl w:ilvl="6">
      <w:start w:val="1"/>
      <w:numFmt w:val="decimal"/>
      <w:isLgl w:val="false"/>
      <w:suff w:val="tab"/>
      <w:lvlText w:val="%1.%2.%3.%4.%5.%6.%7"/>
      <w:lvlJc w:val="left"/>
      <w:pPr>
        <w:pStyle w:val="1020"/>
        <w:ind w:left="4694" w:hanging="1276"/>
        <w:tabs>
          <w:tab w:val="num" w:pos="4858" w:leader="none"/>
        </w:tabs>
      </w:pPr>
      <w:rPr>
        <w:rFonts w:hint="eastAsia" w:cs="Times New Roman"/>
      </w:rPr>
    </w:lvl>
    <w:lvl w:ilvl="7">
      <w:start w:val="1"/>
      <w:numFmt w:val="decimal"/>
      <w:isLgl w:val="false"/>
      <w:suff w:val="tab"/>
      <w:lvlText w:val="%1.%2.%3.%4.%5.%6.%7.%8"/>
      <w:lvlJc w:val="left"/>
      <w:pPr>
        <w:pStyle w:val="1020"/>
        <w:ind w:left="5261" w:hanging="1418"/>
        <w:tabs>
          <w:tab w:val="num" w:pos="5643" w:leader="none"/>
        </w:tabs>
      </w:pPr>
      <w:rPr>
        <w:rFonts w:hint="eastAsia" w:cs="Times New Roman"/>
      </w:rPr>
    </w:lvl>
    <w:lvl w:ilvl="8">
      <w:start w:val="1"/>
      <w:numFmt w:val="decimal"/>
      <w:isLgl w:val="false"/>
      <w:suff w:val="tab"/>
      <w:lvlText w:val="%1.%2.%3.%4.%5.%6.%7.%8.%9"/>
      <w:lvlJc w:val="left"/>
      <w:pPr>
        <w:pStyle w:val="1020"/>
        <w:ind w:left="5969" w:hanging="1700"/>
        <w:tabs>
          <w:tab w:val="num" w:pos="6429" w:leader="none"/>
        </w:tabs>
      </w:pPr>
      <w:rPr>
        <w:rFonts w:hint="eastAsia" w:cs="Times New Roman"/>
      </w:rPr>
    </w:lvl>
  </w:abstractNum>
  <w:abstractNum w:abstractNumId="4">
    <w:multiLevelType w:val="hybridMultilevel"/>
    <w:lvl w:ilvl="0">
      <w:start w:val="1"/>
      <w:numFmt w:val="chineseCountingThousand"/>
      <w:pStyle w:val="1021"/>
      <w:isLgl w:val="false"/>
      <w:suff w:val="nothing"/>
      <w:lvlText w:val="第%1章"/>
      <w:lvlJc w:val="left"/>
      <w:pPr>
        <w:pStyle w:val="1020"/>
        <w:ind w:left="0" w:firstLine="0"/>
      </w:pPr>
    </w:lvl>
    <w:lvl w:ilvl="1">
      <w:start w:val="1"/>
      <w:numFmt w:val="decimal"/>
      <w:pStyle w:val="1022"/>
      <w:isLgl w:val="false"/>
      <w:suff w:val="nothing"/>
      <w:lvlText w:val=""/>
      <w:lvlJc w:val="left"/>
      <w:pPr>
        <w:pStyle w:val="1020"/>
        <w:ind w:left="0" w:firstLine="0"/>
      </w:pPr>
    </w:lvl>
    <w:lvl w:ilvl="2">
      <w:start w:val="1"/>
      <w:numFmt w:val="decimal"/>
      <w:pStyle w:val="1023"/>
      <w:isLgl w:val="false"/>
      <w:suff w:val="nothing"/>
      <w:lvlText w:val=""/>
      <w:lvlJc w:val="left"/>
      <w:pPr>
        <w:pStyle w:val="1020"/>
        <w:ind w:left="0" w:firstLine="0"/>
      </w:pPr>
    </w:lvl>
    <w:lvl w:ilvl="3">
      <w:start w:val="1"/>
      <w:numFmt w:val="decimal"/>
      <w:pStyle w:val="1024"/>
      <w:isLgl w:val="false"/>
      <w:suff w:val="nothing"/>
      <w:lvlText w:val=""/>
      <w:lvlJc w:val="left"/>
      <w:pPr>
        <w:pStyle w:val="1020"/>
        <w:ind w:left="0" w:firstLine="0"/>
      </w:pPr>
    </w:lvl>
    <w:lvl w:ilvl="4">
      <w:start w:val="1"/>
      <w:numFmt w:val="decimal"/>
      <w:pStyle w:val="1025"/>
      <w:isLgl w:val="false"/>
      <w:suff w:val="nothing"/>
      <w:lvlText w:val=""/>
      <w:lvlJc w:val="left"/>
      <w:pPr>
        <w:pStyle w:val="1020"/>
        <w:ind w:left="0" w:firstLine="0"/>
      </w:pPr>
    </w:lvl>
    <w:lvl w:ilvl="5">
      <w:start w:val="1"/>
      <w:numFmt w:val="decimal"/>
      <w:pStyle w:val="1026"/>
      <w:isLgl w:val="false"/>
      <w:suff w:val="nothing"/>
      <w:lvlText w:val=""/>
      <w:lvlJc w:val="left"/>
      <w:pPr>
        <w:pStyle w:val="1020"/>
        <w:ind w:left="0" w:firstLine="0"/>
      </w:pPr>
    </w:lvl>
    <w:lvl w:ilvl="6">
      <w:start w:val="1"/>
      <w:numFmt w:val="decimal"/>
      <w:pStyle w:val="1027"/>
      <w:isLgl w:val="false"/>
      <w:suff w:val="nothing"/>
      <w:lvlText w:val=""/>
      <w:lvlJc w:val="left"/>
      <w:pPr>
        <w:pStyle w:val="1020"/>
        <w:ind w:left="0" w:firstLine="0"/>
      </w:pPr>
    </w:lvl>
    <w:lvl w:ilvl="7">
      <w:start w:val="1"/>
      <w:numFmt w:val="decimal"/>
      <w:pStyle w:val="1028"/>
      <w:isLgl w:val="false"/>
      <w:suff w:val="nothing"/>
      <w:lvlText w:val=""/>
      <w:lvlJc w:val="left"/>
      <w:pPr>
        <w:pStyle w:val="1020"/>
        <w:ind w:left="0" w:firstLine="0"/>
      </w:pPr>
    </w:lvl>
    <w:lvl w:ilvl="8">
      <w:start w:val="1"/>
      <w:numFmt w:val="decimal"/>
      <w:pStyle w:val="1029"/>
      <w:isLgl w:val="false"/>
      <w:suff w:val="nothing"/>
      <w:lvlText w:val=""/>
      <w:lvlJc w:val="left"/>
      <w:pPr>
        <w:pStyle w:val="1020"/>
        <w:ind w:left="0" w:firstLine="0"/>
      </w:pPr>
    </w:lvl>
  </w:abstractNum>
  <w:abstractNum w:abstractNumId="5">
    <w:multiLevelType w:val="hybridMultilevel"/>
    <w:lvl w:ilvl="0">
      <w:start w:val="4"/>
      <w:numFmt w:val="decimal"/>
      <w:isLgl w:val="false"/>
      <w:suff w:val="nothing"/>
      <w:lvlText w:val="（%1）"/>
      <w:lvlJc w:val="left"/>
      <w:pPr>
        <w:pStyle w:val="10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83"/>
      <w:isLgl w:val="false"/>
      <w:suff w:val="tab"/>
      <w:lvlText w:val=""/>
      <w:lvlJc w:val="left"/>
      <w:pPr>
        <w:pStyle w:val="1020"/>
        <w:ind w:left="360" w:hanging="360"/>
        <w:tabs>
          <w:tab w:val="num" w:pos="360" w:leader="none"/>
        </w:tabs>
      </w:pPr>
      <w:rPr>
        <w:rFonts w:ascii="Symbol" w:hAnsi="Symbol"/>
      </w:rPr>
    </w:lvl>
    <w:lvl w:ilvl="1">
      <w:start w:val="1"/>
      <w:numFmt w:val="bullet"/>
      <w:isLgl w:val="false"/>
      <w:suff w:val="tab"/>
      <w:lvlText w:val="o"/>
      <w:lvlJc w:val="left"/>
      <w:pPr>
        <w:pStyle w:val="1020"/>
        <w:ind w:left="1440" w:hanging="360"/>
      </w:pPr>
      <w:rPr>
        <w:rFonts w:ascii="Courier New" w:hAnsi="Courier New" w:eastAsia="Courier New" w:cs="Courier New"/>
      </w:rPr>
    </w:lvl>
    <w:lvl w:ilvl="2">
      <w:start w:val="1"/>
      <w:numFmt w:val="bullet"/>
      <w:isLgl w:val="false"/>
      <w:suff w:val="tab"/>
      <w:lvlText w:val="§"/>
      <w:lvlJc w:val="left"/>
      <w:pPr>
        <w:pStyle w:val="1020"/>
        <w:ind w:left="2160" w:hanging="360"/>
      </w:pPr>
      <w:rPr>
        <w:rFonts w:ascii="Wingdings" w:hAnsi="Wingdings" w:eastAsia="Wingdings" w:cs="Wingdings"/>
      </w:rPr>
    </w:lvl>
    <w:lvl w:ilvl="3">
      <w:start w:val="1"/>
      <w:numFmt w:val="bullet"/>
      <w:isLgl w:val="false"/>
      <w:suff w:val="tab"/>
      <w:lvlText w:val="·"/>
      <w:lvlJc w:val="left"/>
      <w:pPr>
        <w:pStyle w:val="1020"/>
        <w:ind w:left="2880" w:hanging="360"/>
      </w:pPr>
      <w:rPr>
        <w:rFonts w:ascii="Symbol" w:hAnsi="Symbol" w:eastAsia="Symbol" w:cs="Symbol"/>
      </w:rPr>
    </w:lvl>
    <w:lvl w:ilvl="4">
      <w:start w:val="1"/>
      <w:numFmt w:val="bullet"/>
      <w:isLgl w:val="false"/>
      <w:suff w:val="tab"/>
      <w:lvlText w:val="o"/>
      <w:lvlJc w:val="left"/>
      <w:pPr>
        <w:pStyle w:val="1020"/>
        <w:ind w:left="3600" w:hanging="360"/>
      </w:pPr>
      <w:rPr>
        <w:rFonts w:ascii="Courier New" w:hAnsi="Courier New" w:eastAsia="Courier New" w:cs="Courier New"/>
      </w:rPr>
    </w:lvl>
    <w:lvl w:ilvl="5">
      <w:start w:val="1"/>
      <w:numFmt w:val="bullet"/>
      <w:isLgl w:val="false"/>
      <w:suff w:val="tab"/>
      <w:lvlText w:val="§"/>
      <w:lvlJc w:val="left"/>
      <w:pPr>
        <w:pStyle w:val="1020"/>
        <w:ind w:left="4320" w:hanging="360"/>
      </w:pPr>
      <w:rPr>
        <w:rFonts w:ascii="Wingdings" w:hAnsi="Wingdings" w:eastAsia="Wingdings" w:cs="Wingdings"/>
      </w:rPr>
    </w:lvl>
    <w:lvl w:ilvl="6">
      <w:start w:val="1"/>
      <w:numFmt w:val="bullet"/>
      <w:isLgl w:val="false"/>
      <w:suff w:val="tab"/>
      <w:lvlText w:val="·"/>
      <w:lvlJc w:val="left"/>
      <w:pPr>
        <w:pStyle w:val="1020"/>
        <w:ind w:left="5040" w:hanging="360"/>
      </w:pPr>
      <w:rPr>
        <w:rFonts w:ascii="Symbol" w:hAnsi="Symbol" w:eastAsia="Symbol" w:cs="Symbol"/>
      </w:rPr>
    </w:lvl>
    <w:lvl w:ilvl="7">
      <w:start w:val="1"/>
      <w:numFmt w:val="bullet"/>
      <w:isLgl w:val="false"/>
      <w:suff w:val="tab"/>
      <w:lvlText w:val="o"/>
      <w:lvlJc w:val="left"/>
      <w:pPr>
        <w:pStyle w:val="1020"/>
        <w:ind w:left="5760" w:hanging="360"/>
      </w:pPr>
      <w:rPr>
        <w:rFonts w:ascii="Courier New" w:hAnsi="Courier New" w:eastAsia="Courier New" w:cs="Courier New"/>
      </w:rPr>
    </w:lvl>
    <w:lvl w:ilvl="8">
      <w:start w:val="1"/>
      <w:numFmt w:val="bullet"/>
      <w:isLgl w:val="false"/>
      <w:suff w:val="tab"/>
      <w:lvlText w:val="§"/>
      <w:lvlJc w:val="left"/>
      <w:pPr>
        <w:pStyle w:val="1020"/>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1020"/>
      </w:pPr>
      <w:rPr>
        <w:rFonts w:hint="eastAsia"/>
      </w:rPr>
    </w:lvl>
    <w:lvl w:ilvl="1">
      <w:start w:val="1"/>
      <w:numFmt w:val="bullet"/>
      <w:isLgl w:val="false"/>
      <w:suff w:val="tab"/>
      <w:lvlText w:val="o"/>
      <w:lvlJc w:val="left"/>
      <w:pPr>
        <w:pStyle w:val="1020"/>
        <w:ind w:left="1440" w:hanging="360"/>
      </w:pPr>
      <w:rPr>
        <w:rFonts w:ascii="Courier New" w:hAnsi="Courier New" w:eastAsia="Courier New" w:cs="Courier New"/>
      </w:rPr>
    </w:lvl>
    <w:lvl w:ilvl="2">
      <w:start w:val="1"/>
      <w:numFmt w:val="bullet"/>
      <w:isLgl w:val="false"/>
      <w:suff w:val="tab"/>
      <w:lvlText w:val="§"/>
      <w:lvlJc w:val="left"/>
      <w:pPr>
        <w:pStyle w:val="1020"/>
        <w:ind w:left="2160" w:hanging="360"/>
      </w:pPr>
      <w:rPr>
        <w:rFonts w:ascii="Wingdings" w:hAnsi="Wingdings" w:eastAsia="Wingdings" w:cs="Wingdings"/>
      </w:rPr>
    </w:lvl>
    <w:lvl w:ilvl="3">
      <w:start w:val="1"/>
      <w:numFmt w:val="bullet"/>
      <w:isLgl w:val="false"/>
      <w:suff w:val="tab"/>
      <w:lvlText w:val="·"/>
      <w:lvlJc w:val="left"/>
      <w:pPr>
        <w:pStyle w:val="1020"/>
        <w:ind w:left="2880" w:hanging="360"/>
      </w:pPr>
      <w:rPr>
        <w:rFonts w:ascii="Symbol" w:hAnsi="Symbol" w:eastAsia="Symbol" w:cs="Symbol"/>
      </w:rPr>
    </w:lvl>
    <w:lvl w:ilvl="4">
      <w:start w:val="1"/>
      <w:numFmt w:val="bullet"/>
      <w:isLgl w:val="false"/>
      <w:suff w:val="tab"/>
      <w:lvlText w:val="o"/>
      <w:lvlJc w:val="left"/>
      <w:pPr>
        <w:pStyle w:val="1020"/>
        <w:ind w:left="3600" w:hanging="360"/>
      </w:pPr>
      <w:rPr>
        <w:rFonts w:ascii="Courier New" w:hAnsi="Courier New" w:eastAsia="Courier New" w:cs="Courier New"/>
      </w:rPr>
    </w:lvl>
    <w:lvl w:ilvl="5">
      <w:start w:val="1"/>
      <w:numFmt w:val="bullet"/>
      <w:isLgl w:val="false"/>
      <w:suff w:val="tab"/>
      <w:lvlText w:val="§"/>
      <w:lvlJc w:val="left"/>
      <w:pPr>
        <w:pStyle w:val="1020"/>
        <w:ind w:left="4320" w:hanging="360"/>
      </w:pPr>
      <w:rPr>
        <w:rFonts w:ascii="Wingdings" w:hAnsi="Wingdings" w:eastAsia="Wingdings" w:cs="Wingdings"/>
      </w:rPr>
    </w:lvl>
    <w:lvl w:ilvl="6">
      <w:start w:val="1"/>
      <w:numFmt w:val="bullet"/>
      <w:isLgl w:val="false"/>
      <w:suff w:val="tab"/>
      <w:lvlText w:val="·"/>
      <w:lvlJc w:val="left"/>
      <w:pPr>
        <w:pStyle w:val="1020"/>
        <w:ind w:left="5040" w:hanging="360"/>
      </w:pPr>
      <w:rPr>
        <w:rFonts w:ascii="Symbol" w:hAnsi="Symbol" w:eastAsia="Symbol" w:cs="Symbol"/>
      </w:rPr>
    </w:lvl>
    <w:lvl w:ilvl="7">
      <w:start w:val="1"/>
      <w:numFmt w:val="bullet"/>
      <w:isLgl w:val="false"/>
      <w:suff w:val="tab"/>
      <w:lvlText w:val="o"/>
      <w:lvlJc w:val="left"/>
      <w:pPr>
        <w:pStyle w:val="1020"/>
        <w:ind w:left="5760" w:hanging="360"/>
      </w:pPr>
      <w:rPr>
        <w:rFonts w:ascii="Courier New" w:hAnsi="Courier New" w:eastAsia="Courier New" w:cs="Courier New"/>
      </w:rPr>
    </w:lvl>
    <w:lvl w:ilvl="8">
      <w:start w:val="1"/>
      <w:numFmt w:val="bullet"/>
      <w:isLgl w:val="false"/>
      <w:suff w:val="tab"/>
      <w:lvlText w:val="§"/>
      <w:lvlJc w:val="left"/>
      <w:pPr>
        <w:pStyle w:val="1020"/>
        <w:ind w:left="6480" w:hanging="360"/>
      </w:pPr>
      <w:rPr>
        <w:rFonts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name w:val="Heading 1"/>
    <w:basedOn w:val="1020"/>
    <w:next w:val="1020"/>
    <w:link w:val="1120"/>
    <w:uiPriority w:val="9"/>
    <w:qFormat/>
    <w:pPr>
      <w:keepLines/>
      <w:keepNext/>
      <w:spacing w:before="480" w:after="200"/>
      <w:outlineLvl w:val="0"/>
    </w:pPr>
    <w:rPr>
      <w:rFonts w:ascii="Arial" w:hAnsi="Arial" w:eastAsia="Arial" w:cs="Arial"/>
      <w:sz w:val="40"/>
      <w:szCs w:val="40"/>
    </w:rPr>
  </w:style>
  <w:style w:type="paragraph" w:styleId="967">
    <w:name w:val="Heading 2"/>
    <w:basedOn w:val="1020"/>
    <w:next w:val="1020"/>
    <w:link w:val="1121"/>
    <w:uiPriority w:val="9"/>
    <w:unhideWhenUsed/>
    <w:qFormat/>
    <w:pPr>
      <w:keepLines/>
      <w:keepNext/>
      <w:spacing w:before="360" w:after="200"/>
      <w:outlineLvl w:val="1"/>
    </w:pPr>
    <w:rPr>
      <w:rFonts w:ascii="Arial" w:hAnsi="Arial" w:eastAsia="Arial" w:cs="Arial"/>
      <w:sz w:val="34"/>
    </w:rPr>
  </w:style>
  <w:style w:type="paragraph" w:styleId="968">
    <w:name w:val="Heading 3"/>
    <w:basedOn w:val="1020"/>
    <w:next w:val="1020"/>
    <w:link w:val="1122"/>
    <w:uiPriority w:val="9"/>
    <w:unhideWhenUsed/>
    <w:qFormat/>
    <w:pPr>
      <w:keepLines/>
      <w:keepNext/>
      <w:spacing w:before="320" w:after="200"/>
      <w:outlineLvl w:val="2"/>
    </w:pPr>
    <w:rPr>
      <w:rFonts w:ascii="Arial" w:hAnsi="Arial" w:eastAsia="Arial" w:cs="Arial"/>
      <w:sz w:val="30"/>
      <w:szCs w:val="30"/>
    </w:rPr>
  </w:style>
  <w:style w:type="paragraph" w:styleId="969">
    <w:name w:val="Heading 4"/>
    <w:basedOn w:val="1020"/>
    <w:next w:val="1020"/>
    <w:link w:val="1123"/>
    <w:uiPriority w:val="9"/>
    <w:unhideWhenUsed/>
    <w:qFormat/>
    <w:pPr>
      <w:keepLines/>
      <w:keepNext/>
      <w:spacing w:before="320" w:after="200"/>
      <w:outlineLvl w:val="3"/>
    </w:pPr>
    <w:rPr>
      <w:rFonts w:ascii="Arial" w:hAnsi="Arial" w:eastAsia="Arial" w:cs="Arial"/>
      <w:b/>
      <w:bCs/>
      <w:sz w:val="26"/>
      <w:szCs w:val="26"/>
    </w:rPr>
  </w:style>
  <w:style w:type="paragraph" w:styleId="970">
    <w:name w:val="Heading 5"/>
    <w:basedOn w:val="1020"/>
    <w:next w:val="1020"/>
    <w:link w:val="1124"/>
    <w:uiPriority w:val="9"/>
    <w:unhideWhenUsed/>
    <w:qFormat/>
    <w:pPr>
      <w:keepLines/>
      <w:keepNext/>
      <w:spacing w:before="320" w:after="200"/>
      <w:outlineLvl w:val="4"/>
    </w:pPr>
    <w:rPr>
      <w:rFonts w:ascii="Arial" w:hAnsi="Arial" w:eastAsia="Arial" w:cs="Arial"/>
      <w:b/>
      <w:bCs/>
      <w:sz w:val="24"/>
      <w:szCs w:val="24"/>
    </w:rPr>
  </w:style>
  <w:style w:type="paragraph" w:styleId="971">
    <w:name w:val="Heading 6"/>
    <w:basedOn w:val="1020"/>
    <w:next w:val="1020"/>
    <w:link w:val="1125"/>
    <w:uiPriority w:val="9"/>
    <w:unhideWhenUsed/>
    <w:qFormat/>
    <w:pPr>
      <w:keepLines/>
      <w:keepNext/>
      <w:spacing w:before="320" w:after="200"/>
      <w:outlineLvl w:val="5"/>
    </w:pPr>
    <w:rPr>
      <w:rFonts w:ascii="Arial" w:hAnsi="Arial" w:eastAsia="Arial" w:cs="Arial"/>
      <w:b/>
      <w:bCs/>
      <w:sz w:val="22"/>
      <w:szCs w:val="22"/>
    </w:rPr>
  </w:style>
  <w:style w:type="paragraph" w:styleId="972">
    <w:name w:val="Heading 7"/>
    <w:basedOn w:val="1020"/>
    <w:next w:val="1020"/>
    <w:link w:val="1126"/>
    <w:uiPriority w:val="9"/>
    <w:unhideWhenUsed/>
    <w:qFormat/>
    <w:pPr>
      <w:keepLines/>
      <w:keepNext/>
      <w:spacing w:before="320" w:after="200"/>
      <w:outlineLvl w:val="6"/>
    </w:pPr>
    <w:rPr>
      <w:rFonts w:ascii="Arial" w:hAnsi="Arial" w:eastAsia="Arial" w:cs="Arial"/>
      <w:b/>
      <w:bCs/>
      <w:i/>
      <w:iCs/>
      <w:sz w:val="22"/>
      <w:szCs w:val="22"/>
    </w:rPr>
  </w:style>
  <w:style w:type="paragraph" w:styleId="973">
    <w:name w:val="Heading 8"/>
    <w:basedOn w:val="1020"/>
    <w:next w:val="1020"/>
    <w:link w:val="1127"/>
    <w:uiPriority w:val="9"/>
    <w:unhideWhenUsed/>
    <w:qFormat/>
    <w:pPr>
      <w:keepLines/>
      <w:keepNext/>
      <w:spacing w:before="320" w:after="200"/>
      <w:outlineLvl w:val="7"/>
    </w:pPr>
    <w:rPr>
      <w:rFonts w:ascii="Arial" w:hAnsi="Arial" w:eastAsia="Arial" w:cs="Arial"/>
      <w:i/>
      <w:iCs/>
      <w:sz w:val="22"/>
      <w:szCs w:val="22"/>
    </w:rPr>
  </w:style>
  <w:style w:type="paragraph" w:styleId="974">
    <w:name w:val="Heading 9"/>
    <w:basedOn w:val="1020"/>
    <w:next w:val="1020"/>
    <w:link w:val="1128"/>
    <w:uiPriority w:val="9"/>
    <w:unhideWhenUsed/>
    <w:qFormat/>
    <w:pPr>
      <w:keepLines/>
      <w:keepNext/>
      <w:spacing w:before="320" w:after="200"/>
      <w:outlineLvl w:val="8"/>
    </w:pPr>
    <w:rPr>
      <w:rFonts w:ascii="Arial" w:hAnsi="Arial" w:eastAsia="Arial" w:cs="Arial"/>
      <w:i/>
      <w:iCs/>
      <w:sz w:val="21"/>
      <w:szCs w:val="21"/>
    </w:rPr>
  </w:style>
  <w:style w:type="paragraph" w:styleId="975">
    <w:name w:val="Title"/>
    <w:basedOn w:val="1020"/>
    <w:next w:val="1020"/>
    <w:link w:val="1129"/>
    <w:uiPriority w:val="10"/>
    <w:qFormat/>
    <w:pPr>
      <w:contextualSpacing/>
      <w:spacing w:before="300" w:after="200"/>
    </w:pPr>
    <w:rPr>
      <w:sz w:val="48"/>
      <w:szCs w:val="48"/>
    </w:rPr>
  </w:style>
  <w:style w:type="paragraph" w:styleId="976">
    <w:name w:val="Subtitle"/>
    <w:basedOn w:val="1020"/>
    <w:next w:val="1020"/>
    <w:link w:val="1130"/>
    <w:uiPriority w:val="11"/>
    <w:qFormat/>
    <w:pPr>
      <w:spacing w:before="200" w:after="200"/>
    </w:pPr>
    <w:rPr>
      <w:sz w:val="24"/>
      <w:szCs w:val="24"/>
    </w:rPr>
  </w:style>
  <w:style w:type="character" w:styleId="977">
    <w:name w:val="Quote Char"/>
    <w:link w:val="1131"/>
    <w:uiPriority w:val="29"/>
    <w:rPr>
      <w:i/>
    </w:rPr>
  </w:style>
  <w:style w:type="character" w:styleId="978">
    <w:name w:val="Intense Quote Char"/>
    <w:link w:val="1133"/>
    <w:uiPriority w:val="30"/>
    <w:rPr>
      <w:i/>
    </w:rPr>
  </w:style>
  <w:style w:type="paragraph" w:styleId="979">
    <w:name w:val="Header"/>
    <w:basedOn w:val="1020"/>
    <w:link w:val="1135"/>
    <w:uiPriority w:val="99"/>
    <w:unhideWhenUsed/>
    <w:pPr>
      <w:spacing w:after="0" w:line="240" w:lineRule="auto"/>
      <w:tabs>
        <w:tab w:val="center" w:pos="7143" w:leader="none"/>
        <w:tab w:val="right" w:pos="14287" w:leader="none"/>
      </w:tabs>
    </w:pPr>
  </w:style>
  <w:style w:type="paragraph" w:styleId="980">
    <w:name w:val="Footer"/>
    <w:basedOn w:val="1020"/>
    <w:link w:val="1137"/>
    <w:uiPriority w:val="99"/>
    <w:unhideWhenUsed/>
    <w:pPr>
      <w:spacing w:after="0" w:line="240" w:lineRule="auto"/>
      <w:tabs>
        <w:tab w:val="center" w:pos="7143" w:leader="none"/>
        <w:tab w:val="right" w:pos="14287" w:leader="none"/>
      </w:tabs>
    </w:pPr>
  </w:style>
  <w:style w:type="paragraph" w:styleId="981">
    <w:name w:val="Caption"/>
    <w:basedOn w:val="1020"/>
    <w:next w:val="1020"/>
    <w:uiPriority w:val="35"/>
    <w:semiHidden/>
    <w:unhideWhenUsed/>
    <w:qFormat/>
    <w:pPr>
      <w:spacing w:line="276" w:lineRule="auto"/>
    </w:pPr>
    <w:rPr>
      <w:b/>
      <w:bCs/>
      <w:color w:val="4f81bd" w:themeColor="accent1"/>
      <w:sz w:val="18"/>
      <w:szCs w:val="18"/>
    </w:rPr>
  </w:style>
  <w:style w:type="table" w:styleId="9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02">
    <w:name w:val="Hyperlink"/>
    <w:uiPriority w:val="99"/>
    <w:unhideWhenUsed/>
    <w:rPr>
      <w:color w:val="0000ff" w:themeColor="hyperlink"/>
      <w:u w:val="single"/>
    </w:rPr>
  </w:style>
  <w:style w:type="paragraph" w:styleId="1003">
    <w:name w:val="footnote text"/>
    <w:basedOn w:val="1020"/>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uiPriority w:val="99"/>
    <w:unhideWhenUsed/>
    <w:rPr>
      <w:vertAlign w:val="superscript"/>
    </w:rPr>
  </w:style>
  <w:style w:type="paragraph" w:styleId="1006">
    <w:name w:val="endnote text"/>
    <w:basedOn w:val="1020"/>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uiPriority w:val="99"/>
    <w:semiHidden/>
    <w:unhideWhenUsed/>
    <w:rPr>
      <w:vertAlign w:val="superscript"/>
    </w:rPr>
  </w:style>
  <w:style w:type="paragraph" w:styleId="1009">
    <w:name w:val="toc 1"/>
    <w:basedOn w:val="1020"/>
    <w:next w:val="1020"/>
    <w:uiPriority w:val="39"/>
    <w:unhideWhenUsed/>
    <w:pPr>
      <w:ind w:left="0" w:right="0" w:firstLine="0"/>
      <w:spacing w:after="57"/>
    </w:pPr>
  </w:style>
  <w:style w:type="paragraph" w:styleId="1010">
    <w:name w:val="toc 2"/>
    <w:basedOn w:val="1020"/>
    <w:next w:val="1020"/>
    <w:uiPriority w:val="39"/>
    <w:unhideWhenUsed/>
    <w:pPr>
      <w:ind w:left="283" w:right="0" w:firstLine="0"/>
      <w:spacing w:after="57"/>
    </w:pPr>
  </w:style>
  <w:style w:type="paragraph" w:styleId="1011">
    <w:name w:val="toc 3"/>
    <w:basedOn w:val="1020"/>
    <w:next w:val="1020"/>
    <w:uiPriority w:val="39"/>
    <w:unhideWhenUsed/>
    <w:pPr>
      <w:ind w:left="567" w:right="0" w:firstLine="0"/>
      <w:spacing w:after="57"/>
    </w:pPr>
  </w:style>
  <w:style w:type="paragraph" w:styleId="1012">
    <w:name w:val="toc 4"/>
    <w:basedOn w:val="1020"/>
    <w:next w:val="1020"/>
    <w:uiPriority w:val="39"/>
    <w:unhideWhenUsed/>
    <w:pPr>
      <w:ind w:left="850" w:right="0" w:firstLine="0"/>
      <w:spacing w:after="57"/>
    </w:pPr>
  </w:style>
  <w:style w:type="paragraph" w:styleId="1013">
    <w:name w:val="toc 5"/>
    <w:basedOn w:val="1020"/>
    <w:next w:val="1020"/>
    <w:uiPriority w:val="39"/>
    <w:unhideWhenUsed/>
    <w:pPr>
      <w:ind w:left="1134" w:right="0" w:firstLine="0"/>
      <w:spacing w:after="57"/>
    </w:pPr>
  </w:style>
  <w:style w:type="paragraph" w:styleId="1014">
    <w:name w:val="toc 6"/>
    <w:basedOn w:val="1020"/>
    <w:next w:val="1020"/>
    <w:uiPriority w:val="39"/>
    <w:unhideWhenUsed/>
    <w:pPr>
      <w:ind w:left="1417"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next w:val="1020"/>
    <w:link w:val="1020"/>
    <w:qFormat/>
    <w:pPr>
      <w:jc w:val="both"/>
      <w:widowControl w:val="off"/>
    </w:pPr>
    <w:rPr>
      <w:rFonts w:ascii="Times New Roman" w:hAnsi="Times New Roman" w:eastAsia="宋体" w:cs="Times New Roman"/>
      <w:sz w:val="21"/>
      <w:lang w:val="en-US" w:eastAsia="zh-CN" w:bidi="ar-SA"/>
    </w:rPr>
  </w:style>
  <w:style w:type="paragraph" w:styleId="1021">
    <w:name w:val="标题 1"/>
    <w:basedOn w:val="1020"/>
    <w:next w:val="1020"/>
    <w:link w:val="1032"/>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1022">
    <w:name w:val="标题 2"/>
    <w:basedOn w:val="1020"/>
    <w:next w:val="1020"/>
    <w:link w:val="1033"/>
    <w:uiPriority w:val="99"/>
    <w:qFormat/>
    <w:pPr>
      <w:numPr>
        <w:ilvl w:val="1"/>
        <w:numId w:val="1"/>
      </w:numPr>
      <w:jc w:val="left"/>
      <w:keepLines/>
      <w:keepNext/>
      <w:spacing w:before="120" w:after="120"/>
      <w:outlineLvl w:val="1"/>
    </w:pPr>
    <w:rPr>
      <w:rFonts w:ascii="Cambria" w:hAnsi="Cambria"/>
      <w:b/>
      <w:bCs/>
      <w:sz w:val="32"/>
      <w:szCs w:val="32"/>
    </w:rPr>
  </w:style>
  <w:style w:type="paragraph" w:styleId="1023">
    <w:name w:val="标题 3"/>
    <w:basedOn w:val="1020"/>
    <w:next w:val="1035"/>
    <w:link w:val="1034"/>
    <w:uiPriority w:val="99"/>
    <w:qFormat/>
    <w:pPr>
      <w:numPr>
        <w:ilvl w:val="2"/>
        <w:numId w:val="1"/>
      </w:numPr>
      <w:keepLines/>
      <w:keepNext/>
      <w:spacing w:before="120" w:after="120"/>
      <w:outlineLvl w:val="2"/>
    </w:pPr>
    <w:rPr>
      <w:b/>
      <w:bCs/>
      <w:sz w:val="32"/>
      <w:szCs w:val="32"/>
    </w:rPr>
  </w:style>
  <w:style w:type="paragraph" w:styleId="1024">
    <w:name w:val="标题 4"/>
    <w:basedOn w:val="1020"/>
    <w:next w:val="1035"/>
    <w:link w:val="1037"/>
    <w:uiPriority w:val="99"/>
    <w:qFormat/>
    <w:pPr>
      <w:numPr>
        <w:ilvl w:val="3"/>
        <w:numId w:val="1"/>
      </w:numPr>
      <w:keepLines/>
      <w:keepNext/>
      <w:spacing w:before="120" w:after="120"/>
      <w:outlineLvl w:val="3"/>
    </w:pPr>
    <w:rPr>
      <w:rFonts w:ascii="Cambria" w:hAnsi="Cambria"/>
      <w:b/>
      <w:bCs/>
      <w:sz w:val="28"/>
      <w:szCs w:val="28"/>
    </w:rPr>
  </w:style>
  <w:style w:type="paragraph" w:styleId="1025">
    <w:name w:val="标题 5"/>
    <w:basedOn w:val="1020"/>
    <w:next w:val="1035"/>
    <w:link w:val="1038"/>
    <w:uiPriority w:val="99"/>
    <w:qFormat/>
    <w:pPr>
      <w:numPr>
        <w:ilvl w:val="4"/>
        <w:numId w:val="1"/>
      </w:numPr>
      <w:keepNext/>
      <w:spacing w:before="156" w:after="156"/>
      <w:outlineLvl w:val="4"/>
    </w:pPr>
    <w:rPr>
      <w:b/>
      <w:bCs/>
      <w:sz w:val="28"/>
      <w:szCs w:val="28"/>
    </w:rPr>
  </w:style>
  <w:style w:type="paragraph" w:styleId="1026">
    <w:name w:val="标题 6"/>
    <w:basedOn w:val="1020"/>
    <w:next w:val="1020"/>
    <w:link w:val="1039"/>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27">
    <w:name w:val="标题 7"/>
    <w:basedOn w:val="1020"/>
    <w:next w:val="1020"/>
    <w:link w:val="1040"/>
    <w:uiPriority w:val="99"/>
    <w:qFormat/>
    <w:pPr>
      <w:numPr>
        <w:ilvl w:val="6"/>
        <w:numId w:val="1"/>
      </w:numPr>
      <w:keepLines/>
      <w:keepNext/>
      <w:spacing w:before="240" w:after="64" w:line="320" w:lineRule="auto"/>
      <w:outlineLvl w:val="6"/>
    </w:pPr>
    <w:rPr>
      <w:b/>
      <w:bCs/>
      <w:sz w:val="24"/>
      <w:szCs w:val="24"/>
    </w:rPr>
  </w:style>
  <w:style w:type="paragraph" w:styleId="1028">
    <w:name w:val="标题 8"/>
    <w:basedOn w:val="1020"/>
    <w:next w:val="1020"/>
    <w:link w:val="1041"/>
    <w:uiPriority w:val="99"/>
    <w:qFormat/>
    <w:pPr>
      <w:numPr>
        <w:ilvl w:val="7"/>
        <w:numId w:val="1"/>
      </w:numPr>
      <w:keepLines/>
      <w:keepNext/>
      <w:spacing w:before="240" w:after="64" w:line="320" w:lineRule="auto"/>
      <w:outlineLvl w:val="7"/>
    </w:pPr>
    <w:rPr>
      <w:rFonts w:ascii="Cambria" w:hAnsi="Cambria"/>
      <w:sz w:val="24"/>
      <w:szCs w:val="24"/>
    </w:rPr>
  </w:style>
  <w:style w:type="paragraph" w:styleId="1029">
    <w:name w:val="标题 9"/>
    <w:basedOn w:val="1020"/>
    <w:next w:val="1020"/>
    <w:link w:val="1042"/>
    <w:uiPriority w:val="99"/>
    <w:qFormat/>
    <w:pPr>
      <w:numPr>
        <w:ilvl w:val="8"/>
        <w:numId w:val="1"/>
      </w:numPr>
      <w:keepLines/>
      <w:keepNext/>
      <w:spacing w:before="240" w:after="64" w:line="320" w:lineRule="auto"/>
      <w:outlineLvl w:val="8"/>
    </w:pPr>
    <w:rPr>
      <w:rFonts w:ascii="Cambria" w:hAnsi="Cambria"/>
      <w:szCs w:val="21"/>
    </w:rPr>
  </w:style>
  <w:style w:type="character" w:styleId="1030">
    <w:name w:val="默认段落字体"/>
    <w:next w:val="1030"/>
    <w:link w:val="1020"/>
    <w:uiPriority w:val="1"/>
    <w:unhideWhenUsed/>
    <w:qFormat/>
  </w:style>
  <w:style w:type="table" w:styleId="1031">
    <w:name w:val="普通表格"/>
    <w:next w:val="1031"/>
    <w:link w:val="1020"/>
    <w:uiPriority w:val="99"/>
    <w:unhideWhenUsed/>
    <w:qFormat/>
    <w:tblPr/>
  </w:style>
  <w:style w:type="character" w:styleId="1032">
    <w:name w:val="标题 1 字符"/>
    <w:next w:val="1032"/>
    <w:link w:val="1021"/>
    <w:qFormat/>
    <w:rPr>
      <w:rFonts w:ascii="黑体" w:eastAsia="黑体"/>
      <w:b/>
      <w:sz w:val="28"/>
    </w:rPr>
  </w:style>
  <w:style w:type="character" w:styleId="1033">
    <w:name w:val="标题 2 字符"/>
    <w:next w:val="1033"/>
    <w:link w:val="1022"/>
    <w:uiPriority w:val="99"/>
    <w:qFormat/>
    <w:rPr>
      <w:rFonts w:ascii="Cambria" w:hAnsi="Cambria"/>
      <w:b/>
      <w:bCs/>
      <w:sz w:val="32"/>
      <w:szCs w:val="32"/>
    </w:rPr>
  </w:style>
  <w:style w:type="character" w:styleId="1034">
    <w:name w:val="标题 3 字符"/>
    <w:next w:val="1034"/>
    <w:link w:val="1023"/>
    <w:uiPriority w:val="99"/>
    <w:qFormat/>
    <w:rPr>
      <w:b/>
      <w:bCs/>
      <w:sz w:val="32"/>
      <w:szCs w:val="32"/>
    </w:rPr>
  </w:style>
  <w:style w:type="paragraph" w:styleId="1035">
    <w:name w:val="正文缩进"/>
    <w:basedOn w:val="1020"/>
    <w:next w:val="1035"/>
    <w:link w:val="1036"/>
    <w:qFormat/>
    <w:pPr>
      <w:ind w:firstLine="420"/>
    </w:pPr>
  </w:style>
  <w:style w:type="character" w:styleId="1036">
    <w:name w:val="正文缩进 字符"/>
    <w:next w:val="1036"/>
    <w:link w:val="1035"/>
    <w:qFormat/>
    <w:rPr>
      <w:rFonts w:eastAsia="宋体" w:cs="Times New Roman"/>
      <w:sz w:val="21"/>
      <w:lang w:val="en-US" w:eastAsia="zh-CN" w:bidi="ar-SA"/>
    </w:rPr>
  </w:style>
  <w:style w:type="character" w:styleId="1037">
    <w:name w:val="标题 4 字符"/>
    <w:next w:val="1037"/>
    <w:link w:val="1024"/>
    <w:uiPriority w:val="9"/>
    <w:qFormat/>
    <w:rPr>
      <w:rFonts w:ascii="Cambria" w:hAnsi="Cambria"/>
      <w:b/>
      <w:bCs/>
      <w:sz w:val="28"/>
      <w:szCs w:val="28"/>
    </w:rPr>
  </w:style>
  <w:style w:type="character" w:styleId="1038">
    <w:name w:val="标题 5 字符"/>
    <w:next w:val="1038"/>
    <w:link w:val="1025"/>
    <w:uiPriority w:val="99"/>
    <w:qFormat/>
    <w:rPr>
      <w:b/>
      <w:bCs/>
      <w:sz w:val="28"/>
      <w:szCs w:val="28"/>
    </w:rPr>
  </w:style>
  <w:style w:type="character" w:styleId="1039">
    <w:name w:val="标题 6 字符"/>
    <w:next w:val="1039"/>
    <w:link w:val="1026"/>
    <w:uiPriority w:val="99"/>
    <w:qFormat/>
    <w:rPr>
      <w:rFonts w:ascii="Cambria" w:hAnsi="Cambria"/>
      <w:b/>
      <w:bCs/>
      <w:sz w:val="24"/>
      <w:szCs w:val="24"/>
    </w:rPr>
  </w:style>
  <w:style w:type="character" w:styleId="1040">
    <w:name w:val="标题 7 字符"/>
    <w:next w:val="1040"/>
    <w:link w:val="1027"/>
    <w:uiPriority w:val="99"/>
    <w:qFormat/>
    <w:rPr>
      <w:b/>
      <w:bCs/>
      <w:sz w:val="24"/>
      <w:szCs w:val="24"/>
    </w:rPr>
  </w:style>
  <w:style w:type="character" w:styleId="1041">
    <w:name w:val="标题 8 字符"/>
    <w:next w:val="1041"/>
    <w:link w:val="1028"/>
    <w:uiPriority w:val="99"/>
    <w:qFormat/>
    <w:rPr>
      <w:rFonts w:ascii="Cambria" w:hAnsi="Cambria"/>
      <w:sz w:val="24"/>
      <w:szCs w:val="24"/>
    </w:rPr>
  </w:style>
  <w:style w:type="character" w:styleId="1042">
    <w:name w:val="标题 9 字符"/>
    <w:next w:val="1042"/>
    <w:link w:val="1029"/>
    <w:uiPriority w:val="99"/>
    <w:qFormat/>
    <w:rPr>
      <w:rFonts w:ascii="Cambria" w:hAnsi="Cambria"/>
      <w:sz w:val="21"/>
      <w:szCs w:val="21"/>
    </w:rPr>
  </w:style>
  <w:style w:type="paragraph" w:styleId="1043">
    <w:name w:val="列表 3"/>
    <w:basedOn w:val="1020"/>
    <w:next w:val="1043"/>
    <w:link w:val="1020"/>
    <w:uiPriority w:val="99"/>
    <w:qFormat/>
    <w:pPr>
      <w:ind w:left="1260" w:hanging="420"/>
    </w:pPr>
  </w:style>
  <w:style w:type="paragraph" w:styleId="1044">
    <w:name w:val="目录 7"/>
    <w:basedOn w:val="1020"/>
    <w:next w:val="1020"/>
    <w:link w:val="1020"/>
    <w:uiPriority w:val="99"/>
    <w:semiHidden/>
    <w:qFormat/>
    <w:pPr>
      <w:ind w:left="1260"/>
      <w:jc w:val="left"/>
    </w:pPr>
    <w:rPr>
      <w:sz w:val="18"/>
    </w:rPr>
  </w:style>
  <w:style w:type="paragraph" w:styleId="1045">
    <w:name w:val="索引 8"/>
    <w:basedOn w:val="1020"/>
    <w:next w:val="1020"/>
    <w:link w:val="1020"/>
    <w:uiPriority w:val="99"/>
    <w:semiHidden/>
    <w:qFormat/>
    <w:pPr>
      <w:ind w:left="2940"/>
    </w:pPr>
  </w:style>
  <w:style w:type="paragraph" w:styleId="1046">
    <w:name w:val="题注"/>
    <w:basedOn w:val="1020"/>
    <w:next w:val="1020"/>
    <w:link w:val="1020"/>
    <w:uiPriority w:val="35"/>
    <w:unhideWhenUsed/>
    <w:qFormat/>
    <w:pPr>
      <w:spacing w:line="276" w:lineRule="auto"/>
    </w:pPr>
    <w:rPr>
      <w:b/>
      <w:bCs/>
      <w:color w:val="4f81bd"/>
      <w:sz w:val="18"/>
      <w:szCs w:val="18"/>
    </w:rPr>
  </w:style>
  <w:style w:type="paragraph" w:styleId="1047">
    <w:name w:val="索引 5"/>
    <w:basedOn w:val="1020"/>
    <w:next w:val="1020"/>
    <w:link w:val="1020"/>
    <w:uiPriority w:val="99"/>
    <w:semiHidden/>
    <w:qFormat/>
    <w:pPr>
      <w:ind w:left="1680"/>
    </w:pPr>
  </w:style>
  <w:style w:type="paragraph" w:styleId="1048">
    <w:name w:val="文档结构图"/>
    <w:basedOn w:val="1020"/>
    <w:next w:val="1048"/>
    <w:link w:val="1049"/>
    <w:uiPriority w:val="99"/>
    <w:semiHidden/>
    <w:qFormat/>
    <w:pPr>
      <w:shd w:val="clear" w:color="auto" w:fill="000080"/>
    </w:pPr>
    <w:rPr>
      <w:sz w:val="2"/>
    </w:rPr>
  </w:style>
  <w:style w:type="character" w:styleId="1049">
    <w:name w:val="文档结构图 字符"/>
    <w:next w:val="1049"/>
    <w:link w:val="1048"/>
    <w:uiPriority w:val="99"/>
    <w:semiHidden/>
    <w:qFormat/>
    <w:rPr>
      <w:rFonts w:cs="Times New Roman"/>
      <w:sz w:val="2"/>
    </w:rPr>
  </w:style>
  <w:style w:type="paragraph" w:styleId="1050">
    <w:name w:val="批注文字"/>
    <w:basedOn w:val="1020"/>
    <w:next w:val="1050"/>
    <w:link w:val="1051"/>
    <w:qFormat/>
    <w:pPr>
      <w:jc w:val="left"/>
    </w:pPr>
    <w:rPr>
      <w:sz w:val="20"/>
    </w:rPr>
  </w:style>
  <w:style w:type="character" w:styleId="1051">
    <w:name w:val="批注文字 字符"/>
    <w:next w:val="1051"/>
    <w:link w:val="1050"/>
    <w:qFormat/>
    <w:rPr>
      <w:rFonts w:cs="Times New Roman"/>
      <w:sz w:val="20"/>
      <w:szCs w:val="20"/>
    </w:rPr>
  </w:style>
  <w:style w:type="paragraph" w:styleId="1052">
    <w:name w:val="索引 6"/>
    <w:basedOn w:val="1020"/>
    <w:next w:val="1020"/>
    <w:link w:val="1020"/>
    <w:uiPriority w:val="99"/>
    <w:semiHidden/>
    <w:qFormat/>
    <w:pPr>
      <w:ind w:left="2100"/>
    </w:pPr>
  </w:style>
  <w:style w:type="paragraph" w:styleId="1053">
    <w:name w:val="正文文本 3"/>
    <w:basedOn w:val="1020"/>
    <w:next w:val="1053"/>
    <w:link w:val="1054"/>
    <w:uiPriority w:val="99"/>
    <w:qFormat/>
    <w:rPr>
      <w:sz w:val="16"/>
      <w:szCs w:val="16"/>
    </w:rPr>
  </w:style>
  <w:style w:type="character" w:styleId="1054">
    <w:name w:val="正文文本 3 字符"/>
    <w:next w:val="1054"/>
    <w:link w:val="1053"/>
    <w:uiPriority w:val="99"/>
    <w:semiHidden/>
    <w:qFormat/>
    <w:rPr>
      <w:rFonts w:cs="Times New Roman"/>
      <w:sz w:val="16"/>
      <w:szCs w:val="16"/>
    </w:rPr>
  </w:style>
  <w:style w:type="paragraph" w:styleId="1055">
    <w:name w:val="正文文本"/>
    <w:basedOn w:val="1020"/>
    <w:next w:val="1055"/>
    <w:link w:val="1056"/>
    <w:uiPriority w:val="99"/>
    <w:qFormat/>
    <w:rPr>
      <w:sz w:val="20"/>
    </w:rPr>
  </w:style>
  <w:style w:type="character" w:styleId="1056">
    <w:name w:val="正文文本 字符"/>
    <w:next w:val="1056"/>
    <w:link w:val="1055"/>
    <w:uiPriority w:val="99"/>
    <w:semiHidden/>
    <w:qFormat/>
    <w:rPr>
      <w:rFonts w:cs="Times New Roman"/>
      <w:sz w:val="20"/>
      <w:szCs w:val="20"/>
    </w:rPr>
  </w:style>
  <w:style w:type="paragraph" w:styleId="1057">
    <w:name w:val="正文文本缩进"/>
    <w:basedOn w:val="1020"/>
    <w:next w:val="1059"/>
    <w:link w:val="1058"/>
    <w:uiPriority w:val="99"/>
    <w:qFormat/>
    <w:pPr>
      <w:ind w:firstLine="645"/>
    </w:pPr>
    <w:rPr>
      <w:sz w:val="20"/>
    </w:rPr>
  </w:style>
  <w:style w:type="character" w:styleId="1058">
    <w:name w:val="正文文本缩进 字符"/>
    <w:next w:val="1058"/>
    <w:link w:val="1057"/>
    <w:uiPriority w:val="99"/>
    <w:semiHidden/>
    <w:qFormat/>
    <w:rPr>
      <w:rFonts w:cs="Times New Roman"/>
      <w:sz w:val="20"/>
      <w:szCs w:val="20"/>
    </w:rPr>
  </w:style>
  <w:style w:type="paragraph" w:styleId="1059">
    <w:name w:val="寄信人地址"/>
    <w:basedOn w:val="1020"/>
    <w:next w:val="1059"/>
    <w:link w:val="1020"/>
    <w:uiPriority w:val="99"/>
    <w:qFormat/>
    <w:rPr>
      <w:rFonts w:ascii="Arial" w:hAnsi="Arial"/>
    </w:rPr>
  </w:style>
  <w:style w:type="paragraph" w:styleId="1060">
    <w:name w:val="索引 4"/>
    <w:basedOn w:val="1020"/>
    <w:next w:val="1020"/>
    <w:link w:val="1020"/>
    <w:uiPriority w:val="99"/>
    <w:semiHidden/>
    <w:qFormat/>
    <w:pPr>
      <w:ind w:left="1260"/>
    </w:pPr>
  </w:style>
  <w:style w:type="paragraph" w:styleId="1061">
    <w:name w:val="目录 5"/>
    <w:basedOn w:val="1020"/>
    <w:next w:val="1020"/>
    <w:link w:val="1020"/>
    <w:uiPriority w:val="99"/>
    <w:semiHidden/>
    <w:qFormat/>
    <w:pPr>
      <w:ind w:left="840"/>
      <w:jc w:val="left"/>
    </w:pPr>
    <w:rPr>
      <w:sz w:val="18"/>
    </w:rPr>
  </w:style>
  <w:style w:type="paragraph" w:styleId="1062">
    <w:name w:val="目录 3"/>
    <w:basedOn w:val="1020"/>
    <w:next w:val="1020"/>
    <w:link w:val="1020"/>
    <w:uiPriority w:val="99"/>
    <w:semiHidden/>
    <w:qFormat/>
    <w:pPr>
      <w:ind w:left="420"/>
      <w:jc w:val="left"/>
    </w:pPr>
    <w:rPr>
      <w:i/>
      <w:sz w:val="20"/>
    </w:rPr>
  </w:style>
  <w:style w:type="paragraph" w:styleId="1063">
    <w:name w:val="纯文本"/>
    <w:basedOn w:val="1020"/>
    <w:next w:val="1063"/>
    <w:link w:val="1064"/>
    <w:qFormat/>
    <w:rPr>
      <w:rFonts w:ascii="宋体" w:hAnsi="Courier New"/>
      <w:szCs w:val="21"/>
    </w:rPr>
  </w:style>
  <w:style w:type="character" w:styleId="1064">
    <w:name w:val="纯文本 字符"/>
    <w:next w:val="1064"/>
    <w:link w:val="1063"/>
    <w:qFormat/>
    <w:rPr>
      <w:rFonts w:ascii="宋体" w:hAnsi="Courier New" w:cs="Courier New"/>
      <w:sz w:val="21"/>
      <w:szCs w:val="21"/>
    </w:rPr>
  </w:style>
  <w:style w:type="paragraph" w:styleId="1065">
    <w:name w:val="目录 8"/>
    <w:basedOn w:val="1020"/>
    <w:next w:val="1020"/>
    <w:link w:val="1020"/>
    <w:uiPriority w:val="99"/>
    <w:semiHidden/>
    <w:qFormat/>
    <w:pPr>
      <w:ind w:left="1470"/>
      <w:jc w:val="left"/>
    </w:pPr>
    <w:rPr>
      <w:sz w:val="18"/>
    </w:rPr>
  </w:style>
  <w:style w:type="paragraph" w:styleId="1066">
    <w:name w:val="索引 3"/>
    <w:basedOn w:val="1020"/>
    <w:next w:val="1020"/>
    <w:link w:val="1020"/>
    <w:uiPriority w:val="99"/>
    <w:semiHidden/>
    <w:qFormat/>
    <w:pPr>
      <w:ind w:left="840"/>
    </w:pPr>
  </w:style>
  <w:style w:type="paragraph" w:styleId="1067">
    <w:name w:val="日期"/>
    <w:basedOn w:val="1020"/>
    <w:next w:val="1020"/>
    <w:link w:val="1068"/>
    <w:uiPriority w:val="99"/>
    <w:qFormat/>
    <w:pPr>
      <w:ind w:left="100"/>
    </w:pPr>
    <w:rPr>
      <w:sz w:val="20"/>
    </w:rPr>
  </w:style>
  <w:style w:type="character" w:styleId="1068">
    <w:name w:val="日期 字符"/>
    <w:next w:val="1068"/>
    <w:link w:val="1067"/>
    <w:uiPriority w:val="99"/>
    <w:semiHidden/>
    <w:qFormat/>
    <w:rPr>
      <w:rFonts w:cs="Times New Roman"/>
      <w:sz w:val="20"/>
      <w:szCs w:val="20"/>
    </w:rPr>
  </w:style>
  <w:style w:type="paragraph" w:styleId="1069">
    <w:name w:val="正文文本缩进 2"/>
    <w:basedOn w:val="1020"/>
    <w:next w:val="1069"/>
    <w:link w:val="1070"/>
    <w:uiPriority w:val="99"/>
    <w:qFormat/>
    <w:pPr>
      <w:ind w:left="630" w:firstLine="645"/>
    </w:pPr>
    <w:rPr>
      <w:sz w:val="20"/>
    </w:rPr>
  </w:style>
  <w:style w:type="character" w:styleId="1070">
    <w:name w:val="正文文本缩进 2 字符"/>
    <w:next w:val="1070"/>
    <w:link w:val="1069"/>
    <w:uiPriority w:val="99"/>
    <w:semiHidden/>
    <w:qFormat/>
    <w:rPr>
      <w:rFonts w:cs="Times New Roman"/>
      <w:sz w:val="20"/>
      <w:szCs w:val="20"/>
    </w:rPr>
  </w:style>
  <w:style w:type="paragraph" w:styleId="1071">
    <w:name w:val="尾注文本"/>
    <w:basedOn w:val="1020"/>
    <w:next w:val="1071"/>
    <w:link w:val="1072"/>
    <w:uiPriority w:val="99"/>
    <w:unhideWhenUsed/>
    <w:qFormat/>
    <w:rPr>
      <w:sz w:val="20"/>
    </w:rPr>
  </w:style>
  <w:style w:type="character" w:styleId="1072">
    <w:name w:val="尾注文本 字符"/>
    <w:next w:val="1072"/>
    <w:link w:val="1071"/>
    <w:uiPriority w:val="99"/>
    <w:qFormat/>
    <w:rPr>
      <w:sz w:val="20"/>
    </w:rPr>
  </w:style>
  <w:style w:type="paragraph" w:styleId="1073">
    <w:name w:val="批注框文本"/>
    <w:basedOn w:val="1020"/>
    <w:next w:val="1073"/>
    <w:link w:val="1074"/>
    <w:uiPriority w:val="99"/>
    <w:semiHidden/>
    <w:qFormat/>
    <w:rPr>
      <w:sz w:val="18"/>
      <w:szCs w:val="18"/>
    </w:rPr>
  </w:style>
  <w:style w:type="character" w:styleId="1074">
    <w:name w:val="批注框文本 字符"/>
    <w:next w:val="1074"/>
    <w:link w:val="1073"/>
    <w:uiPriority w:val="99"/>
    <w:semiHidden/>
    <w:qFormat/>
    <w:rPr>
      <w:sz w:val="18"/>
      <w:szCs w:val="18"/>
    </w:rPr>
  </w:style>
  <w:style w:type="paragraph" w:styleId="1075">
    <w:name w:val="页脚"/>
    <w:basedOn w:val="1020"/>
    <w:next w:val="1075"/>
    <w:link w:val="1076"/>
    <w:uiPriority w:val="99"/>
    <w:qFormat/>
    <w:pPr>
      <w:jc w:val="left"/>
      <w:tabs>
        <w:tab w:val="center" w:pos="4153" w:leader="none"/>
        <w:tab w:val="right" w:pos="8306" w:leader="none"/>
      </w:tabs>
    </w:pPr>
    <w:rPr>
      <w:sz w:val="18"/>
    </w:rPr>
  </w:style>
  <w:style w:type="character" w:styleId="1076">
    <w:name w:val="页脚 字符"/>
    <w:next w:val="1076"/>
    <w:link w:val="1075"/>
    <w:uiPriority w:val="99"/>
    <w:qFormat/>
    <w:rPr>
      <w:rFonts w:eastAsia="宋体" w:cs="Times New Roman"/>
      <w:sz w:val="18"/>
      <w:lang w:val="en-US" w:eastAsia="zh-CN" w:bidi="ar-SA"/>
    </w:rPr>
  </w:style>
  <w:style w:type="paragraph" w:styleId="1077">
    <w:name w:val="页眉"/>
    <w:basedOn w:val="1020"/>
    <w:next w:val="1077"/>
    <w:link w:val="1078"/>
    <w:uiPriority w:val="99"/>
    <w:qFormat/>
    <w:pPr>
      <w:jc w:val="center"/>
      <w:tabs>
        <w:tab w:val="center" w:pos="4153" w:leader="none"/>
        <w:tab w:val="right" w:pos="8306" w:leader="none"/>
      </w:tabs>
      <w:pBdr>
        <w:bottom w:val="single" w:color="000000" w:sz="6" w:space="1"/>
      </w:pBdr>
    </w:pPr>
    <w:rPr>
      <w:sz w:val="18"/>
    </w:rPr>
  </w:style>
  <w:style w:type="character" w:styleId="1078">
    <w:name w:val="页眉 字符"/>
    <w:next w:val="1078"/>
    <w:link w:val="1077"/>
    <w:uiPriority w:val="99"/>
    <w:semiHidden/>
    <w:qFormat/>
    <w:rPr>
      <w:rFonts w:eastAsia="宋体" w:cs="Times New Roman"/>
      <w:sz w:val="18"/>
      <w:lang w:val="en-US" w:eastAsia="zh-CN" w:bidi="ar-SA"/>
    </w:rPr>
  </w:style>
  <w:style w:type="paragraph" w:styleId="1079">
    <w:name w:val="目录 1"/>
    <w:basedOn w:val="1020"/>
    <w:next w:val="1020"/>
    <w:link w:val="1020"/>
    <w:uiPriority w:val="39"/>
    <w:qFormat/>
    <w:pPr>
      <w:jc w:val="left"/>
      <w:spacing w:before="120" w:after="120"/>
    </w:pPr>
    <w:rPr>
      <w:b/>
      <w:caps/>
      <w:sz w:val="20"/>
    </w:rPr>
  </w:style>
  <w:style w:type="paragraph" w:styleId="1080">
    <w:name w:val="目录 4"/>
    <w:basedOn w:val="1020"/>
    <w:next w:val="1020"/>
    <w:link w:val="1020"/>
    <w:uiPriority w:val="99"/>
    <w:semiHidden/>
    <w:qFormat/>
    <w:pPr>
      <w:ind w:left="630"/>
      <w:jc w:val="left"/>
    </w:pPr>
    <w:rPr>
      <w:sz w:val="18"/>
    </w:rPr>
  </w:style>
  <w:style w:type="paragraph" w:styleId="1081">
    <w:name w:val="索引标题"/>
    <w:basedOn w:val="1020"/>
    <w:next w:val="1082"/>
    <w:link w:val="1020"/>
    <w:uiPriority w:val="99"/>
    <w:semiHidden/>
    <w:qFormat/>
  </w:style>
  <w:style w:type="paragraph" w:styleId="1082">
    <w:name w:val="索引 1"/>
    <w:basedOn w:val="1020"/>
    <w:next w:val="1020"/>
    <w:link w:val="1020"/>
    <w:uiPriority w:val="99"/>
    <w:semiHidden/>
    <w:qFormat/>
    <w:pPr>
      <w:jc w:val="center"/>
    </w:pPr>
    <w:rPr>
      <w:rFonts w:ascii="仿宋_GB2312" w:hAnsi="宋体" w:eastAsia="仿宋_GB2312"/>
      <w:sz w:val="30"/>
      <w:szCs w:val="24"/>
    </w:rPr>
  </w:style>
  <w:style w:type="paragraph" w:styleId="1083">
    <w:name w:val="副标题"/>
    <w:basedOn w:val="1020"/>
    <w:next w:val="1020"/>
    <w:link w:val="1020"/>
    <w:qFormat/>
    <w:pPr>
      <w:spacing w:before="240" w:after="60" w:line="312" w:lineRule="auto"/>
      <w:outlineLvl w:val="3"/>
    </w:pPr>
    <w:rPr>
      <w:rFonts w:ascii="Cambria" w:hAnsi="Cambria"/>
      <w:b/>
      <w:bCs/>
      <w:sz w:val="28"/>
      <w:szCs w:val="32"/>
    </w:rPr>
  </w:style>
  <w:style w:type="paragraph" w:styleId="1084">
    <w:name w:val="脚注文本"/>
    <w:basedOn w:val="1020"/>
    <w:next w:val="1084"/>
    <w:link w:val="1085"/>
    <w:uiPriority w:val="99"/>
    <w:unhideWhenUsed/>
    <w:qFormat/>
    <w:pPr>
      <w:spacing w:after="40"/>
    </w:pPr>
    <w:rPr>
      <w:sz w:val="18"/>
    </w:rPr>
  </w:style>
  <w:style w:type="character" w:styleId="1085">
    <w:name w:val="脚注文本 字符"/>
    <w:next w:val="1085"/>
    <w:link w:val="1084"/>
    <w:uiPriority w:val="99"/>
    <w:qFormat/>
    <w:rPr>
      <w:sz w:val="18"/>
    </w:rPr>
  </w:style>
  <w:style w:type="paragraph" w:styleId="1086">
    <w:name w:val="目录 6"/>
    <w:basedOn w:val="1020"/>
    <w:next w:val="1020"/>
    <w:link w:val="1020"/>
    <w:uiPriority w:val="99"/>
    <w:semiHidden/>
    <w:qFormat/>
    <w:pPr>
      <w:ind w:left="1050"/>
      <w:jc w:val="left"/>
    </w:pPr>
    <w:rPr>
      <w:sz w:val="18"/>
    </w:rPr>
  </w:style>
  <w:style w:type="paragraph" w:styleId="1087">
    <w:name w:val="正文文本缩进 3"/>
    <w:basedOn w:val="1020"/>
    <w:next w:val="1087"/>
    <w:link w:val="1088"/>
    <w:uiPriority w:val="99"/>
    <w:qFormat/>
    <w:pPr>
      <w:ind w:left="645" w:firstLine="645"/>
    </w:pPr>
    <w:rPr>
      <w:sz w:val="16"/>
      <w:szCs w:val="16"/>
    </w:rPr>
  </w:style>
  <w:style w:type="character" w:styleId="1088">
    <w:name w:val="正文文本缩进 3 字符"/>
    <w:next w:val="1088"/>
    <w:link w:val="1087"/>
    <w:uiPriority w:val="99"/>
    <w:semiHidden/>
    <w:qFormat/>
    <w:rPr>
      <w:rFonts w:cs="Times New Roman"/>
      <w:sz w:val="16"/>
      <w:szCs w:val="16"/>
    </w:rPr>
  </w:style>
  <w:style w:type="paragraph" w:styleId="1089">
    <w:name w:val="索引 7"/>
    <w:basedOn w:val="1020"/>
    <w:next w:val="1020"/>
    <w:link w:val="1020"/>
    <w:uiPriority w:val="99"/>
    <w:semiHidden/>
    <w:qFormat/>
    <w:pPr>
      <w:ind w:left="2520"/>
    </w:pPr>
  </w:style>
  <w:style w:type="paragraph" w:styleId="1090">
    <w:name w:val="索引 9"/>
    <w:basedOn w:val="1020"/>
    <w:next w:val="1020"/>
    <w:link w:val="1020"/>
    <w:uiPriority w:val="99"/>
    <w:semiHidden/>
    <w:qFormat/>
    <w:pPr>
      <w:ind w:left="3360"/>
    </w:pPr>
  </w:style>
  <w:style w:type="paragraph" w:styleId="1091">
    <w:name w:val="图表目录"/>
    <w:basedOn w:val="1020"/>
    <w:next w:val="1020"/>
    <w:link w:val="1020"/>
    <w:uiPriority w:val="99"/>
    <w:semiHidden/>
    <w:qFormat/>
    <w:pPr>
      <w:ind w:left="840" w:hanging="420"/>
    </w:pPr>
  </w:style>
  <w:style w:type="paragraph" w:styleId="1092">
    <w:name w:val="目录 2"/>
    <w:basedOn w:val="1020"/>
    <w:next w:val="1020"/>
    <w:link w:val="1020"/>
    <w:uiPriority w:val="39"/>
    <w:qFormat/>
    <w:pPr>
      <w:ind w:left="210"/>
      <w:jc w:val="left"/>
    </w:pPr>
    <w:rPr>
      <w:smallCaps/>
      <w:sz w:val="20"/>
    </w:rPr>
  </w:style>
  <w:style w:type="paragraph" w:styleId="1093">
    <w:name w:val="目录 9"/>
    <w:basedOn w:val="1020"/>
    <w:next w:val="1020"/>
    <w:link w:val="1020"/>
    <w:uiPriority w:val="99"/>
    <w:semiHidden/>
    <w:qFormat/>
    <w:pPr>
      <w:ind w:left="1680"/>
      <w:jc w:val="left"/>
    </w:pPr>
    <w:rPr>
      <w:sz w:val="18"/>
    </w:rPr>
  </w:style>
  <w:style w:type="paragraph" w:styleId="1094">
    <w:name w:val="正文文本 2"/>
    <w:basedOn w:val="1020"/>
    <w:next w:val="1094"/>
    <w:link w:val="1095"/>
    <w:uiPriority w:val="99"/>
    <w:qFormat/>
    <w:pPr>
      <w:jc w:val="center"/>
      <w:widowControl/>
    </w:pPr>
    <w:rPr>
      <w:sz w:val="20"/>
    </w:rPr>
  </w:style>
  <w:style w:type="character" w:styleId="1095">
    <w:name w:val="正文文本 2 字符"/>
    <w:next w:val="1095"/>
    <w:link w:val="1094"/>
    <w:uiPriority w:val="99"/>
    <w:semiHidden/>
    <w:qFormat/>
    <w:rPr>
      <w:rFonts w:cs="Times New Roman"/>
      <w:sz w:val="20"/>
      <w:szCs w:val="20"/>
    </w:rPr>
  </w:style>
  <w:style w:type="paragraph" w:styleId="1096">
    <w:name w:val="HTML 预设格式"/>
    <w:basedOn w:val="1020"/>
    <w:next w:val="1096"/>
    <w:link w:val="109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97">
    <w:name w:val="HTML 预设格式 字符"/>
    <w:next w:val="1097"/>
    <w:link w:val="1096"/>
    <w:uiPriority w:val="99"/>
    <w:semiHidden/>
    <w:qFormat/>
    <w:rPr>
      <w:rFonts w:ascii="Courier New" w:hAnsi="Courier New" w:cs="Courier New"/>
      <w:sz w:val="20"/>
      <w:szCs w:val="20"/>
    </w:rPr>
  </w:style>
  <w:style w:type="paragraph" w:styleId="1098">
    <w:name w:val="普通(网站)"/>
    <w:basedOn w:val="1020"/>
    <w:next w:val="1098"/>
    <w:link w:val="1020"/>
    <w:uiPriority w:val="99"/>
    <w:qFormat/>
    <w:pPr>
      <w:jc w:val="left"/>
      <w:spacing w:before="100" w:beforeAutospacing="1" w:after="100" w:afterAutospacing="1"/>
      <w:widowControl/>
    </w:pPr>
    <w:rPr>
      <w:rFonts w:ascii="Arial" w:hAnsi="Arial" w:cs="Arial"/>
      <w:sz w:val="24"/>
      <w:szCs w:val="24"/>
    </w:rPr>
  </w:style>
  <w:style w:type="paragraph" w:styleId="1099">
    <w:name w:val="索引 2"/>
    <w:basedOn w:val="1020"/>
    <w:next w:val="1020"/>
    <w:link w:val="1020"/>
    <w:uiPriority w:val="99"/>
    <w:semiHidden/>
    <w:qFormat/>
    <w:pPr>
      <w:ind w:left="420"/>
    </w:pPr>
  </w:style>
  <w:style w:type="paragraph" w:styleId="1100">
    <w:name w:val="标题"/>
    <w:basedOn w:val="1020"/>
    <w:next w:val="1020"/>
    <w:link w:val="1101"/>
    <w:uiPriority w:val="10"/>
    <w:qFormat/>
    <w:pPr>
      <w:jc w:val="center"/>
      <w:spacing w:before="240" w:after="60"/>
      <w:outlineLvl w:val="0"/>
    </w:pPr>
    <w:rPr>
      <w:rFonts w:ascii="Cambria" w:hAnsi="Cambria"/>
      <w:b/>
      <w:bCs/>
      <w:sz w:val="32"/>
      <w:szCs w:val="32"/>
    </w:rPr>
  </w:style>
  <w:style w:type="character" w:styleId="1101">
    <w:name w:val="标题 字符"/>
    <w:next w:val="1101"/>
    <w:link w:val="1100"/>
    <w:uiPriority w:val="10"/>
    <w:qFormat/>
    <w:rPr>
      <w:rFonts w:ascii="Cambria" w:hAnsi="Cambria" w:cs="Times New Roman"/>
      <w:b/>
      <w:bCs/>
      <w:sz w:val="32"/>
      <w:szCs w:val="32"/>
    </w:rPr>
  </w:style>
  <w:style w:type="paragraph" w:styleId="1102">
    <w:name w:val="批注主题"/>
    <w:basedOn w:val="1050"/>
    <w:next w:val="1050"/>
    <w:link w:val="1103"/>
    <w:uiPriority w:val="99"/>
    <w:semiHidden/>
    <w:qFormat/>
    <w:rPr>
      <w:b/>
      <w:bCs/>
    </w:rPr>
  </w:style>
  <w:style w:type="character" w:styleId="1103">
    <w:name w:val="批注主题 字符"/>
    <w:next w:val="1103"/>
    <w:link w:val="1102"/>
    <w:uiPriority w:val="99"/>
    <w:semiHidden/>
    <w:qFormat/>
    <w:rPr>
      <w:rFonts w:cs="Times New Roman"/>
      <w:b/>
      <w:bCs/>
      <w:sz w:val="20"/>
      <w:szCs w:val="20"/>
    </w:rPr>
  </w:style>
  <w:style w:type="paragraph" w:styleId="1104">
    <w:name w:val="正文首行缩进"/>
    <w:basedOn w:val="1055"/>
    <w:next w:val="1104"/>
    <w:link w:val="1105"/>
    <w:uiPriority w:val="99"/>
    <w:qFormat/>
    <w:pPr>
      <w:ind w:firstLine="420"/>
      <w:spacing w:after="120"/>
    </w:pPr>
    <w:rPr>
      <w:sz w:val="21"/>
      <w:szCs w:val="24"/>
    </w:rPr>
  </w:style>
  <w:style w:type="character" w:styleId="1105">
    <w:name w:val="正文文本首行缩进 字符"/>
    <w:next w:val="1105"/>
    <w:link w:val="1104"/>
    <w:uiPriority w:val="99"/>
    <w:semiHidden/>
    <w:qFormat/>
  </w:style>
  <w:style w:type="paragraph" w:styleId="1106">
    <w:name w:val="正文首行缩进 2"/>
    <w:basedOn w:val="1057"/>
    <w:next w:val="1106"/>
    <w:link w:val="1020"/>
    <w:qFormat/>
    <w:pPr>
      <w:ind w:left="420"/>
      <w:spacing w:after="120"/>
    </w:pPr>
    <w:rPr>
      <w:sz w:val="21"/>
    </w:rPr>
  </w:style>
  <w:style w:type="table" w:styleId="1107">
    <w:name w:val="网格型"/>
    <w:basedOn w:val="1031"/>
    <w:next w:val="1107"/>
    <w:link w:val="1020"/>
    <w:uiPriority w:val="39"/>
    <w:qFormat/>
    <w:pPr>
      <w:jc w:val="both"/>
      <w:widowControl w:val="off"/>
    </w:pPr>
    <w:tblPr/>
  </w:style>
  <w:style w:type="character" w:styleId="1108">
    <w:name w:val="尾注引用"/>
    <w:basedOn w:val="1030"/>
    <w:next w:val="1108"/>
    <w:link w:val="1020"/>
    <w:uiPriority w:val="99"/>
    <w:unhideWhenUsed/>
    <w:qFormat/>
    <w:rPr>
      <w:vertAlign w:val="superscript"/>
    </w:rPr>
  </w:style>
  <w:style w:type="character" w:styleId="1109">
    <w:name w:val="页码"/>
    <w:next w:val="1109"/>
    <w:link w:val="1020"/>
    <w:qFormat/>
    <w:rPr>
      <w:rFonts w:cs="Times New Roman"/>
    </w:rPr>
  </w:style>
  <w:style w:type="character" w:styleId="1110">
    <w:name w:val="已访问的超链接"/>
    <w:next w:val="1110"/>
    <w:link w:val="1020"/>
    <w:uiPriority w:val="99"/>
    <w:qFormat/>
    <w:rPr>
      <w:rFonts w:cs="Times New Roman"/>
      <w:color w:val="800080"/>
      <w:u w:val="single"/>
    </w:rPr>
  </w:style>
  <w:style w:type="character" w:styleId="1111">
    <w:name w:val="强调"/>
    <w:next w:val="1111"/>
    <w:link w:val="1020"/>
    <w:uiPriority w:val="20"/>
    <w:qFormat/>
    <w:rPr>
      <w:i/>
      <w:iCs/>
    </w:rPr>
  </w:style>
  <w:style w:type="character" w:styleId="1112">
    <w:name w:val="HTML 打字机"/>
    <w:next w:val="1112"/>
    <w:link w:val="1020"/>
    <w:unhideWhenUsed/>
    <w:qFormat/>
    <w:rPr>
      <w:rFonts w:ascii="monospace" w:hAnsi="monospace" w:eastAsia="monospace" w:cs="monospace"/>
      <w:sz w:val="20"/>
    </w:rPr>
  </w:style>
  <w:style w:type="character" w:styleId="1113">
    <w:name w:val="HTML 缩写"/>
    <w:basedOn w:val="1030"/>
    <w:next w:val="1113"/>
    <w:link w:val="1020"/>
    <w:unhideWhenUsed/>
    <w:qFormat/>
  </w:style>
  <w:style w:type="character" w:styleId="1114">
    <w:name w:val="超链接"/>
    <w:next w:val="1114"/>
    <w:link w:val="1020"/>
    <w:uiPriority w:val="99"/>
    <w:qFormat/>
    <w:rPr>
      <w:rFonts w:cs="Times New Roman"/>
      <w:color w:val="0000ff"/>
      <w:u w:val="single"/>
    </w:rPr>
  </w:style>
  <w:style w:type="character" w:styleId="1115">
    <w:name w:val="HTML 代码"/>
    <w:next w:val="1115"/>
    <w:link w:val="1020"/>
    <w:unhideWhenUsed/>
    <w:qFormat/>
    <w:rPr>
      <w:rFonts w:ascii="monospace" w:hAnsi="monospace" w:eastAsia="monospace" w:cs="monospace"/>
      <w:sz w:val="20"/>
      <w:shd w:val="clear" w:color="auto" w:fill="fcf8f5"/>
    </w:rPr>
  </w:style>
  <w:style w:type="character" w:styleId="1116">
    <w:name w:val="批注引用"/>
    <w:next w:val="1116"/>
    <w:link w:val="1020"/>
    <w:uiPriority w:val="99"/>
    <w:qFormat/>
    <w:rPr>
      <w:rFonts w:cs="Times New Roman"/>
      <w:sz w:val="21"/>
    </w:rPr>
  </w:style>
  <w:style w:type="character" w:styleId="1117">
    <w:name w:val="脚注引用"/>
    <w:basedOn w:val="1030"/>
    <w:next w:val="1117"/>
    <w:link w:val="1020"/>
    <w:uiPriority w:val="99"/>
    <w:unhideWhenUsed/>
    <w:qFormat/>
    <w:rPr>
      <w:vertAlign w:val="superscript"/>
    </w:rPr>
  </w:style>
  <w:style w:type="character" w:styleId="1118">
    <w:name w:val="HTML 键盘"/>
    <w:next w:val="1118"/>
    <w:link w:val="1020"/>
    <w:unhideWhenUsed/>
    <w:qFormat/>
    <w:rPr>
      <w:rFonts w:ascii="monospace" w:hAnsi="monospace" w:eastAsia="monospace" w:cs="monospace"/>
      <w:sz w:val="20"/>
    </w:rPr>
  </w:style>
  <w:style w:type="character" w:styleId="1119">
    <w:name w:val="HTML 样本"/>
    <w:next w:val="1119"/>
    <w:link w:val="1020"/>
    <w:unhideWhenUsed/>
    <w:qFormat/>
    <w:rPr>
      <w:rFonts w:ascii="monospace" w:hAnsi="monospace" w:eastAsia="monospace" w:cs="monospace"/>
    </w:rPr>
  </w:style>
  <w:style w:type="character" w:styleId="1120">
    <w:name w:val="Heading 1 Char"/>
    <w:basedOn w:val="1030"/>
    <w:next w:val="1120"/>
    <w:link w:val="1020"/>
    <w:uiPriority w:val="9"/>
    <w:qFormat/>
    <w:rPr>
      <w:rFonts w:ascii="Arial" w:hAnsi="Arial" w:eastAsia="Arial" w:cs="Arial"/>
      <w:sz w:val="40"/>
      <w:szCs w:val="40"/>
    </w:rPr>
  </w:style>
  <w:style w:type="character" w:styleId="1121">
    <w:name w:val="Heading 2 Char"/>
    <w:basedOn w:val="1030"/>
    <w:next w:val="1121"/>
    <w:link w:val="1020"/>
    <w:uiPriority w:val="9"/>
    <w:qFormat/>
    <w:rPr>
      <w:rFonts w:ascii="Arial" w:hAnsi="Arial" w:eastAsia="Arial" w:cs="Arial"/>
      <w:sz w:val="34"/>
    </w:rPr>
  </w:style>
  <w:style w:type="character" w:styleId="1122">
    <w:name w:val="Heading 3 Char"/>
    <w:basedOn w:val="1030"/>
    <w:next w:val="1122"/>
    <w:link w:val="1020"/>
    <w:uiPriority w:val="9"/>
    <w:qFormat/>
    <w:rPr>
      <w:rFonts w:ascii="Arial" w:hAnsi="Arial" w:eastAsia="Arial" w:cs="Arial"/>
      <w:sz w:val="30"/>
      <w:szCs w:val="30"/>
    </w:rPr>
  </w:style>
  <w:style w:type="character" w:styleId="1123">
    <w:name w:val="Heading 4 Char"/>
    <w:basedOn w:val="1030"/>
    <w:next w:val="1123"/>
    <w:link w:val="1020"/>
    <w:uiPriority w:val="9"/>
    <w:qFormat/>
    <w:rPr>
      <w:rFonts w:ascii="Arial" w:hAnsi="Arial" w:eastAsia="Arial" w:cs="Arial"/>
      <w:b/>
      <w:bCs/>
      <w:sz w:val="26"/>
      <w:szCs w:val="26"/>
    </w:rPr>
  </w:style>
  <w:style w:type="character" w:styleId="1124">
    <w:name w:val="Heading 5 Char"/>
    <w:basedOn w:val="1030"/>
    <w:next w:val="1124"/>
    <w:link w:val="1020"/>
    <w:uiPriority w:val="9"/>
    <w:qFormat/>
    <w:rPr>
      <w:rFonts w:ascii="Arial" w:hAnsi="Arial" w:eastAsia="Arial" w:cs="Arial"/>
      <w:b/>
      <w:bCs/>
      <w:sz w:val="24"/>
      <w:szCs w:val="24"/>
    </w:rPr>
  </w:style>
  <w:style w:type="character" w:styleId="1125">
    <w:name w:val="Heading 6 Char"/>
    <w:basedOn w:val="1030"/>
    <w:next w:val="1125"/>
    <w:link w:val="1020"/>
    <w:uiPriority w:val="9"/>
    <w:qFormat/>
    <w:rPr>
      <w:rFonts w:ascii="Arial" w:hAnsi="Arial" w:eastAsia="Arial" w:cs="Arial"/>
      <w:b/>
      <w:bCs/>
      <w:sz w:val="22"/>
      <w:szCs w:val="22"/>
    </w:rPr>
  </w:style>
  <w:style w:type="character" w:styleId="1126">
    <w:name w:val="Heading 7 Char"/>
    <w:basedOn w:val="1030"/>
    <w:next w:val="1126"/>
    <w:link w:val="1020"/>
    <w:uiPriority w:val="9"/>
    <w:qFormat/>
    <w:rPr>
      <w:rFonts w:ascii="Arial" w:hAnsi="Arial" w:eastAsia="Arial" w:cs="Arial"/>
      <w:b/>
      <w:bCs/>
      <w:i/>
      <w:iCs/>
      <w:sz w:val="22"/>
      <w:szCs w:val="22"/>
    </w:rPr>
  </w:style>
  <w:style w:type="character" w:styleId="1127">
    <w:name w:val="Heading 8 Char"/>
    <w:basedOn w:val="1030"/>
    <w:next w:val="1127"/>
    <w:link w:val="1020"/>
    <w:uiPriority w:val="9"/>
    <w:qFormat/>
    <w:rPr>
      <w:rFonts w:ascii="Arial" w:hAnsi="Arial" w:eastAsia="Arial" w:cs="Arial"/>
      <w:i/>
      <w:iCs/>
      <w:sz w:val="22"/>
      <w:szCs w:val="22"/>
    </w:rPr>
  </w:style>
  <w:style w:type="character" w:styleId="1128">
    <w:name w:val="Heading 9 Char"/>
    <w:basedOn w:val="1030"/>
    <w:next w:val="1128"/>
    <w:link w:val="1020"/>
    <w:uiPriority w:val="9"/>
    <w:qFormat/>
    <w:rPr>
      <w:rFonts w:ascii="Arial" w:hAnsi="Arial" w:eastAsia="Arial" w:cs="Arial"/>
      <w:i/>
      <w:iCs/>
      <w:sz w:val="21"/>
      <w:szCs w:val="21"/>
    </w:rPr>
  </w:style>
  <w:style w:type="character" w:styleId="1129">
    <w:name w:val="Title Char"/>
    <w:basedOn w:val="1030"/>
    <w:next w:val="1129"/>
    <w:link w:val="1020"/>
    <w:uiPriority w:val="10"/>
    <w:qFormat/>
    <w:rPr>
      <w:sz w:val="48"/>
      <w:szCs w:val="48"/>
    </w:rPr>
  </w:style>
  <w:style w:type="character" w:styleId="1130">
    <w:name w:val="Subtitle Char"/>
    <w:basedOn w:val="1030"/>
    <w:next w:val="1130"/>
    <w:link w:val="1020"/>
    <w:uiPriority w:val="11"/>
    <w:qFormat/>
    <w:rPr>
      <w:sz w:val="24"/>
      <w:szCs w:val="24"/>
    </w:rPr>
  </w:style>
  <w:style w:type="paragraph" w:styleId="1131">
    <w:name w:val="Quote"/>
    <w:basedOn w:val="1020"/>
    <w:next w:val="1020"/>
    <w:link w:val="1132"/>
    <w:uiPriority w:val="29"/>
    <w:qFormat/>
    <w:pPr>
      <w:ind w:left="720" w:right="720"/>
    </w:pPr>
    <w:rPr>
      <w:i/>
    </w:rPr>
  </w:style>
  <w:style w:type="character" w:styleId="1132">
    <w:name w:val="引用 字符"/>
    <w:next w:val="1132"/>
    <w:link w:val="1131"/>
    <w:uiPriority w:val="29"/>
    <w:qFormat/>
    <w:rPr>
      <w:i/>
    </w:rPr>
  </w:style>
  <w:style w:type="paragraph" w:styleId="1133">
    <w:name w:val="Intense Quote"/>
    <w:basedOn w:val="1020"/>
    <w:next w:val="1020"/>
    <w:link w:val="11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4">
    <w:name w:val="明显引用 字符"/>
    <w:next w:val="1134"/>
    <w:link w:val="1133"/>
    <w:uiPriority w:val="30"/>
    <w:qFormat/>
    <w:rPr>
      <w:i/>
    </w:rPr>
  </w:style>
  <w:style w:type="character" w:styleId="1135">
    <w:name w:val="Header Char"/>
    <w:basedOn w:val="1030"/>
    <w:next w:val="1135"/>
    <w:link w:val="1020"/>
    <w:uiPriority w:val="99"/>
    <w:qFormat/>
  </w:style>
  <w:style w:type="character" w:styleId="1136">
    <w:name w:val="Footer Char"/>
    <w:basedOn w:val="1030"/>
    <w:next w:val="1136"/>
    <w:link w:val="1020"/>
    <w:uiPriority w:val="99"/>
    <w:qFormat/>
  </w:style>
  <w:style w:type="character" w:styleId="1137">
    <w:name w:val="Caption Char"/>
    <w:next w:val="1137"/>
    <w:link w:val="1020"/>
    <w:uiPriority w:val="99"/>
    <w:qFormat/>
  </w:style>
  <w:style w:type="table" w:styleId="1138">
    <w:name w:val="Table Grid Light"/>
    <w:basedOn w:val="1031"/>
    <w:next w:val="1138"/>
    <w:link w:val="1020"/>
    <w:uiPriority w:val="59"/>
    <w:qFormat/>
    <w:tblPr/>
  </w:style>
  <w:style w:type="table" w:styleId="1139">
    <w:name w:val="无格式表格 11"/>
    <w:basedOn w:val="1031"/>
    <w:next w:val="1139"/>
    <w:link w:val="1020"/>
    <w:uiPriority w:val="59"/>
    <w:qFormat/>
    <w:tblPr/>
  </w:style>
  <w:style w:type="table" w:styleId="1140">
    <w:name w:val="无格式表格 21"/>
    <w:basedOn w:val="1031"/>
    <w:next w:val="1140"/>
    <w:link w:val="1020"/>
    <w:uiPriority w:val="59"/>
    <w:qFormat/>
    <w:tblPr/>
  </w:style>
  <w:style w:type="table" w:styleId="1141">
    <w:name w:val="无格式表格 31"/>
    <w:basedOn w:val="1031"/>
    <w:next w:val="1141"/>
    <w:link w:val="1020"/>
    <w:uiPriority w:val="99"/>
    <w:qFormat/>
    <w:tblPr/>
  </w:style>
  <w:style w:type="table" w:styleId="1142">
    <w:name w:val="无格式表格 41"/>
    <w:basedOn w:val="1031"/>
    <w:next w:val="1142"/>
    <w:link w:val="1020"/>
    <w:uiPriority w:val="99"/>
    <w:qFormat/>
    <w:tblPr/>
  </w:style>
  <w:style w:type="table" w:styleId="1143">
    <w:name w:val="无格式表格 51"/>
    <w:basedOn w:val="1031"/>
    <w:next w:val="1143"/>
    <w:link w:val="1020"/>
    <w:uiPriority w:val="99"/>
    <w:qFormat/>
    <w:tblPr/>
  </w:style>
  <w:style w:type="table" w:styleId="1144">
    <w:name w:val="网格表 1 浅色1"/>
    <w:basedOn w:val="1031"/>
    <w:next w:val="1144"/>
    <w:link w:val="1020"/>
    <w:uiPriority w:val="99"/>
    <w:qFormat/>
    <w:tblPr/>
  </w:style>
  <w:style w:type="table" w:styleId="1145">
    <w:name w:val="Grid Table 1 Light - Accent 1"/>
    <w:basedOn w:val="1031"/>
    <w:next w:val="1145"/>
    <w:link w:val="1020"/>
    <w:uiPriority w:val="99"/>
    <w:qFormat/>
    <w:tblPr/>
  </w:style>
  <w:style w:type="table" w:styleId="1146">
    <w:name w:val="Grid Table 1 Light - Accent 2"/>
    <w:basedOn w:val="1031"/>
    <w:next w:val="1146"/>
    <w:link w:val="1020"/>
    <w:uiPriority w:val="99"/>
    <w:qFormat/>
    <w:tblPr/>
  </w:style>
  <w:style w:type="table" w:styleId="1147">
    <w:name w:val="Grid Table 1 Light - Accent 3"/>
    <w:basedOn w:val="1031"/>
    <w:next w:val="1147"/>
    <w:link w:val="1020"/>
    <w:uiPriority w:val="99"/>
    <w:qFormat/>
    <w:tblPr/>
  </w:style>
  <w:style w:type="table" w:styleId="1148">
    <w:name w:val="Grid Table 1 Light - Accent 4"/>
    <w:basedOn w:val="1031"/>
    <w:next w:val="1148"/>
    <w:link w:val="1020"/>
    <w:uiPriority w:val="99"/>
    <w:qFormat/>
    <w:tblPr/>
  </w:style>
  <w:style w:type="table" w:styleId="1149">
    <w:name w:val="Grid Table 1 Light - Accent 5"/>
    <w:basedOn w:val="1031"/>
    <w:next w:val="1149"/>
    <w:link w:val="1020"/>
    <w:uiPriority w:val="99"/>
    <w:qFormat/>
    <w:tblPr/>
  </w:style>
  <w:style w:type="table" w:styleId="1150">
    <w:name w:val="Grid Table 1 Light - Accent 6"/>
    <w:basedOn w:val="1031"/>
    <w:next w:val="1150"/>
    <w:link w:val="1020"/>
    <w:uiPriority w:val="99"/>
    <w:qFormat/>
    <w:tblPr/>
  </w:style>
  <w:style w:type="table" w:styleId="1151">
    <w:name w:val="网格表 21"/>
    <w:basedOn w:val="1031"/>
    <w:next w:val="1151"/>
    <w:link w:val="1020"/>
    <w:uiPriority w:val="99"/>
    <w:qFormat/>
    <w:tblPr/>
  </w:style>
  <w:style w:type="table" w:styleId="1152">
    <w:name w:val="Grid Table 2 - Accent 1"/>
    <w:basedOn w:val="1031"/>
    <w:next w:val="1152"/>
    <w:link w:val="1020"/>
    <w:uiPriority w:val="99"/>
    <w:qFormat/>
    <w:tblPr/>
  </w:style>
  <w:style w:type="table" w:styleId="1153">
    <w:name w:val="Grid Table 2 - Accent 2"/>
    <w:basedOn w:val="1031"/>
    <w:next w:val="1153"/>
    <w:link w:val="1020"/>
    <w:uiPriority w:val="99"/>
    <w:qFormat/>
    <w:tblPr/>
  </w:style>
  <w:style w:type="table" w:styleId="1154">
    <w:name w:val="Grid Table 2 - Accent 3"/>
    <w:basedOn w:val="1031"/>
    <w:next w:val="1154"/>
    <w:link w:val="1020"/>
    <w:uiPriority w:val="99"/>
    <w:qFormat/>
    <w:tblPr/>
  </w:style>
  <w:style w:type="table" w:styleId="1155">
    <w:name w:val="Grid Table 2 - Accent 4"/>
    <w:basedOn w:val="1031"/>
    <w:next w:val="1155"/>
    <w:link w:val="1020"/>
    <w:uiPriority w:val="99"/>
    <w:qFormat/>
    <w:tblPr/>
  </w:style>
  <w:style w:type="table" w:styleId="1156">
    <w:name w:val="Grid Table 2 - Accent 5"/>
    <w:basedOn w:val="1031"/>
    <w:next w:val="1156"/>
    <w:link w:val="1020"/>
    <w:uiPriority w:val="99"/>
    <w:qFormat/>
    <w:tblPr/>
  </w:style>
  <w:style w:type="table" w:styleId="1157">
    <w:name w:val="Grid Table 2 - Accent 6"/>
    <w:basedOn w:val="1031"/>
    <w:next w:val="1157"/>
    <w:link w:val="1020"/>
    <w:uiPriority w:val="99"/>
    <w:qFormat/>
    <w:tblPr/>
  </w:style>
  <w:style w:type="table" w:styleId="1158">
    <w:name w:val="网格表 31"/>
    <w:basedOn w:val="1031"/>
    <w:next w:val="1158"/>
    <w:link w:val="1020"/>
    <w:uiPriority w:val="99"/>
    <w:qFormat/>
    <w:tblPr/>
  </w:style>
  <w:style w:type="table" w:styleId="1159">
    <w:name w:val="Grid Table 3 - Accent 1"/>
    <w:basedOn w:val="1031"/>
    <w:next w:val="1159"/>
    <w:link w:val="1020"/>
    <w:uiPriority w:val="99"/>
    <w:qFormat/>
    <w:tblPr/>
  </w:style>
  <w:style w:type="table" w:styleId="1160">
    <w:name w:val="Grid Table 3 - Accent 2"/>
    <w:basedOn w:val="1031"/>
    <w:next w:val="1160"/>
    <w:link w:val="1020"/>
    <w:uiPriority w:val="99"/>
    <w:qFormat/>
    <w:tblPr/>
  </w:style>
  <w:style w:type="table" w:styleId="1161">
    <w:name w:val="Grid Table 3 - Accent 3"/>
    <w:basedOn w:val="1031"/>
    <w:next w:val="1161"/>
    <w:link w:val="1020"/>
    <w:uiPriority w:val="99"/>
    <w:qFormat/>
    <w:tblPr/>
  </w:style>
  <w:style w:type="table" w:styleId="1162">
    <w:name w:val="Grid Table 3 - Accent 4"/>
    <w:basedOn w:val="1031"/>
    <w:next w:val="1162"/>
    <w:link w:val="1020"/>
    <w:uiPriority w:val="99"/>
    <w:qFormat/>
    <w:tblPr/>
  </w:style>
  <w:style w:type="table" w:styleId="1163">
    <w:name w:val="Grid Table 3 - Accent 5"/>
    <w:basedOn w:val="1031"/>
    <w:next w:val="1163"/>
    <w:link w:val="1020"/>
    <w:uiPriority w:val="99"/>
    <w:qFormat/>
    <w:tblPr/>
  </w:style>
  <w:style w:type="table" w:styleId="1164">
    <w:name w:val="Grid Table 3 - Accent 6"/>
    <w:basedOn w:val="1031"/>
    <w:next w:val="1164"/>
    <w:link w:val="1020"/>
    <w:uiPriority w:val="99"/>
    <w:qFormat/>
    <w:tblPr/>
  </w:style>
  <w:style w:type="table" w:styleId="1165">
    <w:name w:val="网格表 41"/>
    <w:basedOn w:val="1031"/>
    <w:next w:val="1165"/>
    <w:link w:val="1020"/>
    <w:uiPriority w:val="59"/>
    <w:qFormat/>
    <w:tblPr/>
  </w:style>
  <w:style w:type="table" w:styleId="1166">
    <w:name w:val="Grid Table 4 - Accent 1"/>
    <w:basedOn w:val="1031"/>
    <w:next w:val="1166"/>
    <w:link w:val="1020"/>
    <w:uiPriority w:val="59"/>
    <w:qFormat/>
    <w:tblPr/>
  </w:style>
  <w:style w:type="table" w:styleId="1167">
    <w:name w:val="Grid Table 4 - Accent 2"/>
    <w:basedOn w:val="1031"/>
    <w:next w:val="1167"/>
    <w:link w:val="1020"/>
    <w:uiPriority w:val="59"/>
    <w:qFormat/>
    <w:tblPr/>
  </w:style>
  <w:style w:type="table" w:styleId="1168">
    <w:name w:val="Grid Table 4 - Accent 3"/>
    <w:basedOn w:val="1031"/>
    <w:next w:val="1168"/>
    <w:link w:val="1020"/>
    <w:uiPriority w:val="59"/>
    <w:qFormat/>
    <w:tblPr/>
  </w:style>
  <w:style w:type="table" w:styleId="1169">
    <w:name w:val="Grid Table 4 - Accent 4"/>
    <w:basedOn w:val="1031"/>
    <w:next w:val="1169"/>
    <w:link w:val="1020"/>
    <w:uiPriority w:val="59"/>
    <w:qFormat/>
    <w:tblPr/>
  </w:style>
  <w:style w:type="table" w:styleId="1170">
    <w:name w:val="Grid Table 4 - Accent 5"/>
    <w:basedOn w:val="1031"/>
    <w:next w:val="1170"/>
    <w:link w:val="1020"/>
    <w:uiPriority w:val="59"/>
    <w:qFormat/>
    <w:tblPr/>
  </w:style>
  <w:style w:type="table" w:styleId="1171">
    <w:name w:val="Grid Table 4 - Accent 6"/>
    <w:basedOn w:val="1031"/>
    <w:next w:val="1171"/>
    <w:link w:val="1020"/>
    <w:uiPriority w:val="59"/>
    <w:qFormat/>
    <w:tblPr/>
  </w:style>
  <w:style w:type="table" w:styleId="1172">
    <w:name w:val="网格表 5 深色1"/>
    <w:basedOn w:val="1031"/>
    <w:next w:val="1172"/>
    <w:link w:val="1020"/>
    <w:uiPriority w:val="99"/>
    <w:qFormat/>
    <w:tblPr/>
  </w:style>
  <w:style w:type="table" w:styleId="1173">
    <w:name w:val="Grid Table 5 Dark- Accent 1"/>
    <w:basedOn w:val="1031"/>
    <w:next w:val="1173"/>
    <w:link w:val="1020"/>
    <w:uiPriority w:val="99"/>
    <w:qFormat/>
    <w:tblPr/>
  </w:style>
  <w:style w:type="table" w:styleId="1174">
    <w:name w:val="Grid Table 5 Dark - Accent 2"/>
    <w:basedOn w:val="1031"/>
    <w:next w:val="1174"/>
    <w:link w:val="1020"/>
    <w:uiPriority w:val="99"/>
    <w:qFormat/>
    <w:tblPr/>
  </w:style>
  <w:style w:type="table" w:styleId="1175">
    <w:name w:val="Grid Table 5 Dark - Accent 3"/>
    <w:basedOn w:val="1031"/>
    <w:next w:val="1175"/>
    <w:link w:val="1020"/>
    <w:uiPriority w:val="99"/>
    <w:qFormat/>
    <w:tblPr/>
  </w:style>
  <w:style w:type="table" w:styleId="1176">
    <w:name w:val="Grid Table 5 Dark- Accent 4"/>
    <w:basedOn w:val="1031"/>
    <w:next w:val="1176"/>
    <w:link w:val="1020"/>
    <w:uiPriority w:val="99"/>
    <w:qFormat/>
    <w:tblPr/>
  </w:style>
  <w:style w:type="table" w:styleId="1177">
    <w:name w:val="Grid Table 5 Dark - Accent 5"/>
    <w:basedOn w:val="1031"/>
    <w:next w:val="1177"/>
    <w:link w:val="1020"/>
    <w:uiPriority w:val="99"/>
    <w:qFormat/>
    <w:tblPr/>
  </w:style>
  <w:style w:type="table" w:styleId="1178">
    <w:name w:val="Grid Table 5 Dark - Accent 6"/>
    <w:basedOn w:val="1031"/>
    <w:next w:val="1178"/>
    <w:link w:val="1020"/>
    <w:uiPriority w:val="99"/>
    <w:qFormat/>
    <w:tblPr/>
  </w:style>
  <w:style w:type="table" w:styleId="1179">
    <w:name w:val="网格表 6 彩色1"/>
    <w:basedOn w:val="1031"/>
    <w:next w:val="1179"/>
    <w:link w:val="1020"/>
    <w:uiPriority w:val="99"/>
    <w:qFormat/>
    <w:tblPr/>
  </w:style>
  <w:style w:type="table" w:styleId="1180">
    <w:name w:val="Grid Table 6 Colorful - Accent 1"/>
    <w:basedOn w:val="1031"/>
    <w:next w:val="1180"/>
    <w:link w:val="1020"/>
    <w:uiPriority w:val="99"/>
    <w:qFormat/>
    <w:tblPr/>
  </w:style>
  <w:style w:type="table" w:styleId="1181">
    <w:name w:val="Grid Table 6 Colorful - Accent 2"/>
    <w:basedOn w:val="1031"/>
    <w:next w:val="1181"/>
    <w:link w:val="1020"/>
    <w:uiPriority w:val="99"/>
    <w:qFormat/>
    <w:tblPr/>
  </w:style>
  <w:style w:type="table" w:styleId="1182">
    <w:name w:val="Grid Table 6 Colorful - Accent 3"/>
    <w:basedOn w:val="1031"/>
    <w:next w:val="1182"/>
    <w:link w:val="1020"/>
    <w:uiPriority w:val="99"/>
    <w:qFormat/>
    <w:tblPr/>
  </w:style>
  <w:style w:type="table" w:styleId="1183">
    <w:name w:val="Grid Table 6 Colorful - Accent 4"/>
    <w:basedOn w:val="1031"/>
    <w:next w:val="1183"/>
    <w:link w:val="1020"/>
    <w:uiPriority w:val="99"/>
    <w:qFormat/>
    <w:tblPr/>
  </w:style>
  <w:style w:type="table" w:styleId="1184">
    <w:name w:val="Grid Table 6 Colorful - Accent 5"/>
    <w:basedOn w:val="1031"/>
    <w:next w:val="1184"/>
    <w:link w:val="1020"/>
    <w:uiPriority w:val="99"/>
    <w:qFormat/>
    <w:tblPr/>
  </w:style>
  <w:style w:type="table" w:styleId="1185">
    <w:name w:val="Grid Table 6 Colorful - Accent 6"/>
    <w:basedOn w:val="1031"/>
    <w:next w:val="1185"/>
    <w:link w:val="1020"/>
    <w:uiPriority w:val="99"/>
    <w:qFormat/>
    <w:tblPr/>
  </w:style>
  <w:style w:type="table" w:styleId="1186">
    <w:name w:val="网格表 7 彩色1"/>
    <w:basedOn w:val="1031"/>
    <w:next w:val="1186"/>
    <w:link w:val="1020"/>
    <w:uiPriority w:val="99"/>
    <w:qFormat/>
    <w:tblPr/>
  </w:style>
  <w:style w:type="table" w:styleId="1187">
    <w:name w:val="Grid Table 7 Colorful - Accent 1"/>
    <w:basedOn w:val="1031"/>
    <w:next w:val="1187"/>
    <w:link w:val="1020"/>
    <w:uiPriority w:val="99"/>
    <w:qFormat/>
    <w:tblPr/>
  </w:style>
  <w:style w:type="table" w:styleId="1188">
    <w:name w:val="Grid Table 7 Colorful - Accent 2"/>
    <w:basedOn w:val="1031"/>
    <w:next w:val="1188"/>
    <w:link w:val="1020"/>
    <w:uiPriority w:val="99"/>
    <w:qFormat/>
    <w:tblPr/>
  </w:style>
  <w:style w:type="table" w:styleId="1189">
    <w:name w:val="Grid Table 7 Colorful - Accent 3"/>
    <w:basedOn w:val="1031"/>
    <w:next w:val="1189"/>
    <w:link w:val="1020"/>
    <w:uiPriority w:val="99"/>
    <w:qFormat/>
    <w:tblPr/>
  </w:style>
  <w:style w:type="table" w:styleId="1190">
    <w:name w:val="Grid Table 7 Colorful - Accent 4"/>
    <w:basedOn w:val="1031"/>
    <w:next w:val="1190"/>
    <w:link w:val="1020"/>
    <w:uiPriority w:val="99"/>
    <w:qFormat/>
    <w:tblPr/>
  </w:style>
  <w:style w:type="table" w:styleId="1191">
    <w:name w:val="Grid Table 7 Colorful - Accent 5"/>
    <w:basedOn w:val="1031"/>
    <w:next w:val="1191"/>
    <w:link w:val="1020"/>
    <w:uiPriority w:val="99"/>
    <w:qFormat/>
    <w:tblPr/>
  </w:style>
  <w:style w:type="table" w:styleId="1192">
    <w:name w:val="Grid Table 7 Colorful - Accent 6"/>
    <w:basedOn w:val="1031"/>
    <w:next w:val="1192"/>
    <w:link w:val="1020"/>
    <w:uiPriority w:val="99"/>
    <w:qFormat/>
    <w:tblPr/>
  </w:style>
  <w:style w:type="table" w:styleId="1193">
    <w:name w:val="清单表 1 浅色1"/>
    <w:basedOn w:val="1031"/>
    <w:next w:val="1193"/>
    <w:link w:val="1020"/>
    <w:uiPriority w:val="99"/>
    <w:qFormat/>
    <w:tblPr/>
  </w:style>
  <w:style w:type="table" w:styleId="1194">
    <w:name w:val="List Table 1 Light - Accent 1"/>
    <w:basedOn w:val="1031"/>
    <w:next w:val="1194"/>
    <w:link w:val="1020"/>
    <w:uiPriority w:val="99"/>
    <w:qFormat/>
    <w:tblPr/>
  </w:style>
  <w:style w:type="table" w:styleId="1195">
    <w:name w:val="List Table 1 Light - Accent 2"/>
    <w:basedOn w:val="1031"/>
    <w:next w:val="1195"/>
    <w:link w:val="1020"/>
    <w:uiPriority w:val="99"/>
    <w:qFormat/>
    <w:tblPr/>
  </w:style>
  <w:style w:type="table" w:styleId="1196">
    <w:name w:val="List Table 1 Light - Accent 3"/>
    <w:basedOn w:val="1031"/>
    <w:next w:val="1196"/>
    <w:link w:val="1020"/>
    <w:uiPriority w:val="99"/>
    <w:qFormat/>
    <w:tblPr/>
  </w:style>
  <w:style w:type="table" w:styleId="1197">
    <w:name w:val="List Table 1 Light - Accent 4"/>
    <w:basedOn w:val="1031"/>
    <w:next w:val="1197"/>
    <w:link w:val="1020"/>
    <w:uiPriority w:val="99"/>
    <w:qFormat/>
    <w:tblPr/>
  </w:style>
  <w:style w:type="table" w:styleId="1198">
    <w:name w:val="List Table 1 Light - Accent 5"/>
    <w:basedOn w:val="1031"/>
    <w:next w:val="1198"/>
    <w:link w:val="1020"/>
    <w:uiPriority w:val="99"/>
    <w:qFormat/>
    <w:tblPr/>
  </w:style>
  <w:style w:type="table" w:styleId="1199">
    <w:name w:val="List Table 1 Light - Accent 6"/>
    <w:basedOn w:val="1031"/>
    <w:next w:val="1199"/>
    <w:link w:val="1020"/>
    <w:uiPriority w:val="99"/>
    <w:qFormat/>
    <w:tblPr/>
  </w:style>
  <w:style w:type="table" w:styleId="1200">
    <w:name w:val="清单表 21"/>
    <w:basedOn w:val="1031"/>
    <w:next w:val="1200"/>
    <w:link w:val="1020"/>
    <w:uiPriority w:val="99"/>
    <w:qFormat/>
    <w:tblPr/>
  </w:style>
  <w:style w:type="table" w:styleId="1201">
    <w:name w:val="List Table 2 - Accent 1"/>
    <w:basedOn w:val="1031"/>
    <w:next w:val="1201"/>
    <w:link w:val="1020"/>
    <w:uiPriority w:val="99"/>
    <w:qFormat/>
    <w:tblPr/>
  </w:style>
  <w:style w:type="table" w:styleId="1202">
    <w:name w:val="List Table 2 - Accent 2"/>
    <w:basedOn w:val="1031"/>
    <w:next w:val="1202"/>
    <w:link w:val="1020"/>
    <w:uiPriority w:val="99"/>
    <w:qFormat/>
    <w:tblPr/>
  </w:style>
  <w:style w:type="table" w:styleId="1203">
    <w:name w:val="List Table 2 - Accent 3"/>
    <w:basedOn w:val="1031"/>
    <w:next w:val="1203"/>
    <w:link w:val="1020"/>
    <w:uiPriority w:val="99"/>
    <w:qFormat/>
    <w:tblPr/>
  </w:style>
  <w:style w:type="table" w:styleId="1204">
    <w:name w:val="List Table 2 - Accent 4"/>
    <w:basedOn w:val="1031"/>
    <w:next w:val="1204"/>
    <w:link w:val="1020"/>
    <w:uiPriority w:val="99"/>
    <w:qFormat/>
    <w:tblPr/>
  </w:style>
  <w:style w:type="table" w:styleId="1205">
    <w:name w:val="List Table 2 - Accent 5"/>
    <w:basedOn w:val="1031"/>
    <w:next w:val="1205"/>
    <w:link w:val="1020"/>
    <w:uiPriority w:val="99"/>
    <w:qFormat/>
    <w:tblPr/>
  </w:style>
  <w:style w:type="table" w:styleId="1206">
    <w:name w:val="List Table 2 - Accent 6"/>
    <w:basedOn w:val="1031"/>
    <w:next w:val="1206"/>
    <w:link w:val="1020"/>
    <w:uiPriority w:val="99"/>
    <w:qFormat/>
    <w:tblPr/>
  </w:style>
  <w:style w:type="table" w:styleId="1207">
    <w:name w:val="清单表 31"/>
    <w:basedOn w:val="1031"/>
    <w:next w:val="1207"/>
    <w:link w:val="1020"/>
    <w:uiPriority w:val="99"/>
    <w:qFormat/>
    <w:tblPr/>
  </w:style>
  <w:style w:type="table" w:styleId="1208">
    <w:name w:val="List Table 3 - Accent 1"/>
    <w:basedOn w:val="1031"/>
    <w:next w:val="1208"/>
    <w:link w:val="1020"/>
    <w:uiPriority w:val="99"/>
    <w:qFormat/>
    <w:tblPr/>
  </w:style>
  <w:style w:type="table" w:styleId="1209">
    <w:name w:val="List Table 3 - Accent 2"/>
    <w:basedOn w:val="1031"/>
    <w:next w:val="1209"/>
    <w:link w:val="1020"/>
    <w:uiPriority w:val="99"/>
    <w:qFormat/>
    <w:tblPr/>
  </w:style>
  <w:style w:type="table" w:styleId="1210">
    <w:name w:val="List Table 3 - Accent 3"/>
    <w:basedOn w:val="1031"/>
    <w:next w:val="1210"/>
    <w:link w:val="1020"/>
    <w:uiPriority w:val="99"/>
    <w:qFormat/>
    <w:tblPr/>
  </w:style>
  <w:style w:type="table" w:styleId="1211">
    <w:name w:val="List Table 3 - Accent 4"/>
    <w:basedOn w:val="1031"/>
    <w:next w:val="1211"/>
    <w:link w:val="1020"/>
    <w:uiPriority w:val="99"/>
    <w:qFormat/>
    <w:tblPr/>
  </w:style>
  <w:style w:type="table" w:styleId="1212">
    <w:name w:val="List Table 3 - Accent 5"/>
    <w:basedOn w:val="1031"/>
    <w:next w:val="1212"/>
    <w:link w:val="1020"/>
    <w:uiPriority w:val="99"/>
    <w:qFormat/>
    <w:tblPr/>
  </w:style>
  <w:style w:type="table" w:styleId="1213">
    <w:name w:val="List Table 3 - Accent 6"/>
    <w:basedOn w:val="1031"/>
    <w:next w:val="1213"/>
    <w:link w:val="1020"/>
    <w:uiPriority w:val="99"/>
    <w:qFormat/>
    <w:tblPr/>
  </w:style>
  <w:style w:type="table" w:styleId="1214">
    <w:name w:val="清单表 41"/>
    <w:basedOn w:val="1031"/>
    <w:next w:val="1214"/>
    <w:link w:val="1020"/>
    <w:uiPriority w:val="99"/>
    <w:qFormat/>
    <w:tblPr/>
  </w:style>
  <w:style w:type="table" w:styleId="1215">
    <w:name w:val="List Table 4 - Accent 1"/>
    <w:basedOn w:val="1031"/>
    <w:next w:val="1215"/>
    <w:link w:val="1020"/>
    <w:uiPriority w:val="99"/>
    <w:qFormat/>
    <w:tblPr/>
  </w:style>
  <w:style w:type="table" w:styleId="1216">
    <w:name w:val="List Table 4 - Accent 2"/>
    <w:basedOn w:val="1031"/>
    <w:next w:val="1216"/>
    <w:link w:val="1020"/>
    <w:uiPriority w:val="99"/>
    <w:qFormat/>
    <w:tblPr/>
  </w:style>
  <w:style w:type="table" w:styleId="1217">
    <w:name w:val="List Table 4 - Accent 3"/>
    <w:basedOn w:val="1031"/>
    <w:next w:val="1217"/>
    <w:link w:val="1020"/>
    <w:uiPriority w:val="99"/>
    <w:qFormat/>
    <w:tblPr/>
  </w:style>
  <w:style w:type="table" w:styleId="1218">
    <w:name w:val="List Table 4 - Accent 4"/>
    <w:basedOn w:val="1031"/>
    <w:next w:val="1218"/>
    <w:link w:val="1020"/>
    <w:uiPriority w:val="99"/>
    <w:qFormat/>
    <w:tblPr/>
  </w:style>
  <w:style w:type="table" w:styleId="1219">
    <w:name w:val="List Table 4 - Accent 5"/>
    <w:basedOn w:val="1031"/>
    <w:next w:val="1219"/>
    <w:link w:val="1020"/>
    <w:uiPriority w:val="99"/>
    <w:qFormat/>
    <w:tblPr/>
  </w:style>
  <w:style w:type="table" w:styleId="1220">
    <w:name w:val="List Table 4 - Accent 6"/>
    <w:basedOn w:val="1031"/>
    <w:next w:val="1220"/>
    <w:link w:val="1020"/>
    <w:uiPriority w:val="99"/>
    <w:qFormat/>
    <w:tblPr/>
  </w:style>
  <w:style w:type="table" w:styleId="1221">
    <w:name w:val="清单表 5 深色1"/>
    <w:basedOn w:val="1031"/>
    <w:next w:val="1221"/>
    <w:link w:val="1020"/>
    <w:uiPriority w:val="99"/>
    <w:qFormat/>
    <w:tblPr/>
  </w:style>
  <w:style w:type="table" w:styleId="1222">
    <w:name w:val="List Table 5 Dark - Accent 1"/>
    <w:basedOn w:val="1031"/>
    <w:next w:val="1222"/>
    <w:link w:val="1020"/>
    <w:uiPriority w:val="99"/>
    <w:qFormat/>
    <w:tblPr/>
  </w:style>
  <w:style w:type="table" w:styleId="1223">
    <w:name w:val="List Table 5 Dark - Accent 2"/>
    <w:basedOn w:val="1031"/>
    <w:next w:val="1223"/>
    <w:link w:val="1020"/>
    <w:uiPriority w:val="99"/>
    <w:qFormat/>
    <w:tblPr/>
  </w:style>
  <w:style w:type="table" w:styleId="1224">
    <w:name w:val="List Table 5 Dark - Accent 3"/>
    <w:basedOn w:val="1031"/>
    <w:next w:val="1224"/>
    <w:link w:val="1020"/>
    <w:uiPriority w:val="99"/>
    <w:qFormat/>
    <w:tblPr/>
  </w:style>
  <w:style w:type="table" w:styleId="1225">
    <w:name w:val="List Table 5 Dark - Accent 4"/>
    <w:basedOn w:val="1031"/>
    <w:next w:val="1225"/>
    <w:link w:val="1020"/>
    <w:uiPriority w:val="99"/>
    <w:qFormat/>
    <w:tblPr/>
  </w:style>
  <w:style w:type="table" w:styleId="1226">
    <w:name w:val="List Table 5 Dark - Accent 5"/>
    <w:basedOn w:val="1031"/>
    <w:next w:val="1226"/>
    <w:link w:val="1020"/>
    <w:uiPriority w:val="99"/>
    <w:qFormat/>
    <w:tblPr/>
  </w:style>
  <w:style w:type="table" w:styleId="1227">
    <w:name w:val="List Table 5 Dark - Accent 6"/>
    <w:basedOn w:val="1031"/>
    <w:next w:val="1227"/>
    <w:link w:val="1020"/>
    <w:uiPriority w:val="99"/>
    <w:qFormat/>
    <w:tblPr/>
  </w:style>
  <w:style w:type="table" w:styleId="1228">
    <w:name w:val="清单表 6 彩色1"/>
    <w:basedOn w:val="1031"/>
    <w:next w:val="1228"/>
    <w:link w:val="1020"/>
    <w:uiPriority w:val="99"/>
    <w:qFormat/>
    <w:tblPr/>
  </w:style>
  <w:style w:type="table" w:styleId="1229">
    <w:name w:val="List Table 6 Colorful - Accent 1"/>
    <w:basedOn w:val="1031"/>
    <w:next w:val="1229"/>
    <w:link w:val="1020"/>
    <w:uiPriority w:val="99"/>
    <w:qFormat/>
    <w:tblPr/>
  </w:style>
  <w:style w:type="table" w:styleId="1230">
    <w:name w:val="List Table 6 Colorful - Accent 2"/>
    <w:basedOn w:val="1031"/>
    <w:next w:val="1230"/>
    <w:link w:val="1020"/>
    <w:uiPriority w:val="99"/>
    <w:qFormat/>
    <w:tblPr/>
  </w:style>
  <w:style w:type="table" w:styleId="1231">
    <w:name w:val="List Table 6 Colorful - Accent 3"/>
    <w:basedOn w:val="1031"/>
    <w:next w:val="1231"/>
    <w:link w:val="1020"/>
    <w:uiPriority w:val="99"/>
    <w:qFormat/>
    <w:tblPr/>
  </w:style>
  <w:style w:type="table" w:styleId="1232">
    <w:name w:val="List Table 6 Colorful - Accent 4"/>
    <w:basedOn w:val="1031"/>
    <w:next w:val="1232"/>
    <w:link w:val="1020"/>
    <w:uiPriority w:val="99"/>
    <w:qFormat/>
    <w:tblPr/>
  </w:style>
  <w:style w:type="table" w:styleId="1233">
    <w:name w:val="List Table 6 Colorful - Accent 5"/>
    <w:basedOn w:val="1031"/>
    <w:next w:val="1233"/>
    <w:link w:val="1020"/>
    <w:uiPriority w:val="99"/>
    <w:qFormat/>
    <w:tblPr/>
  </w:style>
  <w:style w:type="table" w:styleId="1234">
    <w:name w:val="List Table 6 Colorful - Accent 6"/>
    <w:basedOn w:val="1031"/>
    <w:next w:val="1234"/>
    <w:link w:val="1020"/>
    <w:uiPriority w:val="99"/>
    <w:qFormat/>
    <w:tblPr/>
  </w:style>
  <w:style w:type="table" w:styleId="1235">
    <w:name w:val="清单表 7 彩色1"/>
    <w:basedOn w:val="1031"/>
    <w:next w:val="1235"/>
    <w:link w:val="1020"/>
    <w:uiPriority w:val="99"/>
    <w:qFormat/>
    <w:tblPr/>
  </w:style>
  <w:style w:type="table" w:styleId="1236">
    <w:name w:val="List Table 7 Colorful - Accent 1"/>
    <w:basedOn w:val="1031"/>
    <w:next w:val="1236"/>
    <w:link w:val="1020"/>
    <w:uiPriority w:val="99"/>
    <w:qFormat/>
    <w:tblPr/>
  </w:style>
  <w:style w:type="table" w:styleId="1237">
    <w:name w:val="List Table 7 Colorful - Accent 2"/>
    <w:basedOn w:val="1031"/>
    <w:next w:val="1237"/>
    <w:link w:val="1020"/>
    <w:uiPriority w:val="99"/>
    <w:qFormat/>
    <w:tblPr/>
  </w:style>
  <w:style w:type="table" w:styleId="1238">
    <w:name w:val="List Table 7 Colorful - Accent 3"/>
    <w:basedOn w:val="1031"/>
    <w:next w:val="1238"/>
    <w:link w:val="1020"/>
    <w:uiPriority w:val="99"/>
    <w:qFormat/>
    <w:tblPr/>
  </w:style>
  <w:style w:type="table" w:styleId="1239">
    <w:name w:val="List Table 7 Colorful - Accent 4"/>
    <w:basedOn w:val="1031"/>
    <w:next w:val="1239"/>
    <w:link w:val="1020"/>
    <w:uiPriority w:val="99"/>
    <w:qFormat/>
    <w:tblPr/>
  </w:style>
  <w:style w:type="table" w:styleId="1240">
    <w:name w:val="List Table 7 Colorful - Accent 5"/>
    <w:basedOn w:val="1031"/>
    <w:next w:val="1240"/>
    <w:link w:val="1020"/>
    <w:uiPriority w:val="99"/>
    <w:qFormat/>
    <w:tblPr/>
  </w:style>
  <w:style w:type="table" w:styleId="1241">
    <w:name w:val="List Table 7 Colorful - Accent 6"/>
    <w:basedOn w:val="1031"/>
    <w:next w:val="1241"/>
    <w:link w:val="1020"/>
    <w:uiPriority w:val="99"/>
    <w:qFormat/>
    <w:tblPr/>
  </w:style>
  <w:style w:type="table" w:styleId="1242">
    <w:name w:val="Lined - Accent"/>
    <w:basedOn w:val="1031"/>
    <w:next w:val="1242"/>
    <w:link w:val="1020"/>
    <w:uiPriority w:val="99"/>
    <w:qFormat/>
    <w:rPr>
      <w:color w:val="404040"/>
    </w:rPr>
    <w:tblPr/>
  </w:style>
  <w:style w:type="table" w:styleId="1243">
    <w:name w:val="Lined - Accent 1"/>
    <w:basedOn w:val="1031"/>
    <w:next w:val="1243"/>
    <w:link w:val="1020"/>
    <w:uiPriority w:val="99"/>
    <w:qFormat/>
    <w:rPr>
      <w:color w:val="404040"/>
    </w:rPr>
    <w:tblPr/>
  </w:style>
  <w:style w:type="table" w:styleId="1244">
    <w:name w:val="Lined - Accent 2"/>
    <w:basedOn w:val="1031"/>
    <w:next w:val="1244"/>
    <w:link w:val="1020"/>
    <w:uiPriority w:val="99"/>
    <w:qFormat/>
    <w:rPr>
      <w:color w:val="404040"/>
    </w:rPr>
    <w:tblPr/>
  </w:style>
  <w:style w:type="table" w:styleId="1245">
    <w:name w:val="Lined - Accent 3"/>
    <w:basedOn w:val="1031"/>
    <w:next w:val="1245"/>
    <w:link w:val="1020"/>
    <w:uiPriority w:val="99"/>
    <w:qFormat/>
    <w:rPr>
      <w:color w:val="404040"/>
    </w:rPr>
    <w:tblPr/>
  </w:style>
  <w:style w:type="table" w:styleId="1246">
    <w:name w:val="Lined - Accent 4"/>
    <w:basedOn w:val="1031"/>
    <w:next w:val="1246"/>
    <w:link w:val="1020"/>
    <w:uiPriority w:val="99"/>
    <w:qFormat/>
    <w:rPr>
      <w:color w:val="404040"/>
    </w:rPr>
    <w:tblPr/>
  </w:style>
  <w:style w:type="table" w:styleId="1247">
    <w:name w:val="Lined - Accent 5"/>
    <w:basedOn w:val="1031"/>
    <w:next w:val="1247"/>
    <w:link w:val="1020"/>
    <w:uiPriority w:val="99"/>
    <w:qFormat/>
    <w:rPr>
      <w:color w:val="404040"/>
    </w:rPr>
    <w:tblPr/>
  </w:style>
  <w:style w:type="table" w:styleId="1248">
    <w:name w:val="Lined - Accent 6"/>
    <w:basedOn w:val="1031"/>
    <w:next w:val="1248"/>
    <w:link w:val="1020"/>
    <w:uiPriority w:val="99"/>
    <w:qFormat/>
    <w:rPr>
      <w:color w:val="404040"/>
    </w:rPr>
    <w:tblPr/>
  </w:style>
  <w:style w:type="table" w:styleId="1249">
    <w:name w:val="Bordered &amp; Lined - Accent"/>
    <w:basedOn w:val="1031"/>
    <w:next w:val="1249"/>
    <w:link w:val="1020"/>
    <w:uiPriority w:val="99"/>
    <w:qFormat/>
    <w:rPr>
      <w:color w:val="404040"/>
    </w:rPr>
    <w:tblPr/>
  </w:style>
  <w:style w:type="table" w:styleId="1250">
    <w:name w:val="Bordered &amp; Lined - Accent 1"/>
    <w:basedOn w:val="1031"/>
    <w:next w:val="1250"/>
    <w:link w:val="1020"/>
    <w:uiPriority w:val="99"/>
    <w:qFormat/>
    <w:rPr>
      <w:color w:val="404040"/>
    </w:rPr>
    <w:tblPr/>
  </w:style>
  <w:style w:type="table" w:styleId="1251">
    <w:name w:val="Bordered &amp; Lined - Accent 2"/>
    <w:basedOn w:val="1031"/>
    <w:next w:val="1251"/>
    <w:link w:val="1020"/>
    <w:uiPriority w:val="99"/>
    <w:qFormat/>
    <w:rPr>
      <w:color w:val="404040"/>
    </w:rPr>
    <w:tblPr/>
  </w:style>
  <w:style w:type="table" w:styleId="1252">
    <w:name w:val="Bordered &amp; Lined - Accent 3"/>
    <w:basedOn w:val="1031"/>
    <w:next w:val="1252"/>
    <w:link w:val="1020"/>
    <w:uiPriority w:val="99"/>
    <w:qFormat/>
    <w:rPr>
      <w:color w:val="404040"/>
    </w:rPr>
    <w:tblPr/>
  </w:style>
  <w:style w:type="table" w:styleId="1253">
    <w:name w:val="Bordered &amp; Lined - Accent 4"/>
    <w:basedOn w:val="1031"/>
    <w:next w:val="1253"/>
    <w:link w:val="1020"/>
    <w:uiPriority w:val="99"/>
    <w:qFormat/>
    <w:rPr>
      <w:color w:val="404040"/>
    </w:rPr>
    <w:tblPr/>
  </w:style>
  <w:style w:type="table" w:styleId="1254">
    <w:name w:val="Bordered &amp; Lined - Accent 5"/>
    <w:basedOn w:val="1031"/>
    <w:next w:val="1254"/>
    <w:link w:val="1020"/>
    <w:uiPriority w:val="99"/>
    <w:qFormat/>
    <w:rPr>
      <w:color w:val="404040"/>
    </w:rPr>
    <w:tblPr/>
  </w:style>
  <w:style w:type="table" w:styleId="1255">
    <w:name w:val="Bordered &amp; Lined - Accent 6"/>
    <w:basedOn w:val="1031"/>
    <w:next w:val="1255"/>
    <w:link w:val="1020"/>
    <w:uiPriority w:val="99"/>
    <w:qFormat/>
    <w:rPr>
      <w:color w:val="404040"/>
    </w:rPr>
    <w:tblPr/>
  </w:style>
  <w:style w:type="table" w:styleId="1256">
    <w:name w:val="Bordered"/>
    <w:basedOn w:val="1031"/>
    <w:next w:val="1256"/>
    <w:link w:val="1020"/>
    <w:uiPriority w:val="99"/>
    <w:qFormat/>
    <w:tblPr/>
  </w:style>
  <w:style w:type="table" w:styleId="1257">
    <w:name w:val="Bordered - Accent 1"/>
    <w:basedOn w:val="1031"/>
    <w:next w:val="1257"/>
    <w:link w:val="1020"/>
    <w:uiPriority w:val="99"/>
    <w:qFormat/>
    <w:tblPr/>
  </w:style>
  <w:style w:type="table" w:styleId="1258">
    <w:name w:val="Bordered - Accent 2"/>
    <w:basedOn w:val="1031"/>
    <w:next w:val="1258"/>
    <w:link w:val="1020"/>
    <w:uiPriority w:val="99"/>
    <w:qFormat/>
    <w:tblPr/>
  </w:style>
  <w:style w:type="table" w:styleId="1259">
    <w:name w:val="Bordered - Accent 3"/>
    <w:basedOn w:val="1031"/>
    <w:next w:val="1259"/>
    <w:link w:val="1020"/>
    <w:uiPriority w:val="99"/>
    <w:qFormat/>
    <w:tblPr/>
  </w:style>
  <w:style w:type="table" w:styleId="1260">
    <w:name w:val="Bordered - Accent 4"/>
    <w:basedOn w:val="1031"/>
    <w:next w:val="1260"/>
    <w:link w:val="1020"/>
    <w:uiPriority w:val="99"/>
    <w:qFormat/>
    <w:tblPr/>
  </w:style>
  <w:style w:type="table" w:styleId="1261">
    <w:name w:val="Bordered - Accent 5"/>
    <w:basedOn w:val="1031"/>
    <w:next w:val="1261"/>
    <w:link w:val="1020"/>
    <w:uiPriority w:val="99"/>
    <w:qFormat/>
    <w:tblPr/>
  </w:style>
  <w:style w:type="table" w:styleId="1262">
    <w:name w:val="Bordered - Accent 6"/>
    <w:basedOn w:val="1031"/>
    <w:next w:val="1262"/>
    <w:link w:val="1020"/>
    <w:uiPriority w:val="99"/>
    <w:qFormat/>
    <w:tblPr/>
  </w:style>
  <w:style w:type="paragraph" w:styleId="1263">
    <w:name w:val="TOC 标题1"/>
    <w:next w:val="1263"/>
    <w:link w:val="1020"/>
    <w:uiPriority w:val="39"/>
    <w:unhideWhenUsed/>
    <w:qFormat/>
    <w:rPr>
      <w:rFonts w:ascii="Times New Roman" w:hAnsi="Times New Roman" w:eastAsia="宋体" w:cs="Times New Roman"/>
      <w:lang w:val="en-US" w:eastAsia="zh-CN" w:bidi="ar-SA"/>
    </w:rPr>
  </w:style>
  <w:style w:type="paragraph" w:styleId="1264">
    <w:name w:val="段"/>
    <w:next w:val="1020"/>
    <w:link w:val="1020"/>
    <w:qFormat/>
    <w:pPr>
      <w:ind w:firstLine="200"/>
      <w:jc w:val="both"/>
      <w:spacing w:line="360" w:lineRule="auto"/>
    </w:pPr>
    <w:rPr>
      <w:rFonts w:ascii="宋体" w:hAnsi="Times New Roman" w:eastAsia="宋体" w:cs="Times New Roman"/>
      <w:sz w:val="24"/>
      <w:szCs w:val="22"/>
      <w:lang w:val="en-US" w:eastAsia="zh-CN" w:bidi="ar-SA"/>
    </w:rPr>
  </w:style>
  <w:style w:type="character" w:styleId="1265">
    <w:name w:val="point_normal1"/>
    <w:next w:val="1265"/>
    <w:link w:val="1020"/>
    <w:uiPriority w:val="99"/>
    <w:qFormat/>
    <w:rPr>
      <w:rFonts w:ascii="Arial" w:hAnsi="Arial" w:cs="Arial"/>
      <w:sz w:val="18"/>
      <w:szCs w:val="18"/>
    </w:rPr>
  </w:style>
  <w:style w:type="character" w:styleId="1266">
    <w:name w:val="15"/>
    <w:next w:val="1266"/>
    <w:link w:val="1020"/>
    <w:qFormat/>
    <w:rPr>
      <w:rFonts w:ascii="Times New Roman" w:hAnsi="Times New Roman" w:eastAsia="宋体" w:cs="Times New Roman"/>
    </w:rPr>
  </w:style>
  <w:style w:type="character" w:styleId="1267">
    <w:name w:val="二级目录 Char"/>
    <w:next w:val="1267"/>
    <w:link w:val="1268"/>
    <w:uiPriority w:val="99"/>
    <w:qFormat/>
    <w:rPr>
      <w:b/>
      <w:sz w:val="30"/>
      <w:szCs w:val="28"/>
    </w:rPr>
  </w:style>
  <w:style w:type="paragraph" w:styleId="1268">
    <w:name w:val="二级目录"/>
    <w:next w:val="1020"/>
    <w:link w:val="1267"/>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269">
    <w:name w:val="副标题 Char2"/>
    <w:next w:val="1269"/>
    <w:link w:val="1020"/>
    <w:uiPriority w:val="11"/>
    <w:qFormat/>
    <w:rPr>
      <w:rFonts w:ascii="Calibri Light" w:hAnsi="Calibri Light" w:cs="Times New Roman"/>
      <w:b/>
      <w:bCs/>
      <w:sz w:val="32"/>
      <w:szCs w:val="32"/>
    </w:rPr>
  </w:style>
  <w:style w:type="character" w:styleId="1270">
    <w:name w:val="正文2 Char"/>
    <w:next w:val="1270"/>
    <w:link w:val="1271"/>
    <w:qFormat/>
    <w:rPr>
      <w:sz w:val="24"/>
    </w:rPr>
  </w:style>
  <w:style w:type="paragraph" w:styleId="1271">
    <w:name w:val="正文2"/>
    <w:basedOn w:val="1020"/>
    <w:next w:val="1271"/>
    <w:link w:val="1270"/>
    <w:qFormat/>
    <w:pPr>
      <w:ind w:firstLine="510"/>
      <w:spacing w:before="156" w:line="360" w:lineRule="auto"/>
    </w:pPr>
    <w:rPr>
      <w:sz w:val="24"/>
    </w:rPr>
  </w:style>
  <w:style w:type="character" w:styleId="1272">
    <w:name w:val="标题 3 Char"/>
    <w:next w:val="1272"/>
    <w:link w:val="1020"/>
    <w:uiPriority w:val="99"/>
    <w:qFormat/>
    <w:rPr>
      <w:rFonts w:ascii="宋体" w:hAnsi="宋体" w:eastAsia="宋体" w:cs="Times New Roman"/>
      <w:b/>
      <w:bCs/>
      <w:sz w:val="32"/>
      <w:szCs w:val="32"/>
      <w:lang w:val="en-US" w:eastAsia="zh-CN" w:bidi="ar-SA"/>
    </w:rPr>
  </w:style>
  <w:style w:type="character" w:styleId="1273">
    <w:name w:val="纯文本 Char1"/>
    <w:next w:val="1273"/>
    <w:link w:val="1020"/>
    <w:qFormat/>
    <w:rPr>
      <w:rFonts w:ascii="宋体" w:hAnsi="Courier New" w:eastAsia="宋体"/>
      <w:sz w:val="21"/>
      <w:lang w:val="en-US" w:eastAsia="zh-CN" w:bidi="ar-SA"/>
    </w:rPr>
  </w:style>
  <w:style w:type="character" w:styleId="1274">
    <w:name w:val="para_small"/>
    <w:next w:val="1274"/>
    <w:link w:val="1020"/>
    <w:uiPriority w:val="99"/>
    <w:qFormat/>
    <w:rPr>
      <w:rFonts w:cs="Times New Roman"/>
    </w:rPr>
  </w:style>
  <w:style w:type="character" w:styleId="1275">
    <w:name w:val="标题 Char3"/>
    <w:next w:val="1275"/>
    <w:link w:val="1020"/>
    <w:uiPriority w:val="10"/>
    <w:qFormat/>
    <w:rPr>
      <w:rFonts w:ascii="黑体" w:hAnsi="黑体" w:eastAsia="黑体"/>
      <w:b/>
      <w:bCs/>
      <w:sz w:val="24"/>
      <w:szCs w:val="32"/>
    </w:rPr>
  </w:style>
  <w:style w:type="paragraph" w:styleId="1276">
    <w:name w:val="样式"/>
    <w:basedOn w:val="1020"/>
    <w:next w:val="1055"/>
    <w:link w:val="1020"/>
    <w:uiPriority w:val="99"/>
    <w:qFormat/>
    <w:rPr>
      <w:rFonts w:ascii="楷体_GB2312" w:hAnsi="Arial" w:eastAsia="楷体_GB2312"/>
      <w:sz w:val="28"/>
    </w:rPr>
  </w:style>
  <w:style w:type="paragraph" w:styleId="1277">
    <w:name w:val="xl113"/>
    <w:basedOn w:val="1020"/>
    <w:next w:val="1277"/>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78">
    <w:name w:val="xl112"/>
    <w:basedOn w:val="1020"/>
    <w:next w:val="1278"/>
    <w:link w:val="10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79">
    <w:name w:val="普通正文"/>
    <w:basedOn w:val="1020"/>
    <w:next w:val="1279"/>
    <w:link w:val="1020"/>
    <w:qFormat/>
    <w:pPr>
      <w:ind w:firstLine="480"/>
      <w:jc w:val="left"/>
      <w:spacing w:before="120" w:after="120" w:line="360" w:lineRule="auto"/>
    </w:pPr>
    <w:rPr>
      <w:rFonts w:ascii="Arial" w:hAnsi="Arial" w:cs="Arial"/>
      <w:sz w:val="24"/>
      <w:szCs w:val="24"/>
    </w:rPr>
  </w:style>
  <w:style w:type="paragraph" w:styleId="1280">
    <w:name w:val="Char Char Char Char Char Char Char Char Char Char Char Char Char"/>
    <w:basedOn w:val="1048"/>
    <w:next w:val="1280"/>
    <w:link w:val="1020"/>
    <w:uiPriority w:val="99"/>
    <w:qFormat/>
    <w:rPr>
      <w:rFonts w:ascii="Tahoma" w:hAnsi="Tahoma"/>
      <w:sz w:val="24"/>
      <w:szCs w:val="24"/>
    </w:rPr>
  </w:style>
  <w:style w:type="paragraph" w:styleId="1281">
    <w:name w:val="丁华标题1"/>
    <w:basedOn w:val="1021"/>
    <w:next w:val="1282"/>
    <w:link w:val="1020"/>
    <w:uiPriority w:val="99"/>
    <w:qFormat/>
    <w:pPr>
      <w:numPr>
        <w:ilvl w:val="0"/>
        <w:numId w:val="2"/>
      </w:numPr>
      <w:ind w:firstLine="0"/>
      <w:jc w:val="left"/>
      <w:keepLines/>
      <w:spacing w:before="0" w:line="578" w:lineRule="auto"/>
      <w:tabs>
        <w:tab w:val="left" w:pos="567" w:leader="none"/>
      </w:tabs>
    </w:pPr>
    <w:rPr>
      <w:rFonts w:ascii="Times New Roman"/>
      <w:b w:val="0"/>
      <w:sz w:val="32"/>
    </w:rPr>
  </w:style>
  <w:style w:type="paragraph" w:styleId="1282">
    <w:name w:val="丁华正文"/>
    <w:basedOn w:val="1087"/>
    <w:next w:val="1282"/>
    <w:link w:val="1020"/>
    <w:uiPriority w:val="99"/>
    <w:qFormat/>
    <w:pPr>
      <w:ind w:left="0" w:firstLine="510"/>
      <w:spacing w:line="360" w:lineRule="auto"/>
    </w:pPr>
    <w:rPr>
      <w:sz w:val="24"/>
    </w:rPr>
  </w:style>
  <w:style w:type="paragraph" w:styleId="1283">
    <w:name w:val="Bullets L1"/>
    <w:basedOn w:val="1020"/>
    <w:next w:val="1283"/>
    <w:link w:val="1020"/>
    <w:uiPriority w:val="99"/>
    <w:qFormat/>
    <w:pPr>
      <w:numPr>
        <w:ilvl w:val="0"/>
        <w:numId w:val="3"/>
      </w:numPr>
      <w:jc w:val="left"/>
      <w:spacing w:before="60" w:after="60"/>
      <w:widowControl/>
      <w:tabs>
        <w:tab w:val="left" w:pos="360" w:leader="none"/>
      </w:tabs>
    </w:pPr>
    <w:rPr>
      <w:rFonts w:ascii="Arial" w:hAnsi="Arial"/>
      <w:sz w:val="20"/>
    </w:rPr>
  </w:style>
  <w:style w:type="paragraph" w:styleId="1284">
    <w:name w:val="+正文"/>
    <w:basedOn w:val="1020"/>
    <w:next w:val="1284"/>
    <w:link w:val="1020"/>
    <w:qFormat/>
    <w:pPr>
      <w:ind w:firstLine="200"/>
      <w:spacing w:line="360" w:lineRule="auto"/>
    </w:pPr>
    <w:rPr>
      <w:sz w:val="24"/>
      <w:szCs w:val="28"/>
    </w:rPr>
  </w:style>
  <w:style w:type="paragraph" w:styleId="1285">
    <w:name w:val="xl107"/>
    <w:basedOn w:val="1020"/>
    <w:next w:val="1044"/>
    <w:link w:val="1020"/>
    <w:qFormat/>
    <w:pPr>
      <w:jc w:val="left"/>
      <w:spacing w:before="100" w:beforeAutospacing="1" w:after="100" w:afterAutospacing="1"/>
      <w:widowControl/>
    </w:pPr>
    <w:rPr>
      <w:rFonts w:ascii="Arial" w:hAnsi="Arial" w:cs="Arial"/>
      <w:sz w:val="20"/>
    </w:rPr>
  </w:style>
  <w:style w:type="paragraph" w:styleId="1286">
    <w:name w:val="xl116"/>
    <w:basedOn w:val="1020"/>
    <w:next w:val="1286"/>
    <w:link w:val="102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7">
    <w:name w:val="默认段落字体 Para Char Char Char Char Char Char Char"/>
    <w:basedOn w:val="1020"/>
    <w:next w:val="1287"/>
    <w:link w:val="1020"/>
    <w:uiPriority w:val="99"/>
    <w:qFormat/>
  </w:style>
  <w:style w:type="paragraph" w:styleId="1288">
    <w:name w:val="xl108"/>
    <w:basedOn w:val="1020"/>
    <w:next w:val="1288"/>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9">
    <w:name w:val="Table Paragraph"/>
    <w:basedOn w:val="1020"/>
    <w:next w:val="1289"/>
    <w:link w:val="1020"/>
    <w:uiPriority w:val="1"/>
    <w:qFormat/>
    <w:rPr>
      <w:rFonts w:ascii="宋体" w:hAnsi="宋体" w:cs="宋体"/>
      <w:lang w:val="zh-CN" w:bidi="zh-CN"/>
    </w:rPr>
  </w:style>
  <w:style w:type="paragraph" w:styleId="1290">
    <w:name w:val="丁华标题2"/>
    <w:basedOn w:val="1022"/>
    <w:next w:val="1282"/>
    <w:link w:val="1020"/>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291">
    <w:name w:val="font5"/>
    <w:basedOn w:val="1020"/>
    <w:next w:val="1291"/>
    <w:link w:val="1020"/>
    <w:qFormat/>
    <w:pPr>
      <w:jc w:val="left"/>
      <w:spacing w:before="100" w:beforeAutospacing="1" w:after="100" w:afterAutospacing="1"/>
      <w:widowControl/>
    </w:pPr>
    <w:rPr>
      <w:rFonts w:ascii="宋体" w:hAnsi="宋体" w:cs="宋体"/>
      <w:sz w:val="18"/>
      <w:szCs w:val="18"/>
    </w:rPr>
  </w:style>
  <w:style w:type="paragraph" w:styleId="1292">
    <w:name w:val="Char"/>
    <w:basedOn w:val="1020"/>
    <w:next w:val="1292"/>
    <w:link w:val="1020"/>
    <w:qFormat/>
    <w:rPr>
      <w:rFonts w:ascii="Tahoma" w:hAnsi="Tahoma" w:cs="仿宋_GB2312"/>
      <w:sz w:val="24"/>
      <w:szCs w:val="28"/>
    </w:rPr>
  </w:style>
  <w:style w:type="paragraph" w:styleId="1293">
    <w:name w:val="列出段落1"/>
    <w:basedOn w:val="1020"/>
    <w:next w:val="1293"/>
    <w:link w:val="1020"/>
    <w:uiPriority w:val="99"/>
    <w:qFormat/>
    <w:pPr>
      <w:contextualSpacing/>
      <w:ind w:left="720"/>
      <w:jc w:val="left"/>
      <w:widowControl/>
    </w:pPr>
    <w:rPr>
      <w:rFonts w:ascii="Arial" w:hAnsi="Arial" w:eastAsia="黑体"/>
      <w:sz w:val="24"/>
      <w:szCs w:val="24"/>
      <w:lang w:eastAsia="en-US"/>
    </w:rPr>
  </w:style>
  <w:style w:type="paragraph" w:styleId="1294">
    <w:name w:val="font7"/>
    <w:basedOn w:val="1020"/>
    <w:next w:val="1294"/>
    <w:link w:val="1020"/>
    <w:qFormat/>
    <w:pPr>
      <w:jc w:val="left"/>
      <w:spacing w:before="100" w:beforeAutospacing="1" w:after="100" w:afterAutospacing="1"/>
      <w:widowControl/>
    </w:pPr>
    <w:rPr>
      <w:rFonts w:ascii="Arial" w:hAnsi="Arial" w:cs="Arial"/>
      <w:color w:val="000000"/>
      <w:sz w:val="20"/>
    </w:rPr>
  </w:style>
  <w:style w:type="paragraph" w:styleId="1295">
    <w:name w:val="xl111"/>
    <w:basedOn w:val="1020"/>
    <w:next w:val="1052"/>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96">
    <w:name w:val="tableau"/>
    <w:basedOn w:val="1020"/>
    <w:next w:val="1296"/>
    <w:link w:val="1020"/>
    <w:uiPriority w:val="99"/>
    <w:qFormat/>
    <w:pPr>
      <w:jc w:val="center"/>
      <w:spacing w:before="20" w:after="20"/>
      <w:widowControl/>
    </w:pPr>
    <w:rPr>
      <w:rFonts w:ascii="Arial" w:hAnsi="Arial"/>
      <w:sz w:val="16"/>
      <w:lang w:eastAsia="en-US"/>
    </w:rPr>
  </w:style>
  <w:style w:type="paragraph" w:styleId="1297">
    <w:name w:val="列出段落3"/>
    <w:basedOn w:val="1020"/>
    <w:next w:val="1297"/>
    <w:link w:val="1020"/>
    <w:uiPriority w:val="34"/>
    <w:qFormat/>
    <w:pPr>
      <w:ind w:firstLine="420"/>
    </w:pPr>
  </w:style>
  <w:style w:type="paragraph" w:styleId="1298">
    <w:name w:val="Char1"/>
    <w:basedOn w:val="1020"/>
    <w:next w:val="1298"/>
    <w:link w:val="1020"/>
    <w:uiPriority w:val="99"/>
    <w:qFormat/>
    <w:pPr>
      <w:jc w:val="left"/>
      <w:spacing w:after="160" w:line="240" w:lineRule="exact"/>
      <w:widowControl/>
    </w:pPr>
    <w:rPr>
      <w:rFonts w:ascii="Verdana" w:hAnsi="Verdana" w:eastAsia="仿宋_GB2312"/>
      <w:sz w:val="24"/>
      <w:lang w:eastAsia="en-US"/>
    </w:rPr>
  </w:style>
  <w:style w:type="paragraph" w:styleId="1299">
    <w:name w:val="Char Char Char"/>
    <w:basedOn w:val="1048"/>
    <w:next w:val="1299"/>
    <w:link w:val="1020"/>
    <w:uiPriority w:val="99"/>
    <w:qFormat/>
    <w:pPr>
      <w:spacing w:line="436" w:lineRule="exact"/>
    </w:pPr>
    <w:rPr>
      <w:szCs w:val="24"/>
    </w:rPr>
  </w:style>
  <w:style w:type="paragraph" w:styleId="1300">
    <w:name w:val="xl109"/>
    <w:basedOn w:val="1020"/>
    <w:next w:val="1300"/>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301">
    <w:name w:val="Char Char Char Char"/>
    <w:basedOn w:val="1048"/>
    <w:next w:val="1301"/>
    <w:link w:val="1020"/>
    <w:uiPriority w:val="99"/>
    <w:qFormat/>
    <w:pPr>
      <w:spacing w:line="360" w:lineRule="auto"/>
    </w:pPr>
    <w:rPr>
      <w:rFonts w:ascii="Tahoma" w:hAnsi="Tahoma"/>
      <w:sz w:val="24"/>
      <w:szCs w:val="24"/>
    </w:rPr>
  </w:style>
  <w:style w:type="paragraph" w:styleId="1302">
    <w:name w:val="列表段落1"/>
    <w:basedOn w:val="1020"/>
    <w:next w:val="1302"/>
    <w:link w:val="1020"/>
    <w:uiPriority w:val="99"/>
    <w:qFormat/>
    <w:pPr>
      <w:ind w:firstLine="420"/>
    </w:pPr>
  </w:style>
  <w:style w:type="paragraph" w:styleId="1303">
    <w:name w:val="List Paragraph1"/>
    <w:basedOn w:val="1020"/>
    <w:next w:val="1303"/>
    <w:link w:val="1020"/>
    <w:uiPriority w:val="99"/>
    <w:qFormat/>
    <w:pPr>
      <w:ind w:firstLine="420"/>
    </w:pPr>
    <w:rPr>
      <w:szCs w:val="24"/>
    </w:rPr>
  </w:style>
  <w:style w:type="paragraph" w:styleId="1304">
    <w:name w:val="font6"/>
    <w:basedOn w:val="1020"/>
    <w:next w:val="1304"/>
    <w:link w:val="1020"/>
    <w:qFormat/>
    <w:pPr>
      <w:jc w:val="left"/>
      <w:spacing w:before="100" w:beforeAutospacing="1" w:after="100" w:afterAutospacing="1"/>
      <w:widowControl/>
    </w:pPr>
    <w:rPr>
      <w:rFonts w:ascii="宋体" w:hAnsi="宋体" w:cs="宋体"/>
      <w:color w:val="000000"/>
      <w:sz w:val="20"/>
    </w:rPr>
  </w:style>
  <w:style w:type="paragraph" w:styleId="1305">
    <w:name w:val="xl25"/>
    <w:basedOn w:val="1020"/>
    <w:next w:val="1305"/>
    <w:link w:val="1020"/>
    <w:uiPriority w:val="99"/>
    <w:qFormat/>
    <w:pPr>
      <w:jc w:val="center"/>
      <w:spacing w:before="100" w:beforeAutospacing="1" w:after="100" w:afterAutospacing="1"/>
      <w:widowControl/>
      <w:pBdr>
        <w:right w:val="single" w:color="000000" w:sz="4" w:space="0"/>
      </w:pBdr>
    </w:pPr>
    <w:rPr>
      <w:szCs w:val="21"/>
    </w:rPr>
  </w:style>
  <w:style w:type="paragraph" w:styleId="1306">
    <w:name w:val="丁华标题3"/>
    <w:basedOn w:val="1290"/>
    <w:next w:val="1282"/>
    <w:link w:val="1020"/>
    <w:uiPriority w:val="99"/>
    <w:qFormat/>
    <w:pPr>
      <w:numPr>
        <w:ilvl w:val="0"/>
        <w:numId w:val="0"/>
      </w:numPr>
      <w:ind w:left="1980" w:hanging="420"/>
      <w:spacing w:after="0"/>
      <w:tabs>
        <w:tab w:val="left" w:pos="1004" w:leader="none"/>
        <w:tab w:val="left" w:pos="1470" w:leader="none"/>
        <w:tab w:val="left" w:pos="1980" w:leader="none"/>
      </w:tabs>
      <w:outlineLvl w:val="2"/>
    </w:pPr>
    <w:rPr>
      <w:sz w:val="24"/>
    </w:rPr>
  </w:style>
  <w:style w:type="paragraph" w:styleId="1307">
    <w:name w:val="模板正文"/>
    <w:basedOn w:val="1020"/>
    <w:next w:val="1307"/>
    <w:link w:val="1020"/>
    <w:qFormat/>
    <w:pPr>
      <w:ind w:firstLine="200"/>
      <w:spacing w:before="120" w:line="360" w:lineRule="auto"/>
    </w:pPr>
    <w:rPr>
      <w:rFonts w:eastAsia="仿宋_GB2312"/>
      <w:sz w:val="24"/>
      <w:szCs w:val="21"/>
    </w:rPr>
  </w:style>
  <w:style w:type="paragraph" w:styleId="1308">
    <w:name w:val="msolistparagraph"/>
    <w:basedOn w:val="1020"/>
    <w:next w:val="1308"/>
    <w:link w:val="1020"/>
    <w:uiPriority w:val="99"/>
    <w:qFormat/>
    <w:pPr>
      <w:ind w:firstLine="420"/>
    </w:pPr>
    <w:rPr>
      <w:rFonts w:ascii="Calibri" w:hAnsi="Calibri"/>
      <w:szCs w:val="22"/>
    </w:rPr>
  </w:style>
  <w:style w:type="paragraph" w:styleId="1309">
    <w:name w:val="首行缩进"/>
    <w:basedOn w:val="1020"/>
    <w:next w:val="1309"/>
    <w:link w:val="1020"/>
    <w:qFormat/>
    <w:pPr>
      <w:ind w:firstLine="480"/>
    </w:pPr>
    <w:rPr>
      <w:rFonts w:ascii="Calibri" w:hAnsi="Calibri"/>
      <w:szCs w:val="21"/>
    </w:rPr>
  </w:style>
  <w:style w:type="paragraph" w:styleId="1310">
    <w:name w:val="retrait3"/>
    <w:basedOn w:val="1020"/>
    <w:next w:val="1310"/>
    <w:link w:val="1020"/>
    <w:uiPriority w:val="99"/>
    <w:qFormat/>
    <w:pPr>
      <w:ind w:left="851"/>
      <w:jc w:val="left"/>
      <w:spacing w:before="20" w:after="20"/>
      <w:widowControl/>
    </w:pPr>
    <w:rPr>
      <w:rFonts w:ascii="Arial" w:hAnsi="Arial"/>
      <w:sz w:val="24"/>
    </w:rPr>
  </w:style>
  <w:style w:type="paragraph" w:styleId="1311">
    <w:name w:val="论文正文"/>
    <w:basedOn w:val="1069"/>
    <w:next w:val="1311"/>
    <w:link w:val="1020"/>
    <w:uiPriority w:val="99"/>
    <w:qFormat/>
    <w:pPr>
      <w:ind w:left="0" w:firstLine="200"/>
      <w:jc w:val="left"/>
      <w:spacing w:line="360" w:lineRule="auto"/>
    </w:pPr>
    <w:rPr>
      <w:sz w:val="28"/>
      <w:szCs w:val="24"/>
    </w:rPr>
  </w:style>
  <w:style w:type="paragraph" w:styleId="1312">
    <w:name w:val="Item Step in Table"/>
    <w:next w:val="1312"/>
    <w:link w:val="1020"/>
    <w:uiPriority w:val="99"/>
    <w:qFormat/>
    <w:pPr>
      <w:numPr>
        <w:ilvl w:val="0"/>
        <w:numId w:val="4"/>
      </w:numPr>
      <w:jc w:val="both"/>
      <w:spacing w:before="40" w:after="40"/>
      <w:tabs>
        <w:tab w:val="left" w:pos="397" w:leader="none"/>
      </w:tabs>
    </w:pPr>
    <w:rPr>
      <w:rFonts w:ascii="Arial" w:hAnsi="Arial" w:eastAsia="宋体" w:cs="Arial"/>
      <w:sz w:val="18"/>
      <w:szCs w:val="18"/>
      <w:lang w:val="en-US" w:eastAsia="zh-CN" w:bidi="ar-SA"/>
    </w:rPr>
  </w:style>
  <w:style w:type="paragraph" w:styleId="1313">
    <w:name w:val="正文_0"/>
    <w:next w:val="1313"/>
    <w:link w:val="1020"/>
    <w:qFormat/>
    <w:pPr>
      <w:jc w:val="both"/>
      <w:spacing w:before="100" w:line="360" w:lineRule="auto"/>
      <w:widowControl w:val="off"/>
    </w:pPr>
    <w:rPr>
      <w:rFonts w:ascii="Times New Roman" w:hAnsi="Times New Roman" w:eastAsia="Times New Roman" w:cs="Times New Roman"/>
      <w:sz w:val="21"/>
      <w:szCs w:val="22"/>
      <w:lang w:val="en-US" w:eastAsia="zh-CN" w:bidi="ar-SA"/>
    </w:rPr>
  </w:style>
  <w:style w:type="paragraph" w:styleId="1314">
    <w:name w:val="列出段落2"/>
    <w:basedOn w:val="1020"/>
    <w:next w:val="1314"/>
    <w:link w:val="1020"/>
    <w:uiPriority w:val="34"/>
    <w:qFormat/>
    <w:pPr>
      <w:ind w:firstLine="420"/>
    </w:pPr>
  </w:style>
  <w:style w:type="paragraph" w:styleId="1315">
    <w:name w:val="zhang"/>
    <w:basedOn w:val="1020"/>
    <w:next w:val="1315"/>
    <w:link w:val="1020"/>
    <w:qFormat/>
    <w:pPr>
      <w:spacing w:before="100" w:beforeAutospacing="1" w:after="100" w:afterAutospacing="1"/>
    </w:pPr>
    <w:rPr>
      <w:b/>
      <w:bCs/>
      <w:smallCaps/>
      <w:color w:val="000000"/>
      <w:sz w:val="20"/>
    </w:rPr>
  </w:style>
  <w:style w:type="paragraph" w:styleId="1316">
    <w:name w:val="_Style 145"/>
    <w:basedOn w:val="1021"/>
    <w:next w:val="1020"/>
    <w:link w:val="102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317">
    <w:name w:val="列出段落4"/>
    <w:basedOn w:val="1020"/>
    <w:next w:val="1317"/>
    <w:link w:val="1020"/>
    <w:uiPriority w:val="34"/>
    <w:qFormat/>
    <w:pPr>
      <w:ind w:firstLine="420"/>
    </w:pPr>
  </w:style>
  <w:style w:type="paragraph" w:styleId="1318">
    <w:name w:val="段落"/>
    <w:basedOn w:val="1020"/>
    <w:next w:val="1318"/>
    <w:link w:val="1020"/>
    <w:uiPriority w:val="99"/>
    <w:qFormat/>
    <w:pPr>
      <w:ind w:firstLine="480"/>
      <w:spacing w:line="460" w:lineRule="exact"/>
    </w:pPr>
    <w:rPr>
      <w:sz w:val="24"/>
    </w:rPr>
  </w:style>
  <w:style w:type="paragraph" w:styleId="1319">
    <w:name w:val="默认段落字体 Para Char"/>
    <w:basedOn w:val="1020"/>
    <w:next w:val="1319"/>
    <w:link w:val="1020"/>
    <w:uiPriority w:val="99"/>
    <w:qFormat/>
    <w:rPr>
      <w:sz w:val="24"/>
      <w:szCs w:val="24"/>
    </w:rPr>
  </w:style>
  <w:style w:type="paragraph" w:styleId="1320">
    <w:name w:val="表格1"/>
    <w:basedOn w:val="1020"/>
    <w:next w:val="1320"/>
    <w:link w:val="1020"/>
    <w:uiPriority w:val="99"/>
    <w:qFormat/>
    <w:rPr>
      <w:rFonts w:ascii="宋体"/>
      <w:szCs w:val="21"/>
    </w:rPr>
  </w:style>
  <w:style w:type="paragraph" w:styleId="1321">
    <w:name w:val="Char Char Char Char Char Char Char Char Char Char Char1 Char Char Char1"/>
    <w:basedOn w:val="1020"/>
    <w:next w:val="1321"/>
    <w:link w:val="1020"/>
    <w:uiPriority w:val="99"/>
    <w:semiHidden/>
    <w:qFormat/>
    <w:pPr>
      <w:ind w:firstLine="200"/>
      <w:jc w:val="left"/>
    </w:pPr>
    <w:rPr>
      <w:rFonts w:ascii="Tahoma" w:hAnsi="Tahoma"/>
      <w:sz w:val="24"/>
      <w:szCs w:val="24"/>
    </w:rPr>
  </w:style>
  <w:style w:type="paragraph" w:styleId="1322">
    <w:name w:val="Char Char2 Char Char"/>
    <w:basedOn w:val="1048"/>
    <w:next w:val="1322"/>
    <w:link w:val="1020"/>
    <w:uiPriority w:val="99"/>
    <w:qFormat/>
    <w:pPr>
      <w:spacing w:line="436" w:lineRule="exact"/>
    </w:pPr>
    <w:rPr>
      <w:rFonts w:ascii="Tahoma" w:hAnsi="Tahoma"/>
      <w:sz w:val="24"/>
    </w:rPr>
  </w:style>
  <w:style w:type="paragraph" w:styleId="1323">
    <w:name w:val="p0"/>
    <w:basedOn w:val="1020"/>
    <w:next w:val="1323"/>
    <w:link w:val="1020"/>
    <w:uiPriority w:val="99"/>
    <w:qFormat/>
    <w:pPr>
      <w:widowControl/>
    </w:pPr>
    <w:rPr>
      <w:szCs w:val="21"/>
    </w:rPr>
  </w:style>
  <w:style w:type="paragraph" w:styleId="1324">
    <w:name w:val="xl114"/>
    <w:basedOn w:val="1020"/>
    <w:next w:val="1324"/>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25">
    <w:name w:val="_Style 154"/>
    <w:next w:val="1325"/>
    <w:link w:val="1020"/>
    <w:uiPriority w:val="99"/>
    <w:unhideWhenUsed/>
    <w:qFormat/>
    <w:rPr>
      <w:rFonts w:ascii="Times New Roman" w:hAnsi="Times New Roman" w:eastAsia="宋体" w:cs="Times New Roman"/>
      <w:sz w:val="21"/>
      <w:lang w:val="en-US" w:eastAsia="zh-CN" w:bidi="ar-SA"/>
    </w:rPr>
  </w:style>
  <w:style w:type="paragraph" w:styleId="1326">
    <w:name w:val="xl115"/>
    <w:basedOn w:val="1020"/>
    <w:next w:val="1326"/>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327">
    <w:name w:val="List Paragraph"/>
    <w:basedOn w:val="1020"/>
    <w:next w:val="1327"/>
    <w:link w:val="1020"/>
    <w:uiPriority w:val="99"/>
    <w:qFormat/>
    <w:pPr>
      <w:ind w:firstLine="420"/>
    </w:pPr>
    <w:rPr>
      <w:rFonts w:ascii="Calibri" w:hAnsi="Calibri"/>
      <w:szCs w:val="22"/>
    </w:rPr>
  </w:style>
  <w:style w:type="paragraph" w:styleId="1328">
    <w:name w:val="正文1"/>
    <w:next w:val="1328"/>
    <w:link w:val="1020"/>
    <w:qFormat/>
    <w:pPr>
      <w:jc w:val="both"/>
      <w:widowControl w:val="off"/>
    </w:pPr>
    <w:rPr>
      <w:rFonts w:ascii="Times New Roman" w:hAnsi="Times New Roman" w:eastAsia="Times New Roman" w:cs="Times New Roman"/>
      <w:sz w:val="21"/>
      <w:szCs w:val="22"/>
      <w:lang w:val="en-US" w:eastAsia="zh-CN" w:bidi="ar-SA"/>
    </w:rPr>
  </w:style>
  <w:style w:type="paragraph" w:styleId="1329">
    <w:name w:val="标题6"/>
    <w:basedOn w:val="1025"/>
    <w:next w:val="1329"/>
    <w:link w:val="1020"/>
    <w:uiPriority w:val="99"/>
    <w:qFormat/>
    <w:pPr>
      <w:numPr>
        <w:ilvl w:val="0"/>
        <w:numId w:val="5"/>
      </w:numPr>
      <w:keepLines/>
      <w:tabs>
        <w:tab w:val="left" w:pos="420" w:leader="none"/>
      </w:tabs>
    </w:pPr>
    <w:rPr>
      <w:b w:val="0"/>
      <w:sz w:val="24"/>
    </w:rPr>
  </w:style>
  <w:style w:type="paragraph" w:styleId="1330">
    <w:name w:val="Normal_0"/>
    <w:basedOn w:val="1020"/>
    <w:next w:val="1330"/>
    <w:link w:val="1020"/>
    <w:qFormat/>
    <w:rPr>
      <w:rFonts w:eastAsia="Times New Roman"/>
      <w:sz w:val="24"/>
      <w:szCs w:val="24"/>
    </w:rPr>
  </w:style>
  <w:style w:type="paragraph" w:styleId="1331">
    <w:name w:val="xl110"/>
    <w:basedOn w:val="1020"/>
    <w:next w:val="1331"/>
    <w:link w:val="10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2">
    <w:name w:val="Heading 3_0"/>
    <w:basedOn w:val="1330"/>
    <w:next w:val="1330"/>
    <w:link w:val="1020"/>
    <w:qFormat/>
    <w:pPr>
      <w:keepLines/>
      <w:keepNext/>
      <w:spacing w:after="100" w:afterAutospacing="1"/>
      <w:outlineLvl w:val="2"/>
    </w:pPr>
    <w:rPr>
      <w:rFonts w:ascii="宋体" w:hAnsi="宋体" w:cs="宋体"/>
    </w:rPr>
  </w:style>
  <w:style w:type="paragraph" w:styleId="1333">
    <w:name w:val="xl117"/>
    <w:basedOn w:val="1020"/>
    <w:next w:val="1333"/>
    <w:link w:val="102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34">
    <w:name w:val="样式2"/>
    <w:basedOn w:val="1022"/>
    <w:next w:val="1022"/>
    <w:link w:val="1020"/>
    <w:qFormat/>
    <w:pPr>
      <w:spacing w:line="400" w:lineRule="exact"/>
      <w:tabs>
        <w:tab w:val="left" w:pos="5250" w:leader="none"/>
      </w:tabs>
      <w:outlineLvl w:val="0"/>
    </w:pPr>
    <w:rPr>
      <w:rFonts w:hint="eastAsia" w:eastAsia="仿宋"/>
    </w:rPr>
  </w:style>
  <w:style w:type="paragraph" w:styleId="1335">
    <w:name w:val="No Spacing"/>
    <w:next w:val="1335"/>
    <w:link w:val="1020"/>
    <w:uiPriority w:val="1"/>
    <w:qFormat/>
    <w:pPr>
      <w:jc w:val="both"/>
      <w:widowControl w:val="off"/>
    </w:pPr>
    <w:rPr>
      <w:rFonts w:ascii="Times New Roman" w:hAnsi="Times New Roman" w:eastAsia="宋体" w:cs="Times New Roman"/>
      <w:sz w:val="21"/>
      <w:lang w:val="en-US" w:eastAsia="zh-CN" w:bidi="ar-SA"/>
    </w:rPr>
  </w:style>
  <w:style w:type="table" w:styleId="1336">
    <w:name w:val="Table Normal"/>
    <w:basedOn w:val="1031"/>
    <w:next w:val="1336"/>
    <w:link w:val="1020"/>
    <w:uiPriority w:val="2"/>
    <w:qFormat/>
    <w:rPr>
      <w:rFonts w:eastAsia="Times New Roman"/>
    </w:rPr>
    <w:tblPr/>
  </w:style>
  <w:style w:type="paragraph" w:styleId="1337">
    <w:name w:val="Char Char Char1"/>
    <w:basedOn w:val="1020"/>
    <w:next w:val="1337"/>
    <w:link w:val="1020"/>
    <w:qFormat/>
    <w:pPr>
      <w:jc w:val="left"/>
      <w:widowControl/>
      <w:tabs>
        <w:tab w:val="left" w:pos="360" w:leader="none"/>
      </w:tabs>
    </w:pPr>
  </w:style>
  <w:style w:type="paragraph" w:styleId="1338">
    <w:name w:val="正文_1"/>
    <w:next w:val="1338"/>
    <w:link w:val="1020"/>
    <w:uiPriority w:val="99"/>
    <w:qFormat/>
    <w:pPr>
      <w:jc w:val="both"/>
      <w:widowControl w:val="off"/>
    </w:pPr>
    <w:rPr>
      <w:rFonts w:ascii="Times New Roman" w:hAnsi="Times New Roman" w:eastAsia="宋体" w:cs="Times New Roman"/>
      <w:sz w:val="21"/>
      <w:szCs w:val="22"/>
      <w:lang w:val="en-US" w:eastAsia="zh-CN" w:bidi="ar-SA"/>
    </w:rPr>
  </w:style>
  <w:style w:type="paragraph" w:styleId="1339">
    <w:name w:val="修订1"/>
    <w:next w:val="1339"/>
    <w:link w:val="1020"/>
    <w:uiPriority w:val="99"/>
    <w:unhideWhenUsed/>
    <w:qFormat/>
    <w:rPr>
      <w:rFonts w:ascii="Times New Roman" w:hAnsi="Times New Roman" w:eastAsia="宋体" w:cs="Times New Roman"/>
      <w:sz w:val="21"/>
      <w:lang w:val="en-US" w:eastAsia="zh-CN" w:bidi="ar-SA"/>
    </w:rPr>
  </w:style>
  <w:style w:type="character" w:styleId="1340">
    <w:name w:val="未处理的提及1"/>
    <w:basedOn w:val="1030"/>
    <w:next w:val="1340"/>
    <w:link w:val="1020"/>
    <w:uiPriority w:val="99"/>
    <w:unhideWhenUsed/>
    <w:qFormat/>
    <w:rPr>
      <w:color w:val="605e5c"/>
      <w:shd w:val="clear" w:color="auto" w:fill="e1dfdd"/>
    </w:rPr>
  </w:style>
  <w:style w:type="paragraph" w:styleId="1341">
    <w:name w:val="正文文本12"/>
    <w:basedOn w:val="1020"/>
    <w:next w:val="1020"/>
    <w:link w:val="1020"/>
    <w:unhideWhenUsed/>
    <w:qFormat/>
    <w:pPr>
      <w:spacing w:after="120"/>
    </w:pPr>
  </w:style>
  <w:style w:type="paragraph" w:styleId="1342">
    <w:name w:val="Default"/>
    <w:next w:val="1020"/>
    <w:link w:val="1020"/>
    <w:qFormat/>
    <w:pPr>
      <w:widowControl w:val="off"/>
    </w:pPr>
    <w:rPr>
      <w:rFonts w:ascii="宋体" w:hAnsi="Times New Roman" w:eastAsia="宋体" w:cs="宋体"/>
      <w:color w:val="000000"/>
      <w:sz w:val="24"/>
      <w:szCs w:val="24"/>
      <w:lang w:val="en-US" w:eastAsia="zh-CN" w:bidi="ar-SA"/>
    </w:rPr>
  </w:style>
  <w:style w:type="paragraph" w:styleId="1343">
    <w:name w:val="Revision"/>
    <w:next w:val="1343"/>
    <w:link w:val="1020"/>
    <w:uiPriority w:val="99"/>
    <w:unhideWhenUsed/>
    <w:qFormat/>
    <w:rPr>
      <w:rFonts w:ascii="Times New Roman" w:hAnsi="Times New Roman" w:eastAsia="宋体" w:cs="Times New Roman"/>
      <w:sz w:val="21"/>
      <w:lang w:val="en-US" w:eastAsia="zh-CN" w:bidi="ar-SA"/>
    </w:rPr>
  </w:style>
  <w:style w:type="paragraph" w:styleId="1344">
    <w:name w:val="Table Text"/>
    <w:basedOn w:val="1020"/>
    <w:next w:val="1344"/>
    <w:link w:val="1020"/>
    <w:semiHidden/>
    <w:qFormat/>
    <w:rPr>
      <w:rFonts w:ascii="宋体" w:hAnsi="宋体" w:cs="宋体"/>
      <w:szCs w:val="21"/>
      <w:lang w:eastAsia="en-US"/>
    </w:rPr>
  </w:style>
  <w:style w:type="character" w:styleId="1345" w:default="1">
    <w:name w:val="Default Paragraph Font"/>
    <w:uiPriority w:val="1"/>
    <w:semiHidden/>
    <w:unhideWhenUsed/>
  </w:style>
  <w:style w:type="numbering" w:styleId="1346" w:default="1">
    <w:name w:val="No List"/>
    <w:uiPriority w:val="99"/>
    <w:semiHidden/>
    <w:unhideWhenUsed/>
  </w:style>
  <w:style w:type="table" w:styleId="13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汪丹丹</cp:lastModifiedBy>
  <cp:revision>15</cp:revision>
  <dcterms:created xsi:type="dcterms:W3CDTF">2025-09-12T07:30:00Z</dcterms:created>
  <dcterms:modified xsi:type="dcterms:W3CDTF">2026-05-27T08:59:03Z</dcterms:modified>
</cp:coreProperties>
</file>