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spacing w:before="120" w:beforeAutospacing="0" w:after="120" w:afterAutospacing="0" w:line="360" w:lineRule="auto"/>
      </w:pPr>
      <w:r>
        <w:t xml:space="preserve"> </w:t>
      </w:r>
      <w:r/>
    </w:p>
    <w:p>
      <w:pPr>
        <w:pStyle w:val="852"/>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52"/>
        <w:jc w:val="center"/>
        <w:spacing w:before="120" w:beforeAutospacing="0" w:after="120" w:afterAutospacing="0" w:line="360" w:lineRule="auto"/>
      </w:pPr>
      <w:r>
        <w:rPr>
          <w:rFonts w:ascii="Arial" w:hAnsi="Arial" w:cs="Arial"/>
          <w:b/>
          <w:sz w:val="84"/>
          <w:szCs w:val="84"/>
        </w:rPr>
        <w:t xml:space="preserve">招 标 文 件</w:t>
      </w:r>
      <w:r/>
    </w:p>
    <w:p>
      <w:pPr>
        <w:pStyle w:val="852"/>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jc w:val="both"/>
        <w:spacing w:before="120" w:beforeAutospacing="0" w:after="120" w:afterAutospacing="0" w:line="360" w:lineRule="auto"/>
        <w:rPr>
          <w:rFonts w:hint="eastAsia" w:eastAsia="宋体"/>
          <w:sz w:val="36"/>
          <w:szCs w:val="36"/>
          <w:lang w:eastAsia="zh-CN"/>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rPr>
          <w:rFonts w:hint="eastAsia" w:ascii="Arial" w:hAnsi="Arial" w:cs="Arial"/>
          <w:b/>
          <w:sz w:val="36"/>
          <w:szCs w:val="36"/>
          <w:lang w:eastAsia="zh-CN"/>
        </w:rPr>
        <w:t xml:space="preserve">（</w:t>
      </w:r>
      <w:r>
        <w:rPr>
          <w:rFonts w:hint="eastAsia" w:ascii="Arial" w:hAnsi="Arial" w:cs="Arial"/>
          <w:b/>
          <w:sz w:val="36"/>
          <w:szCs w:val="36"/>
          <w:lang w:val="en-US" w:eastAsia="zh-CN"/>
        </w:rPr>
        <w:t xml:space="preserve">二次</w:t>
      </w:r>
      <w:r>
        <w:rPr>
          <w:rFonts w:hint="eastAsia" w:ascii="Arial" w:hAnsi="Arial" w:cs="Arial"/>
          <w:b/>
          <w:sz w:val="36"/>
          <w:szCs w:val="36"/>
          <w:lang w:eastAsia="zh-CN"/>
        </w:rPr>
        <w:t xml:space="preserve">）</w:t>
      </w:r>
      <w:r/>
    </w:p>
    <w:p>
      <w:pPr>
        <w:spacing w:before="120" w:after="12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eastAsia="宋体" w:cs="Arial"/>
          <w:b/>
          <w:sz w:val="36"/>
          <w:szCs w:val="36"/>
          <w:lang w:val="en-US" w:eastAsia="zh-CN" w:bidi="ar-SA"/>
        </w:rPr>
        <w:t xml:space="preserve">JSZC-320922-YCSY-G2026-0002 </w:t>
      </w:r>
      <w:r/>
    </w:p>
    <w:p>
      <w:pPr>
        <w:pStyle w:val="852"/>
        <w:ind w:firstLine="2249"/>
        <w:jc w:val="both"/>
        <w:spacing w:before="120" w:beforeAutospacing="0" w:after="120" w:afterAutospacing="0" w:line="360" w:lineRule="auto"/>
        <w:rPr>
          <w:sz w:val="36"/>
          <w:szCs w:val="36"/>
        </w:rPr>
      </w:pPr>
      <w:r>
        <w:rPr>
          <w:sz w:val="36"/>
          <w:szCs w:val="36"/>
        </w:rPr>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采购单位：滨海县农业综合行政执法大队</w:t>
      </w:r>
      <w:r/>
    </w:p>
    <w:p>
      <w:pPr>
        <w:pStyle w:val="852"/>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lang w:val="en-US" w:eastAsia="zh-CN"/>
        </w:rPr>
        <w:t xml:space="preserve"> 5</w:t>
      </w:r>
      <w:r>
        <w:rPr>
          <w:rFonts w:ascii="Arial" w:hAnsi="Arial" w:cs="Arial"/>
          <w:b/>
          <w:sz w:val="36"/>
          <w:szCs w:val="36"/>
        </w:rPr>
        <w:t xml:space="preserve">月</w:t>
      </w:r>
      <w:r/>
    </w:p>
    <w:p>
      <w:pPr>
        <w:pStyle w:val="852"/>
        <w:spacing w:before="120" w:beforeAutospacing="0" w:after="120" w:afterAutospacing="0" w:line="360" w:lineRule="auto"/>
      </w:pPr>
      <w:r>
        <w:rPr>
          <w:rFonts w:ascii="Arial" w:hAnsi="Arial" w:cs="Arial"/>
        </w:rPr>
        <w:t xml:space="preserve">                        </w:t>
      </w:r>
      <w:r/>
    </w:p>
    <w:p>
      <w:pPr>
        <w:pStyle w:val="852"/>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52"/>
        <w:jc w:val="center"/>
        <w:spacing w:beforeAutospacing="0" w:afterAutospacing="0" w:line="480" w:lineRule="auto"/>
      </w:pPr>
      <w:r/>
      <w:bookmarkStart w:id="0" w:name="_Toc16938516"/>
      <w:r/>
      <w:bookmarkStart w:id="1" w:name="_Toc479757206"/>
      <w:r/>
      <w:bookmarkStart w:id="2" w:name="_Toc20823272"/>
      <w:r/>
      <w:bookmarkStart w:id="3" w:name="_Toc523127445"/>
      <w:r/>
      <w:bookmarkStart w:id="4" w:name="_Toc513029200"/>
      <w:r/>
      <w:bookmarkStart w:id="5" w:name="_Toc12061421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852"/>
        <w:jc w:val="both"/>
        <w:spacing w:beforeAutospacing="0" w:afterAutospacing="0" w:line="480" w:lineRule="auto"/>
      </w:pPr>
      <w:r>
        <w:t xml:space="preserve">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52"/>
        <w:jc w:val="both"/>
        <w:spacing w:beforeAutospacing="0" w:afterAutospacing="0"/>
      </w:pPr>
      <w:r/>
      <w:r/>
    </w:p>
    <w:p>
      <w:pPr>
        <w:pStyle w:val="852"/>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7</w:t>
      </w:r>
      <w:r>
        <w:rPr>
          <w:rFonts w:hint="eastAsia" w:ascii="宋体" w:hAnsi="宋体" w:cs="宋体"/>
          <w:u w:val="single"/>
        </w:rPr>
        <w:t xml:space="preserve">月</w:t>
      </w:r>
      <w:r>
        <w:rPr>
          <w:rFonts w:hint="eastAsia" w:ascii="宋体" w:hAnsi="宋体" w:cs="宋体"/>
          <w:u w:val="single"/>
          <w:lang w:val="en-US" w:eastAsia="zh-CN"/>
        </w:rPr>
        <w:t xml:space="preserve">3</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点00分00秒（</w:t>
      </w:r>
      <w:r>
        <w:rPr>
          <w:rFonts w:hint="eastAsia" w:ascii="宋体" w:hAnsi="宋体" w:cs="宋体"/>
        </w:rPr>
        <w:t xml:space="preserve">北京时间）前递交投标文件。</w:t>
      </w:r>
      <w:r/>
    </w:p>
    <w:p>
      <w:pPr>
        <w:pStyle w:val="852"/>
        <w:ind w:firstLine="498"/>
        <w:jc w:val="both"/>
        <w:keepLines/>
        <w:keepNext/>
        <w:spacing w:before="145" w:beforeAutospacing="0" w:after="145" w:afterAutospacing="0" w:line="360" w:lineRule="auto"/>
        <w:rPr>
          <w:rFonts w:hint="eastAsia" w:ascii="宋体" w:hAnsi="宋体" w:cs="宋体"/>
        </w:rPr>
      </w:pPr>
      <w:r/>
      <w:bookmarkStart w:id="7" w:name="_Toc28359002"/>
      <w:r/>
      <w:bookmarkStart w:id="8" w:name="_Hlk24379207"/>
      <w:r/>
      <w:bookmarkStart w:id="9" w:name="_Toc28359079"/>
      <w:r/>
      <w:bookmarkStart w:id="10" w:name="_Toc35393621"/>
      <w:r/>
      <w:bookmarkStart w:id="11" w:name="_Toc38985263"/>
      <w:r/>
      <w:bookmarkStart w:id="12" w:name="_Toc35393790"/>
      <w:r>
        <w:rPr>
          <w:rFonts w:hint="eastAsia" w:ascii="宋体" w:hAnsi="宋体" w:cs="宋体"/>
          <w:b/>
        </w:rPr>
        <w:t xml:space="preserve">一、项目基本情况</w:t>
      </w:r>
      <w:bookmarkEnd w:id="7"/>
      <w:r/>
      <w:bookmarkEnd w:id="8"/>
      <w:r/>
      <w:bookmarkEnd w:id="9"/>
      <w:r/>
      <w:bookmarkEnd w:id="10"/>
      <w:r/>
      <w:bookmarkEnd w:id="11"/>
      <w:r/>
      <w:bookmarkEnd w:id="12"/>
      <w:r/>
      <w:r/>
    </w:p>
    <w:p>
      <w:pPr>
        <w:pStyle w:val="852"/>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w:t>
      </w:r>
      <w:r>
        <w:rPr>
          <w:rFonts w:hint="eastAsia" w:ascii="宋体" w:hAnsi="宋体" w:cs="宋体"/>
        </w:rPr>
        <w:t xml:space="preserve">：JSZC-320922-YCSY-G2026-0002</w:t>
      </w:r>
      <w:r>
        <w:rPr>
          <w:rFonts w:hint="eastAsia" w:ascii="宋体" w:hAnsi="宋体" w:cs="宋体"/>
          <w:lang w:val="en-US" w:eastAsia="zh-CN"/>
        </w:rPr>
        <w:t xml:space="preserve"> </w:t>
      </w:r>
      <w:r>
        <w:rPr>
          <w:rFonts w:hint="eastAsia" w:ascii="宋体" w:hAnsi="宋体" w:cs="宋体"/>
        </w:rPr>
        <w:t xml:space="preserve"> </w:t>
      </w:r>
      <w:r/>
    </w:p>
    <w:p>
      <w:pPr>
        <w:pStyle w:val="852"/>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2.项目名称：滨海县智慧渔港采购项目</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852"/>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lang w:val="en-US" w:eastAsia="zh-CN"/>
        </w:rPr>
        <w:t xml:space="preserve">30</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852"/>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38985264"/>
      <w:r/>
      <w:bookmarkStart w:id="14" w:name="_Toc28359003"/>
      <w:r/>
      <w:bookmarkStart w:id="15" w:name="_Toc35393791"/>
      <w:r/>
      <w:bookmarkStart w:id="16" w:name="_Toc35393622"/>
      <w:r/>
      <w:bookmarkStart w:id="17" w:name="_Toc28359080"/>
      <w:r>
        <w:rPr>
          <w:rFonts w:hint="eastAsia" w:ascii="宋体" w:hAnsi="宋体" w:cs="宋体"/>
          <w:sz w:val="24"/>
        </w:rPr>
        <w:t xml:space="preserve">9.项目地点(交货地点)：滨海县范围内，招标人指定地点。</w:t>
      </w:r>
      <w:r/>
    </w:p>
    <w:p>
      <w:pPr>
        <w:pStyle w:val="852"/>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二、申请人的资格要求：</w:t>
      </w:r>
      <w:bookmarkEnd w:id="13"/>
      <w:r/>
      <w:bookmarkEnd w:id="14"/>
      <w:r/>
      <w:bookmarkEnd w:id="15"/>
      <w:r/>
      <w:bookmarkEnd w:id="16"/>
      <w:r/>
      <w:bookmarkEnd w:id="1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852"/>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rPr>
        <w:t xml:space="preserve">3.本项目的特定资格要求：</w:t>
      </w:r>
      <w:r>
        <w:rPr>
          <w:rFonts w:hint="eastAsia" w:ascii="宋体" w:hAnsi="宋体" w:cs="宋体"/>
          <w:lang w:val="en-US" w:eastAsia="zh-CN"/>
        </w:rPr>
        <w:t xml:space="preserve">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3.2本项目不接受联合体参与投标。</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35393624"/>
      <w:r/>
      <w:bookmarkStart w:id="19" w:name="_Toc28359082"/>
      <w:r/>
      <w:bookmarkStart w:id="20" w:name="_Toc28359005"/>
      <w:r/>
      <w:bookmarkStart w:id="21" w:name="_Toc38985266"/>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7</w:t>
      </w:r>
      <w:r>
        <w:rPr>
          <w:rFonts w:hint="eastAsia" w:ascii="宋体" w:hAnsi="宋体" w:cs="宋体"/>
          <w:u w:val="single"/>
        </w:rPr>
        <w:t xml:space="preserve">月</w:t>
      </w:r>
      <w:r>
        <w:rPr>
          <w:rFonts w:hint="eastAsia" w:ascii="宋体" w:hAnsi="宋体" w:cs="宋体"/>
          <w:u w:val="single"/>
          <w:lang w:val="en-US" w:eastAsia="zh-CN"/>
        </w:rPr>
        <w:t xml:space="preserve">3</w:t>
      </w:r>
      <w:bookmarkStart w:id="194" w:name="_GoBack"/>
      <w:r/>
      <w:bookmarkEnd w:id="194"/>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时00分00秒。</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852"/>
        <w:ind w:firstLine="498"/>
        <w:jc w:val="both"/>
        <w:keepLines/>
        <w:keepNext/>
        <w:spacing w:before="145" w:beforeAutospacing="0" w:after="145" w:afterAutospacing="0" w:line="360" w:lineRule="auto"/>
        <w:rPr>
          <w:rFonts w:hint="eastAsia" w:ascii="宋体" w:hAnsi="宋体" w:cs="宋体"/>
        </w:rPr>
      </w:pPr>
      <w:r/>
      <w:bookmarkStart w:id="23" w:name="_Toc38985267"/>
      <w:r/>
      <w:bookmarkStart w:id="24" w:name="_Toc35393625"/>
      <w:r/>
      <w:bookmarkStart w:id="25" w:name="_Toc28359007"/>
      <w:r/>
      <w:bookmarkStart w:id="26" w:name="_Toc28359084"/>
      <w:r/>
      <w:bookmarkStart w:id="27" w:name="_Toc35393794"/>
      <w:r>
        <w:rPr>
          <w:rFonts w:hint="eastAsia" w:ascii="宋体" w:hAnsi="宋体" w:cs="宋体"/>
          <w:b/>
        </w:rPr>
        <w:t xml:space="preserve">五、公告期限</w:t>
      </w:r>
      <w:bookmarkEnd w:id="23"/>
      <w:r/>
      <w:bookmarkEnd w:id="24"/>
      <w:r/>
      <w:bookmarkEnd w:id="25"/>
      <w:r/>
      <w:bookmarkEnd w:id="26"/>
      <w:r/>
      <w:bookmarkEnd w:id="27"/>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626"/>
      <w:r/>
      <w:bookmarkStart w:id="29" w:name="_Toc35393795"/>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842"/>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地址：滨海县港城路419号水务大厦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852"/>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852"/>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龚先生</w:t>
      </w:r>
      <w:r>
        <w:rPr>
          <w:rFonts w:hint="eastAsia" w:ascii="宋体" w:hAnsi="宋体" w:cs="宋体"/>
          <w:shd w:val="clear" w:color="auto" w:fill="ffffff"/>
          <w:lang w:val="en-US" w:eastAsia="zh-CN"/>
        </w:rPr>
        <w:t xml:space="preserve">  周先生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852"/>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16938518"/>
      <w:r/>
      <w:bookmarkStart w:id="34" w:name="_Toc120614213"/>
      <w:r/>
      <w:bookmarkStart w:id="35" w:name="_Toc20823274"/>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852"/>
        <w:ind w:firstLine="498"/>
        <w:jc w:val="both"/>
        <w:keepLines/>
        <w:keepNext/>
        <w:spacing w:before="145" w:beforeAutospacing="0" w:after="145" w:afterAutospacing="0" w:line="360" w:lineRule="auto"/>
        <w:rPr>
          <w:rFonts w:hint="eastAsia" w:ascii="宋体" w:hAnsi="宋体" w:cs="宋体"/>
        </w:rPr>
      </w:pPr>
      <w:r/>
      <w:bookmarkStart w:id="37" w:name="_Toc513029203"/>
      <w:r/>
      <w:bookmarkStart w:id="38" w:name="_Toc120614214"/>
      <w:r/>
      <w:bookmarkStart w:id="39" w:name="_Toc16938519"/>
      <w:r/>
      <w:bookmarkStart w:id="40" w:name="_Toc20823275"/>
      <w:r>
        <w:rPr>
          <w:rFonts w:hint="eastAsia" w:ascii="宋体" w:hAnsi="宋体" w:cs="宋体"/>
          <w:b/>
        </w:rPr>
        <w:t xml:space="preserve">一、总则</w:t>
      </w:r>
      <w:bookmarkEnd w:id="37"/>
      <w:r/>
      <w:bookmarkEnd w:id="38"/>
      <w:r/>
      <w:bookmarkEnd w:id="39"/>
      <w:r/>
      <w:bookmarkEnd w:id="40"/>
      <w:r/>
      <w:r/>
    </w:p>
    <w:p>
      <w:pPr>
        <w:pStyle w:val="852"/>
        <w:ind w:firstLine="480"/>
        <w:jc w:val="both"/>
        <w:keepLines/>
        <w:keepNext/>
        <w:spacing w:beforeAutospacing="0" w:afterAutospacing="0" w:line="360" w:lineRule="auto"/>
        <w:rPr>
          <w:rFonts w:hint="eastAsia" w:ascii="宋体" w:hAnsi="宋体" w:cs="宋体"/>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852"/>
        <w:ind w:firstLine="480"/>
        <w:jc w:val="both"/>
        <w:keepLines/>
        <w:keepNext/>
        <w:spacing w:beforeAutospacing="0" w:afterAutospacing="0" w:line="360" w:lineRule="auto"/>
        <w:rPr>
          <w:rFonts w:hint="eastAsia" w:ascii="宋体" w:hAnsi="宋体" w:cs="宋体"/>
        </w:rPr>
      </w:pPr>
      <w:r/>
      <w:bookmarkStart w:id="46" w:name="_Toc16938521"/>
      <w:r/>
      <w:bookmarkStart w:id="47" w:name="_Toc513029205"/>
      <w:r/>
      <w:bookmarkStart w:id="48" w:name="_Toc20823277"/>
      <w:r>
        <w:rPr>
          <w:rFonts w:hint="eastAsia" w:ascii="宋体" w:hAnsi="宋体" w:cs="宋体"/>
        </w:rPr>
        <w:t xml:space="preserve">2.合格的投标人</w:t>
      </w:r>
      <w:bookmarkEnd w:id="46"/>
      <w:r/>
      <w:bookmarkEnd w:id="47"/>
      <w:r/>
      <w:bookmarkEnd w:id="4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852"/>
        <w:ind w:firstLine="480"/>
        <w:jc w:val="both"/>
        <w:keepLines/>
        <w:keepNext/>
        <w:spacing w:beforeAutospacing="0" w:afterAutospacing="0" w:line="360" w:lineRule="auto"/>
        <w:rPr>
          <w:rFonts w:hint="eastAsia" w:ascii="宋体" w:hAnsi="宋体" w:cs="宋体"/>
        </w:rPr>
      </w:pPr>
      <w:r/>
      <w:bookmarkStart w:id="49" w:name="_Toc16938523"/>
      <w:r/>
      <w:bookmarkStart w:id="50" w:name="_Toc462564067"/>
      <w:r/>
      <w:bookmarkStart w:id="51" w:name="_Toc513029207"/>
      <w:r/>
      <w:bookmarkStart w:id="52" w:name="_Toc20823279"/>
      <w:r>
        <w:rPr>
          <w:rFonts w:hint="eastAsia" w:ascii="宋体" w:hAnsi="宋体" w:cs="宋体"/>
        </w:rPr>
        <w:t xml:space="preserve">3、适用法律和标准</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852"/>
        <w:ind w:firstLine="321"/>
        <w:jc w:val="both"/>
        <w:keepLines/>
        <w:keepNext/>
        <w:spacing w:before="145" w:beforeAutospacing="0" w:after="145" w:afterAutospacing="0" w:line="360" w:lineRule="auto"/>
        <w:rPr>
          <w:rFonts w:hint="eastAsia" w:ascii="宋体" w:hAnsi="宋体" w:cs="宋体"/>
        </w:rPr>
      </w:pPr>
      <w:r/>
      <w:bookmarkStart w:id="53" w:name="_Toc120614215"/>
      <w:r/>
      <w:bookmarkStart w:id="54" w:name="_Toc20823281"/>
      <w:r/>
      <w:bookmarkStart w:id="55" w:name="_Toc16938525"/>
      <w:r/>
      <w:bookmarkStart w:id="56" w:name="_Toc513029209"/>
      <w:r>
        <w:rPr>
          <w:rFonts w:hint="eastAsia" w:ascii="宋体" w:hAnsi="宋体" w:cs="宋体"/>
          <w:b/>
        </w:rPr>
        <w:t xml:space="preserve">二、招标文件</w:t>
      </w:r>
      <w:bookmarkEnd w:id="53"/>
      <w:r/>
      <w:bookmarkEnd w:id="54"/>
      <w:r/>
      <w:bookmarkEnd w:id="55"/>
      <w:r/>
      <w:bookmarkEnd w:id="56"/>
      <w:r/>
      <w:r/>
    </w:p>
    <w:p>
      <w:pPr>
        <w:pStyle w:val="852"/>
        <w:ind w:firstLine="480"/>
        <w:jc w:val="both"/>
        <w:keepLines/>
        <w:keepNext/>
        <w:spacing w:beforeAutospacing="0" w:afterAutospacing="0" w:line="360" w:lineRule="auto"/>
        <w:rPr>
          <w:rFonts w:hint="eastAsia" w:ascii="宋体" w:hAnsi="宋体" w:cs="宋体"/>
        </w:rPr>
      </w:pPr>
      <w:r/>
      <w:bookmarkStart w:id="57" w:name="_Toc20823282"/>
      <w:r/>
      <w:bookmarkStart w:id="58" w:name="_Toc16938526"/>
      <w:r/>
      <w:bookmarkStart w:id="59" w:name="_Toc513029210"/>
      <w:r>
        <w:rPr>
          <w:rFonts w:hint="eastAsia" w:ascii="宋体" w:hAnsi="宋体" w:cs="宋体"/>
        </w:rPr>
        <w:t xml:space="preserve">6.招标文件构成</w:t>
      </w:r>
      <w:bookmarkEnd w:id="57"/>
      <w:r/>
      <w:bookmarkEnd w:id="58"/>
      <w:r/>
      <w:bookmarkEnd w:id="5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80"/>
        <w:jc w:val="both"/>
        <w:keepLines/>
        <w:keepNext/>
        <w:spacing w:beforeAutospacing="0" w:afterAutospacing="0" w:line="360" w:lineRule="auto"/>
        <w:rPr>
          <w:rFonts w:hint="eastAsia" w:ascii="宋体" w:hAnsi="宋体" w:cs="宋体"/>
        </w:rPr>
      </w:pPr>
      <w:r/>
      <w:bookmarkStart w:id="60" w:name="_Toc462564070"/>
      <w:r/>
      <w:bookmarkStart w:id="61" w:name="_Toc513029211"/>
      <w:r/>
      <w:bookmarkStart w:id="62" w:name="_Toc20823283"/>
      <w:r/>
      <w:bookmarkStart w:id="63" w:name="_Toc16938527"/>
      <w:r>
        <w:rPr>
          <w:rFonts w:hint="eastAsia" w:ascii="宋体" w:hAnsi="宋体" w:cs="宋体"/>
        </w:rPr>
        <w:t xml:space="preserve">7.招标文件的澄清</w:t>
      </w:r>
      <w:bookmarkEnd w:id="60"/>
      <w:r/>
      <w:bookmarkEnd w:id="61"/>
      <w:r/>
      <w:bookmarkEnd w:id="62"/>
      <w:r/>
      <w:bookmarkEnd w:id="63"/>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852"/>
        <w:ind w:firstLine="480"/>
        <w:jc w:val="both"/>
        <w:keepLines/>
        <w:keepNext/>
        <w:spacing w:beforeAutospacing="0" w:afterAutospacing="0" w:line="360" w:lineRule="auto"/>
        <w:rPr>
          <w:rFonts w:hint="eastAsia" w:ascii="宋体" w:hAnsi="宋体" w:cs="宋体"/>
        </w:rPr>
      </w:pPr>
      <w:r/>
      <w:bookmarkStart w:id="64" w:name="_Toc20823284"/>
      <w:r/>
      <w:bookmarkStart w:id="65" w:name="_Toc462564071"/>
      <w:r/>
      <w:bookmarkStart w:id="66" w:name="_Toc513029212"/>
      <w:r/>
      <w:bookmarkStart w:id="67" w:name="_Toc16938528"/>
      <w:r>
        <w:rPr>
          <w:rFonts w:hint="eastAsia" w:ascii="宋体" w:hAnsi="宋体" w:cs="宋体"/>
        </w:rPr>
        <w:t xml:space="preserve">8.招标文件的修改</w:t>
      </w:r>
      <w:bookmarkEnd w:id="64"/>
      <w:r/>
      <w:bookmarkEnd w:id="65"/>
      <w:r/>
      <w:bookmarkEnd w:id="66"/>
      <w:r/>
      <w:bookmarkEnd w:id="6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852"/>
        <w:ind w:firstLine="482"/>
        <w:jc w:val="both"/>
        <w:keepLines/>
        <w:keepNext/>
        <w:spacing w:before="145" w:beforeAutospacing="0" w:after="145" w:afterAutospacing="0" w:line="360" w:lineRule="auto"/>
        <w:rPr>
          <w:rFonts w:hint="eastAsia" w:ascii="宋体" w:hAnsi="宋体" w:cs="宋体"/>
        </w:rPr>
      </w:pPr>
      <w:r/>
      <w:bookmarkStart w:id="68" w:name="_Toc16938529"/>
      <w:r/>
      <w:bookmarkStart w:id="69" w:name="_Toc120614216"/>
      <w:r/>
      <w:bookmarkStart w:id="70" w:name="_Toc20823285"/>
      <w:r/>
      <w:bookmarkStart w:id="71" w:name="_Toc462564072"/>
      <w:r/>
      <w:bookmarkStart w:id="72" w:name="_Toc513029213"/>
      <w:r>
        <w:rPr>
          <w:rFonts w:hint="eastAsia" w:ascii="宋体" w:hAnsi="宋体" w:cs="宋体"/>
          <w:b/>
        </w:rPr>
        <w:t xml:space="preserve">三、投标文件的编制</w:t>
      </w:r>
      <w:bookmarkEnd w:id="68"/>
      <w:r/>
      <w:bookmarkEnd w:id="69"/>
      <w:r/>
      <w:bookmarkEnd w:id="70"/>
      <w:r/>
      <w:bookmarkEnd w:id="71"/>
      <w:r/>
      <w:bookmarkEnd w:id="72"/>
      <w:r/>
      <w:r/>
    </w:p>
    <w:p>
      <w:pPr>
        <w:pStyle w:val="852"/>
        <w:ind w:firstLine="480"/>
        <w:jc w:val="both"/>
        <w:keepLines/>
        <w:keepNext/>
        <w:spacing w:beforeAutospacing="0" w:afterAutospacing="0" w:line="360" w:lineRule="auto"/>
        <w:rPr>
          <w:rFonts w:hint="eastAsia" w:ascii="宋体" w:hAnsi="宋体" w:cs="宋体"/>
        </w:rPr>
      </w:pPr>
      <w:r/>
      <w:bookmarkStart w:id="73" w:name="_Toc16938530"/>
      <w:r/>
      <w:bookmarkStart w:id="74" w:name="_Toc20823286"/>
      <w:r/>
      <w:bookmarkStart w:id="75" w:name="_Toc462564073"/>
      <w:r/>
      <w:bookmarkStart w:id="76" w:name="_Toc513029214"/>
      <w:r>
        <w:rPr>
          <w:rFonts w:hint="eastAsia" w:ascii="宋体" w:hAnsi="宋体" w:cs="宋体"/>
        </w:rPr>
        <w:t xml:space="preserve">9.投标文件的语言及度量衡单位</w:t>
      </w:r>
      <w:bookmarkEnd w:id="73"/>
      <w:r/>
      <w:bookmarkEnd w:id="74"/>
      <w:r/>
      <w:bookmarkEnd w:id="75"/>
      <w:r/>
      <w:bookmarkEnd w:id="7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852"/>
        <w:ind w:firstLine="480"/>
        <w:jc w:val="both"/>
        <w:keepLines/>
        <w:keepNext/>
        <w:spacing w:beforeAutospacing="0" w:afterAutospacing="0" w:line="360" w:lineRule="auto"/>
        <w:rPr>
          <w:rFonts w:hint="eastAsia" w:ascii="宋体" w:hAnsi="宋体" w:cs="宋体"/>
        </w:rPr>
      </w:pPr>
      <w:r/>
      <w:bookmarkStart w:id="77" w:name="_Toc20823287"/>
      <w:r/>
      <w:bookmarkStart w:id="78" w:name="_Toc16938531"/>
      <w:r/>
      <w:bookmarkStart w:id="79" w:name="_Toc462564074"/>
      <w:r/>
      <w:bookmarkStart w:id="80" w:name="_Toc513029215"/>
      <w:r>
        <w:rPr>
          <w:rFonts w:hint="eastAsia" w:ascii="宋体" w:hAnsi="宋体" w:cs="宋体"/>
        </w:rPr>
        <w:t xml:space="preserve">10.投标文件构成</w:t>
      </w:r>
      <w:bookmarkEnd w:id="77"/>
      <w:r/>
      <w:bookmarkEnd w:id="78"/>
      <w:r/>
      <w:bookmarkEnd w:id="79"/>
      <w:r/>
      <w:bookmarkEnd w:id="8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852"/>
        <w:ind w:firstLine="480"/>
        <w:jc w:val="both"/>
        <w:keepLines/>
        <w:keepNext/>
        <w:spacing w:beforeAutospacing="0" w:afterAutospacing="0" w:line="360" w:lineRule="auto"/>
        <w:rPr>
          <w:rFonts w:hint="eastAsia" w:ascii="宋体" w:hAnsi="宋体" w:cs="宋体"/>
        </w:rPr>
      </w:pPr>
      <w:r/>
      <w:bookmarkStart w:id="81" w:name="_Toc49090509"/>
      <w:r/>
      <w:bookmarkStart w:id="82" w:name="_Toc49090508"/>
      <w:r/>
      <w:bookmarkStart w:id="83" w:name="_Toc14577357"/>
      <w:r/>
      <w:bookmarkStart w:id="84" w:name="_Toc49090507"/>
      <w:r/>
      <w:bookmarkStart w:id="85" w:name="_Toc513029216"/>
      <w:r/>
      <w:bookmarkStart w:id="86" w:name="_Toc513029219"/>
      <w:r/>
      <w:bookmarkStart w:id="87" w:name="_Toc14577355"/>
      <w:r/>
      <w:bookmarkStart w:id="88" w:name="_Toc14577354"/>
      <w:r/>
      <w:bookmarkStart w:id="89" w:name="_Hlt26954838"/>
      <w:r/>
      <w:bookmarkStart w:id="90" w:name="_Hlt26668975"/>
      <w:r/>
      <w:bookmarkStart w:id="91" w:name="_Hlt26670360"/>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852"/>
        <w:ind w:firstLine="480"/>
        <w:jc w:val="both"/>
        <w:keepLines/>
        <w:keepNext/>
        <w:spacing w:beforeAutospacing="0" w:afterAutospacing="0" w:line="360" w:lineRule="auto"/>
        <w:rPr>
          <w:rFonts w:hint="eastAsia" w:ascii="宋体" w:hAnsi="宋体" w:cs="宋体"/>
        </w:rPr>
      </w:pPr>
      <w:r/>
      <w:bookmarkStart w:id="92" w:name="_Hlt26954846"/>
      <w:r/>
      <w:bookmarkStart w:id="93" w:name="_Hlt26954848"/>
      <w:r/>
      <w:bookmarkStart w:id="94" w:name="_Hlt26670486"/>
      <w:r/>
      <w:bookmarkStart w:id="95" w:name="_Hlt26954731"/>
      <w:r/>
      <w:bookmarkStart w:id="96" w:name="_Hlt26670482"/>
      <w:r>
        <w:rPr>
          <w:rFonts w:hint="eastAsia" w:ascii="宋体" w:hAnsi="宋体" w:cs="宋体"/>
        </w:rPr>
        <w:t xml:space="preserve">13.技术要求响应及偏离表、商务要求响应及偏离表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852"/>
        <w:ind w:firstLine="480"/>
        <w:jc w:val="both"/>
        <w:keepLines/>
        <w:keepNext/>
        <w:spacing w:beforeAutospacing="0" w:afterAutospacing="0" w:line="360" w:lineRule="auto"/>
        <w:rPr>
          <w:rFonts w:hint="eastAsia" w:ascii="宋体" w:hAnsi="宋体" w:cs="宋体"/>
        </w:rPr>
      </w:pPr>
      <w:r/>
      <w:bookmarkStart w:id="97" w:name="_Toc49090510"/>
      <w:r/>
      <w:bookmarkStart w:id="98" w:name="_Toc14577359"/>
      <w:r>
        <w:rPr>
          <w:rFonts w:hint="eastAsia" w:ascii="宋体" w:hAnsi="宋体" w:cs="宋体"/>
        </w:rPr>
        <w:t xml:space="preserve">14.投标函和开标一览表</w:t>
      </w:r>
      <w:bookmarkEnd w:id="97"/>
      <w:r/>
      <w:bookmarkEnd w:id="9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852"/>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52"/>
        <w:ind w:firstLine="482"/>
        <w:jc w:val="both"/>
        <w:keepLines/>
        <w:keepNext/>
        <w:spacing w:before="145" w:beforeAutospacing="0" w:after="145" w:afterAutospacing="0" w:line="360" w:lineRule="auto"/>
        <w:rPr>
          <w:rFonts w:hint="eastAsia" w:ascii="宋体" w:hAnsi="宋体" w:cs="宋体"/>
        </w:rPr>
      </w:pPr>
      <w:r/>
      <w:bookmarkStart w:id="101" w:name="_Toc16938540"/>
      <w:r/>
      <w:bookmarkStart w:id="102" w:name="_Toc513029224"/>
      <w:r/>
      <w:bookmarkStart w:id="103" w:name="_Toc120614217"/>
      <w:r/>
      <w:bookmarkStart w:id="104" w:name="_Toc20823296"/>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852"/>
        <w:ind w:firstLine="480"/>
        <w:jc w:val="both"/>
        <w:keepLines/>
        <w:keepNext/>
        <w:spacing w:beforeAutospacing="0" w:afterAutospacing="0" w:line="360" w:lineRule="auto"/>
        <w:rPr>
          <w:rFonts w:hint="eastAsia" w:ascii="宋体" w:hAnsi="宋体" w:cs="宋体"/>
        </w:rPr>
      </w:pPr>
      <w:r/>
      <w:bookmarkStart w:id="107" w:name="_Toc462564084"/>
      <w:r/>
      <w:bookmarkStart w:id="108" w:name="_Toc20823297"/>
      <w:r/>
      <w:bookmarkStart w:id="109" w:name="_Toc16938541"/>
      <w:r/>
      <w:bookmarkStart w:id="110" w:name="_Toc513029225"/>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852"/>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End w:id="111"/>
      <w:r/>
      <w:bookmarkStart w:id="112" w:name="_Toc20823298"/>
      <w:r/>
      <w:bookmarkEnd w:id="112"/>
      <w:r/>
      <w:bookmarkStart w:id="113" w:name="_Toc51302922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852"/>
        <w:ind w:firstLine="480"/>
        <w:jc w:val="both"/>
        <w:keepLines/>
        <w:keepNext/>
        <w:spacing w:beforeAutospacing="0" w:afterAutospacing="0" w:line="360" w:lineRule="auto"/>
        <w:rPr>
          <w:rFonts w:hint="eastAsia" w:ascii="宋体" w:hAnsi="宋体" w:cs="宋体"/>
        </w:rPr>
      </w:pPr>
      <w:r/>
      <w:bookmarkStart w:id="114" w:name="_Toc513029227"/>
      <w:r/>
      <w:bookmarkStart w:id="115" w:name="_Toc16938543"/>
      <w:r/>
      <w:bookmarkStart w:id="116" w:name="_Toc20823299"/>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852"/>
        <w:ind w:firstLine="480"/>
        <w:jc w:val="both"/>
        <w:keepLines/>
        <w:keepNext/>
        <w:spacing w:beforeAutospacing="0" w:afterAutospacing="0" w:line="360" w:lineRule="auto"/>
        <w:rPr>
          <w:rFonts w:hint="eastAsia" w:ascii="宋体" w:hAnsi="宋体" w:cs="宋体"/>
        </w:rPr>
      </w:pPr>
      <w:r/>
      <w:bookmarkStart w:id="117" w:name="_Toc16938544"/>
      <w:r/>
      <w:bookmarkStart w:id="118" w:name="_Toc20823300"/>
      <w:r/>
      <w:bookmarkStart w:id="119" w:name="_Toc513029228"/>
      <w:r>
        <w:rPr>
          <w:rFonts w:hint="eastAsia" w:ascii="宋体" w:hAnsi="宋体" w:cs="宋体"/>
        </w:rPr>
        <w:t xml:space="preserve">20.投标文件的撤回和修改</w:t>
      </w:r>
      <w:bookmarkEnd w:id="117"/>
      <w:r/>
      <w:bookmarkEnd w:id="118"/>
      <w:r/>
      <w:bookmarkEnd w:id="11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852"/>
        <w:ind w:firstLine="482"/>
        <w:jc w:val="both"/>
        <w:keepLines/>
        <w:keepNext/>
        <w:spacing w:before="145" w:beforeAutospacing="0" w:after="145" w:afterAutospacing="0" w:line="360" w:lineRule="auto"/>
        <w:rPr>
          <w:rFonts w:hint="eastAsia" w:ascii="宋体" w:hAnsi="宋体" w:cs="宋体"/>
          <w:b/>
        </w:rPr>
      </w:pPr>
      <w:r/>
      <w:bookmarkStart w:id="120" w:name="_Toc120614218"/>
      <w:r/>
      <w:bookmarkStart w:id="121" w:name="_Toc16938545"/>
      <w:r/>
      <w:bookmarkStart w:id="122" w:name="_Toc20823301"/>
      <w:r/>
      <w:bookmarkStart w:id="123" w:name="_Toc513029229"/>
      <w:r>
        <w:rPr>
          <w:rFonts w:hint="eastAsia" w:ascii="宋体" w:hAnsi="宋体" w:cs="宋体"/>
          <w:b/>
        </w:rPr>
        <w:t xml:space="preserve">五、开标与评标</w:t>
      </w:r>
      <w:bookmarkEnd w:id="120"/>
      <w:r/>
      <w:bookmarkEnd w:id="121"/>
      <w:r/>
      <w:bookmarkEnd w:id="122"/>
      <w:r/>
      <w:bookmarkEnd w:id="123"/>
      <w:r/>
      <w:bookmarkStart w:id="124" w:name="_Toc513029230"/>
      <w:r/>
      <w:bookmarkStart w:id="125" w:name="_Toc20823302"/>
      <w:r/>
      <w:bookmarkStart w:id="126" w:name="_Toc16938546"/>
      <w:r/>
      <w:r/>
    </w:p>
    <w:p>
      <w:pPr>
        <w:pStyle w:val="852"/>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852"/>
        <w:ind w:firstLine="480"/>
        <w:jc w:val="both"/>
        <w:keepLines/>
        <w:keepNext/>
        <w:spacing w:beforeAutospacing="0" w:afterAutospacing="0" w:line="360" w:lineRule="auto"/>
        <w:rPr>
          <w:rFonts w:hint="eastAsia" w:ascii="宋体" w:hAnsi="宋体" w:cs="宋体"/>
        </w:rPr>
      </w:pPr>
      <w:r/>
      <w:bookmarkStart w:id="127" w:name="_Toc16938547"/>
      <w:r/>
      <w:bookmarkStart w:id="128" w:name="_Toc513029231"/>
      <w:r/>
      <w:bookmarkStart w:id="129" w:name="_Toc20823303"/>
      <w:r>
        <w:rPr>
          <w:rFonts w:hint="eastAsia" w:ascii="宋体" w:hAnsi="宋体" w:cs="宋体"/>
        </w:rPr>
        <w:t xml:space="preserve">22.评标委员会</w:t>
      </w:r>
      <w:bookmarkEnd w:id="127"/>
      <w:r/>
      <w:bookmarkEnd w:id="128"/>
      <w:r/>
      <w:bookmarkEnd w:id="12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852"/>
        <w:ind w:firstLine="480"/>
        <w:jc w:val="both"/>
        <w:keepLines/>
        <w:keepNext/>
        <w:spacing w:beforeAutospacing="0" w:afterAutospacing="0" w:line="360" w:lineRule="auto"/>
        <w:rPr>
          <w:rFonts w:hint="eastAsia" w:ascii="宋体" w:hAnsi="宋体" w:cs="宋体"/>
        </w:rPr>
      </w:pPr>
      <w:r/>
      <w:bookmarkStart w:id="130" w:name="_Toc513029232"/>
      <w:r/>
      <w:bookmarkStart w:id="131" w:name="_Toc20823304"/>
      <w:r/>
      <w:bookmarkStart w:id="132" w:name="_Toc16938548"/>
      <w:r>
        <w:rPr>
          <w:rFonts w:hint="eastAsia" w:ascii="宋体" w:hAnsi="宋体" w:cs="宋体"/>
        </w:rPr>
        <w:t xml:space="preserve">24.投标文件的澄清</w:t>
      </w:r>
      <w:bookmarkEnd w:id="130"/>
      <w:r/>
      <w:bookmarkEnd w:id="131"/>
      <w:r/>
      <w:bookmarkEnd w:id="132"/>
      <w:r/>
      <w:r/>
    </w:p>
    <w:p>
      <w:pPr>
        <w:pStyle w:val="852"/>
        <w:ind w:firstLine="480"/>
        <w:jc w:val="both"/>
        <w:spacing w:beforeAutospacing="0" w:afterAutospacing="0" w:line="360" w:lineRule="auto"/>
        <w:rPr>
          <w:rFonts w:hint="eastAsia" w:ascii="宋体" w:hAnsi="宋体" w:cs="宋体"/>
        </w:rPr>
      </w:pPr>
      <w:r/>
      <w:bookmarkStart w:id="133" w:name="_Toc16938549"/>
      <w:r/>
      <w:bookmarkStart w:id="134" w:name="_Toc513029233"/>
      <w:r/>
      <w:bookmarkStart w:id="135" w:name="_Toc20823305"/>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2"/>
        <w:ind w:firstLine="480"/>
        <w:jc w:val="both"/>
        <w:spacing w:beforeAutospacing="0" w:afterAutospacing="0" w:line="360" w:lineRule="auto"/>
        <w:rPr>
          <w:rFonts w:hint="eastAsia" w:ascii="宋体" w:hAnsi="宋体" w:cs="宋体"/>
        </w:rPr>
      </w:pPr>
      <w:r/>
      <w:bookmarkStart w:id="136" w:name="_Toc20823306"/>
      <w:r/>
      <w:bookmarkStart w:id="137" w:name="_Toc16938550"/>
      <w:r/>
      <w:bookmarkStart w:id="138" w:name="_Toc513029234"/>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2"/>
        <w:ind w:firstLine="420"/>
        <w:jc w:val="both"/>
        <w:pageBreakBefore w:val="0"/>
        <w:spacing w:beforeAutospacing="0" w:afterAutospacing="0" w:line="360" w:lineRule="auto"/>
        <w:widowControl w:val="off"/>
        <w:rPr>
          <w:rFonts w:hint="eastAsia" w:ascii="宋体" w:hAnsi="宋体" w:cs="宋体"/>
        </w:rPr>
      </w:pP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核心产品为：</w:t>
      </w:r>
      <w:r>
        <w:rPr>
          <w:rFonts w:hint="eastAsia" w:ascii="宋体" w:hAnsi="宋体" w:cs="宋体"/>
          <w:b/>
          <w:bCs/>
          <w:color w:val="auto"/>
          <w:sz w:val="24"/>
          <w:szCs w:val="24"/>
          <w:lang w:val="en-US" w:eastAsia="zh-CN" w:bidi="ar"/>
        </w:rPr>
        <w:t xml:space="preserve">智慧渔港管理平台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852"/>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25.7投标人在开、评标全过程中应保持通信畅通，及时登录苏采云系统查阅、答复相关信息，并安排专人与采购人及评标委员会联系。</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852"/>
        <w:ind w:left="479"/>
        <w:jc w:val="both"/>
        <w:spacing w:beforeAutospacing="0" w:afterAutospacing="0" w:line="360" w:lineRule="auto"/>
        <w:rPr>
          <w:rFonts w:hint="eastAsia" w:ascii="宋体" w:hAnsi="宋体" w:cs="宋体"/>
        </w:rPr>
      </w:pPr>
      <w:r/>
      <w:bookmarkStart w:id="139" w:name="_Toc513029235"/>
      <w:r/>
      <w:bookmarkStart w:id="140" w:name="_Toc20823307"/>
      <w:r/>
      <w:bookmarkStart w:id="141" w:name="_Toc16938551"/>
      <w:r>
        <w:rPr>
          <w:rFonts w:hint="eastAsia" w:ascii="宋体" w:hAnsi="宋体" w:cs="宋体"/>
        </w:rPr>
        <w:t xml:space="preserve">26.1无效投标条款</w:t>
      </w:r>
      <w:bookmarkEnd w:id="139"/>
      <w:r/>
      <w:bookmarkEnd w:id="140"/>
      <w:r/>
      <w:bookmarkEnd w:id="141"/>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87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852"/>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852"/>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852"/>
        <w:ind w:firstLine="480"/>
        <w:jc w:val="both"/>
        <w:keepLines/>
        <w:keepNext/>
        <w:spacing w:beforeAutospacing="0" w:afterAutospacing="0" w:line="360" w:lineRule="auto"/>
        <w:rPr>
          <w:rFonts w:hint="eastAsia" w:ascii="宋体" w:hAnsi="宋体" w:cs="宋体"/>
        </w:rPr>
      </w:pPr>
      <w:r/>
      <w:bookmarkStart w:id="143" w:name="_Toc513029238"/>
      <w:r/>
      <w:bookmarkStart w:id="144" w:name="_Toc16938554"/>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852"/>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852"/>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852"/>
        <w:ind w:firstLine="48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代理机构及采购人只接收以纸质原件形式送达的质疑,采购人和代理机构不接受未填写快递运单的快件。质疑接收部门</w:t>
      </w:r>
      <w:r>
        <w:rPr>
          <w:rFonts w:hint="eastAsia" w:ascii="宋体" w:hAnsi="宋体" w:cs="宋体"/>
          <w:color w:val="ff0000"/>
          <w:lang w:eastAsia="zh-CN"/>
        </w:rPr>
        <w:t xml:space="preserve">：</w:t>
      </w:r>
      <w:r>
        <w:rPr>
          <w:rFonts w:hint="eastAsia" w:ascii="宋体" w:hAnsi="宋体" w:eastAsia="宋体" w:cs="宋体"/>
          <w:color w:val="ff0000"/>
          <w:lang w:val="en-US" w:eastAsia="zh-CN"/>
        </w:rPr>
        <w:t xml:space="preserve">盐城市盛岩工程咨询有限公司</w:t>
      </w:r>
      <w:r>
        <w:rPr>
          <w:rFonts w:hint="eastAsia" w:ascii="宋体" w:hAnsi="宋体" w:eastAsia="宋体" w:cs="宋体"/>
          <w:color w:val="ff0000"/>
        </w:rPr>
        <w:t xml:space="preserve">，联系地址：</w:t>
      </w:r>
      <w:r>
        <w:rPr>
          <w:rFonts w:hint="eastAsia" w:ascii="宋体" w:hAnsi="宋体" w:eastAsia="宋体" w:cs="宋体"/>
          <w:color w:val="ff0000"/>
          <w:lang w:val="en-US" w:eastAsia="zh-CN"/>
        </w:rPr>
        <w:t xml:space="preserve">盐城市滨海县人民南路龙泰御景湾1号商业楼202室</w:t>
      </w:r>
      <w:r>
        <w:rPr>
          <w:rFonts w:hint="eastAsia" w:ascii="宋体" w:hAnsi="宋体" w:eastAsia="宋体" w:cs="宋体"/>
          <w:color w:val="ff0000"/>
        </w:rPr>
        <w:t xml:space="preserve">，联系</w:t>
      </w:r>
      <w:r>
        <w:rPr>
          <w:rFonts w:hint="eastAsia" w:ascii="宋体" w:hAnsi="宋体" w:cs="宋体"/>
          <w:color w:val="ff0000"/>
        </w:rPr>
        <w:t xml:space="preserve">电话：</w:t>
      </w:r>
      <w:r>
        <w:rPr>
          <w:rFonts w:hint="eastAsia" w:ascii="宋体" w:hAnsi="宋体" w:cs="宋体"/>
          <w:color w:val="ff0000"/>
          <w:lang w:val="en-US" w:eastAsia="zh-CN"/>
        </w:rPr>
        <w:t xml:space="preserve">13770132258</w:t>
      </w:r>
      <w:r>
        <w:rPr>
          <w:rFonts w:hint="eastAsia" w:ascii="宋体" w:hAnsi="宋体" w:cs="宋体"/>
          <w:color w:val="ff0000"/>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852"/>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52"/>
        <w:jc w:val="both"/>
        <w:keepLines/>
        <w:keepNext/>
        <w:spacing w:before="145" w:beforeAutospacing="0" w:after="145" w:afterAutospacing="0" w:line="360" w:lineRule="auto"/>
        <w:rPr>
          <w:rFonts w:hint="eastAsia" w:ascii="宋体" w:hAnsi="宋体" w:cs="宋体"/>
        </w:rPr>
      </w:pPr>
      <w:r/>
      <w:bookmarkStart w:id="146" w:name="_Toc120614220"/>
      <w:r/>
      <w:bookmarkStart w:id="147" w:name="_Toc513029236"/>
      <w:r/>
      <w:bookmarkStart w:id="148" w:name="_Toc20823308"/>
      <w:r/>
      <w:bookmarkStart w:id="149" w:name="_Toc16938552"/>
      <w:r>
        <w:rPr>
          <w:rFonts w:hint="eastAsia" w:ascii="宋体" w:hAnsi="宋体" w:cs="宋体"/>
          <w:b/>
        </w:rPr>
        <w:t xml:space="preserve">七、授予合同</w:t>
      </w:r>
      <w:bookmarkEnd w:id="146"/>
      <w:r/>
      <w:bookmarkEnd w:id="147"/>
      <w:r/>
      <w:bookmarkEnd w:id="148"/>
      <w:r/>
      <w:bookmarkEnd w:id="149"/>
      <w:r/>
      <w:r/>
    </w:p>
    <w:p>
      <w:pPr>
        <w:pStyle w:val="852"/>
        <w:ind w:firstLine="600"/>
        <w:jc w:val="both"/>
        <w:keepLines/>
        <w:keepNext/>
        <w:spacing w:beforeAutospacing="0" w:afterAutospacing="0" w:line="360" w:lineRule="auto"/>
        <w:rPr>
          <w:rFonts w:hint="eastAsia" w:ascii="宋体" w:hAnsi="宋体" w:cs="宋体"/>
        </w:rPr>
      </w:pPr>
      <w:r/>
      <w:bookmarkStart w:id="150" w:name="_Toc20823309"/>
      <w:r/>
      <w:bookmarkStart w:id="151" w:name="_Toc16938553"/>
      <w:r/>
      <w:bookmarkStart w:id="152" w:name="_Toc513029237"/>
      <w:r>
        <w:rPr>
          <w:rFonts w:hint="eastAsia" w:ascii="宋体" w:hAnsi="宋体" w:cs="宋体"/>
        </w:rPr>
        <w:t xml:space="preserve">30.签订合同</w:t>
      </w:r>
      <w:bookmarkEnd w:id="150"/>
      <w:r/>
      <w:bookmarkEnd w:id="151"/>
      <w:r/>
      <w:bookmarkEnd w:id="152"/>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690"/>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Toc120614244"/>
      <w:r/>
      <w:bookmarkStart w:id="155" w:name="_Hlt16619350"/>
      <w:r/>
      <w:bookmarkStart w:id="156" w:name="_Toc16938590"/>
      <w:r/>
      <w:bookmarkStart w:id="157" w:name="_Toc20823346"/>
      <w:r/>
      <w:bookmarkStart w:id="158" w:name="_Toc462564139"/>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bookmarkEnd w:id="160"/>
      <w:r/>
    </w:p>
    <w:p>
      <w:pPr>
        <w:jc w:val="center"/>
        <w:rPr>
          <w:rFonts w:hint="eastAsia" w:ascii="宋体" w:hAnsi="宋体" w:cs="宋体"/>
          <w:b/>
          <w:bCs/>
          <w:spacing w:val="-20"/>
          <w:sz w:val="48"/>
          <w:szCs w:val="48"/>
        </w:rPr>
      </w:pPr>
      <w:r/>
      <w:bookmarkStart w:id="161"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bookmarkEnd w:id="161"/>
      <w:r/>
    </w:p>
    <w:p>
      <w:pPr>
        <w:jc w:val="center"/>
        <w:keepLines/>
        <w:keepNext/>
        <w:spacing w:line="400" w:lineRule="exact"/>
        <w:rPr>
          <w:rFonts w:hint="eastAsia" w:ascii="黑体" w:hAnsi="黑体" w:eastAsia="黑体"/>
          <w:b/>
          <w:bCs/>
          <w:sz w:val="28"/>
          <w:szCs w:val="28"/>
        </w:rPr>
        <w:outlineLvl w:val="1"/>
      </w:pPr>
      <w:r/>
      <w:bookmarkStart w:id="16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860"/>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color w:val="auto"/>
          <w:sz w:val="24"/>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注：1）将合同价款30%的预付款汇入农民工工资专用账户。</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 系 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 系 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42"/>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46"/>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846"/>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6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847"/>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7"/>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keepLines w:val="0"/>
        <w:keepNext w:val="0"/>
        <w:pageBreakBefore w:val="0"/>
        <w:spacing w:line="400" w:lineRule="atLeast"/>
        <w:widowControl w:val="off"/>
        <w:rPr>
          <w:rFonts w:hint="eastAsia" w:ascii="宋体" w:hAnsi="宋体" w:cs="宋体"/>
          <w:sz w:val="21"/>
          <w:szCs w:val="21"/>
        </w:rPr>
      </w:pPr>
      <w:r>
        <w:rPr>
          <w:rFonts w:hint="eastAsia" w:ascii="宋体" w:hAnsi="宋体" w:cs="宋体"/>
          <w:szCs w:val="21"/>
        </w:rPr>
        <w:t xml:space="preserve">12.1 合同签定后，</w:t>
      </w:r>
      <w:r>
        <w:rPr>
          <w:rFonts w:hint="eastAsia" w:hAnsi="宋体" w:cs="宋体"/>
          <w:color w:val="auto"/>
          <w:sz w:val="21"/>
          <w:szCs w:val="21"/>
          <w:shd w:val="clear" w:color="auto" w:fill="ffffff"/>
        </w:rPr>
        <w:t xml:space="preserve">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注：1）将合同价款30%的预付款汇入农民工工资专用账户。</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2）项目竣工验收完成后,项目建设单位须将所有项目材料装订成册，移交县局档案室统一管理。</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2"/>
        <w:keepLines w:val="0"/>
        <w:keepNext w:val="0"/>
        <w:pageBreakBefore w:val="0"/>
        <w:spacing w:line="400" w:lineRule="atLeast"/>
        <w:widowControl w:val="off"/>
        <w:rPr>
          <w:rFonts w:hint="eastAsia" w:hAnsi="宋体"/>
          <w:szCs w:val="21"/>
        </w:rPr>
      </w:pPr>
      <w:r>
        <w:rPr>
          <w:rFonts w:hint="eastAsia" w:hAnsi="宋体" w:cs="宋体"/>
          <w:sz w:val="21"/>
          <w:szCs w:val="21"/>
          <w:shd w:val="clear" w:color="auto" w:fill="ffffff"/>
        </w:rPr>
        <w:t xml:space="preserve">4）甲方在收到乙方的税务发票后十个工作日内支付到乙方账户</w:t>
      </w:r>
      <w:r>
        <w:rPr>
          <w:rFonts w:hint="eastAsia" w:hAnsi="宋体" w:cs="宋体"/>
          <w:szCs w:val="21"/>
        </w:rPr>
        <w:t xml:space="preserve">。</w:t>
      </w:r>
      <w:r/>
    </w:p>
    <w:p>
      <w:pPr>
        <w:pStyle w:val="846"/>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6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6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6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46"/>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61"/>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联合体具体要求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60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第1.2（7）项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其他术语解释</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第4.6款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sz w:val="21"/>
                <w:szCs w:val="21"/>
              </w:rPr>
            </w:pPr>
            <w:r>
              <w:rPr>
                <w:rFonts w:hint="eastAsia" w:ascii="宋体" w:hAnsi="宋体"/>
                <w:sz w:val="21"/>
                <w:szCs w:val="21"/>
              </w:rPr>
              <w:t xml:space="preserve">第5.4款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第6.1款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履行合同义务的顺序</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包装特殊要求</w:t>
            </w:r>
            <w:r/>
          </w:p>
        </w:tc>
        <w:tc>
          <w:tcPr>
            <w:tcW w:w="5170" w:type="dxa"/>
            <w:vAlign w:val="center"/>
            <w:textDirection w:val="lrTb"/>
            <w:noWrap w:val="false"/>
          </w:tcPr>
          <w:p>
            <w:pPr>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1"/>
                <w:szCs w:val="21"/>
              </w:rPr>
            </w:pPr>
            <w:r>
              <w:rPr>
                <w:rFonts w:hint="eastAsia"/>
                <w:sz w:val="21"/>
                <w:szCs w:val="21"/>
              </w:rPr>
              <w:t xml:space="preserve">1.商品包装层数不得超过3 层，空隙率不大于40%；</w:t>
            </w:r>
            <w:r/>
          </w:p>
          <w:p>
            <w:pPr>
              <w:rPr>
                <w:sz w:val="21"/>
                <w:szCs w:val="21"/>
              </w:rPr>
            </w:pPr>
            <w:r>
              <w:rPr>
                <w:rFonts w:hint="eastAsia"/>
                <w:sz w:val="21"/>
                <w:szCs w:val="21"/>
              </w:rPr>
              <w:t xml:space="preserve">2.商品包装尽可能使用单一材质的包装材料，如因功能需求必需使用不同材质，不同材质间应便于分离；</w:t>
            </w:r>
            <w:r/>
          </w:p>
          <w:p>
            <w:pPr>
              <w:rPr>
                <w:sz w:val="21"/>
                <w:szCs w:val="21"/>
              </w:rPr>
            </w:pPr>
            <w:r>
              <w:rPr>
                <w:rFonts w:hint="eastAsia"/>
                <w:sz w:val="21"/>
                <w:szCs w:val="21"/>
              </w:rPr>
              <w:t xml:space="preserve">3.商品包装中铅、汞、镉、六价铬的总含量应不大于100mg/kg；</w:t>
            </w:r>
            <w:r/>
          </w:p>
          <w:p>
            <w:pPr>
              <w:rPr>
                <w:sz w:val="21"/>
                <w:szCs w:val="21"/>
              </w:rPr>
            </w:pPr>
            <w:r>
              <w:rPr>
                <w:rFonts w:hint="eastAsia"/>
                <w:sz w:val="21"/>
                <w:szCs w:val="21"/>
              </w:rPr>
              <w:t xml:space="preserve">4.商品包装印刷使用的油墨中挥发性有机化合物(VOCs)含量应不大于 5%（以重量计）；</w:t>
            </w:r>
            <w:r/>
          </w:p>
          <w:p>
            <w:pPr>
              <w:rPr>
                <w:sz w:val="21"/>
                <w:szCs w:val="21"/>
              </w:rPr>
            </w:pPr>
            <w:r>
              <w:rPr>
                <w:rFonts w:hint="eastAsia"/>
                <w:sz w:val="21"/>
                <w:szCs w:val="21"/>
              </w:rPr>
              <w:t xml:space="preserve">5.塑料材质商品包装上呈现的印刷颜色不得超过6色；</w:t>
            </w:r>
            <w:r/>
          </w:p>
          <w:p>
            <w:pPr>
              <w:rPr>
                <w:sz w:val="21"/>
                <w:szCs w:val="21"/>
              </w:rPr>
            </w:pPr>
            <w:r>
              <w:rPr>
                <w:rFonts w:hint="eastAsia"/>
                <w:sz w:val="21"/>
                <w:szCs w:val="21"/>
              </w:rPr>
              <w:t xml:space="preserve">6.纸质商品包装应使用75%以上的可再生纤维原料生产；</w:t>
            </w:r>
            <w:r/>
          </w:p>
          <w:p>
            <w:pPr>
              <w:rPr>
                <w:sz w:val="21"/>
                <w:szCs w:val="21"/>
              </w:rPr>
            </w:pPr>
            <w:r>
              <w:rPr>
                <w:rFonts w:hint="eastAsia"/>
                <w:sz w:val="21"/>
                <w:szCs w:val="21"/>
              </w:rPr>
              <w:t xml:space="preserve">7.木质商品包装的原料应来源于可持续性森林。</w:t>
            </w:r>
            <w:r/>
          </w:p>
          <w:p>
            <w:pPr>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1"/>
                <w:szCs w:val="21"/>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指定现场</w:t>
            </w:r>
            <w:r/>
          </w:p>
        </w:tc>
        <w:tc>
          <w:tcPr>
            <w:tcW w:w="5170" w:type="dxa"/>
            <w:vAlign w:val="center"/>
            <w:textDirection w:val="lrTb"/>
            <w:noWrap w:val="false"/>
          </w:tcPr>
          <w:p>
            <w:pPr>
              <w:jc w:val="left"/>
              <w:rPr>
                <w:sz w:val="21"/>
                <w:szCs w:val="21"/>
              </w:rPr>
            </w:pPr>
            <w:r>
              <w:rPr>
                <w:rFonts w:hint="eastAsia"/>
                <w:sz w:val="21"/>
                <w:szCs w:val="21"/>
              </w:rPr>
              <w:t xml:space="preserve">同协议书</w:t>
            </w:r>
            <w:r/>
          </w:p>
        </w:tc>
      </w:tr>
      <w:tr>
        <w:trPr>
          <w:trHeight w:val="772"/>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运输特殊要求</w:t>
            </w:r>
            <w:r/>
          </w:p>
        </w:tc>
        <w:tc>
          <w:tcPr>
            <w:tcW w:w="5170" w:type="dxa"/>
            <w:vAlign w:val="center"/>
            <w:textDirection w:val="lrTb"/>
            <w:noWrap w:val="false"/>
          </w:tcPr>
          <w:p>
            <w:pPr>
              <w:rPr>
                <w:sz w:val="21"/>
                <w:szCs w:val="21"/>
              </w:rPr>
            </w:pPr>
            <w:r>
              <w:rPr>
                <w:rFonts w:hint="eastAsia"/>
                <w:sz w:val="21"/>
                <w:szCs w:val="21"/>
              </w:rPr>
              <w:t xml:space="preserve">1.货物验收合格、交付使用并提供所需单据的日期视为交货日期。</w:t>
            </w:r>
            <w:r/>
          </w:p>
          <w:p>
            <w:pPr>
              <w:pStyle w:val="861"/>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p>
          <w:p>
            <w:pPr>
              <w:rPr>
                <w:sz w:val="21"/>
                <w:szCs w:val="21"/>
              </w:rPr>
            </w:pPr>
            <w:r>
              <w:rPr>
                <w:rFonts w:hint="eastAsia"/>
                <w:sz w:val="21"/>
                <w:szCs w:val="21"/>
              </w:rPr>
              <w:t xml:space="preserve">3.乙方装运的货物不应超过合同规定的数量或重量。乙方应对超交数量或超重而产生的一切后果负责。</w:t>
            </w:r>
            <w:r/>
          </w:p>
          <w:p>
            <w:pPr>
              <w:pStyle w:val="861"/>
              <w:ind w:firstLine="0"/>
              <w:rPr>
                <w:rFonts w:hint="eastAsia"/>
                <w:sz w:val="21"/>
                <w:szCs w:val="21"/>
              </w:rPr>
            </w:pPr>
            <w:r>
              <w:rPr>
                <w:rFonts w:hint="eastAsia" w:ascii="Times New Roman" w:hAnsi="Times New Roman" w:eastAsia="宋体" w:cs="Times New Roman"/>
                <w:sz w:val="21"/>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保险要求</w:t>
            </w:r>
            <w:r/>
          </w:p>
        </w:tc>
        <w:tc>
          <w:tcPr>
            <w:tcW w:w="5170" w:type="dxa"/>
            <w:vAlign w:val="center"/>
            <w:textDirection w:val="lrTb"/>
            <w:noWrap w:val="false"/>
          </w:tcPr>
          <w:p>
            <w:pPr>
              <w:rPr>
                <w:sz w:val="21"/>
                <w:szCs w:val="21"/>
              </w:rPr>
            </w:pPr>
            <w:r>
              <w:rPr>
                <w:sz w:val="21"/>
                <w:szCs w:val="21"/>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第8.2（1）项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质量保证期</w:t>
            </w:r>
            <w:r/>
          </w:p>
        </w:tc>
        <w:tc>
          <w:tcPr>
            <w:tcW w:w="5170" w:type="dxa"/>
            <w:vAlign w:val="center"/>
            <w:textDirection w:val="lrTb"/>
            <w:noWrap w:val="false"/>
          </w:tcPr>
          <w:p>
            <w:pPr>
              <w:pStyle w:val="852"/>
              <w:ind w:left="480" w:hanging="480"/>
              <w:jc w:val="both"/>
              <w:spacing w:before="120" w:beforeAutospacing="0" w:after="120" w:afterAutospacing="0"/>
              <w:rPr>
                <w:rFonts w:hint="eastAsia" w:ascii="宋体" w:hAnsi="宋体" w:cs="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w:t>
            </w:r>
            <w:r>
              <w:rPr>
                <w:rFonts w:hint="eastAsia" w:ascii="宋体" w:hAnsi="宋体" w:cs="宋体"/>
                <w:sz w:val="21"/>
                <w:szCs w:val="21"/>
              </w:rPr>
              <w:t xml:space="preserve">自交货验收合格之日起</w:t>
            </w:r>
            <w:r/>
          </w:p>
          <w:p>
            <w:pPr>
              <w:pStyle w:val="852"/>
              <w:ind w:left="480" w:hanging="480"/>
              <w:jc w:val="both"/>
              <w:spacing w:before="120" w:beforeAutospacing="0" w:after="120" w:afterAutospacing="0"/>
              <w:rPr>
                <w:rFonts w:hint="eastAsia" w:ascii="宋体" w:hAnsi="宋体"/>
                <w:sz w:val="21"/>
                <w:szCs w:val="21"/>
              </w:rPr>
            </w:pPr>
            <w:r>
              <w:rPr>
                <w:rFonts w:hint="eastAsia" w:ascii="宋体" w:hAnsi="宋体" w:cs="宋体"/>
                <w:sz w:val="21"/>
                <w:szCs w:val="21"/>
              </w:rPr>
              <w:t xml:space="preserve">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货物质量缺陷</w:t>
            </w:r>
            <w:r/>
          </w:p>
          <w:p>
            <w:pPr>
              <w:jc w:val="left"/>
              <w:rPr>
                <w:rFonts w:hint="eastAsia" w:ascii="宋体" w:hAnsi="宋体"/>
                <w:sz w:val="21"/>
                <w:szCs w:val="21"/>
              </w:rPr>
            </w:pPr>
            <w:r>
              <w:rPr>
                <w:rFonts w:hint="eastAsia" w:ascii="宋体" w:hAnsi="宋体"/>
                <w:sz w:val="21"/>
                <w:szCs w:val="21"/>
              </w:rPr>
              <w:t xml:space="preserve">响应时间</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第8款补充</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p>
          <w:p>
            <w:pPr>
              <w:jc w:val="left"/>
              <w:rPr>
                <w:rFonts w:hint="eastAsia"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p>
          <w:p>
            <w:pPr>
              <w:jc w:val="left"/>
              <w:rPr>
                <w:rFonts w:hint="eastAsia"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8.乙方应保证货物是全新、未使用过的，是用</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一流的工艺和最佳材料制造的、合法渠道进货</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的正宗、未使用过的原装合格正品，产品质量</w:t>
            </w:r>
            <w:r/>
          </w:p>
          <w:p>
            <w:pPr>
              <w:pStyle w:val="852"/>
              <w:spacing w:before="120" w:beforeAutospacing="0" w:after="120" w:afterAutospacing="0"/>
              <w:rPr>
                <w:rFonts w:hint="eastAsia" w:ascii="宋体" w:hAnsi="宋体"/>
                <w:sz w:val="21"/>
                <w:szCs w:val="21"/>
              </w:rPr>
            </w:pPr>
            <w:r>
              <w:rPr>
                <w:rFonts w:hint="eastAsia" w:ascii="宋体" w:hAnsi="宋体"/>
                <w:sz w:val="21"/>
                <w:szCs w:val="21"/>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第二节</w:t>
            </w:r>
            <w:r/>
          </w:p>
          <w:p>
            <w:pPr>
              <w:jc w:val="center"/>
              <w:spacing w:line="400" w:lineRule="exact"/>
              <w:widowControl/>
              <w:rPr>
                <w:rFonts w:hint="eastAsia" w:ascii="华文楷体" w:hAnsi="华文楷体" w:eastAsia="华文楷体" w:cs="华文楷体"/>
                <w:sz w:val="21"/>
                <w:szCs w:val="21"/>
              </w:rPr>
            </w:pPr>
            <w:r>
              <w:rPr>
                <w:rFonts w:hint="eastAsia" w:ascii="宋体" w:hAnsi="宋体" w:cs="宋体"/>
                <w:sz w:val="21"/>
                <w:szCs w:val="21"/>
              </w:rPr>
              <w:t xml:space="preserve">第11.1款</w:t>
            </w:r>
            <w:r/>
          </w:p>
        </w:tc>
        <w:tc>
          <w:tcPr>
            <w:tcW w:w="1789" w:type="dxa"/>
            <w:vAlign w:val="center"/>
            <w:textDirection w:val="lrTb"/>
            <w:noWrap w:val="false"/>
          </w:tcPr>
          <w:p>
            <w:pPr>
              <w:rPr>
                <w:rFonts w:hint="eastAsia" w:ascii="宋体" w:hAnsi="宋体"/>
                <w:sz w:val="21"/>
                <w:szCs w:val="21"/>
              </w:rPr>
            </w:pPr>
            <w:r>
              <w:rPr>
                <w:rFonts w:hint="eastAsia" w:ascii="宋体" w:hAnsi="宋体"/>
                <w:sz w:val="21"/>
                <w:szCs w:val="21"/>
              </w:rPr>
              <w:t xml:space="preserve">其他应当保密的信息</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648" w:hRule="exact"/>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1"/>
                <w:szCs w:val="21"/>
              </w:rPr>
            </w:pPr>
            <w:r>
              <w:rPr>
                <w:rFonts w:hint="eastAsia" w:ascii="宋体" w:hAnsi="宋体" w:cs="宋体"/>
                <w:sz w:val="21"/>
                <w:szCs w:val="21"/>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注：1）将合同价款30%的预付款</w:t>
            </w:r>
            <w:r>
              <w:rPr>
                <w:rFonts w:hint="eastAsia" w:hAnsi="宋体"/>
                <w:sz w:val="21"/>
                <w:szCs w:val="21"/>
              </w:rPr>
              <w:t xml:space="preserve">汇入农民工工资专用账户。</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项目竣工验收完成后,项目建设单位须将所有项目材料装订成册，移交县局档案室统一管理。</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0"/>
              <w:spacing w:before="120" w:after="120" w:line="460" w:lineRule="exact"/>
              <w:rPr>
                <w:sz w:val="21"/>
                <w:szCs w:val="21"/>
              </w:rPr>
            </w:pPr>
            <w:r>
              <w:rPr>
                <w:rFonts w:hint="eastAsia" w:hAnsi="宋体" w:cs="宋体"/>
                <w:sz w:val="21"/>
                <w:szCs w:val="21"/>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履约保证金不予退还的情形</w:t>
            </w:r>
            <w:r/>
          </w:p>
        </w:tc>
        <w:tc>
          <w:tcPr>
            <w:tcW w:w="5170" w:type="dxa"/>
            <w:vAlign w:val="center"/>
            <w:textDirection w:val="lrTb"/>
            <w:noWrap w:val="false"/>
          </w:tcPr>
          <w:p>
            <w:pPr>
              <w:ind w:firstLine="420"/>
              <w:spacing w:line="360" w:lineRule="auto"/>
              <w:rPr>
                <w:rFonts w:hint="eastAsia"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1"/>
                <w:szCs w:val="21"/>
              </w:rPr>
            </w:pPr>
            <w:r>
              <w:rPr>
                <w:rFonts w:hint="eastAsia" w:ascii="宋体" w:hAnsi="宋体" w:cs="宋体"/>
                <w:sz w:val="21"/>
                <w:szCs w:val="21"/>
              </w:rPr>
              <w:t xml:space="preserve">（2）中标人不履行与采购人订立的合同的；</w:t>
            </w:r>
            <w:r/>
          </w:p>
          <w:p>
            <w:pPr>
              <w:spacing w:line="360" w:lineRule="auto"/>
              <w:rPr>
                <w:rFonts w:hint="eastAsia" w:ascii="宋体" w:hAnsi="宋体" w:cs="宋体"/>
                <w:sz w:val="21"/>
                <w:szCs w:val="21"/>
              </w:rPr>
            </w:pPr>
            <w:r>
              <w:rPr>
                <w:rFonts w:hint="eastAsia" w:ascii="宋体" w:hAnsi="宋体" w:cs="宋体"/>
                <w:sz w:val="21"/>
                <w:szCs w:val="21"/>
              </w:rPr>
              <w:t xml:space="preserve">（3）中标人所供货物或服务不符合招标文件规定要求的；</w:t>
            </w:r>
            <w:r/>
          </w:p>
          <w:p>
            <w:pPr>
              <w:spacing w:line="360" w:lineRule="auto"/>
              <w:rPr>
                <w:rFonts w:hint="eastAsia" w:ascii="宋体" w:hAnsi="宋体" w:cs="宋体"/>
                <w:sz w:val="21"/>
                <w:szCs w:val="21"/>
              </w:rPr>
            </w:pPr>
            <w:r>
              <w:rPr>
                <w:rFonts w:hint="eastAsia" w:ascii="宋体" w:hAnsi="宋体" w:cs="宋体"/>
                <w:sz w:val="21"/>
                <w:szCs w:val="21"/>
              </w:rPr>
              <w:t xml:space="preserve">（4）中标人采取欺骗、弄虚作假方式投标的或与其他投标人串通投标的；</w:t>
            </w:r>
            <w:r/>
          </w:p>
          <w:p>
            <w:pPr>
              <w:spacing w:line="360" w:lineRule="auto"/>
              <w:rPr>
                <w:rFonts w:hint="eastAsia" w:ascii="宋体" w:hAnsi="宋体" w:cs="宋体"/>
                <w:sz w:val="21"/>
                <w:szCs w:val="21"/>
              </w:rPr>
            </w:pPr>
            <w:r>
              <w:rPr>
                <w:rFonts w:hint="eastAsia" w:ascii="宋体" w:hAnsi="宋体" w:cs="宋体"/>
                <w:sz w:val="21"/>
                <w:szCs w:val="21"/>
              </w:rPr>
              <w:t xml:space="preserve">（5）中标人将合同内容转包、违法分包的；</w:t>
            </w:r>
            <w:r/>
          </w:p>
          <w:p>
            <w:pPr>
              <w:spacing w:line="360" w:lineRule="auto"/>
              <w:rPr>
                <w:rFonts w:hint="eastAsia" w:ascii="宋体" w:hAnsi="宋体"/>
                <w:sz w:val="21"/>
                <w:szCs w:val="21"/>
              </w:rPr>
            </w:pPr>
            <w:r>
              <w:rPr>
                <w:rFonts w:hint="eastAsia" w:ascii="宋体" w:hAnsi="宋体" w:cs="宋体"/>
                <w:sz w:val="21"/>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第13.3款</w:t>
            </w:r>
            <w:r/>
          </w:p>
        </w:tc>
        <w:tc>
          <w:tcPr>
            <w:tcW w:w="1789"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1、合同履行结束后，甲方应及时退还交纳的履约保证金。</w:t>
            </w:r>
            <w:r/>
          </w:p>
          <w:p>
            <w:pPr>
              <w:spacing w:line="360" w:lineRule="auto"/>
              <w:rPr>
                <w:rFonts w:hint="eastAsia" w:ascii="宋体" w:hAnsi="宋体" w:cs="宋体"/>
                <w:sz w:val="21"/>
                <w:szCs w:val="21"/>
              </w:rPr>
            </w:pPr>
            <w:r>
              <w:rPr>
                <w:rFonts w:hint="eastAsia" w:ascii="宋体" w:hAnsi="宋体" w:cs="宋体"/>
                <w:sz w:val="21"/>
                <w:szCs w:val="21"/>
              </w:rPr>
              <w:t xml:space="preserve">2、退还方式：退还至投标人缴纳履约保证金的账户。如为保函，在到期时自行失效。</w:t>
            </w:r>
            <w:r/>
          </w:p>
          <w:p>
            <w:pPr>
              <w:spacing w:line="360" w:lineRule="auto"/>
              <w:rPr>
                <w:rFonts w:hint="eastAsia" w:ascii="宋体" w:hAnsi="宋体" w:cs="宋体"/>
                <w:sz w:val="21"/>
                <w:szCs w:val="21"/>
              </w:rPr>
            </w:pPr>
            <w:r>
              <w:rPr>
                <w:rFonts w:hint="eastAsia" w:ascii="宋体" w:hAnsi="宋体" w:cs="宋体"/>
                <w:sz w:val="21"/>
                <w:szCs w:val="21"/>
              </w:rPr>
              <w:t xml:space="preserve">3、退还时间：验收合格且甲方收到发票后30日内。</w:t>
            </w:r>
            <w:r/>
          </w:p>
          <w:p>
            <w:pPr>
              <w:spacing w:line="360" w:lineRule="auto"/>
              <w:rPr>
                <w:rFonts w:hint="eastAsia"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p>
          <w:p>
            <w:pPr>
              <w:spacing w:line="360" w:lineRule="auto"/>
              <w:rPr>
                <w:rFonts w:hint="eastAsia"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运行监督、维修期限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第14.1（5）项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货物回收的约定</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乙方提供的其他服务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p>
          <w:p>
            <w:pPr>
              <w:numPr>
                <w:ilvl w:val="0"/>
                <w:numId w:val="6"/>
              </w:numPr>
              <w:jc w:val="left"/>
              <w:rPr>
                <w:rFonts w:hint="eastAsia"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第15.2（2）项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迟延交货赔偿费</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cs="宋体"/>
                <w:sz w:val="21"/>
                <w:szCs w:val="21"/>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逾期付款利息</w:t>
            </w:r>
            <w:r/>
          </w:p>
        </w:tc>
        <w:tc>
          <w:tcPr>
            <w:tcW w:w="5170" w:type="dxa"/>
            <w:vAlign w:val="center"/>
            <w:textDirection w:val="lrTb"/>
            <w:noWrap w:val="false"/>
          </w:tcPr>
          <w:p>
            <w:pPr>
              <w:pStyle w:val="852"/>
              <w:ind w:left="410" w:hanging="410"/>
              <w:jc w:val="both"/>
              <w:spacing w:before="120" w:beforeAutospacing="0" w:after="120" w:afterAutospacing="0"/>
              <w:rPr>
                <w:rFonts w:hint="eastAsia" w:ascii="宋体" w:hAnsi="宋体"/>
                <w:sz w:val="21"/>
                <w:szCs w:val="21"/>
                <w:u w:val="single"/>
              </w:rPr>
            </w:pPr>
            <w:r>
              <w:rPr>
                <w:rFonts w:hint="eastAsia" w:ascii="宋体" w:hAnsi="宋体" w:cs="宋体"/>
                <w:sz w:val="21"/>
                <w:szCs w:val="21"/>
              </w:rPr>
              <w:t xml:space="preserve">/</w:t>
            </w:r>
            <w:r/>
          </w:p>
        </w:tc>
      </w:tr>
      <w:tr>
        <w:trPr>
          <w:trHeight w:val="87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其他违约责任</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sz w:val="21"/>
                <w:szCs w:val="21"/>
                <w:u w:val="single"/>
              </w:rPr>
              <w:t xml:space="preserve">/</w:t>
            </w:r>
            <w:r/>
          </w:p>
        </w:tc>
      </w:tr>
      <w:tr>
        <w:trPr>
          <w:trHeight w:val="9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第19.2款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解决争议的方法</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2</w:t>
            </w:r>
            <w:r>
              <w:rPr>
                <w:rFonts w:hint="eastAsia" w:ascii="宋体" w:hAnsi="宋体"/>
                <w:sz w:val="21"/>
                <w:szCs w:val="21"/>
              </w:rPr>
              <w:t xml:space="preserve">种方式解决：</w:t>
            </w:r>
            <w:r/>
          </w:p>
          <w:p>
            <w:pPr>
              <w:jc w:val="left"/>
              <w:rPr>
                <w:rFonts w:hint="eastAsia"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盐城市</w:t>
            </w:r>
            <w:r>
              <w:rPr>
                <w:rFonts w:hint="eastAsia" w:ascii="宋体" w:hAnsi="宋体"/>
                <w:sz w:val="21"/>
                <w:szCs w:val="21"/>
              </w:rPr>
              <w:t xml:space="preserve">；</w:t>
            </w:r>
            <w:r/>
          </w:p>
          <w:p>
            <w:pPr>
              <w:jc w:val="left"/>
              <w:rPr>
                <w:rFonts w:hint="eastAsia" w:ascii="宋体" w:hAnsi="宋体"/>
                <w:sz w:val="21"/>
                <w:szCs w:val="21"/>
              </w:rPr>
            </w:pPr>
            <w:r>
              <w:rPr>
                <w:rFonts w:hint="eastAsia" w:ascii="宋体" w:hAnsi="宋体"/>
                <w:sz w:val="21"/>
                <w:szCs w:val="21"/>
              </w:rPr>
              <w:t xml:space="preserve">（2）向</w:t>
            </w:r>
            <w:r>
              <w:rPr>
                <w:rFonts w:hint="eastAsia" w:ascii="宋体" w:hAnsi="宋体"/>
                <w:sz w:val="21"/>
                <w:szCs w:val="21"/>
                <w:u w:val="single"/>
              </w:rPr>
              <w:t xml:space="preserve">滨海县</w:t>
            </w:r>
            <w:r>
              <w:rPr>
                <w:rFonts w:hint="eastAsia" w:ascii="宋体" w:hAnsi="宋体"/>
                <w:sz w:val="21"/>
                <w:szCs w:val="21"/>
              </w:rPr>
              <w:t xml:space="preserve">人民法院起诉。</w:t>
            </w:r>
            <w:r/>
          </w:p>
          <w:p>
            <w:pPr>
              <w:jc w:val="left"/>
              <w:rPr>
                <w:rFonts w:hint="eastAsia" w:ascii="宋体" w:hAnsi="宋体"/>
                <w:sz w:val="21"/>
                <w:szCs w:val="21"/>
              </w:rPr>
            </w:pPr>
            <w:r>
              <w:rPr>
                <w:rFonts w:hint="eastAsia" w:ascii="宋体" w:hAnsi="宋体"/>
                <w:sz w:val="21"/>
                <w:szCs w:val="21"/>
              </w:rPr>
              <w:t xml:space="preserve">2. 纠纷解决办法</w:t>
            </w:r>
            <w:r/>
          </w:p>
          <w:p>
            <w:pPr>
              <w:jc w:val="left"/>
              <w:rPr>
                <w:rFonts w:hint="eastAsia"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第23.1款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bCs/>
                <w:sz w:val="21"/>
                <w:szCs w:val="21"/>
              </w:rPr>
              <w:t xml:space="preserve">其他专用条款</w:t>
            </w:r>
            <w:r/>
          </w:p>
        </w:tc>
        <w:tc>
          <w:tcPr>
            <w:tcW w:w="5170" w:type="dxa"/>
            <w:vAlign w:val="center"/>
            <w:textDirection w:val="lrTb"/>
            <w:noWrap w:val="false"/>
          </w:tcPr>
          <w:p>
            <w:pPr>
              <w:ind w:firstLine="420"/>
              <w:jc w:val="left"/>
              <w:rPr>
                <w:rFonts w:hint="eastAsia"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7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sz w:val="21"/>
                <w:szCs w:val="21"/>
              </w:rPr>
            </w:pPr>
            <w:r>
              <w:rPr>
                <w:rFonts w:hint="eastAsia" w:ascii="宋体" w:hAnsi="宋体"/>
                <w:sz w:val="21"/>
                <w:szCs w:val="21"/>
              </w:rPr>
              <w:t xml:space="preserve">4.货物验收要求</w:t>
            </w:r>
            <w:r/>
          </w:p>
          <w:p>
            <w:pPr>
              <w:ind w:firstLine="210"/>
              <w:jc w:val="left"/>
              <w:rPr>
                <w:rFonts w:hint="eastAsia"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p>
          <w:p>
            <w:pPr>
              <w:ind w:firstLine="210"/>
              <w:jc w:val="left"/>
              <w:rPr>
                <w:rFonts w:hint="eastAsia"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p>
          <w:p>
            <w:pPr>
              <w:ind w:firstLine="210"/>
              <w:jc w:val="left"/>
              <w:rPr>
                <w:rFonts w:hint="eastAsia"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sz w:val="21"/>
                <w:szCs w:val="21"/>
              </w:rPr>
            </w:pPr>
            <w:r>
              <w:rPr>
                <w:rFonts w:hint="eastAsia" w:ascii="宋体" w:hAnsi="宋体"/>
                <w:sz w:val="21"/>
                <w:szCs w:val="21"/>
              </w:rPr>
              <w:t xml:space="preserve">（4）乙方应按照本合同规定的时间、地点和方式向乙方交付货物。</w:t>
            </w:r>
            <w:r/>
          </w:p>
          <w:p>
            <w:pPr>
              <w:jc w:val="left"/>
              <w:rPr>
                <w:rFonts w:hint="eastAsia" w:ascii="宋体" w:hAnsi="宋体"/>
                <w:sz w:val="21"/>
                <w:szCs w:val="21"/>
              </w:rPr>
            </w:pPr>
            <w:r>
              <w:rPr>
                <w:rFonts w:hint="eastAsia" w:ascii="宋体" w:hAnsi="宋体"/>
                <w:sz w:val="21"/>
                <w:szCs w:val="21"/>
              </w:rPr>
              <w:t xml:space="preserve">交货时间：</w:t>
            </w:r>
            <w:r>
              <w:rPr>
                <w:rFonts w:hint="eastAsia" w:ascii="宋体" w:hAnsi="宋体"/>
                <w:sz w:val="21"/>
                <w:szCs w:val="21"/>
                <w:u w:val="single"/>
              </w:rPr>
              <w:t xml:space="preserve">45日历天</w:t>
            </w:r>
            <w:r>
              <w:rPr>
                <w:rFonts w:hint="eastAsia" w:ascii="宋体" w:hAnsi="宋体"/>
                <w:sz w:val="21"/>
                <w:szCs w:val="21"/>
              </w:rPr>
              <w:t xml:space="preserve">前完成供货（安装）并交付使用。</w:t>
            </w:r>
            <w:r/>
          </w:p>
          <w:p>
            <w:pPr>
              <w:jc w:val="left"/>
              <w:rPr>
                <w:rFonts w:hint="eastAsia" w:ascii="宋体" w:hAnsi="宋体"/>
                <w:sz w:val="21"/>
                <w:szCs w:val="21"/>
              </w:rPr>
            </w:pPr>
            <w:r>
              <w:rPr>
                <w:rFonts w:hint="eastAsia" w:ascii="宋体" w:hAnsi="宋体"/>
                <w:sz w:val="21"/>
                <w:szCs w:val="21"/>
              </w:rPr>
              <w:t xml:space="preserve">交货地点：</w:t>
            </w:r>
            <w:r>
              <w:rPr>
                <w:rFonts w:hint="eastAsia" w:ascii="宋体" w:hAnsi="宋体"/>
                <w:sz w:val="21"/>
                <w:szCs w:val="21"/>
                <w:u w:val="single"/>
              </w:rPr>
              <w:t xml:space="preserve">滨海县范围内，招标人指定地点 </w:t>
            </w:r>
            <w:r>
              <w:rPr>
                <w:rFonts w:hint="eastAsia" w:ascii="宋体" w:hAnsi="宋体"/>
                <w:sz w:val="21"/>
                <w:szCs w:val="21"/>
              </w:rPr>
              <w:t xml:space="preserve">。</w:t>
            </w:r>
            <w:r/>
          </w:p>
          <w:p>
            <w:pPr>
              <w:ind w:firstLine="210"/>
              <w:jc w:val="left"/>
              <w:rPr>
                <w:rFonts w:hint="eastAsia"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10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 xml:space="preserve">个月后，甲方组织对货物的质量及使用状况等进行最终验收。</w:t>
            </w:r>
            <w:r/>
          </w:p>
          <w:p>
            <w:pPr>
              <w:ind w:firstLine="210"/>
              <w:jc w:val="left"/>
              <w:rPr>
                <w:rFonts w:hint="eastAsia"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税费</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伴随服务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p>
          <w:p>
            <w:pPr>
              <w:jc w:val="left"/>
              <w:rPr>
                <w:rFonts w:hint="eastAsia" w:ascii="宋体" w:hAnsi="宋体"/>
                <w:sz w:val="21"/>
                <w:szCs w:val="21"/>
              </w:rPr>
            </w:pPr>
            <w:r>
              <w:rPr>
                <w:rFonts w:hint="eastAsia" w:ascii="宋体" w:hAnsi="宋体"/>
                <w:sz w:val="21"/>
                <w:szCs w:val="21"/>
              </w:rPr>
              <w:t xml:space="preserve">2.除第1条规定外，乙方还应提供下列服务：</w:t>
            </w:r>
            <w:r/>
          </w:p>
          <w:p>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p>
          <w:p>
            <w:pPr>
              <w:jc w:val="left"/>
              <w:rPr>
                <w:rFonts w:hint="eastAsia" w:ascii="宋体" w:hAnsi="宋体"/>
                <w:sz w:val="21"/>
                <w:szCs w:val="21"/>
              </w:rPr>
            </w:pPr>
            <w:r>
              <w:rPr>
                <w:rFonts w:hint="eastAsia" w:ascii="宋体" w:hAnsi="宋体"/>
                <w:sz w:val="21"/>
                <w:szCs w:val="21"/>
              </w:rPr>
              <w:t xml:space="preserve"> (2) 负责货物的开孔，货物的现场安装；</w:t>
            </w:r>
            <w:r/>
          </w:p>
          <w:p>
            <w:pPr>
              <w:jc w:val="left"/>
              <w:rPr>
                <w:rFonts w:hint="eastAsia" w:ascii="宋体" w:hAnsi="宋体"/>
                <w:sz w:val="21"/>
                <w:szCs w:val="21"/>
              </w:rPr>
            </w:pPr>
            <w:r>
              <w:rPr>
                <w:rFonts w:hint="eastAsia" w:ascii="宋体" w:hAnsi="宋体"/>
                <w:sz w:val="21"/>
                <w:szCs w:val="21"/>
              </w:rPr>
              <w:t xml:space="preserve"> (3) 提供货物组装和维修所需的工具；</w:t>
            </w:r>
            <w:r/>
          </w:p>
          <w:p>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r/>
          </w:p>
          <w:p>
            <w:pPr>
              <w:jc w:val="left"/>
              <w:rPr>
                <w:rFonts w:hint="eastAsia" w:ascii="宋体" w:hAnsi="宋体"/>
                <w:sz w:val="21"/>
                <w:szCs w:val="21"/>
              </w:rPr>
            </w:pPr>
            <w:r>
              <w:rPr>
                <w:rFonts w:hint="eastAsia" w:ascii="宋体" w:hAnsi="宋体"/>
                <w:sz w:val="21"/>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索赔</w:t>
            </w:r>
            <w:r/>
          </w:p>
          <w:p>
            <w:pPr>
              <w:jc w:val="left"/>
              <w:rPr>
                <w:rFonts w:hint="eastAsia" w:ascii="宋体" w:hAnsi="宋体"/>
                <w:sz w:val="21"/>
                <w:szCs w:val="21"/>
              </w:rPr>
            </w:pPr>
            <w:r>
              <w:rPr>
                <w:rFonts w:hint="eastAsia" w:ascii="宋体" w:hAnsi="宋体"/>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1.甲方有权根据当地质检部门出具的检验报告，向乙方提出索赔。</w:t>
            </w:r>
            <w:r/>
          </w:p>
          <w:p>
            <w:pPr>
              <w:jc w:val="left"/>
              <w:rPr>
                <w:rFonts w:hint="eastAsia"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p>
          <w:p>
            <w:pPr>
              <w:jc w:val="left"/>
              <w:rPr>
                <w:rFonts w:hint="eastAsia"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合同生效及其他</w:t>
            </w:r>
            <w:r/>
          </w:p>
          <w:p>
            <w:pPr>
              <w:jc w:val="left"/>
              <w:rPr>
                <w:rFonts w:hint="eastAsia" w:ascii="宋体" w:hAnsi="宋体"/>
                <w:bCs/>
                <w:sz w:val="21"/>
                <w:szCs w:val="21"/>
              </w:rPr>
            </w:pPr>
            <w:r>
              <w:rPr>
                <w:rFonts w:hint="eastAsia" w:ascii="宋体" w:hAnsi="宋体"/>
                <w:bCs/>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合同经甲方、乙方盖章后生效。</w:t>
            </w:r>
            <w:r/>
          </w:p>
          <w:p>
            <w:pPr>
              <w:jc w:val="left"/>
              <w:rPr>
                <w:rFonts w:hint="eastAsia" w:ascii="宋体" w:hAnsi="宋体"/>
                <w:sz w:val="21"/>
                <w:szCs w:val="21"/>
              </w:rPr>
            </w:pPr>
            <w:r>
              <w:rPr>
                <w:rFonts w:hint="eastAsia" w:ascii="宋体" w:hAnsi="宋体"/>
                <w:sz w:val="21"/>
                <w:szCs w:val="21"/>
              </w:rPr>
              <w:t xml:space="preserve">2. 货物交付使用后所发生的合同纠纷，由甲方与乙方协商处理。</w:t>
            </w:r>
            <w:r/>
          </w:p>
          <w:p>
            <w:pPr>
              <w:jc w:val="left"/>
              <w:rPr>
                <w:rFonts w:hint="eastAsia"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1"/>
                <w:szCs w:val="21"/>
              </w:rPr>
            </w:pPr>
            <w:r>
              <w:rPr>
                <w:rFonts w:hint="eastAsia" w:ascii="宋体" w:hAnsi="宋体"/>
                <w:sz w:val="21"/>
                <w:szCs w:val="21"/>
              </w:rPr>
              <w:t xml:space="preserve">4.本合同未尽事宜，遵照《《中华人民共和国民法典》、《《中华人民共和国政府采购法》等有关条文执行。</w:t>
            </w:r>
            <w:r/>
          </w:p>
        </w:tc>
      </w:tr>
    </w:tbl>
    <w:p>
      <w:pPr>
        <w:pStyle w:val="85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852"/>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852"/>
        <w:jc w:val="both"/>
        <w:spacing w:beforeAutospacing="0" w:afterAutospacing="0" w:line="360" w:lineRule="auto"/>
        <w:rPr>
          <w:rFonts w:hint="eastAsia" w:ascii="宋体" w:hAnsi="宋体" w:cs="宋体"/>
        </w:rPr>
      </w:pPr>
      <w:r/>
      <w:bookmarkStart w:id="166" w:name="_Toc49090575"/>
      <w:r/>
      <w:bookmarkStart w:id="167" w:name="_Toc26554093"/>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四章。包括产品（含相关附配件、软件）的采购、包装、运输、装卸、安装、调试、集成、培训、验收、售后服务等。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Style w:val="667"/>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998"/>
        <w:gridCol w:w="646"/>
        <w:gridCol w:w="3334"/>
        <w:gridCol w:w="447"/>
        <w:gridCol w:w="552"/>
      </w:tblGrid>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2.★可见光镜头最大焦距：不小于336mm；（投标时提供公安部检测报告复印件）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Style w:val="872"/>
                <w:lang w:val="en-US" w:eastAsia="zh-CN" w:bidi="ar"/>
              </w:rPr>
              <w:t xml:space="preserve">3.★热成像镜头最大焦距：不小于50mm；（投标时提供公安部检测报告复印件）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4.可见光镜头支持不小于5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5.★支持船只检测、火点侦测、拌线入侵、区域入侵、目标分类、等智能算法；（投标时提供公安部检测报告复印件）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6.支持云台旋转，旋转范围：水平0°~360°连续旋转，垂直-27°-90°；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7.支持自动进行水平旋转扫描，旋转速度从1-64可调节，支持左右边界设置和区域扫描设置；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8.支持防抖设置选项，可通过内置陀螺仪对抖动情况进行查看；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9.支持云台状态异常报警功能，当样机检测到云台异常停止转动时，可通过WEB界面给出报警提示并上传平台；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10.支持雨刷功能，支持手动、自动、定时等雨刷模式，当设置为自动雨刷模式时，可自动对雨水情况进行检测并自动开启或关闭雨刷，当雨量未达到设定阈值时，自动关闭雨刷；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12.支持光学透雾、电子防抖；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13.支持DC36V±50%供电；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2.★可见光镜头焦距：6mm～336mm；（投标时提供公安部检测报告复印件）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3.★热成像镜头焦距：不小于75mm；（投标时提供公安部检测报告复印件）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5.★支持船只检测、绊线检测、烟雾检测、火点检测、区域入侵、等智能算法；（投标时提供公安部检测报告复印件）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6.云台支持水平0~360°连续旋转，垂直-45°~90°旋转；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7.支持光学防抖，光学透雾/电子透雾；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8.支持雨感雨刷，保证视野清晰，延长雨刷寿命；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9.夜晚天气晴朗无遮挡，激光补光开启，可识别距离不小于2000m处的人体轮廓；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10.★具有激光测距功能，可通过激光测量距离不小于2000m处的物体；（投标时提供公安部检测报告复印件）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11.内置冷凝集水水箱，水箱口具备防虫网；具备水箱水位检测功能；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12.支持DC24V~57V宽压供电；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13.支持DC12V电源返送；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14.支持GPS/北斗定位；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15.支持物理水平仪；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内置不少</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个算力为</w:t>
            </w:r>
            <w:r>
              <w:rPr>
                <w:rStyle w:val="873"/>
                <w:rFonts w:eastAsia="宋体"/>
                <w:lang w:val="en-US" w:eastAsia="zh-CN" w:bidi="ar"/>
              </w:rPr>
              <w:t xml:space="preserve">22TOPS</w:t>
            </w:r>
            <w:r>
              <w:rPr>
                <w:rFonts w:hint="eastAsia" w:ascii="宋体" w:hAnsi="宋体" w:eastAsia="宋体" w:cs="宋体"/>
                <w:i w:val="0"/>
                <w:iCs w:val="0"/>
                <w:color w:val="000000"/>
                <w:sz w:val="21"/>
                <w:szCs w:val="21"/>
                <w:u w:val="none"/>
                <w:lang w:val="en-US" w:eastAsia="zh-CN" w:bidi="ar"/>
              </w:rPr>
              <w:t xml:space="preserve">的</w:t>
            </w:r>
            <w:r>
              <w:rPr>
                <w:rStyle w:val="873"/>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芯片，</w:t>
            </w:r>
            <w:r>
              <w:rPr>
                <w:rStyle w:val="873"/>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采用</w:t>
            </w:r>
            <w:r>
              <w:rPr>
                <w:rStyle w:val="873"/>
                <w:rFonts w:eastAsia="宋体"/>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位</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核</w:t>
            </w:r>
            <w:r>
              <w:rPr>
                <w:rStyle w:val="873"/>
                <w:rFonts w:eastAsia="宋体"/>
                <w:lang w:val="en-US" w:eastAsia="zh-CN" w:bidi="ar"/>
              </w:rPr>
              <w:t xml:space="preserve">A55</w:t>
            </w:r>
            <w:r>
              <w:rPr>
                <w:rFonts w:hint="eastAsia" w:ascii="宋体" w:hAnsi="宋体" w:eastAsia="宋体" w:cs="宋体"/>
                <w:i w:val="0"/>
                <w:iCs w:val="0"/>
                <w:color w:val="000000"/>
                <w:sz w:val="21"/>
                <w:szCs w:val="21"/>
                <w:u w:val="none"/>
                <w:lang w:val="en-US" w:eastAsia="zh-CN" w:bidi="ar"/>
              </w:rPr>
              <w:t xml:space="preserve">处理器，最高频率不低于 </w:t>
            </w:r>
            <w:r>
              <w:rPr>
                <w:rStyle w:val="873"/>
                <w:rFonts w:eastAsia="宋体"/>
                <w:lang w:val="en-US" w:eastAsia="zh-CN" w:bidi="ar"/>
              </w:rPr>
              <w:t xml:space="preserve">1.7GHz</w:t>
            </w:r>
            <w:r>
              <w:rPr>
                <w:rFonts w:hint="eastAsia" w:ascii="宋体" w:hAnsi="宋体" w:eastAsia="宋体" w:cs="宋体"/>
                <w:i w:val="0"/>
                <w:iCs w:val="0"/>
                <w:color w:val="000000"/>
                <w:sz w:val="21"/>
                <w:szCs w:val="21"/>
                <w:u w:val="none"/>
                <w:lang w:val="en-US" w:eastAsia="zh-CN" w:bidi="ar"/>
              </w:rPr>
              <w:t xml:space="preserve">；</w:t>
            </w:r>
            <w:r>
              <w:rPr>
                <w:rStyle w:val="873"/>
                <w:rFonts w:eastAsia="宋体"/>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具有不少于：</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RJ45</w:t>
            </w:r>
            <w:r>
              <w:rPr>
                <w:rFonts w:hint="eastAsia" w:ascii="宋体" w:hAnsi="宋体" w:eastAsia="宋体" w:cs="宋体"/>
                <w:i w:val="0"/>
                <w:iCs w:val="0"/>
                <w:color w:val="000000"/>
                <w:sz w:val="21"/>
                <w:szCs w:val="21"/>
                <w:u w:val="none"/>
                <w:lang w:val="en-US" w:eastAsia="zh-CN" w:bidi="ar"/>
              </w:rPr>
              <w:t xml:space="preserve">网络接口、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VGA</w:t>
            </w:r>
            <w:r>
              <w:rPr>
                <w:rFonts w:hint="eastAsia" w:ascii="宋体" w:hAnsi="宋体" w:eastAsia="宋体" w:cs="宋体"/>
                <w:i w:val="0"/>
                <w:iCs w:val="0"/>
                <w:color w:val="000000"/>
                <w:sz w:val="21"/>
                <w:szCs w:val="21"/>
                <w:u w:val="none"/>
                <w:lang w:val="en-US" w:eastAsia="zh-CN" w:bidi="ar"/>
              </w:rPr>
              <w:t xml:space="preserve">接口、 </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HDMI</w:t>
            </w:r>
            <w:r>
              <w:rPr>
                <w:rFonts w:hint="eastAsia" w:ascii="宋体" w:hAnsi="宋体" w:eastAsia="宋体" w:cs="宋体"/>
                <w:i w:val="0"/>
                <w:iCs w:val="0"/>
                <w:color w:val="000000"/>
                <w:sz w:val="21"/>
                <w:szCs w:val="21"/>
                <w:u w:val="none"/>
                <w:lang w:val="en-US" w:eastAsia="zh-CN" w:bidi="ar"/>
              </w:rPr>
              <w:t xml:space="preserve">接口、</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RS232</w:t>
            </w:r>
            <w:r>
              <w:rPr>
                <w:rFonts w:hint="eastAsia" w:ascii="宋体" w:hAnsi="宋体" w:eastAsia="宋体" w:cs="宋体"/>
                <w:i w:val="0"/>
                <w:iCs w:val="0"/>
                <w:color w:val="000000"/>
                <w:sz w:val="21"/>
                <w:szCs w:val="21"/>
                <w:u w:val="none"/>
                <w:lang w:val="en-US" w:eastAsia="zh-CN" w:bidi="ar"/>
              </w:rPr>
              <w:t xml:space="preserve">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接口、</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SATA3.0</w:t>
            </w:r>
            <w:r>
              <w:rPr>
                <w:rFonts w:hint="eastAsia" w:ascii="宋体" w:hAnsi="宋体" w:eastAsia="宋体" w:cs="宋体"/>
                <w:i w:val="0"/>
                <w:iCs w:val="0"/>
                <w:color w:val="000000"/>
                <w:sz w:val="21"/>
                <w:szCs w:val="21"/>
                <w:u w:val="none"/>
                <w:lang w:val="en-US" w:eastAsia="zh-CN" w:bidi="ar"/>
              </w:rPr>
              <w:t xml:space="preserve">接口（满配</w:t>
            </w:r>
            <w:r>
              <w:rPr>
                <w:rStyle w:val="873"/>
                <w:rFonts w:eastAsia="宋体"/>
                <w:lang w:val="en-US" w:eastAsia="zh-CN" w:bidi="ar"/>
              </w:rPr>
              <w:t xml:space="preserve">10T</w:t>
            </w:r>
            <w:r>
              <w:rPr>
                <w:rFonts w:hint="eastAsia" w:ascii="宋体" w:hAnsi="宋体" w:eastAsia="宋体" w:cs="宋体"/>
                <w:i w:val="0"/>
                <w:iCs w:val="0"/>
                <w:color w:val="000000"/>
                <w:sz w:val="21"/>
                <w:szCs w:val="21"/>
                <w:u w:val="none"/>
                <w:lang w:val="en-US" w:eastAsia="zh-CN" w:bidi="ar"/>
              </w:rPr>
              <w:t xml:space="preserve">硬盘）、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个音频输入接口、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个音频输出接口、 </w:t>
            </w:r>
            <w:r>
              <w:rPr>
                <w:rStyle w:val="873"/>
                <w:rFonts w:eastAsia="宋体"/>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个报警输入接口、 </w:t>
            </w:r>
            <w:r>
              <w:rPr>
                <w:rStyle w:val="873"/>
                <w:rFonts w:eastAsia="宋体"/>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个报警输出接口；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支持不少于</w:t>
            </w:r>
            <w:r>
              <w:rPr>
                <w:rStyle w:val="873"/>
                <w:rFonts w:eastAsia="宋体"/>
                <w:lang w:val="en-US" w:eastAsia="zh-CN" w:bidi="ar"/>
              </w:rPr>
              <w:t xml:space="preserve">128</w:t>
            </w:r>
            <w:r>
              <w:rPr>
                <w:rFonts w:hint="eastAsia" w:ascii="宋体" w:hAnsi="宋体" w:eastAsia="宋体" w:cs="宋体"/>
                <w:i w:val="0"/>
                <w:iCs w:val="0"/>
                <w:color w:val="000000"/>
                <w:sz w:val="21"/>
                <w:szCs w:val="21"/>
                <w:u w:val="none"/>
                <w:lang w:val="en-US" w:eastAsia="zh-CN" w:bidi="ar"/>
              </w:rPr>
              <w:t xml:space="preserve">路</w:t>
            </w:r>
            <w:r>
              <w:rPr>
                <w:rStyle w:val="873"/>
                <w:rFonts w:eastAsia="宋体"/>
                <w:lang w:val="en-US" w:eastAsia="zh-CN" w:bidi="ar"/>
              </w:rPr>
              <w:t xml:space="preserve">H.264/H.265</w:t>
            </w:r>
            <w:r>
              <w:rPr>
                <w:rFonts w:hint="eastAsia" w:ascii="宋体" w:hAnsi="宋体" w:eastAsia="宋体" w:cs="宋体"/>
                <w:i w:val="0"/>
                <w:iCs w:val="0"/>
                <w:color w:val="000000"/>
                <w:sz w:val="21"/>
                <w:szCs w:val="21"/>
                <w:u w:val="none"/>
                <w:lang w:val="en-US" w:eastAsia="zh-CN" w:bidi="ar"/>
              </w:rPr>
              <w:t xml:space="preserve">混合接入，网络带宽</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接入；</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存储；</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转发；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支持不少于</w:t>
            </w:r>
            <w:r>
              <w:rPr>
                <w:rStyle w:val="873"/>
                <w:rFonts w:eastAsia="宋体"/>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1080p</w:t>
            </w:r>
            <w:r>
              <w:rPr>
                <w:rFonts w:hint="eastAsia" w:ascii="宋体" w:hAnsi="宋体" w:eastAsia="宋体" w:cs="宋体"/>
                <w:i w:val="0"/>
                <w:iCs w:val="0"/>
                <w:color w:val="000000"/>
                <w:sz w:val="21"/>
                <w:szCs w:val="21"/>
                <w:u w:val="none"/>
                <w:lang w:val="en-US" w:eastAsia="zh-CN" w:bidi="ar"/>
              </w:rPr>
              <w:t xml:space="preserve">解码显示输出，支持</w:t>
            </w:r>
            <w:r>
              <w:rPr>
                <w:rStyle w:val="873"/>
                <w:rFonts w:eastAsia="宋体"/>
                <w:lang w:val="en-US" w:eastAsia="zh-CN" w:bidi="ar"/>
              </w:rPr>
              <w:t xml:space="preserve">Smart H.265;H.265;Smart H.264;H.264</w:t>
            </w:r>
            <w:r>
              <w:rPr>
                <w:rFonts w:hint="eastAsia" w:ascii="宋体" w:hAnsi="宋体" w:eastAsia="宋体" w:cs="宋体"/>
                <w:i w:val="0"/>
                <w:iCs w:val="0"/>
                <w:color w:val="000000"/>
                <w:sz w:val="21"/>
                <w:szCs w:val="21"/>
                <w:u w:val="none"/>
                <w:lang w:val="en-US" w:eastAsia="zh-CN" w:bidi="ar"/>
              </w:rPr>
              <w:t xml:space="preserve">混合解码；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支持最大选配不少于</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类算法，支持展示所有安装的算法及版本，展示算法状态，可对已安装的算法进行手动更新；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★为满足智慧渔港场景下多业务、多算法并行分析需求，设备需要支持选择</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个算法包导入或多个算法包批量导入、更新、删除，导入的算法与智能引擎可动态绑定，可开启对应算法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当智能引擎发生异常，可动态切换绑定智能引擎恢复算法执行支持展示已添加算法版本、有效期、已添加的算法包数量和算法包总数</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单个智能引擎可虚拟化成不少于</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个虚拟引擎，每个虚拟引擎可独立加载模型进行分析（投标时提供公安部检测报告复印件）；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可设置轮巡时间间隔和并发数</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可设置不少于</w:t>
            </w:r>
            <w:r>
              <w:rPr>
                <w:rStyle w:val="873"/>
                <w:rFonts w:eastAsia="宋体"/>
                <w:lang w:val="en-US" w:eastAsia="zh-CN" w:bidi="ar"/>
              </w:rPr>
              <w:t xml:space="preserve">380</w:t>
            </w:r>
            <w:r>
              <w:rPr>
                <w:rFonts w:hint="eastAsia" w:ascii="宋体" w:hAnsi="宋体" w:eastAsia="宋体" w:cs="宋体"/>
                <w:i w:val="0"/>
                <w:iCs w:val="0"/>
                <w:color w:val="000000"/>
                <w:sz w:val="21"/>
                <w:szCs w:val="21"/>
                <w:u w:val="none"/>
                <w:lang w:val="en-US" w:eastAsia="zh-CN" w:bidi="ar"/>
              </w:rPr>
              <w:t xml:space="preserve">个通道进行轮巡分析</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可实时展示整机分析状态（投标时提供公安部检测报告复印件）；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★为满足智慧渔港重点区域人员管控、重点人员预警及陌生人员布控需求，设备需要支持单场景同时最大检出</w:t>
            </w:r>
            <w:r>
              <w:rPr>
                <w:rStyle w:val="873"/>
                <w:rFonts w:eastAsia="宋体"/>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个人脸</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大数据写入情况下</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可对左右侧脸，上下低头不超过</w:t>
            </w:r>
            <w:r>
              <w:rPr>
                <w:rStyle w:val="873"/>
                <w:rFonts w:eastAsia="宋体"/>
                <w:lang w:val="en-US" w:eastAsia="zh-CN" w:bidi="ar"/>
              </w:rPr>
              <w:t xml:space="preserve">45</w:t>
            </w:r>
            <w:r>
              <w:rPr>
                <w:rFonts w:hint="eastAsia" w:ascii="宋体" w:hAnsi="宋体" w:eastAsia="宋体" w:cs="宋体"/>
                <w:i w:val="0"/>
                <w:iCs w:val="0"/>
                <w:color w:val="000000"/>
                <w:sz w:val="21"/>
                <w:szCs w:val="21"/>
                <w:u w:val="none"/>
                <w:lang w:val="en-US" w:eastAsia="zh-CN" w:bidi="ar"/>
              </w:rPr>
              <w:t xml:space="preserve">°人脸进行检测</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并通过不同颜色的提示条对人脸比对相似度进行显示</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普通模式</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当相似度达到预设阈值时，可联动发送信息至预设手机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陌生人模式</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当相似度未达到预设阈值时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可联动发送信息至预设手机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支持以图搜图，可对最多</w:t>
            </w:r>
            <w:r>
              <w:rPr>
                <w:rStyle w:val="873"/>
                <w:rFonts w:eastAsia="宋体"/>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张目标人脸进行相似图片搜索</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并设置相似度阈值</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当搜索出符合目标相似度阈值的图片后，可查看关联图片并回放关联录像文件（投标时提供公安部检测报告复印件）。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智慧渔港管理平台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★项投标时需按照招标文件规定的内容</w:t>
            </w:r>
            <w:r>
              <w:rPr>
                <w:rFonts w:hint="eastAsia" w:ascii="宋体" w:hAnsi="宋体" w:cs="宋体"/>
                <w:i w:val="0"/>
                <w:iCs w:val="0"/>
                <w:color w:val="000000"/>
                <w:sz w:val="22"/>
                <w:szCs w:val="22"/>
                <w:highlight w:val="none"/>
                <w:u w:val="none"/>
                <w:lang w:val="en-US" w:eastAsia="zh-CN" w:bidi="ar"/>
              </w:rPr>
              <w:t xml:space="preserve">制作软件功能操作视频录制</w:t>
            </w:r>
            <w:r>
              <w:rPr>
                <w:rFonts w:hint="eastAsia" w:ascii="宋体" w:hAnsi="宋体" w:eastAsia="宋体" w:cs="宋体"/>
                <w:i w:val="0"/>
                <w:iCs w:val="0"/>
                <w:color w:val="000000"/>
                <w:sz w:val="22"/>
                <w:szCs w:val="22"/>
                <w:highlight w:val="none"/>
                <w:u w:val="none"/>
                <w:lang w:val="en-US" w:eastAsia="zh-CN" w:bidi="ar"/>
              </w:rPr>
              <w:t xml:space="preserve">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1.基础资源管理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1）支持组织基础信息的增删改查、导入、导出等功能；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2）提供设备的统一接入及管理，包含：视频设备、门禁设备、出入口设备、对讲设备、报警设备、卡口设备、动环设备、物模型设备等；支持设备的增删改查、导入、导出、自动搜索等功能；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4）支持角色基础信息的增删改查；角色关联权限，可配置角色的应用菜单、部门、逻辑组织以及系统资源操作权限；支持角色的复制能力；</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5）支持部门基础信息的增删改查、导入、导出等功能；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6）支持人员基础信息的增删改查、导入、导出、移动等功能；支持人员信息的采集，包含：人脸、指纹、卡片等，人脸照片支持图片质量检测；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7）支持卡片基础信息的增删改查、导入、导出等功能；支持人员开卡、挂失、解挂、退卡、补卡、回收等功能；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8）支持车辆基础信息的增删改查、导入、导出等功能；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9）提供地图管理配置能力，地图类型包含；二维、光栅、三维地图，支持厂家包含：百度、谷歌、高德、天地图、 Arcgis；</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10）支持平台资源绑定，包含：设备、通道等，绑定的资源可供各业务系统调阅使用；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12）提供级联管理能力，包含：实现上下级基础资源数据汇聚，视频预览、回放、对讲、反控制，门禁、卡口的抓拍记录汇聚等； </w:t>
            </w:r>
            <w:r>
              <w:rPr>
                <w:rStyle w:val="872"/>
                <w:lang w:val="en-US" w:eastAsia="zh-CN" w:bidi="ar"/>
              </w:rPr>
              <w:t xml:space="preserve">                                                                               13）★支持为巡更线路配置巡更规则，具有全有序（含时间间隔）、全无序、首点有序、首尾有序设置选项；。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14）★支持实景照片和实景录像画面共存，图片和视频中支持同时进行标签加载，在实景画面不清晰情况下可实现场景还原。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2.平台运维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1）支持平台运维，提供服务部署维护功能、支持模块化升级部署、系统资源使用情况监控等运维相关功能；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2）支持级联、分布式、集群，实现系统扩展及稳定性要求；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3）支持双机热备，提升系统灾备能力，保障系统的可靠性；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4）支持mysql数据库、云数据库切换配置，满足图片、视频、结构化数据的按需求存储；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5）提供NTP校时服务能力，支持对服务间、服务器和设备间的统一校时；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6）集成可信计算能力，支持程序包可信安装升级完整性校验，以及监控可执行文件可信执行功能，阻止未经授信的可疑程序（如防勒索病毒、挖矿程序）对系统造成破坏；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3、视频管理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1）支持实时视频、录像回放、录像下载、电视墙、雷球联动，热成像；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2）支持与车载单兵等移动设备的对接，提供车载单兵设备GPS信息接收服务；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3）支持手机移动客户端进行实时视频监控，音频播放，本地截图，本地录像，云台控制，远程视频回放；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4）录像支持1/2、1/4、1/8、1/16、1/32、1/64、2、4、8、16、32、64倍速快/慢放；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1）支持报警主机接入及布撤防；</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5.设备运维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1）资源监控模块：支持对前端点位、物联设备、动环主机、服务器、服务进行统一纳管监控运，绘制服务拓扑；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2）报警管理模块：支持对所纳管资源配置报警策略，并将产生的报警消息进行统一汇聚和展示，支持对报警进行确认处理，联动工单，推送报警消息、短信及邮件；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3）自动化巡检模块：支持对前端视频点位的视频质量及录像巡检、服务器及服务的资源占用巡检、网络环境巡检；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4）可视化报表模块：支持故障工单统计和报警统计；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5）系统内置前端设备、软硬件等资产类型，并可新增自定义资产类型；支持资产类型建模功能，支持新增属性类别及属性；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6.人员布控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1）人脸库管理，平台默认支持5种人脸库类型：白名单库、黑名单库、内部库、访客库、VIP库，同时可自定义人脸库类型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2）人员布控，支持人脸布控、撤控，可选择布控的设备通道与人脸库，布控可设置最小相似度阈值；支持显示布控状态，可对布控失败的任务重新进行布控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3）以图搜图，支持对人脸图片进行1:1或1：N检索，检索结果支持列表和卡片两种模式展示，同时可以对检索的结果按照时间的顺序在电子地图上形成轨迹，可展示目标人员在该区域的运动路线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4）人脸报警，支持查看人员报警信息，包括姓名、出生日期、性别、注册库、抓拍时间、抓拍通道；支持按条件进行过滤查询，可查看报警人员的注册图片和抓拍图片，支持报警记录导出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7.加密数据库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1）原生加密：支持采用多层级密钥保护体系，对数据做全链路加密；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2）极致安全: 支持安全网络传输来防护网络拦截造成的信息泄露。支持一机一密的数据密态存储，让数据可用不可读；</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（3）无感对接：支持非加密数据一键导入到平台，实现数据切换；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（4）可视化运维：提供数据库的运行监控大盘，包括CPU、内存及存储空间实时使用情况，慢sql统计分析。同时支持数据的备份还原，及时主机损坏也能通过备份数据快速恢复到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1.图表统计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1）当日报警总数：支持对当日报警总数进行统计，包含未处理、处理中、已处理、误报报警数据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2）无人机监测：支持实时监测无人机状态，包括无人机名称、责任人、联系方式、续航、最大飞行高度、最大飞行速度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3）报警趋势：支持对报警趋势统计，支持按当日、近7日、近30日，以及报警类型进行筛选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5）实时报警数据：支持对实时报警数据进行展示，包含报警类型、报警源头、报警时间数据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6）历史报警统计：支持对历史报警事件统计，统计展示报警事件总数，包含报警事件、事件次数数据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7）当日报警统计：支持当日报警事件统计，统计当日top5的报警事件，包含报警事件、事件次数数据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8）历史河段报警TOP3：支持历史河段报警top3统计，支持级联展示河段的top3报警事件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2.GIS地图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1）多地图厂商支持：支持展示百度、高德、天地图不同厂商的地图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2）实时更新地图配置：支持更改地图厂商及资源类型配置后，实时提示刷新来获取最新的地图配置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1）视频资源点位展示：支持视频资源地图点位展示，支持气泡展示名称、通道编号、所属组织、经纬度信息，支持查看实时视频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2）视频查看：支持热成像视频设备可视范围、可视域查看，以及地视联动功能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3）渔港/河段资源点位展示：支持渔港/河段资源地图点位展示，支持渔港/河段区域边界展示，支持气泡展示渔港/河段名称、所属河湖、河长姓名、河长电话信息，支持查看渔港/河段实时视频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1）资源添加：支持选择资源类型、所属组织录入，录入资源名称、经纬度、描述等信息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2）资源修改：支持修改资源名称、经纬度、描述等信息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3）资源删除：支持删除资源，删除时进行确认提示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4）资源拖动：支持资源的地图拖动定位，同时颜色区分是否定位的资源</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5）中心点设置：支持地图的中心点设置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6）框选资源：支持框选地图的资源图层，框选后支持图层的批量操作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7）资源搜索：支持资源的模糊查询搜索功能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2.渔港/河段管理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1）新增：支持填写渔港/河段名称、编码、所属河湖、所属部门、渔政执法队长信息新增河段，可关联摄像头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2）修改：支持修改渔港/河段信息、关联摄像头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3）删除：支持删除渔港/河段，删除时进行确认提示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4）搜索：支持按组织、渔港/河段名称、渔政执法队长对渔港/河段进行筛选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3.渔政系统配置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1)超时配置：支持任务超时配置，超时任务支持进行督办</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2)设备高度配置：支持设置设备高度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3)天气区域配置：支持配置默认天气显示地区配置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4)主管配置：支持配置主管人员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5)值班配置：支持配置值班人员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6)报警类型配置：支持配置统计的报警类型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7)默认渔港/河段配置：支持配置默认展示的渔港/河段</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1.报警数据展示：支持报警时间、报警类型筛选功能，支持按待处理、处理中、已处理状态分类展示，并展示各状态报警条数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2.报警数据导出：支持导出报警数据，支持导出数据、数据和图片两种形式，并且导出需再次输入密码进行安全验证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3.报警类型区分：支持渔船检测、电鱼检测、停留检测、绊线入侵、区域入侵、事件上报类型的报警展示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4.报警地图联动：支持点击报警列表，地图联动定位报警图层，并展示报警详细信息弹框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5.报警点位：支持点击报警列表地图报警点位展示，支持气泡展示报警类型、报警来源、报警时间、经纬度、报警图片信息，支持报警处理和查看报警实时视频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6.无人机\视频监控点位：支持无人机\视频监控资源地图点位展示，支持气泡展示无人机\视频监控名称、责任人、电话、最大速度、最大高度信息，支持查看实时视频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7.图层过滤：支持图层过滤功能，支持筛选渔港、河段、报警、无人机、视频资源图层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8.测量工具：支持测量工具，支持地图点位测距和测面积操作，以及清除测量结果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9.资源库：支持渔港、河段、无人机、视频资源树状结构展示、资源搜索，点击资源定位到地图展示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10.全屏功能：支持全屏展示功能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11.报警信息展示：支持展示报警类型、经纬度、设备名称、处理状态、报警时间、报警图片报警信息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12.报警处置：支持已处理、下发任务、误报、忽略报警处理方式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13.人工研判：支持人工研判定义报警事件、报警等级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14.任务下发：支持下发任务，派发人员通过app进行现场任务处置 </w:t>
            </w:r>
            <w:r>
              <w:rPr>
                <w:rStyle w:val="872"/>
                <w:lang w:val="en-US" w:eastAsia="zh-CN" w:bidi="ar"/>
              </w:rPr>
              <w:t xml:space="preserve">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1.实时预览：支持单窗口打开设备列表支持连续进行单窗口、四窗口切换支持重复进行滑页预览。支持在监视界面切换到其他功能模块支持打开多层组织结构下的设备监视。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2.支持录像回放，支持选择在线通道回放录像。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3.支持全量功能栏展示，设备收藏的添加和查看，以及最近访问记录查看。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4.★支持报警点位定位；支持录入上报标题名称，最多上传9个附件，包括图片、视频、音频，以及录入备注信息，支持查看我上报过的事件列表</w:t>
            </w:r>
            <w:r>
              <w:rPr>
                <w:rStyle w:val="874"/>
                <w:lang w:val="en-US" w:eastAsia="zh-CN" w:bidi="ar"/>
              </w:rPr>
              <w:t xml:space="preserve">。</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5.★支持查看今天、明天、后天的巡逻计划，针对巡逻计划进行巡逻，到达巡逻点位进行巡逻打卡。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6.支持拍照或者上传照片，进行垂钓黑名单、电鱼黑名单比对，可以查看近7日的处理记录。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7.支持查看巡检任务完成结果，能够展示巡检任务未开始、正常完成、超期、未完成等状态。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8.支持根据巡逻任务顺序打卡上报巡检规定地点，支持提示打卡是否超期，打卡是否未按照顺序等.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10.支持查看待处理、已处理、我提交的以及草稿工单；对于待处理工单，支持统计今日新增待处理、累计待处理、即将</w:t>
            </w:r>
            <w:r>
              <w:rPr>
                <w:rFonts w:hint="eastAsia" w:ascii="宋体" w:hAnsi="宋体" w:cs="宋体"/>
                <w:i w:val="0"/>
                <w:iCs w:val="0"/>
                <w:color w:val="000000"/>
                <w:sz w:val="22"/>
                <w:szCs w:val="22"/>
                <w:u w:val="none"/>
                <w:lang w:val="en-US" w:eastAsia="zh-CN" w:bidi="ar"/>
              </w:rPr>
              <w:t xml:space="preserve">逾期</w:t>
            </w:r>
            <w:r>
              <w:rPr>
                <w:rFonts w:hint="eastAsia" w:ascii="宋体" w:hAnsi="宋体" w:eastAsia="宋体" w:cs="宋体"/>
                <w:i w:val="0"/>
                <w:iCs w:val="0"/>
                <w:color w:val="000000"/>
                <w:sz w:val="22"/>
                <w:szCs w:val="22"/>
                <w:u w:val="none"/>
                <w:lang w:val="en-US" w:eastAsia="zh-CN" w:bidi="ar"/>
              </w:rPr>
              <w:t xml:space="preserve">待处理、逾期待处理；对于已处理工单，支持统计今日处理、累计处理、处理率、高优先级处理时长，支持对工单逾期、即将逾期分别给予红、橙标签。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11.支持查看工单基本信息、自动关联工单对象的资产信息、联动工单的报警信息，可根据工单模板流程进行处理，也可进行工单转派、抢单操作、以及召回处理。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12.支持审批通过、审批驳回、关闭工单、派发工单、申请延期、申请重新派</w:t>
            </w:r>
            <w:r>
              <w:rPr>
                <w:rFonts w:hint="eastAsia" w:ascii="宋体" w:hAnsi="宋体" w:cs="宋体"/>
                <w:i w:val="0"/>
                <w:iCs w:val="0"/>
                <w:color w:val="000000"/>
                <w:sz w:val="22"/>
                <w:szCs w:val="22"/>
                <w:u w:val="none"/>
                <w:lang w:val="en-US" w:eastAsia="zh-CN" w:bidi="ar"/>
              </w:rPr>
              <w:t xml:space="preserve">单等</w:t>
            </w:r>
            <w:r>
              <w:rPr>
                <w:rFonts w:hint="eastAsia" w:ascii="宋体" w:hAnsi="宋体" w:eastAsia="宋体" w:cs="宋体"/>
                <w:i w:val="0"/>
                <w:iCs w:val="0"/>
                <w:color w:val="000000"/>
                <w:sz w:val="22"/>
                <w:szCs w:val="22"/>
                <w:u w:val="none"/>
                <w:lang w:val="en-US" w:eastAsia="zh-CN" w:bidi="ar"/>
              </w:rPr>
              <w:t xml:space="preserve">多种工单处理操作，对于驳回工单可查看驳回用户、驳回时间、驳回原因。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13.支持对全流程节点进行工单记录，包括工单处理节点、处理人、联系电话、更新时间、处理内容。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Style w:val="872"/>
                <w:lang w:val="en-US" w:eastAsia="zh-CN" w:bidi="ar"/>
              </w:rPr>
              <w:t xml:space="preserve">尺寸：2U机架式服务器机箱；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2.处理器：1颗intel X86 CPU,12C,2,4GHz；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3.内存：配置不低于32G内存（2根16GB DDR5 ECC 内存条）、8个DDR5内存插槽,单根内存最大容量：64G；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4.硬盘：不少于2块4T 3.5吋 SATA 热插拔机械硬盘，最大支持不少于12块3.5吋/2.5吋的SAS/SATA机械硬盘或固态硬盘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5.电源：2个800W交流电源模块，支持热插拔，支持1+1冗余200–240VAC，50/60Hz，5A（×2）支持直流输入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6.风扇：不少于3个风扇模组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7.RAID卡：SAS HBA/无缓存，支持RAID 0/1/10/1E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长壁装/铂晶灰/铝合金/根椐铁塔要求定制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1.材质：镀锌钢板，油漆：喷塑处理，厚度：不少于1mm，规格：≥510*380*200mm； </w:t>
            </w:r>
            <w:r>
              <w:rPr>
                <w:rStyle w:val="872"/>
                <w:lang w:val="en-US" w:eastAsia="zh-CN" w:bidi="ar"/>
              </w:rPr>
              <w:t xml:space="preserve">                                                                                                            </w:t>
            </w:r>
            <w:r>
              <w:rPr>
                <w:rStyle w:val="872"/>
                <w:lang w:val="en-US" w:eastAsia="zh-CN" w:bidi="ar"/>
              </w:rPr>
              <w:t xml:space="preserve">                                                                                                                                                                                                                    2.箱体内应包含：(包含浪涌保护器、二合一防雷器、控开、插座、漏电保护器、接地铜排*1)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1.支持≥24个10/100/1000M电口，≥4个千兆SFP光口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3.包转发率≥108Mpps/126Mpps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1.最大传输速率1.25Gbps；2.传输距离10km；3.波长：1310nm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I5/8G/256GSSD+2T硬盘/22LCD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1.分辨率：不低于4K；2.内存：不少于3GB;3.存储：不低于64GB;屏幕尺寸：65及以上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1.光缆；2.室外超五类网线；3.室外RVV2*1.0电源线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1.地面开槽；2.路面混凝土恢复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高空铁塔监控安装及施工、安装和调试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网络传输，3年网络费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租用中国铁塔公司通信铁塔高空资源（期限3年）。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包含监控设备、软件平台、电力、网络的维护、每月的定点汛检等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w:t>
      </w:r>
      <w:r>
        <w:rPr>
          <w:rFonts w:hint="eastAsia" w:ascii="宋体" w:hAnsi="宋体" w:cs="宋体"/>
          <w:bCs/>
          <w:sz w:val="24"/>
          <w:lang w:val="en-US" w:eastAsia="zh-CN"/>
        </w:rPr>
        <w:t xml:space="preserve">第一中标候选人</w:t>
      </w:r>
      <w:r>
        <w:rPr>
          <w:rFonts w:hint="eastAsia" w:ascii="宋体" w:hAnsi="宋体" w:cs="宋体"/>
          <w:bCs/>
          <w:sz w:val="24"/>
        </w:rPr>
        <w:t xml:space="preserve">需在该项目中标</w:t>
      </w:r>
      <w:r>
        <w:rPr>
          <w:rFonts w:hint="eastAsia" w:ascii="宋体" w:hAnsi="宋体" w:cs="宋体"/>
          <w:bCs/>
          <w:sz w:val="24"/>
          <w:lang w:val="en-US" w:eastAsia="zh-CN"/>
        </w:rPr>
        <w:t xml:space="preserve">公示</w:t>
      </w:r>
      <w:r>
        <w:rPr>
          <w:rFonts w:hint="eastAsia" w:ascii="宋体" w:hAnsi="宋体" w:cs="宋体"/>
          <w:bCs/>
          <w:sz w:val="24"/>
        </w:rPr>
        <w:t xml:space="preserve">后</w:t>
      </w:r>
      <w:r>
        <w:rPr>
          <w:rFonts w:hint="eastAsia" w:ascii="宋体" w:hAnsi="宋体" w:cs="宋体"/>
          <w:bCs/>
          <w:sz w:val="24"/>
          <w:lang w:val="en-US" w:eastAsia="zh-CN"/>
        </w:rPr>
        <w:t xml:space="preserve">3</w:t>
      </w:r>
      <w:r>
        <w:rPr>
          <w:rFonts w:hint="eastAsia" w:ascii="宋体" w:hAnsi="宋体" w:cs="宋体"/>
          <w:bCs/>
          <w:sz w:val="24"/>
        </w:rPr>
        <w:t xml:space="preserve">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w:t>
      </w:r>
      <w:r>
        <w:rPr>
          <w:rFonts w:hint="eastAsia" w:ascii="宋体" w:hAnsi="宋体" w:cs="宋体"/>
          <w:bCs/>
          <w:sz w:val="24"/>
        </w:rPr>
        <w:t xml:space="preserve">。</w:t>
      </w:r>
      <w:r/>
    </w:p>
    <w:p>
      <w:pPr>
        <w:ind w:firstLine="480"/>
        <w:spacing w:line="400" w:lineRule="exact"/>
        <w:rPr>
          <w:rFonts w:hint="default" w:eastAsia="宋体"/>
          <w:color w:val="auto"/>
          <w:lang w:val="en-US" w:eastAsia="zh-CN"/>
        </w:rPr>
      </w:pPr>
      <w:r>
        <w:rPr>
          <w:rFonts w:hint="eastAsia" w:ascii="宋体" w:hAnsi="宋体" w:cs="宋体"/>
          <w:bCs/>
          <w:color w:val="auto"/>
          <w:sz w:val="24"/>
          <w:lang w:val="en-US" w:eastAsia="zh-CN"/>
        </w:rPr>
        <w:t xml:space="preserve">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 xml:space="preserve">投标人在投标过程中提供虚假材料谋取中标成交，将取消中标资格，</w:t>
      </w:r>
      <w:r>
        <w:rPr>
          <w:rFonts w:hint="eastAsia" w:ascii="宋体" w:hAnsi="宋体" w:cs="宋体"/>
          <w:color w:val="auto"/>
          <w:sz w:val="24"/>
        </w:rPr>
        <w:t xml:space="preserve">同时报财政监管部门</w:t>
      </w:r>
      <w:r>
        <w:rPr>
          <w:rFonts w:hint="eastAsia" w:ascii="宋体" w:hAnsi="宋体" w:cs="宋体"/>
          <w:bCs/>
          <w:color w:val="auto"/>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.各投标单位须综合考虑各点位施工现场情况、施工难度、人员调度、交通费用等等，各点位施工所产生的任何费用均包含在投标报价中，采购人不另外支付任何费用。</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、投标报价要求</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采购人需求的产品（含相关附配件、软件）的采购、包装、运输、装卸、安装、集成、调试、培训、验收</w:t>
      </w:r>
      <w:r>
        <w:rPr>
          <w:rFonts w:hint="eastAsia" w:ascii="宋体" w:hAnsi="宋体" w:cs="宋体"/>
          <w:bCs/>
          <w:sz w:val="24"/>
          <w:lang w:eastAsia="zh-CN"/>
        </w:rPr>
        <w:t xml:space="preserve">、</w:t>
      </w:r>
      <w:r>
        <w:rPr>
          <w:rFonts w:hint="eastAsia" w:ascii="宋体" w:hAnsi="宋体" w:cs="宋体"/>
          <w:bCs/>
          <w:sz w:val="24"/>
        </w:rPr>
        <w:t xml:space="preserve">及有关售后服务等。</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lang w:val="en-US" w:eastAsia="zh-CN"/>
        </w:rPr>
        <w:t xml:space="preserve">5</w:t>
      </w:r>
      <w:r>
        <w:rPr>
          <w:rFonts w:hint="eastAsia" w:ascii="宋体" w:hAnsi="宋体" w:cs="宋体"/>
          <w:bCs/>
          <w:sz w:val="24"/>
        </w:rPr>
        <w:t xml:space="preserve">.4 在3年质量保修期满后，如招标人仍要求供应商提供相关服务，投标人还应提供服务，但发生的费用由招标人承担。</w:t>
      </w:r>
      <w:r/>
    </w:p>
    <w:p>
      <w:pPr>
        <w:pStyle w:val="852"/>
        <w:ind w:firstLine="480"/>
        <w:jc w:val="both"/>
        <w:spacing w:beforeAutospacing="0" w:afterAutospacing="0"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、采购标的对应的中小企业划分标准所属行业一览表</w:t>
      </w:r>
      <w:r/>
    </w:p>
    <w:tbl>
      <w:tblPr>
        <w:tblStyle w:val="667"/>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852"/>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852"/>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852"/>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本项目推荐3名中标候选人</w:t>
      </w:r>
      <w:r>
        <w:rPr>
          <w:rFonts w:hint="eastAsia" w:ascii="宋体" w:hAnsi="宋体" w:cs="宋体"/>
          <w:sz w:val="24"/>
          <w:szCs w:val="24"/>
          <w:highlight w:val="none"/>
          <w:lang w:val="en-US" w:eastAsia="zh-CN" w:bidi="ar-SA"/>
        </w:rPr>
        <w:t xml:space="preserve">。</w:t>
      </w:r>
      <w:r/>
    </w:p>
    <w:p>
      <w:pPr>
        <w:pStyle w:val="852"/>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862"/>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852"/>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852"/>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852"/>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852"/>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852"/>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852"/>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852"/>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Style w:val="667"/>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的，投标人必须按照招标文件技术参数中的具体要求提供对应证明材料或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，评标委员会必须依据投标人提供的证明材料或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进行评审（提供的证明材料或软件功能须满足招标文件的参数要求），未提供对应材料或提供的材料、软件功能</w:t>
            </w:r>
            <w:r>
              <w:rPr>
                <w:rFonts w:hint="eastAsia" w:ascii="宋体" w:hAnsi="宋体" w:cs="宋体"/>
                <w:sz w:val="22"/>
                <w:szCs w:val="22"/>
                <w:lang w:val="en-US" w:eastAsia="zh-CN" w:bidi="ar"/>
              </w:rPr>
              <w:t xml:space="preserve">操作录制视频</w:t>
            </w:r>
            <w:r>
              <w:rPr>
                <w:rFonts w:hint="eastAsia" w:ascii="宋体" w:hAnsi="宋体" w:cs="宋体"/>
                <w:sz w:val="22"/>
                <w:szCs w:val="22"/>
                <w:lang w:bidi="ar"/>
              </w:rPr>
              <w:t xml:space="preserve">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1.本项目项目经理取得以下任意一种资格的：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2.本项目项目技术负责人（与项目经理非同一人）取得以下任意一种资格的：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w:t>
            </w:r>
            <w:r>
              <w:rPr>
                <w:rFonts w:hint="eastAsia" w:ascii="宋体" w:hAnsi="宋体" w:cs="宋体"/>
                <w:sz w:val="22"/>
                <w:szCs w:val="22"/>
              </w:rPr>
              <w:t xml:space="preserve">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852"/>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rPr>
      </w:pPr>
      <w:r>
        <w:rPr>
          <w:rFonts w:hint="eastAsia"/>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宋体" w:hAnsi="宋体" w:cs="宋体"/>
          <w:b/>
          <w:sz w:val="72"/>
          <w:szCs w:val="72"/>
        </w:rPr>
      </w:pPr>
      <w:r/>
      <w:bookmarkStart w:id="171" w:name="_Toc120614282"/>
      <w:r/>
      <w:bookmarkEnd w:id="171"/>
      <w:r/>
      <w:bookmarkStart w:id="172" w:name="_Toc49090576"/>
      <w:r/>
      <w:bookmarkEnd w:id="172"/>
      <w:r/>
      <w:bookmarkStart w:id="173" w:name="_Hlt26671244"/>
      <w:r/>
      <w:bookmarkStart w:id="174" w:name="_Toc26554094"/>
      <w:r/>
      <w:bookmarkStart w:id="175" w:name="_Hlt26955039"/>
      <w:r/>
      <w:r/>
    </w:p>
    <w:p>
      <w:pPr>
        <w:pStyle w:val="852"/>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852"/>
        <w:jc w:val="center"/>
        <w:spacing w:beforeAutospacing="0" w:afterAutospacing="0"/>
      </w:pPr>
      <w:r>
        <w:rPr>
          <w:rFonts w:hint="eastAsia" w:ascii="宋体" w:hAnsi="宋体" w:cs="宋体"/>
          <w:b/>
          <w:sz w:val="72"/>
          <w:szCs w:val="72"/>
        </w:rPr>
        <w:t xml:space="preserve">投  标  文  件</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852"/>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852"/>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852"/>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both"/>
        <w:spacing w:beforeAutospacing="0" w:afterAutospacing="0" w:line="0" w:lineRule="atLeast"/>
      </w:pPr>
      <w:r/>
      <w:r/>
    </w:p>
    <w:p>
      <w:pPr>
        <w:pStyle w:val="852"/>
        <w:jc w:val="both"/>
        <w:spacing w:beforeAutospacing="0" w:afterAutospacing="0" w:line="0" w:lineRule="atLeast"/>
      </w:pPr>
      <w:r/>
      <w:r/>
    </w:p>
    <w:p>
      <w:pPr>
        <w:pStyle w:val="852"/>
        <w:jc w:val="center"/>
        <w:spacing w:beforeAutospacing="0" w:afterAutospacing="0" w:line="0" w:lineRule="atLeast"/>
      </w:pPr>
      <w:r>
        <w:rPr>
          <w:rFonts w:hint="eastAsia" w:ascii="宋体" w:hAnsi="宋体" w:cs="宋体"/>
          <w:b/>
          <w:sz w:val="32"/>
          <w:szCs w:val="32"/>
        </w:rPr>
        <w:t xml:space="preserve">投标文件目录</w:t>
      </w:r>
      <w:r/>
    </w:p>
    <w:p>
      <w:pPr>
        <w:pStyle w:val="852"/>
        <w:jc w:val="center"/>
        <w:spacing w:beforeAutospacing="0" w:afterAutospacing="0" w:line="0" w:lineRule="atLeast"/>
      </w:pPr>
      <w:r>
        <w:t xml:space="preserve"> </w:t>
      </w:r>
      <w:r/>
    </w:p>
    <w:p>
      <w:pPr>
        <w:pStyle w:val="852"/>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2"/>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852"/>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852"/>
        <w:ind w:firstLine="480"/>
        <w:jc w:val="both"/>
        <w:spacing w:beforeAutospacing="0" w:afterAutospacing="0" w:line="360" w:lineRule="auto"/>
        <w:rPr>
          <w:iCs/>
        </w:rPr>
      </w:pPr>
      <w:r>
        <w:rPr>
          <w:rFonts w:hint="eastAsia" w:ascii="宋体" w:hAnsi="宋体" w:cs="宋体"/>
          <w:iCs/>
        </w:rPr>
        <w:t xml:space="preserve">七、法人授权书</w:t>
      </w:r>
      <w:r/>
    </w:p>
    <w:p>
      <w:pPr>
        <w:pStyle w:val="852"/>
        <w:ind w:firstLine="480"/>
        <w:jc w:val="both"/>
        <w:spacing w:beforeAutospacing="0" w:afterAutospacing="0" w:line="360" w:lineRule="auto"/>
        <w:rPr>
          <w:iCs/>
        </w:rPr>
      </w:pPr>
      <w:r>
        <w:rPr>
          <w:rFonts w:hint="eastAsia" w:ascii="宋体" w:hAnsi="宋体" w:cs="宋体"/>
          <w:iCs/>
        </w:rPr>
        <w:t xml:space="preserve">八、投标函</w:t>
      </w:r>
      <w:r/>
    </w:p>
    <w:p>
      <w:pPr>
        <w:pStyle w:val="852"/>
        <w:ind w:firstLine="480"/>
        <w:jc w:val="both"/>
        <w:spacing w:beforeAutospacing="0" w:afterAutospacing="0" w:line="360" w:lineRule="auto"/>
        <w:rPr>
          <w:iCs/>
        </w:rPr>
      </w:pPr>
      <w:r>
        <w:rPr>
          <w:rFonts w:hint="eastAsia" w:ascii="宋体" w:hAnsi="宋体" w:cs="宋体"/>
          <w:iCs/>
        </w:rPr>
        <w:t xml:space="preserve">九、中小企业声明函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852"/>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852"/>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852"/>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852"/>
        <w:ind w:firstLine="480"/>
        <w:jc w:val="both"/>
        <w:spacing w:beforeAutospacing="0" w:afterAutospacing="0" w:line="360" w:lineRule="auto"/>
        <w:rPr>
          <w:rFonts w:hint="eastAsia" w:ascii="宋体" w:hAnsi="宋体" w:eastAsia="宋体" w:cs="宋体"/>
          <w:iCs/>
          <w:lang w:val="en-US" w:eastAsia="zh-CN"/>
        </w:rPr>
      </w:pPr>
      <w:r>
        <w:rPr>
          <w:rFonts w:hint="eastAsia" w:ascii="宋体" w:hAnsi="宋体" w:cs="宋体"/>
          <w:iCs/>
          <w:lang w:val="en-US" w:eastAsia="zh-CN"/>
        </w:rPr>
        <w:t xml:space="preserve">十七、</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jc w:val="both"/>
        <w:spacing w:beforeAutospacing="0" w:afterAutospacing="0" w:line="0" w:lineRule="atLeast"/>
      </w:pPr>
      <w:r/>
      <w:r/>
    </w:p>
    <w:p>
      <w:pPr>
        <w:pStyle w:val="852"/>
        <w:ind w:firstLine="480"/>
        <w:jc w:val="both"/>
        <w:spacing w:beforeAutospacing="0" w:afterAutospacing="0" w:line="0" w:lineRule="atLeast"/>
      </w:pPr>
      <w:r/>
      <w:r/>
    </w:p>
    <w:p>
      <w:pPr>
        <w:pStyle w:val="852"/>
        <w:ind w:firstLine="480"/>
        <w:jc w:val="both"/>
        <w:spacing w:beforeAutospacing="0" w:afterAutospacing="0" w:line="0" w:lineRule="atLeast"/>
      </w:pPr>
      <w:r/>
      <w:r/>
    </w:p>
    <w:p>
      <w:pPr>
        <w:pStyle w:val="852"/>
        <w:jc w:val="both"/>
        <w:spacing w:beforeAutospacing="0" w:afterAutospacing="0" w:line="0" w:lineRule="atLeast"/>
      </w:pPr>
      <w:r/>
      <w:r/>
    </w:p>
    <w:p>
      <w:pPr>
        <w:pStyle w:val="852"/>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52"/>
        <w:ind w:firstLine="480"/>
        <w:jc w:val="both"/>
        <w:spacing w:beforeAutospacing="0" w:afterAutospacing="0" w:line="0" w:lineRule="atLeast"/>
      </w:pPr>
      <w:r>
        <w:t xml:space="preserve"> </w:t>
      </w:r>
      <w:r/>
    </w:p>
    <w:p>
      <w:pPr>
        <w:pStyle w:val="852"/>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52"/>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52"/>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52"/>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52"/>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852"/>
        <w:ind w:firstLine="3092"/>
        <w:jc w:val="both"/>
        <w:spacing w:beforeAutospacing="0" w:afterAutospacing="0" w:line="0" w:lineRule="atLeast"/>
      </w:pPr>
      <w:r>
        <w:rPr>
          <w:rFonts w:hint="eastAsia" w:ascii="宋体" w:hAnsi="宋体" w:cs="宋体"/>
          <w:b/>
          <w:sz w:val="44"/>
          <w:szCs w:val="44"/>
        </w:rPr>
        <w:t xml:space="preserve"> 声  明</w:t>
      </w:r>
      <w:r/>
    </w:p>
    <w:p>
      <w:pPr>
        <w:pStyle w:val="852"/>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52"/>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852"/>
        <w:jc w:val="center"/>
        <w:spacing w:beforeAutospacing="0" w:afterAutospacing="0"/>
        <w:rPr>
          <w:rFonts w:hint="eastAsia" w:ascii="黑体" w:hAnsi="宋体" w:eastAsia="黑体" w:cs="黑体"/>
          <w:i/>
          <w:sz w:val="32"/>
          <w:szCs w:val="32"/>
          <w:u w:val="single"/>
        </w:rPr>
      </w:pPr>
      <w:r/>
      <w:bookmarkStart w:id="176" w:name="_Toc120614284"/>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pPr>
      <w:r>
        <w:rPr>
          <w:rFonts w:hint="eastAsia" w:ascii="黑体" w:hAnsi="宋体" w:eastAsia="黑体" w:cs="黑体"/>
          <w:i/>
          <w:sz w:val="32"/>
          <w:szCs w:val="32"/>
          <w:u w:val="single"/>
        </w:rPr>
        <w:t xml:space="preserve">七、法人授权书</w:t>
      </w:r>
      <w:r/>
    </w:p>
    <w:p>
      <w:pPr>
        <w:pStyle w:val="852"/>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52"/>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52"/>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52"/>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日期：</w:t>
      </w:r>
      <w:bookmarkStart w:id="177" w:name="_Hlt26955070"/>
      <w:r/>
      <w:bookmarkStart w:id="178" w:name="_Hlt26671380"/>
      <w:r/>
      <w:bookmarkStart w:id="179" w:name="_格式3__银行出具的资信证明"/>
      <w:r>
        <w:rPr>
          <w:rFonts w:ascii="Times New Roman" w:hAnsi="Times New Roman"/>
          <w:u w:val="single"/>
        </w:rPr>
        <w:t xml:space="preserve">                                         </w:t>
      </w:r>
      <w:r>
        <w:rPr>
          <w:rFonts w:hint="eastAsia" w:ascii="Times New Roman" w:hAnsi="Times New Roman"/>
          <w:u w:val="single"/>
        </w:rPr>
        <w:t xml:space="preserve">             </w:t>
      </w:r>
      <w:r/>
    </w:p>
    <w:p>
      <w:pPr>
        <w:pStyle w:val="852"/>
        <w:ind w:firstLine="420"/>
        <w:jc w:val="both"/>
        <w:spacing w:beforeAutospacing="0" w:afterAutospacing="0"/>
      </w:pPr>
      <w:r>
        <w:t xml:space="preserve"> </w:t>
      </w:r>
      <w:r>
        <w:rPr>
          <w:rFonts w:hint="eastAsia"/>
        </w:rPr>
        <w:t xml:space="preserve"> </w:t>
      </w:r>
      <w:r/>
    </w:p>
    <w:p>
      <w:pPr>
        <w:pStyle w:val="852"/>
        <w:jc w:val="both"/>
        <w:spacing w:beforeAutospacing="0" w:afterAutospacing="0"/>
      </w:pPr>
      <w:r>
        <w:t xml:space="preserve"> </w:t>
      </w:r>
      <w:r/>
    </w:p>
    <w:p>
      <w:pPr>
        <w:pStyle w:val="852"/>
        <w:jc w:val="both"/>
        <w:spacing w:beforeAutospacing="0" w:afterAutospacing="0" w:line="0" w:lineRule="atLeast"/>
      </w:pPr>
      <w:r>
        <w:t xml:space="preserve"> </w:t>
      </w:r>
      <w:r/>
    </w:p>
    <w:p>
      <w:pPr>
        <w:pStyle w:val="852"/>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852"/>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852"/>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852"/>
        <w:ind w:firstLine="480"/>
        <w:spacing w:beforeAutospacing="0" w:afterAutospacing="0" w:line="400" w:lineRule="atLeast"/>
      </w:pPr>
      <w:r>
        <w:rPr>
          <w:rFonts w:hint="eastAsia" w:ascii="宋体" w:hAnsi="宋体" w:cs="宋体"/>
        </w:rPr>
        <w:t xml:space="preserve">据此函，__________签字人兹宣布同意如下：</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52"/>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852"/>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852"/>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852"/>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852"/>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852"/>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852"/>
        <w:ind w:left="425"/>
        <w:spacing w:beforeAutospacing="0" w:afterAutospacing="0" w:line="400" w:lineRule="atLeast"/>
      </w:pPr>
      <w:r>
        <w:rPr>
          <w:rFonts w:hint="eastAsia" w:ascii="宋体" w:hAnsi="宋体" w:cs="宋体"/>
        </w:rPr>
        <w:t xml:space="preserve">10.与本投标有关的正式通讯地址为：</w:t>
      </w:r>
      <w:r/>
    </w:p>
    <w:p>
      <w:pPr>
        <w:pStyle w:val="852"/>
        <w:ind w:left="420" w:firstLine="480"/>
        <w:spacing w:beforeAutospacing="0" w:afterAutospacing="0" w:line="0" w:lineRule="atLeast"/>
      </w:pPr>
      <w:r>
        <w:rPr>
          <w:rFonts w:hint="eastAsia" w:ascii="宋体" w:hAnsi="宋体" w:cs="宋体"/>
        </w:rPr>
        <w:t xml:space="preserve">地          址：</w:t>
      </w:r>
      <w:r/>
    </w:p>
    <w:p>
      <w:pPr>
        <w:pStyle w:val="852"/>
        <w:ind w:left="420" w:firstLine="480"/>
        <w:spacing w:beforeAutospacing="0" w:afterAutospacing="0" w:line="0" w:lineRule="atLeast"/>
      </w:pPr>
      <w:r>
        <w:rPr>
          <w:rFonts w:hint="eastAsia" w:ascii="宋体" w:hAnsi="宋体" w:cs="宋体"/>
        </w:rPr>
        <w:t xml:space="preserve">邮          编：</w:t>
      </w:r>
      <w:r/>
    </w:p>
    <w:p>
      <w:pPr>
        <w:pStyle w:val="852"/>
        <w:ind w:left="420" w:firstLine="480"/>
        <w:spacing w:beforeAutospacing="0" w:afterAutospacing="0" w:line="0" w:lineRule="atLeast"/>
      </w:pPr>
      <w:r>
        <w:rPr>
          <w:rFonts w:hint="eastAsia" w:ascii="宋体" w:hAnsi="宋体" w:cs="宋体"/>
        </w:rPr>
        <w:t xml:space="preserve">电          话：</w:t>
      </w:r>
      <w:r/>
    </w:p>
    <w:p>
      <w:pPr>
        <w:pStyle w:val="852"/>
        <w:ind w:left="420" w:firstLine="480"/>
        <w:spacing w:beforeAutospacing="0" w:afterAutospacing="0" w:line="0" w:lineRule="atLeast"/>
      </w:pPr>
      <w:r>
        <w:rPr>
          <w:rFonts w:hint="eastAsia" w:ascii="宋体" w:hAnsi="宋体" w:cs="宋体"/>
        </w:rPr>
        <w:t xml:space="preserve">传          真：</w:t>
      </w:r>
      <w:r/>
    </w:p>
    <w:p>
      <w:pPr>
        <w:pStyle w:val="852"/>
        <w:ind w:left="420" w:firstLine="480"/>
        <w:spacing w:beforeAutospacing="0" w:afterAutospacing="0" w:line="0" w:lineRule="atLeast"/>
      </w:pPr>
      <w:r>
        <w:rPr>
          <w:rFonts w:hint="eastAsia" w:ascii="宋体" w:hAnsi="宋体" w:cs="宋体"/>
        </w:rPr>
        <w:t xml:space="preserve">投标人开户行：</w:t>
      </w:r>
      <w:r/>
    </w:p>
    <w:p>
      <w:pPr>
        <w:pStyle w:val="852"/>
        <w:ind w:left="420" w:firstLine="480"/>
        <w:spacing w:beforeAutospacing="0" w:afterAutospacing="0" w:line="0" w:lineRule="atLeast"/>
      </w:pPr>
      <w:r>
        <w:rPr>
          <w:rFonts w:hint="eastAsia" w:ascii="宋体" w:hAnsi="宋体" w:cs="宋体"/>
        </w:rPr>
        <w:t xml:space="preserve">账          号： </w:t>
      </w:r>
      <w:r/>
    </w:p>
    <w:p>
      <w:pPr>
        <w:pStyle w:val="852"/>
        <w:ind w:left="420" w:firstLine="480"/>
        <w:spacing w:beforeAutospacing="0" w:afterAutospacing="0" w:line="0" w:lineRule="atLeast"/>
      </w:pPr>
      <w:r>
        <w:rPr>
          <w:rFonts w:hint="eastAsia" w:ascii="宋体" w:hAnsi="宋体" w:cs="宋体"/>
        </w:rPr>
        <w:t xml:space="preserve">日           期：________年____月____日</w:t>
      </w:r>
      <w:r/>
    </w:p>
    <w:p>
      <w:pPr>
        <w:pStyle w:val="852"/>
        <w:ind w:firstLine="240"/>
        <w:jc w:val="center"/>
        <w:spacing w:beforeAutospacing="0" w:afterAutospacing="0" w:line="0" w:lineRule="atLeast"/>
      </w:pPr>
      <w:r>
        <w:t xml:space="preserve">  </w:t>
      </w:r>
      <w:r/>
    </w:p>
    <w:p>
      <w:pPr>
        <w:pStyle w:val="852"/>
        <w:ind w:firstLine="240"/>
        <w:jc w:val="center"/>
        <w:spacing w:beforeAutospacing="0" w:afterAutospacing="0" w:line="0" w:lineRule="atLeast"/>
      </w:pPr>
      <w:r>
        <w:t xml:space="preserve"> </w:t>
      </w:r>
      <w:r/>
    </w:p>
    <w:p>
      <w:pPr>
        <w:pStyle w:val="852"/>
        <w:ind w:firstLine="240"/>
        <w:jc w:val="center"/>
        <w:spacing w:beforeAutospacing="0" w:afterAutospacing="0" w:line="0" w:lineRule="atLeast"/>
      </w:pPr>
      <w:r>
        <w:t xml:space="preserve"> </w:t>
      </w:r>
      <w:r/>
    </w:p>
    <w:p>
      <w:pPr>
        <w:pStyle w:val="852"/>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本公司（联合体）郑重声明，根据《政府采购促进中小企业发展管理办法》(财库〔2020〕46号)的规定，本公司（联合体）参加滨海县政府采购人组织的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65"/>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65"/>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65"/>
        <w:ind w:firstLine="363"/>
        <w:jc w:val="both"/>
        <w:spacing w:beforeAutospacing="0" w:afterAutospacing="0" w:line="500" w:lineRule="atLeast"/>
        <w:rPr>
          <w:rFonts w:hint="eastAsia"/>
        </w:rPr>
      </w:pPr>
      <w:r>
        <w:rPr>
          <w:rFonts w:hint="eastAsia"/>
        </w:rPr>
        <w:t xml:space="preserve">……</w:t>
      </w:r>
      <w:r/>
    </w:p>
    <w:p>
      <w:pPr>
        <w:pStyle w:val="852"/>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52"/>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52"/>
        <w:ind w:right="720"/>
        <w:jc w:val="both"/>
        <w:spacing w:beforeAutospacing="0" w:afterAutospacing="0" w:line="360" w:lineRule="auto"/>
      </w:pPr>
      <w:r>
        <w:t xml:space="preserve"> </w:t>
      </w:r>
      <w:r/>
    </w:p>
    <w:p>
      <w:pPr>
        <w:pStyle w:val="852"/>
        <w:ind w:right="180" w:firstLine="360"/>
        <w:jc w:val="right"/>
        <w:spacing w:beforeAutospacing="0" w:afterAutospacing="0" w:line="360" w:lineRule="auto"/>
      </w:pPr>
      <w:r>
        <w:rPr>
          <w:rFonts w:hint="eastAsia"/>
        </w:rPr>
        <w:t xml:space="preserve">企业名称（加盖CA电子公章）：</w:t>
      </w:r>
      <w:r/>
    </w:p>
    <w:p>
      <w:pPr>
        <w:pStyle w:val="852"/>
        <w:ind w:right="480" w:firstLine="5400"/>
        <w:jc w:val="both"/>
        <w:spacing w:beforeAutospacing="0" w:afterAutospacing="0" w:line="360" w:lineRule="auto"/>
      </w:pPr>
      <w:r>
        <w:rPr>
          <w:rFonts w:hint="eastAsia"/>
        </w:rPr>
        <w:t xml:space="preserve">日  期：</w:t>
      </w:r>
      <w:r/>
    </w:p>
    <w:p>
      <w:pPr>
        <w:pStyle w:val="852"/>
        <w:ind w:firstLine="360"/>
        <w:jc w:val="both"/>
        <w:spacing w:beforeAutospacing="0" w:afterAutospacing="0" w:line="360" w:lineRule="auto"/>
      </w:pPr>
      <w:r>
        <w:t xml:space="preserve"> </w:t>
      </w:r>
      <w:r/>
    </w:p>
    <w:p>
      <w:pPr>
        <w:pStyle w:val="852"/>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852"/>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852"/>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852"/>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852"/>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852"/>
        <w:ind w:firstLine="480"/>
        <w:jc w:val="both"/>
        <w:spacing w:beforeAutospacing="0" w:afterAutospacing="0" w:line="0" w:lineRule="atLeast"/>
      </w:pPr>
      <w:r>
        <w:rPr>
          <w:rFonts w:hint="eastAsia" w:ascii="宋体" w:hAnsi="宋体" w:cs="宋体"/>
        </w:rPr>
        <w:t xml:space="preserve">2、中标供应商为残疾人福利单位的，此声明函将随中标结果同时公告，接受社会监督</w:t>
      </w:r>
      <w:r/>
    </w:p>
    <w:p>
      <w:pPr>
        <w:pStyle w:val="852"/>
        <w:ind w:firstLine="624"/>
        <w:jc w:val="both"/>
        <w:spacing w:beforeAutospacing="0" w:afterAutospacing="0" w:line="0" w:lineRule="atLeast"/>
      </w:pPr>
      <w:r>
        <w:t xml:space="preserve"> </w:t>
      </w:r>
      <w:r/>
    </w:p>
    <w:p>
      <w:pPr>
        <w:pStyle w:val="852"/>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852"/>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线划除的地方无需填写。</w:t>
      </w:r>
      <w:r/>
    </w:p>
    <w:p>
      <w:pPr>
        <w:pStyle w:val="864"/>
        <w:jc w:val="center"/>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4"/>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854"/>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854"/>
        <w:ind w:left="0" w:right="1470"/>
        <w:jc w:val="right"/>
        <w:rPr>
          <w:rFonts w:hint="default" w:ascii="黑体" w:eastAsia="黑体"/>
        </w:rPr>
      </w:pPr>
      <w:r>
        <w:rPr>
          <w:rFonts w:hint="eastAsia" w:ascii="黑体" w:eastAsia="黑体"/>
          <w:lang w:val="en-US" w:eastAsia="zh-CN"/>
        </w:rPr>
        <w:t xml:space="preserve"> </w:t>
      </w:r>
      <w:r>
        <w:rPr>
          <w:rFonts w:ascii="黑体" w:eastAsia="黑体"/>
        </w:rPr>
        <w:t xml:space="preserve">人民币：元</w:t>
      </w:r>
      <w:r/>
    </w:p>
    <w:tbl>
      <w:tblPr>
        <w:tblStyle w:val="66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701"/>
        <w:gridCol w:w="1173"/>
        <w:gridCol w:w="1480"/>
        <w:gridCol w:w="800"/>
        <w:gridCol w:w="873"/>
        <w:gridCol w:w="800"/>
        <w:gridCol w:w="799"/>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投标品牌/型号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智慧渔港管理平台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2"/>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center"/>
        <w:spacing w:beforeAutospacing="0" w:afterAutospacing="0"/>
      </w:pPr>
      <w:r>
        <w:rPr>
          <w:rFonts w:hint="eastAsia" w:ascii="黑体" w:hAnsi="宋体" w:eastAsia="黑体" w:cs="黑体"/>
          <w:b/>
          <w:sz w:val="32"/>
          <w:szCs w:val="32"/>
        </w:rPr>
        <w:t xml:space="preserve">十三、技术要求响应及偏离表</w:t>
      </w:r>
      <w:r/>
    </w:p>
    <w:tbl>
      <w:tblPr>
        <w:tblStyle w:val="66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rPr>
                <w:rFonts w:hint="eastAsia" w:ascii="宋体" w:hAnsi="宋体" w:cs="宋体"/>
              </w:rPr>
              <w:t xml:space="preserve">证明</w:t>
            </w:r>
            <w:r/>
          </w:p>
          <w:p>
            <w:pPr>
              <w:pStyle w:val="852"/>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我方承诺，除上表中的偏离外，完全响应招标文件的其他条款。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867"/>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865"/>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Style w:val="66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bookmarkStart w:id="181" w:name="_Hlt26671372"/>
            <w:r/>
            <w:bookmarkStart w:id="182" w:name="_Hlt26955056"/>
            <w:r/>
            <w:bookmarkStart w:id="183" w:name="_Hlt26782999"/>
            <w:r/>
            <w:bookmarkStart w:id="184" w:name="_Hlt26580838"/>
            <w:r/>
            <w:bookmarkStart w:id="185" w:name="_Hlt26671343"/>
            <w:r/>
            <w:bookmarkStart w:id="186" w:name="_Hlt24879081"/>
            <w:r/>
            <w:bookmarkStart w:id="187" w:name="_Hlt26609391"/>
            <w:r/>
            <w:bookmarkStart w:id="188" w:name="_Hlt26955064"/>
            <w:r>
              <w:rPr>
                <w:rFonts w:hint="eastAsia" w:ascii="宋体" w:hAnsi="宋体" w:cs="宋体"/>
              </w:rPr>
              <w:t xml:space="preserve">序号</w:t>
            </w:r>
            <w:bookmarkEnd w:id="181"/>
            <w:bookmarkEnd w:id="182"/>
            <w:bookmarkEnd w:id="183"/>
            <w:bookmarkEnd w:id="184"/>
            <w:bookmarkEnd w:id="185"/>
            <w:bookmarkEnd w:id="186"/>
            <w:bookmarkEnd w:id="187"/>
            <w:bookmarkEnd w:id="188"/>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rPr>
                <w:rFonts w:hint="eastAsia" w:ascii="宋体" w:hAnsi="宋体" w:cs="宋体"/>
              </w:rPr>
              <w:t xml:space="preserve">证明</w:t>
            </w:r>
            <w:r/>
          </w:p>
          <w:p>
            <w:pPr>
              <w:pStyle w:val="852"/>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bl>
    <w:p>
      <w:pPr>
        <w:pStyle w:val="852"/>
        <w:jc w:val="both"/>
        <w:spacing w:beforeAutospacing="0" w:afterAutospacing="0"/>
      </w:pPr>
      <w:r>
        <w:rPr>
          <w:rFonts w:hint="eastAsia" w:ascii="宋体" w:hAnsi="宋体" w:cs="宋体"/>
        </w:rPr>
        <w:t xml:space="preserve">注： 行数不够，可自行添加。</w:t>
      </w:r>
      <w:r/>
    </w:p>
    <w:p>
      <w:pPr>
        <w:pStyle w:val="852"/>
        <w:jc w:val="both"/>
        <w:spacing w:beforeAutospacing="0" w:afterAutospacing="0" w:line="480" w:lineRule="auto"/>
      </w:pPr>
      <w:r>
        <w:t xml:space="preserve"> </w:t>
      </w:r>
      <w:r/>
    </w:p>
    <w:p>
      <w:pPr>
        <w:pStyle w:val="852"/>
        <w:jc w:val="both"/>
        <w:spacing w:beforeAutospacing="0" w:afterAutospacing="0" w:line="480" w:lineRule="auto"/>
      </w:pPr>
      <w:r>
        <w:t xml:space="preserve"> </w:t>
      </w:r>
      <w:r/>
    </w:p>
    <w:p>
      <w:pPr>
        <w:pStyle w:val="852"/>
        <w:jc w:val="center"/>
        <w:spacing w:beforeAutospacing="0" w:afterAutospacing="0"/>
      </w:pPr>
      <w:r/>
      <w:bookmarkStart w:id="189" w:name="_Hlt26671374"/>
      <w:r/>
      <w:bookmarkStart w:id="190" w:name="_Hlt26609389"/>
      <w:r/>
      <w:bookmarkStart w:id="191" w:name="_Hlt26955066"/>
      <w:r/>
      <w:bookmarkStart w:id="192" w:name="_Toc462564146"/>
      <w:r/>
      <w:bookmarkStart w:id="193" w:name="_格式2__法定代表人授权书"/>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rPr>
          <w:rFonts w:hint="eastAsia" w:ascii="黑体" w:hAnsi="宋体" w:eastAsia="黑体" w:cs="黑体"/>
          <w:b/>
          <w:i/>
          <w:sz w:val="32"/>
          <w:szCs w:val="32"/>
          <w:u w:val="single"/>
        </w:rPr>
        <w:t xml:space="preserve">十五、开标一览表</w:t>
      </w:r>
      <w:r/>
    </w:p>
    <w:p>
      <w:pPr>
        <w:pStyle w:val="852"/>
        <w:ind w:firstLine="480"/>
        <w:jc w:val="both"/>
        <w:spacing w:beforeAutospacing="0" w:afterAutospacing="0"/>
      </w:pPr>
      <w:r>
        <w:rPr>
          <w:rFonts w:hint="eastAsia" w:ascii="宋体" w:hAnsi="宋体" w:cs="宋体"/>
        </w:rPr>
        <w:t xml:space="preserve">投标人全称（加盖CA电子签章）：</w:t>
      </w:r>
      <w:r/>
    </w:p>
    <w:p>
      <w:pPr>
        <w:pStyle w:val="852"/>
        <w:ind w:firstLine="480"/>
        <w:jc w:val="both"/>
        <w:spacing w:beforeAutospacing="0" w:afterAutospacing="0"/>
      </w:pPr>
      <w:r>
        <w:rPr>
          <w:rFonts w:hint="eastAsia" w:ascii="宋体" w:hAnsi="宋体" w:cs="宋体"/>
        </w:rPr>
        <w:t xml:space="preserve">项目名称：</w:t>
      </w:r>
      <w:r/>
    </w:p>
    <w:p>
      <w:pPr>
        <w:pStyle w:val="852"/>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Style w:val="66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52"/>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52"/>
              <w:spacing w:beforeAutospacing="0" w:afterAutospacing="0" w:line="0" w:lineRule="atLeast"/>
            </w:pPr>
            <w:r>
              <w:t xml:space="preserve"> </w:t>
            </w:r>
            <w:r/>
          </w:p>
        </w:tc>
      </w:tr>
    </w:tbl>
    <w:p>
      <w:pPr>
        <w:pStyle w:val="852"/>
        <w:jc w:val="both"/>
        <w:spacing w:beforeAutospacing="0" w:afterAutospacing="0"/>
      </w:pPr>
      <w:r>
        <w:t xml:space="preserve"> </w:t>
      </w:r>
      <w:r/>
    </w:p>
    <w:p>
      <w:pPr>
        <w:pStyle w:val="852"/>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852"/>
        <w:jc w:val="both"/>
        <w:spacing w:beforeAutospacing="0" w:afterAutospacing="0"/>
      </w:pPr>
      <w:r>
        <w:t xml:space="preserve"> </w:t>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852"/>
        <w:jc w:val="center"/>
        <w:spacing w:beforeAutospacing="0" w:afterAutospacing="0"/>
      </w:pPr>
      <w:r/>
      <w:bookmarkEnd w:id="6"/>
      <w:bookmarkEnd w:id="45"/>
      <w:bookmarkEnd w:id="89"/>
      <w:bookmarkEnd w:id="90"/>
      <w:bookmarkEnd w:id="91"/>
      <w:bookmarkEnd w:id="92"/>
      <w:bookmarkEnd w:id="93"/>
      <w:bookmarkEnd w:id="94"/>
      <w:bookmarkEnd w:id="95"/>
      <w:bookmarkEnd w:id="96"/>
      <w:bookmarkEnd w:id="105"/>
      <w:bookmarkEnd w:id="106"/>
      <w:bookmarkEnd w:id="113"/>
      <w:bookmarkEnd w:id="159"/>
      <w:bookmarkEnd w:id="170"/>
      <w:bookmarkEnd w:id="173"/>
      <w:bookmarkEnd w:id="174"/>
      <w:bookmarkEnd w:id="175"/>
      <w:bookmarkEnd w:id="176"/>
      <w:bookmarkEnd w:id="177"/>
      <w:bookmarkEnd w:id="178"/>
      <w:bookmarkEnd w:id="179"/>
      <w:bookmarkEnd w:id="180"/>
      <w:bookmarkEnd w:id="189"/>
      <w:bookmarkEnd w:id="190"/>
      <w:bookmarkEnd w:id="191"/>
      <w:bookmarkEnd w:id="192"/>
      <w:bookmarkEnd w:id="193"/>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852"/>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52"/>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52"/>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852"/>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84"/>
    <w:uiPriority w:val="10"/>
    <w:rPr>
      <w:sz w:val="48"/>
      <w:szCs w:val="48"/>
    </w:rPr>
  </w:style>
  <w:style w:type="character" w:styleId="36">
    <w:name w:val="Subtitle Char"/>
    <w:basedOn w:val="666"/>
    <w:link w:val="678"/>
    <w:uiPriority w:val="11"/>
    <w:rPr>
      <w:sz w:val="24"/>
      <w:szCs w:val="24"/>
    </w:rPr>
  </w:style>
  <w:style w:type="character" w:styleId="38">
    <w:name w:val="Quote Char"/>
    <w:link w:val="705"/>
    <w:uiPriority w:val="29"/>
    <w:rPr>
      <w:i/>
    </w:rPr>
  </w:style>
  <w:style w:type="character" w:styleId="40">
    <w:name w:val="Intense Quote Char"/>
    <w:link w:val="707"/>
    <w:uiPriority w:val="30"/>
    <w:rPr>
      <w:i/>
    </w:rPr>
  </w:style>
  <w:style w:type="character" w:styleId="42">
    <w:name w:val="Header Char"/>
    <w:basedOn w:val="666"/>
    <w:link w:val="675"/>
    <w:uiPriority w:val="99"/>
  </w:style>
  <w:style w:type="character" w:styleId="46">
    <w:name w:val="Caption Char"/>
    <w:basedOn w:val="669"/>
    <w:link w:val="674"/>
    <w:uiPriority w:val="99"/>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3"/>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57">
    <w:name w:val="Heading 1"/>
    <w:basedOn w:val="656"/>
    <w:next w:val="656"/>
    <w:link w:val="69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6"/>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69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0"/>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toc 5"/>
    <w:basedOn w:val="656"/>
    <w:next w:val="656"/>
    <w:uiPriority w:val="39"/>
    <w:unhideWhenUsed/>
    <w:qFormat/>
    <w:pPr>
      <w:ind w:left="1134"/>
      <w:spacing w:after="57"/>
    </w:pPr>
  </w:style>
  <w:style w:type="paragraph" w:styleId="671">
    <w:name w:val="toc 3"/>
    <w:basedOn w:val="656"/>
    <w:next w:val="656"/>
    <w:uiPriority w:val="39"/>
    <w:unhideWhenUsed/>
    <w:qFormat/>
    <w:pPr>
      <w:ind w:left="567"/>
      <w:spacing w:after="57"/>
    </w:pPr>
  </w:style>
  <w:style w:type="paragraph" w:styleId="672">
    <w:name w:val="toc 8"/>
    <w:basedOn w:val="656"/>
    <w:next w:val="656"/>
    <w:uiPriority w:val="39"/>
    <w:unhideWhenUsed/>
    <w:qFormat/>
    <w:pPr>
      <w:ind w:left="1984"/>
      <w:spacing w:after="57"/>
    </w:pPr>
  </w:style>
  <w:style w:type="paragraph" w:styleId="673">
    <w:name w:val="endnote text"/>
    <w:basedOn w:val="656"/>
    <w:link w:val="838"/>
    <w:uiPriority w:val="99"/>
    <w:semiHidden/>
    <w:unhideWhenUsed/>
    <w:qFormat/>
    <w:rPr>
      <w:sz w:val="20"/>
    </w:rPr>
  </w:style>
  <w:style w:type="paragraph" w:styleId="674">
    <w:name w:val="Footer"/>
    <w:basedOn w:val="656"/>
    <w:link w:val="711"/>
    <w:uiPriority w:val="99"/>
    <w:unhideWhenUsed/>
    <w:qFormat/>
    <w:pPr>
      <w:tabs>
        <w:tab w:val="center" w:pos="7143" w:leader="none"/>
        <w:tab w:val="right" w:pos="14287" w:leader="none"/>
      </w:tabs>
    </w:pPr>
  </w:style>
  <w:style w:type="paragraph" w:styleId="675">
    <w:name w:val="Header"/>
    <w:basedOn w:val="656"/>
    <w:link w:val="709"/>
    <w:uiPriority w:val="99"/>
    <w:unhideWhenUsed/>
    <w:qFormat/>
    <w:pPr>
      <w:tabs>
        <w:tab w:val="center" w:pos="7143" w:leader="none"/>
        <w:tab w:val="right" w:pos="14287" w:leader="none"/>
      </w:tabs>
    </w:pPr>
  </w:style>
  <w:style w:type="paragraph" w:styleId="676">
    <w:name w:val="toc 1"/>
    <w:basedOn w:val="656"/>
    <w:next w:val="656"/>
    <w:uiPriority w:val="39"/>
    <w:unhideWhenUsed/>
    <w:qFormat/>
    <w:pPr>
      <w:spacing w:after="57"/>
    </w:pPr>
  </w:style>
  <w:style w:type="paragraph" w:styleId="677">
    <w:name w:val="toc 4"/>
    <w:basedOn w:val="656"/>
    <w:next w:val="656"/>
    <w:uiPriority w:val="39"/>
    <w:unhideWhenUsed/>
    <w:qFormat/>
    <w:pPr>
      <w:ind w:left="850"/>
      <w:spacing w:after="57"/>
    </w:pPr>
  </w:style>
  <w:style w:type="paragraph" w:styleId="678">
    <w:name w:val="Subtitle"/>
    <w:basedOn w:val="656"/>
    <w:next w:val="656"/>
    <w:link w:val="704"/>
    <w:uiPriority w:val="11"/>
    <w:qFormat/>
    <w:pPr>
      <w:spacing w:before="200" w:after="200"/>
    </w:pPr>
    <w:rPr>
      <w:sz w:val="24"/>
    </w:rPr>
  </w:style>
  <w:style w:type="paragraph" w:styleId="679">
    <w:name w:val="footnote text"/>
    <w:basedOn w:val="656"/>
    <w:link w:val="837"/>
    <w:uiPriority w:val="99"/>
    <w:semiHidden/>
    <w:unhideWhenUsed/>
    <w:qFormat/>
    <w:pPr>
      <w:spacing w:after="40"/>
    </w:pPr>
    <w:rPr>
      <w:sz w:val="18"/>
    </w:rPr>
  </w:style>
  <w:style w:type="paragraph" w:styleId="680">
    <w:name w:val="toc 6"/>
    <w:basedOn w:val="656"/>
    <w:next w:val="656"/>
    <w:uiPriority w:val="39"/>
    <w:unhideWhenUsed/>
    <w:qFormat/>
    <w:pPr>
      <w:ind w:left="1417"/>
      <w:spacing w:after="57"/>
    </w:pPr>
  </w:style>
  <w:style w:type="paragraph" w:styleId="681">
    <w:name w:val="table of figures"/>
    <w:basedOn w:val="656"/>
    <w:next w:val="656"/>
    <w:uiPriority w:val="99"/>
    <w:unhideWhenUsed/>
    <w:qFormat/>
  </w:style>
  <w:style w:type="paragraph" w:styleId="682">
    <w:name w:val="toc 2"/>
    <w:basedOn w:val="656"/>
    <w:next w:val="656"/>
    <w:uiPriority w:val="39"/>
    <w:unhideWhenUsed/>
    <w:qFormat/>
    <w:pPr>
      <w:ind w:left="283"/>
      <w:spacing w:after="57"/>
    </w:pPr>
  </w:style>
  <w:style w:type="paragraph" w:styleId="683">
    <w:name w:val="toc 9"/>
    <w:basedOn w:val="656"/>
    <w:next w:val="656"/>
    <w:uiPriority w:val="39"/>
    <w:unhideWhenUsed/>
    <w:qFormat/>
    <w:pPr>
      <w:ind w:left="2268"/>
      <w:spacing w:after="57"/>
    </w:pPr>
  </w:style>
  <w:style w:type="paragraph" w:styleId="684">
    <w:name w:val="Title"/>
    <w:basedOn w:val="656"/>
    <w:next w:val="656"/>
    <w:link w:val="703"/>
    <w:uiPriority w:val="10"/>
    <w:qFormat/>
    <w:pPr>
      <w:contextualSpacing/>
      <w:spacing w:before="300" w:after="200"/>
    </w:pPr>
    <w:rPr>
      <w:sz w:val="48"/>
      <w:szCs w:val="48"/>
    </w:rPr>
  </w:style>
  <w:style w:type="table" w:styleId="6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qFormat/>
    <w:rPr>
      <w:vertAlign w:val="superscript"/>
    </w:rPr>
  </w:style>
  <w:style w:type="character" w:styleId="687">
    <w:name w:val="Hyperlink"/>
    <w:uiPriority w:val="99"/>
    <w:unhideWhenUsed/>
    <w:qFormat/>
    <w:rPr>
      <w:color w:val="0000ff" w:themeColor="hyperlink"/>
      <w:u w:val="single"/>
      <w14:textFill>
        <w14:solidFill>
          <w14:schemeClr w14:val="hlink"/>
        </w14:solidFill>
      </w14:textFill>
    </w:rPr>
  </w:style>
  <w:style w:type="character" w:styleId="688">
    <w:name w:val="footnote reference"/>
    <w:uiPriority w:val="99"/>
    <w:unhideWhenUsed/>
    <w:qFormat/>
    <w:rPr>
      <w:vertAlign w:val="superscript"/>
    </w:rPr>
  </w:style>
  <w:style w:type="paragraph" w:styleId="689" w:customStyle="1">
    <w:name w:val="正文文本缩进11"/>
    <w:basedOn w:val="656"/>
    <w:next w:val="690"/>
    <w:uiPriority w:val="0"/>
    <w:unhideWhenUsed/>
    <w:qFormat/>
    <w:pPr>
      <w:ind w:left="420"/>
      <w:spacing w:after="120"/>
    </w:pPr>
  </w:style>
  <w:style w:type="paragraph" w:styleId="690" w:customStyle="1">
    <w:name w:val="正文首行缩进 21"/>
    <w:basedOn w:val="691"/>
    <w:next w:val="656"/>
    <w:uiPriority w:val="0"/>
    <w:qFormat/>
    <w:pPr>
      <w:ind w:firstLine="420"/>
    </w:pPr>
  </w:style>
  <w:style w:type="paragraph" w:styleId="691" w:customStyle="1">
    <w:name w:val="正文文本缩进1"/>
    <w:basedOn w:val="656"/>
    <w:uiPriority w:val="0"/>
    <w:qFormat/>
    <w:pPr>
      <w:ind w:left="420"/>
      <w:spacing w:after="120"/>
    </w:pPr>
  </w:style>
  <w:style w:type="character" w:styleId="692" w:customStyle="1">
    <w:name w:val="标题 1 字符"/>
    <w:link w:val="657"/>
    <w:uiPriority w:val="9"/>
    <w:qFormat/>
    <w:rPr>
      <w:rFonts w:ascii="Arial" w:hAnsi="Arial" w:eastAsia="Arial" w:cs="Arial"/>
      <w:sz w:val="40"/>
      <w:szCs w:val="40"/>
    </w:rPr>
  </w:style>
  <w:style w:type="character" w:styleId="693" w:customStyle="1">
    <w:name w:val="标题 2 字符"/>
    <w:link w:val="658"/>
    <w:uiPriority w:val="9"/>
    <w:qFormat/>
    <w:rPr>
      <w:rFonts w:ascii="Arial" w:hAnsi="Arial" w:eastAsia="Arial" w:cs="Arial"/>
      <w:sz w:val="34"/>
    </w:rPr>
  </w:style>
  <w:style w:type="character" w:styleId="694" w:customStyle="1">
    <w:name w:val="标题 3 字符"/>
    <w:link w:val="659"/>
    <w:uiPriority w:val="9"/>
    <w:qFormat/>
    <w:rPr>
      <w:rFonts w:ascii="Arial" w:hAnsi="Arial" w:eastAsia="Arial" w:cs="Arial"/>
      <w:sz w:val="30"/>
      <w:szCs w:val="30"/>
    </w:rPr>
  </w:style>
  <w:style w:type="character" w:styleId="695" w:customStyle="1">
    <w:name w:val="标题 4 字符"/>
    <w:link w:val="660"/>
    <w:uiPriority w:val="9"/>
    <w:qFormat/>
    <w:rPr>
      <w:rFonts w:ascii="Arial" w:hAnsi="Arial" w:eastAsia="Arial" w:cs="Arial"/>
      <w:b/>
      <w:bCs/>
      <w:sz w:val="26"/>
      <w:szCs w:val="26"/>
    </w:rPr>
  </w:style>
  <w:style w:type="character" w:styleId="696" w:customStyle="1">
    <w:name w:val="标题 5 字符"/>
    <w:link w:val="661"/>
    <w:uiPriority w:val="9"/>
    <w:qFormat/>
    <w:rPr>
      <w:rFonts w:ascii="Arial" w:hAnsi="Arial" w:eastAsia="Arial" w:cs="Arial"/>
      <w:b/>
      <w:bCs/>
      <w:sz w:val="24"/>
      <w:szCs w:val="24"/>
    </w:rPr>
  </w:style>
  <w:style w:type="character" w:styleId="697" w:customStyle="1">
    <w:name w:val="标题 6 字符"/>
    <w:link w:val="662"/>
    <w:uiPriority w:val="9"/>
    <w:qFormat/>
    <w:rPr>
      <w:rFonts w:ascii="Arial" w:hAnsi="Arial" w:eastAsia="Arial" w:cs="Arial"/>
      <w:b/>
      <w:bCs/>
      <w:sz w:val="22"/>
      <w:szCs w:val="22"/>
    </w:rPr>
  </w:style>
  <w:style w:type="character" w:styleId="698" w:customStyle="1">
    <w:name w:val="标题 7 字符"/>
    <w:link w:val="663"/>
    <w:uiPriority w:val="9"/>
    <w:qFormat/>
    <w:rPr>
      <w:rFonts w:ascii="Arial" w:hAnsi="Arial" w:eastAsia="Arial" w:cs="Arial"/>
      <w:b/>
      <w:bCs/>
      <w:i/>
      <w:iCs/>
      <w:sz w:val="22"/>
      <w:szCs w:val="22"/>
    </w:rPr>
  </w:style>
  <w:style w:type="character" w:styleId="699" w:customStyle="1">
    <w:name w:val="标题 8 字符"/>
    <w:link w:val="664"/>
    <w:uiPriority w:val="9"/>
    <w:qFormat/>
    <w:rPr>
      <w:rFonts w:ascii="Arial" w:hAnsi="Arial" w:eastAsia="Arial" w:cs="Arial"/>
      <w:i/>
      <w:iCs/>
      <w:sz w:val="22"/>
      <w:szCs w:val="22"/>
    </w:rPr>
  </w:style>
  <w:style w:type="character" w:styleId="700" w:customStyle="1">
    <w:name w:val="标题 9 字符"/>
    <w:link w:val="665"/>
    <w:uiPriority w:val="9"/>
    <w:qFormat/>
    <w:rPr>
      <w:rFonts w:ascii="Arial" w:hAnsi="Arial" w:eastAsia="Arial" w:cs="Arial"/>
      <w:i/>
      <w:iCs/>
      <w:sz w:val="21"/>
      <w:szCs w:val="21"/>
    </w:rPr>
  </w:style>
  <w:style w:type="paragraph" w:styleId="701">
    <w:name w:val="List Paragraph"/>
    <w:basedOn w:val="656"/>
    <w:uiPriority w:val="34"/>
    <w:qFormat/>
    <w:pPr>
      <w:contextualSpacing/>
      <w:ind w:left="720"/>
    </w:pPr>
  </w:style>
  <w:style w:type="paragraph" w:styleId="702">
    <w:name w:val="No Spacing"/>
    <w:uiPriority w:val="1"/>
    <w:qFormat/>
    <w:rPr>
      <w:rFonts w:ascii="Times New Roman" w:hAnsi="Times New Roman" w:eastAsia="宋体" w:cs="Times New Roman"/>
      <w:lang w:val="en-US" w:eastAsia="zh-CN" w:bidi="ar-SA"/>
    </w:rPr>
  </w:style>
  <w:style w:type="character" w:styleId="703" w:customStyle="1">
    <w:name w:val="标题 字符"/>
    <w:link w:val="684"/>
    <w:uiPriority w:val="10"/>
    <w:qFormat/>
    <w:rPr>
      <w:sz w:val="48"/>
      <w:szCs w:val="48"/>
    </w:rPr>
  </w:style>
  <w:style w:type="character" w:styleId="704" w:customStyle="1">
    <w:name w:val="副标题 字符"/>
    <w:link w:val="678"/>
    <w:uiPriority w:val="11"/>
    <w:qFormat/>
    <w:rPr>
      <w:sz w:val="24"/>
      <w:szCs w:val="24"/>
    </w:rPr>
  </w:style>
  <w:style w:type="paragraph" w:styleId="705">
    <w:name w:val="Quote"/>
    <w:basedOn w:val="656"/>
    <w:next w:val="656"/>
    <w:link w:val="706"/>
    <w:uiPriority w:val="29"/>
    <w:qFormat/>
    <w:pPr>
      <w:ind w:left="720" w:right="720"/>
    </w:pPr>
    <w:rPr>
      <w:i/>
    </w:rPr>
  </w:style>
  <w:style w:type="character" w:styleId="706" w:customStyle="1">
    <w:name w:val="引用 字符"/>
    <w:link w:val="705"/>
    <w:uiPriority w:val="29"/>
    <w:qFormat/>
    <w:rPr>
      <w:i/>
    </w:rPr>
  </w:style>
  <w:style w:type="paragraph" w:styleId="707">
    <w:name w:val="Intense Quote"/>
    <w:basedOn w:val="656"/>
    <w:next w:val="656"/>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明显引用 字符"/>
    <w:link w:val="707"/>
    <w:uiPriority w:val="30"/>
    <w:qFormat/>
    <w:rPr>
      <w:i/>
    </w:rPr>
  </w:style>
  <w:style w:type="character" w:styleId="709" w:customStyle="1">
    <w:name w:val="页眉 字符"/>
    <w:link w:val="675"/>
    <w:uiPriority w:val="99"/>
    <w:qFormat/>
  </w:style>
  <w:style w:type="character" w:styleId="710" w:customStyle="1">
    <w:name w:val="Footer Char"/>
    <w:uiPriority w:val="99"/>
    <w:qFormat/>
  </w:style>
  <w:style w:type="character" w:styleId="711" w:customStyle="1">
    <w:name w:val="页脚 字符"/>
    <w:link w:val="674"/>
    <w:uiPriority w:val="99"/>
    <w:qFormat/>
  </w:style>
  <w:style w:type="table" w:styleId="7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脚注文本 字符"/>
    <w:link w:val="679"/>
    <w:uiPriority w:val="99"/>
    <w:qFormat/>
    <w:rPr>
      <w:sz w:val="18"/>
    </w:rPr>
  </w:style>
  <w:style w:type="character" w:styleId="838" w:customStyle="1">
    <w:name w:val="尾注文本 字符"/>
    <w:link w:val="673"/>
    <w:uiPriority w:val="99"/>
    <w:qFormat/>
    <w:rPr>
      <w:sz w:val="20"/>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paragraph" w:styleId="840" w:customStyle="1">
    <w:name w:val="标题 11"/>
    <w:basedOn w:val="841"/>
    <w:next w:val="656"/>
    <w:uiPriority w:val="0"/>
    <w:qFormat/>
    <w:pPr>
      <w:spacing w:before="340" w:after="330" w:line="576" w:lineRule="auto"/>
      <w:outlineLvl w:val="0"/>
    </w:pPr>
    <w:rPr>
      <w:b w:val="0"/>
      <w:sz w:val="44"/>
    </w:rPr>
  </w:style>
  <w:style w:type="paragraph" w:styleId="841" w:customStyle="1">
    <w:name w:val="标题 311"/>
    <w:basedOn w:val="656"/>
    <w:next w:val="656"/>
    <w:uiPriority w:val="0"/>
    <w:qFormat/>
    <w:pPr>
      <w:keepLines/>
      <w:keepNext/>
      <w:spacing w:before="260" w:after="260" w:line="413" w:lineRule="auto"/>
      <w:outlineLvl w:val="2"/>
    </w:pPr>
    <w:rPr>
      <w:b/>
      <w:sz w:val="32"/>
    </w:rPr>
  </w:style>
  <w:style w:type="paragraph" w:styleId="842" w:customStyle="1">
    <w:name w:val="标题 21"/>
    <w:basedOn w:val="656"/>
    <w:next w:val="656"/>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843" w:customStyle="1">
    <w:name w:val="默认段落字体1"/>
    <w:uiPriority w:val="1"/>
    <w:unhideWhenUsed/>
    <w:qFormat/>
  </w:style>
  <w:style w:type="table" w:styleId="844" w:customStyle="1">
    <w:name w:val="普通表格1"/>
    <w:uiPriority w:val="99"/>
    <w:unhideWhenUsed/>
    <w:qFormat/>
    <w:tblPr>
      <w:tblCellMar>
        <w:left w:w="0" w:type="dxa"/>
        <w:top w:w="0" w:type="dxa"/>
        <w:right w:w="0" w:type="dxa"/>
        <w:bottom w:w="0" w:type="dxa"/>
      </w:tblCellMar>
    </w:tblPr>
  </w:style>
  <w:style w:type="paragraph" w:styleId="845" w:customStyle="1">
    <w:name w:val="批注文字1"/>
    <w:basedOn w:val="656"/>
    <w:uiPriority w:val="0"/>
    <w:qFormat/>
    <w:pPr>
      <w:jc w:val="left"/>
    </w:pPr>
  </w:style>
  <w:style w:type="paragraph" w:styleId="846" w:customStyle="1">
    <w:name w:val="正文文本1"/>
    <w:basedOn w:val="656"/>
    <w:next w:val="656"/>
    <w:uiPriority w:val="0"/>
    <w:unhideWhenUsed/>
    <w:qFormat/>
    <w:pPr>
      <w:spacing w:after="120"/>
    </w:pPr>
    <w:rPr>
      <w:szCs w:val="22"/>
    </w:rPr>
  </w:style>
  <w:style w:type="paragraph" w:styleId="847" w:customStyle="1">
    <w:name w:val="纯文本11"/>
    <w:basedOn w:val="656"/>
    <w:uiPriority w:val="0"/>
    <w:unhideWhenUsed/>
    <w:qFormat/>
    <w:rPr>
      <w:rFonts w:ascii="宋体" w:hAnsi="Courier New" w:cs="Courier New"/>
      <w:szCs w:val="21"/>
    </w:rPr>
  </w:style>
  <w:style w:type="paragraph" w:styleId="848" w:customStyle="1">
    <w:name w:val="页脚11"/>
    <w:basedOn w:val="656"/>
    <w:link w:val="849"/>
    <w:uiPriority w:val="0"/>
    <w:qFormat/>
    <w:pPr>
      <w:jc w:val="left"/>
      <w:tabs>
        <w:tab w:val="center" w:pos="4153" w:leader="none"/>
        <w:tab w:val="right" w:pos="8306" w:leader="none"/>
      </w:tabs>
    </w:pPr>
    <w:rPr>
      <w:sz w:val="18"/>
      <w:szCs w:val="18"/>
    </w:rPr>
  </w:style>
  <w:style w:type="character" w:styleId="849" w:customStyle="1">
    <w:name w:val="页脚 Char"/>
    <w:basedOn w:val="843"/>
    <w:link w:val="848"/>
    <w:uiPriority w:val="0"/>
    <w:qFormat/>
    <w:rPr>
      <w:rFonts w:ascii="Calibri" w:hAnsi="Calibri" w:eastAsia="宋体" w:cs="Times New Roman"/>
      <w:sz w:val="18"/>
      <w:szCs w:val="18"/>
    </w:rPr>
  </w:style>
  <w:style w:type="paragraph" w:styleId="850" w:customStyle="1">
    <w:name w:val="页眉1"/>
    <w:basedOn w:val="656"/>
    <w:link w:val="851"/>
    <w:uiPriority w:val="0"/>
    <w:qFormat/>
    <w:pPr>
      <w:jc w:val="center"/>
      <w:tabs>
        <w:tab w:val="center" w:pos="4153" w:leader="none"/>
        <w:tab w:val="right" w:pos="8306" w:leader="none"/>
      </w:tabs>
      <w:pBdr>
        <w:bottom w:val="single" w:color="000000" w:sz="6" w:space="1"/>
      </w:pBdr>
    </w:pPr>
    <w:rPr>
      <w:sz w:val="18"/>
      <w:szCs w:val="18"/>
    </w:rPr>
  </w:style>
  <w:style w:type="character" w:styleId="851" w:customStyle="1">
    <w:name w:val="页眉 Char"/>
    <w:basedOn w:val="843"/>
    <w:link w:val="850"/>
    <w:uiPriority w:val="0"/>
    <w:qFormat/>
    <w:rPr>
      <w:rFonts w:ascii="Calibri" w:hAnsi="Calibri" w:eastAsia="宋体" w:cs="Times New Roman"/>
      <w:sz w:val="18"/>
      <w:szCs w:val="18"/>
    </w:rPr>
  </w:style>
  <w:style w:type="paragraph" w:styleId="852" w:customStyle="1">
    <w:name w:val="普通(网站)11"/>
    <w:basedOn w:val="656"/>
    <w:uiPriority w:val="0"/>
    <w:qFormat/>
    <w:pPr>
      <w:jc w:val="left"/>
      <w:spacing w:beforeAutospacing="1" w:afterAutospacing="1"/>
    </w:pPr>
    <w:rPr>
      <w:sz w:val="24"/>
    </w:rPr>
  </w:style>
  <w:style w:type="table" w:styleId="853" w:customStyle="1">
    <w:name w:val="网格型1"/>
    <w:basedOn w:val="844"/>
    <w:uiPriority w:val="0"/>
    <w:qFormat/>
    <w:pPr>
      <w:jc w:val="both"/>
      <w:widowControl w:val="off"/>
    </w:pPr>
    <w:tblPr/>
  </w:style>
  <w:style w:type="paragraph" w:styleId="854" w:customStyle="1">
    <w:name w:val="文本块1"/>
    <w:basedOn w:val="656"/>
    <w:uiPriority w:val="0"/>
    <w:unhideWhenUsed/>
    <w:qFormat/>
    <w:pPr>
      <w:ind w:left="1440"/>
      <w:spacing w:after="120"/>
    </w:pPr>
    <w:rPr>
      <w:rFonts w:hint="eastAsia"/>
    </w:rPr>
  </w:style>
  <w:style w:type="character" w:styleId="855" w:customStyle="1">
    <w:name w:val="font51"/>
    <w:basedOn w:val="843"/>
    <w:uiPriority w:val="0"/>
    <w:qFormat/>
    <w:rPr>
      <w:rFonts w:hint="eastAsia" w:ascii="黑体" w:hAnsi="宋体" w:eastAsia="黑体" w:cs="黑体"/>
      <w:color w:val="000000"/>
      <w:sz w:val="20"/>
      <w:szCs w:val="20"/>
      <w:u w:val="none"/>
    </w:rPr>
  </w:style>
  <w:style w:type="character" w:styleId="856" w:customStyle="1">
    <w:name w:val="font112"/>
    <w:basedOn w:val="843"/>
    <w:uiPriority w:val="0"/>
    <w:qFormat/>
    <w:rPr>
      <w:rFonts w:hint="eastAsia" w:ascii="Malgun Gothic" w:hAnsi="Malgun Gothic" w:eastAsia="Malgun Gothic" w:cs="Malgun Gothic"/>
      <w:color w:val="000000"/>
      <w:sz w:val="20"/>
      <w:szCs w:val="20"/>
      <w:u w:val="none"/>
    </w:rPr>
  </w:style>
  <w:style w:type="character" w:styleId="857" w:customStyle="1">
    <w:name w:val="font101"/>
    <w:basedOn w:val="843"/>
    <w:uiPriority w:val="0"/>
    <w:qFormat/>
    <w:rPr>
      <w:rFonts w:ascii="Malgun Gothic" w:hAnsi="Malgun Gothic" w:eastAsia="Malgun Gothic" w:cs="Malgun Gothic"/>
      <w:color w:val="000000"/>
      <w:sz w:val="20"/>
      <w:szCs w:val="20"/>
      <w:u w:val="none"/>
    </w:rPr>
  </w:style>
  <w:style w:type="character" w:styleId="858" w:customStyle="1">
    <w:name w:val="font91"/>
    <w:basedOn w:val="843"/>
    <w:uiPriority w:val="0"/>
    <w:qFormat/>
    <w:rPr>
      <w:rFonts w:ascii="Calibri" w:hAnsi="Calibri" w:cs="Calibri"/>
      <w:color w:val="000000"/>
      <w:sz w:val="20"/>
      <w:szCs w:val="20"/>
      <w:u w:val="none"/>
    </w:rPr>
  </w:style>
  <w:style w:type="paragraph" w:styleId="859" w:customStyle="1">
    <w:name w:val="Default"/>
    <w:basedOn w:val="656"/>
    <w:uiPriority w:val="0"/>
    <w:semiHidden/>
    <w:qFormat/>
    <w:pPr>
      <w:jc w:val="left"/>
    </w:pPr>
    <w:rPr>
      <w:rFonts w:ascii="宋体" w:cs="宋体"/>
      <w:color w:val="000000"/>
      <w:sz w:val="24"/>
    </w:rPr>
  </w:style>
  <w:style w:type="paragraph" w:styleId="860" w:customStyle="1">
    <w:name w:val="纯文本1"/>
    <w:basedOn w:val="656"/>
    <w:uiPriority w:val="0"/>
    <w:qFormat/>
    <w:rPr>
      <w:rFonts w:ascii="宋体" w:hAnsi="Courier New"/>
    </w:rPr>
  </w:style>
  <w:style w:type="paragraph" w:styleId="8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2" w:customStyle="1">
    <w:name w:val="普通正文"/>
    <w:basedOn w:val="656"/>
    <w:uiPriority w:val="0"/>
    <w:qFormat/>
    <w:pPr>
      <w:ind w:firstLine="480"/>
      <w:jc w:val="left"/>
      <w:spacing w:before="120" w:after="120" w:line="360" w:lineRule="auto"/>
    </w:pPr>
    <w:rPr>
      <w:rFonts w:ascii="Arial" w:hAnsi="Arial" w:eastAsia="等线" w:cs="Arial"/>
      <w:sz w:val="24"/>
    </w:rPr>
  </w:style>
  <w:style w:type="paragraph" w:styleId="863" w:customStyle="1">
    <w:name w:val="正文缩进1"/>
    <w:basedOn w:val="656"/>
    <w:uiPriority w:val="0"/>
    <w:qFormat/>
    <w:pPr>
      <w:ind w:firstLine="420"/>
    </w:pPr>
  </w:style>
  <w:style w:type="paragraph" w:styleId="864" w:customStyle="1">
    <w:name w:val="标题 31"/>
    <w:basedOn w:val="656"/>
    <w:next w:val="863"/>
    <w:uiPriority w:val="0"/>
    <w:qFormat/>
    <w:pPr>
      <w:keepLines/>
      <w:keepNext/>
      <w:spacing w:before="260" w:after="260" w:line="416" w:lineRule="auto"/>
      <w:outlineLvl w:val="2"/>
    </w:pPr>
    <w:rPr>
      <w:b/>
      <w:bCs/>
      <w:sz w:val="32"/>
      <w:szCs w:val="32"/>
    </w:rPr>
  </w:style>
  <w:style w:type="paragraph" w:styleId="865" w:customStyle="1">
    <w:name w:val="普通(网站)1"/>
    <w:basedOn w:val="656"/>
    <w:uiPriority w:val="0"/>
    <w:qFormat/>
    <w:pPr>
      <w:jc w:val="left"/>
      <w:spacing w:before="100" w:beforeAutospacing="1" w:after="100" w:afterAutospacing="1"/>
      <w:widowControl/>
    </w:pPr>
    <w:rPr>
      <w:rFonts w:ascii="宋体" w:hAnsi="宋体" w:cs="宋体"/>
      <w:sz w:val="24"/>
    </w:rPr>
  </w:style>
  <w:style w:type="paragraph" w:styleId="866" w:customStyle="1">
    <w:name w:val="页脚1"/>
    <w:basedOn w:val="656"/>
    <w:uiPriority w:val="99"/>
    <w:unhideWhenUsed/>
    <w:qFormat/>
    <w:pPr>
      <w:jc w:val="left"/>
      <w:tabs>
        <w:tab w:val="center" w:pos="4153" w:leader="none"/>
        <w:tab w:val="right" w:pos="8306" w:leader="none"/>
      </w:tabs>
    </w:pPr>
    <w:rPr>
      <w:sz w:val="18"/>
      <w:szCs w:val="18"/>
    </w:rPr>
  </w:style>
  <w:style w:type="paragraph" w:styleId="867" w:customStyle="1">
    <w:name w:val="正文（缩进）"/>
    <w:basedOn w:val="656"/>
    <w:uiPriority w:val="0"/>
    <w:qFormat/>
    <w:pPr>
      <w:ind w:firstLine="480"/>
      <w:spacing w:line="360" w:lineRule="auto"/>
    </w:pPr>
    <w:rPr>
      <w:sz w:val="24"/>
    </w:rPr>
  </w:style>
  <w:style w:type="table" w:styleId="868" w:customStyle="1">
    <w:name w:val="Table Normal"/>
    <w:uiPriority w:val="0"/>
    <w:qFormat/>
    <w:tblPr>
      <w:tblCellMar>
        <w:left w:w="0" w:type="dxa"/>
        <w:top w:w="0" w:type="dxa"/>
        <w:right w:w="0" w:type="dxa"/>
        <w:bottom w:w="0" w:type="dxa"/>
      </w:tblCellMar>
    </w:tblPr>
  </w:style>
  <w:style w:type="character" w:styleId="869" w:customStyle="1">
    <w:name w:val="font41"/>
    <w:basedOn w:val="666"/>
    <w:uiPriority w:val="0"/>
    <w:qFormat/>
    <w:rPr>
      <w:rFonts w:hint="eastAsia" w:ascii="宋体" w:hAnsi="宋体" w:eastAsia="宋体" w:cs="宋体"/>
      <w:color w:val="ff0000"/>
      <w:sz w:val="22"/>
      <w:szCs w:val="22"/>
      <w:u w:val="none"/>
    </w:rPr>
  </w:style>
  <w:style w:type="character" w:styleId="870" w:customStyle="1">
    <w:name w:val="font11"/>
    <w:basedOn w:val="666"/>
    <w:uiPriority w:val="0"/>
    <w:qFormat/>
    <w:rPr>
      <w:rFonts w:hint="eastAsia" w:ascii="宋体" w:hAnsi="宋体" w:eastAsia="宋体" w:cs="宋体"/>
      <w:color w:val="000000"/>
      <w:sz w:val="22"/>
      <w:szCs w:val="22"/>
      <w:u w:val="none"/>
    </w:rPr>
  </w:style>
  <w:style w:type="paragraph" w:styleId="871" w:customStyle="1">
    <w:name w:val="普通(网站)12"/>
    <w:basedOn w:val="656"/>
    <w:uiPriority w:val="0"/>
    <w:qFormat/>
    <w:pPr>
      <w:jc w:val="left"/>
      <w:spacing w:beforeAutospacing="1" w:afterAutospacing="1"/>
    </w:pPr>
    <w:rPr>
      <w:rFonts w:cs="Times New Roman"/>
      <w:sz w:val="24"/>
    </w:rPr>
  </w:style>
  <w:style w:type="character" w:styleId="872" w:customStyle="1">
    <w:name w:val="font21"/>
    <w:basedOn w:val="666"/>
    <w:uiPriority w:val="0"/>
    <w:qFormat/>
    <w:rPr>
      <w:rFonts w:hint="eastAsia" w:ascii="宋体" w:hAnsi="宋体" w:eastAsia="宋体" w:cs="宋体"/>
      <w:color w:val="000000"/>
      <w:sz w:val="22"/>
      <w:szCs w:val="22"/>
      <w:u w:val="none"/>
    </w:rPr>
  </w:style>
  <w:style w:type="character" w:styleId="873" w:customStyle="1">
    <w:name w:val="font31"/>
    <w:basedOn w:val="666"/>
    <w:uiPriority w:val="0"/>
    <w:qFormat/>
    <w:rPr>
      <w:rFonts w:hint="default" w:ascii="Calibri" w:hAnsi="Calibri" w:cs="Calibri"/>
      <w:color w:val="000000"/>
      <w:sz w:val="21"/>
      <w:szCs w:val="21"/>
      <w:u w:val="none"/>
    </w:rPr>
  </w:style>
  <w:style w:type="character" w:styleId="874" w:customStyle="1">
    <w:name w:val="font61"/>
    <w:basedOn w:val="666"/>
    <w:uiPriority w:val="0"/>
    <w:qFormat/>
    <w:rPr>
      <w:rFonts w:hint="eastAsia" w:ascii="宋体" w:hAnsi="宋体" w:eastAsia="宋体" w:cs="宋体"/>
      <w:color w:val="ff0000"/>
      <w:sz w:val="22"/>
      <w:szCs w:val="22"/>
      <w:u w:val="none"/>
    </w:rPr>
  </w:style>
  <w:style w:type="numbering" w:styleId="217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18</cp:revision>
  <dcterms:created xsi:type="dcterms:W3CDTF">2014-10-29T12:08:00Z</dcterms:created>
  <dcterms:modified xsi:type="dcterms:W3CDTF">2026-06-24T08:22:24Z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2052-12.1.0.26895</vt:lpwstr>
  </property>
  <property fmtid="{D5CDD505-2E9C-101B-9397-08002B2CF9AE}" pid="4" name="ICV">
    <vt:lpwstr>F5DF221569DE455F8636B31232235973_13</vt:lpwstr>
  </property>
</Properties>
</file>