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63"/>
        <w:ind w:firstLine="300"/>
        <w:spacing w:line="360" w:lineRule="auto"/>
        <w:rPr>
          <w:sz w:val="60"/>
          <w:szCs w:val="60"/>
          <w:highlight w:val="none"/>
        </w:rPr>
      </w:pPr>
      <w:r>
        <w:rPr>
          <w:sz w:val="60"/>
          <w:szCs w:val="60"/>
          <w:highlight w:val="none"/>
        </w:rPr>
      </w:r>
      <w:r/>
    </w:p>
    <w:p>
      <w:pPr>
        <w:pStyle w:val="963"/>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963"/>
        <w:jc w:val="center"/>
        <w:rPr>
          <w:b/>
          <w:bCs/>
          <w:sz w:val="60"/>
          <w:szCs w:val="60"/>
          <w:highlight w:val="none"/>
        </w:rPr>
      </w:pPr>
      <w:r>
        <w:rPr>
          <w:b/>
          <w:bCs/>
          <w:sz w:val="60"/>
          <w:szCs w:val="60"/>
          <w:highlight w:val="none"/>
        </w:rPr>
        <w:t xml:space="preserve">询价</w:t>
      </w:r>
      <w:r>
        <w:rPr>
          <w:rFonts w:hint="eastAsia"/>
          <w:b/>
          <w:bCs/>
          <w:sz w:val="60"/>
          <w:szCs w:val="60"/>
          <w:highlight w:val="none"/>
        </w:rPr>
        <w:t xml:space="preserve">采购</w:t>
      </w: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rPr>
          <w:b/>
          <w:bCs/>
          <w:sz w:val="60"/>
          <w:szCs w:val="60"/>
          <w:highlight w:val="none"/>
        </w:rPr>
      </w:pPr>
      <w:r>
        <w:rPr>
          <w:b/>
          <w:bCs/>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jc w:val="center"/>
        <w:spacing w:line="360" w:lineRule="auto"/>
        <w:rPr>
          <w:sz w:val="60"/>
          <w:szCs w:val="60"/>
          <w:highlight w:val="none"/>
        </w:rPr>
      </w:pPr>
      <w:r>
        <w:rPr>
          <w:sz w:val="60"/>
          <w:szCs w:val="60"/>
          <w:highlight w:val="none"/>
        </w:rPr>
      </w:r>
      <w:r/>
    </w:p>
    <w:p>
      <w:pPr>
        <w:pStyle w:val="963"/>
        <w:ind w:left="2621" w:hanging="1689"/>
        <w:jc w:val="left"/>
        <w:spacing w:line="360" w:lineRule="auto"/>
        <w:tabs>
          <w:tab w:val="left" w:pos="3240" w:leader="none"/>
          <w:tab w:val="left" w:pos="3420" w:leader="none"/>
        </w:tabs>
        <w:rPr>
          <w:bCs/>
          <w:sz w:val="32"/>
          <w:szCs w:val="32"/>
          <w:highlight w:val="none"/>
          <w:lang w:val="en-US"/>
        </w:rPr>
      </w:pPr>
      <w:r>
        <w:rPr>
          <w:bCs/>
          <w:sz w:val="32"/>
          <w:szCs w:val="32"/>
          <w:highlight w:val="none"/>
        </w:rPr>
        <w:t xml:space="preserve">项目名称：</w:t>
      </w:r>
      <w:r>
        <w:rPr>
          <w:rFonts w:hint="eastAsia"/>
          <w:bCs/>
          <w:sz w:val="32"/>
          <w:szCs w:val="32"/>
          <w:highlight w:val="none"/>
          <w:lang w:eastAsia="zh-CN"/>
        </w:rPr>
        <w:t xml:space="preserve">2026年市级粮食作物重大病虫害防控物资采购</w:t>
      </w:r>
      <w:r>
        <w:rPr>
          <w:bCs/>
          <w:sz w:val="32"/>
          <w:szCs w:val="32"/>
          <w:highlight w:val="none"/>
          <w:lang w:val="en-US"/>
        </w:rPr>
      </w:r>
      <w:r/>
    </w:p>
    <w:p>
      <w:pPr>
        <w:pStyle w:val="963"/>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项目编号/包号：JSZC-320481-DCHR-X2026-0016</w:t>
      </w:r>
      <w:r>
        <w:rPr>
          <w:rFonts w:hint="eastAsia" w:eastAsia="宋体"/>
          <w:bCs/>
          <w:sz w:val="32"/>
          <w:szCs w:val="32"/>
          <w:highlight w:val="none"/>
          <w:lang w:eastAsia="zh-CN"/>
        </w:rPr>
      </w:r>
      <w:r/>
    </w:p>
    <w:p>
      <w:pPr>
        <w:pStyle w:val="963"/>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溧阳市农业农村局</w:t>
      </w:r>
      <w:r>
        <w:rPr>
          <w:bCs/>
          <w:sz w:val="32"/>
          <w:szCs w:val="32"/>
          <w:highlight w:val="none"/>
        </w:rPr>
      </w:r>
      <w:r/>
    </w:p>
    <w:p>
      <w:pPr>
        <w:pStyle w:val="963"/>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2"/>
          <w:szCs w:val="32"/>
          <w:highlight w:val="none"/>
        </w:rPr>
        <w:t xml:space="preserve"> </w:t>
      </w:r>
      <w:r>
        <w:rPr>
          <w:bCs/>
          <w:sz w:val="32"/>
          <w:szCs w:val="32"/>
          <w:highlight w:val="none"/>
        </w:rPr>
      </w:r>
      <w:r/>
    </w:p>
    <w:p>
      <w:pPr>
        <w:pStyle w:val="963"/>
        <w:jc w:val="center"/>
        <w:spacing w:line="360" w:lineRule="auto"/>
        <w:rPr>
          <w:b/>
          <w:sz w:val="36"/>
          <w:szCs w:val="36"/>
          <w:highlight w:val="none"/>
        </w:rPr>
        <w:outlineLvl w:val="0"/>
      </w:pPr>
      <w:r>
        <w:rPr>
          <w:b/>
          <w:bCs/>
          <w:sz w:val="44"/>
          <w:highlight w:val="none"/>
        </w:rPr>
        <w:br w:type="page" w:clear="all"/>
      </w:r>
      <w:bookmarkStart w:id="0" w:name="_Toc9930134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963"/>
        <w:rPr>
          <w:highlight w:val="none"/>
        </w:rPr>
      </w:pPr>
      <w:r>
        <w:rPr>
          <w:highlight w:val="none"/>
        </w:rPr>
      </w:r>
      <w:r/>
    </w:p>
    <w:p>
      <w:pPr>
        <w:pStyle w:val="963"/>
        <w:rPr>
          <w:highlight w:val="none"/>
        </w:rPr>
      </w:pPr>
      <w:r>
        <w:rPr>
          <w:highlight w:val="none"/>
        </w:rPr>
      </w:r>
      <w:r/>
    </w:p>
    <w:p>
      <w:pPr>
        <w:pStyle w:val="963"/>
        <w:rPr>
          <w:highlight w:val="none"/>
        </w:rPr>
      </w:pPr>
      <w:r>
        <w:rPr>
          <w:highlight w:val="none"/>
        </w:rPr>
      </w:r>
      <w:r/>
    </w:p>
    <w:p>
      <w:pPr>
        <w:pStyle w:val="1015"/>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"_Toc99301345" </w:instrText>
      </w:r>
      <w:r>
        <w:rPr>
          <w:highlight w:val="none"/>
        </w:rPr>
        <w:fldChar w:fldCharType="separate"/>
      </w:r>
      <w:r>
        <w:rPr>
          <w:rStyle w:val="1038"/>
          <w:rFonts w:ascii="Times New Roman" w:hAnsi="Times New Roman"/>
          <w:highlight w:val="none"/>
        </w:rPr>
        <w:t xml:space="preserve">第一章   </w:t>
      </w:r>
      <w:r>
        <w:rPr>
          <w:rStyle w:val="1038"/>
          <w:rFonts w:hint="eastAsia" w:ascii="Times New Roman" w:hAnsi="Times New Roman"/>
          <w:highlight w:val="none"/>
        </w:rPr>
        <w:t xml:space="preserve">询价公告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_Toc99301345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"_Toc99301346" </w:instrText>
      </w:r>
      <w:r>
        <w:rPr>
          <w:highlight w:val="none"/>
        </w:rPr>
        <w:fldChar w:fldCharType="separate"/>
      </w:r>
      <w:r>
        <w:rPr>
          <w:rStyle w:val="1038"/>
          <w:rFonts w:ascii="Times New Roman" w:hAnsi="Times New Roman"/>
          <w:highlight w:val="none"/>
        </w:rPr>
        <w:t xml:space="preserve">第二章   供应商须知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_Toc99301346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"_Toc99301347" </w:instrText>
      </w:r>
      <w:r>
        <w:rPr>
          <w:highlight w:val="none"/>
        </w:rPr>
        <w:fldChar w:fldCharType="separate"/>
      </w:r>
      <w:r>
        <w:rPr>
          <w:rStyle w:val="1038"/>
          <w:rFonts w:ascii="Times New Roman" w:hAnsi="Times New Roman"/>
          <w:highlight w:val="none"/>
        </w:rPr>
        <w:t xml:space="preserve">第三章   评审程序和评定成交的标准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_Toc99301347 \h </w:instrText>
      </w:r>
      <w:r>
        <w:rPr>
          <w:rFonts w:ascii="Times New Roman" w:hAnsi="Times New Roman"/>
          <w:highlight w:val="none"/>
        </w:rPr>
        <w:fldChar w:fldCharType="separate"/>
      </w:r>
      <w:r>
        <w:rPr>
          <w:rFonts w:ascii="Times New Roman" w:hAnsi="Times New Roman"/>
          <w:highlight w:val="none"/>
        </w:rPr>
        <w:t xml:space="preserve">21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"_Toc99301348" </w:instrText>
      </w:r>
      <w:r>
        <w:rPr>
          <w:highlight w:val="none"/>
        </w:rPr>
        <w:fldChar w:fldCharType="separate"/>
      </w:r>
      <w:r>
        <w:rPr>
          <w:rStyle w:val="1038"/>
          <w:rFonts w:ascii="Times New Roman" w:hAnsi="Times New Roman"/>
          <w:highlight w:val="none"/>
        </w:rPr>
        <w:t xml:space="preserve">第四章   采购需求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_Toc99301348 \h </w:instrText>
      </w:r>
      <w:r>
        <w:rPr>
          <w:rFonts w:ascii="Times New Roman" w:hAnsi="Times New Roman"/>
          <w:highlight w:val="none"/>
        </w:rPr>
        <w:fldChar w:fldCharType="separate"/>
      </w:r>
      <w:r>
        <w:rPr>
          <w:rFonts w:ascii="Times New Roman" w:hAnsi="Times New Roman"/>
          <w:highlight w:val="none"/>
        </w:rPr>
        <w:t xml:space="preserve">28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"_Toc99301349" </w:instrText>
      </w:r>
      <w:r>
        <w:rPr>
          <w:highlight w:val="none"/>
        </w:rPr>
        <w:fldChar w:fldCharType="separate"/>
      </w:r>
      <w:r>
        <w:rPr>
          <w:rStyle w:val="1038"/>
          <w:rFonts w:ascii="Times New Roman" w:hAnsi="Times New Roman"/>
          <w:highlight w:val="none"/>
        </w:rPr>
        <w:t xml:space="preserve">第五章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_Toc99301349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"_Toc99301350" </w:instrText>
      </w:r>
      <w:r>
        <w:rPr>
          <w:highlight w:val="none"/>
        </w:rPr>
        <w:fldChar w:fldCharType="separate"/>
      </w:r>
      <w:r>
        <w:rPr>
          <w:rStyle w:val="1038"/>
          <w:rFonts w:ascii="Times New Roman" w:hAnsi="Times New Roman"/>
          <w:highlight w:val="none"/>
        </w:rPr>
        <w:t xml:space="preserve">第六章   响应文件</w:t>
      </w:r>
      <w:bookmarkStart w:id="1" w:name="_Hlt101167111"/>
      <w:r/>
      <w:bookmarkStart w:id="2" w:name="_Hlt101167112"/>
      <w:r>
        <w:rPr>
          <w:rStyle w:val="1038"/>
          <w:rFonts w:ascii="Times New Roman" w:hAnsi="Times New Roman"/>
          <w:highlight w:val="none"/>
        </w:rPr>
        <w:t xml:space="preserve">格</w:t>
      </w:r>
      <w:bookmarkEnd w:id="1"/>
      <w:r/>
      <w:bookmarkEnd w:id="2"/>
      <w:r>
        <w:rPr>
          <w:rStyle w:val="1038"/>
          <w:rFonts w:ascii="Times New Roman" w:hAnsi="Times New Roman"/>
          <w:highlight w:val="none"/>
        </w:rPr>
        <w:t xml:space="preserve">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_Toc99301350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1015"/>
        <w:spacing w:line="48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center"/>
        <w:spacing w:line="360" w:lineRule="auto"/>
        <w:rPr>
          <w:rFonts w:hint="eastAsia"/>
          <w:b/>
          <w:sz w:val="36"/>
          <w:szCs w:val="36"/>
          <w:highlight w:val="none"/>
        </w:rPr>
        <w:outlineLvl w:val="0"/>
      </w:pPr>
      <w:r/>
      <w:bookmarkStart w:id="3" w:name="_Toc99301345"/>
      <w:r>
        <w:rPr>
          <w:b/>
          <w:sz w:val="36"/>
          <w:szCs w:val="36"/>
          <w:highlight w:val="none"/>
        </w:rPr>
        <w:t xml:space="preserve">第一章   </w:t>
      </w:r>
      <w:bookmarkEnd w:id="3"/>
      <w:r>
        <w:rPr>
          <w:rFonts w:hint="eastAsia"/>
          <w:b/>
          <w:sz w:val="36"/>
          <w:szCs w:val="36"/>
          <w:highlight w:val="none"/>
        </w:rPr>
        <w:t xml:space="preserve">询价公告</w:t>
      </w:r>
      <w:r>
        <w:rPr>
          <w:rFonts w:hint="eastAsia"/>
          <w:b/>
          <w:sz w:val="36"/>
          <w:szCs w:val="36"/>
          <w:highlight w:val="none"/>
        </w:rPr>
      </w:r>
      <w:r/>
    </w:p>
    <w:p>
      <w:pPr>
        <w:pStyle w:val="963"/>
        <w:jc w:val="center"/>
        <w:spacing w:line="500" w:lineRule="exact"/>
        <w:rPr>
          <w:rFonts w:hint="eastAsia" w:ascii="宋体" w:hAnsi="宋体" w:eastAsia="宋体" w:cs="宋体"/>
          <w:bCs/>
          <w:sz w:val="36"/>
          <w:szCs w:val="36"/>
          <w:highlight w:val="none"/>
          <w:lang w:eastAsia="zh-CN"/>
        </w:rPr>
      </w:pPr>
      <w:r>
        <w:rPr>
          <w:rFonts w:hint="eastAsia" w:ascii="宋体" w:hAnsi="宋体" w:cs="宋体"/>
          <w:bCs/>
          <w:sz w:val="36"/>
          <w:szCs w:val="36"/>
          <w:highlight w:val="none"/>
          <w:lang w:eastAsia="zh-CN"/>
        </w:rPr>
        <w:t xml:space="preserve">2026年市级粮食作物重大病虫害防控物资采购</w:t>
      </w:r>
      <w:r>
        <w:rPr>
          <w:rFonts w:hint="eastAsia" w:ascii="宋体" w:hAnsi="宋体" w:eastAsia="宋体" w:cs="宋体"/>
          <w:bCs/>
          <w:sz w:val="36"/>
          <w:szCs w:val="36"/>
          <w:highlight w:val="none"/>
          <w:lang w:eastAsia="zh-CN"/>
        </w:rPr>
      </w:r>
      <w:r/>
    </w:p>
    <w:p>
      <w:pPr>
        <w:pStyle w:val="963"/>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询价公告</w:t>
      </w:r>
      <w:r>
        <w:rPr>
          <w:rFonts w:hint="eastAsia" w:ascii="宋体" w:hAnsi="宋体" w:cs="宋体"/>
          <w:bCs/>
          <w:sz w:val="36"/>
          <w:szCs w:val="36"/>
          <w:highlight w:val="none"/>
        </w:rPr>
      </w:r>
      <w:r/>
    </w:p>
    <w:p>
      <w:pPr>
        <w:pStyle w:val="963"/>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63"/>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2026年市级粮食作物重大病虫害防控物资采购</w:t>
      </w:r>
      <w:r>
        <w:rPr>
          <w:rFonts w:hint="eastAsia" w:ascii="宋体" w:hAnsi="宋体"/>
          <w:sz w:val="24"/>
          <w:highlight w:val="none"/>
        </w:rPr>
        <w:t xml:space="preserve">项目的潜在供应商应在</w:t>
      </w:r>
      <w:r>
        <w:rPr>
          <w:rFonts w:hint="eastAsia" w:ascii="宋体" w:hAnsi="宋体"/>
          <w:sz w:val="24"/>
          <w:highlight w:val="none"/>
          <w:u w:val="single"/>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7</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3</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9</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65"/>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r>
        <w:rPr>
          <w:rFonts w:ascii="Times New Roman" w:hAnsi="Times New Roman" w:eastAsia="宋体"/>
          <w:sz w:val="24"/>
          <w:szCs w:val="24"/>
          <w:highlight w:val="none"/>
        </w:rPr>
      </w:r>
      <w:r/>
    </w:p>
    <w:p>
      <w:pPr>
        <w:pStyle w:val="963"/>
        <w:ind w:firstLine="480"/>
        <w:spacing w:line="360" w:lineRule="auto"/>
        <w:rPr>
          <w:sz w:val="24"/>
          <w:highlight w:val="none"/>
        </w:rPr>
      </w:pPr>
      <w:r>
        <w:rPr>
          <w:sz w:val="24"/>
          <w:highlight w:val="none"/>
        </w:rPr>
        <w:t xml:space="preserve">1.项目编号/包号：JSZC-320481-DCHR-X2026-0016</w:t>
      </w:r>
      <w:r>
        <w:rPr>
          <w:sz w:val="24"/>
          <w:highlight w:val="none"/>
        </w:rPr>
      </w:r>
      <w:r/>
    </w:p>
    <w:p>
      <w:pPr>
        <w:pStyle w:val="963"/>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lang w:eastAsia="zh-CN"/>
        </w:rPr>
        <w:t xml:space="preserve">2026年市级粮食作物重大病虫害防控物资采购</w:t>
      </w:r>
      <w:r>
        <w:rPr>
          <w:rFonts w:hint="eastAsia" w:eastAsia="宋体"/>
          <w:sz w:val="24"/>
          <w:highlight w:val="none"/>
          <w:lang w:eastAsia="zh-CN"/>
        </w:rPr>
      </w:r>
      <w:r/>
    </w:p>
    <w:p>
      <w:pPr>
        <w:pStyle w:val="963"/>
        <w:ind w:firstLine="480"/>
        <w:spacing w:line="360" w:lineRule="auto"/>
        <w:rPr>
          <w:rFonts w:hint="eastAsia"/>
          <w:sz w:val="24"/>
          <w:highlight w:val="none"/>
        </w:rPr>
      </w:pPr>
      <w:r>
        <w:rPr>
          <w:sz w:val="24"/>
          <w:highlight w:val="none"/>
        </w:rPr>
        <w:t xml:space="preserve">3.采购方式：</w:t>
      </w:r>
      <w:r>
        <w:rPr>
          <w:rFonts w:hint="eastAsia"/>
          <w:sz w:val="24"/>
          <w:highlight w:val="none"/>
        </w:rPr>
        <w:t xml:space="preserve">询价</w:t>
      </w:r>
      <w:r>
        <w:rPr>
          <w:rFonts w:hint="eastAsia"/>
          <w:sz w:val="24"/>
          <w:highlight w:val="none"/>
        </w:rPr>
      </w:r>
      <w:r/>
    </w:p>
    <w:p>
      <w:pPr>
        <w:pStyle w:val="963"/>
        <w:ind w:firstLine="480"/>
        <w:spacing w:line="360" w:lineRule="auto"/>
        <w:rPr>
          <w:sz w:val="24"/>
          <w:highlight w:val="none"/>
        </w:rPr>
      </w:pPr>
      <w:r>
        <w:rPr>
          <w:sz w:val="24"/>
          <w:highlight w:val="none"/>
        </w:rPr>
        <w:t xml:space="preserve">4.项目预算金额：</w:t>
      </w:r>
      <w:r>
        <w:rPr>
          <w:rFonts w:hint="eastAsia"/>
          <w:sz w:val="24"/>
          <w:highlight w:val="none"/>
          <w:lang w:val="en-US" w:eastAsia="zh-CN"/>
        </w:rPr>
        <w:t xml:space="preserve">175.12万元（其中一标段：87.56万元；二标段：</w:t>
      </w:r>
      <w:r>
        <w:rPr>
          <w:rFonts w:hint="eastAsia" w:ascii="Times New Roman" w:eastAsia="宋体"/>
          <w:sz w:val="24"/>
          <w:highlight w:val="none"/>
          <w:lang w:val="en-US" w:eastAsia="zh-CN"/>
        </w:rPr>
        <w:t xml:space="preserve">87.56</w:t>
      </w:r>
      <w:r>
        <w:rPr>
          <w:rFonts w:hint="eastAsia"/>
          <w:sz w:val="24"/>
          <w:highlight w:val="none"/>
          <w:lang w:val="en-US" w:eastAsia="zh-CN"/>
        </w:rPr>
        <w:t xml:space="preserve">万元）</w:t>
      </w:r>
      <w:r>
        <w:rPr>
          <w:sz w:val="24"/>
          <w:highlight w:val="none"/>
        </w:rPr>
      </w:r>
      <w:r/>
    </w:p>
    <w:p>
      <w:pPr>
        <w:pStyle w:val="963"/>
        <w:ind w:firstLine="480"/>
        <w:spacing w:line="360" w:lineRule="auto"/>
        <w:rPr>
          <w:rFonts w:hint="eastAsia" w:eastAsia="宋体"/>
          <w:sz w:val="24"/>
          <w:highlight w:val="none"/>
          <w:lang w:eastAsia="zh-CN"/>
        </w:rPr>
      </w:pPr>
      <w:r>
        <w:rPr>
          <w:rFonts w:hint="eastAsia"/>
          <w:sz w:val="24"/>
          <w:highlight w:val="none"/>
        </w:rPr>
        <w:t xml:space="preserve">5</w:t>
      </w:r>
      <w:r>
        <w:rPr>
          <w:sz w:val="24"/>
          <w:highlight w:val="none"/>
        </w:rPr>
        <w:t xml:space="preserve">.</w:t>
      </w:r>
      <w:r>
        <w:rPr>
          <w:rFonts w:hint="eastAsia"/>
          <w:sz w:val="24"/>
          <w:highlight w:val="none"/>
          <w:lang w:eastAsia="zh-CN"/>
        </w:rPr>
        <w:t xml:space="preserve">项目</w:t>
      </w:r>
      <w:r>
        <w:rPr>
          <w:rFonts w:hint="eastAsia"/>
          <w:sz w:val="24"/>
          <w:highlight w:val="none"/>
          <w:lang w:val="en-US" w:eastAsia="zh-CN"/>
        </w:rPr>
        <w:t xml:space="preserve">控制单价：一标段：控制单价为45元/瓶；二标段：控制单价为25元/瓶。</w:t>
      </w:r>
      <w:r>
        <w:rPr>
          <w:rFonts w:hint="eastAsia" w:eastAsia="宋体"/>
          <w:sz w:val="24"/>
          <w:highlight w:val="none"/>
          <w:lang w:eastAsia="zh-CN"/>
        </w:rPr>
      </w:r>
      <w:r/>
    </w:p>
    <w:p>
      <w:pPr>
        <w:pStyle w:val="963"/>
        <w:ind w:firstLine="480"/>
        <w:spacing w:line="360" w:lineRule="auto"/>
        <w:rPr>
          <w:sz w:val="24"/>
          <w:highlight w:val="none"/>
        </w:rPr>
      </w:pPr>
      <w:r>
        <w:rPr>
          <w:rFonts w:hint="eastAsia"/>
          <w:sz w:val="24"/>
          <w:highlight w:val="none"/>
        </w:rPr>
        <w:t xml:space="preserve">6</w:t>
      </w:r>
      <w:r>
        <w:rPr>
          <w:sz w:val="24"/>
          <w:highlight w:val="none"/>
        </w:rPr>
        <w:t xml:space="preserve">.采购需求：</w:t>
      </w:r>
      <w:r>
        <w:rPr>
          <w:sz w:val="24"/>
          <w:highlight w:val="none"/>
        </w:rPr>
      </w:r>
      <w:r/>
    </w:p>
    <w:p>
      <w:pPr>
        <w:pStyle w:val="963"/>
        <w:ind w:firstLine="480"/>
        <w:spacing w:line="360" w:lineRule="auto"/>
        <w:rPr>
          <w:rFonts w:hint="eastAsia"/>
          <w:sz w:val="24"/>
          <w:highlight w:val="none"/>
          <w:u w:val="none"/>
        </w:rPr>
      </w:pPr>
      <w:r>
        <w:rPr>
          <w:rFonts w:hint="eastAsia" w:eastAsia="宋体"/>
          <w:sz w:val="24"/>
          <w:highlight w:val="none"/>
          <w:u w:val="none"/>
          <w:lang w:eastAsia="zh-CN"/>
        </w:rPr>
        <w:t xml:space="preserve">（</w:t>
      </w:r>
      <w:r>
        <w:rPr>
          <w:rFonts w:hint="eastAsia" w:eastAsia="宋体"/>
          <w:sz w:val="24"/>
          <w:highlight w:val="none"/>
          <w:u w:val="none"/>
          <w:lang w:val="en-US" w:eastAsia="zh-CN"/>
        </w:rPr>
        <w:t xml:space="preserve">1</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b/>
          <w:sz w:val="24"/>
          <w:szCs w:val="24"/>
          <w:highlight w:val="none"/>
        </w:rPr>
        <w:t xml:space="preserve">本项目分为</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个标段，投标人可同时参与</w:t>
      </w:r>
      <w:r>
        <w:rPr>
          <w:rFonts w:hint="eastAsia" w:ascii="宋体" w:hAnsi="宋体"/>
          <w:b/>
          <w:sz w:val="24"/>
          <w:szCs w:val="24"/>
          <w:highlight w:val="none"/>
          <w:lang w:val="en-US" w:eastAsia="zh-CN"/>
        </w:rPr>
        <w:t xml:space="preserve">2</w:t>
      </w:r>
      <w:r>
        <w:rPr>
          <w:rFonts w:hint="eastAsia" w:ascii="宋体" w:hAnsi="宋体"/>
          <w:b/>
          <w:sz w:val="24"/>
          <w:szCs w:val="24"/>
          <w:highlight w:val="none"/>
        </w:rPr>
        <w:t xml:space="preserve">个标段的投标，但只能中</w:t>
      </w: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个标段。中标顺序为评标顺序，评标顺序为标段顺序，已经中标的单位仍然参与后续标段的评分，但不得再次中标。</w:t>
      </w:r>
      <w:r>
        <w:rPr>
          <w:rFonts w:hint="eastAsia" w:ascii="Times New Roman" w:hAnsi="Times New Roman" w:eastAsia="宋体" w:cs="Times New Roman"/>
          <w:sz w:val="24"/>
          <w:highlight w:val="none"/>
          <w:u w:val="none"/>
          <w:lang w:val="en-US" w:eastAsia="zh-CN"/>
        </w:rPr>
        <w:t xml:space="preserve">具体</w:t>
      </w:r>
      <w:r>
        <w:rPr>
          <w:rFonts w:hint="eastAsia" w:ascii="Times New Roman" w:hAnsi="Times New Roman" w:eastAsia="宋体" w:cs="Times New Roman"/>
          <w:sz w:val="24"/>
          <w:highlight w:val="none"/>
          <w:u w:val="none"/>
        </w:rPr>
        <w:t xml:space="preserve">详见第四章《采</w:t>
      </w:r>
      <w:r>
        <w:rPr>
          <w:rFonts w:hint="eastAsia"/>
          <w:sz w:val="24"/>
          <w:highlight w:val="none"/>
          <w:u w:val="none"/>
        </w:rPr>
        <w:t xml:space="preserve">购需求》。</w:t>
      </w:r>
      <w:r>
        <w:rPr>
          <w:rFonts w:hint="eastAsia"/>
          <w:sz w:val="24"/>
          <w:highlight w:val="none"/>
          <w:u w:val="none"/>
        </w:rPr>
      </w:r>
      <w:r/>
    </w:p>
    <w:p>
      <w:pPr>
        <w:pStyle w:val="963"/>
        <w:ind w:firstLine="480"/>
        <w:spacing w:line="360" w:lineRule="auto"/>
        <w:rPr>
          <w:rFonts w:hint="eastAsia" w:eastAsia="宋体"/>
          <w:sz w:val="24"/>
          <w:highlight w:val="none"/>
          <w:lang w:eastAsia="zh-CN"/>
        </w:rPr>
      </w:pPr>
      <w:r>
        <w:rPr>
          <w:rFonts w:hint="eastAsia"/>
          <w:sz w:val="24"/>
          <w:highlight w:val="none"/>
          <w:u w:val="none"/>
          <w:lang w:eastAsia="zh-CN"/>
        </w:rPr>
        <w:t xml:space="preserve">（</w:t>
      </w:r>
      <w:r>
        <w:rPr>
          <w:rFonts w:hint="eastAsia"/>
          <w:sz w:val="24"/>
          <w:highlight w:val="none"/>
          <w:u w:val="none"/>
          <w:lang w:val="en-US" w:eastAsia="zh-CN"/>
        </w:rPr>
        <w:t xml:space="preserve">2</w:t>
      </w:r>
      <w:r>
        <w:rPr>
          <w:rFonts w:hint="eastAsia"/>
          <w:sz w:val="24"/>
          <w:highlight w:val="none"/>
          <w:u w:val="none"/>
          <w:lang w:eastAsia="zh-CN"/>
        </w:rPr>
        <w:t xml:space="preserve">）</w:t>
      </w:r>
      <w:r>
        <w:rPr>
          <w:rFonts w:hint="eastAsia"/>
          <w:sz w:val="24"/>
          <w:highlight w:val="none"/>
        </w:rPr>
        <w:t xml:space="preserve">采购标的</w:t>
      </w:r>
      <w:r>
        <w:rPr>
          <w:rFonts w:hint="eastAsia"/>
          <w:sz w:val="24"/>
          <w:highlight w:val="none"/>
          <w:lang w:eastAsia="zh-CN"/>
        </w:rPr>
        <w:t xml:space="preserve">：</w:t>
      </w:r>
      <w:r>
        <w:rPr>
          <w:rFonts w:hint="eastAsia" w:eastAsia="宋体"/>
          <w:sz w:val="24"/>
          <w:highlight w:val="none"/>
          <w:lang w:eastAsia="zh-CN"/>
        </w:rPr>
      </w:r>
      <w:r/>
    </w:p>
    <w:tbl>
      <w:tblPr>
        <w:tblW w:w="8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3075"/>
        <w:gridCol w:w="1619"/>
        <w:gridCol w:w="887"/>
        <w:gridCol w:w="1932"/>
      </w:tblGrid>
      <w:tr>
        <w:trPr>
          <w:trHeight w:val="71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标段号</w:t>
            </w:r>
            <w:r>
              <w:rPr>
                <w:rFonts w:hint="eastAsia" w:ascii="宋体" w:hAnsi="宋体" w:eastAsia="宋体" w:cs="宋体"/>
                <w:b/>
                <w:bCs w:val="0"/>
                <w:color w:val="000000"/>
                <w:sz w:val="24"/>
                <w:szCs w:val="24"/>
                <w:highlight w:val="none"/>
                <w:lang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61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6"/>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619"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698"/>
        </w:trPr>
        <w:tc>
          <w:tcPr>
            <w:tcW w:w="104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07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619"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932"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300"/>
        <w:spacing w:line="360" w:lineRule="auto"/>
        <w:rPr>
          <w:rFonts w:hint="eastAsia" w:ascii="Times New Roman" w:hAnsi="Times New Roman" w:eastAsia="宋体" w:cs="Times New Roman"/>
          <w:sz w:val="15"/>
          <w:szCs w:val="15"/>
          <w:highlight w:val="none"/>
        </w:rPr>
      </w:pPr>
      <w:r>
        <w:rPr>
          <w:rFonts w:hint="eastAsia" w:ascii="Times New Roman" w:hAnsi="Times New Roman" w:eastAsia="宋体" w:cs="Times New Roman"/>
          <w:sz w:val="15"/>
          <w:szCs w:val="15"/>
          <w:highlight w:val="none"/>
        </w:rPr>
      </w:r>
      <w:r/>
    </w:p>
    <w:p>
      <w:pPr>
        <w:pStyle w:val="963"/>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7.合同履行期限：</w:t>
      </w:r>
      <w:r>
        <w:rPr>
          <w:rFonts w:hint="eastAsia" w:ascii="Times New Roman" w:hAnsi="Times New Roman" w:eastAsia="宋体" w:cs="Times New Roman"/>
          <w:sz w:val="24"/>
          <w:highlight w:val="none"/>
          <w:lang w:eastAsia="zh-CN"/>
        </w:rPr>
        <w:t xml:space="preserve">采购人通知供货后，供应商在5日内完成供货。</w:t>
      </w:r>
      <w:r>
        <w:rPr>
          <w:rFonts w:hint="eastAsia" w:ascii="Times New Roman" w:hAnsi="Times New Roman" w:eastAsia="宋体" w:cs="Times New Roman"/>
          <w:sz w:val="24"/>
          <w:highlight w:val="none"/>
          <w:lang w:eastAsia="zh-CN"/>
        </w:rPr>
      </w:r>
      <w:r/>
    </w:p>
    <w:p>
      <w:pPr>
        <w:pStyle w:val="963"/>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bookmarkStart w:id="4" w:name="_Toc28359003"/>
      <w:r/>
      <w:bookmarkStart w:id="5" w:name="_Toc35393791"/>
      <w:r/>
      <w:bookmarkStart w:id="6" w:name="_Toc28359080"/>
      <w:r/>
      <w:bookmarkStart w:id="7" w:name="_Toc35393622"/>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二、申请人的资格要求（须同时满足）</w:t>
      </w:r>
      <w:bookmarkEnd w:id="4"/>
      <w:r/>
      <w:bookmarkEnd w:id="5"/>
      <w:r/>
      <w:bookmarkEnd w:id="6"/>
      <w:r/>
      <w:bookmarkEnd w:id="7"/>
      <w:r>
        <w:rPr>
          <w:rFonts w:ascii="Times New Roman" w:hAnsi="Times New Roman" w:eastAsia="宋体" w:cs="Times New Roman"/>
          <w:b/>
          <w:sz w:val="24"/>
          <w:szCs w:val="24"/>
          <w:highlight w:val="none"/>
          <w:lang w:val="en-US" w:eastAsia="zh-CN" w:bidi="ar-SA"/>
        </w:rPr>
      </w:r>
      <w:r/>
    </w:p>
    <w:p>
      <w:pPr>
        <w:pStyle w:val="963"/>
        <w:ind w:firstLine="480"/>
        <w:spacing w:line="360" w:lineRule="auto"/>
        <w:rPr>
          <w:rFonts w:hint="eastAsia"/>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63"/>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63"/>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63"/>
        <w:ind w:firstLine="480"/>
        <w:spacing w:line="360" w:lineRule="auto"/>
        <w:rPr>
          <w:sz w:val="24"/>
          <w:highlight w:val="none"/>
        </w:rPr>
      </w:pPr>
      <w:r/>
      <w:bookmarkStart w:id="8" w:name="_Toc28359004"/>
      <w:r/>
      <w:bookmarkStart w:id="9" w:name="_Toc28359081"/>
      <w:r>
        <w:rPr>
          <w:sz w:val="24"/>
          <w:highlight w:val="none"/>
        </w:rPr>
        <w:t xml:space="preserve">2.落实政府采购政策需满足的资格要求：</w:t>
      </w:r>
      <w:r>
        <w:rPr>
          <w:sz w:val="24"/>
          <w:highlight w:val="none"/>
        </w:rPr>
      </w:r>
      <w:r/>
    </w:p>
    <w:p>
      <w:pPr>
        <w:pStyle w:val="963"/>
        <w:ind w:firstLine="480"/>
        <w:spacing w:line="360" w:lineRule="auto"/>
        <w:rPr>
          <w:sz w:val="24"/>
          <w:highlight w:val="none"/>
        </w:rPr>
      </w:pPr>
      <w:r>
        <w:rPr>
          <w:sz w:val="24"/>
          <w:highlight w:val="none"/>
        </w:rPr>
        <w:t xml:space="preserve">2.1 中小企业政策</w:t>
      </w:r>
      <w:r>
        <w:rPr>
          <w:sz w:val="24"/>
          <w:highlight w:val="none"/>
        </w:rPr>
      </w:r>
      <w:r/>
    </w:p>
    <w:p>
      <w:pPr>
        <w:pStyle w:val="963"/>
        <w:ind w:firstLine="480"/>
        <w:spacing w:line="360" w:lineRule="auto"/>
        <w:rPr>
          <w:sz w:val="24"/>
          <w:highlight w:val="none"/>
        </w:rPr>
      </w:pPr>
      <w:r>
        <w:rPr>
          <w:sz w:val="24"/>
          <w:highlight w:val="none"/>
        </w:rPr>
        <w:t xml:space="preserve">□本项目不专门面向中小企业预留采购份额。</w:t>
      </w:r>
      <w:r>
        <w:rPr>
          <w:sz w:val="24"/>
          <w:highlight w:val="none"/>
        </w:rPr>
      </w:r>
      <w:r/>
    </w:p>
    <w:p>
      <w:pPr>
        <w:pStyle w:val="963"/>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□小微企业  采购。即：提供的货物全部由符合政策要求的中小/小微企业制造。</w:t>
      </w:r>
      <w:r>
        <w:rPr>
          <w:sz w:val="24"/>
          <w:highlight w:val="none"/>
        </w:rPr>
      </w:r>
      <w:r/>
    </w:p>
    <w:p>
      <w:pPr>
        <w:pStyle w:val="963"/>
        <w:ind w:firstLine="480"/>
        <w:spacing w:line="360" w:lineRule="auto"/>
        <w:rPr>
          <w:sz w:val="24"/>
          <w:highlight w:val="none"/>
        </w:rPr>
      </w:pPr>
      <w:r>
        <w:rPr>
          <w:sz w:val="24"/>
          <w:highlight w:val="none"/>
        </w:rPr>
        <w:t xml:space="preserve">□本项目预留部分采购项目预算专门面向中小企业采购。对于预留份额，提供的货物由符合政策要求的中小企业制造。预留份额通过以下措施进行：__________</w:t>
      </w:r>
      <w:r>
        <w:rPr>
          <w:rFonts w:hint="eastAsia"/>
          <w:sz w:val="24"/>
          <w:highlight w:val="none"/>
        </w:rPr>
        <w:t xml:space="preserve">。</w:t>
      </w:r>
      <w:r>
        <w:rPr>
          <w:sz w:val="24"/>
          <w:highlight w:val="none"/>
        </w:rPr>
      </w:r>
      <w:r/>
    </w:p>
    <w:p>
      <w:pPr>
        <w:pStyle w:val="963"/>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lang w:val="en-US" w:eastAsia="zh-CN"/>
        </w:rPr>
        <w:t xml:space="preserve"> / </w:t>
      </w:r>
      <w:r>
        <w:rPr>
          <w:rFonts w:hint="eastAsia"/>
          <w:sz w:val="24"/>
          <w:highlight w:val="none"/>
        </w:rPr>
        <w:t xml:space="preserve">。</w:t>
      </w:r>
      <w:r>
        <w:rPr>
          <w:sz w:val="24"/>
          <w:highlight w:val="none"/>
        </w:rPr>
      </w:r>
      <w:r/>
    </w:p>
    <w:p>
      <w:pPr>
        <w:pStyle w:val="963"/>
        <w:ind w:firstLine="480"/>
        <w:spacing w:line="360" w:lineRule="auto"/>
        <w:rPr>
          <w:b w:val="0"/>
          <w:bCs w:val="0"/>
          <w:i/>
          <w:iCs/>
          <w:sz w:val="24"/>
          <w:highlight w:val="none"/>
          <w:u w:val="single"/>
        </w:rPr>
      </w:pPr>
      <w:r>
        <w:rPr>
          <w:b w:val="0"/>
          <w:bCs w:val="0"/>
          <w:sz w:val="24"/>
          <w:highlight w:val="none"/>
        </w:rPr>
        <w:t xml:space="preserve">3.本项目的特定资格要求：</w:t>
      </w:r>
      <w:r>
        <w:rPr>
          <w:b w:val="0"/>
          <w:bCs w:val="0"/>
          <w:i/>
          <w:iCs/>
          <w:sz w:val="24"/>
          <w:highlight w:val="none"/>
          <w:u w:val="singl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3.1本项目是否接受分支机构参与响应：□是   </w:t>
      </w:r>
      <w:r>
        <w:rPr>
          <w:b/>
          <w:sz w:val="24"/>
          <w:highlight w:val="none"/>
        </w:rPr>
        <w:t xml:space="preserve">■</w:t>
      </w:r>
      <w:r>
        <w:rPr>
          <w:sz w:val="24"/>
          <w:highlight w:val="none"/>
        </w:rPr>
        <w:t xml:space="preserve">否；</w:t>
      </w:r>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其他特定资格要求：</w:t>
      </w:r>
      <w:bookmarkEnd w:id="8"/>
      <w:r/>
      <w:bookmarkEnd w:id="9"/>
      <w:r/>
      <w:bookmarkStart w:id="10" w:name="_Toc35393623"/>
      <w:r/>
      <w:bookmarkStart w:id="11" w:name="_Toc35393792"/>
      <w:r>
        <w:rPr>
          <w:sz w:val="24"/>
          <w:highlight w:val="none"/>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rPr>
        <w:t xml:space="preserve">（1）</w:t>
      </w:r>
      <w:r>
        <w:rPr>
          <w:rFonts w:hint="eastAsia" w:ascii="Times New Roman" w:hAnsi="Times New Roman" w:eastAsia="宋体"/>
          <w:b w:val="0"/>
          <w:bCs/>
          <w:sz w:val="24"/>
          <w:szCs w:val="24"/>
          <w:highlight w:val="none"/>
          <w:lang w:eastAsia="zh-CN"/>
        </w:rPr>
        <w:t xml:space="preserve">供应商须提供拟投货物有效期内农业农村部颁发的农药登记证。</w:t>
      </w:r>
      <w:r>
        <w:rPr>
          <w:rFonts w:hint="eastAsia" w:ascii="Times New Roman" w:hAnsi="Times New Roman" w:eastAsia="宋体"/>
          <w:b w:val="0"/>
          <w:bCs/>
          <w:sz w:val="24"/>
          <w:szCs w:val="24"/>
          <w:highlight w:val="none"/>
          <w:lang w:eastAsia="zh-CN"/>
        </w:rPr>
      </w:r>
      <w:r/>
    </w:p>
    <w:p>
      <w:pPr>
        <w:pStyle w:val="963"/>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b w:val="0"/>
          <w:bCs/>
          <w:sz w:val="24"/>
          <w:szCs w:val="24"/>
          <w:highlight w:val="none"/>
          <w:lang w:eastAsia="zh-CN"/>
        </w:rPr>
      </w:pP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val="en-US" w:eastAsia="zh-CN"/>
        </w:rPr>
        <w:t xml:space="preserve">2</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rPr>
        <w:t xml:space="preserve">供应商为生产厂家的，须提供</w:t>
      </w:r>
      <w:r>
        <w:rPr>
          <w:rFonts w:hint="eastAsia" w:ascii="Times New Roman" w:hAnsi="Times New Roman" w:eastAsia="宋体"/>
          <w:b w:val="0"/>
          <w:bCs/>
          <w:sz w:val="24"/>
          <w:szCs w:val="24"/>
          <w:highlight w:val="none"/>
          <w:lang w:eastAsia="zh-CN"/>
        </w:rPr>
        <w:t xml:space="preserve">拟投</w:t>
      </w:r>
      <w:r>
        <w:rPr>
          <w:rFonts w:hint="eastAsia" w:ascii="Times New Roman" w:hAnsi="Times New Roman" w:eastAsia="宋体"/>
          <w:b w:val="0"/>
          <w:bCs/>
          <w:sz w:val="24"/>
          <w:szCs w:val="24"/>
          <w:highlight w:val="none"/>
          <w:lang w:val="en-US" w:eastAsia="zh-CN"/>
        </w:rPr>
        <w:t xml:space="preserve">货物</w:t>
      </w:r>
      <w:r>
        <w:rPr>
          <w:rFonts w:hint="eastAsia" w:ascii="Times New Roman" w:hAnsi="Times New Roman" w:eastAsia="宋体"/>
          <w:b w:val="0"/>
          <w:bCs/>
          <w:sz w:val="24"/>
          <w:szCs w:val="24"/>
          <w:highlight w:val="none"/>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ascii="Times New Roman" w:hAnsi="Times New Roman" w:eastAsia="宋体"/>
          <w:b w:val="0"/>
          <w:bCs/>
          <w:sz w:val="24"/>
          <w:szCs w:val="24"/>
          <w:highlight w:val="none"/>
        </w:rPr>
        <w:t xml:space="preserve">有效的农药经营许可证</w:t>
      </w:r>
      <w:r>
        <w:rPr>
          <w:rFonts w:hint="eastAsia" w:ascii="Times New Roman" w:hAnsi="Times New Roman" w:eastAsia="宋体"/>
          <w:b w:val="0"/>
          <w:bCs/>
          <w:sz w:val="24"/>
          <w:szCs w:val="24"/>
          <w:highlight w:val="none"/>
          <w:lang w:eastAsia="zh-CN"/>
        </w:rPr>
        <w:t xml:space="preserve">。</w:t>
      </w:r>
      <w:r>
        <w:rPr>
          <w:rFonts w:hint="eastAsia" w:ascii="Times New Roman" w:hAnsi="Times New Roman" w:eastAsia="宋体"/>
          <w:b w:val="0"/>
          <w:bCs/>
          <w:sz w:val="24"/>
          <w:szCs w:val="24"/>
          <w:highlight w:val="none"/>
          <w:lang w:eastAsia="zh-CN"/>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三、获取询价通知书</w:t>
      </w:r>
      <w:bookmarkEnd w:id="10"/>
      <w:r/>
      <w:bookmarkEnd w:id="11"/>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自询价文件发出之日</w:t>
      </w:r>
      <w:r>
        <w:rPr>
          <w:rFonts w:hint="eastAsia"/>
          <w:sz w:val="24"/>
          <w:highlight w:val="none"/>
          <w:lang w:bidi="ar"/>
        </w:rPr>
        <w:t xml:space="preserve">起至202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7</w:t>
      </w:r>
      <w:r>
        <w:rPr>
          <w:rFonts w:hint="eastAsia"/>
          <w:sz w:val="24"/>
          <w:highlight w:val="none"/>
          <w:lang w:bidi="ar"/>
        </w:rPr>
        <w:t xml:space="preserve">月</w:t>
      </w:r>
      <w:r>
        <w:rPr>
          <w:rFonts w:hint="eastAsia"/>
          <w:sz w:val="24"/>
          <w:highlight w:val="none"/>
          <w:lang w:val="en-US" w:eastAsia="zh-CN" w:bidi="ar"/>
        </w:rPr>
        <w:t xml:space="preserve">2</w:t>
      </w:r>
      <w:r>
        <w:rPr>
          <w:rFonts w:hint="eastAsia"/>
          <w:sz w:val="24"/>
          <w:highlight w:val="none"/>
          <w:lang w:bidi="ar"/>
        </w:rPr>
        <w:t xml:space="preserve">日23时59分</w:t>
      </w:r>
      <w:r>
        <w:rPr>
          <w:sz w:val="24"/>
          <w:highlight w:val="none"/>
          <w:lang w:bidi="ar"/>
        </w:rPr>
        <w:t xml:space="preserve">（北京时间）。</w:t>
      </w:r>
      <w:r>
        <w:rPr>
          <w:sz w:val="24"/>
          <w:highlight w:val="none"/>
          <w:lang w:bidi="ar"/>
        </w:rPr>
      </w:r>
      <w:r/>
    </w:p>
    <w:p>
      <w:pPr>
        <w:pStyle w:val="963"/>
        <w:ind w:firstLine="480"/>
        <w:spacing w:line="360" w:lineRule="auto"/>
        <w:rPr>
          <w:sz w:val="24"/>
          <w:highlight w:val="none"/>
        </w:rPr>
      </w:pPr>
      <w:r>
        <w:rPr>
          <w:sz w:val="24"/>
          <w:highlight w:val="none"/>
          <w:lang w:bidi="ar"/>
        </w:rPr>
        <w:t xml:space="preserve">2.地点：</w:t>
      </w:r>
      <w:r>
        <w:rPr>
          <w:rFonts w:hint="eastAsia"/>
          <w:sz w:val="24"/>
          <w:highlight w:val="none"/>
          <w:lang w:bidi="ar"/>
        </w:rPr>
        <w:t xml:space="preserve">苏采云</w:t>
      </w:r>
      <w:r>
        <w:rPr>
          <w:sz w:val="24"/>
          <w:highlight w:val="none"/>
        </w:rPr>
      </w:r>
      <w:r/>
    </w:p>
    <w:p>
      <w:pPr>
        <w:pStyle w:val="963"/>
        <w:ind w:firstLine="480"/>
        <w:jc w:val="left"/>
        <w:spacing w:line="360" w:lineRule="auto"/>
        <w:widowControl/>
        <w:rPr>
          <w:sz w:val="24"/>
          <w:highlight w:val="none"/>
          <w:lang w:bidi="ar"/>
        </w:rPr>
      </w:pPr>
      <w:r>
        <w:rPr>
          <w:sz w:val="24"/>
          <w:highlight w:val="none"/>
          <w:lang w:bidi="ar"/>
        </w:rPr>
        <w:t xml:space="preserve">3.方式：供应商持CA数字认证证书登录</w:t>
      </w:r>
      <w:r>
        <w:rPr>
          <w:rFonts w:hint="eastAsia"/>
          <w:sz w:val="24"/>
          <w:highlight w:val="none"/>
          <w:lang w:bidi="ar"/>
        </w:rPr>
        <w:t xml:space="preserve">“苏采云”</w:t>
      </w:r>
      <w:r>
        <w:rPr>
          <w:sz w:val="24"/>
          <w:highlight w:val="none"/>
          <w:lang w:bidi="ar"/>
        </w:rPr>
        <w:t xml:space="preserve">获取电子版询价通知书。</w:t>
      </w:r>
      <w:r>
        <w:rPr>
          <w:sz w:val="24"/>
          <w:highlight w:val="none"/>
          <w:lang w:bidi="ar"/>
        </w:rPr>
      </w:r>
      <w:r/>
    </w:p>
    <w:p>
      <w:pPr>
        <w:pStyle w:val="963"/>
        <w:ind w:firstLine="480"/>
        <w:jc w:val="left"/>
        <w:spacing w:line="360" w:lineRule="auto"/>
        <w:widowControl/>
        <w:rPr>
          <w:sz w:val="24"/>
          <w:highlight w:val="none"/>
          <w:lang w:bidi="ar"/>
        </w:rPr>
      </w:pPr>
      <w:r>
        <w:rPr>
          <w:sz w:val="24"/>
          <w:highlight w:val="none"/>
          <w:lang w:bidi="ar"/>
        </w:rPr>
        <w:t xml:space="preserve">4.售价：0元。</w:t>
      </w:r>
      <w:bookmarkStart w:id="12" w:name="_Toc35393793"/>
      <w:r/>
      <w:bookmarkStart w:id="13" w:name="_Toc28359082"/>
      <w:r/>
      <w:bookmarkStart w:id="14" w:name="_Toc35393624"/>
      <w:r/>
      <w:bookmarkStart w:id="15" w:name="_Toc28359005"/>
      <w:r>
        <w:rPr>
          <w:sz w:val="24"/>
          <w:highlight w:val="none"/>
          <w:lang w:bidi="ar"/>
        </w:rPr>
      </w:r>
      <w:r/>
    </w:p>
    <w:p>
      <w:pPr>
        <w:pStyle w:val="963"/>
        <w:jc w:val="left"/>
        <w:spacing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四、</w:t>
      </w:r>
      <w:bookmarkEnd w:id="12"/>
      <w:r/>
      <w:bookmarkEnd w:id="13"/>
      <w:r/>
      <w:bookmarkEnd w:id="14"/>
      <w:r/>
      <w:bookmarkEnd w:id="15"/>
      <w:r>
        <w:rPr>
          <w:rFonts w:ascii="Times New Roman" w:hAnsi="Times New Roman" w:eastAsia="宋体" w:cs="Times New Roman"/>
          <w:b/>
          <w:sz w:val="24"/>
          <w:szCs w:val="24"/>
          <w:highlight w:val="none"/>
          <w:lang w:val="en-US" w:eastAsia="zh-CN" w:bidi="ar-SA"/>
        </w:rPr>
        <w:t xml:space="preserve">响应文件提交</w:t>
      </w:r>
      <w:r>
        <w:rPr>
          <w:rFonts w:ascii="Times New Roman" w:hAnsi="Times New Roman" w:eastAsia="宋体" w:cs="Times New Roman"/>
          <w:b/>
          <w:sz w:val="24"/>
          <w:szCs w:val="24"/>
          <w:highlight w:val="none"/>
          <w:lang w:val="en-US" w:eastAsia="zh-CN" w:bidi="ar-SA"/>
        </w:rPr>
      </w:r>
      <w:r/>
    </w:p>
    <w:p>
      <w:pPr>
        <w:pStyle w:val="963"/>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bidi="ar"/>
        </w:rPr>
        <w:t xml:space="preserve">202</w:t>
      </w:r>
      <w:r>
        <w:rPr>
          <w:rFonts w:hint="eastAsia"/>
          <w:sz w:val="24"/>
          <w:highlight w:val="none"/>
          <w:lang w:val="en-US" w:eastAsia="zh-CN" w:bidi="ar"/>
        </w:rPr>
        <w:t xml:space="preserve">6</w:t>
      </w:r>
      <w:r>
        <w:rPr>
          <w:sz w:val="24"/>
          <w:highlight w:val="none"/>
          <w:lang w:bidi="ar"/>
        </w:rPr>
        <w:t xml:space="preserve">年</w:t>
      </w:r>
      <w:r>
        <w:rPr>
          <w:rFonts w:hint="eastAsia"/>
          <w:sz w:val="24"/>
          <w:highlight w:val="none"/>
          <w:lang w:val="en-US" w:eastAsia="zh-CN" w:bidi="ar"/>
        </w:rPr>
        <w:t xml:space="preserve">7</w:t>
      </w:r>
      <w:r>
        <w:rPr>
          <w:sz w:val="24"/>
          <w:highlight w:val="none"/>
          <w:lang w:bidi="ar"/>
        </w:rPr>
        <w:t xml:space="preserve">月</w:t>
      </w:r>
      <w:r>
        <w:rPr>
          <w:rFonts w:hint="eastAsia"/>
          <w:sz w:val="24"/>
          <w:highlight w:val="none"/>
          <w:lang w:val="en-US" w:eastAsia="zh-CN" w:bidi="ar"/>
        </w:rPr>
        <w:t xml:space="preserve">3</w:t>
      </w:r>
      <w:r>
        <w:rPr>
          <w:sz w:val="24"/>
          <w:highlight w:val="none"/>
          <w:lang w:bidi="ar"/>
        </w:rPr>
        <w:t xml:space="preserve">日</w:t>
      </w:r>
      <w:r>
        <w:rPr>
          <w:rFonts w:hint="eastAsia"/>
          <w:sz w:val="24"/>
          <w:highlight w:val="none"/>
          <w:lang w:val="en-US" w:eastAsia="zh-CN" w:bidi="ar"/>
        </w:rPr>
        <w:t xml:space="preserve">9</w:t>
      </w:r>
      <w:r>
        <w:rPr>
          <w:sz w:val="24"/>
          <w:highlight w:val="none"/>
          <w:lang w:bidi="ar"/>
        </w:rPr>
        <w:t xml:space="preserve">点</w:t>
      </w:r>
      <w:r>
        <w:rPr>
          <w:rFonts w:hint="eastAsia"/>
          <w:sz w:val="24"/>
          <w:highlight w:val="none"/>
          <w:lang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63"/>
        <w:ind w:firstLine="480"/>
        <w:spacing w:line="360" w:lineRule="auto"/>
        <w:rPr>
          <w:sz w:val="24"/>
          <w:highlight w:val="none"/>
          <w:lang w:val="zh-TW" w:bidi="ar"/>
        </w:rPr>
      </w:pPr>
      <w:r>
        <w:rPr>
          <w:sz w:val="24"/>
          <w:highlight w:val="none"/>
          <w:lang w:bidi="ar"/>
        </w:rPr>
        <w:t xml:space="preserve">地    点：</w:t>
      </w:r>
      <w:r>
        <w:rPr>
          <w:rFonts w:hint="eastAsia" w:ascii="宋体" w:hAnsi="宋体"/>
          <w:sz w:val="24"/>
          <w:highlight w:val="none"/>
          <w:u w:val="none"/>
        </w:rPr>
        <w:t xml:space="preserve">本项目采用不见面交易方式，供应商登录</w:t>
      </w:r>
      <w:r>
        <w:rPr>
          <w:rFonts w:hint="eastAsia" w:ascii="宋体" w:hAnsi="宋体"/>
          <w:sz w:val="24"/>
          <w:highlight w:val="none"/>
          <w:u w:val="none"/>
        </w:rPr>
        <w:t xml:space="preserve">“苏采云”供应商端</w:t>
      </w:r>
      <w:r>
        <w:rPr>
          <w:rFonts w:hint="eastAsia" w:ascii="宋体" w:hAnsi="宋体"/>
          <w:sz w:val="24"/>
          <w:highlight w:val="none"/>
          <w:u w:val="none"/>
        </w:rPr>
        <w:t xml:space="preserve">，通过系统在线提交电子响应文件</w:t>
      </w:r>
      <w:r>
        <w:rPr>
          <w:sz w:val="24"/>
          <w:highlight w:val="none"/>
          <w:lang w:val="zh-TW" w:bidi="ar"/>
        </w:rPr>
        <w:t xml:space="preserve">。</w:t>
      </w:r>
      <w:bookmarkStart w:id="16" w:name="_Toc28359084"/>
      <w:r/>
      <w:bookmarkStart w:id="17" w:name="_Toc35393794"/>
      <w:r/>
      <w:bookmarkStart w:id="18" w:name="_Toc28359007"/>
      <w:r/>
      <w:bookmarkStart w:id="19" w:name="_Toc35393625"/>
      <w:r>
        <w:rPr>
          <w:sz w:val="24"/>
          <w:highlight w:val="none"/>
          <w:lang w:val="zh-TW" w:bidi="ar"/>
        </w:rPr>
      </w:r>
      <w:r/>
    </w:p>
    <w:p>
      <w:pPr>
        <w:pStyle w:val="963"/>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五、公告期限</w:t>
      </w:r>
      <w:bookmarkEnd w:id="16"/>
      <w:r/>
      <w:bookmarkEnd w:id="17"/>
      <w:r/>
      <w:bookmarkEnd w:id="18"/>
      <w:r/>
      <w:bookmarkEnd w:id="19"/>
      <w:r>
        <w:rPr>
          <w:rFonts w:ascii="Times New Roman" w:hAnsi="Times New Roman" w:eastAsia="宋体" w:cs="Times New Roman"/>
          <w:b/>
          <w:sz w:val="24"/>
          <w:szCs w:val="24"/>
          <w:highlight w:val="none"/>
          <w:lang w:val="en-US" w:eastAsia="zh-CN" w:bidi="ar-SA"/>
        </w:rPr>
      </w:r>
      <w:r/>
    </w:p>
    <w:p>
      <w:pPr>
        <w:pStyle w:val="963"/>
        <w:ind w:firstLine="480"/>
        <w:spacing w:line="360" w:lineRule="auto"/>
        <w:rPr>
          <w:sz w:val="24"/>
          <w:highlight w:val="none"/>
        </w:rPr>
      </w:pPr>
      <w:r>
        <w:rPr>
          <w:sz w:val="24"/>
          <w:highlight w:val="none"/>
        </w:rPr>
        <w:t xml:space="preserve">自本公告发布之日起3个工作日。</w:t>
      </w:r>
      <w:bookmarkStart w:id="20" w:name="_Toc35393626"/>
      <w:r/>
      <w:bookmarkStart w:id="21" w:name="_Toc35393795"/>
      <w:r>
        <w:rPr>
          <w:sz w:val="24"/>
          <w:highlight w:val="none"/>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六、其他补充事宜</w:t>
      </w:r>
      <w:bookmarkEnd w:id="20"/>
      <w:r/>
      <w:bookmarkEnd w:id="21"/>
      <w:r>
        <w:rPr>
          <w:rFonts w:ascii="Times New Roman" w:hAnsi="Times New Roman" w:eastAsia="宋体" w:cs="Times New Roman"/>
          <w:b/>
          <w:sz w:val="24"/>
          <w:szCs w:val="24"/>
          <w:highlight w:val="none"/>
          <w:lang w:val="en-US" w:eastAsia="zh-CN" w:bidi="ar-SA"/>
        </w:rPr>
      </w:r>
      <w:r/>
    </w:p>
    <w:p>
      <w:pPr>
        <w:pStyle w:val="963"/>
        <w:ind w:firstLine="480"/>
        <w:jc w:val="left"/>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rPr>
          <w:sz w:val="24"/>
          <w:highlight w:val="none"/>
        </w:rPr>
      </w:r>
      <w:r/>
    </w:p>
    <w:p>
      <w:pPr>
        <w:pStyle w:val="963"/>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.本项目采用全流程电子化采购方式，请供应商认真学习</w:t>
      </w:r>
      <w:r>
        <w:rPr>
          <w:rFonts w:hint="eastAsia"/>
          <w:sz w:val="24"/>
          <w:highlight w:val="none"/>
          <w:lang w:bidi="ar"/>
        </w:rPr>
        <w:t xml:space="preserve">“苏采云”</w:t>
      </w:r>
      <w:r>
        <w:rPr>
          <w:sz w:val="24"/>
          <w:highlight w:val="none"/>
          <w:lang w:bidi="ar"/>
        </w:rPr>
        <w:t xml:space="preserve">的相关操作手册，办理CA认证证书、</w:t>
      </w:r>
      <w:r>
        <w:rPr>
          <w:rFonts w:hint="eastAsia"/>
          <w:sz w:val="24"/>
          <w:highlight w:val="none"/>
          <w:lang w:bidi="ar"/>
        </w:rPr>
        <w:t xml:space="preserve">进行“苏采云”政府采购一体化平台注册绑定</w:t>
      </w:r>
      <w:r>
        <w:rPr>
          <w:sz w:val="24"/>
          <w:highlight w:val="none"/>
          <w:lang w:bidi="ar"/>
        </w:rPr>
        <w:t xml:space="preserve">，并认真核实</w:t>
      </w:r>
      <w:r>
        <w:rPr>
          <w:bCs/>
          <w:sz w:val="24"/>
          <w:highlight w:val="none"/>
          <w:lang w:bidi="ar"/>
        </w:rPr>
        <w:t xml:space="preserve">数字认证证书情况确认是否符合本项目电子化采购流程要求。</w:t>
      </w:r>
      <w:r>
        <w:rPr>
          <w:bCs/>
          <w:sz w:val="24"/>
          <w:highlight w:val="none"/>
          <w:lang w:bidi="ar"/>
        </w:rPr>
      </w:r>
      <w:r/>
    </w:p>
    <w:p>
      <w:pPr>
        <w:pStyle w:val="963"/>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63"/>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63"/>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63"/>
        <w:ind w:firstLine="480"/>
        <w:spacing w:line="360" w:lineRule="auto"/>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登录常州市政府采购网“下载中心”-"苏采云”系统（供应商）操作手册下载相关操作手册、操作视频等，查阅后进行自助注册</w:t>
      </w:r>
      <w:r>
        <w:rPr>
          <w:sz w:val="24"/>
          <w:highlight w:val="none"/>
          <w:lang w:bidi="ar"/>
        </w:rPr>
        <w:t xml:space="preserve">。</w:t>
      </w:r>
      <w:r>
        <w:rPr>
          <w:sz w:val="24"/>
          <w:highlight w:val="none"/>
        </w:rPr>
      </w:r>
      <w:r/>
    </w:p>
    <w:p>
      <w:pPr>
        <w:pStyle w:val="963"/>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63"/>
        <w:ind w:firstLine="480"/>
        <w:jc w:val="left"/>
        <w:spacing w:line="360" w:lineRule="auto"/>
        <w:widowControl/>
        <w:rPr>
          <w:sz w:val="24"/>
          <w:highlight w:val="none"/>
        </w:rPr>
      </w:pPr>
      <w:r>
        <w:rPr>
          <w:rFonts w:hint="eastAsia"/>
          <w:sz w:val="24"/>
          <w:highlight w:val="none"/>
          <w:lang w:val="en-US" w:eastAsia="zh-CN" w:bidi="ar"/>
        </w:rPr>
        <w:t xml:space="preserve">供应商</w:t>
      </w:r>
      <w:r>
        <w:rPr>
          <w:rFonts w:hint="eastAsia"/>
          <w:sz w:val="24"/>
          <w:highlight w:val="none"/>
          <w:lang w:bidi="ar"/>
        </w:rPr>
        <w:t xml:space="preserve">登录常州市政府采购网“下载中心”-政府采购管理交易系统（苏采云）CA及签章控件驱动下载相关控件及客户端。</w:t>
      </w:r>
      <w:r>
        <w:rPr>
          <w:sz w:val="24"/>
          <w:highlight w:val="none"/>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获取电子询价通知书</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“苏采云”政府采购一体化平台</w:t>
      </w:r>
      <w:r>
        <w:rPr>
          <w:sz w:val="24"/>
          <w:highlight w:val="none"/>
          <w:lang w:bidi="ar"/>
        </w:rPr>
        <w:t xml:space="preserve">获取电子询价通知书。未在规定期限内通过</w:t>
      </w:r>
      <w:r>
        <w:rPr>
          <w:rFonts w:hint="eastAsia"/>
          <w:sz w:val="24"/>
          <w:highlight w:val="none"/>
          <w:lang w:eastAsia="zh-CN" w:bidi="ar"/>
        </w:rPr>
        <w:t xml:space="preserve">“苏采云”政府采购一体化平台</w:t>
      </w:r>
      <w:r>
        <w:rPr>
          <w:sz w:val="24"/>
          <w:highlight w:val="none"/>
          <w:lang w:bidi="ar"/>
        </w:rPr>
        <w:t xml:space="preserve">获取询价通知书的</w:t>
      </w:r>
      <w:r>
        <w:rPr>
          <w:b/>
          <w:sz w:val="24"/>
          <w:highlight w:val="none"/>
          <w:lang w:bidi="ar"/>
        </w:rPr>
        <w:t xml:space="preserve">响应无效</w:t>
      </w:r>
      <w:r>
        <w:rPr>
          <w:sz w:val="24"/>
          <w:highlight w:val="none"/>
          <w:lang w:bidi="ar"/>
        </w:rPr>
        <w:t xml:space="preserve">。</w:t>
      </w:r>
      <w:r>
        <w:rPr>
          <w:sz w:val="24"/>
          <w:highlight w:val="none"/>
          <w:lang w:bidi="ar"/>
        </w:rPr>
      </w:r>
      <w:r/>
    </w:p>
    <w:p>
      <w:pPr>
        <w:pStyle w:val="963"/>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.5编制电子响应文件</w:t>
      </w:r>
      <w:r>
        <w:rPr>
          <w:sz w:val="24"/>
          <w:highlight w:val="none"/>
          <w:lang w:bidi="ar"/>
        </w:rPr>
      </w:r>
      <w:r/>
    </w:p>
    <w:p>
      <w:pPr>
        <w:pStyle w:val="963"/>
        <w:ind w:firstLine="480"/>
        <w:spacing w:line="360" w:lineRule="auto"/>
        <w:rPr>
          <w:sz w:val="24"/>
          <w:highlight w:val="none"/>
          <w:lang w:bidi="ar"/>
        </w:rPr>
      </w:pPr>
      <w:r>
        <w:rPr>
          <w:sz w:val="24"/>
          <w:highlight w:val="none"/>
          <w:lang w:bidi="ar"/>
        </w:rPr>
        <w:t xml:space="preserve">供应商应使用电子响应</w:t>
      </w:r>
      <w:r>
        <w:rPr>
          <w:rFonts w:hint="eastAsia"/>
          <w:sz w:val="24"/>
          <w:highlight w:val="none"/>
          <w:lang w:bidi="ar"/>
        </w:rPr>
        <w:t xml:space="preserve">文件制作</w:t>
      </w:r>
      <w:r>
        <w:rPr>
          <w:sz w:val="24"/>
          <w:highlight w:val="none"/>
          <w:lang w:bidi="ar"/>
        </w:rPr>
        <w:t xml:space="preserve">客户端编制电子响应文件并进行线上响应，供应商电子响应文件需要加密并加盖电子签章</w:t>
      </w:r>
      <w:r>
        <w:rPr>
          <w:bCs/>
          <w:sz w:val="24"/>
          <w:highlight w:val="none"/>
          <w:lang w:bidi="ar"/>
        </w:rPr>
        <w:t xml:space="preserve">，如无法按照要求在电子响应文件中加盖电子签章和加密，请及时通过技术支持服务热线联系技术人员</w:t>
      </w:r>
      <w:r>
        <w:rPr>
          <w:sz w:val="24"/>
          <w:highlight w:val="none"/>
          <w:lang w:bidi="ar"/>
        </w:rPr>
        <w:t xml:space="preserve">。</w:t>
      </w:r>
      <w:r>
        <w:rPr>
          <w:sz w:val="24"/>
          <w:highlight w:val="none"/>
          <w:lang w:bidi="ar"/>
        </w:rPr>
      </w:r>
      <w:r/>
    </w:p>
    <w:p>
      <w:pPr>
        <w:pStyle w:val="963"/>
        <w:ind w:firstLine="480"/>
        <w:jc w:val="left"/>
        <w:spacing w:line="360" w:lineRule="auto"/>
        <w:widowControl/>
        <w:rPr>
          <w:sz w:val="24"/>
          <w:highlight w:val="none"/>
          <w:lang w:val="zh-TW" w:bidi="ar"/>
        </w:rPr>
      </w:pPr>
      <w:r>
        <w:rPr>
          <w:sz w:val="24"/>
          <w:highlight w:val="none"/>
          <w:lang w:val="zh-TW" w:eastAsia="zh-TW" w:bidi="ar"/>
        </w:rPr>
        <w:t xml:space="preserve">3.6</w:t>
      </w:r>
      <w:r>
        <w:rPr>
          <w:sz w:val="24"/>
          <w:highlight w:val="none"/>
          <w:lang w:val="zh-TW" w:bidi="ar"/>
        </w:rPr>
        <w:t xml:space="preserve">提交电子响应文件</w:t>
      </w:r>
      <w:r>
        <w:rPr>
          <w:sz w:val="24"/>
          <w:highlight w:val="none"/>
          <w:lang w:val="zh-TW" w:bidi="ar"/>
        </w:rPr>
      </w:r>
      <w:r/>
    </w:p>
    <w:p>
      <w:pPr>
        <w:pStyle w:val="963"/>
        <w:ind w:firstLine="480"/>
        <w:jc w:val="left"/>
        <w:spacing w:line="360" w:lineRule="auto"/>
        <w:widowControl/>
        <w:rPr>
          <w:sz w:val="24"/>
          <w:highlight w:val="none"/>
          <w:lang w:bidi="ar"/>
        </w:rPr>
      </w:pPr>
      <w:r>
        <w:rPr>
          <w:sz w:val="24"/>
          <w:highlight w:val="none"/>
          <w:lang w:bidi="ar"/>
        </w:rPr>
        <w:t xml:space="preserve">供应商应于响应截止时间前在</w:t>
      </w:r>
      <w:r>
        <w:rPr>
          <w:rFonts w:hint="eastAsia"/>
          <w:sz w:val="24"/>
          <w:highlight w:val="none"/>
          <w:lang w:eastAsia="zh-CN" w:bidi="ar"/>
        </w:rPr>
        <w:t xml:space="preserve">“苏采云”政府采购一体化平台</w:t>
      </w:r>
      <w:r>
        <w:rPr>
          <w:sz w:val="24"/>
          <w:highlight w:val="none"/>
          <w:lang w:bidi="ar"/>
        </w:rPr>
        <w:t xml:space="preserve">提交电子响应文件，上传电子响应文件过程中请保持与互联网的连接畅通。</w:t>
      </w:r>
      <w:r>
        <w:rPr>
          <w:sz w:val="24"/>
          <w:highlight w:val="none"/>
          <w:lang w:bidi="ar"/>
        </w:rPr>
      </w:r>
      <w:r/>
    </w:p>
    <w:p>
      <w:pPr>
        <w:pStyle w:val="963"/>
        <w:ind w:firstLine="480"/>
        <w:jc w:val="left"/>
        <w:spacing w:line="360" w:lineRule="auto"/>
        <w:widowControl/>
        <w:rPr>
          <w:sz w:val="24"/>
          <w:highlight w:val="none"/>
          <w:lang w:eastAsia="zh-TW" w:bidi="ar"/>
        </w:rPr>
      </w:pPr>
      <w:r>
        <w:rPr>
          <w:sz w:val="24"/>
          <w:highlight w:val="none"/>
          <w:lang w:val="zh-TW" w:bidi="ar"/>
        </w:rPr>
        <w:t xml:space="preserve">3.</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63"/>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3.8注意事项</w:t>
      </w:r>
      <w:r>
        <w:rPr>
          <w:rFonts w:hint="eastAsia"/>
          <w:sz w:val="24"/>
          <w:highlight w:val="none"/>
          <w:lang w:val="zh-TW" w:bidi="ar"/>
        </w:rPr>
      </w:r>
      <w:r/>
    </w:p>
    <w:p>
      <w:pPr>
        <w:pStyle w:val="963"/>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rPr>
          <w:sz w:val="24"/>
          <w:highlight w:val="none"/>
          <w:lang w:eastAsia="zh-TW"/>
        </w:rPr>
      </w:r>
      <w:r/>
    </w:p>
    <w:p>
      <w:pPr>
        <w:pStyle w:val="963"/>
        <w:ind w:firstLine="480"/>
        <w:spacing w:line="360" w:lineRule="auto"/>
        <w:rPr>
          <w:sz w:val="24"/>
          <w:highlight w:val="none"/>
          <w:lang w:val="zh-TW" w:bidi="ar"/>
        </w:rPr>
      </w:pPr>
      <w:r>
        <w:rPr>
          <w:rFonts w:hint="eastAsia"/>
          <w:sz w:val="24"/>
          <w:highlight w:val="none"/>
          <w:lang w:val="zh-TW" w:bidi="ar"/>
        </w:rPr>
        <w:t xml:space="preserve">4.关于常州市中小企业政府采购信用融资：</w:t>
      </w:r>
      <w:r>
        <w:rPr>
          <w:sz w:val="24"/>
          <w:highlight w:val="none"/>
          <w:lang w:val="zh-TW" w:bidi="ar"/>
        </w:rPr>
      </w:r>
      <w:r/>
    </w:p>
    <w:p>
      <w:pPr>
        <w:pStyle w:val="963"/>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Start w:id="22" w:name="_Toc28359085"/>
      <w:r/>
      <w:bookmarkStart w:id="23" w:name="_Toc35393796"/>
      <w:r/>
      <w:bookmarkStart w:id="24" w:name="_Toc28359008"/>
      <w:r/>
      <w:bookmarkStart w:id="25" w:name="_Toc35393627"/>
      <w:r>
        <w:rPr>
          <w:rFonts w:hint="eastAsia"/>
          <w:sz w:val="24"/>
          <w:highlight w:val="none"/>
          <w:lang w:val="zh-TW" w:bidi="ar"/>
        </w:rPr>
      </w:r>
      <w:r/>
    </w:p>
    <w:p>
      <w:pPr>
        <w:pStyle w:val="963"/>
        <w:spacing w:line="360" w:lineRule="auto"/>
        <w:rPr>
          <w:rFonts w:hint="eastAsia"/>
          <w:sz w:val="24"/>
          <w:highlight w:val="none"/>
          <w:lang w:val="zh-TW" w:bidi="ar"/>
        </w:rPr>
      </w:pPr>
      <w:r>
        <w:rPr>
          <w:rFonts w:hint="eastAsia"/>
          <w:sz w:val="24"/>
          <w:highlight w:val="none"/>
          <w:lang w:val="zh-TW" w:bidi="ar"/>
        </w:rPr>
      </w:r>
      <w:r/>
    </w:p>
    <w:p>
      <w:pPr>
        <w:pStyle w:val="963"/>
        <w:spacing w:line="360" w:lineRule="auto"/>
        <w:rPr>
          <w:rFonts w:ascii="Times New Roman" w:hAnsi="Times New Roman" w:eastAsia="宋体" w:cs="Times New Roman"/>
          <w:b/>
          <w:sz w:val="24"/>
          <w:szCs w:val="24"/>
          <w:highlight w:val="none"/>
          <w:lang w:val="en-US" w:eastAsia="zh-CN" w:bidi="ar-SA"/>
        </w:rPr>
      </w:pPr>
      <w:r>
        <w:rPr>
          <w:rFonts w:ascii="Times New Roman" w:hAnsi="Times New Roman" w:eastAsia="宋体" w:cs="Times New Roman"/>
          <w:b/>
          <w:sz w:val="24"/>
          <w:szCs w:val="24"/>
          <w:highlight w:val="none"/>
          <w:lang w:val="en-US" w:eastAsia="zh-CN" w:bidi="ar-SA"/>
        </w:rPr>
        <w:t xml:space="preserve">七、对本次采购提出询问，请按以下方式联系。</w:t>
      </w:r>
      <w:bookmarkEnd w:id="22"/>
      <w:r/>
      <w:bookmarkEnd w:id="23"/>
      <w:r/>
      <w:bookmarkEnd w:id="24"/>
      <w:r/>
      <w:bookmarkEnd w:id="25"/>
      <w:r>
        <w:rPr>
          <w:rFonts w:ascii="Times New Roman" w:hAnsi="Times New Roman" w:eastAsia="宋体" w:cs="Times New Roman"/>
          <w:b/>
          <w:sz w:val="24"/>
          <w:szCs w:val="24"/>
          <w:highlight w:val="none"/>
          <w:lang w:val="en-US" w:eastAsia="zh-CN" w:bidi="ar-SA"/>
        </w:rPr>
      </w:r>
      <w:r/>
    </w:p>
    <w:p>
      <w:pPr>
        <w:pStyle w:val="963"/>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63"/>
        <w:ind w:left="1079" w:hanging="300"/>
        <w:jc w:val="left"/>
        <w:spacing w:line="360" w:lineRule="auto"/>
        <w:rPr>
          <w:rFonts w:hint="eastAsia"/>
          <w:sz w:val="24"/>
          <w:highlight w:val="none"/>
        </w:rPr>
      </w:pPr>
      <w:r/>
      <w:bookmarkStart w:id="26" w:name="_Toc28359009"/>
      <w:r/>
      <w:bookmarkStart w:id="27" w:name="_Toc28359086"/>
      <w:r>
        <w:rPr>
          <w:sz w:val="24"/>
          <w:highlight w:val="none"/>
        </w:rPr>
        <w:t xml:space="preserve">名    称：</w:t>
      </w:r>
      <w:r>
        <w:rPr>
          <w:rFonts w:hint="eastAsia"/>
          <w:sz w:val="24"/>
          <w:highlight w:val="none"/>
          <w:u w:val="single"/>
        </w:rPr>
        <w:t xml:space="preserve">溧阳市农业农村局</w:t>
      </w:r>
      <w:r>
        <w:rPr>
          <w:rFonts w:hint="eastAsia"/>
          <w:sz w:val="24"/>
          <w:highlight w:val="none"/>
        </w:rPr>
      </w:r>
      <w:r/>
    </w:p>
    <w:p>
      <w:pPr>
        <w:pStyle w:val="963"/>
        <w:ind w:left="1079" w:hanging="300"/>
        <w:jc w:val="left"/>
        <w:spacing w:line="360" w:lineRule="auto"/>
        <w:rPr>
          <w:sz w:val="24"/>
          <w:highlight w:val="none"/>
        </w:rPr>
      </w:pPr>
      <w:r>
        <w:rPr>
          <w:sz w:val="24"/>
          <w:highlight w:val="none"/>
        </w:rPr>
        <w:t xml:space="preserve">地    址：</w:t>
      </w:r>
      <w:r>
        <w:rPr>
          <w:rFonts w:hint="eastAsia"/>
          <w:sz w:val="24"/>
          <w:highlight w:val="none"/>
          <w:u w:val="single"/>
        </w:rPr>
        <w:t xml:space="preserve">溧阳市燕山路98号</w:t>
      </w:r>
      <w:r>
        <w:rPr>
          <w:sz w:val="24"/>
          <w:highlight w:val="none"/>
        </w:rPr>
      </w:r>
      <w:r/>
    </w:p>
    <w:p>
      <w:pPr>
        <w:pStyle w:val="963"/>
        <w:ind w:left="1079" w:hanging="300"/>
        <w:jc w:val="left"/>
        <w:spacing w:line="360" w:lineRule="auto"/>
        <w:rPr>
          <w:sz w:val="24"/>
          <w:highlight w:val="none"/>
          <w:u w:val="single"/>
        </w:rPr>
      </w:pPr>
      <w:r>
        <w:rPr>
          <w:sz w:val="24"/>
          <w:highlight w:val="none"/>
        </w:rPr>
        <w:t xml:space="preserve">联系方式：</w:t>
      </w:r>
      <w:r>
        <w:rPr>
          <w:rFonts w:hint="eastAsia"/>
          <w:sz w:val="24"/>
          <w:highlight w:val="none"/>
          <w:u w:val="single"/>
        </w:rPr>
        <w:t xml:space="preserve">0519-87269309</w:t>
      </w:r>
      <w:r>
        <w:rPr>
          <w:sz w:val="24"/>
          <w:highlight w:val="none"/>
          <w:u w:val="single"/>
        </w:rPr>
      </w:r>
      <w:r/>
    </w:p>
    <w:p>
      <w:pPr>
        <w:pStyle w:val="963"/>
        <w:ind w:left="1078" w:hanging="299"/>
        <w:jc w:val="left"/>
        <w:spacing w:line="360" w:lineRule="auto"/>
        <w:rPr>
          <w:b/>
          <w:sz w:val="24"/>
          <w:highlight w:val="none"/>
        </w:rPr>
      </w:pPr>
      <w:r>
        <w:rPr>
          <w:b/>
          <w:sz w:val="24"/>
          <w:highlight w:val="none"/>
        </w:rPr>
        <w:t xml:space="preserve">2.采购代理机构信息</w:t>
      </w:r>
      <w:bookmarkEnd w:id="26"/>
      <w:r/>
      <w:bookmarkEnd w:id="27"/>
      <w:r>
        <w:rPr>
          <w:b/>
          <w:sz w:val="24"/>
          <w:highlight w:val="none"/>
        </w:rPr>
      </w:r>
      <w:r/>
    </w:p>
    <w:p>
      <w:pPr>
        <w:pStyle w:val="963"/>
        <w:ind w:left="1076" w:hanging="297"/>
        <w:jc w:val="left"/>
        <w:spacing w:line="360" w:lineRule="auto"/>
        <w:rPr>
          <w:sz w:val="24"/>
          <w:highlight w:val="none"/>
        </w:rPr>
      </w:pPr>
      <w:r/>
      <w:bookmarkStart w:id="28" w:name="_Toc28359010"/>
      <w:r/>
      <w:bookmarkStart w:id="29"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63"/>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63"/>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63"/>
        <w:ind w:left="1078" w:hanging="299"/>
        <w:spacing w:line="360" w:lineRule="auto"/>
        <w:rPr>
          <w:b/>
          <w:sz w:val="24"/>
          <w:highlight w:val="none"/>
          <w:u w:val="single"/>
        </w:rPr>
      </w:pPr>
      <w:r>
        <w:rPr>
          <w:b/>
          <w:sz w:val="24"/>
          <w:highlight w:val="none"/>
        </w:rPr>
        <w:t xml:space="preserve">3.项目联系方式</w:t>
      </w:r>
      <w:bookmarkEnd w:id="28"/>
      <w:r/>
      <w:bookmarkEnd w:id="29"/>
      <w:r>
        <w:rPr>
          <w:b/>
          <w:sz w:val="24"/>
          <w:highlight w:val="none"/>
          <w:u w:val="single"/>
        </w:rPr>
      </w:r>
      <w:r/>
    </w:p>
    <w:p>
      <w:pPr>
        <w:pStyle w:val="1002"/>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ascii="Times New Roman" w:hAnsi="Times New Roman"/>
          <w:sz w:val="24"/>
          <w:highlight w:val="none"/>
          <w:u w:val="single"/>
          <w:lang w:bidi="ar"/>
        </w:rPr>
      </w:r>
      <w:r/>
    </w:p>
    <w:p>
      <w:pPr>
        <w:pStyle w:val="1002"/>
        <w:ind w:left="1076" w:hanging="297"/>
        <w:jc w:val="left"/>
        <w:spacing w:line="360" w:lineRule="auto"/>
        <w:rPr>
          <w:b/>
          <w:sz w:val="32"/>
          <w:szCs w:val="32"/>
          <w:highlight w:val="none"/>
        </w:rPr>
      </w:pPr>
      <w:r>
        <w:rPr>
          <w:rFonts w:ascii="Times New Roman" w:hAnsi="Times New Roman"/>
          <w:sz w:val="24"/>
          <w:highlight w:val="none"/>
        </w:rPr>
        <w:t xml:space="preserve">电话：</w:t>
      </w:r>
      <w:r>
        <w:rPr>
          <w:rFonts w:hAnsi="宋体" w:cs="宋体"/>
          <w:sz w:val="24"/>
          <w:highlight w:val="none"/>
          <w:u w:val="single"/>
          <w:lang w:bidi="ar"/>
        </w:rPr>
        <w:t xml:space="preserve">0519-87630906</w:t>
      </w:r>
      <w:r>
        <w:rPr>
          <w:rFonts w:ascii="Times New Roman" w:hAnsi="Times New Roman"/>
          <w:sz w:val="24"/>
          <w:szCs w:val="24"/>
          <w:highlight w:val="none"/>
        </w:rPr>
        <w:t xml:space="preserve"> </w:t>
      </w:r>
      <w:bookmarkStart w:id="30" w:name="_Toc195842950"/>
      <w:r/>
      <w:bookmarkStart w:id="31" w:name="_Toc353825548"/>
      <w:r/>
      <w:bookmarkStart w:id="32" w:name="_Toc150774783"/>
      <w:r/>
      <w:bookmarkStart w:id="33" w:name="_Toc305158928"/>
      <w:r/>
      <w:bookmarkStart w:id="34" w:name="_Toc264969275"/>
      <w:r/>
      <w:bookmarkStart w:id="35" w:name="_Toc226965856"/>
      <w:r/>
      <w:bookmarkStart w:id="36" w:name="_Toc265228423"/>
      <w:r/>
      <w:bookmarkStart w:id="37" w:name="_Toc305158854"/>
      <w:r/>
      <w:bookmarkStart w:id="38" w:name="_Toc99301346"/>
      <w:r/>
      <w:bookmarkStart w:id="39" w:name="_Toc353873938"/>
      <w:r/>
      <w:bookmarkStart w:id="40" w:name="_Toc127161488"/>
      <w:r/>
      <w:bookmarkStart w:id="41" w:name="_Toc127151777"/>
      <w:r/>
      <w:bookmarkStart w:id="42" w:name="_Toc512937850"/>
      <w:r>
        <w:rPr>
          <w:b/>
          <w:sz w:val="36"/>
          <w:szCs w:val="36"/>
          <w:highlight w:val="none"/>
        </w:rPr>
        <w:br w:type="page" w:clear="all"/>
      </w:r>
      <w:r>
        <w:rPr>
          <w:rFonts w:hint="eastAsia"/>
          <w:b/>
          <w:sz w:val="36"/>
          <w:szCs w:val="36"/>
          <w:highlight w:val="none"/>
          <w:lang w:val="en-US" w:eastAsia="zh-CN"/>
        </w:rPr>
        <w:t xml:space="preserve">         </w:t>
      </w:r>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rPr>
          <w:b/>
          <w:sz w:val="32"/>
          <w:szCs w:val="32"/>
          <w:highlight w:val="none"/>
        </w:rPr>
      </w:r>
      <w:r/>
    </w:p>
    <w:p>
      <w:pPr>
        <w:pStyle w:val="963"/>
        <w:jc w:val="center"/>
        <w:rPr>
          <w:b/>
          <w:sz w:val="28"/>
          <w:szCs w:val="28"/>
          <w:highlight w:val="none"/>
        </w:rPr>
      </w:pPr>
      <w:r/>
      <w:bookmarkStart w:id="43" w:name="_Toc151193907"/>
      <w:r/>
      <w:bookmarkStart w:id="44" w:name="_Toc127151519"/>
      <w:r/>
      <w:bookmarkStart w:id="45" w:name="_Toc151193617"/>
      <w:r/>
      <w:bookmarkStart w:id="46" w:name="_Toc164351613"/>
      <w:r/>
      <w:bookmarkStart w:id="47" w:name="_Toc164229360"/>
      <w:r/>
      <w:bookmarkStart w:id="48" w:name="_Toc164608633"/>
      <w:r/>
      <w:bookmarkStart w:id="49" w:name="_Toc151193833"/>
      <w:r/>
      <w:bookmarkStart w:id="50" w:name="_Toc226965792"/>
      <w:r/>
      <w:bookmarkStart w:id="51" w:name="_Toc150774724"/>
      <w:r/>
      <w:bookmarkStart w:id="52" w:name="_Toc164229214"/>
      <w:r/>
      <w:bookmarkStart w:id="53" w:name="_Toc164608788"/>
      <w:r/>
      <w:bookmarkStart w:id="54" w:name="_Toc226965709"/>
      <w:r/>
      <w:bookmarkStart w:id="55" w:name="_Toc150509270"/>
      <w:r/>
      <w:bookmarkStart w:id="56" w:name="_Toc142311021"/>
      <w:r/>
      <w:bookmarkStart w:id="57" w:name="_Toc150774619"/>
      <w:r/>
      <w:bookmarkStart w:id="58" w:name="_Toc195842884"/>
      <w:r/>
      <w:bookmarkStart w:id="59" w:name="_Toc151190146"/>
      <w:r/>
      <w:bookmarkStart w:id="60" w:name="_Toc127151720"/>
      <w:r/>
      <w:bookmarkStart w:id="61" w:name="_Toc127161433"/>
      <w:r/>
      <w:bookmarkStart w:id="62" w:name="_Toc226309763"/>
      <w:r/>
      <w:bookmarkStart w:id="63" w:name="_Toc226337215"/>
      <w:r/>
      <w:bookmarkStart w:id="64" w:name="_Toc151193689"/>
      <w:r/>
      <w:bookmarkStart w:id="65" w:name="_Toc150480757"/>
      <w:r/>
      <w:bookmarkStart w:id="66" w:name="_Toc520356144"/>
      <w:r/>
      <w:bookmarkStart w:id="67" w:name="_Toc151193761"/>
      <w:r/>
      <w:bookmarkStart w:id="68" w:name="_Toc149720812"/>
      <w:r>
        <w:rPr>
          <w:b/>
          <w:sz w:val="28"/>
          <w:szCs w:val="28"/>
          <w:highlight w:val="none"/>
        </w:rPr>
        <w:t xml:space="preserve">供应商须知资料表</w:t>
      </w:r>
      <w:r>
        <w:rPr>
          <w:b/>
          <w:sz w:val="28"/>
          <w:szCs w:val="28"/>
          <w:highlight w:val="none"/>
        </w:rPr>
      </w:r>
      <w:r/>
    </w:p>
    <w:p>
      <w:pPr>
        <w:pStyle w:val="963"/>
        <w:jc w:val="center"/>
        <w:rPr>
          <w:b/>
          <w:sz w:val="28"/>
          <w:szCs w:val="28"/>
          <w:highlight w:val="none"/>
        </w:rPr>
      </w:pPr>
      <w:r>
        <w:rPr>
          <w:b/>
          <w:sz w:val="28"/>
          <w:szCs w:val="28"/>
          <w:highlight w:val="none"/>
        </w:rPr>
      </w:r>
      <w:r/>
    </w:p>
    <w:p>
      <w:pPr>
        <w:pStyle w:val="963"/>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701"/>
        <w:gridCol w:w="7210"/>
      </w:tblGrid>
      <w:tr>
        <w:trPr>
          <w:trHeight w:val="594"/>
          <w:tblHeader/>
        </w:trPr>
        <w:tc>
          <w:tcPr>
            <w:tcW w:w="1031" w:type="dxa"/>
            <w:vAlign w:val="center"/>
            <w:textDirection w:val="lrTb"/>
            <w:noWrap w:val="false"/>
          </w:tcPr>
          <w:p>
            <w:pPr>
              <w:pStyle w:val="963"/>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63"/>
              <w:jc w:val="center"/>
              <w:rPr>
                <w:b/>
                <w:bCs/>
                <w:sz w:val="24"/>
                <w:highlight w:val="none"/>
              </w:rPr>
            </w:pPr>
            <w:r>
              <w:rPr>
                <w:b/>
                <w:bCs/>
                <w:sz w:val="24"/>
                <w:highlight w:val="none"/>
              </w:rPr>
              <w:t xml:space="preserve">条目</w:t>
            </w:r>
            <w:r>
              <w:rPr>
                <w:b/>
                <w:bCs/>
                <w:sz w:val="24"/>
                <w:highlight w:val="none"/>
              </w:rPr>
            </w:r>
            <w:r/>
          </w:p>
        </w:tc>
        <w:tc>
          <w:tcPr>
            <w:tcW w:w="7210" w:type="dxa"/>
            <w:vAlign w:val="center"/>
            <w:textDirection w:val="lrTb"/>
            <w:noWrap w:val="false"/>
          </w:tcPr>
          <w:p>
            <w:pPr>
              <w:pStyle w:val="963"/>
              <w:jc w:val="center"/>
              <w:rPr>
                <w:b/>
                <w:bCs/>
                <w:sz w:val="24"/>
                <w:highlight w:val="none"/>
              </w:rPr>
            </w:pPr>
            <w:r>
              <w:rPr>
                <w:b/>
                <w:bCs/>
                <w:sz w:val="24"/>
                <w:highlight w:val="none"/>
              </w:rPr>
              <w:t xml:space="preserve">内容</w:t>
            </w:r>
            <w:r>
              <w:rPr>
                <w:b/>
                <w:bCs/>
                <w:sz w:val="24"/>
                <w:highlight w:val="none"/>
              </w:rPr>
            </w:r>
            <w:r/>
          </w:p>
        </w:tc>
      </w:tr>
      <w:tr>
        <w:trPr>
          <w:trHeight w:val="1046"/>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科研仪器设备</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是否属于科研仪器设备采购项目：</w:t>
            </w:r>
            <w:r>
              <w:rPr>
                <w:sz w:val="24"/>
                <w:highlight w:val="none"/>
              </w:rPr>
            </w:r>
            <w:r/>
          </w:p>
          <w:p>
            <w:pPr>
              <w:pStyle w:val="963"/>
              <w:jc w:val="left"/>
              <w:rPr>
                <w:sz w:val="24"/>
                <w:highlight w:val="none"/>
              </w:rPr>
            </w:pPr>
            <w:r>
              <w:rPr>
                <w:sz w:val="24"/>
                <w:highlight w:val="none"/>
              </w:rPr>
              <w:t xml:space="preserve">□是</w:t>
            </w:r>
            <w:r>
              <w:rPr>
                <w:sz w:val="24"/>
                <w:highlight w:val="none"/>
              </w:rPr>
            </w:r>
            <w:r/>
          </w:p>
          <w:p>
            <w:pPr>
              <w:pStyle w:val="963"/>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64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3.2.5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标的所属行业</w:t>
            </w:r>
            <w:r>
              <w:rPr>
                <w:sz w:val="24"/>
                <w:highlight w:val="none"/>
              </w:rPr>
            </w:r>
            <w:r/>
          </w:p>
        </w:tc>
        <w:tc>
          <w:tcPr>
            <w:tcW w:w="7210" w:type="dxa"/>
            <w:vAlign w:val="center"/>
            <w:textDirection w:val="lrTb"/>
            <w:noWrap w:val="false"/>
          </w:tcPr>
          <w:p>
            <w:pPr>
              <w:pStyle w:val="963"/>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农业  </w:t>
            </w:r>
            <w:r>
              <w:rPr>
                <w:sz w:val="24"/>
                <w:highlight w:val="none"/>
              </w:rPr>
            </w:r>
            <w:r/>
          </w:p>
        </w:tc>
      </w:tr>
      <w:tr>
        <w:trPr>
          <w:trHeight w:val="110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9.2</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报价</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报价的特殊规定：</w:t>
            </w:r>
            <w:r>
              <w:rPr>
                <w:sz w:val="24"/>
                <w:highlight w:val="none"/>
              </w:rPr>
            </w:r>
            <w:r/>
          </w:p>
          <w:p>
            <w:pPr>
              <w:pStyle w:val="963"/>
              <w:jc w:val="left"/>
              <w:rPr>
                <w:sz w:val="24"/>
                <w:highlight w:val="none"/>
              </w:rPr>
            </w:pPr>
            <w:r>
              <w:rPr>
                <w:b/>
                <w:sz w:val="24"/>
                <w:highlight w:val="none"/>
              </w:rPr>
              <w:t xml:space="preserve">■</w:t>
            </w:r>
            <w:r>
              <w:rPr>
                <w:sz w:val="24"/>
                <w:highlight w:val="none"/>
              </w:rPr>
              <w:t xml:space="preserve">无</w:t>
            </w:r>
            <w:r>
              <w:rPr>
                <w:sz w:val="24"/>
                <w:highlight w:val="none"/>
              </w:rPr>
            </w:r>
            <w:r/>
          </w:p>
          <w:p>
            <w:pPr>
              <w:pStyle w:val="963"/>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42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10.1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保证金</w:t>
            </w:r>
            <w:r>
              <w:rPr>
                <w:sz w:val="24"/>
                <w:highlight w:val="none"/>
              </w:rPr>
            </w:r>
            <w:r/>
          </w:p>
        </w:tc>
        <w:tc>
          <w:tcPr>
            <w:tcW w:w="7210" w:type="dxa"/>
            <w:vAlign w:val="center"/>
            <w:textDirection w:val="lrTb"/>
            <w:noWrap w:val="false"/>
          </w:tcPr>
          <w:p>
            <w:pPr>
              <w:pStyle w:val="963"/>
              <w:jc w:val="left"/>
              <w:rPr>
                <w:sz w:val="24"/>
                <w:highlight w:val="none"/>
              </w:rPr>
            </w:pPr>
            <w:r>
              <w:rPr>
                <w:rFonts w:hint="eastAsia"/>
                <w:sz w:val="24"/>
                <w:highlight w:val="none"/>
              </w:rPr>
              <w:t xml:space="preserve">免收</w:t>
            </w:r>
            <w:r>
              <w:rPr>
                <w:sz w:val="24"/>
                <w:highlight w:val="none"/>
              </w:rPr>
            </w:r>
            <w:r/>
          </w:p>
        </w:tc>
      </w:tr>
      <w:tr>
        <w:trPr>
          <w:trHeight w:val="437"/>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响应有效期</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139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19.1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确定成交</w:t>
            </w:r>
            <w:r>
              <w:rPr>
                <w:sz w:val="24"/>
                <w:highlight w:val="none"/>
              </w:rPr>
            </w:r>
            <w:r/>
          </w:p>
          <w:p>
            <w:pPr>
              <w:pStyle w:val="963"/>
              <w:jc w:val="center"/>
              <w:rPr>
                <w:sz w:val="24"/>
                <w:highlight w:val="none"/>
              </w:rPr>
            </w:pPr>
            <w:r>
              <w:rPr>
                <w:sz w:val="24"/>
                <w:highlight w:val="none"/>
              </w:rPr>
              <w:t xml:space="preserve">供应商</w:t>
            </w:r>
            <w:r>
              <w:rPr>
                <w:sz w:val="24"/>
                <w:highlight w:val="none"/>
              </w:rPr>
            </w:r>
            <w:r/>
          </w:p>
        </w:tc>
        <w:tc>
          <w:tcPr>
            <w:tcW w:w="7210" w:type="dxa"/>
            <w:vAlign w:val="center"/>
            <w:textDirection w:val="lrTb"/>
            <w:noWrap w:val="false"/>
          </w:tcPr>
          <w:p>
            <w:pPr>
              <w:pStyle w:val="1002"/>
              <w:rPr>
                <w:rFonts w:ascii="Times New Roman" w:hAnsi="Times New Roman"/>
                <w:sz w:val="24"/>
                <w:highlight w:val="none"/>
              </w:rPr>
            </w:pPr>
            <w:r>
              <w:rPr>
                <w:rFonts w:ascii="Times New Roman" w:hAnsi="Times New Roman"/>
                <w:sz w:val="24"/>
                <w:highlight w:val="none"/>
              </w:rPr>
              <w:t xml:space="preserve">采购人是否授权询价小组直接确定成交供应商：</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否</w:t>
            </w:r>
            <w:r>
              <w:rPr>
                <w:rFonts w:ascii="Times New Roman" w:hAnsi="Times New Roman"/>
                <w:sz w:val="24"/>
                <w:highlight w:val="none"/>
              </w:rPr>
            </w:r>
            <w:r/>
          </w:p>
          <w:p>
            <w:pPr>
              <w:pStyle w:val="1002"/>
              <w:rPr>
                <w:rFonts w:ascii="Times New Roman" w:hAnsi="Times New Roman"/>
                <w:sz w:val="24"/>
                <w:highlight w:val="none"/>
              </w:rPr>
            </w:pPr>
            <w:r>
              <w:rPr>
                <w:rFonts w:ascii="Times New Roman" w:hAnsi="Times New Roman"/>
                <w:sz w:val="24"/>
                <w:highlight w:val="none"/>
              </w:rPr>
              <w:t xml:space="preserve">□</w:t>
            </w:r>
            <w:r>
              <w:rPr>
                <w:rFonts w:ascii="Times New Roman" w:hAnsi="Times New Roman"/>
                <w:sz w:val="24"/>
                <w:highlight w:val="none"/>
              </w:rPr>
              <w:t xml:space="preserve">是</w:t>
            </w:r>
            <w:r>
              <w:rPr>
                <w:rFonts w:ascii="Times New Roman" w:hAnsi="Times New Roman"/>
                <w:sz w:val="24"/>
                <w:highlight w:val="none"/>
              </w:rPr>
            </w:r>
            <w:r/>
          </w:p>
          <w:p>
            <w:pPr>
              <w:pStyle w:val="1002"/>
              <w:rPr>
                <w:rFonts w:ascii="Times New Roman" w:hAnsi="Times New Roman"/>
                <w:sz w:val="24"/>
                <w:highlight w:val="none"/>
                <w:u w:val="single"/>
              </w:rPr>
            </w:pPr>
            <w:r>
              <w:rPr>
                <w:rFonts w:ascii="Times New Roman" w:hAnsi="Times New Roman"/>
                <w:sz w:val="24"/>
                <w:highlight w:val="none"/>
              </w:rPr>
              <w:t xml:space="preserve">成交候选人并列的，按照以下方式确定成交供应商：</w:t>
            </w:r>
            <w:r>
              <w:rPr>
                <w:rFonts w:ascii="Times New Roman" w:hAnsi="Times New Roman"/>
                <w:sz w:val="24"/>
                <w:highlight w:val="none"/>
                <w:u w:val="single"/>
              </w:rPr>
              <w:t xml:space="preserve"> </w:t>
            </w:r>
            <w:r>
              <w:rPr>
                <w:rFonts w:ascii="Times New Roman" w:hAnsi="Times New Roman"/>
                <w:sz w:val="24"/>
                <w:highlight w:val="none"/>
                <w:u w:val="single"/>
              </w:rPr>
              <w:t xml:space="preserve">采购人抽签确定</w:t>
            </w:r>
            <w:r>
              <w:rPr>
                <w:rFonts w:ascii="Times New Roman" w:hAnsi="Times New Roman"/>
                <w:sz w:val="24"/>
                <w:highlight w:val="none"/>
                <w:u w:val="single"/>
              </w:rPr>
              <w:t xml:space="preserve"> </w:t>
            </w:r>
            <w:r>
              <w:rPr>
                <w:rFonts w:ascii="Times New Roman" w:hAnsi="Times New Roman"/>
                <w:sz w:val="24"/>
                <w:highlight w:val="none"/>
              </w:rPr>
              <w:t xml:space="preserve">。</w:t>
            </w:r>
            <w:r>
              <w:rPr>
                <w:rFonts w:ascii="Times New Roman" w:hAnsi="Times New Roman"/>
                <w:sz w:val="24"/>
                <w:highlight w:val="none"/>
                <w:u w:val="single"/>
              </w:rPr>
            </w:r>
            <w:r/>
          </w:p>
        </w:tc>
      </w:tr>
      <w:tr>
        <w:trPr>
          <w:trHeight w:val="2164"/>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22.5</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分包</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本项目是否允许分包： </w:t>
            </w:r>
            <w:r>
              <w:rPr>
                <w:sz w:val="24"/>
                <w:highlight w:val="none"/>
              </w:rPr>
            </w:r>
            <w:r/>
          </w:p>
          <w:p>
            <w:pPr>
              <w:pStyle w:val="963"/>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963"/>
              <w:jc w:val="left"/>
              <w:rPr>
                <w:sz w:val="24"/>
                <w:highlight w:val="none"/>
              </w:rPr>
            </w:pPr>
            <w:r>
              <w:rPr>
                <w:sz w:val="24"/>
                <w:highlight w:val="none"/>
              </w:rPr>
              <w:t xml:space="preserve">□允许，具体要求：</w:t>
            </w:r>
            <w:r>
              <w:rPr>
                <w:sz w:val="24"/>
                <w:highlight w:val="none"/>
              </w:rPr>
            </w:r>
            <w:r/>
          </w:p>
          <w:p>
            <w:pPr>
              <w:pStyle w:val="963"/>
              <w:jc w:val="left"/>
              <w:rPr>
                <w:sz w:val="24"/>
                <w:highlight w:val="none"/>
              </w:rPr>
            </w:pPr>
            <w:r>
              <w:rPr>
                <w:sz w:val="24"/>
                <w:highlight w:val="none"/>
              </w:rPr>
              <w:t xml:space="preserve">（1）可以分包履行的具体内容：__________；</w:t>
            </w:r>
            <w:r>
              <w:rPr>
                <w:sz w:val="24"/>
                <w:highlight w:val="none"/>
              </w:rPr>
            </w:r>
            <w:r/>
          </w:p>
          <w:p>
            <w:pPr>
              <w:pStyle w:val="963"/>
              <w:jc w:val="left"/>
              <w:rPr>
                <w:sz w:val="24"/>
                <w:highlight w:val="none"/>
              </w:rPr>
            </w:pPr>
            <w:r>
              <w:rPr>
                <w:sz w:val="24"/>
                <w:highlight w:val="none"/>
              </w:rPr>
              <w:t xml:space="preserve">（2）允许分包的金额或者比例：__________；</w:t>
            </w:r>
            <w:r>
              <w:rPr>
                <w:sz w:val="24"/>
                <w:highlight w:val="none"/>
              </w:rPr>
            </w:r>
            <w:r/>
          </w:p>
          <w:p>
            <w:pPr>
              <w:pStyle w:val="963"/>
              <w:jc w:val="left"/>
              <w:rPr>
                <w:sz w:val="24"/>
                <w:highlight w:val="none"/>
                <w:u w:val="single"/>
              </w:rPr>
            </w:pPr>
            <w:r>
              <w:rPr>
                <w:sz w:val="24"/>
                <w:highlight w:val="none"/>
              </w:rPr>
              <w:t xml:space="preserve">（3）其他要求：__________。</w:t>
            </w:r>
            <w:r>
              <w:rPr>
                <w:sz w:val="24"/>
                <w:highlight w:val="none"/>
                <w:u w:val="single"/>
              </w:rPr>
            </w:r>
            <w:r/>
          </w:p>
        </w:tc>
      </w:tr>
      <w:tr>
        <w:trPr>
          <w:trHeight w:val="591"/>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23.1.1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询问</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t xml:space="preserve">。</w:t>
            </w:r>
            <w:r>
              <w:rPr>
                <w:sz w:val="24"/>
                <w:highlight w:val="none"/>
              </w:rPr>
            </w:r>
            <w:r/>
          </w:p>
        </w:tc>
      </w:tr>
      <w:tr>
        <w:trPr>
          <w:trHeight w:val="1782"/>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23.3</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联系方式</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接收询问和质疑的联系方式</w:t>
            </w:r>
            <w:r>
              <w:rPr>
                <w:sz w:val="24"/>
                <w:highlight w:val="none"/>
              </w:rPr>
            </w:r>
            <w:r/>
          </w:p>
          <w:p>
            <w:pPr>
              <w:pStyle w:val="963"/>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63"/>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63"/>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139"/>
        </w:trPr>
        <w:tc>
          <w:tcPr>
            <w:tcW w:w="1031" w:type="dxa"/>
            <w:vAlign w:val="center"/>
            <w:textDirection w:val="lrTb"/>
            <w:noWrap w:val="false"/>
          </w:tcPr>
          <w:p>
            <w:pPr>
              <w:pStyle w:val="1002"/>
              <w:jc w:val="center"/>
              <w:rPr>
                <w:rFonts w:ascii="Times New Roman" w:hAnsi="Times New Roman"/>
                <w:sz w:val="24"/>
                <w:szCs w:val="24"/>
                <w:highlight w:val="none"/>
              </w:rPr>
            </w:pPr>
            <w:r>
              <w:rPr>
                <w:rFonts w:ascii="Times New Roman" w:hAnsi="Times New Roman"/>
                <w:sz w:val="24"/>
                <w:szCs w:val="24"/>
                <w:highlight w:val="none"/>
              </w:rPr>
              <w:t xml:space="preserve">24.1</w:t>
            </w:r>
            <w:r>
              <w:rPr>
                <w:rFonts w:ascii="Times New Roman" w:hAnsi="Times New Roman"/>
                <w:sz w:val="24"/>
                <w:szCs w:val="24"/>
                <w:highlight w:val="none"/>
              </w:rPr>
            </w:r>
            <w:r/>
          </w:p>
        </w:tc>
        <w:tc>
          <w:tcPr>
            <w:tcW w:w="1701" w:type="dxa"/>
            <w:vAlign w:val="center"/>
            <w:textDirection w:val="lrTb"/>
            <w:noWrap w:val="false"/>
          </w:tcPr>
          <w:p>
            <w:pPr>
              <w:pStyle w:val="963"/>
              <w:jc w:val="center"/>
              <w:rPr>
                <w:sz w:val="24"/>
                <w:highlight w:val="none"/>
              </w:rPr>
            </w:pPr>
            <w:r>
              <w:rPr>
                <w:sz w:val="24"/>
                <w:highlight w:val="none"/>
              </w:rPr>
              <w:t xml:space="preserve">代理费</w:t>
            </w:r>
            <w:r>
              <w:rPr>
                <w:sz w:val="24"/>
                <w:highlight w:val="none"/>
              </w:rPr>
            </w:r>
            <w:r/>
          </w:p>
        </w:tc>
        <w:tc>
          <w:tcPr>
            <w:tcW w:w="7210" w:type="dxa"/>
            <w:vAlign w:val="center"/>
            <w:textDirection w:val="lrTb"/>
            <w:noWrap w:val="false"/>
          </w:tcPr>
          <w:p>
            <w:pPr>
              <w:pStyle w:val="963"/>
              <w:jc w:val="left"/>
              <w:rPr>
                <w:sz w:val="24"/>
                <w:highlight w:val="none"/>
              </w:rPr>
            </w:pPr>
            <w:r>
              <w:rPr>
                <w:sz w:val="24"/>
                <w:highlight w:val="none"/>
              </w:rPr>
              <w:t xml:space="preserve">收费对象：</w:t>
            </w:r>
            <w:r>
              <w:rPr>
                <w:sz w:val="24"/>
                <w:highlight w:val="none"/>
              </w:rPr>
            </w:r>
            <w:r/>
          </w:p>
          <w:p>
            <w:pPr>
              <w:pStyle w:val="963"/>
              <w:jc w:val="left"/>
              <w:rPr>
                <w:sz w:val="24"/>
                <w:highlight w:val="none"/>
              </w:rPr>
            </w:pPr>
            <w:r>
              <w:rPr>
                <w:highlight w:val="none"/>
              </w:rPr>
              <w:t xml:space="preserve">□</w:t>
            </w:r>
            <w:r>
              <w:rPr>
                <w:sz w:val="24"/>
                <w:highlight w:val="none"/>
              </w:rPr>
              <w:t xml:space="preserve">采购人</w:t>
            </w:r>
            <w:r>
              <w:rPr>
                <w:sz w:val="24"/>
                <w:highlight w:val="none"/>
              </w:rPr>
            </w:r>
            <w:r/>
          </w:p>
          <w:p>
            <w:pPr>
              <w:pStyle w:val="963"/>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963"/>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963"/>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rPr>
                <w:sz w:val="24"/>
                <w:highlight w:val="none"/>
              </w:rPr>
            </w:r>
            <w:r/>
          </w:p>
        </w:tc>
      </w:tr>
    </w:tbl>
    <w:p>
      <w:pPr>
        <w:pStyle w:val="963"/>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63"/>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965"/>
        <w:jc w:val="left"/>
        <w:spacing w:before="0" w:line="360" w:lineRule="auto"/>
        <w:tabs>
          <w:tab w:val="center" w:pos="4592" w:leader="none"/>
          <w:tab w:val="left" w:pos="7860" w:leader="none"/>
        </w:tabs>
        <w:rPr>
          <w:rFonts w:ascii="Times New Roman" w:hAnsi="Times New Roman" w:eastAsia="宋体"/>
          <w:sz w:val="28"/>
          <w:highlight w:val="none"/>
        </w:rPr>
      </w:pPr>
      <w:r/>
      <w:bookmarkStart w:id="69" w:name="_Toc520356143"/>
      <w:r/>
      <w:bookmarkStart w:id="70" w:name="_Toc127151518"/>
      <w:r>
        <w:rPr>
          <w:rFonts w:ascii="Times New Roman" w:hAnsi="Times New Roman" w:eastAsia="宋体"/>
          <w:sz w:val="28"/>
          <w:highlight w:val="none"/>
        </w:rPr>
        <w:tab/>
      </w:r>
      <w:bookmarkStart w:id="71" w:name="_Toc151193688"/>
      <w:r/>
      <w:bookmarkStart w:id="72" w:name="_Toc151193906"/>
      <w:r/>
      <w:bookmarkStart w:id="73" w:name="_Toc226309762"/>
      <w:r/>
      <w:bookmarkStart w:id="74" w:name="_Toc305158860"/>
      <w:r/>
      <w:bookmarkStart w:id="75" w:name="_Toc151193616"/>
      <w:r/>
      <w:bookmarkStart w:id="76" w:name="_Toc150774618"/>
      <w:r/>
      <w:bookmarkStart w:id="77" w:name="_Toc305158786"/>
      <w:r/>
      <w:bookmarkStart w:id="78" w:name="_Toc226337214"/>
      <w:r/>
      <w:bookmarkStart w:id="79" w:name="_Toc226965791"/>
      <w:r/>
      <w:bookmarkStart w:id="80" w:name="_Toc195842883"/>
      <w:r/>
      <w:bookmarkStart w:id="81" w:name="_Toc150774723"/>
      <w:r/>
      <w:bookmarkStart w:id="82" w:name="_Toc151193760"/>
      <w:r/>
      <w:bookmarkStart w:id="83" w:name="_Toc226965708"/>
      <w:r/>
      <w:bookmarkStart w:id="84" w:name="_Toc265228356"/>
      <w:r/>
      <w:bookmarkStart w:id="85" w:name="_Toc150480756"/>
      <w:r/>
      <w:bookmarkStart w:id="86" w:name="_Toc142311020"/>
      <w:r/>
      <w:bookmarkStart w:id="87" w:name="_Toc151190145"/>
      <w:r/>
      <w:bookmarkStart w:id="88" w:name="_Toc150509269"/>
      <w:r/>
      <w:bookmarkStart w:id="89" w:name="_Toc151193832"/>
      <w:r/>
      <w:bookmarkStart w:id="90" w:name="_Toc264969208"/>
      <w:r>
        <w:rPr>
          <w:rFonts w:ascii="Times New Roman" w:hAnsi="Times New Roman" w:eastAsia="宋体"/>
          <w:sz w:val="28"/>
          <w:highlight w:val="none"/>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highlight w:val="none"/>
        </w:rPr>
        <w:tab/>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1" w:name="_Toc264969209"/>
      <w:r/>
      <w:bookmarkStart w:id="92" w:name="_Toc305158861"/>
      <w:r/>
      <w:bookmarkStart w:id="93" w:name="_Toc265228357"/>
      <w:r/>
      <w:bookmarkStart w:id="94" w:name="_Toc305158787"/>
      <w:r>
        <w:rPr>
          <w:sz w:val="24"/>
          <w:highlight w:val="none"/>
        </w:rPr>
        <w:t xml:space="preserve">采购人、采购代理机构、供应商（申请人）</w:t>
      </w:r>
      <w:bookmarkEnd w:id="91"/>
      <w:r/>
      <w:bookmarkEnd w:id="92"/>
      <w:r/>
      <w:bookmarkEnd w:id="93"/>
      <w:r/>
      <w:bookmarkEnd w:id="94"/>
      <w:r>
        <w:rPr>
          <w:sz w:val="24"/>
          <w:highlight w:val="none"/>
        </w:rPr>
        <w:t xml:space="preserve">、联合体</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95" w:name="_Toc195842885"/>
      <w:r/>
      <w:bookmarkStart w:id="96" w:name="_Toc164608789"/>
      <w:r/>
      <w:bookmarkStart w:id="97" w:name="_Toc265228358"/>
      <w:r/>
      <w:bookmarkStart w:id="98" w:name="_Toc226337216"/>
      <w:r/>
      <w:bookmarkStart w:id="99" w:name="_Toc142311022"/>
      <w:r/>
      <w:bookmarkStart w:id="100" w:name="_Toc164608634"/>
      <w:r/>
      <w:bookmarkStart w:id="101" w:name="_Toc164229361"/>
      <w:r/>
      <w:bookmarkStart w:id="102" w:name="_Toc151190147"/>
      <w:r/>
      <w:bookmarkStart w:id="103" w:name="_Toc127151520"/>
      <w:r/>
      <w:bookmarkStart w:id="104" w:name="_Toc264969210"/>
      <w:r/>
      <w:bookmarkStart w:id="105" w:name="_Toc150509271"/>
      <w:r/>
      <w:bookmarkStart w:id="106" w:name="_Toc226965793"/>
      <w:r/>
      <w:bookmarkStart w:id="107" w:name="_Toc305158862"/>
      <w:r/>
      <w:bookmarkStart w:id="108" w:name="_Toc127161434"/>
      <w:r/>
      <w:bookmarkStart w:id="109" w:name="_Toc151193762"/>
      <w:r/>
      <w:bookmarkStart w:id="110" w:name="_Toc164229215"/>
      <w:r/>
      <w:bookmarkStart w:id="111" w:name="_Toc164351614"/>
      <w:r/>
      <w:bookmarkStart w:id="112" w:name="_Toc149720813"/>
      <w:r/>
      <w:bookmarkStart w:id="113" w:name="_Toc127151721"/>
      <w:r/>
      <w:bookmarkStart w:id="114" w:name="_Toc151193618"/>
      <w:r/>
      <w:bookmarkStart w:id="115" w:name="_Toc226965710"/>
      <w:r/>
      <w:bookmarkStart w:id="116" w:name="_Toc150480758"/>
      <w:r/>
      <w:bookmarkStart w:id="117" w:name="_Toc151193834"/>
      <w:r/>
      <w:bookmarkStart w:id="118" w:name="_Toc151193690"/>
      <w:r/>
      <w:bookmarkStart w:id="119" w:name="_Toc150774725"/>
      <w:r/>
      <w:bookmarkStart w:id="120" w:name="_Toc226309764"/>
      <w:r/>
      <w:bookmarkStart w:id="121" w:name="_Toc151193908"/>
      <w:r/>
      <w:bookmarkStart w:id="122" w:name="_Toc150774620"/>
      <w:r/>
      <w:bookmarkStart w:id="123" w:name="_Toc305158788"/>
      <w:r>
        <w:rPr>
          <w:sz w:val="24"/>
          <w:highlight w:val="none"/>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highlight w:val="none"/>
        </w:rPr>
        <w:t xml:space="preserve">、科研仪器设备采购</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963"/>
        <w:numPr>
          <w:ilvl w:val="0"/>
          <w:numId w:val="8"/>
        </w:numPr>
        <w:ind w:left="357" w:hanging="357"/>
        <w:spacing w:line="360" w:lineRule="auto"/>
        <w:tabs>
          <w:tab w:val="left" w:pos="360" w:leader="none"/>
        </w:tabs>
        <w:rPr>
          <w:sz w:val="24"/>
          <w:highlight w:val="none"/>
        </w:rPr>
        <w:outlineLvl w:val="1"/>
      </w:pPr>
      <w:r/>
      <w:bookmarkStart w:id="124" w:name="_Toc150480760"/>
      <w:r/>
      <w:bookmarkStart w:id="125" w:name="_Toc264969212"/>
      <w:r/>
      <w:bookmarkStart w:id="126" w:name="_Toc195842887"/>
      <w:r/>
      <w:bookmarkStart w:id="127" w:name="_Toc305158790"/>
      <w:r/>
      <w:bookmarkStart w:id="128" w:name="_Toc265228360"/>
      <w:r/>
      <w:bookmarkStart w:id="129" w:name="_Toc150774727"/>
      <w:r/>
      <w:bookmarkStart w:id="130" w:name="_Toc151193910"/>
      <w:r/>
      <w:bookmarkStart w:id="131" w:name="_Toc151193692"/>
      <w:r/>
      <w:bookmarkStart w:id="132" w:name="_Toc305158864"/>
      <w:r/>
      <w:bookmarkStart w:id="133" w:name="_Toc150774622"/>
      <w:r/>
      <w:bookmarkStart w:id="134" w:name="_Toc226309766"/>
      <w:r/>
      <w:bookmarkStart w:id="135" w:name="_Toc151193764"/>
      <w:r/>
      <w:bookmarkStart w:id="136" w:name="_Toc226337218"/>
      <w:r/>
      <w:bookmarkStart w:id="137" w:name="_Toc151193620"/>
      <w:r/>
      <w:bookmarkStart w:id="138" w:name="_Toc226965712"/>
      <w:r/>
      <w:bookmarkStart w:id="139" w:name="_Toc142311024"/>
      <w:r/>
      <w:bookmarkStart w:id="140" w:name="_Toc127151522"/>
      <w:r/>
      <w:bookmarkStart w:id="141" w:name="_Toc520356146"/>
      <w:r/>
      <w:bookmarkStart w:id="142" w:name="_Toc151193836"/>
      <w:r/>
      <w:bookmarkStart w:id="143" w:name="_Toc226965795"/>
      <w:r/>
      <w:bookmarkStart w:id="144" w:name="_Toc150509273"/>
      <w:r/>
      <w:bookmarkStart w:id="145" w:name="_Toc151190149"/>
      <w:r>
        <w:rPr>
          <w:sz w:val="24"/>
          <w:highlight w:val="none"/>
        </w:rPr>
        <w:t xml:space="preserve">政府采购政策（包括但不限于下列具体政策要求）</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63"/>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63"/>
        <w:numPr>
          <w:ilvl w:val="3"/>
          <w:numId w:val="8"/>
        </w:numPr>
        <w:ind w:left="2885"/>
        <w:spacing w:line="360" w:lineRule="auto"/>
        <w:tabs>
          <w:tab w:val="left" w:pos="900" w:leader="none"/>
          <w:tab w:val="left" w:pos="1980" w:leader="none"/>
          <w:tab w:val="left" w:pos="203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本项目是否专门面向中小企业预留采购份额见第一章《采购邀请》。</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小微企业价格评审优惠的政策调整：见第三章《评审程序和评定成交的标准》。</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非政府强制采购的节能产品或环境标志产品，依据品目清单和认证证书实施政府优先采购。优先采购的具体规定见第三章《评审程序和评定成交的标准》（如涉及）。</w:t>
      </w:r>
      <w:r>
        <w:rPr>
          <w:rFonts w:hint="eastAsia"/>
          <w:sz w:val="24"/>
          <w:highlight w:val="none"/>
        </w:rPr>
      </w:r>
      <w:r/>
    </w:p>
    <w:p>
      <w:pPr>
        <w:pStyle w:val="963"/>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响应无效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63"/>
        <w:numPr>
          <w:ilvl w:val="2"/>
          <w:numId w:val="8"/>
        </w:numPr>
        <w:spacing w:line="360" w:lineRule="auto"/>
        <w:tabs>
          <w:tab w:val="left" w:pos="1980" w:leader="none"/>
          <w:tab w:val="left" w:pos="2014" w:leader="none"/>
        </w:tabs>
        <w:rPr>
          <w:rFonts w:hint="eastAsia"/>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highlight w:val="none"/>
        </w:rPr>
      </w:r>
      <w:r/>
    </w:p>
    <w:p>
      <w:pPr>
        <w:pStyle w:val="963"/>
        <w:ind w:firstLine="240"/>
        <w:spacing w:line="360" w:lineRule="auto"/>
        <w:tabs>
          <w:tab w:val="left" w:pos="2014" w:leader="none"/>
        </w:tabs>
        <w:rPr>
          <w:rFonts w:hint="eastAsia"/>
          <w:sz w:val="24"/>
          <w:highlight w:val="none"/>
        </w:rPr>
      </w:pPr>
      <w:r>
        <w:rPr>
          <w:rFonts w:hint="eastAsia"/>
          <w:sz w:val="24"/>
          <w:highlight w:val="none"/>
        </w:rPr>
        <w:t xml:space="preserve">3.8   绿色采购政策</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3.8.1  绿色数据中心政策 </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3.8.2 推广应用绿色建材</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sz w:val="24"/>
          <w:highlight w:val="none"/>
        </w:rPr>
      </w:r>
      <w:r/>
    </w:p>
    <w:p>
      <w:pPr>
        <w:pStyle w:val="963"/>
        <w:ind w:left="1080"/>
        <w:spacing w:line="360" w:lineRule="auto"/>
        <w:tabs>
          <w:tab w:val="left" w:pos="2014" w:leader="none"/>
        </w:tabs>
        <w:rPr>
          <w:rFonts w:hint="eastAsia"/>
          <w:sz w:val="24"/>
          <w:highlight w:val="none"/>
        </w:rPr>
      </w:pPr>
      <w:r>
        <w:rPr>
          <w:rFonts w:hint="eastAsia"/>
          <w:sz w:val="24"/>
          <w:highlight w:val="none"/>
        </w:rPr>
        <w:t xml:space="preserve"> 3.8.3 优先使用低挥发性有机化合物产品</w:t>
      </w:r>
      <w:r>
        <w:rPr>
          <w:rFonts w:hint="eastAsia"/>
          <w:sz w:val="24"/>
          <w:highlight w:val="none"/>
        </w:rPr>
      </w:r>
      <w:r/>
    </w:p>
    <w:p>
      <w:pPr>
        <w:pStyle w:val="963"/>
        <w:ind w:left="1080"/>
        <w:spacing w:line="360" w:lineRule="auto"/>
        <w:tabs>
          <w:tab w:val="left" w:pos="2014" w:leader="none"/>
        </w:tabs>
        <w:rPr>
          <w:sz w:val="24"/>
          <w:highlight w:val="none"/>
        </w:rPr>
      </w:pP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供应商应自行承担所有与准备和参加询价采购有关的费用，无论询价采购响应的结果如何，采购人或采购代理机构在任何情况下均无承担这些费用的义务和责任。</w:t>
      </w:r>
      <w:r>
        <w:rPr>
          <w:sz w:val="24"/>
          <w:highlight w:val="none"/>
        </w:rPr>
      </w:r>
      <w:r/>
    </w:p>
    <w:p>
      <w:pPr>
        <w:pStyle w:val="963"/>
        <w:ind w:left="1080"/>
        <w:spacing w:line="360" w:lineRule="auto"/>
        <w:tabs>
          <w:tab w:val="left" w:pos="1080" w:leader="none"/>
        </w:tabs>
        <w:rPr>
          <w:sz w:val="28"/>
          <w:highlight w:val="none"/>
        </w:rPr>
      </w:pPr>
      <w:r/>
      <w:bookmarkStart w:id="146" w:name="_1.8_计量单位"/>
      <w:r/>
      <w:bookmarkEnd w:id="146"/>
      <w:r>
        <w:rPr>
          <w:sz w:val="28"/>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询价通知书</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147" w:name="_Toc150509274"/>
      <w:r/>
      <w:bookmarkStart w:id="148" w:name="_Toc127151724"/>
      <w:r/>
      <w:bookmarkStart w:id="149" w:name="_Toc150774728"/>
      <w:r/>
      <w:bookmarkStart w:id="150" w:name="_Toc151193765"/>
      <w:r/>
      <w:bookmarkStart w:id="151" w:name="_Toc195842888"/>
      <w:r/>
      <w:bookmarkStart w:id="152" w:name="_Toc150480761"/>
      <w:r/>
      <w:bookmarkStart w:id="153" w:name="_Toc149720816"/>
      <w:r/>
      <w:bookmarkStart w:id="154" w:name="_Toc226965713"/>
      <w:r/>
      <w:bookmarkStart w:id="155" w:name="_Toc151193621"/>
      <w:r/>
      <w:bookmarkStart w:id="156" w:name="_Toc164229218"/>
      <w:r/>
      <w:bookmarkStart w:id="157" w:name="_Toc164351617"/>
      <w:r/>
      <w:bookmarkStart w:id="158" w:name="_Toc305158791"/>
      <w:r/>
      <w:bookmarkStart w:id="159" w:name="_Toc164608792"/>
      <w:r/>
      <w:bookmarkStart w:id="160" w:name="_Toc226337219"/>
      <w:r/>
      <w:bookmarkStart w:id="161" w:name="_Toc150774623"/>
      <w:r/>
      <w:bookmarkStart w:id="162" w:name="_Toc151190150"/>
      <w:r/>
      <w:bookmarkStart w:id="163" w:name="_Toc151193911"/>
      <w:r/>
      <w:bookmarkStart w:id="164" w:name="_Toc520356147"/>
      <w:r/>
      <w:bookmarkStart w:id="165" w:name="_Toc142311025"/>
      <w:r/>
      <w:bookmarkStart w:id="166" w:name="_Toc127151523"/>
      <w:r/>
      <w:bookmarkStart w:id="167" w:name="_Toc151193693"/>
      <w:r/>
      <w:bookmarkStart w:id="168" w:name="_Toc151193837"/>
      <w:r/>
      <w:bookmarkStart w:id="169" w:name="_Toc265228361"/>
      <w:r/>
      <w:bookmarkStart w:id="170" w:name="_Toc264969213"/>
      <w:r/>
      <w:bookmarkStart w:id="171" w:name="_Toc226309767"/>
      <w:r/>
      <w:bookmarkStart w:id="172" w:name="_Toc164608637"/>
      <w:r/>
      <w:bookmarkStart w:id="173" w:name="_Toc226965796"/>
      <w:r/>
      <w:bookmarkStart w:id="174" w:name="_Toc164229364"/>
      <w:r/>
      <w:bookmarkStart w:id="175" w:name="_Toc127161437"/>
      <w:r/>
      <w:bookmarkStart w:id="176" w:name="_Toc305158865"/>
      <w:r>
        <w:rPr>
          <w:sz w:val="24"/>
          <w:highlight w:val="none"/>
        </w:rPr>
        <w:t xml:space="preserve">询价通知书构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highlight w:val="none"/>
        </w:rPr>
        <w:t xml:space="preserve">成</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询价通知书包括以下部分：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采购邀请</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评审程序和评定成交的标准</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拟签订</w:t>
      </w:r>
      <w:r>
        <w:rPr>
          <w:sz w:val="24"/>
          <w:highlight w:val="none"/>
        </w:rPr>
        <w:t xml:space="preserve">的合同文本</w:t>
      </w:r>
      <w:r>
        <w:rPr>
          <w:sz w:val="24"/>
          <w:highlight w:val="none"/>
        </w:rPr>
      </w:r>
      <w:r/>
    </w:p>
    <w:p>
      <w:pPr>
        <w:pStyle w:val="963"/>
        <w:numPr>
          <w:ilvl w:val="0"/>
          <w:numId w:val="9"/>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供应商应认真阅读询价通知书的全部内容。供应商应按照询价通知书要求提交响应文件并保证所提供的全部资料的真实性，并对询价通知书做出实质性响应，否则</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对询价通知书的澄清或修改</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采购人或采购代理机构对已发出的询价通知书进行必要澄清或者修改的，将在原公告发布媒体上以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形式通知所有获取询价通知书的</w:t>
      </w:r>
      <w:r>
        <w:rPr>
          <w:rFonts w:hint="eastAsia"/>
          <w:sz w:val="24"/>
          <w:highlight w:val="none"/>
        </w:rPr>
        <w:t xml:space="preserve">供应商。</w:t>
      </w:r>
      <w:r>
        <w:rPr>
          <w:sz w:val="24"/>
          <w:highlight w:val="none"/>
        </w:rPr>
      </w:r>
      <w:r/>
    </w:p>
    <w:p>
      <w:pPr>
        <w:pStyle w:val="963"/>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澄清或者修改的内容为询价通知书的组成部分，并对所有获取询价通知书的潜在供应商具有约束力。澄清或者修改的内容可能影响响应文件编制的，将在提交响应文件截止之日3个工作日前，以</w:t>
      </w:r>
      <w:r>
        <w:rPr>
          <w:rFonts w:hint="eastAsia"/>
          <w:sz w:val="24"/>
          <w:highlight w:val="none"/>
        </w:rPr>
        <w:t xml:space="preserve">更正</w:t>
      </w:r>
      <w:r>
        <w:rPr>
          <w:sz w:val="24"/>
          <w:highlight w:val="none"/>
        </w:rPr>
        <w:t xml:space="preserve">形式通知所有接收询价通知书的供应商；不足3个工作日的，将顺延提交响应文件的截止之日。</w:t>
      </w:r>
      <w:r>
        <w:rPr>
          <w:sz w:val="24"/>
          <w:highlight w:val="none"/>
        </w:rPr>
      </w:r>
      <w:r/>
    </w:p>
    <w:p>
      <w:pPr>
        <w:pStyle w:val="963"/>
        <w:ind w:left="1080"/>
        <w:spacing w:line="360" w:lineRule="auto"/>
        <w:tabs>
          <w:tab w:val="left" w:pos="900" w:leader="none"/>
          <w:tab w:val="left" w:pos="1080" w:leader="none"/>
          <w:tab w:val="left" w:pos="1561" w:leader="none"/>
          <w:tab w:val="left" w:pos="1589"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177" w:name="_Toc150509277"/>
      <w:r/>
      <w:bookmarkStart w:id="178" w:name="_Toc151193696"/>
      <w:r/>
      <w:bookmarkStart w:id="179" w:name="_Toc150774626"/>
      <w:r/>
      <w:bookmarkStart w:id="180" w:name="_Toc226337222"/>
      <w:r/>
      <w:bookmarkStart w:id="181" w:name="_Toc151193840"/>
      <w:r/>
      <w:bookmarkStart w:id="182" w:name="_Toc127151526"/>
      <w:r/>
      <w:bookmarkStart w:id="183" w:name="_Toc305158794"/>
      <w:r/>
      <w:bookmarkStart w:id="184" w:name="_Toc226965716"/>
      <w:r/>
      <w:bookmarkStart w:id="185" w:name="_Toc150774731"/>
      <w:r/>
      <w:bookmarkStart w:id="186" w:name="_Toc305158868"/>
      <w:r/>
      <w:bookmarkStart w:id="187" w:name="_Toc150480764"/>
      <w:r/>
      <w:bookmarkStart w:id="188" w:name="_Toc151193768"/>
      <w:r/>
      <w:bookmarkStart w:id="189" w:name="_Toc516367020"/>
      <w:r/>
      <w:bookmarkStart w:id="190" w:name="_Toc142311028"/>
      <w:r/>
      <w:bookmarkStart w:id="191" w:name="_Toc151193914"/>
      <w:r/>
      <w:bookmarkStart w:id="192" w:name="_Toc520356150"/>
      <w:r/>
      <w:bookmarkStart w:id="193" w:name="_Toc195842891"/>
      <w:r/>
      <w:bookmarkStart w:id="194" w:name="_Toc226309770"/>
      <w:r/>
      <w:bookmarkStart w:id="195" w:name="_Toc265228364"/>
      <w:r/>
      <w:bookmarkStart w:id="196" w:name="_Toc151190153"/>
      <w:r/>
      <w:bookmarkStart w:id="197" w:name="_Toc264969216"/>
      <w:r/>
      <w:bookmarkStart w:id="198" w:name="_Toc151193624"/>
      <w:r/>
      <w:bookmarkStart w:id="199" w:name="_Toc226965799"/>
      <w:r>
        <w:rPr>
          <w:rFonts w:ascii="Times New Roman" w:hAnsi="Times New Roman" w:eastAsia="宋体"/>
          <w:sz w:val="28"/>
          <w:highlight w:val="none"/>
        </w:rPr>
        <w:t xml:space="preserve">三   响应文件</w:t>
      </w:r>
      <w:bookmarkEnd w:id="189"/>
      <w:r>
        <w:rPr>
          <w:rFonts w:ascii="Times New Roman" w:hAnsi="Times New Roman" w:eastAsia="宋体"/>
          <w:sz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00" w:name="_Toc150480765"/>
      <w:r/>
      <w:bookmarkStart w:id="201" w:name="_Toc164608796"/>
      <w:r/>
      <w:bookmarkStart w:id="202" w:name="_Toc265228365"/>
      <w:r/>
      <w:bookmarkStart w:id="203" w:name="_Toc151193915"/>
      <w:r/>
      <w:bookmarkStart w:id="204" w:name="_Toc264969217"/>
      <w:r/>
      <w:bookmarkStart w:id="205" w:name="_Toc520356151"/>
      <w:r/>
      <w:bookmarkStart w:id="206" w:name="_Toc142311029"/>
      <w:r/>
      <w:bookmarkStart w:id="207" w:name="_Toc149720820"/>
      <w:r/>
      <w:bookmarkStart w:id="208" w:name="_Toc305158795"/>
      <w:r/>
      <w:bookmarkStart w:id="209" w:name="_Toc151193769"/>
      <w:r/>
      <w:bookmarkStart w:id="210" w:name="_Toc226337223"/>
      <w:r/>
      <w:bookmarkStart w:id="211" w:name="_Toc164229368"/>
      <w:r/>
      <w:bookmarkStart w:id="212" w:name="_Toc226309771"/>
      <w:r/>
      <w:bookmarkStart w:id="213" w:name="_Toc127151527"/>
      <w:r/>
      <w:bookmarkStart w:id="214" w:name="_Toc226965800"/>
      <w:r/>
      <w:bookmarkStart w:id="215" w:name="_Toc150509278"/>
      <w:r/>
      <w:bookmarkStart w:id="216" w:name="_Toc164351621"/>
      <w:r/>
      <w:bookmarkStart w:id="217" w:name="_Toc127151728"/>
      <w:r/>
      <w:bookmarkStart w:id="218" w:name="_Toc151193625"/>
      <w:r/>
      <w:bookmarkStart w:id="219" w:name="_Toc226965717"/>
      <w:r/>
      <w:bookmarkStart w:id="220" w:name="_Toc516367021"/>
      <w:r/>
      <w:bookmarkStart w:id="221" w:name="_Toc151193841"/>
      <w:r/>
      <w:bookmarkStart w:id="222" w:name="_Toc150774627"/>
      <w:r/>
      <w:bookmarkStart w:id="223" w:name="_Toc164229222"/>
      <w:r/>
      <w:bookmarkStart w:id="224" w:name="_Toc127161441"/>
      <w:r/>
      <w:bookmarkStart w:id="225" w:name="_Toc195842892"/>
      <w:r/>
      <w:bookmarkStart w:id="226" w:name="_Toc151190154"/>
      <w:r/>
      <w:bookmarkStart w:id="227" w:name="_Toc305158869"/>
      <w:r/>
      <w:bookmarkStart w:id="228" w:name="_Toc164608641"/>
      <w:r/>
      <w:bookmarkStart w:id="229" w:name="_Toc150774732"/>
      <w:r/>
      <w:bookmarkStart w:id="230" w:name="_Toc151193697"/>
      <w:r>
        <w:rPr>
          <w:sz w:val="24"/>
          <w:highlight w:val="none"/>
        </w:rPr>
        <w:t xml:space="preserve">响应范围、响应文件中计量单位的使用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highlight w:val="none"/>
        </w:rPr>
        <w:t xml:space="preserve">及响应语言</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sz w:val="24"/>
          <w:highlight w:val="none"/>
        </w:rPr>
        <w:t xml:space="preserve">无效响应</w:t>
      </w:r>
      <w:r>
        <w:rPr>
          <w:sz w:val="24"/>
          <w:highlight w:val="none"/>
        </w:rPr>
        <w:t xml:space="preserve">。</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除询价通知书有特殊要求外，本项目响应所使用的计量单位，应采用中华人民共和国法定计量单位。</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31" w:name="_Toc226965718"/>
      <w:r/>
      <w:bookmarkStart w:id="232" w:name="_Toc164608797"/>
      <w:r/>
      <w:bookmarkStart w:id="233" w:name="_Toc127161442"/>
      <w:r/>
      <w:bookmarkStart w:id="234" w:name="_Toc150480766"/>
      <w:r/>
      <w:bookmarkStart w:id="235" w:name="_Toc149720821"/>
      <w:r/>
      <w:bookmarkStart w:id="236" w:name="_Toc226309772"/>
      <w:r/>
      <w:bookmarkStart w:id="237" w:name="_Toc164229369"/>
      <w:r/>
      <w:bookmarkStart w:id="238" w:name="_Toc195842893"/>
      <w:r/>
      <w:bookmarkStart w:id="239" w:name="_Toc151193626"/>
      <w:r/>
      <w:bookmarkStart w:id="240" w:name="_Toc150774733"/>
      <w:r/>
      <w:bookmarkStart w:id="241" w:name="_Toc151193842"/>
      <w:r/>
      <w:bookmarkStart w:id="242" w:name="_Toc520356152"/>
      <w:r/>
      <w:bookmarkStart w:id="243" w:name="_Toc151193916"/>
      <w:r/>
      <w:bookmarkStart w:id="244" w:name="_Toc164351622"/>
      <w:r/>
      <w:bookmarkStart w:id="245" w:name="_Toc226337224"/>
      <w:r/>
      <w:bookmarkStart w:id="246" w:name="_Toc150509279"/>
      <w:r/>
      <w:bookmarkStart w:id="247" w:name="_Toc151190155"/>
      <w:r/>
      <w:bookmarkStart w:id="248" w:name="_Toc265228366"/>
      <w:r/>
      <w:bookmarkStart w:id="249" w:name="_Toc264969218"/>
      <w:r/>
      <w:bookmarkStart w:id="250" w:name="_Toc150774628"/>
      <w:r/>
      <w:bookmarkStart w:id="251" w:name="_Toc151193770"/>
      <w:r/>
      <w:bookmarkStart w:id="252" w:name="_Toc127151528"/>
      <w:r/>
      <w:bookmarkStart w:id="253" w:name="_Toc164229223"/>
      <w:r/>
      <w:bookmarkStart w:id="254" w:name="_Toc164608642"/>
      <w:r/>
      <w:bookmarkStart w:id="255" w:name="_Toc127151729"/>
      <w:r/>
      <w:bookmarkStart w:id="256" w:name="_Toc151193698"/>
      <w:r/>
      <w:bookmarkStart w:id="257" w:name="_Toc226965801"/>
      <w:r/>
      <w:bookmarkStart w:id="258" w:name="_Toc305158870"/>
      <w:r/>
      <w:bookmarkStart w:id="259" w:name="_Toc142311030"/>
      <w:r/>
      <w:bookmarkStart w:id="260" w:name="_Toc305158796"/>
      <w:r>
        <w:rPr>
          <w:sz w:val="24"/>
          <w:highlight w:val="none"/>
        </w:rPr>
        <w:t xml:space="preserve">响应文件构成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61" w:name="_Ref467052588"/>
      <w:r>
        <w:rPr>
          <w:sz w:val="24"/>
          <w:highlight w:val="none"/>
        </w:rPr>
        <w:t xml:space="preserve">供应商应当按照询价通知书的要求编制响应文件。响应文件的部分格式要求，见第六章《响应文件格式》。</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第三章《评审程序和评定成交的标准》中涉及的证明文件。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62" w:name="_Toc151193700"/>
      <w:r/>
      <w:bookmarkStart w:id="263" w:name="_Toc127161444"/>
      <w:r/>
      <w:bookmarkStart w:id="264" w:name="_Toc164608644"/>
      <w:r/>
      <w:bookmarkStart w:id="265" w:name="_Toc151193628"/>
      <w:r/>
      <w:bookmarkStart w:id="266" w:name="_Toc150509281"/>
      <w:r/>
      <w:bookmarkStart w:id="267" w:name="_Toc164229225"/>
      <w:r/>
      <w:bookmarkStart w:id="268" w:name="_Toc195842895"/>
      <w:r/>
      <w:bookmarkStart w:id="269" w:name="_Toc164351624"/>
      <w:r/>
      <w:bookmarkStart w:id="270" w:name="_Toc142311032"/>
      <w:r/>
      <w:bookmarkStart w:id="271" w:name="_Toc520356155"/>
      <w:r/>
      <w:bookmarkStart w:id="272" w:name="_Toc151190157"/>
      <w:r/>
      <w:bookmarkStart w:id="273" w:name="_Toc150774735"/>
      <w:r/>
      <w:bookmarkStart w:id="274" w:name="_Toc150774630"/>
      <w:r/>
      <w:bookmarkStart w:id="275" w:name="_Toc151193918"/>
      <w:r/>
      <w:bookmarkStart w:id="276" w:name="_Toc164608799"/>
      <w:r/>
      <w:bookmarkStart w:id="277" w:name="_Toc151193772"/>
      <w:r/>
      <w:bookmarkStart w:id="278" w:name="_Toc149720823"/>
      <w:r/>
      <w:bookmarkStart w:id="279" w:name="_Toc151193844"/>
      <w:r/>
      <w:bookmarkStart w:id="280" w:name="_Toc150480768"/>
      <w:r/>
      <w:bookmarkStart w:id="281" w:name="_Toc127151530"/>
      <w:r/>
      <w:bookmarkStart w:id="282" w:name="_Toc127151731"/>
      <w:r/>
      <w:bookmarkStart w:id="283" w:name="_Toc164229371"/>
      <w:r>
        <w:rPr>
          <w:sz w:val="24"/>
          <w:highlight w:val="none"/>
        </w:rPr>
        <w:t xml:space="preserve">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响应的货物及标准附件、备品备件、专用工具等的出厂价（包括已在中国国内的进口货物完税后的仓库交货价、展室交货价或货架交货价）和运至最终目的地的运输费和保险费，安装调试、检验、技术服务、培训、质量保证、售后服务、税费等费用；</w:t>
      </w:r>
      <w:r>
        <w:rPr>
          <w:sz w:val="24"/>
          <w:highlight w:val="none"/>
        </w:rPr>
      </w:r>
      <w:r/>
    </w:p>
    <w:p>
      <w:pPr>
        <w:pStyle w:val="963"/>
        <w:numPr>
          <w:ilvl w:val="2"/>
          <w:numId w:val="8"/>
        </w:numPr>
        <w:spacing w:line="360" w:lineRule="auto"/>
        <w:tabs>
          <w:tab w:val="left" w:pos="1980" w:leader="none"/>
          <w:tab w:val="left" w:pos="2014" w:leader="none"/>
        </w:tabs>
        <w:rPr>
          <w:sz w:val="24"/>
          <w:highlight w:val="none"/>
        </w:rPr>
      </w:pPr>
      <w:r>
        <w:rPr>
          <w:sz w:val="24"/>
          <w:highlight w:val="none"/>
        </w:rPr>
        <w:t xml:space="preserve">按照询价通知书要求完成本项目的全部相关服务费用。 </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63"/>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供应商应当按照询价通知书的规定一次报出不得更改的价格。供应商不能提供任何有选择性或可调整的报价，否则其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rFonts w:hint="eastAsia"/>
          <w:sz w:val="24"/>
          <w:highlight w:val="none"/>
        </w:rPr>
        <w:outlineLvl w:val="1"/>
      </w:pPr>
      <w:r>
        <w:rPr>
          <w:sz w:val="24"/>
          <w:highlight w:val="none"/>
        </w:rPr>
        <w:t xml:space="preserve">保证金</w:t>
      </w:r>
      <w:r>
        <w:rPr>
          <w:rFonts w:hint="eastAsia"/>
          <w:sz w:val="24"/>
          <w:highlight w:val="none"/>
        </w:rPr>
      </w:r>
      <w:r/>
    </w:p>
    <w:p>
      <w:pPr>
        <w:pStyle w:val="963"/>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响应文件应在本询价通知书《供应商须知资料表》中规定的响应有效期内保持有效，响应有效期少于询价通知书规定期限的，其</w:t>
      </w:r>
      <w:r>
        <w:rPr>
          <w:b/>
          <w:sz w:val="24"/>
          <w:highlight w:val="none"/>
        </w:rPr>
        <w:t xml:space="preserve">响应无效</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284" w:name="_Toc127151533"/>
      <w:r/>
      <w:bookmarkStart w:id="285" w:name="_Toc151193847"/>
      <w:r/>
      <w:bookmarkStart w:id="286" w:name="_Toc226337229"/>
      <w:r/>
      <w:bookmarkStart w:id="287" w:name="_Toc226309777"/>
      <w:r/>
      <w:bookmarkStart w:id="288" w:name="_Toc264969223"/>
      <w:r/>
      <w:bookmarkStart w:id="289" w:name="_Toc151193631"/>
      <w:r/>
      <w:bookmarkStart w:id="290" w:name="_Toc151190160"/>
      <w:r/>
      <w:bookmarkStart w:id="291" w:name="_Toc305158801"/>
      <w:r/>
      <w:bookmarkStart w:id="292" w:name="_Toc164229374"/>
      <w:r/>
      <w:bookmarkStart w:id="293" w:name="_Toc164351627"/>
      <w:r/>
      <w:bookmarkStart w:id="294" w:name="_Toc151193775"/>
      <w:r/>
      <w:bookmarkStart w:id="295" w:name="_Toc127151734"/>
      <w:r/>
      <w:bookmarkStart w:id="296" w:name="_Toc305158875"/>
      <w:r/>
      <w:bookmarkStart w:id="297" w:name="_Toc520356158"/>
      <w:r/>
      <w:bookmarkStart w:id="298" w:name="_Toc164608802"/>
      <w:r/>
      <w:bookmarkStart w:id="299" w:name="_Toc127161447"/>
      <w:r/>
      <w:bookmarkStart w:id="300" w:name="_Toc151193703"/>
      <w:r/>
      <w:bookmarkStart w:id="301" w:name="_Toc150774633"/>
      <w:r/>
      <w:bookmarkStart w:id="302" w:name="_Toc164229228"/>
      <w:r/>
      <w:bookmarkStart w:id="303" w:name="_Toc150509284"/>
      <w:r/>
      <w:bookmarkStart w:id="304" w:name="_Toc150480771"/>
      <w:r/>
      <w:bookmarkStart w:id="305" w:name="_Toc226965723"/>
      <w:r/>
      <w:bookmarkStart w:id="306" w:name="_Toc151193921"/>
      <w:r/>
      <w:bookmarkStart w:id="307" w:name="_Toc150774738"/>
      <w:r/>
      <w:bookmarkStart w:id="308" w:name="_Toc226965806"/>
      <w:r/>
      <w:bookmarkStart w:id="309" w:name="_Toc142311035"/>
      <w:r/>
      <w:bookmarkStart w:id="310" w:name="_Toc195842898"/>
      <w:r/>
      <w:bookmarkStart w:id="311" w:name="_Toc265228371"/>
      <w:r/>
      <w:bookmarkStart w:id="312" w:name="_Toc149720826"/>
      <w:r/>
      <w:bookmarkStart w:id="313" w:name="_Toc164608647"/>
      <w:r>
        <w:rPr>
          <w:sz w:val="24"/>
          <w:highlight w:val="none"/>
        </w:rPr>
        <w:t xml:space="preserve">响应文件的签署</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sz w:val="24"/>
          <w:highlight w:val="none"/>
        </w:rPr>
        <w:t xml:space="preserve">、盖章</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14" w:name="_Toc264969224"/>
      <w:r/>
      <w:bookmarkStart w:id="315" w:name="_Toc150480772"/>
      <w:r/>
      <w:bookmarkStart w:id="316" w:name="_Toc150774739"/>
      <w:r/>
      <w:bookmarkStart w:id="317" w:name="_Toc305158802"/>
      <w:r/>
      <w:bookmarkStart w:id="318" w:name="_Toc151193922"/>
      <w:r/>
      <w:bookmarkStart w:id="319" w:name="_Toc150509285"/>
      <w:r/>
      <w:bookmarkStart w:id="320" w:name="_Toc151193776"/>
      <w:r/>
      <w:bookmarkStart w:id="321" w:name="_Toc226965724"/>
      <w:r/>
      <w:bookmarkStart w:id="322" w:name="_Toc520356159"/>
      <w:r/>
      <w:bookmarkStart w:id="323" w:name="_Toc151193704"/>
      <w:r/>
      <w:bookmarkStart w:id="324" w:name="_Toc265228372"/>
      <w:r/>
      <w:bookmarkStart w:id="325" w:name="_Toc151193848"/>
      <w:r/>
      <w:bookmarkStart w:id="326" w:name="_Toc195842899"/>
      <w:r/>
      <w:bookmarkStart w:id="327" w:name="_Toc226337230"/>
      <w:r/>
      <w:bookmarkStart w:id="328" w:name="_Toc150774634"/>
      <w:r/>
      <w:bookmarkStart w:id="329" w:name="_Toc305158876"/>
      <w:r/>
      <w:bookmarkStart w:id="330" w:name="_Toc142311036"/>
      <w:r/>
      <w:bookmarkStart w:id="331" w:name="_Toc151193632"/>
      <w:r/>
      <w:bookmarkStart w:id="332" w:name="_Toc226309778"/>
      <w:r/>
      <w:bookmarkStart w:id="333" w:name="_Toc226965807"/>
      <w:r/>
      <w:bookmarkStart w:id="334" w:name="_Toc127151534"/>
      <w:r/>
      <w:bookmarkStart w:id="335" w:name="_Toc151190161"/>
      <w:r>
        <w:rPr>
          <w:sz w:val="24"/>
          <w:highlight w:val="none"/>
        </w:rPr>
        <w:t xml:space="preserve">询价通知书要求签字的内容（如授权委托书等），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第三方出具的盖章件原件（如联合协议、分包意向协议、制造商授权书等），响应文件中应使用原件的电子件。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询价通知书要求盖章的内容，</w:t>
      </w:r>
      <w:r>
        <w:rPr>
          <w:rFonts w:hint="eastAsia"/>
          <w:sz w:val="24"/>
          <w:highlight w:val="none"/>
        </w:rPr>
        <w:t xml:space="preserve">一般</w:t>
      </w:r>
      <w:r>
        <w:rPr>
          <w:sz w:val="24"/>
          <w:highlight w:val="none"/>
        </w:rPr>
        <w:t xml:space="preserve">通过响应文件编制工具加盖电子签章。</w:t>
      </w:r>
      <w:r>
        <w:rPr>
          <w:sz w:val="24"/>
          <w:highlight w:val="none"/>
        </w:rPr>
      </w:r>
      <w:r/>
    </w:p>
    <w:p>
      <w:pPr>
        <w:pStyle w:val="963"/>
        <w:ind w:left="357"/>
        <w:spacing w:line="360" w:lineRule="auto"/>
        <w:tabs>
          <w:tab w:val="left" w:pos="900" w:leader="none"/>
          <w:tab w:val="left" w:pos="1080" w:leader="none"/>
        </w:tabs>
        <w:rPr>
          <w:highlight w:val="none"/>
        </w:rPr>
      </w:pPr>
      <w:r>
        <w:rPr>
          <w:highlight w:val="none"/>
        </w:rPr>
      </w:r>
      <w:r/>
    </w:p>
    <w:p>
      <w:pPr>
        <w:pStyle w:val="965"/>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36" w:name="_Toc265228373"/>
      <w:r/>
      <w:bookmarkStart w:id="337" w:name="_Toc127161449"/>
      <w:r/>
      <w:bookmarkStart w:id="338" w:name="_Toc142311037"/>
      <w:r/>
      <w:bookmarkStart w:id="339" w:name="_Toc164608804"/>
      <w:r/>
      <w:bookmarkStart w:id="340" w:name="_Toc150774635"/>
      <w:r/>
      <w:bookmarkStart w:id="341" w:name="_Toc305158803"/>
      <w:r/>
      <w:bookmarkStart w:id="342" w:name="_Toc150480773"/>
      <w:r/>
      <w:bookmarkStart w:id="343" w:name="_Toc127151736"/>
      <w:r/>
      <w:bookmarkStart w:id="344" w:name="_Toc305158877"/>
      <w:r/>
      <w:bookmarkStart w:id="345" w:name="_Toc264969225"/>
      <w:r/>
      <w:bookmarkStart w:id="346" w:name="_Toc164229230"/>
      <w:r/>
      <w:bookmarkStart w:id="347" w:name="_Toc151190162"/>
      <w:r/>
      <w:bookmarkStart w:id="348" w:name="_Toc151193633"/>
      <w:r/>
      <w:bookmarkStart w:id="349" w:name="_Toc195842900"/>
      <w:r/>
      <w:bookmarkStart w:id="350" w:name="_Toc151193923"/>
      <w:r/>
      <w:bookmarkStart w:id="351" w:name="_Toc226337231"/>
      <w:r/>
      <w:bookmarkStart w:id="352" w:name="_Toc164351629"/>
      <w:r/>
      <w:bookmarkStart w:id="353" w:name="_Toc151193849"/>
      <w:r/>
      <w:bookmarkStart w:id="354" w:name="_Toc127151535"/>
      <w:r/>
      <w:bookmarkStart w:id="355" w:name="_Toc151193705"/>
      <w:r/>
      <w:bookmarkStart w:id="356" w:name="_Toc226965808"/>
      <w:r/>
      <w:bookmarkStart w:id="357" w:name="_Toc149720828"/>
      <w:r/>
      <w:bookmarkStart w:id="358" w:name="_Toc226965725"/>
      <w:r/>
      <w:bookmarkStart w:id="359" w:name="_Toc150774740"/>
      <w:r/>
      <w:bookmarkStart w:id="360" w:name="_Toc520356160"/>
      <w:r/>
      <w:bookmarkStart w:id="361" w:name="_Toc226309779"/>
      <w:r/>
      <w:bookmarkStart w:id="362" w:name="_Toc164229376"/>
      <w:r/>
      <w:bookmarkStart w:id="363" w:name="_Toc151193777"/>
      <w:r/>
      <w:bookmarkStart w:id="364" w:name="_Toc164608649"/>
      <w:r/>
      <w:bookmarkStart w:id="365" w:name="_Toc150509286"/>
      <w:r>
        <w:rPr>
          <w:sz w:val="24"/>
          <w:highlight w:val="none"/>
        </w:rPr>
        <w:t xml:space="preserve">响应文件的</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sz w:val="24"/>
          <w:highlight w:val="none"/>
        </w:rPr>
        <w:t xml:space="preserve">提交</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“苏采云”政府采购一体化平台</w:t>
      </w:r>
      <w:r>
        <w:rPr>
          <w:sz w:val="24"/>
          <w:highlight w:val="none"/>
        </w:rPr>
        <w:t xml:space="preserve">。供应商根据询价通知书及</w:t>
      </w:r>
      <w:r>
        <w:rPr>
          <w:rFonts w:hint="eastAsia"/>
          <w:sz w:val="24"/>
          <w:highlight w:val="none"/>
          <w:lang w:eastAsia="zh-CN"/>
        </w:rPr>
        <w:t xml:space="preserve">“苏采云”政府采购一体化平台</w:t>
      </w:r>
      <w:r>
        <w:rPr>
          <w:sz w:val="24"/>
          <w:highlight w:val="none"/>
        </w:rPr>
        <w:t xml:space="preserve">供应商操作手册要求编制、生成并提交电子响应文件。</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rPr>
        <w:t xml:space="preserve">“苏采云”政府采购一体化平台</w:t>
      </w:r>
      <w:r>
        <w:rPr>
          <w:sz w:val="24"/>
          <w:highlight w:val="none"/>
        </w:rPr>
        <w:t xml:space="preserve">以外任何形式提交的响应文件，保证金除外。</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66" w:name="_Toc150509287"/>
      <w:r/>
      <w:bookmarkStart w:id="367" w:name="_Toc127161450"/>
      <w:r/>
      <w:bookmarkStart w:id="368" w:name="_Toc151193924"/>
      <w:r/>
      <w:bookmarkStart w:id="369" w:name="_Toc142311038"/>
      <w:r/>
      <w:bookmarkStart w:id="370" w:name="_Toc151193706"/>
      <w:r/>
      <w:bookmarkStart w:id="371" w:name="_Toc150774636"/>
      <w:r/>
      <w:bookmarkStart w:id="372" w:name="_Toc520356161"/>
      <w:r/>
      <w:bookmarkStart w:id="373" w:name="_Toc226965809"/>
      <w:r/>
      <w:bookmarkStart w:id="374" w:name="_Toc305158878"/>
      <w:r/>
      <w:bookmarkStart w:id="375" w:name="_Toc151193778"/>
      <w:r/>
      <w:bookmarkStart w:id="376" w:name="_Toc164608650"/>
      <w:r/>
      <w:bookmarkStart w:id="377" w:name="_Toc305158804"/>
      <w:r/>
      <w:bookmarkStart w:id="378" w:name="_Toc150480774"/>
      <w:r/>
      <w:bookmarkStart w:id="379" w:name="_Toc264969226"/>
      <w:r/>
      <w:bookmarkStart w:id="380" w:name="_Toc151193850"/>
      <w:r/>
      <w:bookmarkStart w:id="381" w:name="_Toc195842901"/>
      <w:r/>
      <w:bookmarkStart w:id="382" w:name="_Toc226965726"/>
      <w:r/>
      <w:bookmarkStart w:id="383" w:name="_Toc226337232"/>
      <w:r/>
      <w:bookmarkStart w:id="384" w:name="_Toc164229377"/>
      <w:r/>
      <w:bookmarkStart w:id="385" w:name="_Toc127151536"/>
      <w:r/>
      <w:bookmarkStart w:id="386" w:name="_Toc150774741"/>
      <w:r/>
      <w:bookmarkStart w:id="387" w:name="_Toc149720829"/>
      <w:r/>
      <w:bookmarkStart w:id="388" w:name="_Toc151193634"/>
      <w:r/>
      <w:bookmarkStart w:id="389" w:name="_Toc151190163"/>
      <w:r/>
      <w:bookmarkStart w:id="390" w:name="_Toc127151737"/>
      <w:r/>
      <w:bookmarkStart w:id="391" w:name="_Toc164351630"/>
      <w:r/>
      <w:bookmarkStart w:id="392" w:name="_Toc164229231"/>
      <w:r/>
      <w:bookmarkStart w:id="393" w:name="_Toc164608805"/>
      <w:r/>
      <w:bookmarkStart w:id="394" w:name="_Toc265228374"/>
      <w:r/>
      <w:bookmarkStart w:id="395" w:name="_Toc226309780"/>
      <w:r>
        <w:rPr>
          <w:sz w:val="24"/>
          <w:highlight w:val="none"/>
        </w:rPr>
        <w:t xml:space="preserve">提交响应文件截止</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sz w:val="24"/>
          <w:highlight w:val="none"/>
        </w:rPr>
        <w:t xml:space="preserve">时间</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供应商应在询价通知书要求的提交响应文件截止时间前，将电子响应文件提交至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396" w:name="_Toc127151537"/>
      <w:r/>
      <w:bookmarkStart w:id="397" w:name="_Toc151193851"/>
      <w:r/>
      <w:bookmarkStart w:id="398" w:name="_Toc195842902"/>
      <w:r/>
      <w:bookmarkStart w:id="399" w:name="_Toc164351631"/>
      <w:r/>
      <w:bookmarkStart w:id="400" w:name="_Toc164229378"/>
      <w:r/>
      <w:bookmarkStart w:id="401" w:name="_Toc520356162"/>
      <w:r/>
      <w:bookmarkStart w:id="402" w:name="_Toc151193779"/>
      <w:r/>
      <w:bookmarkStart w:id="403" w:name="_Toc150774742"/>
      <w:r/>
      <w:bookmarkStart w:id="404" w:name="_Toc127151738"/>
      <w:r/>
      <w:bookmarkStart w:id="405" w:name="_Toc151193925"/>
      <w:r/>
      <w:bookmarkStart w:id="406" w:name="_Toc264969227"/>
      <w:r/>
      <w:bookmarkStart w:id="407" w:name="_Toc305158805"/>
      <w:r/>
      <w:bookmarkStart w:id="408" w:name="_Toc164608806"/>
      <w:r/>
      <w:bookmarkStart w:id="409" w:name="_Toc164608651"/>
      <w:r/>
      <w:bookmarkStart w:id="410" w:name="_Toc149720830"/>
      <w:r/>
      <w:bookmarkStart w:id="411" w:name="_Toc226965727"/>
      <w:r/>
      <w:bookmarkStart w:id="412" w:name="_Toc142311039"/>
      <w:r/>
      <w:bookmarkStart w:id="413" w:name="_Toc226965810"/>
      <w:r/>
      <w:bookmarkStart w:id="414" w:name="_Toc150509288"/>
      <w:r/>
      <w:bookmarkStart w:id="415" w:name="_Toc150774637"/>
      <w:r/>
      <w:bookmarkStart w:id="416" w:name="_Toc150480775"/>
      <w:r/>
      <w:bookmarkStart w:id="417" w:name="_Toc151193707"/>
      <w:r/>
      <w:bookmarkStart w:id="418" w:name="_Toc151190164"/>
      <w:r/>
      <w:bookmarkStart w:id="419" w:name="_Toc265228375"/>
      <w:r/>
      <w:bookmarkStart w:id="420" w:name="_Toc226337233"/>
      <w:r/>
      <w:bookmarkStart w:id="421" w:name="_Toc151193635"/>
      <w:r/>
      <w:bookmarkStart w:id="422" w:name="_Toc226309781"/>
      <w:r/>
      <w:bookmarkStart w:id="423" w:name="_Toc305158879"/>
      <w:r/>
      <w:bookmarkStart w:id="424" w:name="_Toc164229232"/>
      <w:r/>
      <w:bookmarkStart w:id="425" w:name="_Toc127161451"/>
      <w:r>
        <w:rPr>
          <w:sz w:val="24"/>
          <w:highlight w:val="none"/>
        </w:rPr>
        <w:t xml:space="preserve">响应文件的修改与撤回</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w:t>
      </w:r>
      <w:r>
        <w:rPr>
          <w:rFonts w:hint="eastAsia"/>
          <w:sz w:val="24"/>
          <w:highlight w:val="none"/>
        </w:rPr>
        <w:t xml:space="preserve">“苏采云”政府采购一体化平台</w:t>
      </w:r>
      <w:r>
        <w:rPr>
          <w:sz w:val="24"/>
          <w:highlight w:val="none"/>
        </w:rPr>
        <w:t xml:space="preserve">对所提交的响应文件进行补充、修改或者撤回。</w:t>
      </w:r>
      <w:r>
        <w:rPr>
          <w:color w:val="000000"/>
          <w:sz w:val="24"/>
          <w:highlight w:val="none"/>
        </w:rPr>
        <w:t xml:space="preserve">保证金</w:t>
      </w:r>
      <w:r>
        <w:rPr>
          <w:rFonts w:hint="eastAsia"/>
          <w:color w:val="000000"/>
          <w:sz w:val="24"/>
          <w:highlight w:val="none"/>
        </w:rPr>
        <w:t xml:space="preserve">的</w:t>
      </w:r>
      <w:r>
        <w:rPr>
          <w:color w:val="000000"/>
          <w:sz w:val="24"/>
          <w:highlight w:val="none"/>
        </w:rPr>
        <w:t xml:space="preserve">补充、修改或者撤回</w:t>
      </w:r>
      <w:r>
        <w:rPr>
          <w:rFonts w:hint="eastAsia"/>
          <w:sz w:val="24"/>
          <w:highlight w:val="none"/>
        </w:rPr>
        <w:t xml:space="preserve">无需</w:t>
      </w:r>
      <w:r>
        <w:rPr>
          <w:sz w:val="24"/>
          <w:highlight w:val="none"/>
        </w:rPr>
        <w:t xml:space="preserve">通过</w:t>
      </w:r>
      <w:r>
        <w:rPr>
          <w:rFonts w:hint="eastAsia"/>
          <w:sz w:val="24"/>
          <w:highlight w:val="none"/>
        </w:rPr>
        <w:t xml:space="preserve">“苏采云”政府采购一体化平台，</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color w:val="000000"/>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供应商对响应文件的补充、修改的内容应当按照询价通知书要求签署、盖章，作为响应文件的组成部分。补充、修改的内容与响应文件不一致的，以补充、修改的内容为准。</w:t>
      </w:r>
      <w:r>
        <w:rPr>
          <w:sz w:val="24"/>
          <w:highlight w:val="none"/>
        </w:rPr>
      </w:r>
      <w:r/>
    </w:p>
    <w:p>
      <w:pPr>
        <w:pStyle w:val="963"/>
        <w:spacing w:line="360" w:lineRule="auto"/>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26" w:name="_Toc305158880"/>
      <w:r/>
      <w:bookmarkStart w:id="427" w:name="_Toc151193708"/>
      <w:r/>
      <w:bookmarkStart w:id="428" w:name="_Toc226309782"/>
      <w:r/>
      <w:bookmarkStart w:id="429" w:name="_Toc127151538"/>
      <w:r/>
      <w:bookmarkStart w:id="430" w:name="_Toc151193636"/>
      <w:r/>
      <w:bookmarkStart w:id="431" w:name="_Toc305158806"/>
      <w:r/>
      <w:bookmarkStart w:id="432" w:name="_Toc195842903"/>
      <w:r/>
      <w:bookmarkStart w:id="433" w:name="_Toc150509289"/>
      <w:r/>
      <w:bookmarkStart w:id="434" w:name="_Toc264969228"/>
      <w:r/>
      <w:bookmarkStart w:id="435" w:name="_Toc150480776"/>
      <w:r/>
      <w:bookmarkStart w:id="436" w:name="_Toc226337234"/>
      <w:r/>
      <w:bookmarkStart w:id="437" w:name="_Toc226965811"/>
      <w:r/>
      <w:bookmarkStart w:id="438" w:name="_Toc226965728"/>
      <w:r/>
      <w:bookmarkStart w:id="439" w:name="_Toc151193926"/>
      <w:r/>
      <w:bookmarkStart w:id="440" w:name="_Toc151193852"/>
      <w:r/>
      <w:bookmarkStart w:id="441" w:name="_Toc265228376"/>
      <w:r/>
      <w:bookmarkStart w:id="442" w:name="_Toc520356163"/>
      <w:r/>
      <w:bookmarkStart w:id="443" w:name="_Toc150774638"/>
      <w:r/>
      <w:bookmarkStart w:id="444" w:name="_Toc151190165"/>
      <w:r/>
      <w:bookmarkStart w:id="445" w:name="_Toc150774743"/>
      <w:r/>
      <w:bookmarkStart w:id="446" w:name="_Toc142311040"/>
      <w:r/>
      <w:bookmarkStart w:id="447" w:name="_Toc151193780"/>
      <w:r>
        <w:rPr>
          <w:rFonts w:ascii="Times New Roman" w:hAnsi="Times New Roman" w:eastAsia="宋体"/>
          <w:sz w:val="28"/>
          <w:highlight w:val="none"/>
        </w:rPr>
        <w:t xml:space="preserve">五   </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采购人或采购代理机构将按询价通知书的规定，在提交响应文件截止时间的同一时间和《供应商须知资料表》约定的地点组织解密。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448" w:name="_Toc520356165"/>
      <w:r>
        <w:rPr>
          <w:sz w:val="24"/>
          <w:highlight w:val="none"/>
        </w:rPr>
        <w:t xml:space="preserve">供应商不足3家的，不予解密。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本项目不公开报价。</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值守，及时对于系统或者询价小组发出的指令和要求进行响应操作。如果因为无人值守造成不能及时回应系统或者询价小组指令和要求从而导致影响开标、评审结果的，责任由供应商承担</w:t>
      </w:r>
      <w:r>
        <w:rPr>
          <w:sz w:val="24"/>
          <w:highlight w:val="none"/>
        </w:rPr>
        <w:t xml:space="preserve">。</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63"/>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63"/>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63"/>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448"/>
      <w:r>
        <w:rPr>
          <w:sz w:val="24"/>
          <w:highlight w:val="none"/>
        </w:rPr>
        <w:t xml:space="preserve">询价小组</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询价小组根据政府采购有关规定和本次采购项目的特点进行组建，并负责具体评审事务，独立履行职责。</w:t>
      </w:r>
      <w:bookmarkStart w:id="449" w:name="_Toc5203561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49"/>
      <w:r/>
      <w:bookmarkStart w:id="450" w:name="_Toc520356169"/>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评审程序和评定成交的标准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见第三章《评审程序和评定成交的标准》。</w:t>
      </w:r>
      <w:r>
        <w:rPr>
          <w:sz w:val="24"/>
          <w:highlight w:val="none"/>
        </w:rPr>
      </w:r>
      <w:r/>
    </w:p>
    <w:p>
      <w:pPr>
        <w:pStyle w:val="963"/>
        <w:spacing w:line="360" w:lineRule="auto"/>
        <w:tabs>
          <w:tab w:val="left" w:pos="360" w:leader="none"/>
          <w:tab w:val="left" w:pos="1080" w:leader="none"/>
        </w:tabs>
        <w:rPr>
          <w:sz w:val="24"/>
          <w:highlight w:val="none"/>
        </w:rPr>
      </w:pPr>
      <w:r>
        <w:rPr>
          <w:sz w:val="24"/>
          <w:highlight w:val="none"/>
        </w:rPr>
      </w:r>
      <w:r/>
    </w:p>
    <w:p>
      <w:pPr>
        <w:pStyle w:val="965"/>
        <w:spacing w:before="0" w:line="360" w:lineRule="auto"/>
        <w:rPr>
          <w:rFonts w:ascii="Times New Roman" w:hAnsi="Times New Roman" w:eastAsia="宋体"/>
          <w:sz w:val="28"/>
          <w:highlight w:val="none"/>
        </w:rPr>
      </w:pPr>
      <w:r/>
      <w:bookmarkStart w:id="451" w:name="_Toc150480783"/>
      <w:r/>
      <w:bookmarkStart w:id="452" w:name="_Toc142311047"/>
      <w:r/>
      <w:bookmarkStart w:id="453" w:name="_Toc151193643"/>
      <w:r/>
      <w:bookmarkStart w:id="454" w:name="_Toc151193715"/>
      <w:r/>
      <w:bookmarkStart w:id="455" w:name="_Toc127151545"/>
      <w:r/>
      <w:bookmarkStart w:id="456" w:name="_Toc151193933"/>
      <w:r/>
      <w:bookmarkStart w:id="457" w:name="_Toc195842910"/>
      <w:r/>
      <w:bookmarkStart w:id="458" w:name="_Toc151193859"/>
      <w:r/>
      <w:bookmarkStart w:id="459" w:name="_Toc150774750"/>
      <w:r/>
      <w:bookmarkStart w:id="460" w:name="_Toc151190172"/>
      <w:r/>
      <w:bookmarkStart w:id="461" w:name="_Toc264969235"/>
      <w:r/>
      <w:bookmarkStart w:id="462" w:name="_Toc226309789"/>
      <w:r/>
      <w:bookmarkStart w:id="463" w:name="_Toc226337241"/>
      <w:r/>
      <w:bookmarkStart w:id="464" w:name="_Toc226965735"/>
      <w:r/>
      <w:bookmarkStart w:id="465" w:name="_Toc265228383"/>
      <w:r/>
      <w:bookmarkStart w:id="466" w:name="_Toc305158813"/>
      <w:r/>
      <w:bookmarkStart w:id="467" w:name="_Toc151193787"/>
      <w:r/>
      <w:bookmarkStart w:id="468" w:name="_Toc150509296"/>
      <w:r/>
      <w:bookmarkStart w:id="469" w:name="_Toc226965818"/>
      <w:r/>
      <w:bookmarkStart w:id="470" w:name="_Toc305158887"/>
      <w:r/>
      <w:bookmarkStart w:id="471" w:name="_Toc150774645"/>
      <w:r>
        <w:rPr>
          <w:rFonts w:ascii="Times New Roman" w:hAnsi="Times New Roman" w:eastAsia="宋体"/>
          <w:sz w:val="28"/>
          <w:highlight w:val="none"/>
        </w:rPr>
        <w:t xml:space="preserve">六   </w:t>
      </w:r>
      <w:bookmarkEnd w:id="450"/>
      <w:r>
        <w:rPr>
          <w:rFonts w:ascii="Times New Roman" w:hAnsi="Times New Roman" w:eastAsia="宋体"/>
          <w:sz w:val="28"/>
          <w:highlight w:val="none"/>
        </w:rPr>
        <w:t xml:space="preserve">确定</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472" w:name="_Toc226309791"/>
      <w:r/>
      <w:bookmarkStart w:id="473" w:name="_Toc150480785"/>
      <w:r/>
      <w:bookmarkStart w:id="474" w:name="_Toc195842912"/>
      <w:r/>
      <w:bookmarkStart w:id="475" w:name="_Toc164351641"/>
      <w:r/>
      <w:bookmarkStart w:id="476" w:name="_Toc226965737"/>
      <w:r/>
      <w:bookmarkStart w:id="477" w:name="_Toc150509298"/>
      <w:r/>
      <w:bookmarkStart w:id="478" w:name="_Toc151193789"/>
      <w:r/>
      <w:bookmarkStart w:id="479" w:name="_Toc127151547"/>
      <w:r/>
      <w:bookmarkStart w:id="480" w:name="_Toc151193861"/>
      <w:r/>
      <w:bookmarkStart w:id="481" w:name="_Toc164229242"/>
      <w:r/>
      <w:bookmarkStart w:id="482" w:name="_Toc264969237"/>
      <w:r/>
      <w:bookmarkStart w:id="483" w:name="_Toc142311049"/>
      <w:r/>
      <w:bookmarkStart w:id="484" w:name="_Toc305158889"/>
      <w:r/>
      <w:bookmarkStart w:id="485" w:name="_Toc164229388"/>
      <w:r/>
      <w:bookmarkStart w:id="486" w:name="_Toc151193645"/>
      <w:r/>
      <w:bookmarkStart w:id="487" w:name="_Toc149720840"/>
      <w:r/>
      <w:bookmarkStart w:id="488" w:name="_Toc164608661"/>
      <w:r/>
      <w:bookmarkStart w:id="489" w:name="_Toc150774752"/>
      <w:r/>
      <w:bookmarkStart w:id="490" w:name="_Toc151193717"/>
      <w:r/>
      <w:bookmarkStart w:id="491" w:name="_Toc151190174"/>
      <w:r/>
      <w:bookmarkStart w:id="492" w:name="_Toc164608816"/>
      <w:r/>
      <w:bookmarkStart w:id="493" w:name="_Toc150774647"/>
      <w:r/>
      <w:bookmarkStart w:id="494" w:name="_Toc127161461"/>
      <w:r/>
      <w:bookmarkStart w:id="495" w:name="_Toc127151748"/>
      <w:r/>
      <w:bookmarkStart w:id="496" w:name="_Toc226965820"/>
      <w:r/>
      <w:bookmarkStart w:id="497" w:name="_Toc265228385"/>
      <w:r/>
      <w:bookmarkStart w:id="498" w:name="_Toc226337243"/>
      <w:r/>
      <w:bookmarkStart w:id="499" w:name="_Toc305158815"/>
      <w:r/>
      <w:bookmarkStart w:id="500" w:name="_Toc151193935"/>
      <w:r>
        <w:rPr>
          <w:sz w:val="24"/>
          <w:highlight w:val="none"/>
        </w:rPr>
        <w:t xml:space="preserve">确定</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sz w:val="24"/>
          <w:highlight w:val="none"/>
        </w:rPr>
        <w:t xml:space="preserve">成交供应商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采购人将在评审报告提出的成交候选人中，根据质量和服务均能满足询价通知书实质性响应要求且报价最低的原则确定成交供应商。</w:t>
      </w:r>
      <w:r>
        <w:rPr>
          <w:rFonts w:hint="eastAsia"/>
          <w:sz w:val="24"/>
          <w:highlight w:val="none"/>
        </w:rPr>
        <w:t xml:space="preserve">成交候选人并列的</w:t>
      </w:r>
      <w:r>
        <w:rPr>
          <w:sz w:val="24"/>
          <w:highlight w:val="none"/>
        </w:rPr>
        <w:t xml:space="preserve">，由采购人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Start w:id="501" w:name="_Toc305158891"/>
      <w:r/>
      <w:bookmarkStart w:id="502" w:name="_Toc305158817"/>
      <w:r/>
      <w:bookmarkStart w:id="503" w:name="_Toc195842914"/>
      <w:r/>
      <w:bookmarkStart w:id="504" w:name="_Toc226965822"/>
      <w:r/>
      <w:bookmarkStart w:id="505" w:name="_Toc226965739"/>
      <w:r/>
      <w:bookmarkStart w:id="506" w:name="_Toc150509300"/>
      <w:r/>
      <w:bookmarkStart w:id="507" w:name="_Toc226337245"/>
      <w:r/>
      <w:bookmarkStart w:id="508" w:name="_Toc149720842"/>
      <w:r/>
      <w:bookmarkStart w:id="509" w:name="_Toc164351643"/>
      <w:r/>
      <w:bookmarkStart w:id="510" w:name="_Toc142311051"/>
      <w:r/>
      <w:bookmarkStart w:id="511" w:name="_Toc150774649"/>
      <w:r/>
      <w:bookmarkStart w:id="512" w:name="_Toc151193863"/>
      <w:r/>
      <w:bookmarkStart w:id="513" w:name="_Toc164608663"/>
      <w:r/>
      <w:bookmarkStart w:id="514" w:name="_Toc164608818"/>
      <w:r/>
      <w:bookmarkStart w:id="515" w:name="_Toc164229244"/>
      <w:r/>
      <w:bookmarkStart w:id="516" w:name="_Toc151193937"/>
      <w:r/>
      <w:bookmarkStart w:id="517" w:name="_Toc127151750"/>
      <w:r/>
      <w:bookmarkStart w:id="518" w:name="_Toc151193719"/>
      <w:r/>
      <w:bookmarkStart w:id="519" w:name="_Ref467306425"/>
      <w:r/>
      <w:bookmarkStart w:id="520" w:name="_Toc520356176"/>
      <w:r/>
      <w:bookmarkStart w:id="521" w:name="_Ref467307090"/>
      <w:r/>
      <w:bookmarkStart w:id="522" w:name="_Toc151190176"/>
      <w:r/>
      <w:bookmarkStart w:id="523" w:name="_Toc150480787"/>
      <w:r/>
      <w:bookmarkStart w:id="524" w:name="_Toc151193791"/>
      <w:r/>
      <w:bookmarkStart w:id="525" w:name="_Toc127151549"/>
      <w:r/>
      <w:bookmarkStart w:id="526" w:name="_Toc226309793"/>
      <w:r/>
      <w:bookmarkStart w:id="527" w:name="_Toc264969239"/>
      <w:r/>
      <w:bookmarkStart w:id="528" w:name="_Toc150774754"/>
      <w:r/>
      <w:bookmarkStart w:id="529" w:name="_Toc151193647"/>
      <w:r/>
      <w:bookmarkStart w:id="530" w:name="_Toc265228387"/>
      <w:r/>
      <w:bookmarkStart w:id="531" w:name="_Toc164229390"/>
      <w:r/>
      <w:bookmarkStart w:id="532" w:name="_Toc127161463"/>
      <w:r>
        <w:rPr>
          <w:sz w:val="24"/>
          <w:highlight w:val="none"/>
        </w:rPr>
        <w:t xml:space="preserve">成交公告与成交通知书</w:t>
      </w:r>
      <w:bookmarkEnd w:id="501"/>
      <w:r/>
      <w:bookmarkEnd w:id="502"/>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公告成交结果，同时向成交供应商发出成交通知书，成交公告期限为1个工作日。</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成交通知书对采购人和成交供应商均具有法律效力。成交通知书发出后，采购人改变成交结果的，或者成交供应商放弃成交项目的，应当依法承担法律责任。</w:t>
      </w:r>
      <w:r>
        <w:rPr>
          <w:sz w:val="24"/>
          <w:highlight w:val="none"/>
        </w:rPr>
      </w:r>
      <w:r/>
    </w:p>
    <w:p>
      <w:pPr>
        <w:pStyle w:val="963"/>
        <w:numPr>
          <w:ilvl w:val="0"/>
          <w:numId w:val="8"/>
        </w:numPr>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出现下列情形之一的，采购人或采购代理机构终止询价采购活动的，将发布项目终止公告并说明原因，重新开展采购活动：</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因情况变化，不再符合规定的询价采购方式适用情形的；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63"/>
        <w:numPr>
          <w:ilvl w:val="2"/>
          <w:numId w:val="8"/>
        </w:numPr>
        <w:spacing w:line="360" w:lineRule="auto"/>
        <w:tabs>
          <w:tab w:val="left" w:pos="1980" w:leader="none"/>
        </w:tabs>
        <w:rPr>
          <w:rFonts w:hint="eastAsia"/>
          <w:sz w:val="24"/>
          <w:highlight w:val="none"/>
        </w:rPr>
      </w:pPr>
      <w:r>
        <w:rPr>
          <w:sz w:val="24"/>
          <w:highlight w:val="none"/>
        </w:rPr>
        <w:t xml:space="preserve">在采购过程中符合竞争要求的供应商或者报价未超过采购预算的供应商不足3家的。</w:t>
      </w:r>
      <w:r>
        <w:rPr>
          <w:rFonts w:hint="eastAsia"/>
          <w:sz w:val="24"/>
          <w:highlight w:val="none"/>
        </w:rPr>
      </w:r>
      <w:r/>
    </w:p>
    <w:p>
      <w:pPr>
        <w:pStyle w:val="963"/>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序号16.7的所述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22"/>
      <w:r/>
      <w:bookmarkEnd w:id="523"/>
      <w:r/>
      <w:bookmarkEnd w:id="524"/>
      <w:r/>
      <w:bookmarkEnd w:id="525"/>
      <w:r/>
      <w:bookmarkEnd w:id="526"/>
      <w:r/>
      <w:bookmarkEnd w:id="527"/>
      <w:r/>
      <w:bookmarkEnd w:id="528"/>
      <w:r/>
      <w:bookmarkEnd w:id="529"/>
      <w:r/>
      <w:bookmarkEnd w:id="530"/>
      <w:r/>
      <w:bookmarkEnd w:id="531"/>
      <w:r/>
      <w:bookmarkEnd w:id="532"/>
      <w:r/>
      <w:bookmarkStart w:id="533" w:name="_Toc127151550"/>
      <w:r/>
      <w:bookmarkStart w:id="534" w:name="_Toc151193648"/>
      <w:r/>
      <w:bookmarkStart w:id="535" w:name="_Toc164351644"/>
      <w:r/>
      <w:bookmarkStart w:id="536" w:name="_Ref467307204"/>
      <w:r/>
      <w:bookmarkStart w:id="537" w:name="_Toc164608819"/>
      <w:r/>
      <w:bookmarkStart w:id="538" w:name="_Toc151193938"/>
      <w:r/>
      <w:bookmarkStart w:id="539" w:name="_Toc150509301"/>
      <w:r/>
      <w:bookmarkStart w:id="540" w:name="_Toc164608664"/>
      <w:r/>
      <w:bookmarkStart w:id="541" w:name="_Toc142311052"/>
      <w:r/>
      <w:bookmarkStart w:id="542" w:name="_Toc150774755"/>
      <w:r/>
      <w:bookmarkStart w:id="543" w:name="_Toc520356175"/>
      <w:r/>
      <w:bookmarkStart w:id="544" w:name="_Toc226309794"/>
      <w:r/>
      <w:bookmarkStart w:id="545" w:name="_Toc195842915"/>
      <w:r/>
      <w:bookmarkStart w:id="546" w:name="_Ref467307062"/>
      <w:r/>
      <w:bookmarkStart w:id="547" w:name="_Toc265228388"/>
      <w:r/>
      <w:bookmarkStart w:id="548" w:name="_Toc226337246"/>
      <w:r/>
      <w:bookmarkStart w:id="549" w:name="_Toc151193864"/>
      <w:r/>
      <w:bookmarkStart w:id="550" w:name="_Toc127151751"/>
      <w:r/>
      <w:bookmarkStart w:id="551" w:name="_Toc164229245"/>
      <w:r/>
      <w:bookmarkStart w:id="552" w:name="_Toc127161464"/>
      <w:r/>
      <w:bookmarkStart w:id="553" w:name="_Toc151193720"/>
      <w:r/>
      <w:bookmarkStart w:id="554" w:name="_Toc226965823"/>
      <w:r/>
      <w:bookmarkStart w:id="555" w:name="_Ref467306978"/>
      <w:r/>
      <w:bookmarkStart w:id="556" w:name="_Toc305158892"/>
      <w:r/>
      <w:bookmarkStart w:id="557" w:name="_Ref467306377"/>
      <w:r/>
      <w:bookmarkStart w:id="558" w:name="_Toc151190177"/>
      <w:r/>
      <w:bookmarkStart w:id="559" w:name="_Toc305158818"/>
      <w:r/>
      <w:bookmarkStart w:id="560" w:name="_Toc150774650"/>
      <w:r/>
      <w:bookmarkStart w:id="561" w:name="_Toc149720843"/>
      <w:r/>
      <w:bookmarkStart w:id="562" w:name="_Toc151193792"/>
      <w:r/>
      <w:bookmarkStart w:id="563" w:name="_Toc150480788"/>
      <w:r/>
      <w:bookmarkStart w:id="564" w:name="_Toc264969240"/>
      <w:r/>
      <w:bookmarkStart w:id="565" w:name="_Toc226965740"/>
      <w:r/>
      <w:bookmarkStart w:id="566" w:name="_Toc164229391"/>
      <w:r>
        <w:rPr>
          <w:sz w:val="24"/>
          <w:highlight w:val="none"/>
        </w:rPr>
        <w:t xml:space="preserve">签订合同</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采购人与成交供应商应当在成交通知书发出之日起30日内，按照询价通知书确定的合同文本以及采购标的、规格型号、采购金额、采购数量、技术和服务要求等事项签订政府采购合同。</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联合体成交的，联合体各方应当共同与采购人签订合同，就采购合同约定的事项向采购人承担连带责任。</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的是否允许分包，见《供应商须知资料表》。政府采购合同分包履行的，应当在响应文件中载明分包承担主体，分包承担主体应当具备相应资质条件且不得再次分包，否则</w:t>
      </w:r>
      <w:r>
        <w:rPr>
          <w:b/>
          <w:sz w:val="24"/>
          <w:highlight w:val="none"/>
        </w:rPr>
        <w:t xml:space="preserve">响应无效</w:t>
      </w:r>
      <w:r>
        <w:rPr>
          <w:sz w:val="24"/>
          <w:highlight w:val="none"/>
        </w:rPr>
        <w:t xml:space="preserve">。成交供应商就采购项目和分包项目向采购人负责，分包供应商就分包项目承担责任。</w:t>
      </w:r>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bookmarkEnd w:id="519"/>
      <w:r/>
      <w:bookmarkEnd w:id="520"/>
      <w:r/>
      <w:bookmarkEnd w:id="521"/>
      <w:r>
        <w:rPr>
          <w:sz w:val="24"/>
          <w:highlight w:val="none"/>
        </w:rPr>
        <w:t xml:space="preserve">询问与质疑</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认为询价通知书、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963"/>
        <w:numPr>
          <w:ilvl w:val="2"/>
          <w:numId w:val="8"/>
        </w:numPr>
        <w:spacing w:line="360" w:lineRule="auto"/>
        <w:tabs>
          <w:tab w:val="left" w:pos="1980" w:leader="none"/>
        </w:tabs>
        <w:rPr>
          <w:sz w:val="24"/>
          <w:highlight w:val="none"/>
        </w:rPr>
      </w:pPr>
      <w:r>
        <w:rPr>
          <w:b/>
          <w:sz w:val="24"/>
          <w:highlight w:val="none"/>
        </w:rPr>
        <w:t xml:space="preserve">询价通知书</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38"/>
          <w:highlight w:val="none"/>
        </w:rPr>
        <w:t xml:space="preserve">http://gk</w:t>
      </w:r>
      <w:bookmarkStart w:id="567" w:name="_Hlt100654014"/>
      <w:r>
        <w:rPr>
          <w:rStyle w:val="1038"/>
          <w:highlight w:val="none"/>
        </w:rPr>
        <w:t xml:space="preserve">s</w:t>
      </w:r>
      <w:bookmarkEnd w:id="567"/>
      <w:r>
        <w:rPr>
          <w:rStyle w:val="1038"/>
          <w:highlight w:val="none"/>
        </w:rPr>
        <w:t xml:space="preserve">.m</w:t>
      </w:r>
      <w:bookmarkStart w:id="568" w:name="_Hlt100653993"/>
      <w:r/>
      <w:bookmarkStart w:id="569" w:name="_Hlt100653994"/>
      <w:r>
        <w:rPr>
          <w:rStyle w:val="1038"/>
          <w:highlight w:val="none"/>
        </w:rPr>
        <w:t xml:space="preserve">o</w:t>
      </w:r>
      <w:bookmarkEnd w:id="568"/>
      <w:r/>
      <w:bookmarkEnd w:id="569"/>
      <w:r/>
      <w:bookmarkStart w:id="570" w:name="_Hlt101169156"/>
      <w:r>
        <w:rPr>
          <w:rStyle w:val="1038"/>
          <w:highlight w:val="none"/>
        </w:rPr>
        <w:t xml:space="preserve">f</w:t>
      </w:r>
      <w:bookmarkEnd w:id="570"/>
      <w:r>
        <w:rPr>
          <w:rStyle w:val="1038"/>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963"/>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Start w:id="571" w:name="_Toc487900382"/>
      <w:r/>
      <w:bookmarkEnd w:id="571"/>
      <w:r>
        <w:rPr>
          <w:sz w:val="24"/>
          <w:highlight w:val="none"/>
        </w:rPr>
      </w:r>
      <w:r/>
    </w:p>
    <w:p>
      <w:pPr>
        <w:pStyle w:val="963"/>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rFonts w:hint="eastAsia"/>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集中采购机构不收取代理费。</w:t>
      </w:r>
      <w:r>
        <w:rPr>
          <w:sz w:val="24"/>
          <w:highlight w:val="none"/>
        </w:rPr>
      </w:r>
      <w:r/>
    </w:p>
    <w:p>
      <w:pPr>
        <w:pStyle w:val="963"/>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15"/>
          <w:footnotePr/>
          <w:endnotePr/>
          <w:type w:val="nextPage"/>
          <w:pgSz w:w="11907" w:h="16840" w:orient="portrait"/>
          <w:pgMar w:top="1440" w:right="1304" w:bottom="1440" w:left="1304" w:header="851" w:footer="851" w:gutter="0"/>
          <w:cols w:num="1" w:sep="0" w:space="1701" w:equalWidth="1"/>
          <w:docGrid w:linePitch="360"/>
        </w:sectPr>
      </w:pPr>
      <w:r>
        <w:rPr>
          <w:sz w:val="24"/>
          <w:highlight w:val="none"/>
        </w:rPr>
      </w:r>
      <w:r/>
    </w:p>
    <w:p>
      <w:pPr>
        <w:pStyle w:val="963"/>
        <w:jc w:val="center"/>
        <w:spacing w:line="360" w:lineRule="auto"/>
        <w:rPr>
          <w:b/>
          <w:sz w:val="36"/>
          <w:szCs w:val="36"/>
          <w:highlight w:val="none"/>
        </w:rPr>
        <w:outlineLvl w:val="0"/>
      </w:pPr>
      <w:r/>
      <w:bookmarkStart w:id="572" w:name="_Toc127151554"/>
      <w:r/>
      <w:bookmarkStart w:id="573" w:name="_Toc150480792"/>
      <w:r/>
      <w:bookmarkStart w:id="574" w:name="_Toc353873934"/>
      <w:r/>
      <w:bookmarkStart w:id="575" w:name="_Toc305158822"/>
      <w:r/>
      <w:bookmarkStart w:id="576" w:name="_Toc96848464"/>
      <w:r/>
      <w:bookmarkStart w:id="577" w:name="_Toc264969244"/>
      <w:r/>
      <w:bookmarkStart w:id="578" w:name="_Toc226337250"/>
      <w:r/>
      <w:bookmarkStart w:id="579" w:name="_Toc265228392"/>
      <w:r/>
      <w:bookmarkStart w:id="580" w:name="_Toc353873664"/>
      <w:r/>
      <w:bookmarkStart w:id="581" w:name="_Toc305158896"/>
      <w:r/>
      <w:bookmarkStart w:id="582" w:name="_Toc150774759"/>
      <w:r/>
      <w:bookmarkStart w:id="583" w:name="_Toc226965827"/>
      <w:r/>
      <w:bookmarkStart w:id="584" w:name="_Toc142311056"/>
      <w:r/>
      <w:bookmarkStart w:id="585" w:name="_Toc353825544"/>
      <w:r/>
      <w:bookmarkStart w:id="586" w:name="_Toc99301347"/>
      <w:r>
        <w:rPr>
          <w:b/>
          <w:sz w:val="36"/>
          <w:szCs w:val="36"/>
          <w:highlight w:val="none"/>
        </w:rPr>
        <w:t xml:space="preserve">第三章   </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highlight w:val="none"/>
        </w:rPr>
        <w:t xml:space="preserve">评审程序和评定成交的标准</w:t>
      </w:r>
      <w:bookmarkEnd w:id="586"/>
      <w:r>
        <w:rPr>
          <w:b/>
          <w:sz w:val="36"/>
          <w:szCs w:val="36"/>
          <w:highlight w:val="none"/>
        </w:rPr>
      </w:r>
      <w:r/>
    </w:p>
    <w:p>
      <w:pPr>
        <w:pStyle w:val="963"/>
        <w:numPr>
          <w:ilvl w:val="0"/>
          <w:numId w:val="10"/>
        </w:numPr>
        <w:spacing w:line="360" w:lineRule="auto"/>
        <w:tabs>
          <w:tab w:val="left" w:pos="360" w:leader="none"/>
          <w:tab w:val="left" w:pos="426" w:leader="none"/>
          <w:tab w:val="left" w:pos="900" w:leader="none"/>
        </w:tabs>
        <w:rPr>
          <w:sz w:val="24"/>
          <w:highlight w:val="none"/>
        </w:rPr>
        <w:outlineLvl w:val="1"/>
      </w:pPr>
      <w:r>
        <w:rPr>
          <w:sz w:val="24"/>
          <w:highlight w:val="none"/>
        </w:rPr>
        <w:t xml:space="preserve">响应文件的资格审查和符合性检查</w:t>
      </w:r>
      <w:r>
        <w:rPr>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询价小组将根据《资格审查要求》和《符合性检查要求》中规定的内容，对供应商进行审查，并形成审查结果。供应商《响应文件》有任何一项不符合《资格审查要求》和《符合性检查要求》的，视为</w:t>
      </w:r>
      <w:r>
        <w:rPr>
          <w:b/>
          <w:color w:val="000000"/>
          <w:sz w:val="24"/>
          <w:highlight w:val="none"/>
        </w:rPr>
        <w:t xml:space="preserve">无效响应</w:t>
      </w:r>
      <w:r>
        <w:rPr>
          <w:color w:val="000000"/>
          <w:sz w:val="24"/>
          <w:highlight w:val="none"/>
        </w:rPr>
        <w:t xml:space="preserve">。</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《资格审查要求》中对格式有要求的，除询价通知书另有规定外，均为“实质性格式”文件。</w:t>
      </w: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t xml:space="preserve">《资格审查要求》见下表：</w:t>
      </w:r>
      <w:r>
        <w:rPr>
          <w:color w:val="000000"/>
          <w:sz w:val="24"/>
          <w:highlight w:val="none"/>
        </w:rPr>
      </w:r>
      <w:r/>
    </w:p>
    <w:p>
      <w:pPr>
        <w:pStyle w:val="963"/>
        <w:jc w:val="center"/>
        <w:rPr>
          <w:b/>
          <w:sz w:val="24"/>
          <w:highlight w:val="none"/>
        </w:rPr>
      </w:pPr>
      <w:r>
        <w:rPr>
          <w:b/>
          <w:sz w:val="24"/>
          <w:highlight w:val="none"/>
        </w:rPr>
        <w:t xml:space="preserve">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907"/>
        <w:gridCol w:w="4852"/>
        <w:gridCol w:w="1933"/>
      </w:tblGrid>
      <w:tr>
        <w:trPr>
          <w:cantSplit/>
          <w:trHeight w:val="468"/>
          <w:tblHeader/>
        </w:trPr>
        <w:tc>
          <w:tcPr>
            <w:tcW w:w="378" w:type="dxa"/>
            <w:vAlign w:val="center"/>
            <w:textDirection w:val="lrTb"/>
            <w:noWrap w:val="false"/>
          </w:tcPr>
          <w:p>
            <w:pPr>
              <w:pStyle w:val="963"/>
              <w:jc w:val="center"/>
              <w:tabs>
                <w:tab w:val="left" w:pos="1080" w:leader="none"/>
              </w:tabs>
              <w:rPr>
                <w:b/>
                <w:sz w:val="24"/>
                <w:highlight w:val="none"/>
              </w:rPr>
            </w:pPr>
            <w:r/>
            <w:bookmarkStart w:id="587" w:name="_Hlt487972895"/>
            <w:r/>
            <w:bookmarkEnd w:id="587"/>
            <w:r>
              <w:rPr>
                <w:b/>
                <w:sz w:val="24"/>
                <w:highlight w:val="none"/>
              </w:rPr>
              <w:t xml:space="preserve">序号</w:t>
            </w:r>
            <w:r>
              <w:rPr>
                <w:b/>
                <w:sz w:val="24"/>
                <w:highlight w:val="none"/>
              </w:rPr>
            </w:r>
            <w:r/>
          </w:p>
        </w:tc>
        <w:tc>
          <w:tcPr>
            <w:tcW w:w="1014"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审查因素</w:t>
            </w:r>
            <w:r>
              <w:rPr>
                <w:b/>
                <w:sz w:val="24"/>
                <w:highlight w:val="none"/>
              </w:rPr>
            </w:r>
            <w:r/>
          </w:p>
        </w:tc>
        <w:tc>
          <w:tcPr>
            <w:tcW w:w="2579" w:type="dxa"/>
            <w:vAlign w:val="center"/>
            <w:textDirection w:val="lrTb"/>
            <w:noWrap w:val="false"/>
          </w:tcPr>
          <w:p>
            <w:pPr>
              <w:pStyle w:val="963"/>
              <w:jc w:val="center"/>
              <w:tabs>
                <w:tab w:val="left" w:pos="1080" w:leader="none"/>
              </w:tabs>
              <w:rPr>
                <w:b/>
                <w:sz w:val="24"/>
                <w:highlight w:val="none"/>
              </w:rPr>
            </w:pPr>
            <w:r>
              <w:rPr>
                <w:b/>
                <w:sz w:val="24"/>
                <w:highlight w:val="none"/>
              </w:rPr>
              <w:t xml:space="preserve">审查内容</w:t>
            </w:r>
            <w:r>
              <w:rPr>
                <w:b/>
                <w:sz w:val="24"/>
                <w:highlight w:val="none"/>
              </w:rPr>
            </w:r>
            <w:r/>
          </w:p>
        </w:tc>
        <w:tc>
          <w:tcPr>
            <w:tcW w:w="1028" w:type="dxa"/>
            <w:vAlign w:val="center"/>
            <w:textDirection w:val="lrTb"/>
            <w:noWrap w:val="false"/>
          </w:tcPr>
          <w:p>
            <w:pPr>
              <w:pStyle w:val="963"/>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161"/>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具体规定见第一章《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w:t>
            </w:r>
            <w:r>
              <w:rPr>
                <w:sz w:val="24"/>
                <w:highlight w:val="none"/>
              </w:rPr>
              <w:t xml:space="preserve">营业执照</w:t>
            </w:r>
            <w:r>
              <w:rPr>
                <w:sz w:val="24"/>
                <w:highlight w:val="none"/>
              </w:rPr>
              <w:t xml:space="preserve">等</w:t>
            </w:r>
            <w:r>
              <w:rPr>
                <w:sz w:val="24"/>
                <w:highlight w:val="none"/>
              </w:rPr>
              <w:t xml:space="preserve">相关</w:t>
            </w:r>
            <w:r>
              <w:rPr>
                <w:sz w:val="24"/>
                <w:highlight w:val="none"/>
              </w:rPr>
              <w:t xml:space="preserve">证明文件。</w:t>
            </w:r>
            <w:r>
              <w:rPr>
                <w:sz w:val="24"/>
                <w:highlight w:val="none"/>
              </w:rPr>
            </w:r>
            <w:r/>
          </w:p>
        </w:tc>
      </w:tr>
      <w:tr>
        <w:trPr>
          <w:cantSplit/>
          <w:trHeight w:val="937"/>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提供了符合</w:t>
            </w:r>
            <w:r>
              <w:rPr>
                <w:rFonts w:hint="eastAsia"/>
                <w:sz w:val="24"/>
                <w:highlight w:val="none"/>
              </w:rPr>
              <w:t xml:space="preserve">询价通知书</w:t>
            </w:r>
            <w:r>
              <w:rPr>
                <w:sz w:val="24"/>
                <w:highlight w:val="none"/>
              </w:rPr>
              <w:t xml:space="preserve">要求的《</w:t>
            </w:r>
            <w:r>
              <w:rPr>
                <w:rFonts w:hint="eastAsia"/>
                <w:sz w:val="24"/>
                <w:highlight w:val="none"/>
              </w:rPr>
              <w:t xml:space="preserve">供应商资格声明函</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4330"/>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1-</w:t>
            </w:r>
            <w:r>
              <w:rPr>
                <w:rFonts w:hint="eastAsia"/>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供应商信用记录</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63"/>
              <w:tabs>
                <w:tab w:val="left" w:pos="900" w:leader="none"/>
                <w:tab w:val="left" w:pos="1980" w:leader="none"/>
              </w:tabs>
              <w:rPr>
                <w:sz w:val="24"/>
                <w:highlight w:val="none"/>
              </w:rPr>
            </w:pPr>
            <w:r>
              <w:rPr>
                <w:sz w:val="24"/>
                <w:highlight w:val="none"/>
              </w:rPr>
              <w:t xml:space="preserve">截止时点：提交响应文件截止时间以后、资格审查阶段采购人或采购代理机构的实际查询时间；</w:t>
            </w:r>
            <w:r>
              <w:rPr>
                <w:sz w:val="24"/>
                <w:highlight w:val="none"/>
              </w:rPr>
            </w:r>
            <w:r/>
          </w:p>
          <w:p>
            <w:pPr>
              <w:pStyle w:val="963"/>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信用信息查询记录和证据留存具体方式：查询结果网页打印页作为查询记录和证据，与其他询价通知书一并保存；</w:t>
            </w:r>
            <w:r>
              <w:rPr>
                <w:sz w:val="24"/>
                <w:highlight w:val="none"/>
              </w:rPr>
            </w:r>
            <w:r/>
          </w:p>
          <w:p>
            <w:pPr>
              <w:pStyle w:val="963"/>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132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具体要求见第一章《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3422"/>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中小企业声明函</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rFonts w:hint="eastAsia"/>
                <w:sz w:val="24"/>
                <w:highlight w:val="none"/>
              </w:rPr>
              <w:t xml:space="preserve">供应商提供中小企业声明函；如为监狱企业或残疾人福利性单位，不必提供中小企业声明函，但须按注1或注2要求提供证明材料。</w:t>
            </w:r>
            <w:r>
              <w:rPr>
                <w:sz w:val="24"/>
                <w:highlight w:val="none"/>
              </w:rPr>
            </w:r>
            <w:r/>
          </w:p>
          <w:p>
            <w:pPr>
              <w:pStyle w:val="963"/>
              <w:tabs>
                <w:tab w:val="left" w:pos="1080" w:leader="none"/>
              </w:tabs>
              <w:rPr>
                <w:sz w:val="24"/>
                <w:highlight w:val="none"/>
              </w:rPr>
            </w:pPr>
            <w:r>
              <w:rPr>
                <w:rFonts w:hint="eastAsia"/>
                <w:sz w:val="24"/>
                <w:highlight w:val="none"/>
              </w:rPr>
              <w:t xml:space="preserve">注1：监狱企业须提供由省级以上监狱管理局（常州市含教育矫治局）、戒毒管理局（含新疆生产建设兵团）出具的属于监狱企业的证明文件。</w:t>
            </w:r>
            <w:r>
              <w:rPr>
                <w:sz w:val="24"/>
                <w:highlight w:val="none"/>
              </w:rPr>
            </w:r>
            <w:r/>
          </w:p>
          <w:p>
            <w:pPr>
              <w:pStyle w:val="963"/>
              <w:tabs>
                <w:tab w:val="left" w:pos="1080" w:leader="none"/>
              </w:tabs>
              <w:rPr>
                <w:sz w:val="24"/>
                <w:highlight w:val="none"/>
              </w:rPr>
            </w:pPr>
            <w:r>
              <w:rPr>
                <w:rFonts w:hint="eastAsia"/>
                <w:sz w:val="24"/>
                <w:highlight w:val="none"/>
              </w:rPr>
              <w:t xml:space="preserve">注2：残疾人福利性单位须按询价文件要求提供《残疾人福利性单位声明函》。</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1145"/>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2-3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858"/>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本项目的特定资格要求</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如有，见第一章《</w:t>
            </w:r>
            <w:r>
              <w:rPr>
                <w:rFonts w:hint="eastAsia"/>
                <w:sz w:val="24"/>
                <w:highlight w:val="none"/>
              </w:rPr>
              <w:t xml:space="preserve">询价公告</w:t>
            </w:r>
            <w:r>
              <w:rPr>
                <w:sz w:val="24"/>
                <w:highlight w:val="none"/>
              </w:rPr>
              <w:t xml:space="preserve">》</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233"/>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是否接受联合体响应</w:t>
            </w:r>
            <w:r>
              <w:rPr>
                <w:sz w:val="24"/>
                <w:highlight w:val="none"/>
              </w:rPr>
            </w:r>
            <w:r/>
          </w:p>
        </w:tc>
        <w:tc>
          <w:tcPr>
            <w:tcW w:w="2579" w:type="dxa"/>
            <w:vAlign w:val="center"/>
            <w:textDirection w:val="lrTb"/>
            <w:noWrap w:val="false"/>
          </w:tcPr>
          <w:p>
            <w:pPr>
              <w:pStyle w:val="963"/>
              <w:tabs>
                <w:tab w:val="left" w:pos="1080" w:leader="none"/>
              </w:tabs>
              <w:rPr>
                <w:sz w:val="24"/>
                <w:highlight w:val="none"/>
              </w:rPr>
            </w:pPr>
            <w:r>
              <w:rPr>
                <w:sz w:val="24"/>
                <w:highlight w:val="none"/>
              </w:rPr>
              <w:t xml:space="preserve">不接受联合体投标</w:t>
            </w:r>
            <w:r>
              <w:rPr>
                <w:sz w:val="24"/>
                <w:highlight w:val="none"/>
              </w:rPr>
            </w:r>
            <w:r/>
          </w:p>
        </w:tc>
        <w:tc>
          <w:tcPr>
            <w:tcW w:w="1028" w:type="dxa"/>
            <w:vAlign w:val="center"/>
            <w:textDirection w:val="lrTb"/>
            <w:noWrap w:val="false"/>
          </w:tcPr>
          <w:p>
            <w:pPr>
              <w:pStyle w:val="963"/>
              <w:tabs>
                <w:tab w:val="left" w:pos="1080" w:leader="none"/>
              </w:tabs>
              <w:rPr>
                <w:sz w:val="24"/>
                <w:highlight w:val="none"/>
              </w:rPr>
            </w:pPr>
            <w:r>
              <w:rPr>
                <w:sz w:val="24"/>
                <w:highlight w:val="none"/>
              </w:rPr>
            </w:r>
            <w:r/>
          </w:p>
        </w:tc>
      </w:tr>
      <w:tr>
        <w:trPr>
          <w:cantSplit/>
          <w:trHeight w:val="1944"/>
        </w:trPr>
        <w:tc>
          <w:tcPr>
            <w:tcW w:w="378" w:type="dxa"/>
            <w:vAlign w:val="center"/>
            <w:textDirection w:val="lrTb"/>
            <w:noWrap w:val="false"/>
          </w:tcPr>
          <w:p>
            <w:pPr>
              <w:pStyle w:val="963"/>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963"/>
              <w:tabs>
                <w:tab w:val="left" w:pos="1080" w:leader="none"/>
              </w:tabs>
              <w:rPr>
                <w:sz w:val="24"/>
                <w:highlight w:val="none"/>
              </w:rPr>
            </w:pPr>
            <w:r>
              <w:rPr>
                <w:sz w:val="24"/>
                <w:highlight w:val="none"/>
              </w:rPr>
              <w:t xml:space="preserve">其他特定资格要求</w:t>
            </w:r>
            <w:r>
              <w:rPr>
                <w:sz w:val="24"/>
                <w:highlight w:val="none"/>
              </w:rPr>
            </w:r>
            <w:r/>
          </w:p>
        </w:tc>
        <w:tc>
          <w:tcPr>
            <w:tcW w:w="2579" w:type="dxa"/>
            <w:vAlign w:val="center"/>
            <w:textDirection w:val="lrTb"/>
            <w:noWrap w:val="false"/>
          </w:tcPr>
          <w:p>
            <w:pPr>
              <w:pStyle w:val="963"/>
              <w:tabs>
                <w:tab w:val="left" w:pos="1080" w:leader="none"/>
              </w:tabs>
              <w:rPr>
                <w:rFonts w:hint="eastAsia" w:eastAsia="宋体"/>
                <w:color w:val="000000"/>
                <w:sz w:val="24"/>
                <w:highlight w:val="none"/>
                <w:lang w:eastAsia="zh-CN"/>
              </w:rPr>
            </w:pPr>
            <w:r>
              <w:rPr>
                <w:rFonts w:hint="eastAsia" w:eastAsia="宋体"/>
                <w:color w:val="000000"/>
                <w:sz w:val="24"/>
                <w:highlight w:val="none"/>
                <w:lang w:eastAsia="zh-CN"/>
              </w:rPr>
              <w:t xml:space="preserve">（1）供应商须提供拟投货物有效期内农业农村部颁发的农药登记证。</w:t>
            </w:r>
            <w:r>
              <w:rPr>
                <w:rFonts w:hint="eastAsia" w:eastAsia="宋体"/>
                <w:color w:val="000000"/>
                <w:sz w:val="24"/>
                <w:highlight w:val="none"/>
                <w:lang w:eastAsia="zh-CN"/>
              </w:rPr>
            </w:r>
            <w:r/>
          </w:p>
          <w:p>
            <w:pPr>
              <w:pStyle w:val="963"/>
              <w:tabs>
                <w:tab w:val="left" w:pos="1080" w:leader="none"/>
              </w:tabs>
              <w:rPr>
                <w:rFonts w:hint="eastAsia" w:eastAsia="宋体"/>
                <w:sz w:val="24"/>
                <w:highlight w:val="none"/>
                <w:lang w:eastAsia="zh-CN"/>
              </w:rPr>
            </w:pPr>
            <w:r>
              <w:rPr>
                <w:rFonts w:hint="eastAsia" w:eastAsia="宋体"/>
                <w:sz w:val="24"/>
                <w:highlight w:val="none"/>
                <w:lang w:eastAsia="zh-CN"/>
              </w:rPr>
              <w:t xml:space="preserve">（</w:t>
            </w:r>
            <w:r>
              <w:rPr>
                <w:rFonts w:hint="eastAsia" w:eastAsia="宋体"/>
                <w:sz w:val="24"/>
                <w:highlight w:val="none"/>
                <w:lang w:val="en-US" w:eastAsia="zh-CN"/>
              </w:rPr>
              <w:t xml:space="preserve">2</w:t>
            </w:r>
            <w:r>
              <w:rPr>
                <w:rFonts w:hint="eastAsia" w:eastAsia="宋体"/>
                <w:sz w:val="24"/>
                <w:highlight w:val="none"/>
                <w:lang w:eastAsia="zh-CN"/>
              </w:rPr>
              <w:t xml:space="preserve">）供应商为生产厂家的，须提供拟投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的生产许可证；供应商为经销单位的，须提供</w:t>
            </w:r>
            <w:r>
              <w:rPr>
                <w:rFonts w:hint="eastAsia" w:eastAsia="宋体"/>
                <w:sz w:val="24"/>
                <w:highlight w:val="none"/>
                <w:lang w:eastAsia="zh-CN"/>
              </w:rPr>
              <w:t xml:space="preserve">拟投</w:t>
            </w:r>
            <w:r>
              <w:rPr>
                <w:rFonts w:hint="eastAsia" w:eastAsia="宋体"/>
                <w:sz w:val="24"/>
                <w:highlight w:val="none"/>
                <w:lang w:val="en-US" w:eastAsia="zh-CN"/>
              </w:rPr>
              <w:t xml:space="preserve">货物</w:t>
            </w:r>
            <w:r>
              <w:rPr>
                <w:rFonts w:hint="eastAsia" w:eastAsia="宋体"/>
                <w:sz w:val="24"/>
                <w:highlight w:val="none"/>
                <w:lang w:eastAsia="zh-CN"/>
              </w:rPr>
              <w:t xml:space="preserve">的生产许可证和</w:t>
            </w:r>
            <w:r>
              <w:rPr>
                <w:rFonts w:hint="eastAsia" w:eastAsia="宋体"/>
                <w:sz w:val="24"/>
                <w:highlight w:val="none"/>
                <w:lang w:eastAsia="zh-CN"/>
              </w:rPr>
              <w:t xml:space="preserve">有效的农药经营许可证。</w:t>
            </w:r>
            <w:r>
              <w:rPr>
                <w:rFonts w:hint="eastAsia" w:eastAsia="宋体"/>
                <w:sz w:val="24"/>
                <w:highlight w:val="none"/>
                <w:lang w:eastAsia="zh-CN"/>
              </w:rPr>
            </w:r>
            <w:r/>
          </w:p>
        </w:tc>
        <w:tc>
          <w:tcPr>
            <w:tcW w:w="1028" w:type="dxa"/>
            <w:vAlign w:val="center"/>
            <w:textDirection w:val="lrTb"/>
            <w:noWrap w:val="false"/>
          </w:tcPr>
          <w:p>
            <w:pPr>
              <w:pStyle w:val="963"/>
              <w:tabs>
                <w:tab w:val="left" w:pos="1080" w:leader="none"/>
              </w:tabs>
              <w:rPr>
                <w:sz w:val="24"/>
                <w:highlight w:val="none"/>
              </w:rPr>
            </w:pPr>
            <w:r>
              <w:rPr>
                <w:sz w:val="24"/>
                <w:highlight w:val="none"/>
              </w:rPr>
              <w:t xml:space="preserve">提供证明文件的</w:t>
            </w:r>
            <w:r>
              <w:rPr>
                <w:rFonts w:hint="eastAsia"/>
                <w:sz w:val="24"/>
                <w:highlight w:val="none"/>
              </w:rPr>
              <w:t xml:space="preserve">原件扫描件加盖公章</w:t>
            </w:r>
            <w:r>
              <w:rPr>
                <w:sz w:val="24"/>
                <w:highlight w:val="none"/>
              </w:rPr>
            </w:r>
            <w:r/>
          </w:p>
        </w:tc>
      </w:tr>
    </w:tbl>
    <w:p>
      <w:pPr>
        <w:pStyle w:val="963"/>
        <w:jc w:val="left"/>
        <w:widowControl/>
        <w:rPr>
          <w:rFonts w:hint="eastAsia"/>
          <w:color w:val="000000"/>
          <w:sz w:val="24"/>
          <w:highlight w:val="none"/>
        </w:rPr>
      </w:pPr>
      <w:r/>
      <w:bookmarkStart w:id="588" w:name="_Hlt487900425"/>
      <w:r/>
      <w:bookmarkEnd w:id="588"/>
      <w:r/>
      <w:bookmarkStart w:id="589" w:name="_Hlt522424701"/>
      <w:r/>
      <w:bookmarkEnd w:id="589"/>
      <w:r/>
      <w:bookmarkStart w:id="590" w:name="_Toc127151779"/>
      <w:r/>
      <w:bookmarkStart w:id="591" w:name="_Toc226965858"/>
      <w:r/>
      <w:bookmarkStart w:id="592" w:name="_Toc353873940"/>
      <w:r/>
      <w:bookmarkStart w:id="593" w:name="_Toc127161490"/>
      <w:r/>
      <w:bookmarkStart w:id="594" w:name="_Toc353825550"/>
      <w:r>
        <w:rPr>
          <w:rFonts w:hint="eastAsia"/>
          <w:color w:val="000000"/>
          <w:sz w:val="24"/>
          <w:highlight w:val="none"/>
        </w:rPr>
      </w:r>
      <w:r/>
    </w:p>
    <w:p>
      <w:pPr>
        <w:pStyle w:val="963"/>
        <w:jc w:val="left"/>
        <w:widowControl/>
        <w:rPr>
          <w:color w:val="000000"/>
          <w:sz w:val="24"/>
          <w:highlight w:val="none"/>
        </w:rPr>
      </w:pPr>
      <w:r>
        <w:rPr>
          <w:color w:val="000000"/>
          <w:sz w:val="24"/>
          <w:highlight w:val="none"/>
        </w:rPr>
      </w:r>
      <w:r/>
    </w:p>
    <w:p>
      <w:pPr>
        <w:pStyle w:val="963"/>
        <w:numPr>
          <w:ilvl w:val="1"/>
          <w:numId w:val="10"/>
        </w:numPr>
        <w:ind w:left="900" w:hanging="480"/>
        <w:spacing w:line="360" w:lineRule="auto"/>
        <w:tabs>
          <w:tab w:val="left" w:pos="360" w:leader="none"/>
          <w:tab w:val="left" w:pos="426" w:leader="none"/>
          <w:tab w:val="left" w:pos="900" w:leader="none"/>
          <w:tab w:val="left" w:pos="1589" w:leader="none"/>
        </w:tabs>
        <w:rPr>
          <w:color w:val="000000"/>
          <w:sz w:val="24"/>
          <w:highlight w:val="none"/>
        </w:rPr>
        <w:outlineLvl w:val="1"/>
      </w:pPr>
      <w:r>
        <w:rPr>
          <w:color w:val="000000"/>
          <w:sz w:val="24"/>
          <w:highlight w:val="none"/>
        </w:rPr>
        <w:br w:type="page" w:clear="all"/>
      </w:r>
      <w:r>
        <w:rPr>
          <w:color w:val="000000"/>
          <w:sz w:val="24"/>
          <w:highlight w:val="none"/>
        </w:rPr>
        <w:t xml:space="preserve">《</w:t>
      </w:r>
      <w:r>
        <w:rPr>
          <w:sz w:val="24"/>
          <w:highlight w:val="none"/>
        </w:rPr>
        <w:t xml:space="preserve">符合性检查</w:t>
      </w:r>
      <w:r>
        <w:rPr>
          <w:color w:val="000000"/>
          <w:sz w:val="24"/>
          <w:highlight w:val="none"/>
        </w:rPr>
        <w:t xml:space="preserve">要求》见下表：</w:t>
      </w:r>
      <w:bookmarkEnd w:id="590"/>
      <w:r/>
      <w:bookmarkEnd w:id="591"/>
      <w:r/>
      <w:bookmarkEnd w:id="592"/>
      <w:r/>
      <w:bookmarkEnd w:id="593"/>
      <w:r/>
      <w:bookmarkEnd w:id="594"/>
      <w:r/>
      <w:bookmarkStart w:id="595" w:name="_Toc353873941"/>
      <w:r/>
      <w:bookmarkStart w:id="596" w:name="_Toc353825551"/>
      <w:r/>
      <w:bookmarkStart w:id="597" w:name="_Toc127151555"/>
      <w:r/>
      <w:bookmarkStart w:id="598" w:name="_Toc142311057"/>
      <w:r/>
      <w:bookmarkStart w:id="599" w:name="_Toc353825545"/>
      <w:r/>
      <w:bookmarkStart w:id="600" w:name="_Toc226337251"/>
      <w:r/>
      <w:bookmarkStart w:id="601" w:name="_Toc305158897"/>
      <w:r/>
      <w:bookmarkStart w:id="602" w:name="_Toc353873665"/>
      <w:r/>
      <w:bookmarkStart w:id="603" w:name="_Toc353873935"/>
      <w:r/>
      <w:bookmarkStart w:id="604" w:name="_Toc265228393"/>
      <w:r/>
      <w:bookmarkStart w:id="605" w:name="_Toc195842920"/>
      <w:r/>
      <w:bookmarkStart w:id="606" w:name="_Toc305158823"/>
      <w:r/>
      <w:bookmarkStart w:id="607" w:name="_Toc264969245"/>
      <w:r/>
      <w:bookmarkStart w:id="608" w:name="_Toc150480793"/>
      <w:r/>
      <w:bookmarkStart w:id="609" w:name="_Toc150774760"/>
      <w:r/>
      <w:bookmarkStart w:id="610" w:name="_Toc226965828"/>
      <w:r>
        <w:rPr>
          <w:color w:val="000000"/>
          <w:sz w:val="24"/>
          <w:highlight w:val="none"/>
        </w:rPr>
      </w:r>
      <w:r/>
    </w:p>
    <w:p>
      <w:pPr>
        <w:pStyle w:val="963"/>
        <w:jc w:val="center"/>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834"/>
        <w:gridCol w:w="6814"/>
      </w:tblGrid>
      <w:tr>
        <w:trPr>
          <w:trHeight w:val="451"/>
        </w:trPr>
        <w:tc>
          <w:tcPr>
            <w:tcW w:w="401"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6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162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按询价通知书要求提供</w:t>
            </w: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546"/>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将一个采购包中的内容拆开响应；</w:t>
            </w:r>
            <w:r>
              <w:rPr>
                <w:color w:val="000000"/>
                <w:sz w:val="24"/>
                <w:highlight w:val="none"/>
              </w:rPr>
            </w:r>
            <w:r/>
          </w:p>
        </w:tc>
      </w:tr>
      <w:tr>
        <w:trPr>
          <w:trHeight w:val="729"/>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超过询价通知书中规定的项目/采购包预算金额或者项目/采购包最高限价</w:t>
            </w:r>
            <w:r>
              <w:rPr>
                <w:color w:val="000000"/>
                <w:sz w:val="24"/>
                <w:highlight w:val="none"/>
              </w:rPr>
              <w:t xml:space="preserve">；</w:t>
            </w:r>
            <w:r>
              <w:rPr>
                <w:color w:val="000000"/>
                <w:sz w:val="24"/>
                <w:highlight w:val="none"/>
              </w:rPr>
            </w:r>
            <w:r/>
          </w:p>
        </w:tc>
      </w:tr>
      <w:tr>
        <w:trPr>
          <w:trHeight w:val="7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出现可选择性或可调整的报价（询价通知书另有规定的除外）</w:t>
            </w:r>
            <w:r>
              <w:rPr>
                <w:color w:val="000000"/>
                <w:sz w:val="24"/>
                <w:highlight w:val="none"/>
              </w:rPr>
              <w:t xml:space="preserve">；</w:t>
            </w:r>
            <w:r>
              <w:rPr>
                <w:color w:val="000000"/>
                <w:sz w:val="24"/>
                <w:highlight w:val="none"/>
              </w:rPr>
            </w:r>
            <w:r/>
          </w:p>
        </w:tc>
      </w:tr>
      <w:tr>
        <w:trPr>
          <w:trHeight w:val="685"/>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询价通知书中载明的响应有效期的；</w:t>
            </w:r>
            <w:r>
              <w:rPr>
                <w:color w:val="000000"/>
                <w:sz w:val="24"/>
                <w:highlight w:val="none"/>
              </w:rPr>
            </w:r>
            <w:r/>
          </w:p>
        </w:tc>
      </w:tr>
      <w:tr>
        <w:trPr>
          <w:trHeight w:val="593"/>
        </w:trPr>
        <w:tc>
          <w:tcPr>
            <w:tcW w:w="401" w:type="dxa"/>
            <w:vAlign w:val="center"/>
            <w:textDirection w:val="lrTb"/>
            <w:noWrap w:val="false"/>
          </w:tcPr>
          <w:p>
            <w:pPr>
              <w:pStyle w:val="963"/>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按照询价通知书要求签署、加盖公章的；</w:t>
            </w:r>
            <w:r>
              <w:rPr>
                <w:color w:val="000000"/>
                <w:sz w:val="24"/>
                <w:highlight w:val="none"/>
              </w:rPr>
            </w:r>
            <w:r/>
          </w:p>
        </w:tc>
      </w:tr>
      <w:tr>
        <w:trPr>
          <w:trHeight w:val="620"/>
        </w:trPr>
        <w:tc>
          <w:tcPr>
            <w:tcW w:w="401" w:type="dxa"/>
            <w:vAlign w:val="center"/>
            <w:textDirection w:val="lrTb"/>
            <w:noWrap w:val="false"/>
          </w:tcPr>
          <w:p>
            <w:pPr>
              <w:pStyle w:val="96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询价通知书</w:t>
            </w:r>
            <w:r>
              <w:rPr>
                <w:rFonts w:hint="eastAsia"/>
                <w:sz w:val="24"/>
                <w:highlight w:val="none"/>
              </w:rPr>
              <w:t xml:space="preserve">要求提供；</w:t>
            </w:r>
            <w:r>
              <w:rPr>
                <w:color w:val="000000"/>
                <w:sz w:val="24"/>
                <w:highlight w:val="none"/>
              </w:rPr>
            </w:r>
            <w:r/>
          </w:p>
        </w:tc>
      </w:tr>
      <w:tr>
        <w:trPr>
          <w:trHeight w:val="620"/>
        </w:trPr>
        <w:tc>
          <w:tcPr>
            <w:tcW w:w="745" w:type="dxa"/>
            <w:vAlign w:val="center"/>
            <w:textDirection w:val="lrTb"/>
            <w:noWrap w:val="false"/>
          </w:tcPr>
          <w:p>
            <w:pPr>
              <w:pStyle w:val="963"/>
              <w:jc w:val="center"/>
              <w:widowControl/>
              <w:rPr>
                <w:rFonts w:hint="eastAsia"/>
                <w:color w:val="000000"/>
                <w:sz w:val="24"/>
                <w:highlight w:val="none"/>
              </w:rPr>
            </w:pPr>
            <w:r>
              <w:rPr>
                <w:color w:val="000000"/>
                <w:sz w:val="24"/>
              </w:rPr>
              <w:t xml:space="preserve">8</w:t>
            </w:r>
            <w:r>
              <w:rPr>
                <w:rFonts w:hint="eastAsia"/>
                <w:color w:val="000000"/>
                <w:sz w:val="24"/>
                <w:highlight w:val="none"/>
              </w:rPr>
            </w:r>
            <w:r/>
          </w:p>
        </w:tc>
        <w:tc>
          <w:tcPr>
            <w:tcW w:w="1812" w:type="dxa"/>
            <w:vAlign w:val="center"/>
            <w:textDirection w:val="lrTb"/>
            <w:noWrap w:val="false"/>
          </w:tcPr>
          <w:p>
            <w:pPr>
              <w:pStyle w:val="963"/>
              <w:jc w:val="left"/>
              <w:widowControl/>
              <w:rPr>
                <w:rFonts w:hint="eastAsia"/>
                <w:color w:val="000000"/>
                <w:sz w:val="24"/>
                <w:highlight w:val="none"/>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highlight w:val="none"/>
              </w:rPr>
            </w:r>
            <w:r/>
          </w:p>
        </w:tc>
        <w:tc>
          <w:tcPr>
            <w:tcW w:w="6731" w:type="dxa"/>
            <w:vAlign w:val="center"/>
            <w:textDirection w:val="lrTb"/>
            <w:noWrap w:val="false"/>
          </w:tcPr>
          <w:p>
            <w:pPr>
              <w:pStyle w:val="963"/>
              <w:jc w:val="left"/>
              <w:widowControl/>
              <w:rPr>
                <w:rFonts w:hint="eastAsia"/>
                <w:sz w:val="24"/>
                <w:highlight w:val="none"/>
              </w:rPr>
            </w:pPr>
            <w:r>
              <w:rPr>
                <w:color w:val="000000"/>
                <w:sz w:val="24"/>
              </w:rPr>
              <w:t xml:space="preserve">响应文件满足询价通知书</w:t>
            </w:r>
            <w:r>
              <w:rPr>
                <w:sz w:val="24"/>
              </w:rPr>
              <w:t xml:space="preserve">第</w:t>
            </w:r>
            <w:r>
              <w:rPr>
                <w:rFonts w:hint="eastAsia"/>
                <w:sz w:val="24"/>
                <w:lang w:val="en-US" w:eastAsia="zh-CN"/>
              </w:rPr>
              <w:t xml:space="preserve">四</w:t>
            </w:r>
            <w:r>
              <w:rPr>
                <w:sz w:val="24"/>
              </w:rPr>
              <w:t xml:space="preserve">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sz w:val="24"/>
                <w:highlight w:val="none"/>
              </w:rPr>
            </w:r>
            <w:r/>
          </w:p>
        </w:tc>
      </w:tr>
      <w:tr>
        <w:trPr>
          <w:trHeight w:val="730"/>
        </w:trPr>
        <w:tc>
          <w:tcPr>
            <w:tcW w:w="401" w:type="dxa"/>
            <w:vAlign w:val="center"/>
            <w:textDirection w:val="lrTb"/>
            <w:noWrap w:val="false"/>
          </w:tcPr>
          <w:p>
            <w:pPr>
              <w:pStyle w:val="963"/>
              <w:jc w:val="center"/>
              <w:widowControl/>
              <w:rPr>
                <w:rFonts w:hint="eastAsia" w:eastAsia="宋体"/>
                <w:color w:val="000000"/>
                <w:sz w:val="24"/>
                <w:szCs w:val="24"/>
                <w:highlight w:val="none"/>
                <w:lang w:val="en-US" w:eastAsia="zh-CN" w:bidi="ar-SA"/>
              </w:rPr>
            </w:pPr>
            <w:r>
              <w:rPr>
                <w:rFonts w:hint="eastAsia"/>
                <w:color w:val="000000"/>
                <w:sz w:val="24"/>
                <w:highlight w:val="none"/>
                <w:lang w:val="en-US" w:eastAsia="zh-CN"/>
              </w:rPr>
              <w:t xml:space="preserve">9</w:t>
            </w:r>
            <w:r>
              <w:rPr>
                <w:rFonts w:hint="eastAsia"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rFonts w:hint="eastAsia" w:eastAsia="宋体"/>
                <w:color w:val="000000"/>
                <w:sz w:val="24"/>
                <w:szCs w:val="24"/>
                <w:highlight w:val="none"/>
                <w:lang w:val="en-US" w:eastAsia="zh-CN" w:bidi="ar-SA"/>
              </w:rPr>
            </w:pPr>
            <w:r>
              <w:rPr>
                <w:sz w:val="24"/>
                <w:highlight w:val="none"/>
              </w:rPr>
              <w:t xml:space="preserve">报价合理性</w:t>
            </w:r>
            <w:r>
              <w:rPr>
                <w:rFonts w:hint="eastAsia" w:eastAsia="宋体"/>
                <w:color w:val="000000"/>
                <w:sz w:val="24"/>
                <w:szCs w:val="24"/>
                <w:highlight w:val="none"/>
                <w:lang w:val="en-US" w:eastAsia="zh-CN" w:bidi="ar-SA"/>
              </w:rPr>
            </w:r>
            <w:r/>
          </w:p>
        </w:tc>
        <w:tc>
          <w:tcPr>
            <w:tcW w:w="3622" w:type="dxa"/>
            <w:vAlign w:val="center"/>
            <w:textDirection w:val="lrTb"/>
            <w:noWrap w:val="false"/>
          </w:tcPr>
          <w:p>
            <w:pPr>
              <w:pStyle w:val="963"/>
              <w:jc w:val="left"/>
              <w:widowControl/>
              <w:rPr>
                <w:rFonts w:hint="eastAsia"/>
                <w:sz w:val="24"/>
                <w:szCs w:val="24"/>
                <w:highlight w:val="none"/>
                <w:lang w:val="en-US" w:eastAsia="zh-CN" w:bidi="ar-SA"/>
              </w:rPr>
            </w:pPr>
            <w:r>
              <w:rPr>
                <w:sz w:val="24"/>
                <w:highlight w:val="none"/>
              </w:rPr>
              <w:t xml:space="preserve">报价合理，或</w:t>
            </w:r>
            <w:r>
              <w:rPr>
                <w:rFonts w:hint="eastAsia"/>
                <w:sz w:val="24"/>
                <w:highlight w:val="none"/>
              </w:rPr>
              <w:t xml:space="preserve">供应商的报价明显低于其他通过符合性审查供应商的报价，</w:t>
            </w:r>
            <w:r>
              <w:rPr>
                <w:sz w:val="24"/>
                <w:highlight w:val="none"/>
              </w:rPr>
              <w:t xml:space="preserve">有可能影响</w:t>
            </w:r>
            <w:r>
              <w:rPr>
                <w:rFonts w:hint="eastAsia"/>
                <w:sz w:val="24"/>
                <w:highlight w:val="none"/>
              </w:rPr>
              <w:t xml:space="preserve">服务</w:t>
            </w:r>
            <w:r>
              <w:rPr>
                <w:sz w:val="24"/>
                <w:highlight w:val="none"/>
              </w:rPr>
              <w:t xml:space="preserve">质量或者不能诚信履约的</w:t>
            </w:r>
            <w:r>
              <w:rPr>
                <w:rFonts w:hint="eastAsia"/>
                <w:sz w:val="24"/>
                <w:highlight w:val="none"/>
              </w:rPr>
              <w:t xml:space="preserve">，能够应</w:t>
            </w:r>
            <w:r>
              <w:rPr>
                <w:rFonts w:hint="eastAsia"/>
                <w:sz w:val="24"/>
                <w:highlight w:val="none"/>
                <w:lang w:val="en-US" w:eastAsia="zh-CN"/>
              </w:rPr>
              <w:t xml:space="preserve">询价</w:t>
            </w:r>
            <w:r>
              <w:rPr>
                <w:rFonts w:hint="eastAsia"/>
                <w:sz w:val="24"/>
                <w:highlight w:val="none"/>
              </w:rPr>
              <w:t xml:space="preserve">小组要求在规定时间内证明其报价合理性的</w:t>
            </w:r>
            <w:r>
              <w:rPr>
                <w:sz w:val="24"/>
                <w:highlight w:val="none"/>
              </w:rPr>
              <w:t xml:space="preserve">；</w:t>
            </w:r>
            <w:r>
              <w:rPr>
                <w:rFonts w:hint="eastAsia"/>
                <w:sz w:val="24"/>
                <w:szCs w:val="24"/>
                <w:highlight w:val="none"/>
                <w:lang w:val="en-US" w:eastAsia="zh-CN" w:bidi="ar-SA"/>
              </w:rPr>
            </w:r>
            <w:r/>
          </w:p>
        </w:tc>
      </w:tr>
      <w:tr>
        <w:trPr>
          <w:trHeight w:val="73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10</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1019"/>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11</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r>
      <w:tr>
        <w:trPr>
          <w:trHeight w:val="3170"/>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12</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r>
      <w:tr>
        <w:trPr>
          <w:trHeight w:val="515"/>
        </w:trPr>
        <w:tc>
          <w:tcPr>
            <w:tcW w:w="401" w:type="dxa"/>
            <w:vAlign w:val="center"/>
            <w:textDirection w:val="lrTb"/>
            <w:noWrap w:val="false"/>
          </w:tcPr>
          <w:p>
            <w:pPr>
              <w:pStyle w:val="963"/>
              <w:jc w:val="center"/>
              <w:widowControl/>
              <w:rPr>
                <w:rFonts w:eastAsia="宋体"/>
                <w:color w:val="000000"/>
                <w:sz w:val="24"/>
                <w:szCs w:val="24"/>
                <w:highlight w:val="none"/>
                <w:lang w:val="en-US" w:eastAsia="zh-CN" w:bidi="ar-SA"/>
              </w:rPr>
            </w:pPr>
            <w:r>
              <w:rPr>
                <w:rFonts w:hint="eastAsia" w:eastAsia="宋体"/>
                <w:color w:val="000000"/>
                <w:sz w:val="24"/>
                <w:highlight w:val="none"/>
                <w:lang w:val="en-US" w:eastAsia="zh-CN"/>
              </w:rPr>
              <w:t xml:space="preserve">13</w:t>
            </w:r>
            <w:r>
              <w:rPr>
                <w:rFonts w:eastAsia="宋体"/>
                <w:color w:val="000000"/>
                <w:sz w:val="24"/>
                <w:szCs w:val="24"/>
                <w:highlight w:val="none"/>
                <w:lang w:val="en-US" w:eastAsia="zh-CN" w:bidi="ar-SA"/>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1" w:type="dxa"/>
            <w:vAlign w:val="center"/>
            <w:textDirection w:val="lrTb"/>
            <w:noWrap w:val="false"/>
          </w:tcPr>
          <w:p>
            <w:pPr>
              <w:pStyle w:val="963"/>
              <w:jc w:val="center"/>
              <w:widowControl/>
              <w:rPr>
                <w:rFonts w:eastAsia="宋体"/>
                <w:color w:val="000000"/>
                <w:sz w:val="24"/>
                <w:highlight w:val="none"/>
                <w:lang w:val="en-US" w:eastAsia="zh-CN"/>
              </w:rPr>
            </w:pPr>
            <w:r>
              <w:rPr>
                <w:rFonts w:hint="eastAsia" w:eastAsia="宋体"/>
                <w:color w:val="000000"/>
                <w:sz w:val="24"/>
                <w:highlight w:val="none"/>
                <w:lang w:val="en-US" w:eastAsia="zh-CN"/>
              </w:rPr>
              <w:t xml:space="preserve">14</w:t>
            </w:r>
            <w:r>
              <w:rPr>
                <w:rFonts w:eastAsia="宋体"/>
                <w:color w:val="000000"/>
                <w:sz w:val="24"/>
                <w:highlight w:val="none"/>
                <w:lang w:val="en-US" w:eastAsia="zh-CN"/>
              </w:rPr>
            </w:r>
            <w:r/>
          </w:p>
        </w:tc>
        <w:tc>
          <w:tcPr>
            <w:tcW w:w="975" w:type="dxa"/>
            <w:vAlign w:val="center"/>
            <w:textDirection w:val="lrTb"/>
            <w:noWrap w:val="false"/>
          </w:tcPr>
          <w:p>
            <w:pPr>
              <w:pStyle w:val="96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63"/>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不符合法律、法规和询价通知书规定的其他无效情形。</w:t>
            </w:r>
            <w:r>
              <w:rPr>
                <w:color w:val="000000"/>
                <w:sz w:val="24"/>
                <w:highlight w:val="none"/>
              </w:rPr>
            </w:r>
            <w:r/>
          </w:p>
        </w:tc>
      </w:tr>
    </w:tbl>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响应文件有关事项的澄清、说明或者更正</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询价小组</w:t>
      </w:r>
      <w:r>
        <w:rPr>
          <w:sz w:val="24"/>
          <w:highlight w:val="none"/>
        </w:rPr>
        <w:t xml:space="preserve">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w:t>
      </w:r>
      <w:r>
        <w:rPr>
          <w:rFonts w:hint="eastAsia"/>
          <w:sz w:val="24"/>
          <w:highlight w:val="none"/>
        </w:rPr>
        <w:t xml:space="preserve">供应商</w:t>
      </w:r>
      <w:r>
        <w:rPr>
          <w:sz w:val="24"/>
          <w:highlight w:val="none"/>
        </w:rPr>
        <w:t xml:space="preserve">对其</w:t>
      </w:r>
      <w:r>
        <w:rPr>
          <w:rFonts w:hint="eastAsia"/>
          <w:sz w:val="24"/>
          <w:highlight w:val="none"/>
        </w:rPr>
        <w:t xml:space="preserve">响应</w:t>
      </w:r>
      <w:r>
        <w:rPr>
          <w:sz w:val="24"/>
          <w:highlight w:val="none"/>
        </w:rPr>
        <w:t xml:space="preserve">文件中含义不明确、同类问题表述不一致或者有明显文字和计算错误的内容，作出必要的澄清、说明或者补正。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rPr>
          <w:sz w:val="24"/>
          <w:highlight w:val="none"/>
        </w:rPr>
      </w:r>
      <w:r/>
    </w:p>
    <w:p>
      <w:pPr>
        <w:pStyle w:val="963"/>
        <w:numPr>
          <w:ilvl w:val="1"/>
          <w:numId w:val="10"/>
        </w:numPr>
        <w:ind w:left="1077" w:hanging="720"/>
        <w:spacing w:line="360" w:lineRule="auto"/>
        <w:tabs>
          <w:tab w:val="left" w:pos="1080" w:leader="none"/>
          <w:tab w:val="left" w:pos="1589" w:leader="none"/>
        </w:tabs>
        <w:rPr>
          <w:rFonts w:hint="eastAsia"/>
          <w:sz w:val="24"/>
          <w:highlight w:val="none"/>
        </w:rPr>
      </w:pPr>
      <w:r>
        <w:rPr>
          <w:rFonts w:hint="eastAsia"/>
          <w:sz w:val="24"/>
          <w:highlight w:val="none"/>
          <w:lang w:eastAsia="zh-CN"/>
        </w:rPr>
        <w:t xml:space="preserve">询价小组</w:t>
      </w:r>
      <w:r>
        <w:rPr>
          <w:rFonts w:hint="eastAsia"/>
          <w:sz w:val="24"/>
          <w:highlight w:val="none"/>
          <w:lang w:val="en-US" w:eastAsia="zh-CN"/>
        </w:rPr>
        <w:t xml:space="preserve">启动异常低价投标审查的情形和具体要求，包括：</w:t>
      </w:r>
      <w:r>
        <w:rPr>
          <w:rFonts w:hint="eastAsia"/>
          <w:sz w:val="24"/>
          <w:highlight w:val="none"/>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评审过程中出现下列情形之一的，评审委员会应当启动异常低价投标（响应）审查程序：</w:t>
      </w:r>
      <w:r>
        <w:rPr>
          <w:rFonts w:hint="eastAsia"/>
          <w:sz w:val="24"/>
          <w:highlight w:val="none"/>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1）投标报价低于采购项目预算 50%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报价＜采购项目预算×50%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2）投标报价低于采购项目最高限价 45% 的，即投标</w:t>
      </w:r>
      <w:r>
        <w:rPr>
          <w:rFonts w:hint="eastAsia" w:ascii="Times New Roman" w:hAnsi="Times New Roman" w:eastAsia="宋体" w:cs="Times New Roman"/>
          <w:color w:val="000000"/>
          <w:sz w:val="24"/>
          <w:highlight w:val="none"/>
        </w:rPr>
        <w:t xml:space="preserve">（响应）</w:t>
      </w:r>
      <w:r>
        <w:rPr>
          <w:rFonts w:hint="eastAsia" w:ascii="Times New Roman" w:hAnsi="Times New Roman" w:eastAsia="宋体" w:cs="Times New Roman"/>
          <w:color w:val="000000"/>
          <w:sz w:val="24"/>
          <w:highlight w:val="none"/>
          <w:lang w:val="en-US" w:eastAsia="zh-CN"/>
        </w:rPr>
        <w:t xml:space="preserve">报价＜采购项目最高限价×45% ； </w:t>
      </w:r>
      <w:r>
        <w:rPr>
          <w:rFonts w:hint="eastAsia" w:ascii="Times New Roman" w:hAnsi="Times New Roman" w:eastAsia="宋体" w:cs="Times New Roman"/>
          <w:color w:val="000000"/>
          <w:sz w:val="24"/>
          <w:highlight w:val="none"/>
          <w:lang w:val="en-US" w:eastAsia="zh-CN"/>
        </w:rPr>
      </w:r>
      <w:r/>
    </w:p>
    <w:p>
      <w:pPr>
        <w:pStyle w:val="963"/>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63"/>
        <w:numPr>
          <w:ilvl w:val="2"/>
          <w:numId w:val="10"/>
        </w:numPr>
        <w:ind w:left="1980" w:hanging="900"/>
        <w:spacing w:line="360" w:lineRule="auto"/>
        <w:tabs>
          <w:tab w:val="left" w:pos="1080" w:leader="none"/>
        </w:tabs>
        <w:rPr>
          <w:rFonts w:hint="eastAsia"/>
          <w:sz w:val="24"/>
          <w:highlight w:val="none"/>
        </w:rPr>
      </w:pPr>
      <w:r>
        <w:rPr>
          <w:rFonts w:hint="eastAsia"/>
          <w:sz w:val="24"/>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询价小组结合同类产品在主要电商平台的价格、该行业当地薪资水平等情况，依据专业经验对供应商报价合理性进行判断。投标供应商不提供书面说明、证明材料，或者提供的书面说明、证明材料不能证明其报价合理性的，询价小组应当将其作为无效投标处理。审查相关情况应当在评审报告中进行记录。</w:t>
      </w:r>
      <w:r>
        <w:rPr>
          <w:rFonts w:hint="eastAsia"/>
          <w:sz w:val="24"/>
          <w:highlight w:val="none"/>
        </w:rPr>
      </w:r>
      <w:r/>
    </w:p>
    <w:p>
      <w:pPr>
        <w:pStyle w:val="963"/>
        <w:numPr>
          <w:ilvl w:val="2"/>
          <w:numId w:val="10"/>
        </w:numPr>
        <w:ind w:left="1980" w:hanging="900"/>
        <w:spacing w:line="360" w:lineRule="auto"/>
        <w:tabs>
          <w:tab w:val="left" w:pos="1080" w:leader="none"/>
        </w:tabs>
        <w:rPr>
          <w:sz w:val="24"/>
          <w:highlight w:val="none"/>
        </w:rPr>
      </w:pPr>
      <w:r>
        <w:rPr>
          <w:rFonts w:hint="eastAsia"/>
          <w:sz w:val="24"/>
          <w:highlight w:val="none"/>
          <w:lang w:val="en-US" w:eastAsia="zh-CN"/>
        </w:rPr>
        <w:t xml:space="preserve">出现采购文件规定的异常低价情形，询价小组未启动异常低价审查或未对异常低价情形作出认定意见的，采购人应及时报告同级财政部门，由财政部门按照《中华人民共和国政府采购法实施条例》第七十五条追究评审专家的法律责任。</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响应文件报价出现前后不一致的，按照下列规定修正：</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询价通知书对于报价修正是否另有规定：</w:t>
      </w:r>
      <w:r>
        <w:rPr>
          <w:sz w:val="24"/>
          <w:highlight w:val="none"/>
        </w:rPr>
      </w:r>
      <w:r/>
    </w:p>
    <w:p>
      <w:pPr>
        <w:pStyle w:val="963"/>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□有，具体规定为：____________________________</w:t>
      </w:r>
      <w:r>
        <w:rPr>
          <w:sz w:val="24"/>
          <w:highlight w:val="none"/>
          <w:u w:val="single"/>
        </w:rPr>
      </w:r>
      <w:r/>
    </w:p>
    <w:p>
      <w:pPr>
        <w:pStyle w:val="963"/>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无，按下述2.4.2-2.4.6项规定修正。</w:t>
      </w:r>
      <w:r>
        <w:rPr>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响应文件中报价一览表内容与响应文件中相应内容不一致的，以报价一览表为准；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单价金额小数点或者百分比有明显错位的，以报价一览表的总价为准，并修改单价；</w:t>
      </w:r>
      <w:r>
        <w:rPr>
          <w:color w:val="000000"/>
          <w:sz w:val="24"/>
          <w:highlight w:val="none"/>
        </w:rPr>
      </w:r>
      <w:r/>
    </w:p>
    <w:p>
      <w:pPr>
        <w:pStyle w:val="963"/>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同时出现两种以上不一致的，按照前款规定的顺序修正。修正后的报价经供应商书面确认后产生约束力，供应商不确认的，其</w:t>
      </w:r>
      <w:r>
        <w:rPr>
          <w:b/>
          <w:sz w:val="24"/>
          <w:highlight w:val="none"/>
        </w:rPr>
        <w:t xml:space="preserve">响应无效</w:t>
      </w:r>
      <w:r>
        <w:rPr>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落实政府采购政策的价格调整：只有符合第二章《供应商须知》3.2条规定情形的，可以享受中小企业扶持政策，用扣除后的价格参加评审；否则，评审时价格不予扣除。</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中小企业参加政府采购活动，应当按照询价通知书给定的格式出具《中小企业声明函》，否则不得享受相关中小企业扶持政策。</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残疾人福利性单位按询价通知书要求提供了《残疾人福利性单位声明函》（见附件）的，视同小微企业。</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bookmarkEnd w:id="595"/>
      <w:r/>
      <w:bookmarkEnd w:id="596"/>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rPr>
        <w:t xml:space="preserve">：</w:t>
      </w:r>
      <w:r>
        <w:rPr>
          <w:sz w:val="24"/>
          <w:highlight w:val="none"/>
        </w:rPr>
        <w:t xml:space="preserve">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rPr>
        <w:t xml:space="preserve">：</w:t>
      </w:r>
      <w:r>
        <w:rPr>
          <w:sz w:val="24"/>
          <w:highlight w:val="none"/>
        </w:rPr>
        <w:t xml:space="preserve">___________。</w:t>
      </w:r>
      <w:r>
        <w:rPr>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其他为落实政府采购政策实施的优先采购（如涉及）：____________。</w:t>
      </w:r>
      <w:r>
        <w:rPr>
          <w:sz w:val="24"/>
          <w:highlight w:val="none"/>
        </w:rPr>
      </w:r>
      <w:r/>
    </w:p>
    <w:p>
      <w:pPr>
        <w:pStyle w:val="963"/>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分项报价表</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bCs/>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highlight w:val="none"/>
        </w:rPr>
      </w:r>
      <w:r/>
    </w:p>
    <w:p>
      <w:pPr>
        <w:pStyle w:val="963"/>
        <w:numPr>
          <w:ilvl w:val="2"/>
          <w:numId w:val="10"/>
        </w:numPr>
        <w:ind w:left="2035"/>
        <w:spacing w:line="360" w:lineRule="auto"/>
        <w:tabs>
          <w:tab w:val="left" w:pos="1080" w:leader="none"/>
          <w:tab w:val="left" w:pos="1589" w:leader="none"/>
          <w:tab w:val="left" w:pos="1980" w:leader="none"/>
          <w:tab w:val="left" w:pos="2014" w:leader="none"/>
        </w:tabs>
        <w:rPr>
          <w:sz w:val="24"/>
          <w:highlight w:val="none"/>
        </w:rPr>
      </w:pPr>
      <w:r>
        <w:rPr>
          <w:rFonts w:hint="eastAsia" w:ascii="Times New Roman" w:hAnsi="Times New Roman" w:eastAsia="宋体" w:cs="Times New Roman"/>
          <w:sz w:val="24"/>
          <w:highlight w:val="none"/>
        </w:rPr>
        <w:t xml:space="preserve">对本国产品给予</w:t>
      </w:r>
      <w:r>
        <w:rPr>
          <w:rFonts w:hint="eastAsia" w:ascii="Times New Roman" w:hAnsi="Times New Roman" w:eastAsia="宋体" w:cs="Times New Roman"/>
          <w:sz w:val="24"/>
          <w:highlight w:val="none"/>
          <w:lang w:eastAsia="zh-CN"/>
        </w:rPr>
        <w:t xml:space="preserve">的</w:t>
      </w:r>
      <w:r>
        <w:rPr>
          <w:rFonts w:hint="eastAsia" w:ascii="Times New Roman" w:hAnsi="Times New Roman" w:eastAsia="宋体" w:cs="Times New Roman"/>
          <w:sz w:val="24"/>
          <w:highlight w:val="none"/>
        </w:rPr>
        <w:t xml:space="preserve">价格评审优惠</w:t>
      </w:r>
      <w:r>
        <w:rPr>
          <w:rFonts w:hint="eastAsia" w:ascii="Times New Roman" w:hAnsi="Times New Roman" w:eastAsia="宋体" w:cs="Times New Roman"/>
          <w:sz w:val="24"/>
          <w:highlight w:val="none"/>
          <w:lang w:val="en-US" w:eastAsia="zh-CN"/>
        </w:rPr>
        <w:t xml:space="preserve">与</w:t>
      </w:r>
      <w:r>
        <w:rPr>
          <w:rFonts w:hint="eastAsia" w:ascii="Times New Roman" w:hAnsi="Times New Roman" w:eastAsia="宋体" w:cs="Times New Roman"/>
          <w:sz w:val="24"/>
          <w:highlight w:val="none"/>
        </w:rPr>
        <w:t xml:space="preserve">小微企业价格扣减的优惠政策</w:t>
      </w:r>
      <w:r>
        <w:rPr>
          <w:rFonts w:hint="eastAsia" w:ascii="Times New Roman" w:hAnsi="Times New Roman" w:eastAsia="宋体" w:cs="Times New Roman"/>
          <w:sz w:val="24"/>
          <w:highlight w:val="none"/>
          <w:lang w:val="en-US" w:eastAsia="zh-CN"/>
        </w:rPr>
        <w:t xml:space="preserve">可重复享受</w:t>
      </w:r>
      <w:r>
        <w:rPr>
          <w:rFonts w:hint="eastAsia" w:ascii="Times New Roman" w:hAnsi="Times New Roman" w:eastAsia="宋体" w:cs="Times New Roman"/>
          <w:sz w:val="24"/>
          <w:highlight w:val="none"/>
        </w:rPr>
        <w:t xml:space="preserve">。</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询价小组在询价过程中，不得改变询价通知书所确定的技术和服务等要求、评审程序、评定成交的标准和合同文本等事项。</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评定成交的标准与确定</w:t>
      </w:r>
      <w:bookmarkStart w:id="611" w:name="_Toc226965819"/>
      <w:r/>
      <w:bookmarkStart w:id="612" w:name="_Toc195842911"/>
      <w:r/>
      <w:bookmarkStart w:id="613" w:name="_Toc150480784"/>
      <w:r/>
      <w:bookmarkStart w:id="614" w:name="_Toc164351640"/>
      <w:r/>
      <w:bookmarkStart w:id="615" w:name="_Toc164608815"/>
      <w:r/>
      <w:bookmarkStart w:id="616" w:name="_Toc226337242"/>
      <w:r/>
      <w:bookmarkStart w:id="617" w:name="_Toc226309790"/>
      <w:r/>
      <w:bookmarkStart w:id="618" w:name="_Toc151193860"/>
      <w:r/>
      <w:bookmarkStart w:id="619" w:name="_Toc164608660"/>
      <w:r/>
      <w:bookmarkStart w:id="620" w:name="_Toc150509297"/>
      <w:r/>
      <w:bookmarkStart w:id="621" w:name="_Toc127151747"/>
      <w:r/>
      <w:bookmarkStart w:id="622" w:name="_Toc164229387"/>
      <w:r/>
      <w:bookmarkStart w:id="623" w:name="_Toc151193716"/>
      <w:r/>
      <w:bookmarkStart w:id="624" w:name="_Toc150774751"/>
      <w:r/>
      <w:bookmarkStart w:id="625" w:name="_Toc164229241"/>
      <w:r/>
      <w:bookmarkStart w:id="626" w:name="_Toc520356170"/>
      <w:r/>
      <w:bookmarkStart w:id="627" w:name="_Toc127161460"/>
      <w:r/>
      <w:bookmarkStart w:id="628" w:name="_Toc142311048"/>
      <w:r/>
      <w:bookmarkStart w:id="629" w:name="_Toc151193788"/>
      <w:r/>
      <w:bookmarkStart w:id="630" w:name="_Toc305158814"/>
      <w:r/>
      <w:bookmarkStart w:id="631" w:name="_Toc149720839"/>
      <w:r/>
      <w:bookmarkStart w:id="632" w:name="_Ref467307010"/>
      <w:r/>
      <w:bookmarkStart w:id="633" w:name="_Toc151193644"/>
      <w:r/>
      <w:bookmarkStart w:id="634" w:name="_Toc265228384"/>
      <w:r/>
      <w:bookmarkStart w:id="635" w:name="_Toc127151546"/>
      <w:r/>
      <w:bookmarkStart w:id="636" w:name="_Toc264969236"/>
      <w:r/>
      <w:bookmarkStart w:id="637" w:name="_Toc150774646"/>
      <w:r/>
      <w:bookmarkStart w:id="638" w:name="_Toc151190173"/>
      <w:r/>
      <w:bookmarkStart w:id="639" w:name="_Toc226965736"/>
      <w:r/>
      <w:bookmarkStart w:id="640" w:name="_Toc305158888"/>
      <w:r/>
      <w:bookmarkStart w:id="641" w:name="_Toc151193934"/>
      <w:r>
        <w:rPr>
          <w:sz w:val="24"/>
          <w:highlight w:val="none"/>
        </w:rPr>
        <w:t xml:space="preserve">成交候选人名单</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询价小组应当从质量和服务均能满足询价通知书实质性响应要求的供应商中，按照报价（如有按本章节进行算术修正或政策调整的，以修正或调整后的最后报价计算）由低到高的顺序提出</w:t>
      </w:r>
      <w:r>
        <w:rPr>
          <w:rFonts w:hint="eastAsia"/>
          <w:sz w:val="24"/>
          <w:highlight w:val="none"/>
        </w:rPr>
        <w:t xml:space="preserve">不少于3</w:t>
      </w:r>
      <w:r>
        <w:rPr>
          <w:sz w:val="24"/>
          <w:highlight w:val="none"/>
        </w:rPr>
        <w:t xml:space="preserve">名成交候选人，并编写评审报告。</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询价小组要对评审结果进行复核，特别是对排名第一的、响应文件被认定为无效的情形进行重点复核。</w:t>
      </w:r>
      <w:r>
        <w:rPr>
          <w:sz w:val="24"/>
          <w:highlight w:val="none"/>
        </w:rPr>
      </w:r>
      <w:r/>
    </w:p>
    <w:p>
      <w:pPr>
        <w:pStyle w:val="963"/>
        <w:numPr>
          <w:ilvl w:val="0"/>
          <w:numId w:val="10"/>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963"/>
        <w:numPr>
          <w:ilvl w:val="1"/>
          <w:numId w:val="10"/>
        </w:numPr>
        <w:ind w:left="1077" w:hanging="720"/>
        <w:spacing w:line="360" w:lineRule="auto"/>
        <w:tabs>
          <w:tab w:val="left" w:pos="1080" w:leader="none"/>
          <w:tab w:val="left" w:pos="1589" w:leader="none"/>
        </w:tabs>
        <w:rPr>
          <w:sz w:val="24"/>
          <w:highlight w:val="none"/>
        </w:rPr>
      </w:pPr>
      <w:r>
        <w:rPr>
          <w:sz w:val="24"/>
          <w:highlight w:val="none"/>
        </w:rPr>
        <w:t xml:space="preserve">询价小组在评审过程中发现供应商有行贿、提供虚假材料或者串通等违法行为时，有向采购人、采购代理机构或者有关部门报告的职责。</w:t>
      </w:r>
      <w:r>
        <w:rPr>
          <w:sz w:val="24"/>
          <w:highlight w:val="none"/>
        </w:rPr>
      </w:r>
      <w:r/>
    </w:p>
    <w:p>
      <w:pPr>
        <w:pStyle w:val="963"/>
        <w:jc w:val="center"/>
        <w:spacing w:line="360" w:lineRule="auto"/>
        <w:rPr>
          <w:b/>
          <w:sz w:val="36"/>
          <w:szCs w:val="36"/>
          <w:highlight w:val="none"/>
        </w:rPr>
        <w:outlineLvl w:val="0"/>
      </w:pPr>
      <w:r/>
      <w:bookmarkStart w:id="642" w:name="_Toc99301348"/>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采购需求</w:t>
      </w:r>
      <w:bookmarkEnd w:id="642"/>
      <w:r>
        <w:rPr>
          <w:b/>
          <w:sz w:val="36"/>
          <w:szCs w:val="36"/>
          <w:highlight w:val="none"/>
        </w:rPr>
      </w:r>
      <w:r/>
    </w:p>
    <w:p>
      <w:pPr>
        <w:pStyle w:val="1057"/>
        <w:numPr>
          <w:ilvl w:val="0"/>
          <w:numId w:val="11"/>
        </w:numPr>
        <w:contextualSpacing/>
        <w:spacing w:line="360" w:lineRule="auto"/>
        <w:rPr>
          <w:rFonts w:ascii="Times New Roman" w:hAnsi="Times New Roman"/>
          <w:b/>
          <w:sz w:val="24"/>
          <w:szCs w:val="24"/>
          <w:highlight w:val="none"/>
        </w:rPr>
      </w:pPr>
      <w:r/>
      <w:bookmarkStart w:id="643"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963"/>
        <w:numPr>
          <w:ilvl w:val="0"/>
          <w:numId w:val="12"/>
        </w:numPr>
        <w:contextualSpacing/>
        <w:spacing w:line="360" w:lineRule="auto"/>
        <w:rPr>
          <w:rFonts w:hint="eastAsia"/>
          <w:bCs/>
          <w:sz w:val="24"/>
          <w:highlight w:val="none"/>
        </w:rPr>
      </w:pPr>
      <w:r>
        <w:rPr>
          <w:rFonts w:hint="eastAsia"/>
          <w:bCs/>
          <w:sz w:val="24"/>
          <w:highlight w:val="none"/>
        </w:rPr>
        <w:t xml:space="preserve">项目概况</w:t>
      </w:r>
      <w:r>
        <w:rPr>
          <w:rFonts w:hint="eastAsia"/>
          <w:bCs/>
          <w:sz w:val="24"/>
          <w:highlight w:val="none"/>
        </w:rPr>
      </w:r>
      <w:r/>
    </w:p>
    <w:p>
      <w:pPr>
        <w:pStyle w:val="963"/>
        <w:contextualSpacing/>
        <w:ind w:firstLine="480"/>
        <w:spacing w:line="360" w:lineRule="auto"/>
        <w:rPr>
          <w:rFonts w:hint="eastAsia"/>
          <w:sz w:val="24"/>
          <w:highlight w:val="none"/>
        </w:rPr>
      </w:pPr>
      <w:r>
        <w:rPr>
          <w:rFonts w:hint="eastAsia" w:eastAsia="宋体"/>
          <w:sz w:val="24"/>
          <w:highlight w:val="none"/>
          <w:u w:val="none"/>
          <w:lang w:eastAsia="zh-CN"/>
        </w:rPr>
        <w:t xml:space="preserve">采购农资免费发放给2026年规模机插水稻种植户，防病治虫，保障粮食安全。</w:t>
      </w:r>
      <w:r>
        <w:rPr>
          <w:rFonts w:hint="eastAsia"/>
          <w:sz w:val="24"/>
          <w:highlight w:val="none"/>
        </w:rPr>
      </w:r>
      <w:r/>
    </w:p>
    <w:p>
      <w:pPr>
        <w:pStyle w:val="963"/>
        <w:numPr>
          <w:ilvl w:val="0"/>
          <w:numId w:val="12"/>
        </w:numPr>
        <w:ind w:left="0" w:firstLine="0"/>
        <w:jc w:val="left"/>
        <w:spacing w:line="360" w:lineRule="auto"/>
        <w:rPr>
          <w:rFonts w:hint="eastAsia"/>
          <w:bCs/>
          <w:sz w:val="24"/>
          <w:highlight w:val="none"/>
        </w:rPr>
      </w:pPr>
      <w:r>
        <w:rPr>
          <w:rFonts w:hint="eastAsia"/>
          <w:bCs/>
          <w:sz w:val="24"/>
          <w:highlight w:val="none"/>
        </w:rPr>
        <w:t xml:space="preserve">货物需求一览表</w:t>
      </w:r>
      <w:bookmarkEnd w:id="643"/>
      <w:r>
        <w:rPr>
          <w:rFonts w:hint="eastAsia"/>
          <w:bCs/>
          <w:sz w:val="24"/>
          <w:highlight w:val="none"/>
        </w:rPr>
      </w:r>
      <w:r/>
    </w:p>
    <w:tbl>
      <w:tblPr>
        <w:tblW w:w="8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3174"/>
        <w:gridCol w:w="1500"/>
        <w:gridCol w:w="887"/>
        <w:gridCol w:w="1800"/>
      </w:tblGrid>
      <w:tr>
        <w:trPr>
          <w:trHeight w:val="781"/>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15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规格</w:t>
            </w:r>
            <w:r>
              <w:rPr>
                <w:rFonts w:hint="eastAsia" w:ascii="宋体" w:hAnsi="宋体" w:eastAsia="宋体" w:cs="宋体"/>
                <w:b/>
                <w:bCs w:val="0"/>
                <w:color w:val="000000"/>
                <w:sz w:val="24"/>
                <w:szCs w:val="24"/>
                <w:highlight w:val="none"/>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招标控制单价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元/瓶</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tc>
      </w:tr>
      <w:tr>
        <w:trPr>
          <w:trHeight w:val="639"/>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1500" w:type="dxa"/>
            <w:vAlign w:val="center"/>
            <w:textDirection w:val="lrTb"/>
            <w:noWrap w:val="false"/>
          </w:tcPr>
          <w:p>
            <w:pPr>
              <w:pStyle w:val="963"/>
              <w:contextualSpacing/>
              <w:jc w:val="center"/>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100g/瓶</w:t>
            </w:r>
            <w:r>
              <w:rPr>
                <w:rFonts w:hint="eastAsia" w:ascii="宋体" w:hAnsi="宋体" w:eastAsia="宋体" w:cs="宋体"/>
                <w:bCs/>
                <w:color w:val="000000"/>
                <w:sz w:val="24"/>
                <w:szCs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w:t>
            </w:r>
            <w:r>
              <w:rPr>
                <w:rFonts w:ascii="宋体" w:hAnsi="宋体" w:eastAsia="宋体" w:cs="宋体"/>
                <w:bCs/>
                <w:color w:val="000000"/>
                <w:sz w:val="24"/>
                <w:szCs w:val="24"/>
                <w:highlight w:val="none"/>
                <w:lang w:val="en-US" w:eastAsia="zh-CN"/>
              </w:rPr>
            </w:r>
            <w:r/>
          </w:p>
        </w:tc>
      </w:tr>
      <w:tr>
        <w:trPr>
          <w:trHeight w:val="723"/>
        </w:trPr>
        <w:tc>
          <w:tcPr>
            <w:tcW w:w="106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3174"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60%烯啶·吡蚜酮</w:t>
            </w:r>
            <w:r>
              <w:rPr>
                <w:rFonts w:hint="eastAsia" w:ascii="Times New Roman" w:hAnsi="Times New Roman" w:eastAsia="宋体" w:cs="Times New Roman"/>
                <w:color w:val="000000"/>
                <w:sz w:val="24"/>
                <w:highlight w:val="none"/>
                <w:lang w:eastAsia="zh-CN"/>
              </w:rPr>
            </w:r>
            <w:r/>
          </w:p>
        </w:tc>
        <w:tc>
          <w:tcPr>
            <w:tcW w:w="1500" w:type="dxa"/>
            <w:vAlign w:val="center"/>
            <w:textDirection w:val="lrTb"/>
            <w:noWrap w:val="false"/>
          </w:tcPr>
          <w:p>
            <w:pPr>
              <w:pStyle w:val="963"/>
              <w:contextualSpacing/>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120g/瓶</w:t>
            </w:r>
            <w:r>
              <w:rPr>
                <w:rFonts w:hint="eastAsia" w:ascii="Times New Roman" w:hAnsi="Times New Roman" w:eastAsia="宋体" w:cs="Times New Roman"/>
                <w:bCs/>
                <w:color w:val="000000"/>
                <w:sz w:val="24"/>
                <w:highlight w:val="none"/>
                <w:lang w:val="en-US" w:eastAsia="zh-CN"/>
              </w:rPr>
            </w:r>
            <w:r/>
          </w:p>
        </w:tc>
        <w:tc>
          <w:tcPr>
            <w:tcW w:w="887"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瓶</w:t>
            </w:r>
            <w:r>
              <w:rPr>
                <w:rFonts w:hint="eastAsia" w:ascii="宋体" w:hAnsi="宋体" w:eastAsia="宋体" w:cs="宋体"/>
                <w:bCs/>
                <w:color w:val="000000"/>
                <w:sz w:val="24"/>
                <w:szCs w:val="24"/>
                <w:highlight w:val="none"/>
                <w:lang w:val="en-US" w:eastAsia="zh-CN"/>
              </w:rPr>
            </w:r>
            <w:r/>
          </w:p>
        </w:tc>
        <w:tc>
          <w:tcPr>
            <w:tcW w:w="1800"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w:t>
            </w:r>
            <w:r>
              <w:rPr>
                <w:rFonts w:ascii="宋体" w:hAnsi="宋体" w:eastAsia="宋体" w:cs="宋体"/>
                <w:bCs/>
                <w:color w:val="000000"/>
                <w:sz w:val="24"/>
                <w:szCs w:val="24"/>
                <w:highlight w:val="none"/>
                <w:lang w:val="en-US" w:eastAsia="zh-CN"/>
              </w:rPr>
            </w:r>
            <w:r/>
          </w:p>
        </w:tc>
      </w:tr>
    </w:tbl>
    <w:p>
      <w:pPr>
        <w:pStyle w:val="963"/>
        <w:ind w:firstLine="241"/>
        <w:jc w:val="left"/>
        <w:spacing w:line="360" w:lineRule="auto"/>
        <w:rPr>
          <w:rFonts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t xml:space="preserve">实际供货数量由</w:t>
      </w:r>
      <w:r>
        <w:rPr>
          <w:rFonts w:hint="eastAsia" w:ascii="宋体" w:hAnsi="宋体" w:cs="宋体"/>
          <w:b/>
          <w:sz w:val="24"/>
          <w:highlight w:val="none"/>
          <w:lang w:val="en-US" w:eastAsia="zh-CN"/>
        </w:rPr>
        <w:t xml:space="preserve">中标标段预算金额</w:t>
      </w:r>
      <w:r>
        <w:rPr>
          <w:rFonts w:hint="eastAsia" w:ascii="宋体" w:hAnsi="宋体" w:cs="宋体"/>
          <w:b/>
          <w:sz w:val="24"/>
          <w:highlight w:val="none"/>
        </w:rPr>
        <w:t xml:space="preserve">除以</w:t>
      </w:r>
      <w:r>
        <w:rPr>
          <w:rFonts w:hint="eastAsia" w:ascii="宋体" w:hAnsi="宋体" w:cs="宋体"/>
          <w:b/>
          <w:sz w:val="24"/>
          <w:highlight w:val="none"/>
          <w:lang w:val="en-US" w:eastAsia="zh-CN"/>
        </w:rPr>
        <w:t xml:space="preserve">该标段</w:t>
      </w:r>
      <w:r>
        <w:rPr>
          <w:rFonts w:hint="eastAsia" w:ascii="宋体" w:hAnsi="宋体" w:cs="宋体"/>
          <w:b/>
          <w:sz w:val="24"/>
          <w:highlight w:val="none"/>
        </w:rPr>
        <w:t xml:space="preserve">中标单价得出，货物数量非整数的，则小数部分向上取整，该部分货物为</w:t>
      </w:r>
      <w:r>
        <w:rPr>
          <w:rFonts w:hint="eastAsia" w:ascii="宋体" w:hAnsi="宋体" w:cs="宋体"/>
          <w:b/>
          <w:sz w:val="24"/>
          <w:highlight w:val="none"/>
          <w:lang w:val="en-US" w:eastAsia="zh-CN"/>
        </w:rPr>
        <w:t xml:space="preserve">成交供应商</w:t>
      </w:r>
      <w:r>
        <w:rPr>
          <w:rFonts w:hint="eastAsia" w:ascii="宋体" w:hAnsi="宋体" w:cs="宋体"/>
          <w:b/>
          <w:sz w:val="24"/>
          <w:highlight w:val="none"/>
        </w:rPr>
        <w:t xml:space="preserve">自愿赠与</w:t>
      </w:r>
      <w:r>
        <w:rPr>
          <w:rFonts w:hint="eastAsia" w:ascii="宋体" w:hAnsi="宋体" w:cs="宋体"/>
          <w:b/>
          <w:sz w:val="24"/>
          <w:highlight w:val="none"/>
          <w:lang w:val="en-US" w:eastAsia="zh-CN"/>
        </w:rPr>
        <w:t xml:space="preserve">采购人</w:t>
      </w:r>
      <w:r>
        <w:rPr>
          <w:rFonts w:hint="eastAsia" w:ascii="宋体" w:hAnsi="宋体" w:cs="宋体"/>
          <w:b/>
          <w:sz w:val="24"/>
          <w:highlight w:val="none"/>
        </w:rPr>
        <w:t xml:space="preserve">，价格不作额外调整。</w:t>
      </w:r>
      <w:r>
        <w:rPr>
          <w:rFonts w:ascii="宋体" w:hAnsi="宋体" w:cs="宋体"/>
          <w:b/>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963"/>
        <w:numPr>
          <w:ilvl w:val="0"/>
          <w:numId w:val="13"/>
        </w:numPr>
        <w:contextualSpacing/>
        <w:spacing w:line="360" w:lineRule="auto"/>
        <w:rPr>
          <w:rFonts w:hint="eastAsia"/>
          <w:sz w:val="24"/>
          <w:highlight w:val="none"/>
        </w:rPr>
      </w:pPr>
      <w:r>
        <w:rPr>
          <w:sz w:val="24"/>
          <w:highlight w:val="none"/>
        </w:rPr>
        <w:t xml:space="preserve">交付时间</w:t>
      </w:r>
      <w:r>
        <w:rPr>
          <w:rFonts w:hint="eastAsia"/>
          <w:sz w:val="24"/>
          <w:highlight w:val="none"/>
        </w:rPr>
        <w:t xml:space="preserve">：</w:t>
      </w:r>
      <w:r>
        <w:rPr>
          <w:rFonts w:hint="eastAsia"/>
          <w:sz w:val="24"/>
          <w:highlight w:val="none"/>
          <w:lang w:eastAsia="zh-CN"/>
        </w:rPr>
        <w:t xml:space="preserve">采购人通知供货后，供应商在5日内完成供货。</w:t>
      </w:r>
      <w:r>
        <w:rPr>
          <w:rFonts w:hint="eastAsia"/>
          <w:sz w:val="24"/>
          <w:highlight w:val="none"/>
        </w:rPr>
      </w:r>
      <w:r/>
    </w:p>
    <w:p>
      <w:pPr>
        <w:pStyle w:val="963"/>
        <w:numPr>
          <w:ilvl w:val="0"/>
          <w:numId w:val="13"/>
        </w:numPr>
        <w:contextualSpacing/>
        <w:ind w:left="0" w:firstLine="0"/>
        <w:spacing w:line="360" w:lineRule="auto"/>
        <w:tabs>
          <w:tab w:val="left" w:pos="227" w:leader="none"/>
        </w:tabs>
        <w:rPr>
          <w:i/>
          <w:sz w:val="24"/>
          <w:highlight w:val="none"/>
        </w:rPr>
      </w:pPr>
      <w:r>
        <w:rPr>
          <w:rFonts w:hint="eastAsia"/>
          <w:sz w:val="24"/>
          <w:highlight w:val="none"/>
        </w:rPr>
        <w:t xml:space="preserve">交付地点：采购人指定地点。</w:t>
      </w:r>
      <w:r>
        <w:rPr>
          <w:i/>
          <w:sz w:val="24"/>
          <w:highlight w:val="none"/>
        </w:rPr>
      </w:r>
      <w:r/>
    </w:p>
    <w:p>
      <w:pPr>
        <w:pStyle w:val="963"/>
        <w:contextualSpacing/>
        <w:spacing w:line="360" w:lineRule="auto"/>
        <w:rPr>
          <w:rFonts w:hint="eastAsia"/>
          <w:sz w:val="24"/>
          <w:highlight w:val="none"/>
        </w:rPr>
      </w:pPr>
      <w:r>
        <w:rPr>
          <w:rFonts w:hint="eastAsia"/>
          <w:sz w:val="24"/>
          <w:highlight w:val="none"/>
        </w:rPr>
        <w:t xml:space="preserve">3</w:t>
      </w:r>
      <w:r>
        <w:rPr>
          <w:sz w:val="24"/>
          <w:highlight w:val="none"/>
        </w:rPr>
        <w:t xml:space="preserve">. 付款进度</w:t>
      </w:r>
      <w:r>
        <w:rPr>
          <w:rFonts w:hint="eastAsia"/>
          <w:sz w:val="24"/>
          <w:highlight w:val="none"/>
        </w:rPr>
        <w:t xml:space="preserve">及</w:t>
      </w:r>
      <w:r>
        <w:rPr>
          <w:sz w:val="24"/>
          <w:highlight w:val="none"/>
        </w:rPr>
        <w:t xml:space="preserve">方式</w:t>
      </w:r>
      <w:r>
        <w:rPr>
          <w:rFonts w:hint="eastAsia"/>
          <w:sz w:val="24"/>
          <w:highlight w:val="none"/>
        </w:rPr>
        <w:t xml:space="preserve">：</w:t>
      </w:r>
      <w:r>
        <w:rPr>
          <w:rFonts w:hint="eastAsia"/>
          <w:bCs/>
          <w:sz w:val="24"/>
          <w:highlight w:val="none"/>
        </w:rPr>
        <w:t xml:space="preserve">采购人收到货物验收合格，</w:t>
      </w:r>
      <w:r>
        <w:rPr>
          <w:rFonts w:hint="eastAsia"/>
          <w:bCs/>
          <w:sz w:val="24"/>
          <w:highlight w:val="none"/>
          <w:lang w:eastAsia="zh-CN"/>
        </w:rPr>
        <w:t xml:space="preserve">整体</w:t>
      </w:r>
      <w:r>
        <w:rPr>
          <w:rFonts w:hint="eastAsia"/>
          <w:bCs/>
          <w:sz w:val="24"/>
          <w:highlight w:val="none"/>
        </w:rPr>
        <w:t xml:space="preserve">项目</w:t>
      </w:r>
      <w:r>
        <w:rPr>
          <w:rFonts w:hint="eastAsia"/>
          <w:bCs/>
          <w:sz w:val="24"/>
          <w:highlight w:val="none"/>
          <w:lang w:eastAsia="zh-CN"/>
        </w:rPr>
        <w:t xml:space="preserve">审计</w:t>
      </w:r>
      <w:r>
        <w:rPr>
          <w:rFonts w:hint="eastAsia"/>
          <w:bCs/>
          <w:sz w:val="24"/>
          <w:highlight w:val="none"/>
        </w:rPr>
        <w:t xml:space="preserve">验收结束后支付至合同总价的100%。</w:t>
      </w:r>
      <w:r>
        <w:rPr>
          <w:rFonts w:hint="eastAsia"/>
          <w:sz w:val="24"/>
          <w:highlight w:val="none"/>
        </w:rPr>
      </w:r>
      <w:r/>
    </w:p>
    <w:p>
      <w:pPr>
        <w:pStyle w:val="963"/>
        <w:contextualSpacing/>
        <w:spacing w:line="360" w:lineRule="auto"/>
        <w:rPr>
          <w:rFonts w:hint="eastAsia"/>
          <w:bCs/>
          <w:sz w:val="24"/>
          <w:highlight w:val="none"/>
        </w:rPr>
      </w:pPr>
      <w:r>
        <w:rPr>
          <w:rFonts w:hint="eastAsia"/>
          <w:bCs/>
          <w:sz w:val="24"/>
          <w:highlight w:val="none"/>
        </w:rPr>
        <w:t xml:space="preserve">4. 报价要求：</w:t>
      </w:r>
      <w:r>
        <w:rPr>
          <w:rFonts w:hint="eastAsia"/>
          <w:bCs/>
          <w:sz w:val="24"/>
          <w:highlight w:val="none"/>
        </w:rPr>
      </w:r>
      <w:r/>
    </w:p>
    <w:p>
      <w:pPr>
        <w:pStyle w:val="963"/>
        <w:ind w:firstLine="480"/>
        <w:spacing w:line="360" w:lineRule="auto"/>
        <w:rPr>
          <w:rFonts w:hint="eastAsia"/>
          <w:sz w:val="24"/>
          <w:highlight w:val="none"/>
        </w:rPr>
      </w:pPr>
      <w:r>
        <w:rPr>
          <w:rFonts w:hint="eastAsia"/>
          <w:sz w:val="24"/>
          <w:highlight w:val="none"/>
        </w:rPr>
        <w:t xml:space="preserve">4.1 本项目报价为</w:t>
      </w:r>
      <w:r>
        <w:rPr>
          <w:rFonts w:hint="eastAsia"/>
          <w:b/>
          <w:bCs/>
          <w:sz w:val="24"/>
          <w:highlight w:val="none"/>
        </w:rPr>
        <w:t xml:space="preserve">固定单价</w:t>
      </w:r>
      <w:r>
        <w:rPr>
          <w:rFonts w:hint="eastAsia"/>
          <w:sz w:val="24"/>
          <w:highlight w:val="none"/>
        </w:rPr>
        <w:t xml:space="preserve">。报价应包括但不限于货物设计、制造、包装、仓储、运输装卸、保险及伴随服务发生的所有含税费用、支付给员工的工资和国家强制缴纳的各种社会保障资金，以及采购人认为需要的其他费用等；除非因特殊原因并经买卖双方协商同意，成交供应商不得再要求追加任何费用。同时，除非合同条款中另有规定，否则，成交供应商所报价格在合同实施期间不因市场变化因素而变动。</w:t>
      </w:r>
      <w:r>
        <w:rPr>
          <w:rFonts w:hint="eastAsia"/>
          <w:sz w:val="24"/>
          <w:highlight w:val="none"/>
        </w:rPr>
      </w:r>
      <w:r/>
    </w:p>
    <w:p>
      <w:pPr>
        <w:pStyle w:val="963"/>
        <w:contextualSpacing/>
        <w:ind w:firstLine="482"/>
        <w:spacing w:line="360" w:lineRule="auto"/>
        <w:rPr>
          <w:rFonts w:hint="eastAsia" w:ascii="Times New Roman" w:hAnsi="Times New Roman" w:eastAsia="宋体" w:cs="Times New Roman"/>
          <w:b/>
          <w:iCs/>
          <w:sz w:val="24"/>
          <w:highlight w:val="none"/>
        </w:rPr>
      </w:pPr>
      <w:r>
        <w:rPr>
          <w:rFonts w:hint="eastAsia" w:ascii="Times New Roman" w:hAnsi="Times New Roman" w:eastAsia="宋体" w:cs="Times New Roman"/>
          <w:b/>
          <w:bCs/>
          <w:sz w:val="24"/>
          <w:highlight w:val="none"/>
        </w:rPr>
        <w:t xml:space="preserve">4.2 </w:t>
      </w:r>
      <w:r>
        <w:rPr>
          <w:rFonts w:hint="eastAsia" w:ascii="Times New Roman" w:hAnsi="Times New Roman" w:eastAsia="宋体" w:cs="Times New Roman"/>
          <w:b/>
          <w:iCs/>
          <w:sz w:val="24"/>
          <w:highlight w:val="none"/>
        </w:rPr>
        <w:t xml:space="preserve">供应商</w:t>
      </w:r>
      <w:r>
        <w:rPr>
          <w:rFonts w:hint="eastAsia" w:ascii="Times New Roman" w:hAnsi="Times New Roman" w:eastAsia="宋体" w:cs="Times New Roman"/>
          <w:b/>
          <w:iCs/>
          <w:sz w:val="24"/>
          <w:highlight w:val="none"/>
          <w:lang w:eastAsia="zh-CN"/>
        </w:rPr>
        <w:t xml:space="preserve">的</w:t>
      </w:r>
      <w:r>
        <w:rPr>
          <w:rFonts w:hint="eastAsia" w:ascii="Times New Roman" w:hAnsi="Times New Roman" w:eastAsia="宋体" w:cs="Times New Roman"/>
          <w:b/>
          <w:iCs/>
          <w:sz w:val="24"/>
          <w:highlight w:val="none"/>
          <w:lang w:val="en-US" w:eastAsia="zh-CN"/>
        </w:rPr>
        <w:t xml:space="preserve">投标</w:t>
      </w:r>
      <w:r>
        <w:rPr>
          <w:rFonts w:hint="eastAsia" w:ascii="Times New Roman" w:hAnsi="Times New Roman" w:eastAsia="宋体" w:cs="Times New Roman"/>
          <w:b/>
          <w:iCs/>
          <w:sz w:val="24"/>
          <w:highlight w:val="none"/>
        </w:rPr>
        <w:t xml:space="preserve">报价不得超过招标控制单价，否则作无效标处理。</w:t>
      </w:r>
      <w:r>
        <w:rPr>
          <w:rFonts w:hint="eastAsia" w:ascii="Times New Roman" w:hAnsi="Times New Roman" w:eastAsia="宋体" w:cs="Times New Roman"/>
          <w:b/>
          <w:iCs/>
          <w:sz w:val="24"/>
          <w:highlight w:val="none"/>
        </w:rPr>
      </w:r>
      <w:r/>
    </w:p>
    <w:p>
      <w:pPr>
        <w:pStyle w:val="963"/>
        <w:contextualSpacing/>
        <w:spacing w:line="360" w:lineRule="auto"/>
        <w:rPr>
          <w:rFonts w:hint="eastAsia"/>
          <w:sz w:val="24"/>
          <w:highlight w:val="none"/>
        </w:rPr>
      </w:pPr>
      <w:r>
        <w:rPr>
          <w:rFonts w:hint="eastAsia"/>
          <w:sz w:val="24"/>
          <w:highlight w:val="none"/>
        </w:rPr>
        <w:t xml:space="preserve">5. 包装和运输：</w:t>
      </w:r>
      <w:r>
        <w:rPr>
          <w:rFonts w:hint="eastAsia"/>
          <w:sz w:val="24"/>
          <w:highlight w:val="none"/>
        </w:rPr>
      </w:r>
      <w:r/>
    </w:p>
    <w:p>
      <w:pPr>
        <w:pStyle w:val="963"/>
        <w:numPr>
          <w:ilvl w:val="0"/>
          <w:numId w:val="14"/>
        </w:numPr>
        <w:ind w:firstLine="482"/>
        <w:spacing w:line="360" w:lineRule="auto"/>
        <w:rPr>
          <w:rFonts w:ascii="Times New Roman" w:hAnsi="Times New Roman" w:eastAsia="宋体" w:cs="Times New Roman"/>
          <w:b/>
          <w:bCs w:val="0"/>
          <w:color w:val="000000"/>
          <w:sz w:val="24"/>
          <w:highlight w:val="none"/>
          <w:lang w:val="en-US" w:eastAsia="zh-CN"/>
        </w:rPr>
      </w:pPr>
      <w:r>
        <w:rPr>
          <w:rFonts w:hint="eastAsia" w:ascii="Times New Roman" w:hAnsi="Times New Roman" w:eastAsia="宋体" w:cs="Times New Roman"/>
          <w:b/>
          <w:bCs w:val="0"/>
          <w:iCs/>
          <w:color w:val="000000"/>
          <w:sz w:val="24"/>
          <w:highlight w:val="none"/>
        </w:rPr>
        <w:t xml:space="preserve">配送要求：</w:t>
      </w:r>
      <w:r>
        <w:rPr>
          <w:rFonts w:hint="eastAsia" w:ascii="Times New Roman" w:hAnsi="Times New Roman" w:eastAsia="宋体" w:cs="Times New Roman"/>
          <w:b/>
          <w:bCs w:val="0"/>
          <w:iCs/>
          <w:color w:val="000000"/>
          <w:sz w:val="24"/>
        </w:rPr>
        <w:t xml:space="preserve">成交供应商</w:t>
      </w:r>
      <w:r>
        <w:rPr>
          <w:rFonts w:hint="eastAsia" w:ascii="Times New Roman" w:hAnsi="Times New Roman" w:eastAsia="宋体" w:cs="Times New Roman"/>
          <w:b/>
          <w:bCs w:val="0"/>
          <w:iCs/>
          <w:color w:val="000000"/>
          <w:sz w:val="24"/>
          <w:lang w:eastAsia="zh-CN"/>
        </w:rPr>
        <w:t xml:space="preserve">需</w:t>
      </w:r>
      <w:r>
        <w:rPr>
          <w:rFonts w:hint="eastAsia" w:ascii="Times New Roman" w:hAnsi="Times New Roman" w:eastAsia="宋体" w:cs="Times New Roman"/>
          <w:b/>
          <w:bCs w:val="0"/>
          <w:color w:val="000000"/>
          <w:sz w:val="24"/>
        </w:rPr>
        <w:t xml:space="preserve">将货物配送到</w:t>
      </w:r>
      <w:r>
        <w:rPr>
          <w:rFonts w:hint="eastAsia" w:ascii="Times New Roman" w:hAnsi="Times New Roman" w:eastAsia="宋体" w:cs="Times New Roman"/>
          <w:b/>
          <w:bCs w:val="0"/>
          <w:color w:val="000000"/>
          <w:sz w:val="24"/>
          <w:lang w:eastAsia="zh-CN"/>
        </w:rPr>
        <w:t xml:space="preserve">采购人指定地点，同时留存影像资料并做好签收台账。</w:t>
      </w:r>
      <w:r>
        <w:rPr>
          <w:rFonts w:ascii="Times New Roman" w:hAnsi="Times New Roman" w:eastAsia="宋体" w:cs="Times New Roman"/>
          <w:b/>
          <w:bCs w:val="0"/>
          <w:color w:val="000000"/>
          <w:sz w:val="24"/>
          <w:highlight w:val="none"/>
          <w:lang w:val="en-US" w:eastAsia="zh-CN"/>
        </w:rPr>
      </w:r>
      <w:r/>
    </w:p>
    <w:p>
      <w:pPr>
        <w:pStyle w:val="963"/>
        <w:numPr>
          <w:ilvl w:val="0"/>
          <w:numId w:val="14"/>
        </w:numPr>
        <w:ind w:firstLine="480"/>
        <w:spacing w:line="360" w:lineRule="auto"/>
        <w:rPr>
          <w:rFonts w:hint="eastAsia"/>
          <w:bCs/>
          <w:iCs/>
          <w:sz w:val="24"/>
          <w:highlight w:val="none"/>
        </w:rPr>
      </w:pPr>
      <w:r>
        <w:rPr>
          <w:rFonts w:hint="eastAsia"/>
          <w:bCs/>
          <w:iCs/>
          <w:sz w:val="24"/>
          <w:highlight w:val="none"/>
        </w:rPr>
        <w:t xml:space="preserve">成交供应商负责产品到采购人指定地点的全部运输，包括装卸及现场搬运等；</w:t>
      </w:r>
      <w:r>
        <w:rPr>
          <w:rFonts w:hint="eastAsia"/>
          <w:bCs/>
          <w:iCs/>
          <w:sz w:val="24"/>
          <w:highlight w:val="none"/>
        </w:rPr>
      </w:r>
      <w:r/>
    </w:p>
    <w:p>
      <w:pPr>
        <w:pStyle w:val="963"/>
        <w:numPr>
          <w:ilvl w:val="0"/>
          <w:numId w:val="14"/>
        </w:numPr>
        <w:ind w:firstLine="480"/>
        <w:spacing w:line="360" w:lineRule="auto"/>
        <w:rPr>
          <w:rFonts w:hint="eastAsia"/>
          <w:sz w:val="24"/>
          <w:highlight w:val="none"/>
        </w:rPr>
      </w:pPr>
      <w:r>
        <w:rPr>
          <w:rFonts w:hint="eastAsia"/>
          <w:bCs/>
          <w:iCs/>
          <w:sz w:val="24"/>
          <w:highlight w:val="none"/>
        </w:rPr>
        <w:t xml:space="preserve">成交供应商应提供药品使用后的包装等有毒有害废弃物回收服务。</w:t>
      </w:r>
      <w:r>
        <w:rPr>
          <w:rFonts w:hint="eastAsia"/>
          <w:sz w:val="24"/>
          <w:highlight w:val="none"/>
        </w:rPr>
      </w:r>
      <w:r/>
    </w:p>
    <w:p>
      <w:pPr>
        <w:pStyle w:val="963"/>
        <w:numPr>
          <w:ilvl w:val="0"/>
          <w:numId w:val="15"/>
        </w:numPr>
        <w:contextualSpacing/>
        <w:spacing w:line="360" w:lineRule="auto"/>
        <w:rPr>
          <w:sz w:val="24"/>
          <w:highlight w:val="none"/>
        </w:rPr>
      </w:pPr>
      <w:r>
        <w:rPr>
          <w:sz w:val="24"/>
          <w:highlight w:val="none"/>
        </w:rPr>
        <w:t xml:space="preserve">售后服务</w:t>
      </w:r>
      <w:r>
        <w:rPr>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rPr>
        <w:t xml:space="preserve">（1）产品质量保证期内，凡货物在检验、货物运输过程中发现的货物质量问题，由成交供应商负责处理，实行包换、包退，直至产品符合质量要求，成交供应商承担调换、退货发生的一切费用和采购人的直接经济损失；</w:t>
      </w:r>
      <w:r>
        <w:rPr>
          <w:rFonts w:hint="eastAsia"/>
          <w:bCs/>
          <w:iCs/>
          <w:sz w:val="24"/>
          <w:highlight w:val="none"/>
        </w:rPr>
      </w:r>
      <w:r/>
    </w:p>
    <w:p>
      <w:pPr>
        <w:pStyle w:val="963"/>
        <w:ind w:left="420"/>
        <w:spacing w:line="360" w:lineRule="auto"/>
        <w:rPr>
          <w:rFonts w:hint="eastAsia"/>
          <w:bCs/>
          <w:iCs/>
          <w:sz w:val="24"/>
          <w:highlight w:val="none"/>
        </w:rPr>
      </w:pPr>
      <w:r>
        <w:rPr>
          <w:rFonts w:hint="eastAsia"/>
          <w:bCs/>
          <w:iCs/>
          <w:sz w:val="24"/>
          <w:highlight w:val="none"/>
        </w:rPr>
        <w:t xml:space="preserve">（2）成交供应商需提供7×24小时的技术咨询服务；</w:t>
      </w:r>
      <w:r>
        <w:rPr>
          <w:rFonts w:hint="eastAsia"/>
          <w:bCs/>
          <w:iCs/>
          <w:sz w:val="24"/>
          <w:highlight w:val="none"/>
        </w:rPr>
      </w:r>
      <w:r/>
    </w:p>
    <w:p>
      <w:pPr>
        <w:pStyle w:val="963"/>
        <w:ind w:left="420"/>
        <w:spacing w:line="360" w:lineRule="auto"/>
        <w:rPr>
          <w:b/>
          <w:i/>
          <w:sz w:val="24"/>
          <w:highlight w:val="none"/>
        </w:rPr>
      </w:pPr>
      <w:r>
        <w:rPr>
          <w:rFonts w:hint="eastAsia"/>
          <w:bCs/>
          <w:iCs/>
          <w:sz w:val="24"/>
          <w:highlight w:val="none"/>
        </w:rPr>
        <w:t xml:space="preserve">（3）成交供应商需在敏感时期、重大节假日提供技术人员值守服务。</w:t>
      </w:r>
      <w:r>
        <w:rPr>
          <w:b/>
          <w:i/>
          <w:sz w:val="24"/>
          <w:highlight w:val="none"/>
        </w:rPr>
      </w:r>
      <w:r/>
    </w:p>
    <w:p>
      <w:pPr>
        <w:pStyle w:val="1057"/>
        <w:numPr>
          <w:ilvl w:val="0"/>
          <w:numId w:val="11"/>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技术要求</w:t>
      </w:r>
      <w:r>
        <w:rPr>
          <w:rFonts w:ascii="Times New Roman" w:hAnsi="Times New Roman"/>
          <w:b/>
          <w:sz w:val="24"/>
          <w:szCs w:val="24"/>
          <w:highlight w:val="none"/>
        </w:rPr>
      </w:r>
      <w:r/>
    </w:p>
    <w:p>
      <w:pPr>
        <w:pStyle w:val="963"/>
        <w:contextualSpacing/>
        <w:spacing w:line="360" w:lineRule="auto"/>
        <w:rPr>
          <w:sz w:val="24"/>
          <w:highlight w:val="none"/>
        </w:rPr>
      </w:pPr>
      <w:r>
        <w:rPr>
          <w:sz w:val="24"/>
          <w:highlight w:val="none"/>
        </w:rPr>
        <w:t xml:space="preserve">1. </w:t>
      </w:r>
      <w:r>
        <w:rPr>
          <w:rFonts w:hint="eastAsia"/>
          <w:sz w:val="24"/>
          <w:highlight w:val="none"/>
        </w:rPr>
        <w:t xml:space="preserve">货物技术</w:t>
      </w:r>
      <w:r>
        <w:rPr>
          <w:sz w:val="24"/>
          <w:highlight w:val="none"/>
        </w:rPr>
        <w:t xml:space="preserve">要求</w:t>
      </w:r>
      <w:r>
        <w:rPr>
          <w:sz w:val="24"/>
          <w:highlight w:val="none"/>
        </w:rPr>
      </w:r>
      <w:r/>
    </w:p>
    <w:p>
      <w:pPr>
        <w:pStyle w:val="963"/>
        <w:contextualSpacing/>
        <w:ind w:firstLine="482"/>
        <w:spacing w:line="360" w:lineRule="auto"/>
        <w:rPr>
          <w:rFonts w:eastAsia="宋体"/>
          <w:b/>
          <w:bCs/>
          <w:color w:val="ff0000"/>
          <w:sz w:val="24"/>
          <w:highlight w:val="none"/>
          <w:lang w:val="en-US" w:eastAsia="zh-CN"/>
        </w:rPr>
      </w:pPr>
      <w:r>
        <w:rPr>
          <w:rFonts w:hint="eastAsia"/>
          <w:b/>
          <w:bCs/>
          <w:sz w:val="24"/>
          <w:highlight w:val="none"/>
          <w:lang w:val="en-US" w:eastAsia="zh-CN"/>
        </w:rPr>
        <w:t xml:space="preserve">1.1 </w:t>
      </w:r>
      <w:r>
        <w:rPr>
          <w:rFonts w:hint="eastAsia"/>
          <w:b/>
          <w:bCs/>
          <w:color w:val="000000"/>
          <w:sz w:val="24"/>
          <w:highlight w:val="none"/>
          <w:lang w:val="en-US" w:eastAsia="zh-CN"/>
        </w:rPr>
        <w:t xml:space="preserve">特色要求：成交供应商提供的产品外包装上须标注“政府采购 严禁买卖”字样。</w:t>
      </w:r>
      <w:r>
        <w:rPr>
          <w:rFonts w:eastAsia="宋体"/>
          <w:b/>
          <w:bCs/>
          <w:color w:val="ff0000"/>
          <w:sz w:val="24"/>
          <w:highlight w:val="none"/>
          <w:lang w:val="en-US" w:eastAsia="zh-CN"/>
        </w:rPr>
      </w:r>
      <w:r/>
    </w:p>
    <w:p>
      <w:pPr>
        <w:pStyle w:val="963"/>
        <w:contextualSpacing/>
        <w:ind w:firstLine="480"/>
        <w:spacing w:line="360" w:lineRule="auto"/>
        <w:rPr>
          <w:rFonts w:hint="eastAsia"/>
          <w:sz w:val="24"/>
          <w:highlight w:val="none"/>
        </w:rPr>
      </w:pPr>
      <w:r>
        <w:rPr>
          <w:rFonts w:hint="eastAsia"/>
          <w:sz w:val="24"/>
          <w:highlight w:val="none"/>
          <w:lang w:val="en-US" w:eastAsia="zh-CN"/>
        </w:rPr>
        <w:t xml:space="preserve">1.2 </w:t>
      </w:r>
      <w:r>
        <w:rPr>
          <w:rFonts w:hint="eastAsia"/>
          <w:sz w:val="24"/>
          <w:highlight w:val="none"/>
        </w:rPr>
        <w:t xml:space="preserve">供应商提供的产品为最新生产的原装正品，各项指标符合出产国检测标准和出厂标准，各项技术参数符合采购文件要求。</w:t>
      </w:r>
      <w:r>
        <w:rPr>
          <w:rFonts w:hint="eastAsia"/>
          <w:sz w:val="24"/>
          <w:highlight w:val="none"/>
        </w:rPr>
      </w:r>
      <w:r/>
    </w:p>
    <w:p>
      <w:pPr>
        <w:pStyle w:val="963"/>
        <w:contextualSpacing/>
        <w:ind w:firstLine="482"/>
        <w:spacing w:line="360" w:lineRule="auto"/>
        <w:rPr>
          <w:rFonts w:hint="eastAsia"/>
          <w:b/>
          <w:bCs/>
          <w:sz w:val="24"/>
          <w:highlight w:val="none"/>
          <w:lang w:val="en-US" w:eastAsia="zh-CN"/>
        </w:rPr>
      </w:pPr>
      <w:r>
        <w:rPr>
          <w:rFonts w:ascii="Segoe UI Symbol" w:hAnsi="Segoe UI Symbol" w:cs="Segoe UI Symbol"/>
          <w:b/>
          <w:bCs/>
          <w:color w:val="000000"/>
          <w:sz w:val="24"/>
        </w:rPr>
        <w:t xml:space="preserve">★</w:t>
      </w:r>
      <w:r>
        <w:rPr>
          <w:rFonts w:hint="eastAsia"/>
          <w:b/>
          <w:bCs/>
          <w:sz w:val="24"/>
          <w:highlight w:val="none"/>
          <w:lang w:val="en-US" w:eastAsia="zh-CN"/>
        </w:rPr>
        <w:t xml:space="preserve">1.3 技术指标</w:t>
      </w:r>
      <w:r>
        <w:rPr>
          <w:rFonts w:hint="eastAsia"/>
          <w:b/>
          <w:bCs/>
          <w:sz w:val="24"/>
          <w:highlight w:val="none"/>
          <w:lang w:val="en-US" w:eastAsia="zh-CN"/>
        </w:rPr>
      </w:r>
      <w:r/>
    </w:p>
    <w:tbl>
      <w:tblPr>
        <w:tblW w:w="92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2825"/>
        <w:gridCol w:w="5243"/>
      </w:tblGrid>
      <w:tr>
        <w:trPr>
          <w:trHeight w:val="576"/>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标段号</w:t>
            </w:r>
            <w:r>
              <w:rPr>
                <w:rFonts w:ascii="宋体" w:hAnsi="宋体" w:eastAsia="宋体" w:cs="宋体"/>
                <w:b/>
                <w:bCs w:val="0"/>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货物名称</w:t>
            </w:r>
            <w:r>
              <w:rPr>
                <w:rFonts w:hint="eastAsia" w:ascii="宋体" w:hAnsi="宋体" w:eastAsia="宋体" w:cs="宋体"/>
                <w:b/>
                <w:bCs w:val="0"/>
                <w:color w:val="000000"/>
                <w:sz w:val="24"/>
                <w:szCs w:val="24"/>
                <w:highlight w:val="none"/>
              </w:rPr>
            </w:r>
            <w:r/>
          </w:p>
        </w:tc>
        <w:tc>
          <w:tcPr>
            <w:tcW w:w="5243"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技术指标</w:t>
            </w:r>
            <w:r>
              <w:rPr>
                <w:rFonts w:ascii="宋体" w:hAnsi="宋体" w:eastAsia="宋体" w:cs="宋体"/>
                <w:b/>
                <w:bCs w:val="0"/>
                <w:color w:val="000000"/>
                <w:sz w:val="24"/>
                <w:szCs w:val="24"/>
                <w:highlight w:val="none"/>
                <w:lang w:val="en-US" w:eastAsia="zh-CN"/>
              </w:rPr>
            </w:r>
            <w:r/>
          </w:p>
        </w:tc>
      </w:tr>
      <w:tr>
        <w:trPr>
          <w:trHeight w:val="1475"/>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w:t>
            </w:r>
            <w:r>
              <w:rPr>
                <w:rFonts w:hint="eastAsia"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甲维·茚虫威</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jc w:val="left"/>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主要成分：总有效成分含量≥25%；             </w:t>
            </w: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剂型：悬浮剂或水分散粒剂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val="en-US" w:eastAsia="zh-CN"/>
              </w:rPr>
              <w:t xml:space="preserve">                           登记作物：水稻；                                      防治对象：稻纵卷叶螟。</w:t>
            </w:r>
            <w:r>
              <w:rPr>
                <w:rFonts w:hint="eastAsia" w:ascii="宋体" w:hAnsi="宋体" w:eastAsia="宋体" w:cs="宋体"/>
                <w:bCs/>
                <w:color w:val="000000"/>
                <w:sz w:val="24"/>
                <w:szCs w:val="24"/>
                <w:highlight w:val="none"/>
                <w:lang w:val="en-US" w:eastAsia="zh-CN"/>
              </w:rPr>
            </w:r>
            <w:r/>
          </w:p>
        </w:tc>
      </w:tr>
      <w:tr>
        <w:trPr>
          <w:trHeight w:val="1483"/>
        </w:trPr>
        <w:tc>
          <w:tcPr>
            <w:tcW w:w="1179" w:type="dxa"/>
            <w:vAlign w:val="center"/>
            <w:textDirection w:val="lrTb"/>
            <w:noWrap w:val="false"/>
          </w:tcPr>
          <w:p>
            <w:pPr>
              <w:pStyle w:val="963"/>
              <w:contextualSpacing/>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eastAsia="zh-CN"/>
              </w:rPr>
            </w:r>
            <w:r/>
          </w:p>
        </w:tc>
        <w:tc>
          <w:tcPr>
            <w:tcW w:w="2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60%烯啶·吡蚜酮</w:t>
            </w:r>
            <w:r>
              <w:rPr>
                <w:rFonts w:hint="eastAsia" w:ascii="宋体" w:hAnsi="宋体" w:eastAsia="宋体" w:cs="宋体"/>
                <w:bCs/>
                <w:color w:val="000000"/>
                <w:sz w:val="24"/>
                <w:szCs w:val="24"/>
                <w:highlight w:val="none"/>
                <w:lang w:eastAsia="zh-CN"/>
              </w:rPr>
            </w:r>
            <w:r/>
          </w:p>
        </w:tc>
        <w:tc>
          <w:tcPr>
            <w:tcW w:w="5243" w:type="dxa"/>
            <w:vAlign w:val="center"/>
            <w:textDirection w:val="lrTb"/>
            <w:noWrap w:val="false"/>
          </w:tcPr>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主要成分：15%烯啶虫胺，45%吡蚜酮；</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eastAsia="zh-CN"/>
              </w:rPr>
            </w:pPr>
            <w:r>
              <w:rPr>
                <w:rFonts w:hint="eastAsia" w:ascii="Times New Roman" w:hAnsi="Times New Roman" w:eastAsia="宋体" w:cs="Times New Roman"/>
                <w:bCs/>
                <w:color w:val="000000"/>
                <w:sz w:val="24"/>
                <w:highlight w:val="none"/>
              </w:rPr>
              <w:t xml:space="preserve">产品</w:t>
            </w:r>
            <w:r>
              <w:rPr>
                <w:rFonts w:hint="eastAsia" w:ascii="Times New Roman" w:hAnsi="Times New Roman" w:eastAsia="宋体" w:cs="Times New Roman"/>
                <w:bCs/>
                <w:color w:val="000000"/>
                <w:sz w:val="24"/>
                <w:highlight w:val="none"/>
                <w:lang w:val="en-US" w:eastAsia="zh-CN"/>
              </w:rPr>
              <w:t xml:space="preserve">剂型：水分散粒剂或可湿性粉剂</w:t>
            </w:r>
            <w:r>
              <w:rPr>
                <w:rFonts w:hint="eastAsia" w:ascii="Times New Roman" w:hAnsi="Times New Roman" w:eastAsia="宋体" w:cs="Times New Roman"/>
                <w:bCs/>
                <w:color w:val="000000"/>
                <w:sz w:val="24"/>
                <w:highlight w:val="none"/>
                <w:lang w:eastAsia="zh-CN"/>
              </w:rPr>
              <w:t xml:space="preserve">；</w:t>
            </w:r>
            <w:r>
              <w:rPr>
                <w:rFonts w:hint="eastAsia" w:ascii="Times New Roman" w:hAnsi="Times New Roman" w:eastAsia="宋体" w:cs="Times New Roman"/>
                <w:bCs/>
                <w:color w:val="000000"/>
                <w:sz w:val="24"/>
                <w:highlight w:val="none"/>
                <w:lang w:eastAsia="zh-CN"/>
              </w:rPr>
            </w:r>
            <w:r/>
          </w:p>
          <w:p>
            <w:pPr>
              <w:pStyle w:val="963"/>
              <w:contextualSpacing/>
              <w:jc w:val="left"/>
              <w:keepLines w:val="0"/>
              <w:keepNext w:val="0"/>
              <w:pageBreakBefore w:val="0"/>
              <w:spacing w:line="240" w:lineRule="auto"/>
              <w:widowControl w:val="off"/>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登记作物：水稻；</w:t>
            </w:r>
            <w:r>
              <w:rPr>
                <w:rFonts w:hint="eastAsia" w:ascii="Times New Roman" w:hAnsi="Times New Roman" w:eastAsia="宋体" w:cs="Times New Roman"/>
                <w:bCs/>
                <w:color w:val="000000"/>
                <w:sz w:val="24"/>
                <w:highlight w:val="none"/>
                <w:lang w:val="en-US" w:eastAsia="zh-CN"/>
              </w:rPr>
            </w:r>
            <w:r/>
          </w:p>
          <w:p>
            <w:pPr>
              <w:pStyle w:val="963"/>
              <w:contextualSpacing/>
              <w:jc w:val="left"/>
              <w:keepLines w:val="0"/>
              <w:keepNext w:val="0"/>
              <w:pageBreakBefore w:val="0"/>
              <w:spacing w:line="240" w:lineRule="auto"/>
              <w:widowControl w:val="off"/>
              <w:rPr>
                <w:rFonts w:hint="eastAsia" w:ascii="宋体" w:hAnsi="宋体" w:eastAsia="宋体" w:cs="宋体"/>
                <w:color w:val="000000"/>
                <w:sz w:val="24"/>
                <w:szCs w:val="24"/>
              </w:rPr>
            </w:pPr>
            <w:r>
              <w:rPr>
                <w:rFonts w:hint="eastAsia" w:ascii="Times New Roman" w:hAnsi="Times New Roman" w:eastAsia="宋体" w:cs="Times New Roman"/>
                <w:bCs/>
                <w:color w:val="000000"/>
                <w:sz w:val="24"/>
                <w:highlight w:val="none"/>
                <w:lang w:val="en-US" w:eastAsia="zh-CN"/>
              </w:rPr>
              <w:t xml:space="preserve">防治对象：稻飞虱。</w:t>
            </w:r>
            <w:r>
              <w:rPr>
                <w:rFonts w:hint="eastAsia" w:ascii="宋体" w:hAnsi="宋体" w:eastAsia="宋体" w:cs="宋体"/>
                <w:color w:val="000000"/>
                <w:sz w:val="24"/>
                <w:szCs w:val="24"/>
              </w:rPr>
            </w:r>
            <w:r/>
          </w:p>
        </w:tc>
      </w:tr>
    </w:tbl>
    <w:p>
      <w:pPr>
        <w:pStyle w:val="963"/>
        <w:contextualSpacing/>
        <w:ind w:firstLine="482"/>
        <w:spacing w:line="360" w:lineRule="auto"/>
        <w:rPr>
          <w:b/>
          <w:bCs/>
          <w:color w:val="ff0000"/>
          <w:sz w:val="24"/>
          <w:highlight w:val="none"/>
          <w:lang w:val="en-US" w:eastAsia="zh-CN"/>
        </w:rPr>
      </w:pPr>
      <w:r>
        <w:rPr>
          <w:rFonts w:hint="eastAsia"/>
          <w:b/>
          <w:bCs/>
          <w:color w:val="ff0000"/>
          <w:sz w:val="24"/>
          <w:highlight w:val="none"/>
          <w:lang w:val="en-US" w:eastAsia="zh-CN"/>
        </w:rPr>
        <w:t xml:space="preserve">注：须提供满足以上各项技术指标有效期内农业农村部颁发的农药登记证加盖登记企业公章，否则响应无效。</w:t>
      </w:r>
      <w:r>
        <w:rPr>
          <w:b/>
          <w:bCs/>
          <w:color w:val="ff0000"/>
          <w:sz w:val="24"/>
          <w:highlight w:val="none"/>
          <w:lang w:val="en-US" w:eastAsia="zh-CN"/>
        </w:rPr>
      </w:r>
      <w:r/>
    </w:p>
    <w:p>
      <w:pPr>
        <w:pStyle w:val="963"/>
        <w:contextualSpacing/>
        <w:spacing w:line="360" w:lineRule="auto"/>
        <w:rPr>
          <w:rFonts w:hint="eastAsia" w:eastAsia="宋体"/>
          <w:i/>
          <w:iCs/>
          <w:sz w:val="24"/>
          <w:highlight w:val="none"/>
          <w:lang w:val="en-US" w:eastAsia="zh-CN"/>
        </w:rPr>
      </w:pPr>
      <w:r>
        <w:rPr>
          <w:rFonts w:hint="eastAsia"/>
          <w:sz w:val="24"/>
          <w:highlight w:val="none"/>
        </w:rPr>
        <w:t xml:space="preserve">2.</w:t>
      </w:r>
      <w:r>
        <w:rPr>
          <w:sz w:val="24"/>
          <w:highlight w:val="none"/>
        </w:rPr>
        <w:t xml:space="preserve"> 验收标准</w:t>
      </w:r>
      <w:r>
        <w:rPr>
          <w:rFonts w:hint="eastAsia"/>
          <w:sz w:val="24"/>
          <w:highlight w:val="none"/>
          <w:lang w:val="en-US" w:eastAsia="zh-CN"/>
        </w:rPr>
        <w:tab/>
      </w:r>
      <w:r>
        <w:rPr>
          <w:rFonts w:hint="eastAsia" w:eastAsia="宋体"/>
          <w:i/>
          <w:iCs/>
          <w:sz w:val="24"/>
          <w:highlight w:val="none"/>
          <w:lang w:val="en-US" w:eastAsia="zh-CN"/>
        </w:rPr>
      </w:r>
      <w:r/>
    </w:p>
    <w:p>
      <w:pPr>
        <w:pStyle w:val="963"/>
        <w:contextualSpacing/>
        <w:ind w:firstLine="480"/>
        <w:spacing w:line="360" w:lineRule="auto"/>
        <w:rPr>
          <w:rFonts w:ascii="宋体" w:hAnsi="宋体" w:eastAsia="宋体" w:cs="宋体"/>
          <w:sz w:val="24"/>
          <w:highlight w:val="none"/>
        </w:rPr>
      </w:pPr>
      <w:r>
        <w:rPr>
          <w:rFonts w:hint="eastAsia" w:ascii="Times New Roman" w:hAnsi="Times New Roman" w:eastAsia="宋体" w:cs="Times New Roman"/>
          <w:sz w:val="24"/>
          <w:highlight w:val="none"/>
        </w:rPr>
        <w:t xml:space="preserve">成交供应商所提供货物质量必须符合国家相关标准，必须满足本次采购的要求，采购人对成交供应商所交货物依照采购文件上的技术规格要求、成交产品有关指标和合同要求进行验收。若检验不合格，采购人不予支付采购费用，并且由此造成的损失和后果由成交供应商负责。</w:t>
      </w:r>
      <w:r>
        <w:rPr>
          <w:rFonts w:ascii="宋体" w:hAnsi="宋体" w:eastAsia="宋体" w:cs="宋体"/>
          <w:sz w:val="24"/>
          <w:highlight w:val="none"/>
        </w:rPr>
      </w:r>
      <w:r/>
    </w:p>
    <w:p>
      <w:pPr>
        <w:pStyle w:val="963"/>
        <w:numPr>
          <w:ilvl w:val="0"/>
          <w:numId w:val="13"/>
        </w:numPr>
        <w:contextualSpacing/>
        <w:ind w:left="0" w:firstLine="0"/>
        <w:spacing w:line="360" w:lineRule="auto"/>
        <w:rPr>
          <w:sz w:val="24"/>
          <w:highlight w:val="none"/>
        </w:rPr>
      </w:pPr>
      <w:r>
        <w:rPr>
          <w:sz w:val="24"/>
          <w:highlight w:val="none"/>
        </w:rPr>
        <w:t xml:space="preserve">其他要求</w:t>
      </w:r>
      <w:r>
        <w:rPr>
          <w:sz w:val="24"/>
          <w:highlight w:val="none"/>
        </w:rPr>
      </w:r>
      <w:r/>
    </w:p>
    <w:p>
      <w:pPr>
        <w:pStyle w:val="963"/>
        <w:contextualSpacing/>
        <w:ind w:firstLine="482"/>
        <w:spacing w:line="360" w:lineRule="auto"/>
        <w:rPr>
          <w:rFonts w:hint="eastAsia"/>
          <w:b/>
          <w:iCs/>
          <w:sz w:val="24"/>
          <w:highlight w:val="none"/>
        </w:rPr>
      </w:pPr>
      <w:r/>
      <w:bookmarkStart w:id="644" w:name="_Toc99301349"/>
      <w:r>
        <w:rPr>
          <w:rFonts w:hint="eastAsia"/>
          <w:b/>
          <w:iCs/>
          <w:sz w:val="24"/>
          <w:highlight w:val="none"/>
        </w:rPr>
        <w:t xml:space="preserve">3.1</w:t>
      </w:r>
      <w:r>
        <w:rPr>
          <w:rFonts w:hint="eastAsia"/>
          <w:b/>
          <w:iCs/>
          <w:sz w:val="24"/>
          <w:highlight w:val="none"/>
          <w:lang w:val="en-US" w:eastAsia="zh-CN"/>
        </w:rPr>
        <w:t xml:space="preserve"> </w:t>
      </w:r>
      <w:r>
        <w:rPr>
          <w:rFonts w:hint="eastAsia"/>
          <w:b/>
          <w:iCs/>
          <w:sz w:val="24"/>
          <w:highlight w:val="none"/>
        </w:rPr>
        <w:t xml:space="preserve">为保证产品质量与售后服务，成交供应商须在中标公告发出后</w:t>
      </w:r>
      <w:r>
        <w:rPr>
          <w:rFonts w:hint="eastAsia"/>
          <w:b/>
          <w:iCs/>
          <w:color w:val="ff0000"/>
          <w:sz w:val="24"/>
          <w:highlight w:val="none"/>
          <w:lang w:val="en-US" w:eastAsia="zh-CN"/>
        </w:rPr>
        <w:t xml:space="preserve">3</w:t>
      </w:r>
      <w:r>
        <w:rPr>
          <w:rFonts w:hint="eastAsia"/>
          <w:b/>
          <w:iCs/>
          <w:sz w:val="24"/>
          <w:highlight w:val="none"/>
        </w:rPr>
        <w:t xml:space="preserve">日内提供制造商针对本项目的售后服务承诺书原件（须标明项目名称和项目编号），不能提供者将取消其中标资格，顺延下一位中标候选人。</w:t>
      </w:r>
      <w:r>
        <w:rPr>
          <w:rFonts w:hint="eastAsia"/>
          <w:b/>
          <w:iCs/>
          <w:sz w:val="24"/>
          <w:highlight w:val="none"/>
        </w:rPr>
      </w:r>
      <w:r/>
    </w:p>
    <w:p>
      <w:pPr>
        <w:pStyle w:val="963"/>
        <w:ind w:firstLine="480"/>
        <w:spacing w:line="360" w:lineRule="auto"/>
        <w:rPr>
          <w:rFonts w:hint="eastAsia"/>
          <w:sz w:val="24"/>
          <w:highlight w:val="none"/>
        </w:rPr>
      </w:pPr>
      <w:r>
        <w:rPr>
          <w:rFonts w:hint="eastAsia"/>
          <w:bCs/>
          <w:iCs/>
          <w:sz w:val="24"/>
          <w:highlight w:val="none"/>
        </w:rPr>
        <w:t xml:space="preserve">3.</w:t>
      </w:r>
      <w:r>
        <w:rPr>
          <w:rFonts w:hint="eastAsia"/>
          <w:bCs/>
          <w:iCs/>
          <w:sz w:val="24"/>
          <w:highlight w:val="none"/>
          <w:lang w:val="en-US" w:eastAsia="zh-CN"/>
        </w:rPr>
        <w:t xml:space="preserve">2 </w:t>
      </w:r>
      <w:r>
        <w:rPr>
          <w:rFonts w:hint="eastAsia"/>
          <w:bCs/>
          <w:iCs/>
          <w:sz w:val="24"/>
          <w:highlight w:val="none"/>
        </w:rPr>
        <w:t xml:space="preserve">成交供应商</w:t>
      </w:r>
      <w:r>
        <w:rPr>
          <w:rFonts w:hint="eastAsia"/>
          <w:sz w:val="24"/>
          <w:highlight w:val="none"/>
        </w:rPr>
        <w:t xml:space="preserve">应保证采购人免除且</w:t>
      </w:r>
      <w:r>
        <w:rPr>
          <w:rFonts w:hint="eastAsia"/>
          <w:bCs/>
          <w:iCs/>
          <w:sz w:val="24"/>
          <w:highlight w:val="none"/>
        </w:rPr>
        <w:t xml:space="preserve">成交供应商</w:t>
      </w:r>
      <w:r>
        <w:rPr>
          <w:rFonts w:hint="eastAsia"/>
          <w:sz w:val="24"/>
          <w:highlight w:val="none"/>
        </w:rPr>
        <w:t xml:space="preserve">承担由于采购人在国内使用该项目或项目任何一部分时而引起第三方提出的侵犯专利权、商标权或工业设计权的起诉、行动、行政程序索赔、请求等以及采购人为此而产生的损失和损害、费用和支出（包括律师费）。</w:t>
      </w:r>
      <w:r>
        <w:rPr>
          <w:rFonts w:hint="eastAsia"/>
          <w:sz w:val="24"/>
          <w:highlight w:val="none"/>
        </w:rPr>
      </w:r>
      <w:r/>
    </w:p>
    <w:p>
      <w:pPr>
        <w:pStyle w:val="963"/>
        <w:ind w:firstLine="480"/>
        <w:spacing w:line="360" w:lineRule="auto"/>
        <w:rPr>
          <w:rFonts w:hint="eastAsia"/>
          <w:sz w:val="24"/>
          <w:highlight w:val="none"/>
        </w:rPr>
      </w:pPr>
      <w:r>
        <w:rPr>
          <w:rFonts w:hint="eastAsia"/>
          <w:sz w:val="24"/>
          <w:highlight w:val="none"/>
        </w:rPr>
        <w:t xml:space="preserve">3.</w:t>
      </w:r>
      <w:r>
        <w:rPr>
          <w:rFonts w:hint="eastAsia"/>
          <w:sz w:val="24"/>
          <w:highlight w:val="none"/>
          <w:lang w:val="en-US" w:eastAsia="zh-CN"/>
        </w:rPr>
        <w:t xml:space="preserve">3 </w:t>
      </w:r>
      <w:r>
        <w:rPr>
          <w:rFonts w:hint="eastAsia"/>
          <w:sz w:val="24"/>
          <w:highlight w:val="none"/>
        </w:rPr>
        <w:t xml:space="preserve">如因产品质量受到有关部门处罚或造成各项损失，由</w:t>
      </w:r>
      <w:r>
        <w:rPr>
          <w:rFonts w:hint="eastAsia"/>
          <w:bCs/>
          <w:iCs/>
          <w:sz w:val="24"/>
          <w:highlight w:val="none"/>
        </w:rPr>
        <w:t xml:space="preserve">成交供应商</w:t>
      </w:r>
      <w:r>
        <w:rPr>
          <w:rFonts w:hint="eastAsia"/>
          <w:sz w:val="24"/>
          <w:highlight w:val="none"/>
        </w:rPr>
        <w:t xml:space="preserve">承担全部经济和法律责任，同时采购人将不予支付产品货款。</w:t>
      </w:r>
      <w:r>
        <w:rPr>
          <w:rFonts w:hint="eastAsia"/>
          <w:sz w:val="24"/>
          <w:highlight w:val="none"/>
        </w:rPr>
      </w:r>
      <w:r/>
    </w:p>
    <w:p>
      <w:pPr>
        <w:pStyle w:val="963"/>
        <w:ind w:firstLine="482"/>
        <w:spacing w:line="360" w:lineRule="auto"/>
        <w:rPr>
          <w:rFonts w:hint="eastAsia"/>
          <w:b/>
          <w:bCs/>
          <w:sz w:val="24"/>
          <w:highlight w:val="none"/>
        </w:rPr>
      </w:pPr>
      <w:r>
        <w:rPr>
          <w:rFonts w:hint="eastAsia"/>
          <w:b/>
          <w:bCs/>
          <w:sz w:val="24"/>
          <w:highlight w:val="none"/>
        </w:rPr>
        <w:t xml:space="preserve">3.</w:t>
      </w:r>
      <w:r>
        <w:rPr>
          <w:rFonts w:hint="eastAsia"/>
          <w:b/>
          <w:bCs/>
          <w:sz w:val="24"/>
          <w:highlight w:val="none"/>
          <w:lang w:val="en-US" w:eastAsia="zh-CN"/>
        </w:rPr>
        <w:t xml:space="preserve">4 </w:t>
      </w:r>
      <w:r>
        <w:rPr>
          <w:rFonts w:hint="eastAsia"/>
          <w:b/>
          <w:bCs/>
          <w:sz w:val="24"/>
          <w:highlight w:val="none"/>
        </w:rPr>
        <w:t xml:space="preserve">成交供应商须在合同签订后3天内向采购人提供与投标所报电子文件一致的纸质投标书3份，并按要求签字盖章。</w:t>
      </w:r>
      <w:r>
        <w:rPr>
          <w:rFonts w:hint="eastAsia"/>
          <w:b/>
          <w:bCs/>
          <w:sz w:val="24"/>
          <w:highlight w:val="none"/>
        </w:rPr>
      </w:r>
      <w:r/>
    </w:p>
    <w:p>
      <w:pPr>
        <w:pStyle w:val="963"/>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w:t>
      </w:r>
      <w:r>
        <w:rPr>
          <w:rFonts w:hint="eastAsia"/>
          <w:b/>
          <w:sz w:val="36"/>
          <w:szCs w:val="36"/>
          <w:highlight w:val="none"/>
        </w:rPr>
        <w:t xml:space="preserve">拟签订</w:t>
      </w:r>
      <w:r>
        <w:rPr>
          <w:b/>
          <w:sz w:val="36"/>
          <w:szCs w:val="36"/>
          <w:highlight w:val="none"/>
        </w:rPr>
        <w:t xml:space="preserve">的合同文本</w:t>
      </w:r>
      <w:bookmarkEnd w:id="644"/>
      <w:r>
        <w:rPr>
          <w:b/>
          <w:sz w:val="36"/>
          <w:szCs w:val="36"/>
          <w:highlight w:val="none"/>
        </w:rPr>
      </w:r>
      <w:r/>
    </w:p>
    <w:p>
      <w:pPr>
        <w:pStyle w:val="963"/>
        <w:spacing w:line="360" w:lineRule="auto"/>
        <w:tabs>
          <w:tab w:val="left" w:pos="900" w:leader="none"/>
          <w:tab w:val="left" w:pos="1080" w:leader="none"/>
        </w:tabs>
        <w:rPr>
          <w:sz w:val="18"/>
          <w:szCs w:val="18"/>
          <w:highlight w:val="none"/>
        </w:rPr>
      </w:pPr>
      <w:r>
        <w:rPr>
          <w:sz w:val="18"/>
          <w:szCs w:val="18"/>
          <w:highlight w:val="none"/>
        </w:rPr>
      </w:r>
      <w:r/>
    </w:p>
    <w:p>
      <w:pPr>
        <w:pStyle w:val="963"/>
        <w:rPr>
          <w:highlight w:val="none"/>
        </w:rPr>
      </w:pPr>
      <w:r>
        <w:rPr>
          <w:highlight w:val="none"/>
        </w:rPr>
      </w:r>
      <w:r/>
    </w:p>
    <w:p>
      <w:pPr>
        <w:pStyle w:val="1024"/>
        <w:jc w:val="both"/>
        <w:spacing w:before="0" w:beforeAutospacing="0" w:after="120" w:afterAutospacing="0"/>
        <w:widowControl w:val="off"/>
        <w:tabs>
          <w:tab w:val="left" w:pos="567" w:leader="none"/>
        </w:tabs>
        <w:rPr>
          <w:b/>
          <w:sz w:val="40"/>
          <w:szCs w:val="40"/>
          <w:highlight w:val="none"/>
        </w:rPr>
      </w:pPr>
      <w:r>
        <w:rPr>
          <w:b/>
          <w:sz w:val="40"/>
          <w:szCs w:val="40"/>
          <w:highlight w:val="none"/>
        </w:rPr>
      </w:r>
      <w:r/>
    </w:p>
    <w:p>
      <w:pPr>
        <w:pStyle w:val="963"/>
        <w:rPr>
          <w:highlight w:val="none"/>
        </w:rPr>
      </w:pPr>
      <w:r>
        <w:rPr>
          <w:highlight w:val="none"/>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48"/>
          <w:szCs w:val="48"/>
          <w:highlight w:val="none"/>
          <w:lang w:eastAsia="zh-CN" w:bidi="ar"/>
        </w:rPr>
      </w:pPr>
      <w:r>
        <w:rPr>
          <w:rFonts w:hint="eastAsia" w:ascii="Times New Roman" w:hAnsi="Times New Roman"/>
          <w:b/>
          <w:sz w:val="48"/>
          <w:szCs w:val="48"/>
          <w:highlight w:val="none"/>
          <w:lang w:eastAsia="zh-CN" w:bidi="ar"/>
        </w:rPr>
        <w:t xml:space="preserve">2026年市级粮食作物重大病虫害防控物资采购</w:t>
      </w:r>
      <w:r>
        <w:rPr>
          <w:rFonts w:hint="eastAsia" w:ascii="Times New Roman" w:hAnsi="Times New Roman"/>
          <w:b/>
          <w:sz w:val="48"/>
          <w:szCs w:val="48"/>
          <w:highlight w:val="none"/>
          <w:lang w:eastAsia="zh-CN" w:bidi="ar"/>
        </w:rPr>
      </w:r>
      <w:r/>
    </w:p>
    <w:p>
      <w:pPr>
        <w:pStyle w:val="1024"/>
        <w:jc w:val="center"/>
        <w:spacing w:before="0" w:beforeAutospacing="0" w:after="120" w:afterAutospacing="0" w:line="360" w:lineRule="auto"/>
        <w:widowControl w:val="off"/>
        <w:tabs>
          <w:tab w:val="left" w:pos="567" w:leader="none"/>
        </w:tabs>
        <w:rPr>
          <w:rFonts w:hint="eastAsia" w:ascii="Times New Roman" w:hAnsi="Times New Roman"/>
          <w:b/>
          <w:sz w:val="52"/>
          <w:szCs w:val="52"/>
          <w:highlight w:val="none"/>
          <w:lang w:bidi="ar"/>
        </w:rPr>
      </w:pPr>
      <w:r>
        <w:rPr>
          <w:rFonts w:hint="eastAsia" w:ascii="Times New Roman" w:hAnsi="Times New Roman"/>
          <w:b/>
          <w:sz w:val="52"/>
          <w:szCs w:val="52"/>
          <w:highlight w:val="none"/>
          <w:lang w:bidi="ar"/>
        </w:rPr>
      </w:r>
      <w:r/>
    </w:p>
    <w:p>
      <w:pPr>
        <w:pStyle w:val="1024"/>
        <w:jc w:val="center"/>
        <w:spacing w:before="0" w:beforeAutospacing="0" w:after="120" w:afterAutospacing="0" w:line="360" w:lineRule="auto"/>
        <w:widowControl w:val="off"/>
        <w:tabs>
          <w:tab w:val="left" w:pos="567" w:leader="none"/>
        </w:tabs>
        <w:rPr>
          <w:b/>
          <w:sz w:val="52"/>
          <w:szCs w:val="52"/>
          <w:highlight w:val="none"/>
        </w:rPr>
      </w:pPr>
      <w:r>
        <w:rPr>
          <w:rFonts w:hint="eastAsia" w:ascii="Times New Roman" w:hAnsi="Times New Roman"/>
          <w:b/>
          <w:sz w:val="52"/>
          <w:szCs w:val="52"/>
          <w:highlight w:val="none"/>
          <w:lang w:bidi="ar"/>
        </w:rPr>
        <w:t xml:space="preserve">合同书</w:t>
      </w:r>
      <w:r>
        <w:rPr>
          <w:b/>
          <w:sz w:val="52"/>
          <w:szCs w:val="52"/>
          <w:highlight w:val="none"/>
        </w:rPr>
      </w:r>
      <w:r/>
    </w:p>
    <w:p>
      <w:pPr>
        <w:pStyle w:val="1024"/>
        <w:jc w:val="center"/>
        <w:spacing w:before="0" w:beforeAutospacing="0" w:after="0" w:afterAutospacing="0"/>
        <w:widowControl w:val="off"/>
        <w:rPr>
          <w:b/>
          <w:bCs/>
          <w:sz w:val="28"/>
          <w:szCs w:val="28"/>
          <w:highlight w:val="none"/>
        </w:rPr>
      </w:pPr>
      <w:r>
        <w:rPr>
          <w:rFonts w:hint="eastAsia"/>
          <w:b/>
          <w:bCs/>
          <w:sz w:val="28"/>
          <w:szCs w:val="28"/>
          <w:highlight w:val="none"/>
          <w:lang w:bidi="ar"/>
        </w:rPr>
        <w:t xml:space="preserve">（项目编号：</w:t>
      </w:r>
      <w:r>
        <w:rPr>
          <w:rFonts w:hint="eastAsia"/>
          <w:b/>
          <w:bCs/>
          <w:sz w:val="28"/>
          <w:szCs w:val="28"/>
          <w:highlight w:val="none"/>
          <w:lang w:val="en-US" w:eastAsia="zh-CN" w:bidi="ar"/>
        </w:rPr>
        <w:t xml:space="preserve"> </w:t>
      </w:r>
      <w:r>
        <w:rPr>
          <w:rFonts w:hint="eastAsia"/>
          <w:b/>
          <w:bCs/>
          <w:sz w:val="28"/>
          <w:szCs w:val="28"/>
          <w:highlight w:val="none"/>
          <w:lang w:val="en-US" w:eastAsia="zh-CN" w:bidi="ar"/>
        </w:rPr>
        <w:t xml:space="preserve"> </w:t>
      </w:r>
      <w:r>
        <w:rPr>
          <w:rFonts w:hint="eastAsia"/>
          <w:b/>
          <w:bCs/>
          <w:sz w:val="28"/>
          <w:szCs w:val="28"/>
          <w:highlight w:val="none"/>
          <w:lang w:bidi="ar"/>
        </w:rPr>
        <w:t xml:space="preserve">）</w:t>
      </w:r>
      <w:r>
        <w:rPr>
          <w:b/>
          <w:bCs/>
          <w:sz w:val="28"/>
          <w:szCs w:val="28"/>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966"/>
        <w:widowControl/>
        <w:rPr>
          <w:highlight w:val="none"/>
        </w:rPr>
      </w:pPr>
      <w:r>
        <w:rPr>
          <w:highlight w:val="none"/>
        </w:rPr>
      </w:r>
      <w:r/>
    </w:p>
    <w:p>
      <w:pPr>
        <w:pStyle w:val="963"/>
        <w:rPr>
          <w:highlight w:val="none"/>
        </w:rPr>
      </w:pPr>
      <w:r>
        <w:rPr>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tbl>
      <w:tblPr>
        <w:tblW w:w="70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3"/>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甲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w:t>
            </w:r>
            <w:r>
              <w:rPr>
                <w:rFonts w:hint="eastAsia" w:ascii="宋体" w:hAnsi="宋体" w:cs="宋体"/>
                <w:sz w:val="30"/>
                <w:highlight w:val="none"/>
                <w:lang w:bidi="ar"/>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lang w:bidi="ar"/>
              </w:rPr>
            </w:pPr>
            <w:r>
              <w:rPr>
                <w:rFonts w:hint="eastAsia" w:ascii="宋体" w:hAnsi="宋体" w:cs="宋体"/>
                <w:sz w:val="30"/>
                <w:highlight w:val="none"/>
                <w:lang w:bidi="ar"/>
              </w:rPr>
              <w:t xml:space="preserve">溧阳市农业农村局</w:t>
            </w:r>
            <w:r>
              <w:rPr>
                <w:rFonts w:hint="eastAsia" w:ascii="宋体" w:hAnsi="宋体" w:cs="宋体"/>
                <w:sz w:val="30"/>
                <w:highlight w:val="none"/>
                <w:lang w:bidi="ar"/>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乙  方</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lang w:bidi="ar"/>
              </w:rPr>
              <w:t xml:space="preserve">：</w:t>
            </w:r>
            <w:r>
              <w:rPr>
                <w:rFonts w:hint="eastAsia" w:ascii="宋体" w:hAnsi="宋体" w:cs="宋体"/>
                <w:sz w:val="30"/>
                <w:highlight w:val="none"/>
              </w:rPr>
            </w:r>
            <w:r/>
          </w:p>
        </w:tc>
        <w:tc>
          <w:tcPr>
            <w:tcBorders>
              <w:top w:val="none" w:color="000000" w:sz="0" w:space="0"/>
              <w:left w:val="none" w:color="000000" w:sz="0" w:space="0"/>
              <w:bottom w:val="none" w:color="000000" w:sz="0" w:space="0"/>
              <w:right w:val="none" w:color="000000" w:sz="0" w:space="0"/>
            </w:tcBorders>
            <w:tcW w:w="5023" w:type="dxa"/>
            <w:vAlign w:val="center"/>
            <w:textDirection w:val="lrTb"/>
            <w:noWrap w:val="false"/>
          </w:tcPr>
          <w:p>
            <w:pPr>
              <w:pStyle w:val="963"/>
              <w:spacing w:line="360" w:lineRule="exact"/>
              <w:rPr>
                <w:rFonts w:hint="eastAsia" w:ascii="宋体" w:hAnsi="宋体" w:cs="宋体"/>
                <w:sz w:val="30"/>
                <w:highlight w:val="none"/>
              </w:rPr>
            </w:pPr>
            <w:r>
              <w:rPr>
                <w:rFonts w:hint="eastAsia" w:ascii="宋体" w:hAnsi="宋体" w:cs="宋体"/>
                <w:sz w:val="30"/>
                <w:highlight w:val="none"/>
              </w:rPr>
            </w:r>
            <w:r/>
          </w:p>
        </w:tc>
      </w:tr>
    </w:tbl>
    <w:p>
      <w:pPr>
        <w:pStyle w:val="1024"/>
        <w:jc w:val="both"/>
        <w:spacing w:before="0" w:beforeAutospacing="0" w:after="120" w:afterAutospacing="0" w:line="360" w:lineRule="auto"/>
        <w:widowControl w:val="off"/>
        <w:tabs>
          <w:tab w:val="left" w:pos="567" w:leader="none"/>
        </w:tabs>
        <w:rPr>
          <w:szCs w:val="21"/>
          <w:highlight w:val="none"/>
        </w:rPr>
      </w:pPr>
      <w:r>
        <w:rPr>
          <w:szCs w:val="21"/>
          <w:highlight w:val="none"/>
        </w:rPr>
      </w:r>
      <w:r/>
    </w:p>
    <w:p>
      <w:pPr>
        <w:pStyle w:val="1024"/>
        <w:jc w:val="center"/>
        <w:spacing w:before="0" w:beforeAutospacing="0" w:after="120" w:afterAutospacing="0" w:line="480" w:lineRule="exact"/>
        <w:widowControl w:val="off"/>
        <w:rPr>
          <w:rFonts w:hint="eastAsia"/>
          <w:sz w:val="32"/>
          <w:szCs w:val="32"/>
          <w:highlight w:val="none"/>
        </w:rPr>
      </w:pPr>
      <w:r>
        <w:rPr>
          <w:rFonts w:hint="eastAsia"/>
          <w:sz w:val="32"/>
          <w:szCs w:val="32"/>
          <w:highlight w:val="none"/>
          <w:lang w:bidi="ar"/>
        </w:rPr>
        <w:t xml:space="preserve">年    月   日</w:t>
      </w:r>
      <w:r>
        <w:rPr>
          <w:rFonts w:hint="eastAsia"/>
          <w:sz w:val="32"/>
          <w:szCs w:val="32"/>
          <w:highlight w:val="none"/>
        </w:rPr>
      </w:r>
      <w:r/>
    </w:p>
    <w:p>
      <w:pPr>
        <w:pStyle w:val="963"/>
        <w:ind w:right="-6"/>
        <w:jc w:val="center"/>
        <w:spacing w:before="120" w:after="120" w:line="360" w:lineRule="auto"/>
        <w:rPr>
          <w:rFonts w:hint="eastAsia" w:ascii="宋体" w:hAnsi="宋体" w:cs="宋体"/>
          <w:b/>
          <w:sz w:val="24"/>
          <w:highlight w:val="none"/>
          <w:u w:val="single"/>
        </w:rPr>
      </w:pPr>
      <w:r>
        <w:rPr>
          <w:b/>
          <w:sz w:val="36"/>
          <w:szCs w:val="36"/>
          <w:highlight w:val="none"/>
        </w:rPr>
        <w:br w:type="page" w:clear="all"/>
      </w:r>
      <w:r>
        <w:rPr>
          <w:rFonts w:ascii="宋体" w:hAnsi="宋体"/>
          <w:b/>
          <w:sz w:val="32"/>
          <w:szCs w:val="32"/>
          <w:highlight w:val="none"/>
        </w:rPr>
        <w:t xml:space="preserve">合同主要条款</w:t>
      </w:r>
      <w:r>
        <w:rPr>
          <w:rFonts w:hint="eastAsia" w:ascii="宋体" w:hAnsi="宋体" w:cs="宋体"/>
          <w:b/>
          <w:sz w:val="24"/>
          <w:highlight w:val="none"/>
          <w:u w:val="single"/>
        </w:rPr>
      </w:r>
      <w:r/>
    </w:p>
    <w:p>
      <w:pPr>
        <w:pStyle w:val="963"/>
        <w:spacing w:line="360" w:lineRule="auto"/>
        <w:rPr>
          <w:rFonts w:ascii="宋体" w:hAnsi="宋体" w:cs="宋体"/>
          <w:sz w:val="24"/>
          <w:highlight w:val="none"/>
        </w:rPr>
      </w:pPr>
      <w:r>
        <w:rPr>
          <w:rFonts w:ascii="宋体" w:hAnsi="宋体" w:cs="宋体"/>
          <w:b/>
          <w:bCs/>
          <w:sz w:val="24"/>
          <w:highlight w:val="none"/>
        </w:rPr>
        <w:t xml:space="preserve">甲方：</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溧阳市农业农村局 </w:t>
      </w:r>
      <w:r>
        <w:rPr>
          <w:rFonts w:ascii="宋体" w:hAnsi="宋体" w:cs="宋体"/>
          <w:sz w:val="24"/>
          <w:highlight w:val="none"/>
        </w:rPr>
      </w:r>
      <w:r/>
    </w:p>
    <w:p>
      <w:pPr>
        <w:pStyle w:val="963"/>
        <w:spacing w:line="360" w:lineRule="auto"/>
        <w:rPr>
          <w:rFonts w:ascii="宋体" w:hAnsi="宋体" w:cs="宋体"/>
          <w:b/>
          <w:bCs/>
          <w:sz w:val="24"/>
          <w:highlight w:val="none"/>
        </w:rPr>
      </w:pPr>
      <w:r>
        <w:rPr>
          <w:rFonts w:ascii="宋体" w:hAnsi="宋体" w:cs="宋体"/>
          <w:b/>
          <w:bCs/>
          <w:sz w:val="24"/>
          <w:highlight w:val="none"/>
        </w:rPr>
        <w:t xml:space="preserve">乙方：</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    </w:t>
      </w:r>
      <w:r>
        <w:rPr>
          <w:rFonts w:ascii="宋体" w:hAnsi="宋体" w:cs="宋体"/>
          <w:b/>
          <w:bCs/>
          <w:sz w:val="24"/>
          <w:highlight w:val="none"/>
        </w:rPr>
      </w:r>
      <w:r/>
    </w:p>
    <w:p>
      <w:pPr>
        <w:pStyle w:val="963"/>
        <w:ind w:firstLine="600"/>
        <w:jc w:val="left"/>
        <w:spacing w:line="360" w:lineRule="auto"/>
        <w:rPr>
          <w:rFonts w:ascii="宋体" w:hAnsi="宋体"/>
          <w:sz w:val="24"/>
          <w:highlight w:val="none"/>
        </w:rPr>
      </w:pPr>
      <w:r>
        <w:rPr>
          <w:rFonts w:ascii="宋体" w:hAnsi="宋体"/>
          <w:sz w:val="24"/>
          <w:highlight w:val="none"/>
          <w:lang w:val="zh-CN"/>
        </w:rPr>
        <w:t xml:space="preserve">根据《中华人民共和国政府采购法》、</w:t>
      </w:r>
      <w:bookmarkStart w:id="645" w:name="_Hlk83324701"/>
      <w:r>
        <w:rPr>
          <w:rFonts w:ascii="宋体" w:hAnsi="宋体"/>
          <w:sz w:val="24"/>
          <w:highlight w:val="none"/>
          <w:lang w:val="zh-CN"/>
        </w:rPr>
        <w:t xml:space="preserve">《中华人民共和国</w:t>
      </w:r>
      <w:r>
        <w:rPr>
          <w:rFonts w:hint="eastAsia" w:ascii="宋体" w:hAnsi="宋体"/>
          <w:sz w:val="24"/>
          <w:highlight w:val="none"/>
          <w:lang w:val="zh-CN"/>
        </w:rPr>
        <w:t xml:space="preserve">民法典</w:t>
      </w:r>
      <w:r>
        <w:rPr>
          <w:rFonts w:ascii="宋体" w:hAnsi="宋体"/>
          <w:sz w:val="24"/>
          <w:highlight w:val="none"/>
          <w:lang w:val="zh-CN"/>
        </w:rPr>
        <w:t xml:space="preserve">》</w:t>
      </w:r>
      <w:bookmarkEnd w:id="645"/>
      <w:r>
        <w:rPr>
          <w:rFonts w:ascii="宋体" w:hAnsi="宋体"/>
          <w:sz w:val="24"/>
          <w:highlight w:val="none"/>
          <w:lang w:val="zh-CN"/>
        </w:rPr>
        <w:t xml:space="preserve">等法律法规的规定，甲乙双方按照</w:t>
      </w:r>
      <w:r>
        <w:rPr>
          <w:rFonts w:hint="eastAsia" w:ascii="宋体" w:hAnsi="宋体"/>
          <w:sz w:val="24"/>
          <w:highlight w:val="none"/>
          <w:u w:val="single"/>
          <w:lang w:val="zh-CN"/>
        </w:rPr>
        <w:t xml:space="preserve"> </w:t>
      </w:r>
      <w:r>
        <w:rPr>
          <w:rFonts w:ascii="宋体" w:hAnsi="宋体"/>
          <w:sz w:val="24"/>
          <w:highlight w:val="none"/>
          <w:u w:val="single"/>
          <w:lang w:val="zh-CN"/>
        </w:rPr>
        <w:t xml:space="preserve"> </w:t>
      </w:r>
      <w:r>
        <w:rPr>
          <w:rFonts w:hint="eastAsia" w:ascii="宋体" w:hAnsi="宋体"/>
          <w:sz w:val="24"/>
          <w:highlight w:val="none"/>
          <w:u w:val="single"/>
          <w:lang w:eastAsia="zh-CN"/>
        </w:rPr>
        <w:t xml:space="preserve">2026年市级粮食作物重大病虫害防控物资采购</w:t>
      </w:r>
      <w:r>
        <w:rPr>
          <w:rFonts w:ascii="宋体" w:hAnsi="宋体"/>
          <w:sz w:val="24"/>
          <w:highlight w:val="none"/>
          <w:u w:val="single"/>
          <w:lang w:val="zh-CN"/>
        </w:rPr>
        <w:t xml:space="preserve">  </w:t>
      </w:r>
      <w:r>
        <w:rPr>
          <w:rFonts w:hint="eastAsia" w:ascii="宋体" w:hAnsi="宋体"/>
          <w:sz w:val="24"/>
          <w:highlight w:val="none"/>
          <w:lang w:val="zh-CN"/>
        </w:rPr>
        <w:t xml:space="preserve">项目</w:t>
      </w:r>
      <w:r>
        <w:rPr>
          <w:rFonts w:ascii="宋体" w:hAnsi="宋体"/>
          <w:sz w:val="24"/>
          <w:highlight w:val="none"/>
          <w:lang w:val="zh-CN"/>
        </w:rPr>
        <w:t xml:space="preserve">的采购结果签订本合同。</w:t>
      </w:r>
      <w:r>
        <w:rPr>
          <w:rFonts w:ascii="宋体" w:hAnsi="宋体"/>
          <w:sz w:val="24"/>
          <w:highlight w:val="none"/>
        </w:rPr>
      </w:r>
      <w:r/>
    </w:p>
    <w:p>
      <w:pPr>
        <w:pStyle w:val="963"/>
        <w:ind w:firstLine="480"/>
        <w:jc w:val="left"/>
        <w:spacing w:line="360" w:lineRule="auto"/>
        <w:widowControl/>
        <w:rPr>
          <w:rFonts w:ascii="宋体" w:hAnsi="宋体"/>
          <w:b/>
          <w:sz w:val="24"/>
          <w:highlight w:val="none"/>
        </w:rPr>
      </w:pPr>
      <w:r/>
      <w:bookmarkStart w:id="646" w:name="_Hlk83324726"/>
      <w:r>
        <w:rPr>
          <w:rFonts w:hint="eastAsia" w:ascii="宋体" w:hAnsi="宋体"/>
          <w:b/>
          <w:sz w:val="24"/>
          <w:highlight w:val="none"/>
        </w:rPr>
        <w:t xml:space="preserve">第一条　项目概况</w:t>
      </w:r>
      <w:r>
        <w:rPr>
          <w:rFonts w:ascii="宋体" w:hAnsi="宋体"/>
          <w:b/>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1、项目名称：</w:t>
      </w:r>
      <w:r>
        <w:rPr>
          <w:rFonts w:hint="eastAsia" w:ascii="宋体" w:hAnsi="宋体"/>
          <w:sz w:val="24"/>
          <w:highlight w:val="none"/>
          <w:lang w:eastAsia="zh-CN"/>
        </w:rPr>
        <w:t xml:space="preserve">2026年市级粮食作物重大病虫害防控物资采购</w:t>
      </w:r>
      <w:r>
        <w:rPr>
          <w:rFonts w:hint="eastAsia" w:ascii="宋体" w:hAnsi="宋体"/>
          <w:sz w:val="24"/>
          <w:highlight w:val="none"/>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、交付地点：甲方指定地点。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、项目概况：</w:t>
      </w:r>
      <w:r>
        <w:rPr>
          <w:rFonts w:hint="eastAsia" w:eastAsia="宋体"/>
          <w:sz w:val="24"/>
          <w:highlight w:val="none"/>
          <w:u w:val="none"/>
          <w:lang w:eastAsia="zh-CN"/>
        </w:rPr>
        <w:t xml:space="preserve">采购农资免费发放给2026年规模机插水稻种植户，防病治虫，保障粮食安全</w:t>
      </w:r>
      <w:r>
        <w:rPr>
          <w:rFonts w:hint="eastAsia" w:ascii="宋体" w:hAnsi="宋体"/>
          <w:sz w:val="24"/>
          <w:highlight w:val="none"/>
          <w:lang w:eastAsia="zh-CN"/>
        </w:rPr>
        <w:t xml:space="preserve">。</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、服务期限：甲方通知供货后，乙方在</w:t>
      </w:r>
      <w:r>
        <w:rPr>
          <w:rFonts w:hint="eastAsia" w:ascii="宋体" w:hAnsi="宋体"/>
          <w:sz w:val="24"/>
          <w:highlight w:val="none"/>
          <w:lang w:val="en-US" w:eastAsia="zh-CN"/>
        </w:rPr>
        <w:t xml:space="preserve">5日</w:t>
      </w:r>
      <w:r>
        <w:rPr>
          <w:rFonts w:hint="eastAsia" w:ascii="宋体" w:hAnsi="宋体"/>
          <w:sz w:val="24"/>
          <w:highlight w:val="none"/>
        </w:rPr>
        <w:t xml:space="preserve">内完成供货。</w:t>
      </w:r>
      <w:r>
        <w:rPr>
          <w:rFonts w:hint="eastAsia" w:ascii="宋体" w:hAnsi="宋体"/>
          <w:sz w:val="24"/>
          <w:highlight w:val="none"/>
        </w:rPr>
      </w:r>
      <w:r/>
    </w:p>
    <w:p>
      <w:pPr>
        <w:pStyle w:val="963"/>
        <w:ind w:firstLine="482"/>
        <w:jc w:val="left"/>
        <w:spacing w:line="360" w:lineRule="auto"/>
        <w:rPr>
          <w:rFonts w:ascii="宋体" w:hAnsi="宋体"/>
          <w:b/>
          <w:sz w:val="24"/>
          <w:highlight w:val="none"/>
          <w:lang w:val="zh-CN"/>
        </w:rPr>
      </w:pPr>
      <w:r>
        <w:rPr>
          <w:rFonts w:ascii="宋体" w:hAnsi="宋体"/>
          <w:b/>
          <w:sz w:val="24"/>
          <w:highlight w:val="none"/>
          <w:lang w:val="zh-CN"/>
        </w:rPr>
        <w:t xml:space="preserve">第二条　合同价款</w:t>
      </w:r>
      <w:r>
        <w:rPr>
          <w:rFonts w:ascii="宋体" w:hAnsi="宋体"/>
          <w:b/>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rPr>
        <w:t xml:space="preserve">1、</w:t>
      </w:r>
      <w:r>
        <w:rPr>
          <w:rFonts w:hint="eastAsia" w:ascii="宋体" w:hAnsi="宋体"/>
          <w:sz w:val="24"/>
          <w:highlight w:val="none"/>
          <w:lang w:val="zh-CN"/>
        </w:rPr>
        <w:t xml:space="preserve">合同价款人民币：大写             元整（小写：￥           ）。</w:t>
      </w:r>
      <w:r>
        <w:rPr>
          <w:rFonts w:hint="eastAsia" w:ascii="宋体" w:hAnsi="宋体"/>
          <w:sz w:val="24"/>
          <w:highlight w:val="none"/>
          <w:lang w:val="zh-CN"/>
        </w:rPr>
      </w:r>
      <w:r/>
    </w:p>
    <w:tbl>
      <w:tblPr>
        <w:tblW w:w="9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437"/>
        <w:gridCol w:w="1100"/>
        <w:gridCol w:w="1825"/>
        <w:gridCol w:w="962"/>
        <w:gridCol w:w="1250"/>
        <w:gridCol w:w="1250"/>
      </w:tblGrid>
      <w:tr>
        <w:trPr>
          <w:trHeight w:val="683"/>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序号</w:t>
            </w: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货物名称</w:t>
            </w:r>
            <w:r>
              <w:rPr>
                <w:rFonts w:ascii="Times New Roman" w:hAnsi="Times New Roman" w:eastAsia="宋体" w:cs="Times New Roman"/>
                <w:bCs/>
                <w:sz w:val="24"/>
                <w:highlight w:val="none"/>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规格</w:t>
            </w:r>
            <w:r>
              <w:rPr>
                <w:rFonts w:hint="eastAsia" w:ascii="Times New Roman" w:hAnsi="Times New Roman" w:eastAsia="宋体" w:cs="Times New Roman"/>
                <w:bCs/>
                <w:sz w:val="24"/>
                <w:highlight w:val="none"/>
                <w:lang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ascii="Times New Roman" w:hAnsi="Times New Roman" w:eastAsia="宋体" w:cs="Times New Roman"/>
                <w:bCs/>
                <w:sz w:val="24"/>
                <w:highlight w:val="none"/>
                <w:lang w:val="en-US" w:eastAsia="zh-CN"/>
              </w:rPr>
            </w:pPr>
            <w:r>
              <w:rPr>
                <w:rFonts w:ascii="Times New Roman" w:hAnsi="Times New Roman" w:eastAsia="宋体" w:cs="Times New Roman"/>
                <w:bCs/>
                <w:sz w:val="24"/>
                <w:highlight w:val="none"/>
                <w:lang w:val="en-US" w:eastAsia="zh-CN"/>
              </w:rPr>
              <w:t xml:space="preserve">技术指标</w:t>
            </w:r>
            <w:r>
              <w:rPr>
                <w:rFonts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数量</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rPr>
              <w:t xml:space="preserve">单价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总价</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lang w:val="en-US" w:eastAsia="zh-CN"/>
              </w:rPr>
              <w:t xml:space="preserve">元</w:t>
            </w:r>
            <w:r>
              <w:rPr>
                <w:rFonts w:hint="eastAsia" w:ascii="Times New Roman" w:hAnsi="Times New Roman" w:eastAsia="宋体" w:cs="Times New Roman"/>
                <w:bCs/>
                <w:sz w:val="24"/>
                <w:highlight w:val="none"/>
                <w:lang w:eastAsia="zh-CN"/>
              </w:rPr>
              <w:t xml:space="preserve">）</w:t>
            </w:r>
            <w:r>
              <w:rPr>
                <w:rFonts w:hint="eastAsia" w:ascii="Times New Roman" w:hAnsi="Times New Roman" w:eastAsia="宋体" w:cs="Times New Roman"/>
                <w:bCs/>
                <w:sz w:val="24"/>
                <w:highlight w:val="none"/>
              </w:rPr>
            </w:r>
            <w:r/>
          </w:p>
        </w:tc>
      </w:tr>
      <w:tr>
        <w:trPr>
          <w:trHeight w:val="651"/>
        </w:trPr>
        <w:tc>
          <w:tcPr>
            <w:tcW w:w="743"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2437"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10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825"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962"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c>
          <w:tcPr>
            <w:tcW w:w="1250" w:type="dxa"/>
            <w:vAlign w:val="center"/>
            <w:textDirection w:val="lrTb"/>
            <w:noWrap w:val="false"/>
          </w:tcPr>
          <w:p>
            <w:pPr>
              <w:pStyle w:val="963"/>
              <w:contextualSpacing/>
              <w:jc w:val="center"/>
              <w:keepLines w:val="0"/>
              <w:keepNext w:val="0"/>
              <w:pageBreakBefore w:val="0"/>
              <w:spacing w:line="240" w:lineRule="auto"/>
              <w:widowControl w:val="off"/>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r>
            <w:r/>
          </w:p>
        </w:tc>
      </w:tr>
    </w:tbl>
    <w:p>
      <w:pPr>
        <w:pStyle w:val="963"/>
        <w:ind w:firstLine="422"/>
        <w:jc w:val="left"/>
        <w:spacing w:line="360" w:lineRule="auto"/>
        <w:rPr>
          <w:rFonts w:hint="eastAsia" w:ascii="宋体" w:hAnsi="宋体" w:cs="宋体"/>
          <w:b/>
          <w:bCs/>
          <w:szCs w:val="21"/>
          <w:highlight w:val="none"/>
          <w:lang w:val="zh-CN"/>
        </w:rPr>
      </w:pPr>
      <w:r>
        <w:rPr>
          <w:rFonts w:hint="eastAsia" w:ascii="宋体" w:hAnsi="宋体" w:eastAsia="宋体" w:cs="宋体"/>
          <w:b/>
          <w:bCs/>
          <w:szCs w:val="21"/>
          <w:highlight w:val="none"/>
          <w:lang w:val="zh-CN"/>
        </w:rPr>
        <w:t xml:space="preserve">（注：特色要求：产品外包装上标注“政府采购 严禁买卖”字样。）</w:t>
      </w:r>
      <w:r>
        <w:rPr>
          <w:rFonts w:hint="eastAsia" w:ascii="宋体" w:hAnsi="宋体" w:cs="宋体"/>
          <w:b/>
          <w:bCs/>
          <w:szCs w:val="21"/>
          <w:highlight w:val="none"/>
          <w:lang w:val="zh-CN"/>
        </w:rPr>
      </w:r>
      <w:r/>
    </w:p>
    <w:p>
      <w:pPr>
        <w:pStyle w:val="963"/>
        <w:ind w:firstLine="480"/>
        <w:jc w:val="left"/>
        <w:spacing w:line="360" w:lineRule="auto"/>
        <w:rPr>
          <w:rFonts w:hint="eastAsia" w:ascii="宋体" w:hAnsi="宋体"/>
          <w:sz w:val="24"/>
          <w:highlight w:val="none"/>
          <w:lang w:val="zh-CN"/>
        </w:rPr>
      </w:pPr>
      <w:r>
        <w:rPr>
          <w:rFonts w:hint="eastAsia" w:ascii="宋体" w:hAnsi="宋体"/>
          <w:sz w:val="24"/>
          <w:highlight w:val="none"/>
          <w:lang w:val="zh-CN"/>
        </w:rPr>
        <w:t xml:space="preserve">本合同价款</w:t>
      </w:r>
      <w:r>
        <w:rPr>
          <w:rFonts w:hint="eastAsia"/>
          <w:sz w:val="24"/>
          <w:highlight w:val="none"/>
        </w:rPr>
        <w:t xml:space="preserve">包括但不限于货物设计、制造、包装、仓储、运输装卸、保险及伴随服务发生的所有含税费用、支付给员工的工资和国家强制缴纳的各种社会保障资金，以及</w:t>
      </w:r>
      <w:r>
        <w:rPr>
          <w:rFonts w:hint="eastAsia"/>
          <w:sz w:val="24"/>
          <w:highlight w:val="none"/>
          <w:lang w:val="en-US" w:eastAsia="zh-CN"/>
        </w:rPr>
        <w:t xml:space="preserve">甲方</w:t>
      </w:r>
      <w:r>
        <w:rPr>
          <w:rFonts w:hint="eastAsia"/>
          <w:sz w:val="24"/>
          <w:highlight w:val="none"/>
        </w:rPr>
        <w:t xml:space="preserve">认为需要的其他费用等；除非因特殊原因并经买卖双方协商同意，乙方不得再要求追加任何费用。同时，除非合同条款中另有规定，否则，合同价格在合同实施期间不因市场变化因素而变动</w:t>
      </w:r>
      <w:r>
        <w:rPr>
          <w:rFonts w:hint="eastAsia" w:ascii="宋体" w:hAnsi="宋体"/>
          <w:sz w:val="24"/>
          <w:highlight w:val="none"/>
          <w:lang w:val="zh-CN"/>
        </w:rPr>
        <w:t xml:space="preserve">。</w:t>
      </w:r>
      <w:r>
        <w:rPr>
          <w:rFonts w:hint="eastAsia" w:ascii="宋体" w:hAnsi="宋体"/>
          <w:sz w:val="24"/>
          <w:highlight w:val="none"/>
          <w:lang w:val="zh-CN"/>
        </w:rPr>
      </w:r>
      <w:r/>
    </w:p>
    <w:p>
      <w:pPr>
        <w:pStyle w:val="963"/>
        <w:ind w:firstLine="480"/>
        <w:jc w:val="left"/>
        <w:spacing w:line="360" w:lineRule="auto"/>
        <w:rPr>
          <w:rFonts w:ascii="宋体" w:hAnsi="宋体"/>
          <w:sz w:val="24"/>
          <w:highlight w:val="none"/>
          <w:lang w:val="zh-CN"/>
        </w:rPr>
      </w:pPr>
      <w:r>
        <w:rPr>
          <w:rFonts w:ascii="宋体" w:hAnsi="宋体"/>
          <w:sz w:val="24"/>
          <w:highlight w:val="none"/>
          <w:lang w:val="zh-CN"/>
        </w:rPr>
        <w:t xml:space="preserve">本合同总价款还包含乙方应当提供的</w:t>
      </w:r>
      <w:r>
        <w:rPr>
          <w:rFonts w:hint="eastAsia" w:ascii="宋体" w:hAnsi="宋体"/>
          <w:sz w:val="24"/>
          <w:highlight w:val="none"/>
          <w:lang w:val="zh-CN"/>
        </w:rPr>
        <w:t xml:space="preserve">伴随服务</w:t>
      </w:r>
      <w:r>
        <w:rPr>
          <w:rFonts w:hint="eastAsia" w:ascii="宋体" w:hAnsi="宋体"/>
          <w:sz w:val="24"/>
          <w:highlight w:val="none"/>
          <w:lang w:val="en-US" w:eastAsia="zh-CN"/>
        </w:rPr>
        <w:t xml:space="preserve">/</w:t>
      </w:r>
      <w:r>
        <w:rPr>
          <w:rFonts w:ascii="宋体" w:hAnsi="宋体"/>
          <w:sz w:val="24"/>
          <w:highlight w:val="none"/>
          <w:lang w:val="zh-CN"/>
        </w:rPr>
        <w:t xml:space="preserve">售后服务费用。</w:t>
      </w:r>
      <w:r>
        <w:rPr>
          <w:rFonts w:ascii="宋体" w:hAnsi="宋体"/>
          <w:sz w:val="24"/>
          <w:highlight w:val="none"/>
          <w:lang w:val="zh-CN"/>
        </w:rPr>
      </w:r>
      <w:r/>
    </w:p>
    <w:p>
      <w:pPr>
        <w:pStyle w:val="994"/>
        <w:ind w:firstLine="480"/>
        <w:jc w:val="left"/>
        <w:spacing w:before="0"/>
        <w:tabs>
          <w:tab w:val="left" w:pos="567" w:leader="none"/>
        </w:tabs>
        <w:rPr>
          <w:rFonts w:hint="eastAsia"/>
          <w:highlight w:val="none"/>
          <w:lang w:val="zh-CN"/>
        </w:rPr>
      </w:pPr>
      <w:r>
        <w:rPr>
          <w:rFonts w:hint="eastAsia"/>
          <w:highlight w:val="none"/>
        </w:rPr>
        <w:t xml:space="preserve">2、</w:t>
      </w:r>
      <w:r>
        <w:rPr>
          <w:rFonts w:hint="eastAsia"/>
          <w:highlight w:val="none"/>
          <w:lang w:val="zh-CN"/>
        </w:rPr>
        <w:t xml:space="preserve">本合同为</w:t>
      </w:r>
      <w:r>
        <w:rPr>
          <w:rFonts w:hint="eastAsia"/>
          <w:highlight w:val="none"/>
          <w:u w:val="single"/>
          <w:lang w:val="zh-CN"/>
        </w:rPr>
        <w:t xml:space="preserve"> </w:t>
      </w:r>
      <w:r>
        <w:rPr>
          <w:rFonts w:hint="eastAsia"/>
          <w:b/>
          <w:bCs/>
          <w:highlight w:val="none"/>
          <w:u w:val="single"/>
          <w:lang w:val="zh-CN"/>
        </w:rPr>
        <w:t xml:space="preserve">固定单价</w:t>
      </w:r>
      <w:r>
        <w:rPr>
          <w:rFonts w:hint="eastAsia"/>
          <w:highlight w:val="none"/>
          <w:u w:val="single"/>
        </w:rPr>
        <w:t xml:space="preserve"> </w:t>
      </w:r>
      <w:r>
        <w:rPr>
          <w:rFonts w:hint="eastAsia"/>
          <w:highlight w:val="none"/>
          <w:lang w:val="zh-CN"/>
        </w:rPr>
        <w:t xml:space="preserve">合同。</w:t>
      </w:r>
      <w:r>
        <w:rPr>
          <w:rFonts w:hint="eastAsia"/>
          <w:highlight w:val="none"/>
          <w:lang w:val="zh-CN"/>
        </w:rPr>
      </w:r>
      <w:r/>
    </w:p>
    <w:p>
      <w:pPr>
        <w:pStyle w:val="994"/>
        <w:ind w:firstLine="480"/>
        <w:jc w:val="left"/>
        <w:spacing w:line="360" w:lineRule="auto"/>
        <w:tabs>
          <w:tab w:val="left" w:pos="567" w:leader="none"/>
        </w:tabs>
        <w:rPr>
          <w:rFonts w:hint="eastAsia"/>
          <w:highlight w:val="none"/>
          <w:lang w:val="zh-CN"/>
        </w:rPr>
      </w:pPr>
      <w:r>
        <w:rPr>
          <w:rFonts w:hint="eastAsia"/>
          <w:highlight w:val="none"/>
        </w:rPr>
        <w:t xml:space="preserve">3、</w:t>
      </w:r>
      <w:r>
        <w:rPr>
          <w:rFonts w:hint="eastAsia"/>
          <w:b/>
          <w:bCs/>
          <w:highlight w:val="none"/>
        </w:rPr>
        <w:t xml:space="preserve">实</w:t>
      </w:r>
      <w:r>
        <w:rPr>
          <w:rFonts w:hint="eastAsia" w:ascii="宋体" w:hAnsi="宋体" w:eastAsia="宋体" w:cs="Times New Roman"/>
          <w:b/>
          <w:bCs/>
          <w:highlight w:val="none"/>
        </w:rPr>
        <w:t xml:space="preserve">际供货数量由标段预算金额除以该标段单价得出，</w:t>
      </w:r>
      <w:r>
        <w:rPr>
          <w:rFonts w:hint="eastAsia"/>
          <w:b/>
          <w:bCs/>
          <w:highlight w:val="none"/>
        </w:rPr>
        <w:t xml:space="preserve">货物数量非整数的，则小数部分向上取整，该部分货物为乙方自愿赠与甲方，价格不作额外调整</w:t>
      </w:r>
      <w:r>
        <w:rPr>
          <w:rFonts w:hint="eastAsia"/>
          <w:b/>
          <w:bCs/>
          <w:highlight w:val="none"/>
          <w:lang w:val="zh-CN"/>
        </w:rPr>
        <w:t xml:space="preserve">。</w:t>
      </w:r>
      <w:r>
        <w:rPr>
          <w:rFonts w:hint="eastAsia"/>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付款</w:t>
      </w:r>
      <w:r>
        <w:rPr>
          <w:rFonts w:ascii="宋体" w:hAnsi="宋体"/>
          <w:b/>
          <w:bCs/>
          <w:sz w:val="24"/>
          <w:highlight w:val="none"/>
          <w:lang w:val="zh-CN"/>
        </w:rPr>
      </w:r>
      <w:r/>
    </w:p>
    <w:p>
      <w:pPr>
        <w:pStyle w:val="963"/>
        <w:contextualSpacing/>
        <w:ind w:firstLine="480"/>
        <w:spacing w:line="360" w:lineRule="auto"/>
        <w:rPr>
          <w:rFonts w:hint="eastAsia" w:ascii="宋体" w:hAnsi="宋体"/>
          <w:b/>
          <w:bCs/>
          <w:sz w:val="24"/>
          <w:highlight w:val="none"/>
          <w:lang w:val="zh-CN"/>
        </w:rPr>
      </w:pPr>
      <w:r>
        <w:rPr>
          <w:rFonts w:hint="eastAsia"/>
          <w:bCs/>
          <w:sz w:val="24"/>
          <w:highlight w:val="none"/>
          <w:lang w:val="en-US" w:eastAsia="zh-CN"/>
        </w:rPr>
        <w:t xml:space="preserve">甲方</w:t>
      </w:r>
      <w:r>
        <w:rPr>
          <w:rFonts w:hint="eastAsia"/>
          <w:bCs/>
          <w:sz w:val="24"/>
          <w:highlight w:val="none"/>
        </w:rPr>
        <w:t xml:space="preserve">收到货物验收合</w:t>
      </w:r>
      <w:r>
        <w:rPr>
          <w:rFonts w:hint="eastAsia" w:ascii="Times New Roman" w:hAnsi="Times New Roman" w:eastAsia="宋体" w:cs="Times New Roman"/>
          <w:bCs/>
          <w:sz w:val="24"/>
          <w:highlight w:val="none"/>
        </w:rPr>
        <w:t xml:space="preserve">格，</w:t>
      </w:r>
      <w:r>
        <w:rPr>
          <w:rFonts w:hint="eastAsia" w:ascii="Times New Roman" w:hAnsi="Times New Roman" w:eastAsia="宋体" w:cs="Times New Roman"/>
          <w:bCs/>
          <w:sz w:val="24"/>
          <w:highlight w:val="none"/>
          <w:lang w:eastAsia="zh-CN"/>
        </w:rPr>
        <w:t xml:space="preserve">整体</w:t>
      </w:r>
      <w:r>
        <w:rPr>
          <w:rFonts w:hint="eastAsia" w:ascii="Times New Roman" w:hAnsi="Times New Roman" w:eastAsia="宋体" w:cs="Times New Roman"/>
          <w:bCs/>
          <w:sz w:val="24"/>
          <w:highlight w:val="none"/>
        </w:rPr>
        <w:t xml:space="preserve">项目</w:t>
      </w:r>
      <w:r>
        <w:rPr>
          <w:rFonts w:hint="eastAsia" w:ascii="Times New Roman" w:hAnsi="Times New Roman" w:eastAsia="宋体" w:cs="Times New Roman"/>
          <w:bCs/>
          <w:sz w:val="24"/>
          <w:highlight w:val="none"/>
          <w:lang w:eastAsia="zh-CN"/>
        </w:rPr>
        <w:t xml:space="preserve">审计</w:t>
      </w:r>
      <w:r>
        <w:rPr>
          <w:rFonts w:hint="eastAsia" w:ascii="Times New Roman" w:hAnsi="Times New Roman" w:eastAsia="宋体" w:cs="Times New Roman"/>
          <w:bCs/>
          <w:sz w:val="24"/>
          <w:highlight w:val="none"/>
        </w:rPr>
        <w:t xml:space="preserve">验收结束后</w:t>
      </w:r>
      <w:r>
        <w:rPr>
          <w:rFonts w:hint="eastAsia"/>
          <w:bCs/>
          <w:sz w:val="24"/>
          <w:highlight w:val="none"/>
          <w:lang w:eastAsia="zh-CN"/>
        </w:rPr>
        <w:t xml:space="preserve">一次性</w:t>
      </w:r>
      <w:r>
        <w:rPr>
          <w:rFonts w:hint="eastAsia"/>
          <w:bCs/>
          <w:sz w:val="24"/>
          <w:highlight w:val="none"/>
        </w:rPr>
        <w:t xml:space="preserve">支付至合同总价的100%。</w:t>
      </w:r>
      <w:r>
        <w:rPr>
          <w:rFonts w:hint="eastAsia" w:ascii="宋体" w:hAnsi="宋体"/>
          <w:b/>
          <w:bCs/>
          <w:sz w:val="24"/>
          <w:highlight w:val="none"/>
          <w:lang w:val="zh-CN"/>
        </w:rPr>
      </w:r>
      <w:r/>
    </w:p>
    <w:p>
      <w:pPr>
        <w:pStyle w:val="963"/>
        <w:ind w:firstLine="482"/>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组成本合同的有关文件</w:t>
      </w:r>
      <w:r>
        <w:rPr>
          <w:rFonts w:ascii="宋体" w:hAnsi="宋体"/>
          <w:b/>
          <w:bCs/>
          <w:sz w:val="24"/>
          <w:highlight w:val="none"/>
          <w:lang w:val="zh-CN"/>
        </w:rPr>
      </w:r>
      <w:r/>
    </w:p>
    <w:p>
      <w:pPr>
        <w:pStyle w:val="963"/>
        <w:ind w:firstLine="480"/>
        <w:jc w:val="left"/>
        <w:spacing w:line="360" w:lineRule="auto"/>
        <w:widowControl/>
        <w:rPr>
          <w:rFonts w:ascii="宋体" w:hAnsi="宋体" w:eastAsia="宋体"/>
          <w:sz w:val="24"/>
          <w:highlight w:val="none"/>
          <w:lang w:val="en-US" w:eastAsia="zh-CN"/>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）乙方中标的</w:t>
      </w:r>
      <w:r>
        <w:rPr>
          <w:rFonts w:hint="eastAsia" w:ascii="宋体" w:hAnsi="宋体"/>
          <w:sz w:val="24"/>
          <w:highlight w:val="none"/>
          <w:lang w:val="en-US" w:eastAsia="zh-CN"/>
        </w:rPr>
        <w:t xml:space="preserve">响应文件</w:t>
      </w:r>
      <w:r>
        <w:rPr>
          <w:rFonts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采购</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w:t>
      </w:r>
      <w:r>
        <w:rPr>
          <w:rFonts w:hint="eastAsia" w:ascii="宋体" w:hAnsi="宋体"/>
          <w:sz w:val="24"/>
          <w:highlight w:val="none"/>
        </w:rPr>
        <w:t xml:space="preserve">3</w:t>
      </w:r>
      <w:r>
        <w:rPr>
          <w:rFonts w:hint="eastAsia" w:ascii="宋体" w:hAnsi="宋体"/>
          <w:sz w:val="24"/>
          <w:highlight w:val="none"/>
          <w:lang w:val="zh-CN"/>
        </w:rPr>
        <w:t xml:space="preserve">）乙方在招投标过程中所作的其它承诺、声明、书面澄清等。</w:t>
      </w:r>
      <w:r>
        <w:rPr>
          <w:rFonts w:hint="eastAsia"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五</w:t>
      </w:r>
      <w:r>
        <w:rPr>
          <w:rFonts w:hint="eastAsia" w:ascii="宋体" w:hAnsi="宋体"/>
          <w:b/>
          <w:bCs/>
          <w:sz w:val="24"/>
          <w:highlight w:val="none"/>
          <w:lang w:val="zh-CN"/>
        </w:rPr>
        <w:t xml:space="preserve">条　质量保证</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1、乙方须确保农药的有效成份、含量、重量、产品性能、毒性均符合产品性能及采购要求。甲方使用或者抽检过程中发现产品有效性不满足产品性能及采购要求的，甲方有权取消与其继续履行合同，由此造成的损失由乙方负责。</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2、乙方所提供的货物的技术规格参数指标应等于或高于招标文件规定的技术规格参数指标；若技术性能无特殊说明，则按国家有关部门最新颁布的标准及规范为准；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rPr>
        <w:t xml:space="preserve">3、乙方应保证货物是全新、未使用过的原装合格正品，并完全符合合同规定的质量、规格和性能的要求。</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、货物验收后，乙方应对由于设计、工艺或材料的缺陷所发生的任何不足负责，所需费用由乙方承担。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、如因产品质量受到有关部门处罚或造成各项损失，由乙方承担全部经济和法律责任，同时甲方将不予支付产品货款。</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、在使用过程中，一但发现乙方所提供的货物不符合以上约定，乙方无条件接受甲方退货，并按第十条承担违约责任。</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lang w:val="zh-CN"/>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六</w:t>
      </w:r>
      <w:r>
        <w:rPr>
          <w:rFonts w:hint="eastAsia" w:ascii="宋体" w:hAnsi="宋体"/>
          <w:b/>
          <w:bCs/>
          <w:sz w:val="24"/>
          <w:highlight w:val="none"/>
        </w:rPr>
        <w:t xml:space="preserve">条  </w:t>
      </w:r>
      <w:r>
        <w:rPr>
          <w:rFonts w:hint="eastAsia" w:ascii="宋体" w:hAnsi="宋体"/>
          <w:b/>
          <w:bCs/>
          <w:sz w:val="24"/>
          <w:highlight w:val="none"/>
          <w:lang w:val="zh-CN"/>
        </w:rPr>
        <w:t xml:space="preserve">包装</w:t>
      </w:r>
      <w:r>
        <w:rPr>
          <w:rFonts w:hint="eastAsia" w:ascii="宋体" w:hAnsi="宋体"/>
          <w:b/>
          <w:bCs/>
          <w:sz w:val="24"/>
          <w:highlight w:val="none"/>
        </w:rPr>
        <w:t xml:space="preserve">和运输</w:t>
      </w:r>
      <w:r>
        <w:rPr>
          <w:rFonts w:hint="eastAsia" w:ascii="宋体" w:hAnsi="宋体"/>
          <w:b/>
          <w:bCs/>
          <w:sz w:val="24"/>
          <w:highlight w:val="none"/>
          <w:lang w:val="zh-CN"/>
        </w:rPr>
        <w:t xml:space="preserve">要求</w:t>
      </w:r>
      <w:r>
        <w:rPr>
          <w:rFonts w:hint="eastAsia" w:ascii="宋体" w:hAnsi="宋体"/>
          <w:b/>
          <w:bCs/>
          <w:sz w:val="24"/>
          <w:highlight w:val="none"/>
          <w:lang w:val="zh-CN"/>
        </w:rPr>
      </w:r>
      <w:r/>
    </w:p>
    <w:p>
      <w:pPr>
        <w:pStyle w:val="963"/>
        <w:ind w:firstLine="480"/>
        <w:jc w:val="left"/>
        <w:spacing w:line="360" w:lineRule="auto"/>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1、</w:t>
      </w:r>
      <w:r>
        <w:rPr>
          <w:rFonts w:hint="eastAsia" w:ascii="宋体" w:hAnsi="宋体"/>
          <w:b/>
          <w:bCs/>
          <w:sz w:val="24"/>
          <w:highlight w:val="none"/>
          <w:lang w:val="en-US" w:eastAsia="zh-CN"/>
        </w:rPr>
        <w:t xml:space="preserve">乙方需将货物配送到甲方指定地点，同时留存影像资料并做好签收台账；</w:t>
      </w:r>
      <w:r>
        <w:rPr>
          <w:rFonts w:hint="eastAsia" w:ascii="宋体" w:hAnsi="宋体"/>
          <w:b/>
          <w:bCs/>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乙方负责产品到甲方指定地点的全部运输，包括装卸及现场搬运等；</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3、</w:t>
      </w:r>
      <w:r>
        <w:rPr>
          <w:rFonts w:hint="eastAsia"/>
          <w:bCs/>
          <w:iCs/>
          <w:sz w:val="24"/>
          <w:highlight w:val="none"/>
        </w:rPr>
        <w:t xml:space="preserve">乙方应提供药品使用后的包装等有毒有害废弃物回收服务；</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除合同另有规定外，乙方提供的全部货物均应按国家或行业标准保护措施进行包装；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该包装应适应于远距离运输、防潮、防震、防锈和防野蛮装卸，以确保货物安全无损运抵指定地点；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包装单元内应附详细的装箱单和质量合格凭证；</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由于包装不善所引起的货物损失均由乙方承担；</w:t>
      </w:r>
      <w:r>
        <w:rPr>
          <w:rFonts w:hint="eastAsia"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en-US" w:eastAsia="zh-CN"/>
        </w:rPr>
        <w:t xml:space="preserve">8、</w:t>
      </w:r>
      <w:r>
        <w:rPr>
          <w:rFonts w:hint="eastAsia"/>
          <w:sz w:val="24"/>
          <w:highlight w:val="none"/>
        </w:rPr>
        <w:t xml:space="preserve">乙方负责其派出的配送人员的人身意外保险，费用自理。</w:t>
      </w:r>
      <w:r>
        <w:rPr>
          <w:rFonts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七</w:t>
      </w:r>
      <w:r>
        <w:rPr>
          <w:rFonts w:hint="eastAsia" w:ascii="宋体" w:hAnsi="宋体"/>
          <w:b/>
          <w:bCs/>
          <w:sz w:val="24"/>
          <w:highlight w:val="none"/>
        </w:rPr>
        <w:t xml:space="preserve">条  交货及验收</w:t>
      </w:r>
      <w:r>
        <w:rPr>
          <w:rFonts w:hint="eastAsia" w:ascii="宋体" w:hAnsi="宋体"/>
          <w:b/>
          <w:bCs/>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甲方应提前15天告知乙方货物数量及交货地点。</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乙方应当合同生效后根据甲方要求将货物自检合格后交付甲方正常使用，地点为甲方指定地点。</w:t>
      </w:r>
      <w:r>
        <w:rPr>
          <w:rFonts w:hint="eastAsia" w:ascii="宋体" w:hAnsi="宋体"/>
          <w:sz w:val="24"/>
          <w:highlight w:val="none"/>
        </w:rPr>
      </w:r>
      <w:r/>
    </w:p>
    <w:p>
      <w:pPr>
        <w:pStyle w:val="963"/>
        <w:ind w:firstLine="480"/>
        <w:jc w:val="left"/>
        <w:spacing w:line="360" w:lineRule="auto"/>
        <w:widowControl/>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rPr>
          <w:rFonts w:hint="eastAsia" w:ascii="宋体" w:hAnsi="宋体"/>
          <w:sz w:val="24"/>
          <w:highlight w:val="none"/>
          <w:lang w:val="en-US" w:eastAsia="zh-CN"/>
        </w:rPr>
        <w:t xml:space="preserve">乙方须按甲方要求出具检测报告，检测费用由乙方负责。</w:t>
      </w:r>
      <w:r>
        <w:rPr>
          <w:rFonts w:hint="eastAsia" w:ascii="宋体" w:hAnsi="宋体" w:eastAsia="宋体"/>
          <w:sz w:val="24"/>
          <w:highlight w:val="none"/>
          <w:lang w:val="en-US" w:eastAsia="zh-CN"/>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乙方交付的货物应当完全符合合同所规定的货物、数量和规格要求。乙方提供的货物不符合合同规定的，甲方有权拒收货物，由此引起的风险，由乙方承担。</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货物的到货验收包括：规格、数量、外观质量、货物包装是否完好。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乙方应将所提供货物的装箱清单、用户手册等交付给甲方；乙方不能完整交付货物的，视为未按合同约定交货，乙方负责补齐，因此导致逾期交付的，由乙方承担相关的违约责任。</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货物验收的标准：按行业通行标准、厂方出厂标准和乙方响应文件的承诺，并不低于国家相关标准。</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货物到货后，甲方5个工作日内开箱检验货物的质量状况和数量。</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对货物的质量问题，甲方应在实际发现之日起3日内向乙方主张权利。</w:t>
      </w:r>
      <w:r>
        <w:rPr>
          <w:rFonts w:hint="eastAsia" w:ascii="宋体" w:hAnsi="宋体"/>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rPr>
        <w:t xml:space="preserve">第</w:t>
      </w:r>
      <w:r>
        <w:rPr>
          <w:rFonts w:hint="eastAsia" w:ascii="宋体" w:hAnsi="宋体"/>
          <w:b/>
          <w:bCs/>
          <w:sz w:val="24"/>
          <w:highlight w:val="none"/>
          <w:lang w:val="en-US" w:eastAsia="zh-CN"/>
        </w:rPr>
        <w:t xml:space="preserve">八</w:t>
      </w:r>
      <w:r>
        <w:rPr>
          <w:rFonts w:hint="eastAsia" w:ascii="宋体" w:hAnsi="宋体"/>
          <w:b/>
          <w:bCs/>
          <w:sz w:val="24"/>
          <w:highlight w:val="none"/>
        </w:rPr>
        <w:t xml:space="preserve">条  售后服务</w:t>
      </w:r>
      <w:r>
        <w:rPr>
          <w:rFonts w:hint="eastAsia" w:ascii="宋体" w:hAnsi="宋体"/>
          <w:b/>
          <w:b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1、</w:t>
      </w:r>
      <w:r>
        <w:rPr>
          <w:rFonts w:hint="eastAsia"/>
          <w:bCs/>
          <w:iCs/>
          <w:sz w:val="24"/>
          <w:highlight w:val="none"/>
        </w:rPr>
        <w:t xml:space="preserve">产品质量保证期内，凡货物在检验、货物运输过程中发现的货物质量问题，由乙方负责处理，实行包换、包退，直至产品符合质量要求，乙方承担调换、退货发生的一切费用和甲方的直接经济损失；</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2、</w:t>
      </w:r>
      <w:r>
        <w:rPr>
          <w:rFonts w:hint="eastAsia"/>
          <w:bCs/>
          <w:iCs/>
          <w:sz w:val="24"/>
          <w:highlight w:val="none"/>
        </w:rPr>
        <w:t xml:space="preserve">由于甲方使用不当造成货物短缺或损坏，由甲方负责，乙方提供有偿服务，乙方须保证及时给予补齐；</w:t>
      </w:r>
      <w:r>
        <w:rPr>
          <w:rFonts w:hint="eastAsia"/>
          <w:bCs/>
          <w:iCs/>
          <w:sz w:val="24"/>
          <w:highlight w:val="none"/>
        </w:rPr>
      </w:r>
      <w:r/>
    </w:p>
    <w:p>
      <w:pPr>
        <w:pStyle w:val="963"/>
        <w:contextualSpacing/>
        <w:ind w:firstLine="480"/>
        <w:spacing w:line="360" w:lineRule="auto"/>
        <w:rPr>
          <w:rFonts w:hint="eastAsia" w:eastAsia="宋体"/>
          <w:bCs/>
          <w:iCs/>
          <w:sz w:val="24"/>
          <w:highlight w:val="none"/>
          <w:lang w:val="en-US" w:eastAsia="zh-CN"/>
        </w:rPr>
      </w:pPr>
      <w:r>
        <w:rPr>
          <w:rFonts w:hint="eastAsia"/>
          <w:bCs/>
          <w:iCs/>
          <w:sz w:val="24"/>
          <w:highlight w:val="none"/>
          <w:lang w:val="en-US" w:eastAsia="zh-CN"/>
        </w:rPr>
        <w:t xml:space="preserve">3、</w:t>
      </w:r>
      <w:r>
        <w:rPr>
          <w:rFonts w:hint="eastAsia"/>
          <w:bCs/>
          <w:iCs/>
          <w:sz w:val="24"/>
          <w:highlight w:val="none"/>
        </w:rPr>
        <w:t xml:space="preserve">除合同另有规定之外，伴随服务的费用均已含在合同价款中，甲方不再另行进行支付；</w:t>
      </w:r>
      <w:r>
        <w:rPr>
          <w:rFonts w:hint="eastAsia" w:eastAsia="宋体"/>
          <w:bCs/>
          <w:iCs/>
          <w:sz w:val="24"/>
          <w:highlight w:val="none"/>
          <w:lang w:val="en-US" w:eastAsia="zh-CN"/>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4、</w:t>
      </w:r>
      <w:r>
        <w:rPr>
          <w:rFonts w:hint="eastAsia"/>
          <w:bCs/>
          <w:iCs/>
          <w:sz w:val="24"/>
          <w:highlight w:val="none"/>
        </w:rPr>
        <w:t xml:space="preserve">伴随服务缺陷视作产品质量缺陷和履约延期；</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5、</w:t>
      </w:r>
      <w:r>
        <w:rPr>
          <w:rFonts w:hint="eastAsia"/>
          <w:bCs/>
          <w:iCs/>
          <w:sz w:val="24"/>
          <w:highlight w:val="none"/>
        </w:rPr>
        <w:t xml:space="preserve">乙方需提供7×24小时的技术咨询服务；</w:t>
      </w:r>
      <w:r>
        <w:rPr>
          <w:rFonts w:hint="eastAsia"/>
          <w:bCs/>
          <w:iCs/>
          <w:sz w:val="24"/>
          <w:highlight w:val="none"/>
        </w:rPr>
      </w:r>
      <w:r/>
    </w:p>
    <w:p>
      <w:pPr>
        <w:pStyle w:val="963"/>
        <w:contextualSpacing/>
        <w:ind w:firstLine="480"/>
        <w:spacing w:line="360" w:lineRule="auto"/>
        <w:rPr>
          <w:rFonts w:hint="eastAsia"/>
          <w:bCs/>
          <w:iCs/>
          <w:sz w:val="24"/>
          <w:highlight w:val="none"/>
        </w:rPr>
      </w:pPr>
      <w:r>
        <w:rPr>
          <w:rFonts w:hint="eastAsia"/>
          <w:bCs/>
          <w:iCs/>
          <w:sz w:val="24"/>
          <w:highlight w:val="none"/>
          <w:lang w:val="en-US" w:eastAsia="zh-CN"/>
        </w:rPr>
        <w:t xml:space="preserve">6、</w:t>
      </w:r>
      <w:r>
        <w:rPr>
          <w:rFonts w:hint="eastAsia"/>
          <w:bCs/>
          <w:iCs/>
          <w:sz w:val="24"/>
          <w:highlight w:val="none"/>
        </w:rPr>
        <w:t xml:space="preserve">乙方需在敏感时期、重大节假日提供技术人员值守服务。</w:t>
      </w:r>
      <w:r>
        <w:rPr>
          <w:rFonts w:hint="eastAsia"/>
          <w:bCs/>
          <w:iCs/>
          <w:sz w:val="24"/>
          <w:highlight w:val="none"/>
        </w:rPr>
      </w:r>
      <w:r/>
    </w:p>
    <w:p>
      <w:pPr>
        <w:pStyle w:val="963"/>
        <w:ind w:firstLine="480"/>
        <w:jc w:val="left"/>
        <w:spacing w:line="360" w:lineRule="auto"/>
        <w:widowControl/>
        <w:rPr>
          <w:rFonts w:hint="eastAsia"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lang w:val="en-US" w:eastAsia="zh-CN"/>
        </w:rPr>
        <w:t xml:space="preserve">九</w:t>
      </w:r>
      <w:r>
        <w:rPr>
          <w:rFonts w:hint="eastAsia" w:ascii="宋体" w:hAnsi="宋体"/>
          <w:b/>
          <w:bCs/>
          <w:sz w:val="24"/>
          <w:highlight w:val="none"/>
          <w:lang w:val="zh-CN"/>
        </w:rPr>
        <w:t xml:space="preserve">条　验收</w:t>
      </w:r>
      <w:r>
        <w:rPr>
          <w:rFonts w:hint="eastAsia" w:ascii="宋体" w:hAnsi="宋体"/>
          <w:b/>
          <w:bCs/>
          <w:sz w:val="24"/>
          <w:highlight w:val="none"/>
        </w:rPr>
        <w:t xml:space="preserve">标准</w:t>
      </w:r>
      <w:r>
        <w:rPr>
          <w:rFonts w:hint="eastAsia" w:ascii="宋体" w:hAnsi="宋体"/>
          <w:b/>
          <w:bCs/>
          <w:sz w:val="24"/>
          <w:highlight w:val="none"/>
        </w:rPr>
      </w:r>
      <w:r/>
    </w:p>
    <w:p>
      <w:pPr>
        <w:pStyle w:val="963"/>
        <w:contextualSpacing/>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所提供货物质量必须符合国家相关标准，必须满足本次采购的要求，</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对</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所交货物依照采购文件上的技术规格要求、成交产品有关指标和合同要求进行验收。若检验不合格，</w:t>
      </w:r>
      <w:r>
        <w:rPr>
          <w:rFonts w:hint="eastAsia" w:ascii="Times New Roman" w:hAnsi="Times New Roman" w:eastAsia="宋体" w:cs="Times New Roman"/>
          <w:bCs/>
          <w:iCs/>
          <w:sz w:val="24"/>
          <w:highlight w:val="none"/>
          <w:lang w:val="en-US" w:eastAsia="zh-CN"/>
        </w:rPr>
        <w:t xml:space="preserve">甲方</w:t>
      </w:r>
      <w:r>
        <w:rPr>
          <w:rFonts w:hint="eastAsia" w:ascii="Times New Roman" w:hAnsi="Times New Roman" w:eastAsia="宋体" w:cs="Times New Roman"/>
          <w:bCs/>
          <w:iCs/>
          <w:sz w:val="24"/>
          <w:highlight w:val="none"/>
        </w:rPr>
        <w:t xml:space="preserve">不予支付采购费用，并且由此造成的损失和后果由</w:t>
      </w:r>
      <w:r>
        <w:rPr>
          <w:rFonts w:hint="eastAsia" w:ascii="Times New Roman" w:hAnsi="Times New Roman" w:eastAsia="宋体" w:cs="Times New Roman"/>
          <w:bCs/>
          <w:iCs/>
          <w:sz w:val="24"/>
          <w:highlight w:val="none"/>
          <w:lang w:val="en-US" w:eastAsia="zh-CN"/>
        </w:rPr>
        <w:t xml:space="preserve">乙方</w:t>
      </w:r>
      <w:r>
        <w:rPr>
          <w:rFonts w:hint="eastAsia" w:ascii="Times New Roman" w:hAnsi="Times New Roman" w:eastAsia="宋体" w:cs="Times New Roman"/>
          <w:bCs/>
          <w:iCs/>
          <w:sz w:val="24"/>
          <w:highlight w:val="none"/>
        </w:rPr>
        <w:t xml:space="preserve">负责。</w:t>
      </w:r>
      <w:r>
        <w:rPr>
          <w:rFonts w:ascii="Times New Roman" w:hAnsi="Times New Roman" w:eastAsia="宋体" w:cs="Times New Roman"/>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zh-CN"/>
        </w:rPr>
        <w:t xml:space="preserve">条　违约责任</w:t>
      </w:r>
      <w:r>
        <w:rPr>
          <w:rFonts w:ascii="宋体" w:hAnsi="宋体"/>
          <w:b/>
          <w:bCs/>
          <w:sz w:val="24"/>
          <w:highlight w:val="none"/>
          <w:lang w:val="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1、合同一方不履行合同义务或者履行合同义务不符合约定的，应当承担继续履行、采取补救措施或者赔偿损失等违约责任。</w:t>
      </w:r>
      <w:r>
        <w:rPr>
          <w:rFonts w:hint="eastAsia" w:ascii="宋体" w:hAnsi="宋体" w:cs="宋体"/>
          <w:sz w:val="24"/>
          <w:highlight w:val="none"/>
          <w:shd w:val="clear" w:color="auto" w:fill="ffffff"/>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2、甲方违反合同规定，无正当理由拒收货物的，甲方向乙方支付合同总价的5%作为违约金；</w:t>
      </w:r>
      <w:r>
        <w:rPr>
          <w:rFonts w:hint="eastAsia" w:ascii="宋体" w:hAnsi="宋体" w:cs="宋体"/>
          <w:sz w:val="24"/>
          <w:highlight w:val="none"/>
          <w:shd w:val="clear" w:color="auto" w:fill="ffffff"/>
        </w:rPr>
      </w:r>
      <w:r/>
    </w:p>
    <w:p>
      <w:pPr>
        <w:pStyle w:val="963"/>
        <w:ind w:firstLine="480"/>
        <w:jc w:val="left"/>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3、乙方逾期交货的</w:t>
      </w:r>
      <w:r>
        <w:rPr>
          <w:rFonts w:hint="eastAsia" w:ascii="宋体" w:hAnsi="宋体" w:cs="宋体"/>
          <w:sz w:val="24"/>
          <w:highlight w:val="none"/>
        </w:rPr>
        <w:t xml:space="preserve">（不可抗力除外），每逾期1天，</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如违约金总额累计达到合同总价的30%，甲方有权解除合同；</w:t>
      </w:r>
      <w:r>
        <w:rPr>
          <w:rFonts w:ascii="宋体" w:hAnsi="宋体" w:cs="宋体"/>
          <w:sz w:val="24"/>
          <w:highlight w:val="none"/>
        </w:rPr>
      </w:r>
      <w:r/>
    </w:p>
    <w:p>
      <w:pPr>
        <w:pStyle w:val="963"/>
        <w:ind w:firstLine="480"/>
        <w:jc w:val="left"/>
        <w:spacing w:line="360" w:lineRule="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 xml:space="preserve">4、</w:t>
      </w:r>
      <w:r>
        <w:rPr>
          <w:rFonts w:hint="eastAsia" w:ascii="宋体" w:hAnsi="宋体" w:cs="宋体"/>
          <w:sz w:val="24"/>
          <w:highlight w:val="none"/>
        </w:rPr>
        <w:t xml:space="preserve">如乙方所交付的货物品种、品牌、规格、质量、节能、环保要求（以货物到场</w:t>
      </w:r>
      <w:r>
        <w:rPr>
          <w:rFonts w:hint="eastAsia" w:ascii="宋体" w:hAnsi="宋体" w:cs="宋体"/>
          <w:sz w:val="24"/>
          <w:highlight w:val="none"/>
          <w:lang w:val="en-US" w:eastAsia="zh-CN"/>
        </w:rPr>
        <w:t xml:space="preserve">检验</w:t>
      </w:r>
      <w:r>
        <w:rPr>
          <w:rFonts w:hint="eastAsia" w:ascii="宋体" w:hAnsi="宋体" w:cs="宋体"/>
          <w:sz w:val="24"/>
          <w:highlight w:val="none"/>
        </w:rPr>
        <w:t xml:space="preserve">为准）不符合投标文件及合同规定的，甲方有权拒收且乙方应无条件更换货物。同时，每发现一个货物品种、品牌、规格、质量、节能、环保要求不符合投标文件及合同规定的，</w:t>
      </w:r>
      <w:r>
        <w:rPr>
          <w:rFonts w:hint="eastAsia" w:ascii="宋体" w:hAnsi="宋体" w:cs="宋体"/>
          <w:sz w:val="24"/>
          <w:highlight w:val="none"/>
          <w:lang w:val="en-US" w:eastAsia="zh-CN"/>
        </w:rPr>
        <w:t xml:space="preserve">甲方有权按合同总价5%的金额</w:t>
      </w:r>
      <w:r>
        <w:rPr>
          <w:rFonts w:hint="eastAsia" w:ascii="宋体" w:hAnsi="宋体" w:eastAsia="宋体"/>
          <w:sz w:val="24"/>
          <w:highlight w:val="none"/>
        </w:rPr>
        <w:t xml:space="preserve">对乙方的违约行为实施罚款，罚款将</w:t>
      </w:r>
      <w:r>
        <w:rPr>
          <w:rFonts w:hint="eastAsia" w:ascii="宋体" w:hAnsi="宋体" w:cs="宋体"/>
          <w:sz w:val="24"/>
          <w:highlight w:val="none"/>
          <w:shd w:val="clear" w:color="auto" w:fill="ffffff"/>
        </w:rPr>
        <w:t xml:space="preserve">从待付合同</w:t>
      </w:r>
      <w:r>
        <w:rPr>
          <w:rFonts w:hint="eastAsia" w:ascii="宋体" w:hAnsi="宋体" w:cs="宋体"/>
          <w:sz w:val="24"/>
          <w:highlight w:val="none"/>
          <w:shd w:val="clear" w:color="auto" w:fill="ffffff"/>
          <w:lang w:val="en-US" w:eastAsia="zh-CN"/>
        </w:rPr>
        <w:t xml:space="preserve">价款</w:t>
      </w:r>
      <w:r>
        <w:rPr>
          <w:rFonts w:hint="eastAsia" w:ascii="宋体" w:hAnsi="宋体" w:eastAsia="宋体"/>
          <w:sz w:val="24"/>
          <w:highlight w:val="none"/>
        </w:rPr>
        <w:t xml:space="preserve">中扣除，</w:t>
      </w:r>
      <w:r>
        <w:rPr>
          <w:rFonts w:hint="eastAsia" w:ascii="宋体" w:hAnsi="宋体" w:cs="宋体"/>
          <w:sz w:val="24"/>
          <w:highlight w:val="none"/>
        </w:rPr>
        <w:t xml:space="preserve">且甲方有权终止合同。</w:t>
      </w:r>
      <w:r>
        <w:rPr>
          <w:rFonts w:hint="eastAsia" w:ascii="宋体" w:hAnsi="宋体" w:cs="宋体"/>
          <w:sz w:val="24"/>
          <w:highlight w:val="none"/>
          <w:shd w:val="clear" w:color="auto" w:fill="ffffff"/>
        </w:rPr>
        <w:t xml:space="preserve">乙方应在收到甲方发出解除合同通知之日起五日内，自行取走货物并承担退货所引发的一切费用，甲方不承担因解除合同导致乙方产生的一切损失。</w:t>
      </w:r>
      <w:r>
        <w:rPr>
          <w:rFonts w:hint="eastAsia" w:ascii="宋体" w:hAnsi="宋体" w:cs="宋体"/>
          <w:sz w:val="24"/>
          <w:highlight w:val="none"/>
          <w:shd w:val="clear" w:color="auto" w:fill="ffffff"/>
        </w:rPr>
      </w:r>
      <w:r/>
    </w:p>
    <w:p>
      <w:pPr>
        <w:pStyle w:val="963"/>
        <w:ind w:firstLine="480"/>
        <w:jc w:val="left"/>
        <w:spacing w:line="360" w:lineRule="auto"/>
        <w:widowControl/>
        <w:rPr>
          <w:rFonts w:hint="eastAsia" w:ascii="宋体" w:hAnsi="宋体" w:eastAsia="宋体" w:cs="宋体"/>
          <w:sz w:val="24"/>
          <w:highlight w:val="none"/>
          <w:shd w:val="clear" w:color="auto" w:fill="ffffff"/>
          <w:lang w:val="en-US" w:eastAsia="zh-CN"/>
        </w:rPr>
      </w:pPr>
      <w:r>
        <w:rPr>
          <w:rFonts w:hint="eastAsia" w:ascii="宋体" w:hAnsi="宋体" w:cs="宋体"/>
          <w:sz w:val="24"/>
          <w:highlight w:val="none"/>
          <w:shd w:val="clear" w:color="auto" w:fill="ffffff"/>
          <w:lang w:val="en-US" w:eastAsia="zh-CN"/>
        </w:rPr>
        <w:t xml:space="preserve">5、</w:t>
      </w:r>
      <w:r>
        <w:rPr>
          <w:rFonts w:hint="eastAsia" w:ascii="宋体" w:hAnsi="宋体"/>
          <w:sz w:val="24"/>
          <w:highlight w:val="none"/>
          <w:lang w:val="en-US" w:eastAsia="zh-CN"/>
        </w:rPr>
        <w:t xml:space="preserve">乙方须按甲方要求出具检测报告，如检测结果不合格或有任意指标低于合同技术要求的，</w:t>
      </w:r>
      <w:r>
        <w:rPr>
          <w:rFonts w:hint="eastAsia" w:ascii="宋体" w:hAnsi="宋体" w:eastAsia="宋体"/>
          <w:sz w:val="24"/>
          <w:highlight w:val="none"/>
        </w:rPr>
        <w:t xml:space="preserve">甲方有权拒绝接收并按该批货物，乙方必须按</w:t>
      </w:r>
      <w:r>
        <w:rPr>
          <w:rFonts w:hint="eastAsia" w:ascii="宋体" w:hAnsi="宋体"/>
          <w:sz w:val="24"/>
          <w:highlight w:val="none"/>
          <w:lang w:val="en-US" w:eastAsia="zh-CN"/>
        </w:rPr>
        <w:t xml:space="preserve">合同</w:t>
      </w:r>
      <w:r>
        <w:rPr>
          <w:rFonts w:hint="eastAsia" w:ascii="宋体" w:hAnsi="宋体" w:eastAsia="宋体"/>
          <w:sz w:val="24"/>
          <w:highlight w:val="none"/>
        </w:rPr>
        <w:t xml:space="preserve">要求整改供货，且甲方</w:t>
      </w:r>
      <w:r>
        <w:rPr>
          <w:rFonts w:hint="eastAsia" w:ascii="宋体" w:hAnsi="宋体"/>
          <w:sz w:val="24"/>
          <w:highlight w:val="none"/>
          <w:lang w:val="en-US" w:eastAsia="zh-CN"/>
        </w:rPr>
        <w:t xml:space="preserve">有权</w:t>
      </w:r>
      <w:r>
        <w:rPr>
          <w:rFonts w:hint="eastAsia" w:ascii="宋体" w:hAnsi="宋体" w:eastAsia="宋体"/>
          <w:sz w:val="24"/>
          <w:highlight w:val="none"/>
        </w:rPr>
        <w:t xml:space="preserve">根据乙方的整改情况采取进一步处罚</w:t>
      </w:r>
      <w:r>
        <w:rPr>
          <w:rFonts w:hint="eastAsia" w:ascii="宋体" w:hAnsi="宋体"/>
          <w:sz w:val="24"/>
          <w:highlight w:val="none"/>
          <w:lang w:eastAsia="zh-CN"/>
        </w:rPr>
        <w:t xml:space="preserve">。</w:t>
      </w:r>
      <w:r>
        <w:rPr>
          <w:rFonts w:hint="eastAsia" w:ascii="宋体" w:hAnsi="宋体" w:eastAsia="宋体" w:cs="宋体"/>
          <w:sz w:val="24"/>
          <w:highlight w:val="none"/>
          <w:shd w:val="clear" w:color="auto" w:fill="ffffff"/>
          <w:lang w:val="en-US" w:eastAsia="zh-CN"/>
        </w:rPr>
      </w:r>
      <w:r/>
    </w:p>
    <w:p>
      <w:pPr>
        <w:pStyle w:val="963"/>
        <w:ind w:firstLine="480"/>
        <w:jc w:val="left"/>
        <w:spacing w:line="360" w:lineRule="auto"/>
        <w:widowControl/>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6</w:t>
      </w:r>
      <w:r>
        <w:rPr>
          <w:rFonts w:hint="eastAsia" w:ascii="宋体" w:hAnsi="宋体" w:cs="宋体"/>
          <w:sz w:val="24"/>
          <w:highlight w:val="none"/>
          <w:shd w:val="clear" w:color="auto" w:fill="ffffff"/>
        </w:rPr>
        <w:t xml:space="preserve">、乙方所提供的货物或其任何一部分侵犯第三方的知识产权，或者所有权不完整（指乙方完全能处分所提供的货物，该货物不存在任何抵押、查封等产权瑕疵），甲方支付</w:t>
      </w:r>
      <w:r>
        <w:rPr>
          <w:rFonts w:hint="eastAsia" w:ascii="宋体" w:hAnsi="宋体" w:cs="宋体"/>
          <w:sz w:val="24"/>
          <w:highlight w:val="none"/>
          <w:shd w:val="clear" w:color="auto" w:fill="ffffff"/>
          <w:lang w:val="en-US" w:eastAsia="zh-CN"/>
        </w:rPr>
        <w:t xml:space="preserve">将扣除</w:t>
      </w:r>
      <w:r>
        <w:rPr>
          <w:rFonts w:hint="eastAsia" w:ascii="宋体" w:hAnsi="宋体" w:cs="宋体"/>
          <w:sz w:val="24"/>
          <w:highlight w:val="none"/>
          <w:shd w:val="clear" w:color="auto" w:fill="ffffff"/>
        </w:rPr>
        <w:t xml:space="preserve">已付货款部分的5%作为违约金；导致甲方为此参与诉讼或仲裁，乙方另应支付甲方为此引发的律师费、诉讼费、调查费、差旅费等一切费用。</w:t>
      </w:r>
      <w:r>
        <w:rPr>
          <w:rFonts w:hint="eastAsia" w:ascii="宋体" w:hAnsi="宋体" w:cs="宋体"/>
          <w:sz w:val="24"/>
          <w:highlight w:val="none"/>
          <w:shd w:val="clear" w:color="auto" w:fill="ffffff"/>
        </w:rPr>
      </w:r>
      <w:r/>
    </w:p>
    <w:p>
      <w:pPr>
        <w:pStyle w:val="963"/>
        <w:ind w:firstLine="480"/>
        <w:jc w:val="left"/>
        <w:spacing w:line="360" w:lineRule="auto"/>
        <w:widowControl/>
        <w:rPr>
          <w:rFonts w:ascii="宋体" w:hAnsi="宋体"/>
          <w:b/>
          <w:bCs/>
          <w:sz w:val="24"/>
          <w:highlight w:val="none"/>
        </w:rPr>
      </w:pPr>
      <w:r>
        <w:rPr>
          <w:rFonts w:hint="eastAsia" w:ascii="宋体" w:hAnsi="宋体"/>
          <w:b/>
          <w:bCs/>
          <w:sz w:val="24"/>
          <w:highlight w:val="none"/>
          <w:lang w:val="zh-CN"/>
        </w:rPr>
        <w:t xml:space="preserve">第</w:t>
      </w:r>
      <w:r>
        <w:rPr>
          <w:rFonts w:hint="eastAsia" w:ascii="宋体" w:hAnsi="宋体"/>
          <w:b/>
          <w:bCs/>
          <w:sz w:val="24"/>
          <w:highlight w:val="none"/>
        </w:rPr>
        <w:t xml:space="preserve">十</w:t>
      </w:r>
      <w:r>
        <w:rPr>
          <w:rFonts w:hint="eastAsia" w:ascii="宋体" w:hAnsi="宋体"/>
          <w:b/>
          <w:bCs/>
          <w:sz w:val="24"/>
          <w:highlight w:val="none"/>
          <w:lang w:val="en-US" w:eastAsia="zh-CN"/>
        </w:rPr>
        <w:t xml:space="preserve">一</w:t>
      </w:r>
      <w:r>
        <w:rPr>
          <w:rFonts w:hint="eastAsia" w:ascii="宋体" w:hAnsi="宋体"/>
          <w:b/>
          <w:bCs/>
          <w:sz w:val="24"/>
          <w:highlight w:val="none"/>
          <w:lang w:val="zh-CN"/>
        </w:rPr>
        <w:t xml:space="preserve">条　</w:t>
      </w:r>
      <w:r>
        <w:rPr>
          <w:rFonts w:hint="eastAsia" w:ascii="宋体" w:hAnsi="宋体"/>
          <w:b/>
          <w:bCs/>
          <w:sz w:val="24"/>
          <w:highlight w:val="none"/>
        </w:rPr>
        <w:t xml:space="preserve">不可抗力</w:t>
      </w:r>
      <w:r>
        <w:rPr>
          <w:rFonts w:ascii="宋体" w:hAnsi="宋体"/>
          <w:b/>
          <w:bCs/>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1、不可抗力，是指不能预见、不能避免并不能克服的客观情况，如战争、动乱、瘟疫、严重火灾、洪水、地震、风暴或其他自然灾害等。</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sz w:val="24"/>
          <w:highlight w:val="none"/>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rPr>
        <w:t xml:space="preserve">4、合同各方应根据不可抗力对本合同履行的影响程度，协商确定是否终止本合同或是继续履行本合同。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rPr>
        <w:t xml:space="preserve">第十</w:t>
      </w:r>
      <w:r>
        <w:rPr>
          <w:rFonts w:hint="eastAsia" w:ascii="宋体" w:hAnsi="宋体"/>
          <w:b/>
          <w:bCs/>
          <w:sz w:val="24"/>
          <w:highlight w:val="none"/>
          <w:lang w:val="en-US" w:eastAsia="zh-CN"/>
        </w:rPr>
        <w:t xml:space="preserve">二</w:t>
      </w:r>
      <w:r>
        <w:rPr>
          <w:rFonts w:hint="eastAsia" w:ascii="宋体" w:hAnsi="宋体"/>
          <w:b/>
          <w:bCs/>
          <w:sz w:val="24"/>
          <w:highlight w:val="none"/>
        </w:rPr>
        <w:t xml:space="preserve">条　</w:t>
      </w:r>
      <w:r>
        <w:rPr>
          <w:rFonts w:hint="eastAsia" w:ascii="宋体" w:hAnsi="宋体"/>
          <w:b/>
          <w:bCs/>
          <w:sz w:val="24"/>
          <w:highlight w:val="none"/>
          <w:lang w:val="zh-CN"/>
        </w:rPr>
        <w:t xml:space="preserve">合同的变更和终止</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1、除《中华人民共和国政府采购法》第五十条规定的情形外，本合同一经签订，甲乙双方不得擅自变更、中止或终止合同。</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除发生法律规定的不能预见、不能避免并不能克服的客观情况外，甲乙双方不得放弃或拒绝履行合同。</w:t>
      </w:r>
      <w:r>
        <w:rPr>
          <w:rFonts w:ascii="宋体" w:hAnsi="宋体"/>
          <w:sz w:val="24"/>
          <w:highlight w:val="none"/>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三</w:t>
      </w:r>
      <w:r>
        <w:rPr>
          <w:rFonts w:hint="eastAsia" w:ascii="宋体" w:hAnsi="宋体"/>
          <w:b/>
          <w:bCs/>
          <w:sz w:val="24"/>
          <w:highlight w:val="none"/>
          <w:lang w:val="zh-CN"/>
        </w:rPr>
        <w:t xml:space="preserve">条　争议的解决</w:t>
      </w:r>
      <w:r>
        <w:rPr>
          <w:rFonts w:ascii="宋体" w:hAnsi="宋体"/>
          <w:b/>
          <w:bCs/>
          <w:sz w:val="24"/>
          <w:highlight w:val="none"/>
          <w:lang w:val="zh-CN"/>
        </w:rPr>
      </w:r>
      <w:r/>
    </w:p>
    <w:p>
      <w:pPr>
        <w:pStyle w:val="963"/>
        <w:ind w:firstLine="480"/>
        <w:jc w:val="left"/>
        <w:spacing w:line="360" w:lineRule="auto"/>
        <w:widowControl/>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因货物的质量问题发生争议的，可由甲方委托国家认可的第三方鉴定机构对货物质量进行检测鉴定。检测费用先由乙方垫付，货物符合招标文件、合同约定及国家标准的，鉴定费由甲方承担，货物不符合质量标准的，鉴定费由乙方承担；</w:t>
      </w:r>
      <w:r>
        <w:rPr>
          <w:rFonts w:hint="eastAsia" w:ascii="宋体" w:hAnsi="宋体"/>
          <w:sz w:val="24"/>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2</w:t>
      </w:r>
      <w:r>
        <w:rPr>
          <w:rFonts w:hint="eastAsia" w:ascii="宋体" w:hAnsi="宋体"/>
          <w:sz w:val="24"/>
          <w:highlight w:val="none"/>
        </w:rPr>
        <w:t xml:space="preserve">、</w:t>
      </w:r>
      <w:r>
        <w:rPr>
          <w:rFonts w:hint="eastAsia" w:ascii="宋体" w:hAnsi="宋体"/>
          <w:sz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b/>
          <w:bCs/>
          <w:sz w:val="24"/>
          <w:highlight w:val="none"/>
          <w:u w:val="single"/>
        </w:rPr>
        <w:t xml:space="preserve"> （1） </w:t>
      </w:r>
      <w:r>
        <w:rPr>
          <w:rFonts w:hint="eastAsia" w:ascii="宋体" w:hAnsi="宋体"/>
          <w:sz w:val="24"/>
          <w:highlight w:val="none"/>
          <w:lang w:val="zh-CN"/>
        </w:rPr>
        <w:t xml:space="preserve">种方式解决争议：</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（1）向甲方所在地有管辖权的人民法院提起诉讼；</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zh-CN"/>
        </w:rPr>
        <w:t xml:space="preserve">（2）向甲方所在地仲裁委员会按其仲裁规则申请仲裁。</w:t>
      </w:r>
      <w:r>
        <w:rPr>
          <w:rFonts w:ascii="宋体" w:hAnsi="宋体"/>
          <w:sz w:val="24"/>
          <w:highlight w:val="none"/>
          <w:lang w:val="zh-CN"/>
        </w:rPr>
      </w:r>
      <w:r/>
    </w:p>
    <w:p>
      <w:pPr>
        <w:pStyle w:val="963"/>
        <w:ind w:firstLine="480"/>
        <w:jc w:val="left"/>
        <w:spacing w:line="360" w:lineRule="auto"/>
        <w:widowControl/>
        <w:rPr>
          <w:rFonts w:ascii="宋体" w:hAnsi="宋体"/>
          <w:sz w:val="24"/>
          <w:highlight w:val="none"/>
          <w:lang w:val="zh-CN"/>
        </w:rPr>
      </w:pPr>
      <w:r>
        <w:rPr>
          <w:rFonts w:hint="eastAsia" w:ascii="宋体" w:hAnsi="宋体"/>
          <w:sz w:val="24"/>
          <w:highlight w:val="none"/>
          <w:lang w:val="en-US" w:eastAsia="zh-CN"/>
        </w:rPr>
        <w:t xml:space="preserve">3、</w:t>
      </w:r>
      <w:r>
        <w:rPr>
          <w:rFonts w:hint="eastAsia" w:ascii="宋体" w:hAnsi="宋体"/>
          <w:sz w:val="24"/>
          <w:highlight w:val="none"/>
          <w:lang w:val="zh-CN"/>
        </w:rPr>
        <w:t xml:space="preserve">在仲裁期间，本合同应继续履行。</w:t>
      </w:r>
      <w:r>
        <w:rPr>
          <w:rFonts w:ascii="宋体" w:hAnsi="宋体"/>
          <w:sz w:val="24"/>
          <w:highlight w:val="none"/>
          <w:lang w:val="zh-CN"/>
        </w:rPr>
      </w:r>
      <w:r/>
    </w:p>
    <w:p>
      <w:pPr>
        <w:pStyle w:val="963"/>
        <w:ind w:firstLine="480"/>
        <w:jc w:val="left"/>
        <w:spacing w:line="360" w:lineRule="auto"/>
        <w:widowControl/>
        <w:rPr>
          <w:rFonts w:ascii="宋体" w:hAnsi="宋体"/>
          <w:b/>
          <w:bCs/>
          <w:sz w:val="24"/>
          <w:highlight w:val="none"/>
          <w:lang w:val="zh-CN"/>
        </w:rPr>
      </w:pPr>
      <w:r>
        <w:rPr>
          <w:rFonts w:hint="eastAsia" w:ascii="宋体" w:hAnsi="宋体"/>
          <w:b/>
          <w:bCs/>
          <w:sz w:val="24"/>
          <w:highlight w:val="none"/>
          <w:lang w:val="zh-CN"/>
        </w:rPr>
        <w:t xml:space="preserve">第十</w:t>
      </w:r>
      <w:r>
        <w:rPr>
          <w:rFonts w:hint="eastAsia" w:ascii="宋体" w:hAnsi="宋体"/>
          <w:b/>
          <w:bCs/>
          <w:sz w:val="24"/>
          <w:highlight w:val="none"/>
          <w:lang w:val="en-US" w:eastAsia="zh-CN"/>
        </w:rPr>
        <w:t xml:space="preserve">四</w:t>
      </w:r>
      <w:r>
        <w:rPr>
          <w:rFonts w:hint="eastAsia" w:ascii="宋体" w:hAnsi="宋体"/>
          <w:b/>
          <w:bCs/>
          <w:sz w:val="24"/>
          <w:highlight w:val="none"/>
          <w:lang w:val="zh-CN"/>
        </w:rPr>
        <w:t xml:space="preserve">条　合同生效及其他</w:t>
      </w:r>
      <w:r>
        <w:rPr>
          <w:rFonts w:ascii="宋体" w:hAnsi="宋体"/>
          <w:b/>
          <w:bCs/>
          <w:sz w:val="24"/>
          <w:highlight w:val="none"/>
          <w:lang w:val="zh-CN"/>
        </w:rPr>
      </w:r>
      <w:r/>
    </w:p>
    <w:p>
      <w:pPr>
        <w:pStyle w:val="963"/>
        <w:ind w:firstLine="480"/>
        <w:jc w:val="left"/>
        <w:spacing w:line="360" w:lineRule="auto"/>
        <w:widowControl/>
        <w:rPr>
          <w:rFonts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本合同由甲乙双方签字、盖章后生效。</w:t>
      </w:r>
      <w:r>
        <w:rPr>
          <w:rFonts w:ascii="宋体" w:hAnsi="宋体"/>
          <w:sz w:val="24"/>
          <w:highlight w:val="none"/>
        </w:rPr>
      </w:r>
      <w:r/>
    </w:p>
    <w:p>
      <w:pPr>
        <w:pStyle w:val="963"/>
        <w:ind w:firstLine="480"/>
        <w:jc w:val="left"/>
        <w:spacing w:line="360" w:lineRule="auto"/>
        <w:widowControl/>
        <w:rPr>
          <w:rFonts w:hint="eastAsia" w:ascii="宋体" w:hAnsi="宋体"/>
          <w:sz w:val="24"/>
          <w:highlight w:val="none"/>
        </w:rPr>
      </w:pPr>
      <w:r/>
      <w:bookmarkEnd w:id="646"/>
      <w:r>
        <w:rPr>
          <w:rFonts w:hint="eastAsia" w:ascii="宋体" w:hAnsi="宋体"/>
          <w:sz w:val="24"/>
          <w:highlight w:val="none"/>
        </w:rPr>
        <w:t xml:space="preserve">2</w:t>
      </w:r>
      <w:r>
        <w:rPr>
          <w:rFonts w:hint="eastAsia" w:ascii="宋体" w:hAnsi="宋体"/>
          <w:sz w:val="24"/>
          <w:highlight w:val="none"/>
          <w:lang w:val="zh-CN"/>
        </w:rPr>
        <w:t xml:space="preserve">、本合同一式</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甲方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t xml:space="preserve">，</w:t>
      </w:r>
      <w:r>
        <w:rPr>
          <w:rFonts w:hint="eastAsia" w:ascii="宋体" w:hAnsi="宋体"/>
          <w:sz w:val="24"/>
          <w:highlight w:val="none"/>
          <w:lang w:val="zh-CN"/>
        </w:rPr>
        <w:t xml:space="preserve">乙方</w:t>
      </w:r>
      <w:r>
        <w:rPr>
          <w:rFonts w:hint="eastAsia" w:ascii="宋体" w:hAnsi="宋体"/>
          <w:sz w:val="24"/>
          <w:highlight w:val="none"/>
        </w:rPr>
        <w:t xml:space="preserve">    </w:t>
      </w:r>
      <w:r>
        <w:rPr>
          <w:rFonts w:hint="eastAsia" w:ascii="宋体" w:hAnsi="宋体"/>
          <w:sz w:val="24"/>
          <w:highlight w:val="none"/>
          <w:lang w:val="zh-CN"/>
        </w:rPr>
        <w:t xml:space="preserve">份。</w:t>
      </w:r>
      <w:r>
        <w:rPr>
          <w:rFonts w:hint="eastAsia" w:ascii="宋体" w:hAnsi="宋体"/>
          <w:sz w:val="24"/>
          <w:highlight w:val="none"/>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t xml:space="preserve">3、本合同应按照中华人民共和国的现行法律进行解释。</w:t>
      </w:r>
      <w:r>
        <w:rPr>
          <w:rFonts w:hint="eastAsia" w:ascii="宋体" w:hAnsi="宋体"/>
          <w:sz w:val="24"/>
          <w:highlight w:val="none"/>
          <w:lang w:val="zh-CN"/>
        </w:rPr>
      </w:r>
      <w:r/>
    </w:p>
    <w:p>
      <w:pPr>
        <w:pStyle w:val="963"/>
        <w:ind w:firstLine="480"/>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p>
      <w:pPr>
        <w:pStyle w:val="963"/>
        <w:jc w:val="left"/>
        <w:spacing w:line="360" w:lineRule="auto"/>
        <w:widowControl/>
        <w:rPr>
          <w:rFonts w:hint="eastAsia" w:ascii="宋体" w:hAnsi="宋体"/>
          <w:sz w:val="24"/>
          <w:highlight w:val="none"/>
          <w:lang w:val="zh-CN"/>
        </w:rPr>
      </w:pPr>
      <w:r>
        <w:rPr>
          <w:rFonts w:hint="eastAsia" w:ascii="宋体" w:hAnsi="宋体"/>
          <w:sz w:val="24"/>
          <w:highlight w:val="none"/>
          <w:lang w:val="zh-CN"/>
        </w:rPr>
      </w:r>
      <w:r/>
    </w:p>
    <w:tbl>
      <w:tblPr>
        <w:tblpPr w:horzAnchor="page" w:tblpX="1525" w:vertAnchor="text" w:tblpY="305" w:leftFromText="180" w:topFromText="0" w:rightFromText="180" w:bottomFromText="0"/>
        <w:tblW w:w="8778" w:type="dxa"/>
        <w:tblInd w:w="-108" w:type="dxa"/>
        <w:tblLayout w:type="fixed"/>
        <w:tblCellMar>
          <w:left w:w="108" w:type="dxa"/>
          <w:top w:w="0" w:type="dxa"/>
          <w:right w:w="108" w:type="dxa"/>
          <w:bottom w:w="0" w:type="dxa"/>
        </w:tblCellMar>
        <w:tblLook w:val="04A0" w:firstRow="1" w:lastRow="0" w:firstColumn="1" w:lastColumn="0" w:noHBand="0" w:noVBand="1"/>
      </w:tblPr>
      <w:tblGrid>
        <w:gridCol w:w="3307"/>
        <w:gridCol w:w="1185"/>
        <w:gridCol w:w="3452"/>
        <w:gridCol w:w="834"/>
      </w:tblGrid>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hint="eastAsia" w:ascii="宋体" w:hAnsi="宋体" w:cs="宋体"/>
                <w:sz w:val="24"/>
                <w:highlight w:val="none"/>
              </w:rPr>
              <w:framePr w:vAnchor="text" w:hAnchor="page" w:x="1525" w:y="305"/>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单位名称（章）：</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单位地址：</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restart"/>
            <w:textDirection w:val="lrTb"/>
            <w:noWrap w:val="false"/>
          </w:tcPr>
          <w:p>
            <w:pPr>
              <w:pStyle w:val="963"/>
              <w:spacing w:line="560" w:lineRule="atLeast"/>
              <w:rPr>
                <w:rFonts w:hint="eastAsia" w:ascii="宋体" w:hAnsi="宋体" w:cs="宋体"/>
                <w:sz w:val="24"/>
                <w:highlight w:val="none"/>
                <w:lang w:val="en-US" w:eastAsia="zh-CN"/>
              </w:rPr>
              <w:framePr w:vAnchor="text" w:hAnchor="page" w:x="1525" w:y="305"/>
            </w:pPr>
            <w:r>
              <w:rPr>
                <w:rFonts w:hint="eastAsia" w:ascii="宋体" w:hAnsi="宋体" w:cs="宋体"/>
                <w:sz w:val="24"/>
                <w:highlight w:val="none"/>
                <w:lang w:val="en-US" w:eastAsia="zh-CN"/>
              </w:rPr>
              <w:t xml:space="preserve">法定代表人</w:t>
            </w:r>
            <w:r>
              <w:rPr>
                <w:rFonts w:hint="eastAsia" w:ascii="宋体" w:hAnsi="宋体" w:cs="宋体"/>
                <w:sz w:val="24"/>
                <w:highlight w:val="none"/>
                <w:lang w:val="en-US" w:eastAsia="zh-CN"/>
              </w:rPr>
            </w:r>
            <w:r/>
          </w:p>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委托代理人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签字或盖章</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vMerge w:val="continue"/>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电话（传真）：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开户银行：</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4"/>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账号：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税号：</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r>
        <w:trPr>
          <w:trHeight w:val="556"/>
        </w:trPr>
        <w:tc>
          <w:tcPr>
            <w:tcBorders>
              <w:top w:val="none" w:color="000000" w:sz="0" w:space="0"/>
              <w:left w:val="none" w:color="000000" w:sz="0" w:space="0"/>
              <w:bottom w:val="none" w:color="000000" w:sz="0" w:space="0"/>
              <w:right w:val="none" w:color="000000" w:sz="0" w:space="0"/>
            </w:tcBorders>
            <w:tcW w:w="3307"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1185"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3452"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hint="eastAsia" w:ascii="宋体" w:hAnsi="宋体" w:cs="宋体"/>
                <w:sz w:val="24"/>
                <w:highlight w:val="none"/>
              </w:rPr>
              <w:t xml:space="preserve">日期：</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日</w:t>
            </w:r>
            <w:r>
              <w:rPr>
                <w:rFonts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834" w:type="dxa"/>
            <w:vAlign w:val="center"/>
            <w:textDirection w:val="lrTb"/>
            <w:noWrap w:val="false"/>
          </w:tcPr>
          <w:p>
            <w:pPr>
              <w:pStyle w:val="963"/>
              <w:spacing w:line="560" w:lineRule="atLeast"/>
              <w:rPr>
                <w:rFonts w:ascii="宋体" w:hAnsi="宋体" w:cs="宋体"/>
                <w:sz w:val="24"/>
                <w:highlight w:val="none"/>
              </w:rPr>
              <w:framePr w:vAnchor="text" w:hAnchor="page" w:x="1525" w:y="305"/>
            </w:pPr>
            <w:r>
              <w:rPr>
                <w:rFonts w:ascii="宋体" w:hAnsi="宋体" w:cs="宋体"/>
                <w:sz w:val="24"/>
                <w:highlight w:val="none"/>
              </w:rPr>
            </w:r>
            <w:r/>
          </w:p>
        </w:tc>
      </w:tr>
    </w:tbl>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jc w:val="left"/>
        <w:widowControl/>
        <w:rPr>
          <w:b/>
          <w:sz w:val="36"/>
          <w:szCs w:val="36"/>
          <w:highlight w:val="none"/>
        </w:rPr>
      </w:pPr>
      <w:r>
        <w:rPr>
          <w:b/>
          <w:sz w:val="36"/>
          <w:szCs w:val="36"/>
          <w:highlight w:val="none"/>
        </w:rPr>
      </w:r>
      <w:r/>
    </w:p>
    <w:p>
      <w:pPr>
        <w:pStyle w:val="963"/>
        <w:spacing w:line="360" w:lineRule="auto"/>
        <w:rPr>
          <w:b/>
          <w:sz w:val="36"/>
          <w:szCs w:val="36"/>
          <w:highlight w:val="none"/>
        </w:rPr>
        <w:outlineLvl w:val="0"/>
      </w:pPr>
      <w:r>
        <w:rPr>
          <w:b/>
          <w:sz w:val="36"/>
          <w:szCs w:val="36"/>
          <w:highlight w:val="none"/>
        </w:rPr>
      </w:r>
      <w:r/>
    </w:p>
    <w:p>
      <w:pPr>
        <w:pStyle w:val="963"/>
        <w:jc w:val="center"/>
        <w:spacing w:line="360" w:lineRule="auto"/>
        <w:rPr>
          <w:b/>
          <w:sz w:val="36"/>
          <w:szCs w:val="36"/>
          <w:highlight w:val="none"/>
        </w:rPr>
        <w:outlineLvl w:val="0"/>
      </w:pPr>
      <w:r>
        <w:rPr>
          <w:b/>
          <w:sz w:val="36"/>
          <w:szCs w:val="36"/>
          <w:highlight w:val="none"/>
        </w:rPr>
        <w:br w:type="page" w:clear="all"/>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Pr>
          <w:b/>
          <w:sz w:val="36"/>
          <w:szCs w:val="36"/>
          <w:highlight w:val="none"/>
        </w:rPr>
      </w:r>
      <w:r/>
    </w:p>
    <w:p>
      <w:pPr>
        <w:pStyle w:val="963"/>
        <w:jc w:val="center"/>
        <w:spacing w:line="360" w:lineRule="auto"/>
        <w:rPr>
          <w:b/>
          <w:sz w:val="36"/>
          <w:szCs w:val="36"/>
          <w:highlight w:val="none"/>
        </w:rPr>
        <w:outlineLvl w:val="0"/>
      </w:pPr>
      <w:r/>
      <w:bookmarkStart w:id="647" w:name="_Toc99301350"/>
      <w:r>
        <w:rPr>
          <w:b/>
          <w:sz w:val="36"/>
          <w:szCs w:val="36"/>
          <w:highlight w:val="none"/>
        </w:rPr>
        <w:t xml:space="preserve">第六章   响应文件格式</w:t>
      </w:r>
      <w:bookmarkEnd w:id="647"/>
      <w:r>
        <w:rPr>
          <w:b/>
          <w:sz w:val="36"/>
          <w:szCs w:val="36"/>
          <w:highlight w:val="none"/>
        </w:rPr>
      </w:r>
      <w:r/>
    </w:p>
    <w:p>
      <w:pPr>
        <w:pStyle w:val="963"/>
        <w:jc w:val="left"/>
        <w:spacing w:line="360" w:lineRule="auto"/>
        <w:widowControl/>
        <w:rPr>
          <w:b/>
          <w:sz w:val="24"/>
          <w:highlight w:val="none"/>
        </w:rPr>
      </w:pPr>
      <w:r>
        <w:rPr>
          <w:b/>
          <w:sz w:val="24"/>
          <w:highlight w:val="none"/>
        </w:rPr>
      </w:r>
      <w:r/>
    </w:p>
    <w:p>
      <w:pPr>
        <w:pStyle w:val="963"/>
        <w:jc w:val="left"/>
        <w:spacing w:line="360" w:lineRule="auto"/>
        <w:widowControl/>
        <w:rPr>
          <w:b/>
          <w:sz w:val="24"/>
          <w:highlight w:val="none"/>
        </w:rPr>
      </w:pPr>
      <w:r>
        <w:rPr>
          <w:b/>
          <w:sz w:val="24"/>
          <w:highlight w:val="none"/>
        </w:rPr>
      </w:r>
      <w:r/>
    </w:p>
    <w:p>
      <w:pPr>
        <w:pStyle w:val="963"/>
        <w:ind w:left="142"/>
        <w:spacing w:line="360" w:lineRule="auto"/>
        <w:tabs>
          <w:tab w:val="left" w:pos="900" w:leader="none"/>
          <w:tab w:val="left" w:pos="1980" w:leader="none"/>
        </w:tabs>
        <w:rPr>
          <w:b/>
          <w:sz w:val="24"/>
          <w:highlight w:val="none"/>
        </w:rPr>
      </w:pPr>
      <w:r>
        <w:rPr>
          <w:b/>
          <w:sz w:val="24"/>
          <w:highlight w:val="none"/>
        </w:rPr>
        <w:t xml:space="preserve">供应商编制文件须知</w:t>
      </w:r>
      <w:r>
        <w:rPr>
          <w:b/>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对于询价通知书中标记了“实质性格式”文件的，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响应无效</w:t>
      </w:r>
      <w:r>
        <w:rPr>
          <w:sz w:val="24"/>
          <w:highlight w:val="none"/>
        </w:rPr>
        <w:t xml:space="preserve">。未标记“实质性格式”的文件和询价通知书未提供格式的内容，可由供应商自行编写。</w:t>
      </w:r>
      <w:r>
        <w:rPr>
          <w:sz w:val="24"/>
          <w:highlight w:val="none"/>
        </w:rPr>
      </w:r>
      <w:r/>
    </w:p>
    <w:p>
      <w:pPr>
        <w:pStyle w:val="963"/>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63"/>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63"/>
        <w:ind w:left="142"/>
        <w:spacing w:line="360" w:lineRule="auto"/>
        <w:tabs>
          <w:tab w:val="left" w:pos="900" w:leader="none"/>
          <w:tab w:val="left" w:pos="19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963"/>
        <w:jc w:val="center"/>
        <w:rPr>
          <w:szCs w:val="21"/>
          <w:highlight w:val="none"/>
        </w:rPr>
      </w:pPr>
      <w:r>
        <w:rPr>
          <w:szCs w:val="21"/>
          <w:highlight w:val="none"/>
        </w:rPr>
      </w:r>
      <w:r/>
    </w:p>
    <w:p>
      <w:pPr>
        <w:pStyle w:val="963"/>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963"/>
        <w:ind w:firstLine="963"/>
        <w:rPr>
          <w:b/>
          <w:spacing w:val="60"/>
          <w:sz w:val="52"/>
          <w:szCs w:val="52"/>
          <w:highlight w:val="none"/>
        </w:rPr>
      </w:pPr>
      <w:r>
        <w:rPr>
          <w:b/>
          <w:spacing w:val="60"/>
          <w:sz w:val="52"/>
          <w:szCs w:val="5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542"/>
        <w:rPr>
          <w:b/>
          <w:spacing w:val="20"/>
          <w:sz w:val="32"/>
          <w:szCs w:val="32"/>
          <w:highlight w:val="none"/>
        </w:rPr>
      </w:pPr>
      <w:r>
        <w:rPr>
          <w:b/>
          <w:spacing w:val="20"/>
          <w:sz w:val="32"/>
          <w:szCs w:val="32"/>
          <w:highlight w:val="none"/>
        </w:rPr>
      </w:r>
      <w:r/>
    </w:p>
    <w:p>
      <w:pPr>
        <w:pStyle w:val="963"/>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63"/>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963"/>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63"/>
        <w:jc w:val="center"/>
        <w:rPr>
          <w:b/>
          <w:sz w:val="32"/>
          <w:szCs w:val="32"/>
          <w:highlight w:val="none"/>
        </w:rPr>
      </w:pPr>
      <w:r>
        <w:rPr>
          <w:b/>
          <w:sz w:val="32"/>
          <w:szCs w:val="32"/>
          <w:highlight w:val="none"/>
        </w:rPr>
      </w:r>
      <w:r/>
    </w:p>
    <w:p>
      <w:pPr>
        <w:pStyle w:val="963"/>
        <w:rPr>
          <w:b/>
          <w:highlight w:val="none"/>
        </w:rPr>
      </w:pPr>
      <w:r>
        <w:rPr>
          <w:b/>
          <w:spacing w:val="20"/>
          <w:sz w:val="32"/>
          <w:szCs w:val="32"/>
          <w:highlight w:val="none"/>
        </w:rPr>
        <w:br w:type="page" w:clear="all"/>
      </w:r>
      <w:r>
        <w:rPr>
          <w:b/>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66"/>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63"/>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63"/>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按照《中华人民共和国政府采购法》第二十二条和询价通知书的规定，我单位郑重声明如下：</w:t>
      </w:r>
      <w:r>
        <w:rPr>
          <w:highlight w:val="none"/>
        </w:rPr>
      </w:r>
      <w:r/>
    </w:p>
    <w:p>
      <w:pPr>
        <w:pStyle w:val="977"/>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77"/>
        <w:ind w:firstLine="480"/>
        <w:spacing w:line="460" w:lineRule="exact"/>
        <w:rPr>
          <w:highlight w:val="none"/>
        </w:rPr>
      </w:pPr>
      <w:r>
        <w:rPr>
          <w:rFonts w:hint="eastAsia"/>
          <w:highlight w:val="none"/>
        </w:rPr>
        <w:t xml:space="preserve">二、我单位未被“国家企业信用信息系统”列入经营异常名录或者严重违法企业名单。</w:t>
      </w:r>
      <w:r>
        <w:rPr>
          <w:highlight w:val="none"/>
        </w:rPr>
      </w:r>
      <w:r/>
    </w:p>
    <w:p>
      <w:pPr>
        <w:pStyle w:val="977"/>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977"/>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977"/>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77"/>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77"/>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77"/>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977"/>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977"/>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77"/>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977"/>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977"/>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77"/>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77"/>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highlight w:val="none"/>
        </w:rPr>
      </w:r>
      <w:r/>
    </w:p>
    <w:p>
      <w:pPr>
        <w:pStyle w:val="977"/>
        <w:ind w:firstLine="480"/>
        <w:spacing w:line="460" w:lineRule="exact"/>
        <w:rPr>
          <w:highlight w:val="none"/>
        </w:rPr>
      </w:pPr>
      <w:r>
        <w:rPr>
          <w:rFonts w:hint="eastAsia"/>
          <w:highlight w:val="none"/>
        </w:rPr>
        <w:t xml:space="preserve">                                            供应商：（加盖公章）</w:t>
      </w:r>
      <w:r>
        <w:rPr>
          <w:highlight w:val="none"/>
        </w:rPr>
      </w:r>
      <w:r/>
    </w:p>
    <w:p>
      <w:pPr>
        <w:pStyle w:val="977"/>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77"/>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rFonts w:hint="eastAsia"/>
          <w:sz w:val="24"/>
          <w:highlight w:val="none"/>
        </w:rPr>
      </w:pPr>
      <w:r>
        <w:rPr>
          <w:rFonts w:hint="eastAsia"/>
          <w:sz w:val="24"/>
          <w:highlight w:val="none"/>
        </w:rPr>
      </w:r>
      <w:r/>
    </w:p>
    <w:p>
      <w:pPr>
        <w:pStyle w:val="963"/>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963"/>
        <w:spacing w:line="360" w:lineRule="auto"/>
        <w:tabs>
          <w:tab w:val="left" w:pos="5580" w:leader="none"/>
        </w:tabs>
        <w:rPr>
          <w:sz w:val="24"/>
          <w:highlight w:val="none"/>
        </w:rPr>
        <w:sectPr>
          <w:footnotePr/>
          <w:endnotePr/>
          <w:type w:val="nextPage"/>
          <w:pgSz w:w="11907" w:h="16840" w:orient="portrait"/>
          <w:pgMar w:top="1418" w:right="1134" w:bottom="1418" w:left="1587" w:header="851" w:footer="851" w:gutter="0"/>
          <w:cols w:num="1" w:sep="0" w:space="1701" w:equalWidth="1"/>
          <w:docGrid w:linePitch="360"/>
        </w:sectPr>
      </w:pP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963"/>
        <w:spacing w:line="360" w:lineRule="auto"/>
        <w:tabs>
          <w:tab w:val="left" w:pos="5580" w:leader="none"/>
        </w:tabs>
        <w:rPr>
          <w:sz w:val="24"/>
          <w:highlight w:val="none"/>
        </w:rPr>
      </w:pPr>
      <w:r>
        <w:rPr>
          <w:sz w:val="24"/>
          <w:highlight w:val="none"/>
        </w:rPr>
      </w:r>
      <w:r/>
    </w:p>
    <w:p>
      <w:pPr>
        <w:pStyle w:val="963"/>
        <w:spacing w:line="360" w:lineRule="auto"/>
        <w:tabs>
          <w:tab w:val="left" w:pos="5580" w:leader="none"/>
        </w:tabs>
        <w:rPr>
          <w:sz w:val="24"/>
          <w:highlight w:val="none"/>
        </w:rPr>
      </w:pPr>
      <w:r>
        <w:rPr>
          <w:sz w:val="24"/>
          <w:highlight w:val="none"/>
        </w:rPr>
        <w:t xml:space="preserve">说明：</w:t>
      </w:r>
      <w:r>
        <w:rPr>
          <w:sz w:val="24"/>
          <w:highlight w:val="none"/>
        </w:rPr>
      </w:r>
      <w:r/>
    </w:p>
    <w:p>
      <w:pPr>
        <w:pStyle w:val="963"/>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供应商非必须</w:t>
      </w:r>
      <w:r>
        <w:rPr>
          <w:sz w:val="24"/>
          <w:highlight w:val="none"/>
        </w:rPr>
        <w:t xml:space="preserve">提供</w:t>
      </w:r>
      <w:r>
        <w:rPr>
          <w:rFonts w:hint="eastAsia"/>
          <w:sz w:val="24"/>
          <w:highlight w:val="none"/>
        </w:rPr>
        <w:t xml:space="preserve">；当小微企业拟享受中小企业扶持政策时，仍应提供</w:t>
      </w:r>
      <w:r>
        <w:rPr>
          <w:sz w:val="24"/>
          <w:highlight w:val="none"/>
        </w:rPr>
        <w:t xml:space="preserve">《中小企业声明函》</w:t>
      </w:r>
      <w:r>
        <w:rPr>
          <w:rFonts w:hint="eastAsia"/>
          <w:sz w:val="24"/>
          <w:highlight w:val="none"/>
        </w:rPr>
        <w:t xml:space="preserve">，</w:t>
      </w:r>
      <w:r>
        <w:rPr>
          <w:color w:val="000000"/>
          <w:sz w:val="24"/>
          <w:highlight w:val="none"/>
        </w:rPr>
        <w:t xml:space="preserve">否则不得享受相关中小企业扶持政策</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963"/>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63"/>
        <w:spacing w:line="360" w:lineRule="auto"/>
        <w:tabs>
          <w:tab w:val="left" w:pos="5580" w:leader="none"/>
        </w:tabs>
        <w:rPr>
          <w:sz w:val="24"/>
          <w:highlight w:val="none"/>
        </w:rPr>
      </w:pPr>
      <w:r>
        <w:rPr>
          <w:sz w:val="24"/>
          <w:highlight w:val="none"/>
        </w:rPr>
        <w:t xml:space="preserve">（4）其它</w:t>
      </w:r>
      <w:r>
        <w:rPr>
          <w:sz w:val="24"/>
          <w:highlight w:val="none"/>
        </w:rPr>
      </w:r>
      <w:r/>
    </w:p>
    <w:p>
      <w:pPr>
        <w:pStyle w:val="963"/>
        <w:spacing w:line="360" w:lineRule="auto"/>
        <w:tabs>
          <w:tab w:val="left" w:pos="5580" w:leader="none"/>
        </w:tabs>
        <w:rPr>
          <w:sz w:val="24"/>
          <w:highlight w:val="none"/>
        </w:rPr>
      </w:pPr>
      <w:r>
        <w:rPr>
          <w:sz w:val="24"/>
          <w:highlight w:val="none"/>
        </w:rPr>
        <w:t xml:space="preserve">1）中小企业参加政府采购活动，应当出具此格式文件。《中小企业声明函》由参加政府采购活动的供应商出具。联合体</w:t>
      </w:r>
      <w:r>
        <w:rPr>
          <w:rFonts w:hint="eastAsia"/>
          <w:sz w:val="24"/>
          <w:highlight w:val="none"/>
        </w:rPr>
        <w:t xml:space="preserve">响应</w:t>
      </w:r>
      <w:r>
        <w:rPr>
          <w:sz w:val="24"/>
          <w:highlight w:val="none"/>
        </w:rPr>
        <w:t xml:space="preserve">的，《中小企业声明函》由牵头人出具。</w:t>
      </w:r>
      <w:r>
        <w:rPr>
          <w:sz w:val="24"/>
          <w:highlight w:val="none"/>
        </w:rPr>
      </w:r>
      <w:r/>
    </w:p>
    <w:p>
      <w:pPr>
        <w:pStyle w:val="963"/>
        <w:spacing w:line="360" w:lineRule="auto"/>
        <w:tabs>
          <w:tab w:val="left" w:pos="5580" w:leader="none"/>
        </w:tabs>
        <w:rPr>
          <w:sz w:val="24"/>
          <w:highlight w:val="none"/>
        </w:rPr>
      </w:pPr>
      <w:r>
        <w:rPr>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63"/>
        <w:spacing w:line="360" w:lineRule="auto"/>
        <w:tabs>
          <w:tab w:val="left" w:pos="5580" w:leader="none"/>
        </w:tabs>
        <w:rPr>
          <w:sz w:val="24"/>
          <w:highlight w:val="none"/>
        </w:rPr>
      </w:pPr>
      <w:r>
        <w:rPr>
          <w:sz w:val="24"/>
          <w:highlight w:val="none"/>
        </w:rPr>
        <w:t xml:space="preserve">3）对于多标的的采购项目，供应商应充分、准确地了解所投产品制造企业信息。对相关情况了解不清楚的，不建议填报本声明函。</w:t>
      </w:r>
      <w:r>
        <w:rPr>
          <w:sz w:val="24"/>
          <w:highlight w:val="none"/>
        </w:rPr>
      </w:r>
      <w:r/>
    </w:p>
    <w:p>
      <w:pPr>
        <w:pStyle w:val="963"/>
        <w:spacing w:line="360" w:lineRule="auto"/>
        <w:tabs>
          <w:tab w:val="left" w:pos="5580" w:leader="none"/>
        </w:tabs>
        <w:rPr>
          <w:sz w:val="24"/>
          <w:highlight w:val="none"/>
        </w:rPr>
      </w:pPr>
      <w:r>
        <w:rPr>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r>
      <w:r/>
    </w:p>
    <w:p>
      <w:pPr>
        <w:pStyle w:val="963"/>
        <w:spacing w:line="360" w:lineRule="auto"/>
        <w:tabs>
          <w:tab w:val="left" w:pos="5580" w:leader="none"/>
        </w:tabs>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jc w:val="center"/>
        <w:rPr>
          <w:b/>
          <w:color w:val="000000"/>
          <w:sz w:val="36"/>
          <w:szCs w:val="36"/>
          <w:highlight w:val="none"/>
        </w:rPr>
      </w:pPr>
      <w:r>
        <w:rPr>
          <w:rFonts w:hint="eastAsia"/>
          <w:b/>
          <w:color w:val="000000"/>
          <w:sz w:val="36"/>
          <w:szCs w:val="36"/>
          <w:highlight w:val="none"/>
        </w:rPr>
        <w:t xml:space="preserve">中小企业声明函（货物）格式</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号）的规定，本公司参加（单位名称）的（项目名称）采购活动，提供的货物全部由符合政策要求的中小企业制造。相关企业的具体情况如下：</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color w:val="000000"/>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（询价通知书中明确的所属行业）</w:t>
      </w:r>
      <w:r>
        <w:rPr>
          <w:spacing w:val="6"/>
          <w:sz w:val="24"/>
          <w:highlight w:val="none"/>
        </w:rPr>
        <w:t xml:space="preserve">行业；</w:t>
      </w:r>
      <w:r>
        <w:rPr>
          <w:rFonts w:hint="eastAsia"/>
          <w:b/>
          <w:bCs/>
          <w:spacing w:val="6"/>
          <w:sz w:val="24"/>
          <w:highlight w:val="none"/>
          <w:lang w:val="en-US" w:eastAsia="zh-CN"/>
        </w:rPr>
        <w:t xml:space="preserve">制造商</w:t>
      </w:r>
      <w:r>
        <w:rPr>
          <w:spacing w:val="6"/>
          <w:sz w:val="24"/>
          <w:highlight w:val="none"/>
        </w:rPr>
        <w:t xml:space="preserve">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63"/>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63"/>
        <w:ind w:firstLine="504"/>
        <w:spacing w:line="360" w:lineRule="auto"/>
        <w:rPr>
          <w:spacing w:val="6"/>
          <w:sz w:val="24"/>
          <w:highlight w:val="none"/>
        </w:rPr>
      </w:pPr>
      <w:r>
        <w:rPr>
          <w:spacing w:val="6"/>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企业名称（盖章）：________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p>
      <w:pPr>
        <w:pStyle w:val="963"/>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3"/>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63"/>
        <w:ind w:firstLine="420"/>
        <w:jc w:val="left"/>
        <w:rPr>
          <w:sz w:val="24"/>
          <w:highlight w:val="none"/>
        </w:rPr>
      </w:pPr>
      <w:r>
        <w:rPr>
          <w:sz w:val="24"/>
          <w:highlight w:val="none"/>
        </w:rPr>
      </w:r>
      <w:r/>
    </w:p>
    <w:p>
      <w:pPr>
        <w:pStyle w:val="963"/>
        <w:spacing w:line="360" w:lineRule="auto"/>
        <w:rPr>
          <w:color w:val="000000"/>
          <w:sz w:val="24"/>
          <w:highlight w:val="none"/>
        </w:rPr>
      </w:pPr>
      <w:r>
        <w:rPr>
          <w:color w:val="000000"/>
          <w:sz w:val="24"/>
          <w:highlight w:val="none"/>
        </w:rPr>
      </w:r>
      <w:r/>
    </w:p>
    <w:p>
      <w:pPr>
        <w:pStyle w:val="963"/>
        <w:jc w:val="center"/>
        <w:spacing w:before="240" w:after="240" w:line="360" w:lineRule="auto"/>
        <w:rPr>
          <w:color w:val="000000"/>
          <w:sz w:val="24"/>
          <w:szCs w:val="20"/>
          <w:highlight w:val="none"/>
        </w:rPr>
      </w:pPr>
      <w:r>
        <w:rPr>
          <w:color w:val="000000"/>
          <w:sz w:val="24"/>
          <w:highlight w:val="none"/>
        </w:rPr>
        <w:br w:type="page" w:clear="all"/>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63"/>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63"/>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63"/>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firstLine="504"/>
        <w:spacing w:line="588" w:lineRule="exact"/>
        <w:rPr>
          <w:spacing w:val="6"/>
          <w:sz w:val="24"/>
          <w:highlight w:val="none"/>
        </w:rPr>
      </w:pP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963"/>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jc w:val="left"/>
        <w:widowControl/>
        <w:rPr>
          <w:sz w:val="24"/>
          <w:highlight w:val="none"/>
        </w:rPr>
      </w:pPr>
      <w:r>
        <w:rPr>
          <w:sz w:val="24"/>
          <w:highlight w:val="none"/>
        </w:rPr>
      </w:r>
      <w:r/>
    </w:p>
    <w:p>
      <w:pPr>
        <w:pStyle w:val="963"/>
        <w:jc w:val="left"/>
        <w:widowControl/>
        <w:rPr>
          <w:sz w:val="24"/>
          <w:highlight w:val="none"/>
        </w:rPr>
      </w:pPr>
      <w:r>
        <w:rPr>
          <w:sz w:val="24"/>
          <w:highlight w:val="none"/>
        </w:rPr>
        <w:br w:type="page" w:clear="all"/>
      </w:r>
      <w:r>
        <w:rPr>
          <w:sz w:val="24"/>
          <w:highlight w:val="none"/>
        </w:rPr>
      </w:r>
      <w:r/>
    </w:p>
    <w:p>
      <w:pPr>
        <w:pStyle w:val="963"/>
        <w:spacing w:line="360" w:lineRule="auto"/>
        <w:rPr>
          <w:color w:val="000000"/>
          <w:sz w:val="24"/>
          <w:szCs w:val="20"/>
          <w:highlight w:val="none"/>
        </w:rPr>
        <w:outlineLvl w:val="2"/>
      </w:pP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963"/>
        <w:jc w:val="left"/>
        <w:widowControl/>
        <w:rPr>
          <w:sz w:val="24"/>
          <w:highlight w:val="none"/>
        </w:rPr>
      </w:pPr>
      <w:r>
        <w:rPr>
          <w:sz w:val="24"/>
          <w:highlight w:val="none"/>
        </w:rPr>
      </w:r>
      <w:r/>
    </w:p>
    <w:p>
      <w:pPr>
        <w:pStyle w:val="963"/>
        <w:spacing w:line="360" w:lineRule="auto"/>
        <w:rPr>
          <w:sz w:val="24"/>
          <w:szCs w:val="20"/>
          <w:highlight w:val="none"/>
        </w:rPr>
        <w:outlineLvl w:val="2"/>
      </w:pPr>
      <w:r>
        <w:rPr>
          <w:color w:val="000000"/>
          <w:sz w:val="24"/>
          <w:szCs w:val="20"/>
          <w:highlight w:val="none"/>
        </w:rPr>
        <w:t xml:space="preserve">3-2其他</w:t>
      </w:r>
      <w:r>
        <w:rPr>
          <w:sz w:val="24"/>
          <w:szCs w:val="20"/>
          <w:highlight w:val="none"/>
        </w:rPr>
        <w:t xml:space="preserve">特定资格要求</w:t>
      </w:r>
      <w:r>
        <w:rPr>
          <w:sz w:val="24"/>
          <w:szCs w:val="20"/>
          <w:highlight w:val="none"/>
        </w:rPr>
      </w:r>
      <w:r/>
    </w:p>
    <w:p>
      <w:pPr>
        <w:pStyle w:val="963"/>
        <w:spacing w:line="360" w:lineRule="auto"/>
        <w:tabs>
          <w:tab w:val="left" w:pos="5580" w:leader="none"/>
        </w:tabs>
        <w:rPr>
          <w:sz w:val="24"/>
          <w:szCs w:val="20"/>
          <w:highlight w:val="none"/>
        </w:rPr>
      </w:pPr>
      <w:r>
        <w:rPr>
          <w:sz w:val="24"/>
          <w:szCs w:val="20"/>
          <w:highlight w:val="none"/>
        </w:rPr>
      </w:r>
      <w:r/>
    </w:p>
    <w:p>
      <w:pPr>
        <w:pStyle w:val="963"/>
        <w:spacing w:line="360" w:lineRule="auto"/>
        <w:rPr>
          <w:color w:val="000000"/>
          <w:sz w:val="24"/>
          <w:szCs w:val="20"/>
          <w:highlight w:val="none"/>
        </w:rPr>
        <w:outlineLvl w:val="2"/>
      </w:pPr>
      <w:r>
        <w:rPr>
          <w:b/>
          <w:sz w:val="24"/>
          <w:highlight w:val="none"/>
        </w:rPr>
        <w:br w:type="page" w:clear="all"/>
      </w:r>
      <w:bookmarkStart w:id="648" w:name="_Toc127151557"/>
      <w:r/>
      <w:bookmarkStart w:id="649" w:name="_Toc305158899"/>
      <w:r/>
      <w:bookmarkStart w:id="650" w:name="_Toc226309801"/>
      <w:r/>
      <w:bookmarkStart w:id="651" w:name="_Toc305158825"/>
      <w:r/>
      <w:bookmarkStart w:id="652" w:name="_Toc265228395"/>
      <w:r/>
      <w:bookmarkStart w:id="653" w:name="_Toc150480795"/>
      <w:r/>
      <w:bookmarkStart w:id="654" w:name="_Toc226337253"/>
      <w:r/>
      <w:bookmarkStart w:id="655" w:name="_Toc520356218"/>
      <w:r/>
      <w:bookmarkStart w:id="656" w:name="_Ref467988705"/>
      <w:r/>
      <w:bookmarkStart w:id="657" w:name="_Toc226965830"/>
      <w:r/>
      <w:bookmarkStart w:id="658" w:name="_Toc150774762"/>
      <w:r/>
      <w:bookmarkStart w:id="659" w:name="_Toc264969247"/>
      <w:r/>
      <w:bookmarkStart w:id="660" w:name="_Toc480942350"/>
      <w:r/>
      <w:bookmarkStart w:id="661" w:name="_Toc195842922"/>
      <w:r/>
      <w:bookmarkStart w:id="662" w:name="_Toc226965747"/>
      <w:r/>
      <w:bookmarkStart w:id="663" w:name="_Toc142311059"/>
      <w:r>
        <w:rPr>
          <w:rFonts w:hint="eastAsia"/>
          <w:color w:val="000000"/>
          <w:sz w:val="24"/>
          <w:highlight w:val="none"/>
        </w:rPr>
        <w:t xml:space="preserve">4</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63"/>
        <w:spacing w:line="360" w:lineRule="auto"/>
        <w:tabs>
          <w:tab w:val="left" w:pos="5580" w:leader="none"/>
        </w:tabs>
        <w:rPr>
          <w:color w:val="000000"/>
          <w:sz w:val="24"/>
          <w:highlight w:val="none"/>
        </w:rPr>
      </w:pPr>
      <w:r>
        <w:rPr>
          <w:color w:val="000000"/>
          <w:sz w:val="24"/>
          <w:highlight w:val="none"/>
        </w:rPr>
      </w:r>
      <w:r/>
    </w:p>
    <w:p>
      <w:pPr>
        <w:pStyle w:val="963"/>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63"/>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63"/>
        <w:spacing w:line="360" w:lineRule="auto"/>
        <w:tabs>
          <w:tab w:val="left" w:pos="5580" w:leader="none"/>
        </w:tabs>
        <w:rPr>
          <w:color w:val="000000"/>
          <w:sz w:val="24"/>
          <w:szCs w:val="20"/>
          <w:highlight w:val="none"/>
        </w:rPr>
      </w:pP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63"/>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已详细审查全部询价通知书</w:t>
      </w:r>
      <w:r>
        <w:rPr>
          <w:color w:val="000000"/>
          <w:sz w:val="24"/>
          <w:szCs w:val="20"/>
          <w:highlight w:val="none"/>
        </w:rPr>
        <w:t xml:space="preserve">，自愿参与响应并承诺如下：</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w:t>
      </w:r>
      <w:r>
        <w:rPr>
          <w:rFonts w:hint="eastAsia"/>
          <w:color w:val="000000"/>
          <w:sz w:val="24"/>
          <w:szCs w:val="20"/>
          <w:highlight w:val="none"/>
        </w:rPr>
        <w:t xml:space="preserve">响应</w:t>
      </w:r>
      <w:r>
        <w:rPr>
          <w:color w:val="000000"/>
          <w:sz w:val="24"/>
          <w:szCs w:val="20"/>
          <w:highlight w:val="none"/>
        </w:rPr>
        <w:t xml:space="preserve">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63"/>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（2）除合同条款及采购需求偏离表列出的偏离外，我方响应询价通知书的全部要求。</w:t>
      </w:r>
      <w:r>
        <w:rPr>
          <w:color w:val="000000"/>
          <w:sz w:val="24"/>
          <w:szCs w:val="20"/>
          <w:highlight w:val="none"/>
        </w:rPr>
      </w:r>
      <w:r/>
    </w:p>
    <w:p>
      <w:pPr>
        <w:pStyle w:val="963"/>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63"/>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63"/>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63"/>
        <w:ind w:firstLine="480"/>
        <w:spacing w:line="360" w:lineRule="auto"/>
        <w:rPr>
          <w:color w:val="000000"/>
          <w:sz w:val="24"/>
          <w:highlight w:val="none"/>
        </w:rPr>
      </w:pPr>
      <w:r>
        <w:rPr>
          <w:color w:val="000000"/>
          <w:sz w:val="24"/>
          <w:highlight w:val="none"/>
        </w:rPr>
        <w:t xml:space="preserve">与本</w:t>
      </w:r>
      <w:r>
        <w:rPr>
          <w:rFonts w:hint="eastAsia"/>
          <w:color w:val="000000"/>
          <w:sz w:val="24"/>
          <w:highlight w:val="none"/>
        </w:rPr>
        <w:t xml:space="preserve">响应</w:t>
      </w:r>
      <w:r>
        <w:rPr>
          <w:color w:val="000000"/>
          <w:sz w:val="24"/>
          <w:highlight w:val="none"/>
        </w:rPr>
        <w:t xml:space="preserve">有关的一切正式往来信函请寄：</w:t>
      </w:r>
      <w:r>
        <w:rPr>
          <w:color w:val="000000"/>
          <w:sz w:val="24"/>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63"/>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6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63"/>
        <w:jc w:val="left"/>
        <w:widowControl/>
        <w:rPr>
          <w:rFonts w:hint="eastAsia"/>
          <w:color w:val="000000"/>
          <w:sz w:val="24"/>
          <w:highlight w:val="none"/>
        </w:rPr>
      </w:pPr>
      <w:r/>
      <w:bookmarkStart w:id="664" w:name="_Hlt520355938"/>
      <w:r/>
      <w:bookmarkEnd w:id="664"/>
      <w:r/>
      <w:bookmarkStart w:id="665" w:name="_Hlt520356243"/>
      <w:r/>
      <w:bookmarkEnd w:id="665"/>
      <w:r>
        <w:rPr>
          <w:color w:val="000000"/>
          <w:sz w:val="24"/>
          <w:highlight w:val="none"/>
        </w:rPr>
        <w:br w:type="page" w:clear="all"/>
      </w: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5</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上述项目的响应文件、进行合同谈判、签署合同和处理与之有关的一切事务。</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63"/>
        <w:spacing w:line="560" w:lineRule="exact"/>
        <w:rPr>
          <w:rFonts w:ascii="宋体" w:hAnsi="宋体"/>
          <w:sz w:val="24"/>
          <w:highlight w:val="none"/>
        </w:rPr>
      </w:pPr>
      <w:r>
        <w:rPr>
          <w:rFonts w:ascii="宋体" w:hAnsi="宋体"/>
          <w:sz w:val="24"/>
          <w:highlight w:val="none"/>
        </w:rPr>
      </w:r>
      <w:r/>
    </w:p>
    <w:p>
      <w:pPr>
        <w:pStyle w:val="994"/>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63"/>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963"/>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63"/>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63"/>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询价通知书</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r>
      <w:r/>
    </w:p>
    <w:p>
      <w:pPr>
        <w:pStyle w:val="963"/>
        <w:jc w:val="left"/>
        <w:widowControl/>
        <w:rPr>
          <w:rFonts w:hint="eastAsia"/>
          <w:color w:val="000000"/>
          <w:sz w:val="24"/>
          <w:highlight w:val="none"/>
        </w:rPr>
      </w:pPr>
      <w:r>
        <w:rPr>
          <w:rFonts w:hint="eastAsia"/>
          <w:color w:val="000000"/>
          <w:sz w:val="24"/>
          <w:highlight w:val="none"/>
        </w:rPr>
        <w:t xml:space="preserve">6  政府采购供应商信用承诺书</w:t>
      </w:r>
      <w:r>
        <w:rPr>
          <w:color w:val="000000"/>
          <w:sz w:val="24"/>
          <w:szCs w:val="20"/>
          <w:highlight w:val="none"/>
        </w:rPr>
        <w:t xml:space="preserve">（实质性格式）</w:t>
      </w:r>
      <w:r>
        <w:rPr>
          <w:rFonts w:hint="eastAsia"/>
          <w:color w:val="000000"/>
          <w:sz w:val="24"/>
          <w:highlight w:val="none"/>
        </w:rPr>
      </w:r>
      <w:r/>
    </w:p>
    <w:p>
      <w:pPr>
        <w:pStyle w:val="963"/>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63"/>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63"/>
        <w:ind w:firstLine="640"/>
        <w:rPr>
          <w:highlight w:val="none"/>
        </w:rPr>
      </w:pPr>
      <w:r>
        <w:rPr>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63"/>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10"/>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7  报价一览表</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color w:val="000000"/>
          <w:sz w:val="24"/>
          <w:szCs w:val="20"/>
          <w:highlight w:val="none"/>
        </w:rPr>
      </w:r>
      <w:r/>
    </w:p>
    <w:p>
      <w:pPr>
        <w:pStyle w:val="963"/>
        <w:jc w:val="center"/>
        <w:rPr>
          <w:b/>
          <w:color w:val="000000"/>
          <w:sz w:val="36"/>
          <w:szCs w:val="36"/>
          <w:highlight w:val="none"/>
        </w:rPr>
      </w:pPr>
      <w:r/>
      <w:bookmarkStart w:id="666" w:name="_Toc195842923"/>
      <w:r/>
      <w:bookmarkStart w:id="667" w:name="_Toc164608672"/>
      <w:r/>
      <w:bookmarkStart w:id="668" w:name="_Toc226309802"/>
      <w:r/>
      <w:bookmarkStart w:id="669" w:name="_Toc305158900"/>
      <w:r/>
      <w:bookmarkStart w:id="670" w:name="_Toc265228396"/>
      <w:r/>
      <w:bookmarkStart w:id="671" w:name="_Toc264969248"/>
      <w:r/>
      <w:bookmarkStart w:id="672" w:name="_Toc164608827"/>
      <w:r/>
      <w:bookmarkStart w:id="673" w:name="_Toc226965831"/>
      <w:r/>
      <w:bookmarkStart w:id="674" w:name="_Toc226337254"/>
      <w:r/>
      <w:bookmarkStart w:id="675" w:name="_Toc226965748"/>
      <w:r/>
      <w:bookmarkStart w:id="676" w:name="_Toc305158826"/>
      <w:r>
        <w:rPr>
          <w:rFonts w:hint="eastAsia"/>
          <w:b/>
          <w:color w:val="000000"/>
          <w:sz w:val="36"/>
          <w:szCs w:val="36"/>
          <w:highlight w:val="none"/>
        </w:rPr>
        <w:t xml:space="preserve">报价一览表</w:t>
      </w:r>
      <w:bookmarkEnd w:id="666"/>
      <w:r/>
      <w:bookmarkEnd w:id="667"/>
      <w:r/>
      <w:bookmarkEnd w:id="668"/>
      <w:r/>
      <w:bookmarkEnd w:id="669"/>
      <w:r/>
      <w:bookmarkEnd w:id="670"/>
      <w:r/>
      <w:bookmarkEnd w:id="671"/>
      <w:r/>
      <w:bookmarkEnd w:id="672"/>
      <w:r/>
      <w:bookmarkEnd w:id="673"/>
      <w:r/>
      <w:bookmarkEnd w:id="674"/>
      <w:r/>
      <w:bookmarkEnd w:id="675"/>
      <w:r/>
      <w:bookmarkEnd w:id="676"/>
      <w:r>
        <w:rPr>
          <w:b/>
          <w:color w:val="000000"/>
          <w:sz w:val="36"/>
          <w:szCs w:val="36"/>
          <w:highlight w:val="none"/>
        </w:rPr>
      </w:r>
      <w:r/>
    </w:p>
    <w:p>
      <w:pPr>
        <w:pStyle w:val="963"/>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63"/>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499" w:type="pct"/>
        <w:jc w:val="center"/>
        <w:tblInd w:w="4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
        <w:gridCol w:w="3284"/>
        <w:gridCol w:w="2076"/>
        <w:gridCol w:w="2185"/>
      </w:tblGrid>
      <w:tr>
        <w:trPr>
          <w:trHeight w:val="531"/>
        </w:trPr>
        <w:tc>
          <w:tcPr>
            <w:tcW w:w="496"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963"/>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261" w:type="dxa"/>
            <w:vAlign w:val="center"/>
            <w:textDirection w:val="lrTb"/>
            <w:noWrap w:val="false"/>
          </w:tcPr>
          <w:p>
            <w:pPr>
              <w:pStyle w:val="963"/>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lang w:eastAsia="zh-CN"/>
              </w:rPr>
              <w:t xml:space="preserve">（</w:t>
            </w:r>
            <w:r>
              <w:rPr>
                <w:rFonts w:hint="eastAsia"/>
                <w:b/>
                <w:sz w:val="24"/>
                <w:highlight w:val="none"/>
                <w:lang w:val="en-US" w:eastAsia="zh-CN"/>
              </w:rPr>
              <w:t xml:space="preserve">元/瓶</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831" w:type="dxa"/>
            <w:vAlign w:val="center"/>
            <w:vMerge w:val="continue"/>
            <w:textDirection w:val="lrTb"/>
            <w:noWrap w:val="false"/>
          </w:tcPr>
          <w:p>
            <w:pPr>
              <w:pStyle w:val="963"/>
              <w:jc w:val="left"/>
              <w:widowControl/>
              <w:rPr>
                <w:b/>
                <w:sz w:val="24"/>
                <w:highlight w:val="none"/>
              </w:rPr>
            </w:pPr>
            <w:r>
              <w:rPr>
                <w:b/>
                <w:sz w:val="24"/>
                <w:highlight w:val="none"/>
              </w:rPr>
            </w:r>
            <w:r/>
          </w:p>
        </w:tc>
        <w:tc>
          <w:tcPr>
            <w:tcW w:w="3284" w:type="dxa"/>
            <w:vAlign w:val="center"/>
            <w:vMerge w:val="continue"/>
            <w:textDirection w:val="lrTb"/>
            <w:noWrap w:val="false"/>
          </w:tcPr>
          <w:p>
            <w:pPr>
              <w:pStyle w:val="963"/>
              <w:jc w:val="left"/>
              <w:widowControl/>
              <w:rPr>
                <w:b/>
                <w:sz w:val="24"/>
                <w:highlight w:val="none"/>
              </w:rPr>
            </w:pPr>
            <w:r>
              <w:rPr>
                <w:b/>
                <w:sz w:val="24"/>
                <w:highlight w:val="none"/>
              </w:rPr>
            </w:r>
            <w:r/>
          </w:p>
        </w:tc>
        <w:tc>
          <w:tcPr>
            <w:tcW w:w="1239"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963"/>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976"/>
        </w:trPr>
        <w:tc>
          <w:tcPr>
            <w:tcW w:w="496"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963"/>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963"/>
              <w:jc w:val="center"/>
              <w:tabs>
                <w:tab w:val="left" w:pos="5580" w:leader="none"/>
              </w:tabs>
              <w:rPr>
                <w:sz w:val="24"/>
                <w:highlight w:val="none"/>
              </w:rPr>
            </w:pPr>
            <w:r>
              <w:rPr>
                <w:sz w:val="24"/>
                <w:highlight w:val="none"/>
              </w:rPr>
            </w:r>
            <w:r/>
          </w:p>
        </w:tc>
      </w:tr>
    </w:tbl>
    <w:p>
      <w:pPr>
        <w:pStyle w:val="963"/>
        <w:jc w:val="left"/>
        <w:rPr>
          <w:color w:val="000000"/>
          <w:sz w:val="24"/>
          <w:highlight w:val="none"/>
        </w:rPr>
      </w:pPr>
      <w:r>
        <w:rPr>
          <w:color w:val="000000"/>
          <w:sz w:val="24"/>
          <w:highlight w:val="none"/>
        </w:rPr>
      </w:r>
      <w:r/>
    </w:p>
    <w:p>
      <w:pPr>
        <w:pStyle w:val="963"/>
        <w:ind w:firstLine="480"/>
        <w:keepLines w:val="0"/>
        <w:keepNext w:val="0"/>
        <w:pageBreakBefore w:val="0"/>
        <w:spacing w:line="360" w:lineRule="auto"/>
        <w:widowControl w:val="off"/>
        <w:tabs>
          <w:tab w:val="left" w:pos="5580" w:leader="none"/>
        </w:tabs>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lang w:val="en-US" w:eastAsia="zh-CN"/>
        </w:rPr>
        <w:t xml:space="preserve">1.</w:t>
      </w:r>
      <w:r>
        <w:rPr>
          <w:color w:val="000000"/>
          <w:sz w:val="24"/>
          <w:szCs w:val="20"/>
        </w:rPr>
        <w:t xml:space="preserve">本表必须按包分别填写。</w:t>
      </w:r>
      <w:r>
        <w:rPr>
          <w:rFonts w:hint="eastAsia" w:ascii="Times New Roman" w:hAnsi="Times New Roman" w:eastAsia="宋体" w:cs="Times New Roman"/>
          <w:color w:val="000000"/>
          <w:sz w:val="24"/>
          <w:highlight w:val="none"/>
          <w:lang w:val="en-US" w:eastAsia="zh-CN"/>
        </w:rPr>
      </w:r>
      <w:r/>
    </w:p>
    <w:p>
      <w:pPr>
        <w:pStyle w:val="963"/>
        <w:ind w:firstLine="480"/>
        <w:keepLines w:val="0"/>
        <w:keepNext w:val="0"/>
        <w:pageBreakBefore w:val="0"/>
        <w:spacing w:line="360" w:lineRule="auto"/>
        <w:widowControl w:val="off"/>
        <w:tabs>
          <w:tab w:val="left" w:pos="5580" w:leader="none"/>
        </w:tabs>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2.</w:t>
      </w:r>
      <w:r>
        <w:rPr>
          <w:rFonts w:ascii="Times New Roman" w:hAnsi="Times New Roman" w:eastAsia="宋体" w:cs="Times New Roman"/>
          <w:color w:val="000000"/>
          <w:sz w:val="24"/>
          <w:szCs w:val="20"/>
        </w:rPr>
        <w:t xml:space="preserve">此表中，每包的报价应和《分项报价表》中的总价相一致。</w:t>
      </w:r>
      <w:r>
        <w:rPr>
          <w:rFonts w:ascii="Times New Roman" w:hAnsi="Times New Roman" w:eastAsia="宋体" w:cs="Times New Roman"/>
          <w:color w:val="000000"/>
          <w:sz w:val="24"/>
          <w:szCs w:val="20"/>
        </w:rPr>
      </w:r>
      <w:r/>
    </w:p>
    <w:p>
      <w:pPr>
        <w:pStyle w:val="963"/>
        <w:tabs>
          <w:tab w:val="left" w:pos="5580" w:leader="none"/>
        </w:tabs>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spacing w:before="25" w:after="25" w:line="360" w:lineRule="auto"/>
        <w:rPr>
          <w:color w:val="000000"/>
          <w:sz w:val="24"/>
          <w:highlight w:val="none"/>
          <w:lang w:val="zh-CN"/>
        </w:rPr>
      </w:pP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ascii="Times New Roman" w:hAnsi="Times New Roman" w:eastAsia="宋体" w:cs="Times New Roman"/>
          <w:color w:val="000000"/>
          <w:sz w:val="24"/>
          <w:szCs w:val="20"/>
          <w:highlight w:val="none"/>
        </w:rPr>
        <w:outlineLvl w:val="2"/>
      </w:pPr>
      <w:r/>
      <w:bookmarkStart w:id="677" w:name="_Toc264969249"/>
      <w:r/>
      <w:bookmarkStart w:id="678" w:name="_Toc265228397"/>
      <w:r/>
      <w:bookmarkStart w:id="679" w:name="_Toc195842924"/>
      <w:r/>
      <w:bookmarkStart w:id="680" w:name="_Toc142311060"/>
      <w:r/>
      <w:bookmarkStart w:id="681" w:name="_Toc226337255"/>
      <w:r/>
      <w:bookmarkStart w:id="682" w:name="_Toc127151558"/>
      <w:r/>
      <w:bookmarkStart w:id="683" w:name="_Toc226965832"/>
      <w:r/>
      <w:bookmarkStart w:id="684" w:name="_Toc305158901"/>
      <w:r/>
      <w:bookmarkStart w:id="685" w:name="_Toc150480796"/>
      <w:r/>
      <w:bookmarkStart w:id="686" w:name="_Toc305158827"/>
      <w:r/>
      <w:bookmarkStart w:id="687" w:name="_Toc150774763"/>
      <w:r/>
      <w:bookmarkStart w:id="688" w:name="_Toc226965749"/>
      <w:r/>
      <w:bookmarkStart w:id="689" w:name="_Toc226309803"/>
      <w:r>
        <w:rPr>
          <w:color w:val="000000"/>
          <w:sz w:val="24"/>
          <w:szCs w:val="20"/>
          <w:highlight w:val="none"/>
        </w:rPr>
        <w:br w:type="page" w:clear="all"/>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Start w:id="690" w:name="_Toc150480798"/>
      <w:r/>
      <w:bookmarkStart w:id="691" w:name="_Toc142311062"/>
      <w:r/>
      <w:bookmarkStart w:id="692" w:name="_Toc226309806"/>
      <w:r/>
      <w:bookmarkStart w:id="693" w:name="_Toc150774765"/>
      <w:r/>
      <w:bookmarkStart w:id="694" w:name="_Toc305158904"/>
      <w:r/>
      <w:bookmarkStart w:id="695" w:name="_Toc264969252"/>
      <w:r/>
      <w:bookmarkStart w:id="696" w:name="_Toc226965752"/>
      <w:r/>
      <w:bookmarkStart w:id="697" w:name="_Toc265228400"/>
      <w:r/>
      <w:bookmarkStart w:id="698" w:name="_Toc226965835"/>
      <w:r/>
      <w:bookmarkStart w:id="699" w:name="_Toc195842927"/>
      <w:r/>
      <w:bookmarkStart w:id="700" w:name="_Toc127151562"/>
      <w:r/>
      <w:bookmarkStart w:id="701" w:name="_Toc226337258"/>
      <w:r/>
      <w:bookmarkStart w:id="702" w:name="_Toc305158830"/>
      <w:r/>
      <w:bookmarkStart w:id="703" w:name="_Toc127151561"/>
      <w:r/>
      <w:bookmarkStart w:id="704" w:name="_Toc150480797"/>
      <w:r/>
      <w:bookmarkStart w:id="705" w:name="_Toc195842926"/>
      <w:r/>
      <w:bookmarkStart w:id="706" w:name="_Toc226965751"/>
      <w:r/>
      <w:bookmarkStart w:id="707" w:name="_Toc265228399"/>
      <w:r/>
      <w:bookmarkStart w:id="708" w:name="_Toc142311061"/>
      <w:r/>
      <w:bookmarkStart w:id="709" w:name="_Toc226309805"/>
      <w:r/>
      <w:bookmarkStart w:id="710" w:name="_Toc305158903"/>
      <w:r/>
      <w:bookmarkStart w:id="711" w:name="_Toc226965834"/>
      <w:r/>
      <w:bookmarkStart w:id="712" w:name="_Toc226337257"/>
      <w:r/>
      <w:bookmarkStart w:id="713" w:name="_Toc264969251"/>
      <w:r/>
      <w:bookmarkStart w:id="714" w:name="_Toc150774764"/>
      <w:r/>
      <w:bookmarkStart w:id="715" w:name="_Toc305158829"/>
      <w:r>
        <w:rPr>
          <w:rFonts w:ascii="Times New Roman" w:hAnsi="Times New Roman" w:eastAsia="宋体" w:cs="Times New Roman"/>
          <w:color w:val="000000"/>
          <w:sz w:val="24"/>
          <w:szCs w:val="20"/>
          <w:highlight w:val="none"/>
        </w:rPr>
        <w:t xml:space="preserve">8  分项报价表</w:t>
      </w:r>
      <w:r>
        <w:rPr>
          <w:rFonts w:ascii="Times New Roman" w:hAnsi="Times New Roman" w:eastAsia="宋体" w:cs="Times New Roman"/>
          <w:color w:val="000000"/>
          <w:sz w:val="24"/>
          <w:szCs w:val="20"/>
          <w:highlight w:val="none"/>
        </w:rPr>
      </w:r>
      <w:r/>
    </w:p>
    <w:p>
      <w:pPr>
        <w:pStyle w:val="963"/>
        <w:jc w:val="center"/>
        <w:spacing w:line="3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963"/>
        <w:jc w:val="center"/>
        <w:spacing w:line="360" w:lineRule="auto"/>
        <w:rPr>
          <w:rFonts w:hint="eastAsia" w:ascii="Times New Roman" w:hAnsi="Times New Roman" w:eastAsia="宋体" w:cs="Times New Roman"/>
          <w:b/>
          <w:color w:val="000000"/>
          <w:sz w:val="36"/>
          <w:szCs w:val="36"/>
          <w:highlight w:val="none"/>
        </w:rPr>
        <w:outlineLvl w:val="2"/>
      </w:pPr>
      <w:r>
        <w:rPr>
          <w:rFonts w:hint="eastAsia" w:ascii="Times New Roman" w:hAnsi="Times New Roman" w:eastAsia="宋体" w:cs="Times New Roman"/>
          <w:b/>
          <w:color w:val="000000"/>
          <w:sz w:val="36"/>
          <w:szCs w:val="36"/>
          <w:highlight w:val="none"/>
        </w:rPr>
        <w:t xml:space="preserve">分项报价表</w:t>
      </w:r>
      <w:r>
        <w:rPr>
          <w:rFonts w:hint="eastAsia" w:ascii="Times New Roman" w:hAnsi="Times New Roman" w:eastAsia="宋体" w:cs="Times New Roman"/>
          <w:b/>
          <w:color w:val="000000"/>
          <w:sz w:val="36"/>
          <w:szCs w:val="36"/>
          <w:highlight w:val="none"/>
        </w:rPr>
      </w:r>
      <w:r/>
    </w:p>
    <w:p>
      <w:pPr>
        <w:pStyle w:val="963"/>
        <w:spacing w:line="360" w:lineRule="auto"/>
        <w:rPr>
          <w:rFonts w:hint="eastAsia" w:ascii="Times New Roman" w:hAnsi="Times New Roman" w:eastAsia="宋体" w:cs="Times New Roman"/>
          <w:b/>
          <w:color w:val="000000"/>
          <w:sz w:val="36"/>
          <w:szCs w:val="36"/>
          <w:highlight w:val="none"/>
        </w:rPr>
        <w:outlineLvl w:val="2"/>
      </w:pPr>
      <w:r>
        <w:rPr>
          <w:rFonts w:ascii="Times New Roman" w:hAnsi="Times New Roman" w:eastAsia="宋体" w:cs="Times New Roman"/>
          <w:color w:val="000000"/>
          <w:sz w:val="24"/>
          <w:highlight w:val="none"/>
        </w:rPr>
        <w:t xml:space="preserve">项目编号/包号：_____________________     项目名称：_______________________</w:t>
      </w:r>
      <w:r>
        <w:rPr>
          <w:rFonts w:hint="eastAsia" w:ascii="Times New Roman" w:hAnsi="Times New Roman" w:eastAsia="宋体" w:cs="Times New Roman"/>
          <w:b/>
          <w:color w:val="000000"/>
          <w:sz w:val="36"/>
          <w:szCs w:val="36"/>
          <w:highlight w:val="none"/>
        </w:rPr>
      </w:r>
      <w:r/>
    </w:p>
    <w:tbl>
      <w:tblPr>
        <w:tblW w:w="9521" w:type="dxa"/>
        <w:jc w:val="center"/>
        <w:tblInd w:w="-3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968"/>
        <w:gridCol w:w="1181"/>
        <w:gridCol w:w="1957"/>
        <w:gridCol w:w="1073"/>
        <w:gridCol w:w="2206"/>
      </w:tblGrid>
      <w:tr>
        <w:trPr>
          <w:cantSplit/>
          <w:trHeight w:val="912"/>
        </w:trPr>
        <w:tc>
          <w:tcPr>
            <w:tcW w:w="113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lang w:val="en-US" w:eastAsia="zh-CN"/>
              </w:rPr>
              <w:t xml:space="preserve">标段</w:t>
            </w:r>
            <w:r>
              <w:rPr>
                <w:rFonts w:hint="eastAsia" w:ascii="宋体" w:hAnsi="宋体" w:eastAsia="宋体" w:cs="Arial"/>
                <w:sz w:val="24"/>
              </w:rPr>
              <w:t xml:space="preserve">号</w:t>
            </w:r>
            <w:r>
              <w:rPr>
                <w:rFonts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规格</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rPr>
              <w:t xml:space="preserve">技术</w:t>
            </w:r>
            <w:r>
              <w:rPr>
                <w:rFonts w:hint="eastAsia" w:ascii="宋体" w:hAnsi="宋体" w:eastAsia="宋体" w:cs="Arial"/>
                <w:sz w:val="24"/>
                <w:lang w:val="en-US" w:eastAsia="zh-CN"/>
              </w:rPr>
              <w:t xml:space="preserve">指标</w:t>
            </w:r>
            <w:r>
              <w:rPr>
                <w:rFonts w:hint="eastAsia" w:ascii="宋体" w:hAnsi="宋体" w:eastAsia="宋体" w:cs="Arial"/>
                <w:sz w:val="24"/>
                <w:lang w:val="en-US" w:eastAsia="zh-CN"/>
              </w:rPr>
            </w:r>
            <w:r/>
          </w:p>
        </w:tc>
        <w:tc>
          <w:tcPr>
            <w:tcW w:w="1073"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tcW w:w="220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rPr>
              <w:t xml:space="preserve">响应单价</w:t>
            </w:r>
            <w:r>
              <w:rPr>
                <w:rFonts w:hint="eastAsia" w:ascii="宋体" w:hAnsi="宋体" w:eastAsia="宋体" w:cs="Arial"/>
                <w:sz w:val="24"/>
                <w:lang w:eastAsia="zh-CN"/>
              </w:rPr>
              <w:t xml:space="preserve">（</w:t>
            </w:r>
            <w:r>
              <w:rPr>
                <w:rFonts w:hint="eastAsia" w:ascii="宋体" w:hAnsi="宋体" w:eastAsia="宋体" w:cs="Arial"/>
                <w:sz w:val="24"/>
                <w:lang w:val="en-US" w:eastAsia="zh-CN"/>
              </w:rPr>
              <w:t xml:space="preserve">元/瓶）</w:t>
            </w:r>
            <w:r>
              <w:rPr>
                <w:rFonts w:hint="eastAsia" w:ascii="宋体" w:hAnsi="宋体" w:eastAsia="宋体" w:cs="Arial"/>
                <w:sz w:val="24"/>
                <w:lang w:eastAsia="zh-CN"/>
              </w:rPr>
            </w:r>
            <w:r/>
          </w:p>
        </w:tc>
      </w:tr>
      <w:tr>
        <w:trPr>
          <w:trHeight w:val="1038"/>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一标段</w:t>
            </w:r>
            <w:r>
              <w:rPr>
                <w:rFonts w:hint="eastAsia" w:ascii="宋体" w:hAnsi="宋体" w:eastAsia="宋体" w:cs="Arial"/>
                <w:sz w:val="24"/>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甲维·茚虫威</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100g/瓶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1067"/>
        </w:trPr>
        <w:tc>
          <w:tcPr>
            <w:tcW w:w="1136"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val="en-US" w:eastAsia="zh-CN"/>
              </w:rPr>
            </w:pPr>
            <w:r>
              <w:rPr>
                <w:rFonts w:hint="eastAsia" w:ascii="宋体" w:hAnsi="宋体" w:eastAsia="宋体" w:cs="Arial"/>
                <w:sz w:val="24"/>
                <w:lang w:val="en-US" w:eastAsia="zh-CN"/>
              </w:rPr>
              <w:t xml:space="preserve">二标段</w:t>
            </w:r>
            <w:r>
              <w:rPr>
                <w:rFonts w:hint="eastAsia" w:ascii="宋体" w:hAnsi="宋体" w:eastAsia="宋体" w:cs="Arial"/>
                <w:sz w:val="24"/>
                <w:lang w:val="en-US" w:eastAsia="zh-CN"/>
              </w:rPr>
            </w:r>
            <w:r/>
          </w:p>
        </w:tc>
        <w:tc>
          <w:tcPr>
            <w:tcW w:w="1968"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rPr>
            </w:pPr>
            <w:r>
              <w:rPr>
                <w:rFonts w:hint="eastAsia" w:ascii="宋体" w:hAnsi="宋体" w:eastAsia="宋体" w:cs="Arial"/>
                <w:sz w:val="24"/>
                <w:lang w:val="en-US" w:eastAsia="zh-CN"/>
              </w:rPr>
              <w:t xml:space="preserve">60%烯啶·吡蚜酮</w:t>
            </w:r>
            <w:r>
              <w:rPr>
                <w:rFonts w:hint="eastAsia" w:ascii="宋体" w:hAnsi="宋体" w:eastAsia="宋体" w:cs="Arial"/>
                <w:sz w:val="24"/>
              </w:rPr>
            </w:r>
            <w:r/>
          </w:p>
        </w:tc>
        <w:tc>
          <w:tcPr>
            <w:tcW w:w="1181" w:type="dxa"/>
            <w:vAlign w:val="center"/>
            <w:textDirection w:val="lrTb"/>
            <w:noWrap w:val="false"/>
          </w:tcPr>
          <w:p>
            <w:pPr>
              <w:pStyle w:val="963"/>
              <w:jc w:val="center"/>
              <w:keepLines w:val="0"/>
              <w:keepNext w:val="0"/>
              <w:pageBreakBefore w:val="0"/>
              <w:spacing w:line="240" w:lineRule="auto"/>
              <w:widowControl/>
              <w:rPr>
                <w:rFonts w:hint="eastAsia" w:ascii="宋体" w:hAnsi="宋体" w:eastAsia="宋体" w:cs="Arial"/>
                <w:sz w:val="24"/>
                <w:lang w:eastAsia="zh-CN"/>
              </w:rPr>
            </w:pPr>
            <w:r>
              <w:rPr>
                <w:rFonts w:hint="eastAsia" w:ascii="宋体" w:hAnsi="宋体" w:eastAsia="宋体" w:cs="Arial"/>
                <w:sz w:val="24"/>
                <w:lang w:val="en-US" w:eastAsia="zh-CN"/>
              </w:rPr>
              <w:t xml:space="preserve">120g/瓶</w:t>
            </w:r>
            <w:r>
              <w:rPr>
                <w:rFonts w:hint="eastAsia" w:ascii="宋体" w:hAnsi="宋体" w:eastAsia="宋体" w:cs="Arial"/>
                <w:sz w:val="24"/>
                <w:lang w:eastAsia="zh-CN"/>
              </w:rPr>
            </w:r>
            <w:r/>
          </w:p>
        </w:tc>
        <w:tc>
          <w:tcPr>
            <w:tcW w:w="1957"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c>
          <w:tcPr>
            <w:tcW w:w="1073" w:type="dxa"/>
            <w:vAlign w:val="center"/>
            <w:textDirection w:val="lrTb"/>
            <w:noWrap w:val="false"/>
          </w:tcPr>
          <w:p>
            <w:pPr>
              <w:pStyle w:val="963"/>
              <w:contextualSpacing/>
              <w:jc w:val="center"/>
              <w:keepLines w:val="0"/>
              <w:keepNext w:val="0"/>
              <w:pageBreakBefore w:val="0"/>
              <w:spacing w:line="240" w:lineRule="auto"/>
              <w:widowControl w:val="off"/>
              <w:rPr>
                <w:rFonts w:hint="eastAsia" w:ascii="宋体" w:hAnsi="宋体" w:eastAsia="宋体" w:cs="Arial"/>
                <w:sz w:val="24"/>
                <w:lang w:val="en-US" w:eastAsia="zh-CN"/>
              </w:rPr>
            </w:pPr>
            <w:r>
              <w:rPr>
                <w:rFonts w:hint="eastAsia" w:ascii="宋体" w:hAnsi="宋体" w:cs="宋体"/>
                <w:bCs/>
                <w:color w:val="000000"/>
                <w:sz w:val="24"/>
                <w:szCs w:val="24"/>
                <w:highlight w:val="none"/>
                <w:lang w:val="en-US" w:eastAsia="zh-CN"/>
              </w:rPr>
              <w:t xml:space="preserve">瓶</w:t>
            </w:r>
            <w:r>
              <w:rPr>
                <w:rFonts w:hint="eastAsia" w:ascii="宋体" w:hAnsi="宋体" w:eastAsia="宋体" w:cs="Arial"/>
                <w:sz w:val="24"/>
                <w:lang w:val="en-US" w:eastAsia="zh-CN"/>
              </w:rPr>
            </w:r>
            <w:r/>
          </w:p>
        </w:tc>
        <w:tc>
          <w:tcPr>
            <w:tcW w:w="2206" w:type="dxa"/>
            <w:vAlign w:val="center"/>
            <w:textDirection w:val="lrTb"/>
            <w:noWrap w:val="false"/>
          </w:tcPr>
          <w:p>
            <w:pPr>
              <w:pStyle w:val="963"/>
              <w:jc w:val="center"/>
              <w:keepLines w:val="0"/>
              <w:keepNext w:val="0"/>
              <w:pageBreakBefore w:val="0"/>
              <w:spacing w:line="240" w:lineRule="auto"/>
              <w:widowControl/>
              <w:rPr>
                <w:rFonts w:ascii="宋体" w:hAnsi="宋体" w:eastAsia="宋体" w:cs="Arial"/>
                <w:sz w:val="24"/>
              </w:rPr>
            </w:pPr>
            <w:r>
              <w:rPr>
                <w:rFonts w:ascii="宋体" w:hAnsi="宋体" w:eastAsia="宋体" w:cs="Arial"/>
                <w:sz w:val="24"/>
              </w:rPr>
            </w:r>
            <w:r/>
          </w:p>
        </w:tc>
      </w:tr>
      <w:tr>
        <w:trPr>
          <w:trHeight w:val="844"/>
        </w:trPr>
        <w:tc>
          <w:tcPr>
            <w:gridSpan w:val="6"/>
            <w:tcW w:w="9521" w:type="dxa"/>
            <w:vAlign w:val="center"/>
            <w:textDirection w:val="lrTb"/>
            <w:noWrap w:val="false"/>
          </w:tcPr>
          <w:p>
            <w:pPr>
              <w:pStyle w:val="963"/>
              <w:jc w:val="left"/>
              <w:keepLines w:val="0"/>
              <w:keepNext w:val="0"/>
              <w:pageBreakBefore w:val="0"/>
              <w:spacing w:line="240" w:lineRule="auto"/>
              <w:widowControl/>
              <w:rPr>
                <w:rFonts w:ascii="宋体" w:hAnsi="宋体" w:eastAsia="宋体" w:cs="Arial"/>
                <w:sz w:val="24"/>
              </w:rPr>
            </w:pPr>
            <w:r>
              <w:rPr>
                <w:rFonts w:hint="eastAsia" w:ascii="宋体" w:hAnsi="宋体" w:eastAsia="宋体" w:cs="Arial"/>
                <w:b/>
                <w:bCs/>
                <w:sz w:val="24"/>
              </w:rPr>
              <w:t xml:space="preserve">本采购包中提供的符合本国产品标准的产品成本之和占该采购包提供的全部产品成本之和的比例为</w:t>
            </w:r>
            <w:r>
              <w:rPr>
                <w:rFonts w:hint="eastAsia" w:ascii="宋体" w:hAnsi="宋体" w:eastAsia="宋体" w:cs="Arial"/>
                <w:b/>
                <w:bCs/>
                <w:sz w:val="24"/>
                <w:u w:val="single"/>
                <w:lang w:val="en-US" w:eastAsia="zh-CN"/>
              </w:rPr>
              <w:t xml:space="preserve">     </w:t>
            </w:r>
            <w:r>
              <w:rPr>
                <w:rFonts w:hint="eastAsia" w:ascii="宋体" w:hAnsi="宋体" w:eastAsia="宋体" w:cs="Arial"/>
                <w:b/>
                <w:bCs/>
                <w:sz w:val="24"/>
              </w:rPr>
              <w:t xml:space="preserve">%。</w:t>
            </w:r>
            <w:r>
              <w:rPr>
                <w:rFonts w:ascii="宋体" w:hAnsi="宋体" w:eastAsia="宋体" w:cs="Arial"/>
                <w:sz w:val="24"/>
              </w:rPr>
            </w:r>
            <w:r/>
          </w:p>
        </w:tc>
      </w:tr>
    </w:tbl>
    <w:p>
      <w:pPr>
        <w:pStyle w:val="963"/>
        <w:spacing w:line="360" w:lineRule="auto"/>
        <w:rPr>
          <w:rFonts w:hint="eastAsia" w:ascii="Times New Roman" w:hAnsi="Times New Roman" w:eastAsia="宋体" w:cs="Times New Roman"/>
          <w:color w:val="000000"/>
          <w:sz w:val="24"/>
          <w:szCs w:val="20"/>
          <w:highlight w:val="none"/>
        </w:rPr>
        <w:outlineLvl w:val="2"/>
      </w:pPr>
      <w:r>
        <w:rPr>
          <w:rFonts w:hint="eastAsia" w:ascii="Times New Roman" w:hAnsi="Times New Roman" w:eastAsia="宋体" w:cs="Times New Roman"/>
          <w:color w:val="000000"/>
          <w:sz w:val="24"/>
          <w:szCs w:val="20"/>
          <w:highlight w:val="none"/>
        </w:rPr>
      </w:r>
      <w:r/>
    </w:p>
    <w:p>
      <w:pPr>
        <w:pStyle w:val="963"/>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rPr>
          <w:rFonts w:ascii="Times New Roman" w:hAnsi="Times New Roman" w:eastAsia="宋体" w:cs="Times New Roman"/>
          <w:color w:val="000000"/>
          <w:sz w:val="24"/>
          <w:highlight w:val="none"/>
        </w:rPr>
      </w:r>
      <w:r/>
    </w:p>
    <w:p>
      <w:pPr>
        <w:pStyle w:val="963"/>
        <w:ind w:firstLine="482"/>
        <w:jc w:val="left"/>
        <w:tabs>
          <w:tab w:val="left" w:pos="1800" w:leader="none"/>
          <w:tab w:val="left" w:pos="5580" w:leader="none"/>
        </w:tabs>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2.如果不提供分项报价将视为没有实质性响应询价通知书。</w:t>
      </w:r>
      <w:r>
        <w:rPr>
          <w:rFonts w:ascii="Times New Roman" w:hAnsi="Times New Roman" w:eastAsia="宋体" w:cs="Times New Roman"/>
          <w:b/>
          <w:bCs/>
          <w:color w:val="000000"/>
          <w:sz w:val="24"/>
          <w:highlight w:val="none"/>
        </w:rPr>
      </w:r>
      <w:r/>
    </w:p>
    <w:p>
      <w:pPr>
        <w:pStyle w:val="963"/>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rPr>
          <w:rFonts w:hint="eastAsia" w:ascii="Times New Roman" w:hAnsi="Times New Roman" w:eastAsia="宋体" w:cs="Times New Roman"/>
          <w:color w:val="000000"/>
          <w:sz w:val="24"/>
          <w:highlight w:val="none"/>
          <w:lang w:val="en-US" w:eastAsia="zh-CN"/>
        </w:rPr>
        <w:t xml:space="preserve">或减少</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963"/>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rPr>
          <w:rFonts w:ascii="Times New Roman" w:hAnsi="Times New Roman" w:eastAsia="宋体" w:cs="Times New Roman"/>
          <w:color w:val="000000"/>
          <w:sz w:val="24"/>
          <w:highlight w:val="none"/>
        </w:rPr>
      </w:r>
      <w:r/>
    </w:p>
    <w:p>
      <w:pPr>
        <w:pStyle w:val="963"/>
        <w:keepLines w:val="0"/>
        <w:keepNext w:val="0"/>
        <w:pageBreakBefore w:val="0"/>
        <w:spacing w:before="25" w:after="25" w:line="240" w:lineRule="auto"/>
        <w:widowControl w:val="off"/>
        <w:rPr>
          <w:rFonts w:hint="eastAsia"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hint="eastAsia" w:ascii="Times New Roman" w:hAnsi="Times New Roman" w:eastAsia="宋体" w:cs="Times New Roman"/>
          <w:b/>
          <w:bCs/>
          <w:color w:val="000000"/>
          <w:sz w:val="24"/>
          <w:highlight w:val="none"/>
          <w:lang w:val="en-US" w:eastAsia="zh-CN"/>
        </w:rPr>
        <w:t xml:space="preserve">5</w:t>
      </w:r>
      <w:r>
        <w:rPr>
          <w:rFonts w:hint="eastAsia" w:ascii="Times New Roman" w:hAnsi="Times New Roman" w:eastAsia="宋体" w:cs="Times New Roman"/>
          <w:b/>
          <w:bCs/>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rPr>
          <w:rFonts w:ascii="Times New Roman" w:hAnsi="Times New Roman" w:eastAsia="宋体" w:cs="Times New Roman"/>
          <w:color w:val="000000"/>
          <w:sz w:val="24"/>
          <w:highlight w:val="none"/>
          <w:lang w:val="zh-CN"/>
        </w:rPr>
      </w:r>
      <w:r/>
    </w:p>
    <w:p>
      <w:pPr>
        <w:pStyle w:val="963"/>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rPr>
          <w:rFonts w:ascii="Times New Roman" w:hAnsi="Times New Roman" w:eastAsia="宋体" w:cs="Times New Roman"/>
          <w:color w:val="000000"/>
          <w:sz w:val="24"/>
          <w:highlight w:val="none"/>
          <w:lang w:val="zh-CN"/>
        </w:rPr>
      </w:r>
      <w:r/>
    </w:p>
    <w:p>
      <w:pPr>
        <w:pStyle w:val="963"/>
        <w:spacing w:line="360" w:lineRule="auto"/>
        <w:rPr>
          <w:rFonts w:hint="eastAsia"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t xml:space="preserve">日期：_____年______月______日</w:t>
      </w:r>
      <w:r>
        <w:rPr>
          <w:rFonts w:hint="eastAsia" w:ascii="Times New Roman" w:hAnsi="Times New Roman" w:eastAsia="宋体" w:cs="Times New Roman"/>
          <w:color w:val="000000"/>
          <w:sz w:val="24"/>
          <w:szCs w:val="20"/>
          <w:highlight w:val="none"/>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合同条款偏离表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spacing w:line="360" w:lineRule="auto"/>
        <w:rPr>
          <w:color w:val="000000"/>
          <w:sz w:val="24"/>
          <w:szCs w:val="20"/>
          <w:highlight w:val="none"/>
        </w:rPr>
      </w:pP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spacing w:line="360" w:lineRule="auto"/>
        <w:rPr>
          <w:color w:val="000000"/>
          <w:sz w:val="24"/>
          <w:szCs w:val="20"/>
          <w:highlight w:val="none"/>
        </w:rPr>
      </w:pPr>
      <w:r>
        <w:rPr>
          <w:color w:val="000000"/>
          <w:sz w:val="24"/>
          <w:szCs w:val="20"/>
          <w:highlight w:val="none"/>
        </w:rPr>
      </w:r>
      <w:r/>
    </w:p>
    <w:p>
      <w:pPr>
        <w:pStyle w:val="963"/>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color w:val="000000"/>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 </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spacing w:line="360" w:lineRule="auto"/>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color w:val="000000"/>
          <w:sz w:val="24"/>
          <w:szCs w:val="20"/>
          <w:highlight w:val="none"/>
        </w:rPr>
        <w:t xml:space="preserve">  </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Pr>
          <w:color w:val="000000"/>
          <w:sz w:val="24"/>
          <w:szCs w:val="20"/>
          <w:highlight w:val="none"/>
        </w:rPr>
        <w:t xml:space="preserve">采购需求偏离表</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val="en-US" w:eastAsia="zh-CN"/>
        </w:rPr>
        <w:t xml:space="preserve">实质性格式）</w:t>
      </w:r>
      <w:r>
        <w:rPr>
          <w:color w:val="000000"/>
          <w:sz w:val="24"/>
          <w:szCs w:val="20"/>
          <w:highlight w:val="none"/>
        </w:rPr>
      </w:r>
      <w:r/>
    </w:p>
    <w:p>
      <w:pPr>
        <w:pStyle w:val="963"/>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63"/>
        <w:jc w:val="center"/>
        <w:rPr>
          <w:color w:val="000000"/>
          <w:sz w:val="36"/>
          <w:szCs w:val="36"/>
          <w:highlight w:val="none"/>
        </w:rPr>
      </w:pPr>
      <w:r>
        <w:rPr>
          <w:color w:val="000000"/>
          <w:sz w:val="36"/>
          <w:szCs w:val="36"/>
          <w:highlight w:val="non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63"/>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96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6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rFonts w:hint="eastAsia"/>
                <w:color w:val="000000"/>
                <w:sz w:val="24"/>
                <w:szCs w:val="21"/>
                <w:highlight w:val="none"/>
              </w:rPr>
              <w:t xml:space="preserve">询价通知书</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t xml:space="preserve">响应内容</w:t>
            </w: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t xml:space="preserve">偏离情况</w:t>
            </w:r>
            <w:r>
              <w:rPr>
                <w:color w:val="000000"/>
                <w:sz w:val="24"/>
                <w:highlight w:val="none"/>
              </w:rPr>
            </w:r>
            <w:r/>
          </w:p>
          <w:p>
            <w:pPr>
              <w:pStyle w:val="96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63"/>
              <w:jc w:val="center"/>
              <w:rPr>
                <w:color w:val="000000"/>
                <w:sz w:val="24"/>
                <w:highlight w:val="none"/>
              </w:rPr>
            </w:pPr>
            <w:r>
              <w:rPr>
                <w:color w:val="000000"/>
                <w:sz w:val="24"/>
                <w:highlight w:val="none"/>
              </w:rPr>
            </w:r>
            <w:r/>
          </w:p>
        </w:tc>
        <w:tc>
          <w:tcPr>
            <w:tcW w:w="1301" w:type="dxa"/>
            <w:vAlign w:val="center"/>
            <w:textDirection w:val="lrTb"/>
            <w:noWrap w:val="false"/>
          </w:tcPr>
          <w:p>
            <w:pPr>
              <w:pStyle w:val="963"/>
              <w:jc w:val="center"/>
              <w:rPr>
                <w:color w:val="000000"/>
                <w:sz w:val="24"/>
                <w:highlight w:val="none"/>
              </w:rPr>
            </w:pPr>
            <w:r>
              <w:rPr>
                <w:color w:val="000000"/>
                <w:sz w:val="24"/>
                <w:highlight w:val="none"/>
              </w:rPr>
            </w:r>
            <w:r/>
          </w:p>
        </w:tc>
        <w:tc>
          <w:tcPr>
            <w:tcW w:w="2007" w:type="dxa"/>
            <w:vAlign w:val="center"/>
            <w:textDirection w:val="lrTb"/>
            <w:noWrap w:val="false"/>
          </w:tcPr>
          <w:p>
            <w:pPr>
              <w:pStyle w:val="963"/>
              <w:jc w:val="center"/>
              <w:rPr>
                <w:color w:val="000000"/>
                <w:sz w:val="24"/>
                <w:highlight w:val="none"/>
              </w:rPr>
            </w:pPr>
            <w:r>
              <w:rPr>
                <w:color w:val="000000"/>
                <w:sz w:val="24"/>
                <w:highlight w:val="none"/>
              </w:rPr>
            </w:r>
            <w:r/>
          </w:p>
        </w:tc>
        <w:tc>
          <w:tcPr>
            <w:tcW w:w="2008" w:type="dxa"/>
            <w:vAlign w:val="center"/>
            <w:textDirection w:val="lrTb"/>
            <w:noWrap w:val="false"/>
          </w:tcPr>
          <w:p>
            <w:pPr>
              <w:pStyle w:val="963"/>
              <w:jc w:val="center"/>
              <w:rPr>
                <w:color w:val="000000"/>
                <w:sz w:val="24"/>
                <w:highlight w:val="none"/>
              </w:rPr>
            </w:pPr>
            <w:r>
              <w:rPr>
                <w:color w:val="000000"/>
                <w:sz w:val="24"/>
                <w:highlight w:val="none"/>
              </w:rPr>
            </w:r>
            <w:r/>
          </w:p>
        </w:tc>
        <w:tc>
          <w:tcPr>
            <w:tcW w:w="2458" w:type="dxa"/>
            <w:vAlign w:val="center"/>
            <w:textDirection w:val="lrTb"/>
            <w:noWrap w:val="false"/>
          </w:tcPr>
          <w:p>
            <w:pPr>
              <w:pStyle w:val="963"/>
              <w:jc w:val="center"/>
              <w:rPr>
                <w:color w:val="000000"/>
                <w:sz w:val="24"/>
                <w:highlight w:val="none"/>
              </w:rPr>
            </w:pPr>
            <w:r>
              <w:rPr>
                <w:color w:val="000000"/>
                <w:sz w:val="24"/>
                <w:highlight w:val="none"/>
              </w:rPr>
            </w:r>
            <w:r/>
          </w:p>
        </w:tc>
        <w:tc>
          <w:tcPr>
            <w:tcW w:w="788" w:type="dxa"/>
            <w:vAlign w:val="center"/>
            <w:textDirection w:val="lrTb"/>
            <w:noWrap w:val="false"/>
          </w:tcPr>
          <w:p>
            <w:pPr>
              <w:pStyle w:val="963"/>
              <w:jc w:val="center"/>
              <w:rPr>
                <w:color w:val="000000"/>
                <w:sz w:val="24"/>
                <w:highlight w:val="none"/>
              </w:rPr>
            </w:pPr>
            <w:r>
              <w:rPr>
                <w:color w:val="000000"/>
                <w:sz w:val="24"/>
                <w:highlight w:val="none"/>
              </w:rPr>
            </w:r>
            <w:r/>
          </w:p>
        </w:tc>
      </w:tr>
    </w:tbl>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63"/>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63"/>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对询价通知书中的所有商务、技术要求，除本表所列明的所有偏离外，均视作供应商已对之理解和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63"/>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rFonts w:hint="eastAsia"/>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63"/>
        <w:jc w:val="left"/>
        <w:tabs>
          <w:tab w:val="left" w:pos="1800" w:leader="none"/>
          <w:tab w:val="left" w:pos="5580" w:leader="none"/>
        </w:tabs>
        <w:rPr>
          <w:color w:val="000000"/>
          <w:sz w:val="24"/>
          <w:highlight w:val="none"/>
        </w:rPr>
      </w:pPr>
      <w:r>
        <w:rPr>
          <w:color w:val="000000"/>
          <w:sz w:val="24"/>
          <w:highlight w:val="none"/>
        </w:rPr>
      </w:r>
      <w:r/>
    </w:p>
    <w:p>
      <w:pPr>
        <w:pStyle w:val="963"/>
        <w:rPr>
          <w:color w:val="000000"/>
          <w:sz w:val="24"/>
          <w:szCs w:val="20"/>
          <w:highlight w:val="none"/>
        </w:rPr>
      </w:pPr>
      <w:r>
        <w:rPr>
          <w:color w:val="000000"/>
          <w:sz w:val="24"/>
          <w:szCs w:val="20"/>
          <w:highlight w:val="none"/>
        </w:rPr>
      </w:r>
      <w:r/>
    </w:p>
    <w:p>
      <w:pPr>
        <w:pStyle w:val="96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项目实施方案等，包括但不限于如下主题：</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1）项目供货方案；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2）产品对环境的影响；</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3）售后服务；</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4）应急服务方案；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5）回收服务方案；</w:t>
      </w:r>
      <w:r>
        <w:rPr>
          <w:color w:val="000000"/>
          <w:sz w:val="24"/>
          <w:szCs w:val="20"/>
          <w:highlight w:val="none"/>
        </w:rPr>
      </w:r>
      <w:r/>
    </w:p>
    <w:p>
      <w:pPr>
        <w:pStyle w:val="963"/>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12</w:t>
      </w:r>
      <w:r>
        <w:rPr>
          <w:rFonts w:hint="eastAsia"/>
          <w:color w:val="000000"/>
          <w:sz w:val="24"/>
          <w:szCs w:val="20"/>
          <w:highlight w:val="none"/>
        </w:rPr>
        <w:t xml:space="preserve">  参加本项目人员一览表</w:t>
      </w:r>
      <w:r>
        <w:rPr>
          <w:color w:val="000000"/>
          <w:sz w:val="24"/>
          <w:szCs w:val="20"/>
          <w:highlight w:val="none"/>
        </w:rPr>
      </w:r>
      <w:r/>
    </w:p>
    <w:p>
      <w:pPr>
        <w:pStyle w:val="963"/>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63"/>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63"/>
        <w:spacing w:line="360" w:lineRule="auto"/>
        <w:rPr>
          <w:rFonts w:ascii="宋体" w:hAnsi="宋体"/>
          <w:sz w:val="22"/>
          <w:highlight w:val="none"/>
        </w:rPr>
      </w:pPr>
      <w:r>
        <w:rPr>
          <w:rFonts w:ascii="宋体" w:hAnsi="宋体"/>
          <w:sz w:val="22"/>
          <w:highlight w:val="none"/>
        </w:rPr>
      </w:r>
      <w:r/>
    </w:p>
    <w:p>
      <w:pPr>
        <w:pStyle w:val="963"/>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63"/>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63"/>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63"/>
        <w:spacing w:line="360" w:lineRule="auto"/>
        <w:rPr>
          <w:rFonts w:ascii="宋体" w:hAnsi="宋体"/>
          <w:sz w:val="24"/>
          <w:highlight w:val="none"/>
        </w:rPr>
      </w:pPr>
      <w:r>
        <w:rPr>
          <w:rFonts w:ascii="宋体" w:hAnsi="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rPr>
          <w:rFonts w:hint="eastAsia"/>
          <w:sz w:val="22"/>
          <w:highlight w:val="none"/>
        </w:rPr>
      </w:pPr>
      <w:r>
        <w:rPr>
          <w:sz w:val="22"/>
          <w:highlight w:val="none"/>
        </w:rPr>
        <w:br w:type="page" w:clear="all"/>
      </w:r>
      <w:bookmarkStart w:id="716" w:name="_Toc288738397"/>
      <w:r/>
      <w:bookmarkStart w:id="717" w:name="_Toc288738839"/>
      <w:r>
        <w:rPr>
          <w:rFonts w:hint="eastAsia"/>
          <w:sz w:val="22"/>
          <w:highlight w:val="none"/>
        </w:rPr>
      </w:r>
      <w:r/>
    </w:p>
    <w:p>
      <w:pPr>
        <w:pStyle w:val="963"/>
        <w:rPr>
          <w:color w:val="000000"/>
          <w:sz w:val="24"/>
          <w:szCs w:val="20"/>
          <w:highlight w:val="none"/>
        </w:rPr>
      </w:pPr>
      <w:r>
        <w:rPr>
          <w:rFonts w:hint="eastAsia"/>
          <w:color w:val="000000"/>
          <w:sz w:val="24"/>
          <w:szCs w:val="20"/>
          <w:highlight w:val="none"/>
          <w:lang w:val="en-US" w:eastAsia="zh-CN"/>
        </w:rPr>
        <w:t xml:space="preserve">13</w:t>
      </w:r>
      <w:r>
        <w:rPr>
          <w:rFonts w:hint="eastAsia"/>
          <w:color w:val="000000"/>
          <w:sz w:val="24"/>
          <w:szCs w:val="20"/>
          <w:highlight w:val="none"/>
        </w:rPr>
        <w:t xml:space="preserve">  相关业绩案例一览表</w:t>
      </w:r>
      <w:r>
        <w:rPr>
          <w:color w:val="000000"/>
          <w:sz w:val="24"/>
          <w:szCs w:val="20"/>
          <w:highlight w:val="none"/>
        </w:rPr>
      </w:r>
      <w:r/>
    </w:p>
    <w:p>
      <w:pPr>
        <w:pStyle w:val="963"/>
        <w:rPr>
          <w:color w:val="000000"/>
          <w:sz w:val="24"/>
          <w:szCs w:val="20"/>
          <w:highlight w:val="none"/>
        </w:rPr>
      </w:pPr>
      <w:r>
        <w:rPr>
          <w:color w:val="000000"/>
          <w:sz w:val="24"/>
          <w:szCs w:val="20"/>
          <w:highlight w:val="none"/>
        </w:rPr>
      </w:r>
      <w:r/>
    </w:p>
    <w:p>
      <w:pPr>
        <w:pStyle w:val="963"/>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16"/>
      <w:r/>
      <w:bookmarkEnd w:id="717"/>
      <w:r>
        <w:rPr>
          <w:rFonts w:ascii="宋体" w:hAnsi="宋体"/>
          <w:b/>
          <w:sz w:val="32"/>
          <w:szCs w:val="32"/>
          <w:highlight w:val="none"/>
        </w:rPr>
      </w:r>
      <w:r/>
    </w:p>
    <w:p>
      <w:pPr>
        <w:pStyle w:val="963"/>
        <w:jc w:val="center"/>
        <w:spacing w:line="360" w:lineRule="auto"/>
        <w:rPr>
          <w:rFonts w:ascii="宋体" w:hAnsi="宋体"/>
          <w:b/>
          <w:sz w:val="28"/>
          <w:szCs w:val="30"/>
          <w:highlight w:val="none"/>
        </w:rPr>
      </w:pPr>
      <w:r>
        <w:rPr>
          <w:rFonts w:ascii="宋体" w:hAnsi="宋体"/>
          <w:b/>
          <w:sz w:val="28"/>
          <w:szCs w:val="30"/>
          <w:highlight w:val="none"/>
        </w:rPr>
      </w:r>
      <w:r/>
    </w:p>
    <w:p>
      <w:pPr>
        <w:pStyle w:val="963"/>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6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63"/>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63"/>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63"/>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63"/>
        <w:spacing w:line="360" w:lineRule="auto"/>
        <w:rPr>
          <w:rFonts w:ascii="宋体" w:hAnsi="宋体" w:cs="宋体"/>
          <w:sz w:val="24"/>
          <w:highlight w:val="none"/>
        </w:rPr>
      </w:pPr>
      <w:r>
        <w:rPr>
          <w:rFonts w:ascii="宋体" w:hAnsi="宋体" w:cs="宋体"/>
          <w:sz w:val="24"/>
          <w:highlight w:val="none"/>
        </w:rPr>
      </w:r>
      <w:r/>
    </w:p>
    <w:p>
      <w:pPr>
        <w:pStyle w:val="963"/>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63"/>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rFonts w:hint="eastAsia"/>
          <w:color w:val="000000"/>
          <w:sz w:val="24"/>
          <w:szCs w:val="20"/>
          <w:highlight w:val="none"/>
        </w:rPr>
        <w:outlineLvl w:val="2"/>
      </w:pPr>
      <w:r>
        <w:rPr>
          <w:rFonts w:hint="eastAsia"/>
          <w:color w:val="000000"/>
          <w:sz w:val="24"/>
          <w:szCs w:val="20"/>
          <w:highlight w:val="none"/>
        </w:rPr>
      </w:r>
      <w:r/>
    </w:p>
    <w:p>
      <w:pPr>
        <w:pStyle w:val="963"/>
        <w:spacing w:line="360" w:lineRule="auto"/>
        <w:rPr>
          <w:color w:val="000000"/>
          <w:sz w:val="24"/>
          <w:szCs w:val="20"/>
          <w:highlight w:val="none"/>
        </w:rPr>
        <w:outlineLvl w:val="2"/>
      </w:pPr>
      <w:r>
        <w:rPr>
          <w:color w:val="000000"/>
          <w:sz w:val="24"/>
          <w:szCs w:val="20"/>
          <w:highlight w:val="none"/>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14  关于符合本国产品标准的声明函</w:t>
      </w:r>
      <w:r>
        <w:rPr>
          <w:rFonts w:hint="eastAsia" w:ascii="Times New Roman" w:hAnsi="Times New Roman" w:eastAsia="宋体" w:cs="Times New Roman"/>
          <w:color w:val="000000"/>
          <w:sz w:val="24"/>
          <w:szCs w:val="20"/>
          <w:highlight w:val="none"/>
          <w:lang w:val="en-US" w:eastAsia="zh-CN"/>
        </w:rPr>
      </w:r>
      <w:r/>
    </w:p>
    <w:p>
      <w:pPr>
        <w:pStyle w:val="963"/>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r>
      <w:r/>
    </w:p>
    <w:p>
      <w:pPr>
        <w:pStyle w:val="963"/>
        <w:rPr>
          <w:rFonts w:ascii="Times New Roman" w:hAnsi="Times New Roman" w:eastAsia="宋体" w:cs="Times New Roman"/>
          <w:color w:val="000000"/>
          <w:sz w:val="24"/>
          <w:szCs w:val="20"/>
          <w:highlight w:val="none"/>
          <w:lang w:val="en-US" w:eastAsia="zh-CN"/>
        </w:rPr>
      </w:pPr>
      <w:r>
        <w:rPr>
          <w:rFonts w:ascii="Times New Roman" w:hAnsi="Times New Roman" w:eastAsia="宋体" w:cs="Times New Roman"/>
          <w:color w:val="000000"/>
          <w:sz w:val="24"/>
          <w:szCs w:val="20"/>
          <w:highlight w:val="none"/>
          <w:lang w:val="en-US" w:eastAsia="zh-CN"/>
        </w:rPr>
      </w:r>
      <w:r/>
    </w:p>
    <w:p>
      <w:pPr>
        <w:pStyle w:val="963"/>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关于符合本国产品标准的声明函（采购</w:t>
      </w:r>
      <w:r>
        <w:rPr>
          <w:rFonts w:hint="eastAsia" w:ascii="宋体" w:hAnsi="宋体" w:eastAsia="宋体" w:cs="Times New Roman"/>
          <w:b/>
          <w:sz w:val="32"/>
          <w:szCs w:val="32"/>
          <w:highlight w:val="none"/>
          <w:lang w:val="en-US" w:eastAsia="zh-CN"/>
        </w:rPr>
        <w:t xml:space="preserve">编号</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w:t>
      </w:r>
      <w:r>
        <w:rPr>
          <w:rFonts w:hint="eastAsia" w:ascii="宋体" w:hAnsi="宋体" w:eastAsia="宋体" w:cs="Times New Roman"/>
          <w:b/>
          <w:sz w:val="32"/>
          <w:szCs w:val="32"/>
          <w:highlight w:val="none"/>
        </w:rPr>
      </w:r>
      <w:r/>
    </w:p>
    <w:p>
      <w:pPr>
        <w:pStyle w:val="963"/>
        <w:ind w:firstLine="420"/>
        <w:jc w:val="left"/>
        <w:spacing w:before="0" w:beforeAutospacing="0" w:after="0" w:afterAutospacing="0" w:line="0" w:lineRule="atLeast"/>
        <w:widowControl/>
        <w:rPr>
          <w:rFonts w:ascii="方正魏碑_GBK" w:hAnsi="方正魏碑_GBK" w:eastAsia="方正魏碑_GBK" w:cs="方正魏碑_GBK"/>
          <w:color w:val="ff0000"/>
          <w:sz w:val="24"/>
          <w:szCs w:val="24"/>
          <w:lang w:val="en-US" w:eastAsia="zh-CN" w:bidi="ar-SA"/>
        </w:rPr>
      </w:pPr>
      <w:r>
        <w:rPr>
          <w:rFonts w:ascii="方正魏碑_GBK" w:hAnsi="方正魏碑_GBK" w:eastAsia="方正魏碑_GBK" w:cs="方正魏碑_GBK"/>
          <w:color w:val="ff0000"/>
          <w:sz w:val="24"/>
          <w:szCs w:val="24"/>
          <w:lang w:val="en-US" w:eastAsia="zh-CN" w:bidi="ar-SA"/>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（产品名称1）</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ind w:firstLine="480"/>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，生产厂为</w:t>
      </w:r>
      <w:r>
        <w:rPr>
          <w:rFonts w:hint="eastAsia" w:ascii="宋体" w:hAnsi="宋体" w:eastAsia="宋体" w:cs="宋体"/>
          <w:sz w:val="24"/>
          <w:highlight w:val="none"/>
          <w:u w:val="single"/>
          <w:lang w:val="en-US" w:eastAsia="zh-CN"/>
        </w:rPr>
        <w:t xml:space="preserve">（厂名）</w:t>
      </w:r>
      <w:r>
        <w:rPr>
          <w:rFonts w:hint="eastAsia" w:ascii="宋体" w:hAnsi="宋体" w:eastAsia="宋体" w:cs="宋体"/>
          <w:sz w:val="24"/>
          <w:highlight w:val="none"/>
          <w:lang w:val="en-US" w:eastAsia="zh-CN"/>
        </w:rPr>
        <w:t xml:space="preserve">，厂址为</w:t>
      </w:r>
      <w:r>
        <w:rPr>
          <w:rFonts w:hint="eastAsia" w:ascii="宋体" w:hAnsi="宋体" w:eastAsia="宋体" w:cs="宋体"/>
          <w:sz w:val="24"/>
          <w:highlight w:val="none"/>
          <w:u w:val="single"/>
          <w:lang w:val="en-US" w:eastAsia="zh-CN"/>
        </w:rPr>
        <w:t xml:space="preserve">（生产厂址）</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的中国境内生产的组件成本占比≥（规定比例）。</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的（关键组件）在中国境内生产。</w:t>
      </w:r>
      <w:r>
        <w:rPr>
          <w:rFonts w:hint="eastAsia" w:ascii="宋体" w:hAnsi="宋体" w:eastAsia="宋体" w:cs="宋体"/>
          <w:sz w:val="24"/>
          <w:highlight w:val="none"/>
          <w:u w:val="single"/>
          <w:lang w:val="en-US" w:eastAsia="zh-CN"/>
        </w:rPr>
        <w:t xml:space="preserve">（产品名称2）</w:t>
      </w:r>
      <w:r>
        <w:rPr>
          <w:rFonts w:hint="eastAsia" w:ascii="宋体" w:hAnsi="宋体" w:eastAsia="宋体" w:cs="宋体"/>
          <w:sz w:val="24"/>
          <w:highlight w:val="none"/>
          <w:lang w:val="en-US" w:eastAsia="zh-CN"/>
        </w:rPr>
        <w:t xml:space="preserve">的（关键工序）在中国境内完成。</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本公司（单位）对上述声明内容的真实性负责。如有虚假，愿承担相应法律责任。</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公司（单位）名称（盖章）：　        </w:t>
      </w:r>
      <w:r>
        <w:rPr>
          <w:rFonts w:hint="eastAsia" w:ascii="宋体" w:hAnsi="宋体" w:eastAsia="宋体" w:cs="宋体"/>
          <w:sz w:val="24"/>
          <w:highlight w:val="none"/>
          <w:lang w:val="en-US" w:eastAsia="zh-CN"/>
        </w:rPr>
      </w:r>
      <w:r/>
    </w:p>
    <w:p>
      <w:pPr>
        <w:pStyle w:val="963"/>
        <w:jc w:val="righ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                              日期：　   年　  月　  日         </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1.产品如有型号，请在“产品名称”栏一并填写。</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2.生产厂名与厂址应与生产厂营业执照载明的相关信息保持一致。</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3.该产品的中国境内生产的组件成本占比相关要求实施前，“规定比例”栏可不填，下同。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4.该产品的关键组件要求实施前，“关键组件”栏可不填，下同。</w:t>
      </w:r>
      <w:r>
        <w:rPr>
          <w:rFonts w:hint="eastAsia" w:ascii="宋体" w:hAnsi="宋体" w:eastAsia="宋体" w:cs="宋体"/>
          <w:sz w:val="24"/>
          <w:highlight w:val="none"/>
          <w:lang w:val="en-US" w:eastAsia="zh-CN"/>
        </w:rPr>
      </w:r>
      <w:r/>
    </w:p>
    <w:p>
      <w:pPr>
        <w:pStyle w:val="963"/>
        <w:jc w:val="left"/>
        <w:spacing w:line="360" w:lineRule="auto"/>
        <w:tabs>
          <w:tab w:val="left" w:pos="9765"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5.该产品的关键工序要求实施前，“关键工序”栏可不填，下同。</w:t>
      </w:r>
      <w:r>
        <w:rPr>
          <w:rFonts w:hint="eastAsia" w:ascii="宋体" w:hAnsi="宋体" w:eastAsia="宋体" w:cs="宋体"/>
          <w:sz w:val="24"/>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63"/>
        <w:spacing w:line="360" w:lineRule="auto"/>
        <w:rPr>
          <w:color w:val="000000"/>
          <w:sz w:val="24"/>
          <w:szCs w:val="20"/>
          <w:highlight w:val="none"/>
        </w:rPr>
        <w:outlineLvl w:val="2"/>
      </w:pPr>
      <w:r>
        <w:rPr>
          <w:rFonts w:hint="eastAsia"/>
          <w:color w:val="000000"/>
          <w:sz w:val="24"/>
          <w:szCs w:val="20"/>
          <w:highlight w:val="none"/>
          <w:lang w:val="en-US" w:eastAsia="zh-CN"/>
        </w:rPr>
        <w:t xml:space="preserve">15</w:t>
      </w:r>
      <w:r>
        <w:rPr>
          <w:color w:val="000000"/>
          <w:sz w:val="24"/>
          <w:szCs w:val="20"/>
          <w:highlight w:val="none"/>
        </w:rPr>
        <w:t xml:space="preserve">  询价通知书要求提供或供应商认为应附的其他材料</w:t>
      </w:r>
      <w:r/>
    </w:p>
    <w:sectPr>
      <w:headerReference w:type="even" r:id="rId11"/>
      <w:headerReference w:type="first" r:id="rId12"/>
      <w:footerReference w:type="even" r:id="rId16"/>
      <w:footerReference w:type="first" r:id="rId17"/>
      <w:footnotePr/>
      <w:endnotePr/>
      <w:type w:val="nextPage"/>
      <w:pgSz w:w="11907" w:h="16840" w:orient="portrait"/>
      <w:pgMar w:top="1440" w:right="1304" w:bottom="1440" w:left="130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r>
    <w:r/>
  </w:p>
  <w:p>
    <w:pPr>
      <w:pStyle w:val="101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right" w:y="1"/>
    </w:pPr>
    <w:r>
      <w:rPr>
        <w:rStyle w:val="1035"/>
      </w:rPr>
      <w:fldChar w:fldCharType="begin"/>
    </w:r>
    <w:r>
      <w:rPr>
        <w:rStyle w:val="1035"/>
      </w:rPr>
      <w:instrText xml:space="preserve">PAGE  </w:instrText>
    </w:r>
    <w:r>
      <w:rPr>
        <w:rStyle w:val="1035"/>
      </w:rPr>
      <w:fldChar w:fldCharType="end"/>
    </w:r>
    <w:r>
      <w:rPr>
        <w:rStyle w:val="1035"/>
      </w:rPr>
    </w:r>
    <w:r/>
  </w:p>
  <w:p>
    <w:pPr>
      <w:pStyle w:val="1011"/>
      <w:ind w:right="360"/>
      <w:tabs>
        <w:tab w:val="center" w:pos="4153" w:leader="none"/>
        <w:tab w:val="right" w:pos="8306" w:leader="none"/>
      </w:tabs>
    </w:pPr>
    <w:r/>
    <w:r/>
  </w:p>
  <w:p>
    <w:pPr>
      <w:pStyle w:val="9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p>
    <w:pPr>
      <w:pStyle w:val="9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963"/>
        <w:ind w:left="4941" w:hanging="1140"/>
        <w:tabs>
          <w:tab w:val="num" w:pos="4941" w:leader="none"/>
        </w:tabs>
      </w:pPr>
      <w:rPr>
        <w:rFonts w:hint="eastAsia"/>
      </w:rPr>
    </w:lvl>
    <w:lvl w:ilvl="1">
      <w:start w:val="1"/>
      <w:numFmt w:val="lowerLetter"/>
      <w:isLgl w:val="false"/>
      <w:suff w:val="tab"/>
      <w:lvlText w:val="%2)"/>
      <w:lvlJc w:val="left"/>
      <w:pPr>
        <w:pStyle w:val="963"/>
        <w:ind w:left="4641" w:hanging="420"/>
        <w:tabs>
          <w:tab w:val="num" w:pos="4641" w:leader="none"/>
        </w:tabs>
      </w:pPr>
    </w:lvl>
    <w:lvl w:ilvl="2">
      <w:start w:val="1"/>
      <w:numFmt w:val="lowerRoman"/>
      <w:isLgl w:val="false"/>
      <w:suff w:val="tab"/>
      <w:lvlText w:val="%3."/>
      <w:lvlJc w:val="right"/>
      <w:pPr>
        <w:pStyle w:val="963"/>
        <w:ind w:left="5061" w:hanging="420"/>
        <w:tabs>
          <w:tab w:val="num" w:pos="5061" w:leader="none"/>
        </w:tabs>
      </w:pPr>
    </w:lvl>
    <w:lvl w:ilvl="3">
      <w:start w:val="1"/>
      <w:numFmt w:val="decimal"/>
      <w:isLgl w:val="false"/>
      <w:suff w:val="tab"/>
      <w:lvlText w:val="%4."/>
      <w:lvlJc w:val="left"/>
      <w:pPr>
        <w:pStyle w:val="963"/>
        <w:ind w:left="5481" w:hanging="420"/>
        <w:tabs>
          <w:tab w:val="num" w:pos="5481" w:leader="none"/>
        </w:tabs>
      </w:pPr>
    </w:lvl>
    <w:lvl w:ilvl="4">
      <w:start w:val="1"/>
      <w:numFmt w:val="lowerLetter"/>
      <w:isLgl w:val="false"/>
      <w:suff w:val="tab"/>
      <w:lvlText w:val="%5)"/>
      <w:lvlJc w:val="left"/>
      <w:pPr>
        <w:pStyle w:val="963"/>
        <w:ind w:left="5901" w:hanging="420"/>
        <w:tabs>
          <w:tab w:val="num" w:pos="5901" w:leader="none"/>
        </w:tabs>
      </w:pPr>
    </w:lvl>
    <w:lvl w:ilvl="5">
      <w:start w:val="1"/>
      <w:numFmt w:val="lowerRoman"/>
      <w:isLgl w:val="false"/>
      <w:suff w:val="tab"/>
      <w:lvlText w:val="%6."/>
      <w:lvlJc w:val="right"/>
      <w:pPr>
        <w:pStyle w:val="963"/>
        <w:ind w:left="6321" w:hanging="420"/>
        <w:tabs>
          <w:tab w:val="num" w:pos="6321" w:leader="none"/>
        </w:tabs>
      </w:pPr>
    </w:lvl>
    <w:lvl w:ilvl="6">
      <w:start w:val="1"/>
      <w:numFmt w:val="decimal"/>
      <w:isLgl w:val="false"/>
      <w:suff w:val="tab"/>
      <w:lvlText w:val="%7."/>
      <w:lvlJc w:val="left"/>
      <w:pPr>
        <w:pStyle w:val="963"/>
        <w:ind w:left="6741" w:hanging="420"/>
        <w:tabs>
          <w:tab w:val="num" w:pos="6741" w:leader="none"/>
        </w:tabs>
      </w:pPr>
    </w:lvl>
    <w:lvl w:ilvl="7">
      <w:start w:val="1"/>
      <w:numFmt w:val="lowerLetter"/>
      <w:isLgl w:val="false"/>
      <w:suff w:val="tab"/>
      <w:lvlText w:val="%8)"/>
      <w:lvlJc w:val="left"/>
      <w:pPr>
        <w:pStyle w:val="963"/>
        <w:ind w:left="7161" w:hanging="420"/>
        <w:tabs>
          <w:tab w:val="num" w:pos="7161" w:leader="none"/>
        </w:tabs>
      </w:pPr>
    </w:lvl>
    <w:lvl w:ilvl="8">
      <w:start w:val="1"/>
      <w:numFmt w:val="lowerRoman"/>
      <w:isLgl w:val="false"/>
      <w:suff w:val="tab"/>
      <w:lvlText w:val="%9."/>
      <w:lvlJc w:val="right"/>
      <w:pPr>
        <w:pStyle w:val="963"/>
        <w:ind w:left="7581" w:hanging="420"/>
        <w:tabs>
          <w:tab w:val="num" w:pos="7581" w:leader="none"/>
        </w:tabs>
      </w:pPr>
    </w:lvl>
  </w:abstractNum>
  <w:abstractNum w:abstractNumId="3">
    <w:multiLevelType w:val="hybridMultilevel"/>
    <w:lvl w:ilvl="0">
      <w:start w:val="1"/>
      <w:numFmt w:val="decimal"/>
      <w:pStyle w:val="1071"/>
      <w:isLgl w:val="false"/>
      <w:suff w:val="tab"/>
      <w:lvlText w:val="%1."/>
      <w:lvlJc w:val="left"/>
      <w:pPr>
        <w:pStyle w:val="963"/>
        <w:ind w:left="420" w:hanging="420"/>
      </w:pPr>
    </w:lvl>
    <w:lvl w:ilvl="1">
      <w:start w:val="1"/>
      <w:numFmt w:val="decimal"/>
      <w:isLgl w:val="false"/>
      <w:suff w:val="tab"/>
      <w:lvlText w:val="（%2）"/>
      <w:lvlJc w:val="left"/>
      <w:pPr>
        <w:pStyle w:val="963"/>
        <w:ind w:left="1140" w:hanging="720"/>
        <w:tabs>
          <w:tab w:val="num" w:pos="1140" w:leader="none"/>
        </w:tabs>
      </w:pPr>
      <w:rPr>
        <w:rFonts w:hint="eastAsia"/>
      </w:r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4">
    <w:multiLevelType w:val="hybridMultilevel"/>
    <w:lvl w:ilvl="0">
      <w:start w:val="1"/>
      <w:numFmt w:val="lowerLetter"/>
      <w:pStyle w:val="1146"/>
      <w:isLgl w:val="false"/>
      <w:suff w:val="tab"/>
      <w:lvlText w:val="%1)"/>
      <w:lvlJc w:val="left"/>
      <w:pPr>
        <w:pStyle w:val="963"/>
        <w:ind w:left="902" w:hanging="420"/>
      </w:pPr>
      <w:rPr>
        <w:color w:val="000000"/>
      </w:rPr>
    </w:lvl>
    <w:lvl w:ilvl="1">
      <w:start w:val="1"/>
      <w:numFmt w:val="lowerLetter"/>
      <w:isLgl w:val="false"/>
      <w:suff w:val="tab"/>
      <w:lvlText w:val="%2)"/>
      <w:lvlJc w:val="left"/>
      <w:pPr>
        <w:pStyle w:val="963"/>
        <w:ind w:left="1322" w:hanging="420"/>
      </w:pPr>
    </w:lvl>
    <w:lvl w:ilvl="2">
      <w:start w:val="1"/>
      <w:numFmt w:val="lowerRoman"/>
      <w:isLgl w:val="false"/>
      <w:suff w:val="tab"/>
      <w:lvlText w:val="%3."/>
      <w:lvlJc w:val="right"/>
      <w:pPr>
        <w:pStyle w:val="963"/>
        <w:ind w:left="1742" w:hanging="420"/>
      </w:pPr>
    </w:lvl>
    <w:lvl w:ilvl="3">
      <w:start w:val="1"/>
      <w:numFmt w:val="decimal"/>
      <w:isLgl w:val="false"/>
      <w:suff w:val="tab"/>
      <w:lvlText w:val="%4."/>
      <w:lvlJc w:val="left"/>
      <w:pPr>
        <w:pStyle w:val="963"/>
        <w:ind w:left="2162" w:hanging="420"/>
      </w:pPr>
    </w:lvl>
    <w:lvl w:ilvl="4">
      <w:start w:val="1"/>
      <w:numFmt w:val="lowerLetter"/>
      <w:isLgl w:val="false"/>
      <w:suff w:val="tab"/>
      <w:lvlText w:val="%5)"/>
      <w:lvlJc w:val="left"/>
      <w:pPr>
        <w:pStyle w:val="963"/>
        <w:ind w:left="2582" w:hanging="420"/>
      </w:pPr>
    </w:lvl>
    <w:lvl w:ilvl="5">
      <w:start w:val="1"/>
      <w:numFmt w:val="lowerRoman"/>
      <w:isLgl w:val="false"/>
      <w:suff w:val="tab"/>
      <w:lvlText w:val="%6."/>
      <w:lvlJc w:val="right"/>
      <w:pPr>
        <w:pStyle w:val="963"/>
        <w:ind w:left="3002" w:hanging="420"/>
      </w:pPr>
    </w:lvl>
    <w:lvl w:ilvl="6">
      <w:start w:val="1"/>
      <w:numFmt w:val="decimal"/>
      <w:isLgl w:val="false"/>
      <w:suff w:val="tab"/>
      <w:lvlText w:val="%7."/>
      <w:lvlJc w:val="left"/>
      <w:pPr>
        <w:pStyle w:val="963"/>
        <w:ind w:left="3422" w:hanging="420"/>
      </w:pPr>
    </w:lvl>
    <w:lvl w:ilvl="7">
      <w:start w:val="1"/>
      <w:numFmt w:val="lowerLetter"/>
      <w:isLgl w:val="false"/>
      <w:suff w:val="tab"/>
      <w:lvlText w:val="%8)"/>
      <w:lvlJc w:val="left"/>
      <w:pPr>
        <w:pStyle w:val="963"/>
        <w:ind w:left="3842" w:hanging="420"/>
      </w:pPr>
    </w:lvl>
    <w:lvl w:ilvl="8">
      <w:start w:val="1"/>
      <w:numFmt w:val="lowerRoman"/>
      <w:isLgl w:val="false"/>
      <w:suff w:val="tab"/>
      <w:lvlText w:val="%9."/>
      <w:lvlJc w:val="right"/>
      <w:pPr>
        <w:pStyle w:val="963"/>
        <w:ind w:left="4262" w:hanging="420"/>
      </w:pPr>
    </w:lvl>
  </w:abstractNum>
  <w:abstractNum w:abstractNumId="5">
    <w:multiLevelType w:val="hybridMultilevel"/>
    <w:lvl w:ilvl="0">
      <w:start w:val="1"/>
      <w:numFmt w:val="decimal"/>
      <w:pStyle w:val="1116"/>
      <w:isLgl w:val="false"/>
      <w:suff w:val="tab"/>
      <w:lvlText w:val="%1."/>
      <w:lvlJc w:val="left"/>
      <w:pPr>
        <w:pStyle w:val="96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5"/>
      <w:isLgl w:val="false"/>
      <w:suff w:val="nothing"/>
      <w:lvlText w:val="%1　"/>
      <w:lvlJc w:val="left"/>
      <w:pPr>
        <w:pStyle w:val="96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6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63"/>
        <w:ind w:left="-25" w:firstLine="0"/>
      </w:pPr>
      <w:rPr>
        <w:rFonts w:ascii="Times New Roman" w:hAnsi="Times New Roman" w:eastAsia="黑体"/>
        <w:b/>
        <w:i w:val="0"/>
        <w:sz w:val="28"/>
      </w:rPr>
    </w:lvl>
    <w:lvl w:ilvl="3">
      <w:start w:val="1"/>
      <w:numFmt w:val="decimal"/>
      <w:pStyle w:val="1101"/>
      <w:isLgl w:val="false"/>
      <w:suff w:val="nothing"/>
      <w:lvlText w:val="%1.%2.%3.%4　"/>
      <w:lvlJc w:val="left"/>
      <w:pPr>
        <w:pStyle w:val="96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6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63"/>
        <w:ind w:left="-25" w:firstLine="0"/>
      </w:pPr>
      <w:rPr>
        <w:rFonts w:ascii="Times New Roman" w:hAnsi="Times New Roman" w:eastAsia="宋体"/>
        <w:b/>
        <w:i w:val="0"/>
        <w:sz w:val="28"/>
      </w:rPr>
    </w:lvl>
    <w:lvl w:ilvl="6">
      <w:start w:val="1"/>
      <w:numFmt w:val="lowerLetter"/>
      <w:pStyle w:val="1122"/>
      <w:isLgl w:val="false"/>
      <w:suff w:val="tab"/>
      <w:lvlText w:val="%7) "/>
      <w:lvlJc w:val="left"/>
      <w:pPr>
        <w:pStyle w:val="963"/>
        <w:ind w:left="-125" w:firstLine="400"/>
        <w:tabs>
          <w:tab w:val="num" w:pos="635" w:leader="none"/>
        </w:tabs>
      </w:pPr>
      <w:rPr>
        <w:rFonts w:ascii="Times New Roman" w:hAnsi="Times New Roman" w:eastAsia="宋体"/>
        <w:b/>
        <w:i w:val="0"/>
        <w:color w:val="000000"/>
        <w:sz w:val="28"/>
        <w:u w:val="none"/>
      </w:rPr>
    </w:lvl>
    <w:lvl w:ilvl="7">
      <w:start w:val="1"/>
      <w:numFmt w:val="decimal"/>
      <w:pStyle w:val="1085"/>
      <w:isLgl w:val="false"/>
      <w:suff w:val="tab"/>
      <w:lvlText w:val="%8) "/>
      <w:lvlJc w:val="left"/>
      <w:pPr>
        <w:pStyle w:val="96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63"/>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963"/>
        <w:ind w:left="768" w:hanging="360"/>
        <w:tabs>
          <w:tab w:val="num" w:pos="768" w:leader="none"/>
        </w:tabs>
      </w:pPr>
      <w:rPr>
        <w:rFonts w:hint="eastAsia"/>
      </w:rPr>
    </w:lvl>
    <w:lvl w:ilvl="1">
      <w:start w:val="1"/>
      <w:numFmt w:val="decimal"/>
      <w:pStyle w:val="1103"/>
      <w:isLgl w:val="false"/>
      <w:suff w:val="tab"/>
      <w:lvlText w:val="%2、"/>
      <w:lvlJc w:val="left"/>
      <w:pPr>
        <w:pStyle w:val="963"/>
        <w:ind w:left="1188" w:hanging="360"/>
        <w:tabs>
          <w:tab w:val="num" w:pos="1188" w:leader="none"/>
        </w:tabs>
      </w:pPr>
      <w:rPr>
        <w:rFonts w:hint="eastAsia"/>
      </w:rPr>
    </w:lvl>
    <w:lvl w:ilvl="2">
      <w:start w:val="1"/>
      <w:numFmt w:val="decimal"/>
      <w:isLgl w:val="false"/>
      <w:suff w:val="tab"/>
      <w:lvlText w:val="（%3）"/>
      <w:lvlJc w:val="left"/>
      <w:pPr>
        <w:pStyle w:val="963"/>
        <w:ind w:left="1968" w:hanging="720"/>
        <w:tabs>
          <w:tab w:val="num" w:pos="1968" w:leader="none"/>
        </w:tabs>
      </w:pPr>
      <w:rPr>
        <w:rFonts w:hint="eastAsia"/>
        <w:u w:val="none"/>
      </w:rPr>
    </w:lvl>
    <w:lvl w:ilvl="3">
      <w:start w:val="1"/>
      <w:numFmt w:val="decimal"/>
      <w:isLgl w:val="false"/>
      <w:suff w:val="tab"/>
      <w:lvlText w:val="%4."/>
      <w:lvlJc w:val="left"/>
      <w:pPr>
        <w:pStyle w:val="963"/>
        <w:ind w:left="2088" w:hanging="420"/>
        <w:tabs>
          <w:tab w:val="num" w:pos="2088" w:leader="none"/>
        </w:tabs>
      </w:pPr>
    </w:lvl>
    <w:lvl w:ilvl="4">
      <w:start w:val="1"/>
      <w:numFmt w:val="lowerLetter"/>
      <w:isLgl w:val="false"/>
      <w:suff w:val="tab"/>
      <w:lvlText w:val="%5)"/>
      <w:lvlJc w:val="left"/>
      <w:pPr>
        <w:pStyle w:val="963"/>
        <w:ind w:left="2508" w:hanging="420"/>
        <w:tabs>
          <w:tab w:val="num" w:pos="2508" w:leader="none"/>
        </w:tabs>
      </w:pPr>
    </w:lvl>
    <w:lvl w:ilvl="5">
      <w:start w:val="1"/>
      <w:numFmt w:val="lowerRoman"/>
      <w:isLgl w:val="false"/>
      <w:suff w:val="tab"/>
      <w:lvlText w:val="%6."/>
      <w:lvlJc w:val="right"/>
      <w:pPr>
        <w:pStyle w:val="963"/>
        <w:ind w:left="2928" w:hanging="420"/>
        <w:tabs>
          <w:tab w:val="num" w:pos="2928" w:leader="none"/>
        </w:tabs>
      </w:pPr>
    </w:lvl>
    <w:lvl w:ilvl="6">
      <w:start w:val="1"/>
      <w:numFmt w:val="decimal"/>
      <w:isLgl w:val="false"/>
      <w:suff w:val="tab"/>
      <w:lvlText w:val="%7."/>
      <w:lvlJc w:val="left"/>
      <w:pPr>
        <w:pStyle w:val="963"/>
        <w:ind w:left="3348" w:hanging="420"/>
        <w:tabs>
          <w:tab w:val="num" w:pos="3348" w:leader="none"/>
        </w:tabs>
      </w:pPr>
    </w:lvl>
    <w:lvl w:ilvl="7">
      <w:start w:val="1"/>
      <w:numFmt w:val="lowerLetter"/>
      <w:isLgl w:val="false"/>
      <w:suff w:val="tab"/>
      <w:lvlText w:val="%8)"/>
      <w:lvlJc w:val="left"/>
      <w:pPr>
        <w:pStyle w:val="963"/>
        <w:ind w:left="3768" w:hanging="420"/>
        <w:tabs>
          <w:tab w:val="num" w:pos="3768" w:leader="none"/>
        </w:tabs>
      </w:pPr>
    </w:lvl>
    <w:lvl w:ilvl="8">
      <w:start w:val="1"/>
      <w:numFmt w:val="lowerRoman"/>
      <w:isLgl w:val="false"/>
      <w:suff w:val="tab"/>
      <w:lvlText w:val="%9."/>
      <w:lvlJc w:val="right"/>
      <w:pPr>
        <w:pStyle w:val="963"/>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9">
    <w:multiLevelType w:val="hybridMultilevel"/>
    <w:lvl w:ilvl="0">
      <w:start w:val="1"/>
      <w:numFmt w:val="decimal"/>
      <w:pStyle w:val="1070"/>
      <w:isLgl w:val="false"/>
      <w:suff w:val="tab"/>
      <w:lvlText w:val="%1)"/>
      <w:lvlJc w:val="left"/>
      <w:pPr>
        <w:pStyle w:val="963"/>
        <w:ind w:left="420" w:hanging="42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0">
    <w:multiLevelType w:val="hybridMultilevel"/>
    <w:lvl w:ilvl="0">
      <w:start w:val="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71"/>
      <w:isLgl w:val="false"/>
      <w:suff w:val="tab"/>
      <w:lvlText w:val="%1"/>
      <w:lvlJc w:val="left"/>
      <w:pPr>
        <w:pStyle w:val="963"/>
        <w:ind w:left="680" w:hanging="680"/>
      </w:pPr>
      <w:rPr>
        <w:rFonts w:hint="eastAsia" w:ascii="宋体" w:hAnsi="宋体" w:eastAsia="宋体"/>
      </w:rPr>
    </w:lvl>
    <w:lvl w:ilvl="1">
      <w:start w:val="1"/>
      <w:numFmt w:val="decimal"/>
      <w:pStyle w:val="1172"/>
      <w:isLgl w:val="false"/>
      <w:suff w:val="tab"/>
      <w:lvlText w:val="%1.%2"/>
      <w:lvlJc w:val="left"/>
      <w:pPr>
        <w:pStyle w:val="963"/>
        <w:ind w:left="851" w:hanging="851"/>
      </w:pPr>
      <w:rPr>
        <w:rFonts w:hint="eastAsia" w:ascii="宋体" w:hAnsi="宋体" w:eastAsia="宋体"/>
        <w:color w:val="000000"/>
      </w:rPr>
    </w:lvl>
    <w:lvl w:ilvl="2">
      <w:start w:val="1"/>
      <w:numFmt w:val="decimal"/>
      <w:pStyle w:val="1173"/>
      <w:isLgl w:val="false"/>
      <w:suff w:val="tab"/>
      <w:lvlText w:val="%1.%2.%3"/>
      <w:lvlJc w:val="left"/>
      <w:pPr>
        <w:pStyle w:val="963"/>
        <w:ind w:left="851" w:hanging="851"/>
      </w:pPr>
      <w:rPr>
        <w:rFonts w:hint="eastAsia"/>
      </w:rPr>
    </w:lvl>
    <w:lvl w:ilvl="3">
      <w:start w:val="1"/>
      <w:numFmt w:val="decimal"/>
      <w:isLgl w:val="false"/>
      <w:suff w:val="tab"/>
      <w:lvlText w:val="%1.%2.%3.%4"/>
      <w:lvlJc w:val="left"/>
      <w:pPr>
        <w:pStyle w:val="963"/>
        <w:ind w:left="680" w:hanging="680"/>
      </w:pPr>
      <w:rPr>
        <w:rFonts w:hint="eastAsia"/>
      </w:rPr>
    </w:lvl>
    <w:lvl w:ilvl="4">
      <w:start w:val="1"/>
      <w:numFmt w:val="decimal"/>
      <w:isLgl w:val="false"/>
      <w:suff w:val="tab"/>
      <w:lvlText w:val="%1.%2.%3.%4.%5"/>
      <w:lvlJc w:val="left"/>
      <w:pPr>
        <w:pStyle w:val="963"/>
        <w:ind w:left="680" w:hanging="680"/>
      </w:pPr>
      <w:rPr>
        <w:rFonts w:hint="eastAsia"/>
      </w:rPr>
    </w:lvl>
    <w:lvl w:ilvl="5">
      <w:start w:val="1"/>
      <w:numFmt w:val="decimal"/>
      <w:isLgl w:val="false"/>
      <w:suff w:val="tab"/>
      <w:lvlText w:val="%1.%2.%3.%4.%5.%6"/>
      <w:lvlJc w:val="left"/>
      <w:pPr>
        <w:pStyle w:val="963"/>
        <w:ind w:left="680" w:hanging="680"/>
      </w:pPr>
      <w:rPr>
        <w:rFonts w:hint="eastAsia"/>
      </w:rPr>
    </w:lvl>
    <w:lvl w:ilvl="6">
      <w:start w:val="1"/>
      <w:numFmt w:val="decimal"/>
      <w:isLgl w:val="false"/>
      <w:suff w:val="tab"/>
      <w:lvlText w:val="%1.%2.%3.%4.%5.%6.%7"/>
      <w:lvlJc w:val="left"/>
      <w:pPr>
        <w:pStyle w:val="963"/>
        <w:ind w:left="680" w:hanging="680"/>
      </w:pPr>
      <w:rPr>
        <w:rFonts w:hint="eastAsia"/>
      </w:rPr>
    </w:lvl>
    <w:lvl w:ilvl="7">
      <w:start w:val="1"/>
      <w:numFmt w:val="decimal"/>
      <w:isLgl w:val="false"/>
      <w:suff w:val="tab"/>
      <w:lvlText w:val="%1.%2.%3.%4.%5.%6.%7.%8"/>
      <w:lvlJc w:val="left"/>
      <w:pPr>
        <w:pStyle w:val="963"/>
        <w:ind w:left="680" w:hanging="680"/>
      </w:pPr>
      <w:rPr>
        <w:rFonts w:hint="eastAsia"/>
      </w:rPr>
    </w:lvl>
    <w:lvl w:ilvl="8">
      <w:start w:val="1"/>
      <w:numFmt w:val="decimal"/>
      <w:isLgl w:val="false"/>
      <w:suff w:val="tab"/>
      <w:lvlText w:val="%1.%2.%3.%4.%5.%6.%7.%8.%9"/>
      <w:lvlJc w:val="left"/>
      <w:pPr>
        <w:pStyle w:val="963"/>
        <w:ind w:left="680" w:hanging="680"/>
      </w:pPr>
      <w:rPr>
        <w:rFonts w:hint="eastAsia"/>
      </w:rPr>
    </w:lvl>
  </w:abstractNum>
  <w:abstractNum w:abstractNumId="12">
    <w:multiLevelType w:val="hybridMultilevel"/>
    <w:lvl w:ilvl="0">
      <w:start w:val="1"/>
      <w:numFmt w:val="japaneseCounting"/>
      <w:isLgl w:val="false"/>
      <w:suff w:val="tab"/>
      <w:lvlText w:val="%1、"/>
      <w:lvlJc w:val="left"/>
      <w:pPr>
        <w:pStyle w:val="963"/>
        <w:ind w:left="500" w:hanging="5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3">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14">
    <w:multiLevelType w:val="hybridMultilevel"/>
    <w:lvl w:ilvl="0">
      <w:start w:val="1"/>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8"/>
  </w:num>
  <w:num w:numId="9">
    <w:abstractNumId w:val="2"/>
  </w:num>
  <w:num w:numId="10">
    <w:abstractNumId w:val="13"/>
  </w:num>
  <w:num w:numId="11">
    <w:abstractNumId w:val="12"/>
  </w:num>
  <w:num w:numId="12">
    <w:abstractNumId w:val="1"/>
  </w:num>
  <w:num w:numId="13">
    <w:abstractNumId w:val="14"/>
  </w:num>
  <w:num w:numId="14">
    <w:abstractNumId w:val="0"/>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63"/>
    <w:link w:val="963"/>
    <w:qFormat/>
    <w:pPr>
      <w:jc w:val="both"/>
      <w:widowControl w:val="off"/>
    </w:pPr>
    <w:rPr>
      <w:sz w:val="21"/>
      <w:szCs w:val="24"/>
      <w:lang w:val="en-US" w:eastAsia="zh-CN" w:bidi="ar-SA"/>
    </w:rPr>
  </w:style>
  <w:style w:type="paragraph" w:styleId="964">
    <w:name w:val="标题 1"/>
    <w:basedOn w:val="963"/>
    <w:next w:val="963"/>
    <w:link w:val="975"/>
    <w:qFormat/>
    <w:pPr>
      <w:jc w:val="center"/>
      <w:keepLines/>
      <w:keepNext/>
      <w:spacing w:before="240" w:after="120" w:line="300" w:lineRule="auto"/>
      <w:outlineLvl w:val="0"/>
    </w:pPr>
    <w:rPr>
      <w:rFonts w:ascii="宋体"/>
      <w:b/>
      <w:sz w:val="32"/>
      <w:szCs w:val="20"/>
    </w:rPr>
  </w:style>
  <w:style w:type="paragraph" w:styleId="965">
    <w:name w:val="标题 2"/>
    <w:basedOn w:val="963"/>
    <w:next w:val="977"/>
    <w:link w:val="976"/>
    <w:qFormat/>
    <w:pPr>
      <w:jc w:val="center"/>
      <w:keepLines/>
      <w:keepNext/>
      <w:spacing w:before="120" w:line="300" w:lineRule="auto"/>
      <w:outlineLvl w:val="1"/>
    </w:pPr>
    <w:rPr>
      <w:rFonts w:ascii="Arial" w:hAnsi="Arial" w:eastAsia="黑体"/>
      <w:b/>
      <w:sz w:val="30"/>
      <w:szCs w:val="20"/>
    </w:rPr>
  </w:style>
  <w:style w:type="paragraph" w:styleId="966">
    <w:name w:val="标题 3"/>
    <w:basedOn w:val="963"/>
    <w:next w:val="963"/>
    <w:link w:val="979"/>
    <w:qFormat/>
    <w:pPr>
      <w:jc w:val="left"/>
      <w:keepLines/>
      <w:keepNext/>
      <w:spacing w:before="360" w:after="120"/>
      <w:outlineLvl w:val="2"/>
    </w:pPr>
    <w:rPr>
      <w:rFonts w:ascii="宋体"/>
      <w:b/>
      <w:sz w:val="24"/>
      <w:szCs w:val="20"/>
      <w:u w:val="single"/>
    </w:rPr>
  </w:style>
  <w:style w:type="paragraph" w:styleId="967">
    <w:name w:val="标题 4"/>
    <w:basedOn w:val="963"/>
    <w:next w:val="963"/>
    <w:link w:val="980"/>
    <w:qFormat/>
    <w:pPr>
      <w:keepLines/>
      <w:keepNext/>
      <w:spacing w:before="280" w:after="290" w:line="376" w:lineRule="atLeast"/>
      <w:outlineLvl w:val="3"/>
    </w:pPr>
    <w:rPr>
      <w:rFonts w:ascii="Arial" w:hAnsi="Arial" w:eastAsia="黑体"/>
      <w:b/>
      <w:sz w:val="28"/>
      <w:szCs w:val="20"/>
    </w:rPr>
  </w:style>
  <w:style w:type="paragraph" w:styleId="968">
    <w:name w:val="标题 5"/>
    <w:basedOn w:val="963"/>
    <w:next w:val="963"/>
    <w:link w:val="981"/>
    <w:qFormat/>
    <w:pPr>
      <w:keepLines/>
      <w:keepNext/>
      <w:spacing w:before="280" w:after="290" w:line="376" w:lineRule="atLeast"/>
      <w:outlineLvl w:val="4"/>
    </w:pPr>
    <w:rPr>
      <w:b/>
      <w:sz w:val="28"/>
      <w:szCs w:val="20"/>
    </w:rPr>
  </w:style>
  <w:style w:type="paragraph" w:styleId="969">
    <w:name w:val="标题 6"/>
    <w:basedOn w:val="963"/>
    <w:next w:val="963"/>
    <w:link w:val="982"/>
    <w:qFormat/>
    <w:pPr>
      <w:keepLines/>
      <w:keepNext/>
      <w:spacing w:before="240" w:after="64" w:line="320" w:lineRule="atLeast"/>
      <w:outlineLvl w:val="5"/>
    </w:pPr>
    <w:rPr>
      <w:rFonts w:ascii="Arial" w:hAnsi="Arial" w:eastAsia="黑体"/>
      <w:b/>
      <w:sz w:val="24"/>
      <w:szCs w:val="20"/>
    </w:rPr>
  </w:style>
  <w:style w:type="paragraph" w:styleId="970">
    <w:name w:val="标题 7"/>
    <w:basedOn w:val="963"/>
    <w:next w:val="963"/>
    <w:link w:val="983"/>
    <w:qFormat/>
    <w:pPr>
      <w:keepLines/>
      <w:keepNext/>
      <w:spacing w:before="240" w:after="64" w:line="320" w:lineRule="atLeast"/>
      <w:outlineLvl w:val="6"/>
    </w:pPr>
    <w:rPr>
      <w:b/>
      <w:sz w:val="24"/>
      <w:szCs w:val="20"/>
    </w:rPr>
  </w:style>
  <w:style w:type="paragraph" w:styleId="971">
    <w:name w:val="标题 8"/>
    <w:basedOn w:val="963"/>
    <w:next w:val="963"/>
    <w:link w:val="984"/>
    <w:qFormat/>
    <w:pPr>
      <w:keepLines/>
      <w:keepNext/>
      <w:spacing w:before="240" w:after="64" w:line="320" w:lineRule="atLeast"/>
      <w:outlineLvl w:val="7"/>
    </w:pPr>
    <w:rPr>
      <w:rFonts w:ascii="Arial" w:hAnsi="Arial" w:eastAsia="黑体"/>
      <w:sz w:val="24"/>
      <w:szCs w:val="20"/>
    </w:rPr>
  </w:style>
  <w:style w:type="paragraph" w:styleId="972">
    <w:name w:val="标题 9"/>
    <w:basedOn w:val="963"/>
    <w:next w:val="963"/>
    <w:link w:val="985"/>
    <w:qFormat/>
    <w:pPr>
      <w:keepLines/>
      <w:keepNext/>
      <w:spacing w:before="240" w:after="64" w:line="320" w:lineRule="atLeast"/>
      <w:outlineLvl w:val="8"/>
    </w:pPr>
    <w:rPr>
      <w:rFonts w:ascii="Arial" w:hAnsi="Arial" w:eastAsia="黑体"/>
      <w:szCs w:val="20"/>
    </w:rPr>
  </w:style>
  <w:style w:type="character" w:styleId="973">
    <w:name w:val="默认段落字体"/>
    <w:next w:val="973"/>
    <w:link w:val="963"/>
    <w:uiPriority w:val="1"/>
    <w:unhideWhenUsed/>
    <w:qFormat/>
  </w:style>
  <w:style w:type="table" w:styleId="974">
    <w:name w:val="普通表格"/>
    <w:next w:val="974"/>
    <w:link w:val="963"/>
    <w:uiPriority w:val="99"/>
    <w:unhideWhenUsed/>
    <w:qFormat/>
    <w:tblPr/>
  </w:style>
  <w:style w:type="character" w:styleId="975">
    <w:name w:val="标题 1 字符"/>
    <w:next w:val="975"/>
    <w:link w:val="964"/>
    <w:qFormat/>
    <w:rPr>
      <w:rFonts w:ascii="宋体"/>
      <w:b/>
      <w:sz w:val="32"/>
    </w:rPr>
  </w:style>
  <w:style w:type="character" w:styleId="976">
    <w:name w:val="标题 2 字符"/>
    <w:next w:val="976"/>
    <w:link w:val="965"/>
    <w:qFormat/>
    <w:rPr>
      <w:rFonts w:ascii="Arial" w:hAnsi="Arial" w:eastAsia="黑体"/>
      <w:b/>
      <w:sz w:val="30"/>
      <w:lang w:val="en-US" w:eastAsia="zh-CN" w:bidi="ar-SA"/>
    </w:rPr>
  </w:style>
  <w:style w:type="paragraph" w:styleId="977">
    <w:name w:val="正文缩进"/>
    <w:basedOn w:val="963"/>
    <w:next w:val="963"/>
    <w:link w:val="978"/>
    <w:qFormat/>
    <w:pPr>
      <w:ind w:firstLine="420"/>
      <w:jc w:val="left"/>
    </w:pPr>
    <w:rPr>
      <w:rFonts w:ascii="宋体"/>
      <w:sz w:val="24"/>
    </w:rPr>
  </w:style>
  <w:style w:type="character" w:styleId="978">
    <w:name w:val="正文缩进 字符"/>
    <w:next w:val="978"/>
    <w:link w:val="977"/>
    <w:qFormat/>
    <w:rPr>
      <w:rFonts w:ascii="宋体" w:eastAsia="宋体"/>
      <w:sz w:val="24"/>
      <w:szCs w:val="24"/>
      <w:lang w:val="en-US" w:eastAsia="zh-CN" w:bidi="ar-SA"/>
    </w:rPr>
  </w:style>
  <w:style w:type="character" w:styleId="979">
    <w:name w:val="标题 3 字符"/>
    <w:next w:val="979"/>
    <w:link w:val="966"/>
    <w:qFormat/>
    <w:rPr>
      <w:rFonts w:ascii="宋体" w:eastAsia="宋体"/>
      <w:b/>
      <w:sz w:val="24"/>
      <w:u w:val="single"/>
      <w:lang w:val="en-US" w:eastAsia="zh-CN" w:bidi="ar-SA"/>
    </w:rPr>
  </w:style>
  <w:style w:type="character" w:styleId="980">
    <w:name w:val="标题 4 字符"/>
    <w:next w:val="980"/>
    <w:link w:val="967"/>
    <w:qFormat/>
    <w:rPr>
      <w:rFonts w:ascii="Arial" w:hAnsi="Arial" w:eastAsia="黑体"/>
      <w:b/>
      <w:sz w:val="28"/>
    </w:rPr>
  </w:style>
  <w:style w:type="character" w:styleId="981">
    <w:name w:val="标题 5 字符"/>
    <w:next w:val="981"/>
    <w:link w:val="968"/>
    <w:qFormat/>
    <w:rPr>
      <w:b/>
      <w:sz w:val="28"/>
    </w:rPr>
  </w:style>
  <w:style w:type="character" w:styleId="982">
    <w:name w:val="标题 6 字符"/>
    <w:next w:val="982"/>
    <w:link w:val="969"/>
    <w:qFormat/>
    <w:rPr>
      <w:rFonts w:ascii="Arial" w:hAnsi="Arial" w:eastAsia="黑体"/>
      <w:b/>
      <w:sz w:val="24"/>
    </w:rPr>
  </w:style>
  <w:style w:type="character" w:styleId="983">
    <w:name w:val="标题 7 字符"/>
    <w:next w:val="983"/>
    <w:link w:val="970"/>
    <w:qFormat/>
    <w:rPr>
      <w:b/>
      <w:sz w:val="24"/>
    </w:rPr>
  </w:style>
  <w:style w:type="character" w:styleId="984">
    <w:name w:val="标题 8 字符"/>
    <w:next w:val="984"/>
    <w:link w:val="971"/>
    <w:qFormat/>
    <w:rPr>
      <w:rFonts w:ascii="Arial" w:hAnsi="Arial" w:eastAsia="黑体"/>
      <w:sz w:val="24"/>
    </w:rPr>
  </w:style>
  <w:style w:type="character" w:styleId="985">
    <w:name w:val="标题 9 字符"/>
    <w:next w:val="985"/>
    <w:link w:val="972"/>
    <w:qFormat/>
    <w:rPr>
      <w:rFonts w:ascii="Arial" w:hAnsi="Arial" w:eastAsia="黑体"/>
      <w:sz w:val="21"/>
    </w:rPr>
  </w:style>
  <w:style w:type="paragraph" w:styleId="986">
    <w:name w:val="目录 7"/>
    <w:basedOn w:val="963"/>
    <w:next w:val="963"/>
    <w:link w:val="963"/>
    <w:qFormat/>
    <w:pPr>
      <w:ind w:left="2520"/>
    </w:pPr>
  </w:style>
  <w:style w:type="paragraph" w:styleId="987">
    <w:name w:val="题注"/>
    <w:basedOn w:val="963"/>
    <w:next w:val="963"/>
    <w:link w:val="963"/>
    <w:qFormat/>
    <w:pPr>
      <w:spacing w:line="480" w:lineRule="auto"/>
    </w:pPr>
    <w:rPr>
      <w:rFonts w:ascii="华文中宋" w:hAnsi="华文中宋" w:eastAsia="华文中宋"/>
      <w:sz w:val="36"/>
      <w:szCs w:val="20"/>
    </w:rPr>
  </w:style>
  <w:style w:type="paragraph" w:styleId="988">
    <w:name w:val="文档结构图"/>
    <w:basedOn w:val="963"/>
    <w:next w:val="988"/>
    <w:link w:val="989"/>
    <w:qFormat/>
    <w:pPr>
      <w:shd w:val="clear" w:color="auto" w:fill="000080"/>
    </w:pPr>
  </w:style>
  <w:style w:type="character" w:styleId="989">
    <w:name w:val="文档结构图 字符"/>
    <w:next w:val="989"/>
    <w:link w:val="988"/>
    <w:qFormat/>
    <w:rPr>
      <w:sz w:val="21"/>
      <w:szCs w:val="24"/>
      <w:shd w:val="clear" w:color="auto" w:fill="000080"/>
    </w:rPr>
  </w:style>
  <w:style w:type="paragraph" w:styleId="990">
    <w:name w:val="批注文字"/>
    <w:basedOn w:val="963"/>
    <w:next w:val="990"/>
    <w:link w:val="991"/>
    <w:uiPriority w:val="99"/>
    <w:qFormat/>
    <w:pPr>
      <w:jc w:val="left"/>
    </w:pPr>
  </w:style>
  <w:style w:type="character" w:styleId="991">
    <w:name w:val="批注文字 字符1"/>
    <w:next w:val="991"/>
    <w:link w:val="990"/>
    <w:uiPriority w:val="99"/>
    <w:qFormat/>
    <w:rPr>
      <w:sz w:val="21"/>
      <w:szCs w:val="24"/>
    </w:rPr>
  </w:style>
  <w:style w:type="paragraph" w:styleId="992">
    <w:name w:val="正文文本 3"/>
    <w:basedOn w:val="963"/>
    <w:next w:val="992"/>
    <w:link w:val="993"/>
    <w:qFormat/>
    <w:pPr>
      <w:spacing w:after="120"/>
    </w:pPr>
    <w:rPr>
      <w:sz w:val="16"/>
      <w:szCs w:val="16"/>
    </w:rPr>
  </w:style>
  <w:style w:type="character" w:styleId="993">
    <w:name w:val="正文文本 3 字符"/>
    <w:next w:val="993"/>
    <w:link w:val="992"/>
    <w:qFormat/>
    <w:rPr>
      <w:sz w:val="16"/>
      <w:szCs w:val="16"/>
    </w:rPr>
  </w:style>
  <w:style w:type="paragraph" w:styleId="994">
    <w:name w:val="正文文本"/>
    <w:basedOn w:val="963"/>
    <w:next w:val="963"/>
    <w:link w:val="995"/>
    <w:qFormat/>
    <w:pPr>
      <w:spacing w:before="120" w:line="22" w:lineRule="atLeast"/>
      <w:tabs>
        <w:tab w:val="left" w:pos="567" w:leader="none"/>
      </w:tabs>
    </w:pPr>
    <w:rPr>
      <w:rFonts w:ascii="宋体" w:hAnsi="宋体"/>
      <w:sz w:val="24"/>
    </w:rPr>
  </w:style>
  <w:style w:type="character" w:styleId="995">
    <w:name w:val="正文文本 字符"/>
    <w:next w:val="995"/>
    <w:link w:val="994"/>
    <w:qFormat/>
    <w:rPr>
      <w:rFonts w:ascii="宋体" w:hAnsi="宋体"/>
      <w:sz w:val="24"/>
      <w:szCs w:val="24"/>
    </w:rPr>
  </w:style>
  <w:style w:type="paragraph" w:styleId="996">
    <w:name w:val="正文文本缩进"/>
    <w:basedOn w:val="963"/>
    <w:next w:val="996"/>
    <w:link w:val="997"/>
    <w:qFormat/>
    <w:pPr>
      <w:ind w:firstLine="570"/>
      <w:spacing w:line="360" w:lineRule="auto"/>
    </w:pPr>
    <w:rPr>
      <w:sz w:val="24"/>
    </w:rPr>
  </w:style>
  <w:style w:type="character" w:styleId="997">
    <w:name w:val="正文文本缩进 字符"/>
    <w:next w:val="997"/>
    <w:link w:val="996"/>
    <w:qFormat/>
    <w:rPr>
      <w:rFonts w:eastAsia="宋体"/>
      <w:sz w:val="24"/>
      <w:szCs w:val="24"/>
      <w:lang w:val="en-US" w:eastAsia="zh-CN" w:bidi="ar-SA"/>
    </w:rPr>
  </w:style>
  <w:style w:type="paragraph" w:styleId="998">
    <w:name w:val="列表 2"/>
    <w:basedOn w:val="963"/>
    <w:next w:val="998"/>
    <w:link w:val="963"/>
    <w:qFormat/>
    <w:pPr>
      <w:ind w:left="100" w:hanging="200"/>
    </w:pPr>
  </w:style>
  <w:style w:type="paragraph" w:styleId="999">
    <w:name w:val="文本块"/>
    <w:basedOn w:val="963"/>
    <w:next w:val="999"/>
    <w:link w:val="963"/>
    <w:qFormat/>
    <w:pPr>
      <w:ind w:left="480" w:right="-341" w:firstLine="513"/>
      <w:widowControl/>
    </w:pPr>
    <w:rPr>
      <w:sz w:val="24"/>
      <w:szCs w:val="20"/>
    </w:rPr>
  </w:style>
  <w:style w:type="paragraph" w:styleId="1000">
    <w:name w:val="目录 5"/>
    <w:basedOn w:val="963"/>
    <w:next w:val="963"/>
    <w:link w:val="963"/>
    <w:qFormat/>
    <w:pPr>
      <w:ind w:left="1680"/>
    </w:pPr>
  </w:style>
  <w:style w:type="paragraph" w:styleId="1001">
    <w:name w:val="目录 3"/>
    <w:basedOn w:val="963"/>
    <w:next w:val="963"/>
    <w:link w:val="963"/>
    <w:uiPriority w:val="39"/>
    <w:qFormat/>
    <w:pPr>
      <w:ind w:left="840"/>
    </w:pPr>
  </w:style>
  <w:style w:type="paragraph" w:styleId="1002">
    <w:name w:val="纯文本"/>
    <w:basedOn w:val="963"/>
    <w:next w:val="977"/>
    <w:link w:val="1003"/>
    <w:qFormat/>
    <w:rPr>
      <w:rFonts w:hint="eastAsia" w:ascii="宋体" w:hAnsi="Courier New"/>
      <w:szCs w:val="20"/>
    </w:rPr>
  </w:style>
  <w:style w:type="character" w:styleId="1003">
    <w:name w:val="纯文本 字符2"/>
    <w:next w:val="1003"/>
    <w:link w:val="1002"/>
    <w:qFormat/>
    <w:rPr>
      <w:rFonts w:hint="eastAsia" w:ascii="宋体" w:hAnsi="Courier New" w:eastAsia="宋体" w:cs="宋体"/>
      <w:sz w:val="21"/>
    </w:rPr>
  </w:style>
  <w:style w:type="paragraph" w:styleId="1004">
    <w:name w:val="目录 8"/>
    <w:basedOn w:val="963"/>
    <w:next w:val="963"/>
    <w:link w:val="963"/>
    <w:qFormat/>
    <w:pPr>
      <w:ind w:left="2940"/>
    </w:pPr>
  </w:style>
  <w:style w:type="paragraph" w:styleId="1005">
    <w:name w:val="日期"/>
    <w:basedOn w:val="963"/>
    <w:next w:val="963"/>
    <w:link w:val="1006"/>
    <w:qFormat/>
    <w:pPr>
      <w:ind w:left="100"/>
    </w:pPr>
    <w:rPr>
      <w:rFonts w:ascii="仿宋_GB2312" w:hAnsi="宋体" w:eastAsia="仿宋_GB2312"/>
      <w:color w:val="000000"/>
      <w:sz w:val="24"/>
    </w:rPr>
  </w:style>
  <w:style w:type="character" w:styleId="1006">
    <w:name w:val="日期 字符"/>
    <w:next w:val="1006"/>
    <w:link w:val="1005"/>
    <w:qFormat/>
    <w:rPr>
      <w:rFonts w:ascii="仿宋_GB2312" w:hAnsi="宋体" w:eastAsia="仿宋_GB2312"/>
      <w:color w:val="000000"/>
      <w:sz w:val="24"/>
      <w:szCs w:val="24"/>
    </w:rPr>
  </w:style>
  <w:style w:type="paragraph" w:styleId="1007">
    <w:name w:val="正文文本缩进 2"/>
    <w:basedOn w:val="963"/>
    <w:next w:val="1007"/>
    <w:link w:val="1008"/>
    <w:qFormat/>
    <w:pPr>
      <w:ind w:firstLine="480"/>
    </w:pPr>
    <w:rPr>
      <w:rFonts w:ascii="仿宋_GB2312" w:eastAsia="仿宋_GB2312"/>
      <w:sz w:val="24"/>
    </w:rPr>
  </w:style>
  <w:style w:type="character" w:styleId="1008">
    <w:name w:val="正文文本缩进 2 字符"/>
    <w:next w:val="1008"/>
    <w:link w:val="1007"/>
    <w:qFormat/>
    <w:rPr>
      <w:rFonts w:ascii="仿宋_GB2312" w:eastAsia="仿宋_GB2312"/>
      <w:sz w:val="24"/>
      <w:szCs w:val="24"/>
    </w:rPr>
  </w:style>
  <w:style w:type="paragraph" w:styleId="1009">
    <w:name w:val="批注框文本"/>
    <w:basedOn w:val="963"/>
    <w:next w:val="1009"/>
    <w:link w:val="1010"/>
    <w:qFormat/>
    <w:rPr>
      <w:sz w:val="18"/>
      <w:szCs w:val="18"/>
    </w:rPr>
  </w:style>
  <w:style w:type="character" w:styleId="1010">
    <w:name w:val="批注框文本 字符"/>
    <w:next w:val="1010"/>
    <w:link w:val="1009"/>
    <w:qFormat/>
    <w:rPr>
      <w:sz w:val="18"/>
      <w:szCs w:val="18"/>
    </w:rPr>
  </w:style>
  <w:style w:type="paragraph" w:styleId="1011">
    <w:name w:val="页脚"/>
    <w:basedOn w:val="963"/>
    <w:next w:val="1011"/>
    <w:link w:val="1012"/>
    <w:uiPriority w:val="99"/>
    <w:qFormat/>
    <w:pPr>
      <w:jc w:val="left"/>
      <w:tabs>
        <w:tab w:val="center" w:pos="4153" w:leader="none"/>
        <w:tab w:val="right" w:pos="8306" w:leader="none"/>
      </w:tabs>
    </w:pPr>
    <w:rPr>
      <w:rFonts w:ascii="宋体"/>
      <w:sz w:val="18"/>
      <w:szCs w:val="20"/>
    </w:rPr>
  </w:style>
  <w:style w:type="character" w:styleId="1012">
    <w:name w:val="页脚 字符"/>
    <w:next w:val="1012"/>
    <w:link w:val="1011"/>
    <w:uiPriority w:val="99"/>
    <w:qFormat/>
    <w:rPr>
      <w:rFonts w:ascii="宋体" w:eastAsia="宋体"/>
      <w:sz w:val="18"/>
      <w:lang w:val="en-US" w:eastAsia="zh-CN" w:bidi="ar-SA"/>
    </w:rPr>
  </w:style>
  <w:style w:type="paragraph" w:styleId="1013">
    <w:name w:val="页眉"/>
    <w:basedOn w:val="963"/>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字符"/>
    <w:next w:val="1014"/>
    <w:link w:val="1013"/>
    <w:qFormat/>
    <w:rPr>
      <w:rFonts w:eastAsia="宋体"/>
      <w:sz w:val="18"/>
      <w:szCs w:val="18"/>
      <w:lang w:val="en-US" w:eastAsia="zh-CN" w:bidi="ar-SA"/>
    </w:rPr>
  </w:style>
  <w:style w:type="paragraph" w:styleId="1015">
    <w:name w:val="目录 1"/>
    <w:basedOn w:val="963"/>
    <w:next w:val="963"/>
    <w:link w:val="963"/>
    <w:uiPriority w:val="39"/>
    <w:qFormat/>
    <w:pPr>
      <w:spacing w:line="300" w:lineRule="auto"/>
      <w:tabs>
        <w:tab w:val="left" w:pos="1050" w:leader="none"/>
        <w:tab w:val="right" w:pos="8937" w:leader="dot"/>
      </w:tabs>
    </w:pPr>
    <w:rPr>
      <w:rFonts w:ascii="宋体" w:hAnsi="宋体"/>
      <w:b/>
      <w:sz w:val="24"/>
    </w:rPr>
  </w:style>
  <w:style w:type="paragraph" w:styleId="1016">
    <w:name w:val="目录 4"/>
    <w:basedOn w:val="963"/>
    <w:next w:val="963"/>
    <w:link w:val="963"/>
    <w:qFormat/>
    <w:pPr>
      <w:ind w:left="1260"/>
    </w:pPr>
  </w:style>
  <w:style w:type="paragraph" w:styleId="1017">
    <w:name w:val="目录 6"/>
    <w:basedOn w:val="963"/>
    <w:next w:val="963"/>
    <w:link w:val="963"/>
    <w:qFormat/>
    <w:pPr>
      <w:ind w:left="2100"/>
    </w:pPr>
  </w:style>
  <w:style w:type="paragraph" w:styleId="1018">
    <w:name w:val="正文文本缩进 3"/>
    <w:basedOn w:val="963"/>
    <w:next w:val="1018"/>
    <w:link w:val="1019"/>
    <w:qFormat/>
    <w:pPr>
      <w:ind w:left="720" w:firstLine="480"/>
      <w:jc w:val="left"/>
      <w:spacing w:before="120" w:line="22" w:lineRule="atLeast"/>
    </w:pPr>
    <w:rPr>
      <w:rFonts w:ascii="宋体"/>
      <w:sz w:val="24"/>
      <w:szCs w:val="20"/>
    </w:rPr>
  </w:style>
  <w:style w:type="character" w:styleId="1019">
    <w:name w:val="正文文本缩进 3 字符"/>
    <w:next w:val="1019"/>
    <w:link w:val="1018"/>
    <w:qFormat/>
    <w:rPr>
      <w:rFonts w:ascii="宋体"/>
      <w:sz w:val="24"/>
    </w:rPr>
  </w:style>
  <w:style w:type="paragraph" w:styleId="1020">
    <w:name w:val="目录 2"/>
    <w:basedOn w:val="963"/>
    <w:next w:val="963"/>
    <w:link w:val="963"/>
    <w:uiPriority w:val="39"/>
    <w:qFormat/>
    <w:pPr>
      <w:ind w:left="420"/>
      <w:spacing w:line="312" w:lineRule="auto"/>
      <w:tabs>
        <w:tab w:val="right" w:pos="8937" w:leader="dot"/>
      </w:tabs>
    </w:pPr>
  </w:style>
  <w:style w:type="paragraph" w:styleId="1021">
    <w:name w:val="目录 9"/>
    <w:basedOn w:val="963"/>
    <w:next w:val="963"/>
    <w:link w:val="963"/>
    <w:qFormat/>
    <w:pPr>
      <w:ind w:left="3360"/>
    </w:pPr>
  </w:style>
  <w:style w:type="paragraph" w:styleId="1022">
    <w:name w:val="HTML 预设格式"/>
    <w:basedOn w:val="963"/>
    <w:next w:val="1022"/>
    <w:link w:val="10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3">
    <w:name w:val="HTML 预设格式 字符"/>
    <w:next w:val="1023"/>
    <w:link w:val="1022"/>
    <w:qFormat/>
    <w:rPr>
      <w:rFonts w:ascii="宋体" w:hAnsi="宋体" w:cs="宋体"/>
      <w:sz w:val="24"/>
      <w:szCs w:val="24"/>
    </w:rPr>
  </w:style>
  <w:style w:type="paragraph" w:styleId="1024">
    <w:name w:val="普通(网站)"/>
    <w:basedOn w:val="963"/>
    <w:next w:val="1024"/>
    <w:link w:val="963"/>
    <w:uiPriority w:val="99"/>
    <w:unhideWhenUsed/>
    <w:qFormat/>
    <w:pPr>
      <w:jc w:val="left"/>
      <w:spacing w:before="100" w:beforeAutospacing="1" w:after="100" w:afterAutospacing="1"/>
      <w:widowControl/>
    </w:pPr>
    <w:rPr>
      <w:rFonts w:ascii="宋体" w:hAnsi="宋体" w:cs="宋体"/>
      <w:sz w:val="24"/>
    </w:rPr>
  </w:style>
  <w:style w:type="paragraph" w:styleId="1025">
    <w:name w:val="索引 1"/>
    <w:basedOn w:val="963"/>
    <w:next w:val="963"/>
    <w:link w:val="963"/>
    <w:qFormat/>
    <w:rPr>
      <w:szCs w:val="20"/>
    </w:rPr>
  </w:style>
  <w:style w:type="paragraph" w:styleId="1026">
    <w:name w:val="标题"/>
    <w:basedOn w:val="963"/>
    <w:next w:val="1026"/>
    <w:link w:val="1027"/>
    <w:qFormat/>
    <w:pPr>
      <w:jc w:val="center"/>
      <w:outlineLvl w:val="0"/>
    </w:pPr>
    <w:rPr>
      <w:b/>
      <w:sz w:val="32"/>
      <w:szCs w:val="20"/>
    </w:rPr>
  </w:style>
  <w:style w:type="character" w:styleId="1027">
    <w:name w:val="标题 字符"/>
    <w:next w:val="1027"/>
    <w:link w:val="1026"/>
    <w:qFormat/>
    <w:rPr>
      <w:b/>
      <w:sz w:val="32"/>
    </w:rPr>
  </w:style>
  <w:style w:type="paragraph" w:styleId="1028">
    <w:name w:val="批注主题"/>
    <w:basedOn w:val="990"/>
    <w:next w:val="990"/>
    <w:link w:val="1029"/>
    <w:qFormat/>
    <w:rPr>
      <w:b/>
      <w:bCs/>
    </w:rPr>
  </w:style>
  <w:style w:type="character" w:styleId="1029">
    <w:name w:val="批注主题 字符"/>
    <w:next w:val="1029"/>
    <w:link w:val="1028"/>
    <w:qFormat/>
    <w:rPr>
      <w:rFonts w:ascii="Times New Roman" w:hAnsi="Times New Roman" w:eastAsia="宋体" w:cs="Times New Roman"/>
      <w:b/>
      <w:bCs/>
      <w:sz w:val="21"/>
      <w:szCs w:val="24"/>
      <w:lang w:val="en-US" w:eastAsia="zh-CN" w:bidi="ar-SA"/>
    </w:rPr>
  </w:style>
  <w:style w:type="paragraph" w:styleId="1030">
    <w:name w:val="正文首行缩进 2"/>
    <w:basedOn w:val="996"/>
    <w:next w:val="1030"/>
    <w:link w:val="1031"/>
    <w:qFormat/>
    <w:pPr>
      <w:ind w:left="420" w:firstLine="420"/>
      <w:spacing w:after="120" w:line="480" w:lineRule="exact"/>
    </w:pPr>
    <w:rPr>
      <w:szCs w:val="20"/>
    </w:rPr>
  </w:style>
  <w:style w:type="character" w:styleId="1031">
    <w:name w:val="正文首行缩进 2 字符"/>
    <w:next w:val="1031"/>
    <w:link w:val="1030"/>
    <w:qFormat/>
    <w:rPr>
      <w:rFonts w:eastAsia="宋体"/>
      <w:sz w:val="24"/>
      <w:szCs w:val="24"/>
      <w:lang w:val="en-US" w:eastAsia="zh-CN" w:bidi="ar-SA"/>
    </w:rPr>
  </w:style>
  <w:style w:type="table" w:styleId="1032">
    <w:name w:val="网格型"/>
    <w:basedOn w:val="974"/>
    <w:next w:val="1032"/>
    <w:link w:val="963"/>
    <w:uiPriority w:val="39"/>
    <w:qFormat/>
    <w:tblPr/>
  </w:style>
  <w:style w:type="table" w:styleId="1033">
    <w:name w:val="中等深浅网格 1 - 强调文字颜色 2"/>
    <w:basedOn w:val="974"/>
    <w:next w:val="1033"/>
    <w:link w:val="963"/>
    <w:qFormat/>
    <w:rPr>
      <w:sz w:val="21"/>
      <w:szCs w:val="24"/>
    </w:rPr>
    <w:tblPr/>
  </w:style>
  <w:style w:type="character" w:styleId="1034">
    <w:name w:val="要点"/>
    <w:next w:val="1034"/>
    <w:link w:val="963"/>
    <w:qFormat/>
    <w:rPr>
      <w:b/>
      <w:bCs/>
    </w:rPr>
  </w:style>
  <w:style w:type="character" w:styleId="1035">
    <w:name w:val="页码"/>
    <w:next w:val="1035"/>
    <w:link w:val="963"/>
    <w:qFormat/>
  </w:style>
  <w:style w:type="character" w:styleId="1036">
    <w:name w:val="已访问的超链接"/>
    <w:next w:val="1036"/>
    <w:link w:val="963"/>
    <w:qFormat/>
    <w:rPr>
      <w:color w:val="800080"/>
      <w:u w:val="single"/>
    </w:rPr>
  </w:style>
  <w:style w:type="character" w:styleId="1037">
    <w:name w:val="强调"/>
    <w:next w:val="1037"/>
    <w:link w:val="963"/>
    <w:qFormat/>
    <w:rPr>
      <w:color w:val="cc0033"/>
    </w:rPr>
  </w:style>
  <w:style w:type="character" w:styleId="1038">
    <w:name w:val="超链接"/>
    <w:next w:val="1038"/>
    <w:link w:val="963"/>
    <w:uiPriority w:val="99"/>
    <w:qFormat/>
    <w:rPr>
      <w:color w:val="0000ff"/>
      <w:u w:val="single"/>
    </w:rPr>
  </w:style>
  <w:style w:type="character" w:styleId="1039">
    <w:name w:val="批注引用"/>
    <w:next w:val="1039"/>
    <w:link w:val="963"/>
    <w:uiPriority w:val="99"/>
    <w:qFormat/>
    <w:rPr>
      <w:sz w:val="21"/>
      <w:szCs w:val="21"/>
    </w:rPr>
  </w:style>
  <w:style w:type="character" w:styleId="1040">
    <w:name w:val="HTML 引文"/>
    <w:next w:val="1040"/>
    <w:link w:val="963"/>
    <w:qFormat/>
    <w:rPr>
      <w:i/>
      <w:iCs/>
    </w:rPr>
  </w:style>
  <w:style w:type="character" w:styleId="1041">
    <w:name w:val="批注文字 字符"/>
    <w:next w:val="1041"/>
    <w:link w:val="963"/>
    <w:uiPriority w:val="99"/>
    <w:qFormat/>
    <w:rPr>
      <w:rFonts w:ascii="Times New Roman" w:hAnsi="Times New Roman" w:eastAsia="宋体" w:cs="Times New Roman"/>
      <w:sz w:val="24"/>
      <w:lang w:val="en-US" w:eastAsia="zh-CN" w:bidi="ar-SA"/>
    </w:rPr>
  </w:style>
  <w:style w:type="character" w:styleId="1042">
    <w:name w:val="c21"/>
    <w:next w:val="1042"/>
    <w:link w:val="963"/>
    <w:qFormat/>
    <w:rPr>
      <w:rFonts w:ascii="ˎ̥" w:hAnsi="ˎ̥"/>
      <w:color w:val="000000"/>
      <w:sz w:val="20"/>
      <w:szCs w:val="20"/>
      <w:u w:val="none"/>
    </w:rPr>
  </w:style>
  <w:style w:type="character" w:styleId="1043">
    <w:name w:val="title4"/>
    <w:next w:val="1043"/>
    <w:link w:val="963"/>
    <w:qFormat/>
    <w:rPr>
      <w:b/>
      <w:bCs/>
      <w:color w:val="1d87b3"/>
      <w:sz w:val="15"/>
      <w:szCs w:val="15"/>
    </w:rPr>
  </w:style>
  <w:style w:type="character" w:styleId="1044">
    <w:name w:val="标题 2 Char Char"/>
    <w:next w:val="1044"/>
    <w:link w:val="963"/>
    <w:qFormat/>
    <w:rPr>
      <w:rFonts w:ascii="Arial" w:hAnsi="Arial" w:eastAsia="黑体"/>
      <w:b/>
      <w:bCs/>
      <w:sz w:val="32"/>
      <w:szCs w:val="32"/>
      <w:lang w:val="en-US" w:eastAsia="zh-CN" w:bidi="ar-SA"/>
    </w:rPr>
  </w:style>
  <w:style w:type="character" w:styleId="1045">
    <w:name w:val="black1"/>
    <w:next w:val="1045"/>
    <w:link w:val="963"/>
    <w:qFormat/>
    <w:rPr>
      <w:color w:val="000000"/>
    </w:rPr>
  </w:style>
  <w:style w:type="character" w:styleId="1046">
    <w:name w:val="street-address"/>
    <w:next w:val="1046"/>
    <w:link w:val="963"/>
    <w:qFormat/>
  </w:style>
  <w:style w:type="character" w:styleId="1047">
    <w:name w:val="locality"/>
    <w:next w:val="1047"/>
    <w:link w:val="963"/>
    <w:qFormat/>
  </w:style>
  <w:style w:type="character" w:styleId="1048">
    <w:name w:val="正文文本缩进 Char1"/>
    <w:next w:val="1048"/>
    <w:link w:val="1049"/>
    <w:qFormat/>
    <w:rPr>
      <w:rFonts w:ascii="宋体" w:hAnsi="宋体" w:eastAsia="宋体"/>
      <w:sz w:val="24"/>
      <w:szCs w:val="24"/>
      <w:lang w:bidi="ar-SA"/>
    </w:rPr>
  </w:style>
  <w:style w:type="paragraph" w:styleId="1049">
    <w:name w:val="正文文本缩进1"/>
    <w:basedOn w:val="963"/>
    <w:next w:val="1049"/>
    <w:link w:val="1048"/>
    <w:qFormat/>
    <w:pPr>
      <w:ind w:firstLine="480"/>
      <w:spacing w:line="480" w:lineRule="exact"/>
    </w:pPr>
    <w:rPr>
      <w:rFonts w:ascii="宋体" w:hAnsi="宋体"/>
      <w:sz w:val="24"/>
    </w:rPr>
  </w:style>
  <w:style w:type="character" w:styleId="1050">
    <w:name w:val="Char Char11"/>
    <w:next w:val="1050"/>
    <w:link w:val="963"/>
    <w:qFormat/>
    <w:rPr>
      <w:rFonts w:ascii="宋体" w:eastAsia="宋体"/>
      <w:b/>
      <w:sz w:val="24"/>
      <w:u w:val="single"/>
      <w:lang w:val="en-US" w:eastAsia="zh-CN" w:bidi="ar-SA"/>
    </w:rPr>
  </w:style>
  <w:style w:type="character" w:styleId="1051">
    <w:name w:val="txt"/>
    <w:next w:val="1051"/>
    <w:link w:val="963"/>
    <w:qFormat/>
  </w:style>
  <w:style w:type="character" w:styleId="1052">
    <w:name w:val="正文缩进 Char Char"/>
    <w:next w:val="1052"/>
    <w:link w:val="1053"/>
    <w:qFormat/>
    <w:rPr>
      <w:rFonts w:ascii="宋体" w:eastAsia="宋体"/>
      <w:color w:val="000000"/>
      <w:sz w:val="28"/>
      <w:lang w:bidi="ar-SA"/>
    </w:rPr>
  </w:style>
  <w:style w:type="paragraph" w:styleId="1053">
    <w:name w:val="正文缩进1"/>
    <w:basedOn w:val="963"/>
    <w:next w:val="1053"/>
    <w:link w:val="1052"/>
    <w:qFormat/>
    <w:pPr>
      <w:ind w:firstLine="567"/>
      <w:spacing w:line="480" w:lineRule="exact"/>
      <w:widowControl/>
    </w:pPr>
    <w:rPr>
      <w:rFonts w:ascii="宋体"/>
      <w:color w:val="000000"/>
      <w:sz w:val="28"/>
      <w:szCs w:val="20"/>
    </w:rPr>
  </w:style>
  <w:style w:type="character" w:styleId="1054">
    <w:name w:val="普通文字1 Char1"/>
    <w:next w:val="1054"/>
    <w:link w:val="963"/>
    <w:qFormat/>
    <w:rPr>
      <w:rFonts w:ascii="宋体" w:hAnsi="Courier New" w:eastAsia="宋体"/>
      <w:sz w:val="21"/>
      <w:lang w:val="en-US" w:eastAsia="zh-CN" w:bidi="ar-SA"/>
    </w:rPr>
  </w:style>
  <w:style w:type="character" w:styleId="1055">
    <w:name w:val="chanpin1"/>
    <w:next w:val="1055"/>
    <w:link w:val="963"/>
    <w:qFormat/>
    <w:rPr>
      <w:rFonts w:ascii="ˎ̥" w:hAnsi="ˎ̥"/>
      <w:color w:val="000000"/>
      <w:sz w:val="20"/>
      <w:szCs w:val="20"/>
      <w:u w:val="none"/>
    </w:rPr>
  </w:style>
  <w:style w:type="character" w:styleId="1056">
    <w:name w:val="列出段落 字符"/>
    <w:next w:val="1056"/>
    <w:link w:val="1057"/>
    <w:uiPriority w:val="34"/>
    <w:qFormat/>
    <w:rPr>
      <w:rFonts w:ascii="Calibri" w:hAnsi="Calibri" w:eastAsia="宋体"/>
      <w:sz w:val="21"/>
      <w:szCs w:val="22"/>
      <w:lang w:val="en-US" w:eastAsia="zh-CN" w:bidi="ar-SA"/>
    </w:rPr>
  </w:style>
  <w:style w:type="paragraph" w:styleId="1057">
    <w:name w:val="列出段落"/>
    <w:basedOn w:val="963"/>
    <w:next w:val="1057"/>
    <w:link w:val="1056"/>
    <w:uiPriority w:val="34"/>
    <w:qFormat/>
    <w:pPr>
      <w:ind w:firstLine="420"/>
    </w:pPr>
    <w:rPr>
      <w:rFonts w:ascii="Calibri" w:hAnsi="Calibri"/>
      <w:szCs w:val="22"/>
    </w:rPr>
  </w:style>
  <w:style w:type="character" w:styleId="1058">
    <w:name w:val="标题 3 Char Char"/>
    <w:next w:val="1058"/>
    <w:link w:val="963"/>
    <w:qFormat/>
    <w:rPr>
      <w:rFonts w:eastAsia="宋体"/>
      <w:b/>
      <w:bCs/>
      <w:sz w:val="32"/>
      <w:szCs w:val="32"/>
      <w:lang w:val="en-US" w:eastAsia="zh-CN" w:bidi="ar-SA"/>
    </w:rPr>
  </w:style>
  <w:style w:type="character" w:styleId="1059">
    <w:name w:val="段1 Char"/>
    <w:next w:val="1059"/>
    <w:link w:val="963"/>
    <w:qFormat/>
    <w:rPr>
      <w:rFonts w:ascii="宋体" w:eastAsia="宋体"/>
      <w:sz w:val="24"/>
      <w:lang w:val="en-US" w:eastAsia="zh-CN" w:bidi="ar-SA"/>
    </w:rPr>
  </w:style>
  <w:style w:type="character" w:styleId="1060">
    <w:name w:val="chanpin拷贝"/>
    <w:next w:val="1060"/>
    <w:link w:val="963"/>
    <w:qFormat/>
  </w:style>
  <w:style w:type="character" w:styleId="1061">
    <w:name w:val="纯文本 Char1"/>
    <w:next w:val="1061"/>
    <w:link w:val="963"/>
    <w:qFormat/>
    <w:rPr>
      <w:rFonts w:ascii="宋体" w:hAnsi="Courier New" w:eastAsia="宋体"/>
      <w:sz w:val="21"/>
      <w:lang w:val="en-US" w:eastAsia="zh-CN" w:bidi="ar-SA"/>
    </w:rPr>
  </w:style>
  <w:style w:type="character" w:styleId="1062">
    <w:name w:val="apple-style-span"/>
    <w:next w:val="1062"/>
    <w:link w:val="963"/>
    <w:qFormat/>
    <w:rPr>
      <w:rFonts w:cs="Times New Roman"/>
    </w:rPr>
  </w:style>
  <w:style w:type="paragraph" w:styleId="1063">
    <w:name w:val="二级条标题"/>
    <w:basedOn w:val="1064"/>
    <w:next w:val="963"/>
    <w:link w:val="963"/>
    <w:qFormat/>
    <w:pPr>
      <w:numPr>
        <w:ilvl w:val="0"/>
        <w:numId w:val="0"/>
      </w:numPr>
      <w:ind w:hanging="840"/>
      <w:tabs>
        <w:tab w:val="left" w:pos="360" w:leader="none"/>
        <w:tab w:val="left" w:pos="840" w:leader="none"/>
      </w:tabs>
      <w:outlineLvl w:val="2"/>
    </w:pPr>
    <w:rPr>
      <w:rFonts w:ascii="宋体" w:eastAsia="宋体"/>
      <w:b w:val="0"/>
    </w:rPr>
  </w:style>
  <w:style w:type="paragraph" w:styleId="1064">
    <w:name w:val="一级条标题"/>
    <w:basedOn w:val="1065"/>
    <w:next w:val="963"/>
    <w:link w:val="963"/>
    <w:qFormat/>
    <w:pPr>
      <w:numPr>
        <w:ilvl w:val="1"/>
      </w:numPr>
      <w:ind w:left="0" w:hanging="840"/>
      <w:tabs>
        <w:tab w:val="left" w:pos="360" w:leader="none"/>
        <w:tab w:val="left" w:pos="840" w:leader="none"/>
      </w:tabs>
      <w:outlineLvl w:val="1"/>
    </w:pPr>
  </w:style>
  <w:style w:type="paragraph" w:styleId="1065">
    <w:name w:val="章标题"/>
    <w:next w:val="963"/>
    <w:link w:val="96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6">
    <w:name w:val="font7"/>
    <w:basedOn w:val="963"/>
    <w:next w:val="1066"/>
    <w:link w:val="963"/>
    <w:qFormat/>
    <w:pPr>
      <w:jc w:val="left"/>
      <w:spacing w:before="100" w:beforeAutospacing="1" w:after="100" w:afterAutospacing="1"/>
      <w:widowControl/>
    </w:pPr>
    <w:rPr>
      <w:rFonts w:eastAsia="Arial Unicode MS"/>
      <w:b/>
      <w:bCs/>
      <w:color w:val="000000"/>
      <w:sz w:val="20"/>
      <w:szCs w:val="20"/>
    </w:rPr>
  </w:style>
  <w:style w:type="paragraph" w:styleId="1067">
    <w:name w:val="字元 字元"/>
    <w:basedOn w:val="963"/>
    <w:next w:val="1067"/>
    <w:link w:val="963"/>
    <w:qFormat/>
    <w:rPr>
      <w:rFonts w:ascii="Tahoma" w:hAnsi="Tahoma"/>
      <w:sz w:val="24"/>
      <w:szCs w:val="20"/>
    </w:rPr>
  </w:style>
  <w:style w:type="paragraph" w:styleId="1068">
    <w:name w:val="Char3 Char Char Char"/>
    <w:basedOn w:val="963"/>
    <w:next w:val="1068"/>
    <w:link w:val="963"/>
    <w:qFormat/>
    <w:rPr>
      <w:rFonts w:ascii="Tahoma" w:hAnsi="Tahoma"/>
      <w:sz w:val="24"/>
      <w:szCs w:val="20"/>
    </w:rPr>
  </w:style>
  <w:style w:type="paragraph" w:styleId="1069">
    <w:name w:val="font6"/>
    <w:basedOn w:val="963"/>
    <w:next w:val="1069"/>
    <w:link w:val="963"/>
    <w:qFormat/>
    <w:pPr>
      <w:jc w:val="left"/>
      <w:spacing w:before="100" w:beforeAutospacing="1" w:after="100" w:afterAutospacing="1"/>
      <w:widowControl/>
    </w:pPr>
    <w:rPr>
      <w:rFonts w:ascii="宋体" w:hAnsi="宋体" w:cs="宋体"/>
      <w:sz w:val="20"/>
      <w:szCs w:val="20"/>
    </w:rPr>
  </w:style>
  <w:style w:type="paragraph" w:styleId="1070">
    <w:name w:val="项目编号2"/>
    <w:basedOn w:val="1071"/>
    <w:next w:val="1070"/>
    <w:link w:val="963"/>
    <w:qFormat/>
    <w:pPr>
      <w:numPr>
        <w:numId w:val="3"/>
      </w:numPr>
    </w:pPr>
  </w:style>
  <w:style w:type="paragraph" w:styleId="1071">
    <w:name w:val="项目编号1"/>
    <w:basedOn w:val="963"/>
    <w:next w:val="1071"/>
    <w:link w:val="963"/>
    <w:qFormat/>
    <w:pPr>
      <w:numPr>
        <w:ilvl w:val="0"/>
        <w:numId w:val="2"/>
      </w:numPr>
      <w:spacing w:before="100" w:beforeAutospacing="1" w:after="100" w:afterAutospacing="1" w:line="360" w:lineRule="auto"/>
    </w:pPr>
    <w:rPr>
      <w:sz w:val="24"/>
    </w:rPr>
  </w:style>
  <w:style w:type="paragraph" w:styleId="1072">
    <w:name w:val="图中文字"/>
    <w:basedOn w:val="963"/>
    <w:next w:val="1072"/>
    <w:link w:val="963"/>
    <w:qFormat/>
    <w:pPr>
      <w:jc w:val="center"/>
      <w:spacing w:line="0" w:lineRule="atLeast"/>
    </w:pPr>
    <w:rPr>
      <w:sz w:val="24"/>
      <w:szCs w:val="20"/>
    </w:rPr>
  </w:style>
  <w:style w:type="paragraph" w:styleId="1073">
    <w:name w:val="xl46"/>
    <w:basedOn w:val="963"/>
    <w:next w:val="1073"/>
    <w:link w:val="96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4">
    <w:name w:val="xl25"/>
    <w:basedOn w:val="963"/>
    <w:next w:val="1074"/>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name w:val="Char2"/>
    <w:basedOn w:val="963"/>
    <w:next w:val="1075"/>
    <w:link w:val="963"/>
    <w:qFormat/>
    <w:rPr>
      <w:rFonts w:ascii="Tahoma" w:hAnsi="Tahoma"/>
      <w:sz w:val="24"/>
      <w:szCs w:val="20"/>
    </w:rPr>
  </w:style>
  <w:style w:type="paragraph" w:styleId="1076">
    <w:name w:val="xl35"/>
    <w:basedOn w:val="963"/>
    <w:next w:val="1076"/>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7">
    <w:name w:val="xl40"/>
    <w:basedOn w:val="963"/>
    <w:next w:val="1077"/>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8">
    <w:name w:val="xl52"/>
    <w:basedOn w:val="963"/>
    <w:next w:val="107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79">
    <w:name w:val="xl43"/>
    <w:basedOn w:val="963"/>
    <w:next w:val="1079"/>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background1"/>
    <w:basedOn w:val="963"/>
    <w:next w:val="1080"/>
    <w:link w:val="963"/>
    <w:qFormat/>
    <w:pPr>
      <w:jc w:val="left"/>
      <w:spacing w:before="100" w:beforeAutospacing="1" w:after="100" w:afterAutospacing="1"/>
      <w:widowControl/>
    </w:pPr>
    <w:rPr>
      <w:rFonts w:ascii="宋体" w:hAnsi="宋体" w:cs="宋体"/>
      <w:sz w:val="24"/>
    </w:rPr>
  </w:style>
  <w:style w:type="paragraph" w:styleId="1081">
    <w:name w:val="Char Char Char Char Char Char Char"/>
    <w:basedOn w:val="963"/>
    <w:next w:val="1081"/>
    <w:link w:val="963"/>
    <w:qFormat/>
    <w:pPr>
      <w:ind w:firstLine="200"/>
      <w:spacing w:line="360" w:lineRule="auto"/>
    </w:pPr>
    <w:rPr>
      <w:rFonts w:eastAsia="仿宋_GB2312"/>
      <w:sz w:val="24"/>
    </w:rPr>
  </w:style>
  <w:style w:type="paragraph" w:styleId="1082">
    <w:name w:val="xl38"/>
    <w:basedOn w:val="963"/>
    <w:next w:val="108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3">
    <w:name w:val="xl36"/>
    <w:basedOn w:val="963"/>
    <w:next w:val="1083"/>
    <w:link w:val="96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4">
    <w:name w:val="正文 + 宋体"/>
    <w:basedOn w:val="963"/>
    <w:next w:val="1084"/>
    <w:link w:val="963"/>
    <w:qFormat/>
    <w:pPr>
      <w:ind w:left="360" w:hanging="360"/>
      <w:jc w:val="left"/>
      <w:widowControl/>
    </w:pPr>
    <w:rPr>
      <w:rFonts w:ascii="宋体" w:hAnsi="宋体" w:cs="宋体"/>
      <w:b/>
      <w:bCs/>
      <w:color w:val="000000"/>
      <w:sz w:val="18"/>
      <w:szCs w:val="18"/>
    </w:rPr>
  </w:style>
  <w:style w:type="paragraph" w:styleId="1085">
    <w:name w:val="正文列项_数字"/>
    <w:basedOn w:val="963"/>
    <w:next w:val="1085"/>
    <w:link w:val="963"/>
    <w:qFormat/>
    <w:pPr>
      <w:numPr>
        <w:ilvl w:val="7"/>
        <w:numId w:val="1"/>
      </w:numPr>
      <w:ind w:left="680" w:hanging="150"/>
      <w:spacing w:line="460" w:lineRule="exact"/>
      <w:tabs>
        <w:tab w:val="clear" w:pos="860" w:leader="none"/>
      </w:tabs>
      <w:outlineLvl w:val="7"/>
    </w:pPr>
    <w:rPr>
      <w:rFonts w:ascii="宋体"/>
      <w:sz w:val="28"/>
      <w:szCs w:val="20"/>
    </w:rPr>
  </w:style>
  <w:style w:type="paragraph" w:styleId="1086">
    <w:name w:val="xl39"/>
    <w:basedOn w:val="963"/>
    <w:next w:val="108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7">
    <w:name w:val="xl37"/>
    <w:basedOn w:val="963"/>
    <w:next w:val="1087"/>
    <w:link w:val="96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name w:val="xl32"/>
    <w:basedOn w:val="963"/>
    <w:next w:val="1088"/>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9">
    <w:name w:val="font8"/>
    <w:basedOn w:val="963"/>
    <w:next w:val="1089"/>
    <w:link w:val="963"/>
    <w:qFormat/>
    <w:pPr>
      <w:jc w:val="left"/>
      <w:spacing w:before="100" w:beforeAutospacing="1" w:after="100" w:afterAutospacing="1"/>
      <w:widowControl/>
    </w:pPr>
    <w:rPr>
      <w:sz w:val="36"/>
      <w:szCs w:val="36"/>
    </w:rPr>
  </w:style>
  <w:style w:type="paragraph" w:styleId="1090">
    <w:name w:val="Char"/>
    <w:basedOn w:val="963"/>
    <w:next w:val="1090"/>
    <w:link w:val="963"/>
    <w:qFormat/>
    <w:pPr>
      <w:tabs>
        <w:tab w:val="left" w:pos="360" w:leader="none"/>
      </w:tabs>
    </w:pPr>
    <w:rPr>
      <w:sz w:val="24"/>
    </w:rPr>
  </w:style>
  <w:style w:type="paragraph" w:styleId="1091">
    <w:name w:val="Char Char Char Char Char Char Char Char Char Char Char Char Char Char Char Char"/>
    <w:basedOn w:val="963"/>
    <w:next w:val="1091"/>
    <w:link w:val="963"/>
    <w:qFormat/>
    <w:pPr>
      <w:jc w:val="center"/>
      <w:spacing w:after="160" w:line="240" w:lineRule="exact"/>
      <w:widowControl/>
    </w:pPr>
    <w:rPr>
      <w:rFonts w:ascii="宋体" w:hAnsi="宋体"/>
      <w:b/>
      <w:sz w:val="30"/>
      <w:szCs w:val="30"/>
      <w:lang w:eastAsia="en-US"/>
    </w:rPr>
  </w:style>
  <w:style w:type="paragraph" w:styleId="1092">
    <w:name w:val="xl45"/>
    <w:basedOn w:val="963"/>
    <w:next w:val="1092"/>
    <w:link w:val="96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3">
    <w:name w:val="Char Char1 Char Char Char Char Char Char"/>
    <w:basedOn w:val="963"/>
    <w:next w:val="1093"/>
    <w:link w:val="963"/>
    <w:qFormat/>
    <w:pPr>
      <w:jc w:val="left"/>
      <w:spacing w:after="160" w:line="240" w:lineRule="exact"/>
      <w:widowControl/>
    </w:pPr>
    <w:rPr>
      <w:rFonts w:ascii="Verdana" w:hAnsi="Verdana" w:eastAsia="仿宋_GB2312"/>
      <w:sz w:val="24"/>
      <w:szCs w:val="20"/>
      <w:lang w:eastAsia="en-US"/>
    </w:rPr>
  </w:style>
  <w:style w:type="paragraph" w:styleId="1094">
    <w:name w:val="Char Char1"/>
    <w:basedOn w:val="988"/>
    <w:next w:val="1094"/>
    <w:link w:val="963"/>
    <w:qFormat/>
    <w:rPr>
      <w:rFonts w:ascii="Tahoma" w:hAnsi="Tahoma"/>
      <w:sz w:val="24"/>
    </w:rPr>
  </w:style>
  <w:style w:type="paragraph" w:styleId="1095">
    <w:name w:val="xl26"/>
    <w:basedOn w:val="963"/>
    <w:next w:val="1095"/>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96">
    <w:name w:val="xl30"/>
    <w:basedOn w:val="963"/>
    <w:next w:val="109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name w:val="xl41"/>
    <w:basedOn w:val="963"/>
    <w:next w:val="1097"/>
    <w:link w:val="96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8">
    <w:name w:val="样式 宋体 五号 行距: 单倍行距"/>
    <w:basedOn w:val="963"/>
    <w:next w:val="1098"/>
    <w:link w:val="963"/>
    <w:qFormat/>
    <w:pPr>
      <w:jc w:val="left"/>
    </w:pPr>
    <w:rPr>
      <w:rFonts w:ascii="宋体" w:hAnsi="宋体"/>
      <w:szCs w:val="20"/>
    </w:rPr>
  </w:style>
  <w:style w:type="paragraph" w:styleId="1099">
    <w:name w:val="Char1 Char Char Char1"/>
    <w:basedOn w:val="963"/>
    <w:next w:val="1099"/>
    <w:link w:val="963"/>
    <w:qFormat/>
    <w:rPr>
      <w:rFonts w:ascii="Tahoma" w:hAnsi="Tahoma" w:cs="仿宋_GB2312"/>
      <w:sz w:val="24"/>
      <w:szCs w:val="28"/>
    </w:rPr>
  </w:style>
  <w:style w:type="paragraph" w:styleId="1100">
    <w:name w:val="四级条标题"/>
    <w:basedOn w:val="1101"/>
    <w:next w:val="963"/>
    <w:link w:val="963"/>
    <w:qFormat/>
    <w:pPr>
      <w:numPr>
        <w:ilvl w:val="4"/>
      </w:numPr>
      <w:ind w:left="0" w:hanging="840"/>
      <w:tabs>
        <w:tab w:val="left" w:pos="360" w:leader="none"/>
        <w:tab w:val="left" w:pos="840" w:leader="none"/>
      </w:tabs>
      <w:outlineLvl w:val="4"/>
    </w:pPr>
  </w:style>
  <w:style w:type="paragraph" w:styleId="1101">
    <w:name w:val="三级条标题"/>
    <w:basedOn w:val="1063"/>
    <w:next w:val="963"/>
    <w:link w:val="963"/>
    <w:qFormat/>
    <w:pPr>
      <w:numPr>
        <w:ilvl w:val="3"/>
        <w:numId w:val="1"/>
      </w:numPr>
      <w:ind w:left="0" w:hanging="840"/>
      <w:tabs>
        <w:tab w:val="left" w:pos="360" w:leader="none"/>
        <w:tab w:val="left" w:pos="840" w:leader="none"/>
      </w:tabs>
      <w:outlineLvl w:val="3"/>
    </w:pPr>
  </w:style>
  <w:style w:type="paragraph" w:styleId="1102">
    <w:name w:val="??"/>
    <w:next w:val="1102"/>
    <w:link w:val="963"/>
    <w:qFormat/>
    <w:pPr>
      <w:jc w:val="both"/>
      <w:widowControl w:val="off"/>
    </w:pPr>
    <w:rPr>
      <w:sz w:val="21"/>
      <w:lang w:val="en-US" w:eastAsia="en-US" w:bidi="ar-SA"/>
    </w:rPr>
  </w:style>
  <w:style w:type="paragraph" w:styleId="1103">
    <w:name w:val="样式 标题 2 + 宋体 五号 行距: 单倍行距"/>
    <w:basedOn w:val="965"/>
    <w:next w:val="1103"/>
    <w:link w:val="96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4">
    <w:name w:val="List Paragraph1"/>
    <w:basedOn w:val="963"/>
    <w:next w:val="1104"/>
    <w:link w:val="963"/>
    <w:qFormat/>
    <w:pPr>
      <w:ind w:firstLine="420"/>
    </w:pPr>
    <w:rPr>
      <w:rFonts w:ascii="Calibri" w:hAnsi="Calibri"/>
      <w:szCs w:val="22"/>
    </w:rPr>
  </w:style>
  <w:style w:type="paragraph" w:styleId="1105">
    <w:name w:val="项目符号1"/>
    <w:basedOn w:val="1106"/>
    <w:next w:val="1105"/>
    <w:link w:val="963"/>
    <w:qFormat/>
    <w:pPr>
      <w:ind w:left="-25" w:firstLine="0"/>
    </w:pPr>
  </w:style>
  <w:style w:type="paragraph" w:styleId="1106">
    <w:name w:val="正文文本样式"/>
    <w:basedOn w:val="963"/>
    <w:next w:val="1106"/>
    <w:link w:val="963"/>
    <w:qFormat/>
    <w:pPr>
      <w:ind w:firstLine="482"/>
      <w:spacing w:line="360" w:lineRule="auto"/>
    </w:pPr>
    <w:rPr>
      <w:rFonts w:cs="宋体"/>
      <w:sz w:val="24"/>
      <w:szCs w:val="20"/>
    </w:rPr>
  </w:style>
  <w:style w:type="paragraph" w:styleId="1107">
    <w:name w:val="xl27"/>
    <w:basedOn w:val="963"/>
    <w:next w:val="110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8">
    <w:name w:val="font5"/>
    <w:basedOn w:val="963"/>
    <w:next w:val="1108"/>
    <w:link w:val="963"/>
    <w:qFormat/>
    <w:pPr>
      <w:jc w:val="left"/>
      <w:spacing w:before="100" w:beforeAutospacing="1" w:after="100" w:afterAutospacing="1"/>
      <w:widowControl/>
    </w:pPr>
    <w:rPr>
      <w:rFonts w:ascii="宋体" w:hAnsi="宋体" w:cs="宋体"/>
      <w:sz w:val="18"/>
      <w:szCs w:val="18"/>
    </w:rPr>
  </w:style>
  <w:style w:type="paragraph" w:styleId="1109">
    <w:name w:val="五级条标题"/>
    <w:basedOn w:val="1100"/>
    <w:next w:val="963"/>
    <w:link w:val="963"/>
    <w:qFormat/>
    <w:pPr>
      <w:numPr>
        <w:ilvl w:val="5"/>
      </w:numPr>
      <w:ind w:left="0" w:hanging="840"/>
      <w:tabs>
        <w:tab w:val="left" w:pos="360" w:leader="none"/>
        <w:tab w:val="left" w:pos="840" w:leader="none"/>
      </w:tabs>
      <w:outlineLvl w:val="5"/>
    </w:pPr>
  </w:style>
  <w:style w:type="paragraph" w:styleId="1110">
    <w:name w:val="xl49"/>
    <w:basedOn w:val="963"/>
    <w:next w:val="1110"/>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1">
    <w:name w:val="文档正文"/>
    <w:basedOn w:val="963"/>
    <w:next w:val="1111"/>
    <w:link w:val="963"/>
    <w:qFormat/>
    <w:pPr>
      <w:spacing w:before="120" w:after="120" w:line="180" w:lineRule="auto"/>
    </w:pPr>
    <w:rPr>
      <w:rFonts w:ascii="Arial" w:hAnsi="Arial"/>
      <w:szCs w:val="20"/>
    </w:rPr>
  </w:style>
  <w:style w:type="paragraph" w:styleId="1112">
    <w:name w:val="xl33"/>
    <w:basedOn w:val="963"/>
    <w:next w:val="1112"/>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xl42"/>
    <w:basedOn w:val="963"/>
    <w:next w:val="111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4">
    <w:name w:val="Char Char Char1 Char"/>
    <w:basedOn w:val="963"/>
    <w:next w:val="1114"/>
    <w:link w:val="963"/>
    <w:qFormat/>
    <w:rPr>
      <w:rFonts w:ascii="Tahoma" w:hAnsi="Tahoma"/>
      <w:sz w:val="24"/>
      <w:szCs w:val="20"/>
    </w:rPr>
  </w:style>
  <w:style w:type="paragraph" w:styleId="1115">
    <w:name w:val="xl44"/>
    <w:basedOn w:val="963"/>
    <w:next w:val="1115"/>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6">
    <w:name w:val="1名"/>
    <w:basedOn w:val="963"/>
    <w:next w:val="1116"/>
    <w:link w:val="963"/>
    <w:qFormat/>
    <w:pPr>
      <w:numPr>
        <w:ilvl w:val="0"/>
        <w:numId w:val="5"/>
      </w:numPr>
      <w:spacing w:before="120"/>
      <w:tabs>
        <w:tab w:val="left" w:pos="360" w:leader="none"/>
      </w:tabs>
    </w:pPr>
    <w:rPr>
      <w:rFonts w:ascii="宋体"/>
      <w:sz w:val="28"/>
      <w:szCs w:val="20"/>
    </w:rPr>
  </w:style>
  <w:style w:type="paragraph" w:styleId="1117">
    <w:name w:val="font9"/>
    <w:basedOn w:val="963"/>
    <w:next w:val="1117"/>
    <w:link w:val="963"/>
    <w:qFormat/>
    <w:pPr>
      <w:jc w:val="left"/>
      <w:spacing w:before="100" w:beforeAutospacing="1" w:after="100" w:afterAutospacing="1"/>
      <w:widowControl/>
    </w:pPr>
    <w:rPr>
      <w:rFonts w:hint="eastAsia" w:ascii="宋体" w:hAnsi="宋体" w:cs="Arial Unicode MS"/>
      <w:color w:val="000000"/>
      <w:sz w:val="20"/>
      <w:szCs w:val="20"/>
    </w:rPr>
  </w:style>
  <w:style w:type="paragraph" w:styleId="1118">
    <w:name w:val="Char Char Char1 Char1"/>
    <w:basedOn w:val="963"/>
    <w:next w:val="1118"/>
    <w:link w:val="963"/>
    <w:qFormat/>
    <w:rPr>
      <w:rFonts w:ascii="Tahoma" w:hAnsi="Tahoma"/>
      <w:sz w:val="24"/>
      <w:szCs w:val="20"/>
    </w:rPr>
  </w:style>
  <w:style w:type="paragraph" w:styleId="1119">
    <w:name w:val="Char Char Char Char Char Char Char Char Char Char"/>
    <w:basedOn w:val="963"/>
    <w:next w:val="1119"/>
    <w:link w:val="963"/>
    <w:qFormat/>
  </w:style>
  <w:style w:type="paragraph" w:styleId="1120">
    <w:name w:val="Char Char1 Char Char Char Char Char Char Char Char"/>
    <w:basedOn w:val="963"/>
    <w:next w:val="1120"/>
    <w:link w:val="963"/>
    <w:qFormat/>
    <w:pPr>
      <w:jc w:val="left"/>
      <w:spacing w:after="160" w:line="240" w:lineRule="exact"/>
      <w:widowControl/>
    </w:pPr>
    <w:rPr>
      <w:rFonts w:ascii="Verdana" w:hAnsi="Verdana"/>
      <w:sz w:val="20"/>
      <w:szCs w:val="20"/>
      <w:lang w:eastAsia="en-US"/>
    </w:rPr>
  </w:style>
  <w:style w:type="paragraph" w:styleId="1121">
    <w:name w:val="Char1"/>
    <w:basedOn w:val="963"/>
    <w:next w:val="1121"/>
    <w:link w:val="963"/>
    <w:qFormat/>
    <w:pPr>
      <w:tabs>
        <w:tab w:val="left" w:pos="360" w:leader="none"/>
      </w:tabs>
    </w:pPr>
    <w:rPr>
      <w:sz w:val="24"/>
    </w:rPr>
  </w:style>
  <w:style w:type="paragraph" w:styleId="1122">
    <w:name w:val="正文列项_字母"/>
    <w:basedOn w:val="963"/>
    <w:next w:val="1122"/>
    <w:link w:val="963"/>
    <w:qFormat/>
    <w:pPr>
      <w:numPr>
        <w:ilvl w:val="6"/>
        <w:numId w:val="1"/>
      </w:numPr>
      <w:ind w:left="480" w:hanging="180"/>
      <w:spacing w:line="460" w:lineRule="exact"/>
      <w:tabs>
        <w:tab w:val="clear" w:pos="635" w:leader="none"/>
      </w:tabs>
      <w:outlineLvl w:val="6"/>
    </w:pPr>
    <w:rPr>
      <w:rFonts w:ascii="宋体"/>
      <w:sz w:val="28"/>
      <w:szCs w:val="20"/>
    </w:rPr>
  </w:style>
  <w:style w:type="paragraph" w:styleId="1123">
    <w:name w:val="xl28"/>
    <w:basedOn w:val="963"/>
    <w:next w:val="1123"/>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name w:val="xl47"/>
    <w:basedOn w:val="963"/>
    <w:next w:val="1124"/>
    <w:link w:val="96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5">
    <w:name w:val="默认段落字体 Para Char Char Char Char"/>
    <w:basedOn w:val="963"/>
    <w:next w:val="1125"/>
    <w:link w:val="963"/>
    <w:qFormat/>
    <w:rPr>
      <w:rFonts w:ascii="Arial" w:hAnsi="Arial" w:cs="Arial"/>
      <w:szCs w:val="21"/>
    </w:rPr>
  </w:style>
  <w:style w:type="paragraph" w:styleId="1126">
    <w:name w:val="xl48"/>
    <w:basedOn w:val="963"/>
    <w:next w:val="1126"/>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7">
    <w:name w:val="xl31"/>
    <w:basedOn w:val="963"/>
    <w:next w:val="1127"/>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28">
    <w:name w:val="xl53"/>
    <w:basedOn w:val="963"/>
    <w:next w:val="1128"/>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 Char Char"/>
    <w:basedOn w:val="963"/>
    <w:next w:val="1129"/>
    <w:link w:val="963"/>
    <w:qFormat/>
    <w:rPr>
      <w:rFonts w:ascii="Tahoma" w:hAnsi="Tahoma"/>
      <w:sz w:val="24"/>
      <w:szCs w:val="20"/>
    </w:rPr>
  </w:style>
  <w:style w:type="paragraph" w:styleId="1130">
    <w:name w:val="xl50"/>
    <w:basedOn w:val="963"/>
    <w:next w:val="1130"/>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1">
    <w:name w:val="缺省文本"/>
    <w:basedOn w:val="963"/>
    <w:next w:val="1131"/>
    <w:link w:val="963"/>
    <w:qFormat/>
    <w:pPr>
      <w:jc w:val="left"/>
    </w:pPr>
    <w:rPr>
      <w:sz w:val="24"/>
    </w:rPr>
  </w:style>
  <w:style w:type="paragraph" w:styleId="1132">
    <w:name w:val="Char Char Char1"/>
    <w:basedOn w:val="963"/>
    <w:next w:val="1132"/>
    <w:link w:val="963"/>
    <w:qFormat/>
    <w:rPr>
      <w:rFonts w:ascii="Tahoma" w:hAnsi="Tahoma"/>
      <w:sz w:val="24"/>
      <w:szCs w:val="20"/>
    </w:rPr>
  </w:style>
  <w:style w:type="paragraph" w:styleId="1133">
    <w:name w:val="Char Char Char Char Char Char Char1"/>
    <w:basedOn w:val="963"/>
    <w:next w:val="1133"/>
    <w:link w:val="963"/>
    <w:qFormat/>
    <w:pPr>
      <w:ind w:firstLine="200"/>
      <w:spacing w:line="360" w:lineRule="auto"/>
    </w:pPr>
    <w:rPr>
      <w:rFonts w:eastAsia="仿宋_GB2312"/>
      <w:sz w:val="24"/>
    </w:rPr>
  </w:style>
  <w:style w:type="paragraph" w:styleId="1134">
    <w:name w:val="xl51"/>
    <w:basedOn w:val="963"/>
    <w:next w:val="1134"/>
    <w:link w:val="96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name w:val="样式2"/>
    <w:basedOn w:val="1025"/>
    <w:next w:val="1135"/>
    <w:link w:val="963"/>
    <w:qFormat/>
    <w:pPr>
      <w:jc w:val="center"/>
      <w:spacing w:line="360" w:lineRule="auto"/>
    </w:pPr>
    <w:rPr>
      <w:sz w:val="24"/>
    </w:rPr>
  </w:style>
  <w:style w:type="paragraph" w:styleId="1136">
    <w:name w:val="xl24"/>
    <w:basedOn w:val="963"/>
    <w:next w:val="1136"/>
    <w:link w:val="96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7">
    <w:name w:val="xl29"/>
    <w:basedOn w:val="963"/>
    <w:next w:val="1137"/>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8">
    <w:name w:val="正文 + 楷体_GB2312"/>
    <w:basedOn w:val="963"/>
    <w:next w:val="1138"/>
    <w:link w:val="963"/>
    <w:qFormat/>
    <w:pPr>
      <w:jc w:val="left"/>
      <w:widowControl/>
    </w:pPr>
    <w:rPr>
      <w:rFonts w:ascii="楷体_GB2312" w:eastAsia="楷体_GB2312" w:cs="Arial"/>
      <w:sz w:val="24"/>
    </w:rPr>
  </w:style>
  <w:style w:type="paragraph" w:styleId="1139">
    <w:name w:val="xl34"/>
    <w:basedOn w:val="963"/>
    <w:next w:val="1139"/>
    <w:link w:val="96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0">
    <w:name w:val="1 Char Char Char Char"/>
    <w:basedOn w:val="963"/>
    <w:next w:val="1140"/>
    <w:link w:val="963"/>
    <w:qFormat/>
    <w:rPr>
      <w:rFonts w:ascii="Tahoma" w:hAnsi="Tahoma"/>
      <w:sz w:val="24"/>
      <w:szCs w:val="20"/>
    </w:rPr>
  </w:style>
  <w:style w:type="paragraph" w:styleId="1141">
    <w:name w:val="Default"/>
    <w:next w:val="1141"/>
    <w:link w:val="963"/>
    <w:qFormat/>
    <w:pPr>
      <w:widowControl w:val="off"/>
    </w:pPr>
    <w:rPr>
      <w:rFonts w:ascii="Symbol" w:hAnsi="Symbol" w:cs="Symbol"/>
      <w:color w:val="000000"/>
      <w:sz w:val="24"/>
      <w:szCs w:val="24"/>
      <w:lang w:val="en-US" w:eastAsia="zh-CN" w:bidi="ar-SA"/>
    </w:rPr>
  </w:style>
  <w:style w:type="paragraph" w:styleId="1142">
    <w:name w:val="列出段落1"/>
    <w:basedOn w:val="963"/>
    <w:next w:val="1142"/>
    <w:link w:val="963"/>
    <w:qFormat/>
    <w:pPr>
      <w:ind w:firstLine="420"/>
    </w:pPr>
    <w:rPr>
      <w:rFonts w:ascii="Calibri" w:hAnsi="Calibri"/>
      <w:szCs w:val="22"/>
    </w:rPr>
  </w:style>
  <w:style w:type="paragraph" w:styleId="1143">
    <w:name w:val="default"/>
    <w:basedOn w:val="963"/>
    <w:next w:val="1143"/>
    <w:link w:val="963"/>
    <w:qFormat/>
    <w:pPr>
      <w:jc w:val="left"/>
      <w:spacing w:before="100" w:beforeAutospacing="1" w:after="100" w:afterAutospacing="1"/>
      <w:widowControl/>
    </w:pPr>
    <w:rPr>
      <w:rFonts w:ascii="宋体" w:hAnsi="宋体" w:cs="宋体"/>
      <w:sz w:val="24"/>
    </w:rPr>
  </w:style>
  <w:style w:type="paragraph" w:styleId="1144">
    <w:name w:val="字元 字元1"/>
    <w:basedOn w:val="963"/>
    <w:next w:val="1144"/>
    <w:link w:val="963"/>
    <w:qFormat/>
    <w:rPr>
      <w:rFonts w:ascii="Tahoma" w:hAnsi="Tahoma"/>
      <w:sz w:val="24"/>
      <w:szCs w:val="20"/>
    </w:rPr>
  </w:style>
  <w:style w:type="paragraph" w:styleId="1145">
    <w:name w:val="_Style 160"/>
    <w:next w:val="1145"/>
    <w:link w:val="963"/>
    <w:qFormat/>
    <w:rPr>
      <w:sz w:val="21"/>
      <w:szCs w:val="24"/>
      <w:lang w:val="en-US" w:eastAsia="zh-CN" w:bidi="ar-SA"/>
    </w:rPr>
  </w:style>
  <w:style w:type="paragraph" w:styleId="1146">
    <w:name w:val="项目编号3"/>
    <w:basedOn w:val="1106"/>
    <w:next w:val="1146"/>
    <w:link w:val="963"/>
    <w:qFormat/>
    <w:pPr>
      <w:numPr>
        <w:ilvl w:val="0"/>
        <w:numId w:val="6"/>
      </w:numPr>
    </w:pPr>
  </w:style>
  <w:style w:type="paragraph" w:styleId="1147">
    <w:name w:val="Char21"/>
    <w:basedOn w:val="963"/>
    <w:next w:val="1147"/>
    <w:link w:val="963"/>
    <w:qFormat/>
    <w:rPr>
      <w:rFonts w:ascii="Tahoma" w:hAnsi="Tahoma"/>
      <w:sz w:val="24"/>
      <w:szCs w:val="20"/>
    </w:rPr>
  </w:style>
  <w:style w:type="paragraph" w:styleId="1148">
    <w:name w:val="表格文字"/>
    <w:basedOn w:val="996"/>
    <w:next w:val="1148"/>
    <w:link w:val="963"/>
    <w:qFormat/>
    <w:pPr>
      <w:ind w:firstLine="0"/>
      <w:spacing w:before="20" w:after="20" w:line="240" w:lineRule="auto"/>
    </w:pPr>
    <w:rPr>
      <w:rFonts w:ascii="Century Gothic" w:hAnsi="Century Gothic"/>
      <w:sz w:val="20"/>
      <w:szCs w:val="20"/>
    </w:rPr>
  </w:style>
  <w:style w:type="paragraph" w:styleId="1149">
    <w:name w:val="Char Char Char Char Char Char Char Char Char Char1"/>
    <w:basedOn w:val="963"/>
    <w:next w:val="1149"/>
    <w:link w:val="963"/>
    <w:qFormat/>
    <w:rPr>
      <w:rFonts w:ascii="宋体" w:hAnsi="宋体" w:cs="Courier New"/>
      <w:sz w:val="32"/>
      <w:szCs w:val="32"/>
    </w:rPr>
  </w:style>
  <w:style w:type="paragraph" w:styleId="1150">
    <w:name w:val="正文文本样式 加粗"/>
    <w:basedOn w:val="1106"/>
    <w:next w:val="1150"/>
    <w:link w:val="963"/>
    <w:qFormat/>
    <w:rPr>
      <w:b/>
    </w:rPr>
  </w:style>
  <w:style w:type="paragraph" w:styleId="1151">
    <w:name w:val="Char2 Char Char Char Char Char Char"/>
    <w:basedOn w:val="963"/>
    <w:next w:val="1151"/>
    <w:link w:val="963"/>
    <w:qFormat/>
    <w:pPr>
      <w:jc w:val="center"/>
      <w:spacing w:line="400" w:lineRule="exact"/>
      <w:widowControl/>
    </w:pPr>
  </w:style>
  <w:style w:type="paragraph" w:styleId="1152">
    <w:name w:val="Char Char4"/>
    <w:basedOn w:val="963"/>
    <w:next w:val="1152"/>
    <w:link w:val="963"/>
    <w:qFormat/>
    <w:pPr>
      <w:jc w:val="center"/>
      <w:spacing w:line="400" w:lineRule="exact"/>
      <w:widowControl/>
    </w:pPr>
  </w:style>
  <w:style w:type="paragraph" w:styleId="1153">
    <w:name w:val="Char3 Char Char Char1"/>
    <w:basedOn w:val="963"/>
    <w:next w:val="1153"/>
    <w:link w:val="963"/>
    <w:qFormat/>
    <w:rPr>
      <w:rFonts w:ascii="Tahoma" w:hAnsi="Tahoma"/>
      <w:sz w:val="24"/>
      <w:szCs w:val="20"/>
    </w:rPr>
  </w:style>
  <w:style w:type="paragraph" w:styleId="1154">
    <w:name w:val="无间隔"/>
    <w:next w:val="1154"/>
    <w:link w:val="963"/>
    <w:qFormat/>
    <w:pPr>
      <w:jc w:val="both"/>
      <w:widowControl w:val="off"/>
    </w:pPr>
    <w:rPr>
      <w:sz w:val="21"/>
      <w:szCs w:val="24"/>
      <w:lang w:val="en-US" w:eastAsia="zh-CN" w:bidi="ar-SA"/>
    </w:rPr>
  </w:style>
  <w:style w:type="paragraph" w:styleId="1155">
    <w:name w:val="22222222222222"/>
    <w:basedOn w:val="963"/>
    <w:next w:val="1155"/>
    <w:link w:val="963"/>
    <w:qFormat/>
    <w:pPr>
      <w:ind w:firstLine="480"/>
      <w:jc w:val="left"/>
      <w:spacing w:line="360" w:lineRule="auto"/>
      <w:widowControl/>
    </w:pPr>
    <w:rPr>
      <w:color w:val="ff0000"/>
      <w:sz w:val="24"/>
      <w:szCs w:val="20"/>
    </w:rPr>
  </w:style>
  <w:style w:type="character" w:styleId="1156">
    <w:name w:val="中等深浅网格 1 - 强调文字颜色 2 Char"/>
    <w:next w:val="1156"/>
    <w:link w:val="1157"/>
    <w:qFormat/>
    <w:rPr>
      <w:sz w:val="21"/>
      <w:szCs w:val="24"/>
      <w:lang w:val="zh-CN" w:eastAsia="zh-CN" w:bidi="ar-SA"/>
    </w:rPr>
  </w:style>
  <w:style w:type="paragraph" w:styleId="1157">
    <w:name w:val="1"/>
    <w:next w:val="1157"/>
    <w:link w:val="1156"/>
    <w:qFormat/>
    <w:rPr>
      <w:sz w:val="21"/>
      <w:szCs w:val="24"/>
      <w:lang w:val="zh-CN" w:eastAsia="zh-CN" w:bidi="ar-SA"/>
    </w:rPr>
  </w:style>
  <w:style w:type="paragraph" w:styleId="1158">
    <w:name w:val="图文"/>
    <w:basedOn w:val="963"/>
    <w:next w:val="1158"/>
    <w:link w:val="963"/>
    <w:qFormat/>
    <w:pPr>
      <w:spacing w:after="50" w:line="360" w:lineRule="auto"/>
    </w:pPr>
    <w:rPr>
      <w:sz w:val="24"/>
    </w:rPr>
  </w:style>
  <w:style w:type="paragraph" w:styleId="1159">
    <w:name w:val="xl23"/>
    <w:basedOn w:val="963"/>
    <w:next w:val="1159"/>
    <w:link w:val="963"/>
    <w:qFormat/>
    <w:pPr>
      <w:spacing w:before="100" w:beforeAutospacing="1" w:after="100" w:afterAutospacing="1" w:line="360" w:lineRule="auto"/>
      <w:widowControl/>
    </w:pPr>
    <w:rPr>
      <w:sz w:val="24"/>
      <w:szCs w:val="20"/>
    </w:rPr>
  </w:style>
  <w:style w:type="paragraph" w:styleId="1160">
    <w:name w:val="正文表格"/>
    <w:basedOn w:val="963"/>
    <w:next w:val="1160"/>
    <w:link w:val="1161"/>
    <w:qFormat/>
    <w:pPr>
      <w:jc w:val="left"/>
    </w:pPr>
    <w:rPr>
      <w:rFonts w:ascii="宋体" w:hAnsi="宋体"/>
      <w:color w:val="000000"/>
      <w:szCs w:val="21"/>
    </w:rPr>
  </w:style>
  <w:style w:type="character" w:styleId="1161">
    <w:name w:val="正文表格 Char"/>
    <w:next w:val="1161"/>
    <w:link w:val="1160"/>
    <w:qFormat/>
    <w:rPr>
      <w:rFonts w:ascii="宋体" w:hAnsi="宋体"/>
      <w:color w:val="000000"/>
      <w:sz w:val="21"/>
      <w:szCs w:val="21"/>
    </w:rPr>
  </w:style>
  <w:style w:type="paragraph" w:styleId="1162">
    <w:name w:val="正文重点"/>
    <w:basedOn w:val="963"/>
    <w:next w:val="1162"/>
    <w:link w:val="1163"/>
    <w:qFormat/>
    <w:pPr>
      <w:ind w:firstLine="482"/>
      <w:jc w:val="left"/>
      <w:spacing w:line="360" w:lineRule="auto"/>
    </w:pPr>
    <w:rPr>
      <w:b/>
      <w:sz w:val="24"/>
      <w:szCs w:val="20"/>
    </w:rPr>
  </w:style>
  <w:style w:type="character" w:styleId="1163">
    <w:name w:val="正文重点 Char"/>
    <w:next w:val="1163"/>
    <w:link w:val="1162"/>
    <w:qFormat/>
    <w:rPr>
      <w:b/>
      <w:sz w:val="24"/>
    </w:rPr>
  </w:style>
  <w:style w:type="paragraph" w:styleId="1164">
    <w:name w:val="标题1-附件"/>
    <w:basedOn w:val="964"/>
    <w:next w:val="1164"/>
    <w:link w:val="963"/>
    <w:qFormat/>
    <w:pPr>
      <w:jc w:val="left"/>
    </w:pPr>
    <w:rPr>
      <w:sz w:val="24"/>
      <w:szCs w:val="24"/>
    </w:rPr>
  </w:style>
  <w:style w:type="paragraph" w:styleId="1165">
    <w:name w:val="正文小标题"/>
    <w:basedOn w:val="963"/>
    <w:next w:val="977"/>
    <w:link w:val="1166"/>
    <w:qFormat/>
    <w:pPr>
      <w:ind w:firstLine="482"/>
      <w:jc w:val="left"/>
      <w:spacing w:before="312" w:after="312"/>
    </w:pPr>
    <w:rPr>
      <w:rFonts w:ascii="宋体" w:hAnsi="宋体"/>
      <w:b/>
      <w:i/>
      <w:color w:val="ff0000"/>
      <w:sz w:val="24"/>
      <w:szCs w:val="20"/>
    </w:rPr>
  </w:style>
  <w:style w:type="character" w:styleId="1166">
    <w:name w:val="正文小标题 Char"/>
    <w:next w:val="1166"/>
    <w:link w:val="1165"/>
    <w:qFormat/>
    <w:rPr>
      <w:rFonts w:ascii="宋体" w:hAnsi="宋体"/>
      <w:b/>
      <w:i/>
      <w:color w:val="ff0000"/>
      <w:sz w:val="24"/>
    </w:rPr>
  </w:style>
  <w:style w:type="paragraph" w:styleId="1167">
    <w:name w:val="正文大标题"/>
    <w:basedOn w:val="1165"/>
    <w:next w:val="977"/>
    <w:link w:val="1168"/>
    <w:qFormat/>
    <w:pPr>
      <w:jc w:val="center"/>
    </w:pPr>
    <w:rPr>
      <w:i w:val="0"/>
      <w:color w:val="000000"/>
      <w:sz w:val="28"/>
      <w:szCs w:val="21"/>
    </w:rPr>
  </w:style>
  <w:style w:type="character" w:styleId="1168">
    <w:name w:val="正文大标题 Char"/>
    <w:next w:val="1168"/>
    <w:link w:val="1167"/>
    <w:qFormat/>
    <w:rPr>
      <w:rFonts w:ascii="宋体" w:hAnsi="宋体"/>
      <w:b/>
      <w:color w:val="000000"/>
      <w:sz w:val="28"/>
      <w:szCs w:val="21"/>
    </w:rPr>
  </w:style>
  <w:style w:type="paragraph" w:styleId="1169">
    <w:name w:val="注释"/>
    <w:basedOn w:val="963"/>
    <w:next w:val="1169"/>
    <w:link w:val="1170"/>
    <w:qFormat/>
    <w:pPr>
      <w:ind w:left="420" w:hanging="420"/>
      <w:jc w:val="left"/>
    </w:pPr>
    <w:rPr>
      <w:rFonts w:ascii="宋体" w:hAnsi="宋体"/>
      <w:szCs w:val="21"/>
    </w:rPr>
  </w:style>
  <w:style w:type="character" w:styleId="1170">
    <w:name w:val="注释 Char"/>
    <w:next w:val="1170"/>
    <w:link w:val="1169"/>
    <w:qFormat/>
    <w:rPr>
      <w:rFonts w:ascii="宋体" w:hAnsi="宋体"/>
      <w:sz w:val="21"/>
      <w:szCs w:val="21"/>
    </w:rPr>
  </w:style>
  <w:style w:type="paragraph" w:styleId="1171">
    <w:name w:val="正文须知-1级"/>
    <w:basedOn w:val="963"/>
    <w:next w:val="963"/>
    <w:link w:val="963"/>
    <w:qFormat/>
    <w:pPr>
      <w:numPr>
        <w:ilvl w:val="0"/>
        <w:numId w:val="7"/>
      </w:numPr>
      <w:spacing w:line="300" w:lineRule="auto"/>
    </w:pPr>
    <w:rPr>
      <w:rFonts w:ascii="宋体" w:hAnsi="Calibri"/>
      <w:sz w:val="24"/>
      <w:szCs w:val="21"/>
    </w:rPr>
  </w:style>
  <w:style w:type="paragraph" w:styleId="1172">
    <w:name w:val="正文须知-2级"/>
    <w:basedOn w:val="963"/>
    <w:next w:val="1172"/>
    <w:link w:val="963"/>
    <w:qFormat/>
    <w:pPr>
      <w:numPr>
        <w:ilvl w:val="1"/>
        <w:numId w:val="7"/>
      </w:numPr>
      <w:spacing w:line="300" w:lineRule="auto"/>
    </w:pPr>
    <w:rPr>
      <w:rFonts w:ascii="宋体" w:hAnsi="Calibri"/>
      <w:sz w:val="24"/>
      <w:szCs w:val="21"/>
    </w:rPr>
  </w:style>
  <w:style w:type="paragraph" w:styleId="1173">
    <w:name w:val="正文须知-3级"/>
    <w:basedOn w:val="963"/>
    <w:next w:val="1173"/>
    <w:link w:val="963"/>
    <w:qFormat/>
    <w:pPr>
      <w:numPr>
        <w:ilvl w:val="2"/>
        <w:numId w:val="7"/>
      </w:numPr>
      <w:ind w:hanging="355"/>
      <w:spacing w:line="300" w:lineRule="auto"/>
    </w:pPr>
    <w:rPr>
      <w:rFonts w:ascii="宋体" w:hAnsi="Calibri"/>
      <w:sz w:val="24"/>
      <w:szCs w:val="21"/>
    </w:rPr>
  </w:style>
  <w:style w:type="character" w:styleId="1174">
    <w:name w:val="纯文本 字符"/>
    <w:next w:val="1174"/>
    <w:link w:val="963"/>
    <w:uiPriority w:val="99"/>
    <w:qFormat/>
    <w:rPr>
      <w:rFonts w:ascii="宋体" w:hAnsi="Courier New" w:eastAsia="宋体" w:cs="Times New Roman"/>
      <w:sz w:val="21"/>
      <w:szCs w:val="21"/>
      <w:lang w:val="en-US" w:eastAsia="zh-CN" w:bidi="ar-SA"/>
    </w:rPr>
  </w:style>
  <w:style w:type="paragraph" w:styleId="1175">
    <w:name w:val="表格1"/>
    <w:basedOn w:val="963"/>
    <w:next w:val="1175"/>
    <w:link w:val="963"/>
    <w:qFormat/>
    <w:pPr>
      <w:ind w:firstLine="480"/>
      <w:jc w:val="center"/>
    </w:pPr>
    <w:rPr>
      <w:sz w:val="24"/>
      <w:szCs w:val="20"/>
    </w:rPr>
  </w:style>
  <w:style w:type="character" w:styleId="1176">
    <w:name w:val="纯文本 字符1"/>
    <w:next w:val="1176"/>
    <w:link w:val="963"/>
    <w:qFormat/>
    <w:rPr>
      <w:rFonts w:ascii="宋体" w:hAnsi="Courier New"/>
    </w:rPr>
  </w:style>
  <w:style w:type="character" w:styleId="1177">
    <w:name w:val="bjh-p"/>
    <w:next w:val="1177"/>
    <w:link w:val="963"/>
    <w:qFormat/>
  </w:style>
  <w:style w:type="paragraph" w:styleId="1178">
    <w:name w:val="无标题条"/>
    <w:next w:val="963"/>
    <w:link w:val="963"/>
    <w:qFormat/>
    <w:pPr>
      <w:jc w:val="both"/>
    </w:pPr>
    <w:rPr>
      <w:sz w:val="21"/>
      <w:lang w:val="en-US" w:eastAsia="zh-CN" w:bidi="ar-SA"/>
    </w:rPr>
  </w:style>
  <w:style w:type="character" w:styleId="1179">
    <w:name w:val="正文格式 Char"/>
    <w:next w:val="1179"/>
    <w:link w:val="1180"/>
    <w:qFormat/>
    <w:rPr>
      <w:rFonts w:ascii="宋体" w:hAnsi="宋体"/>
      <w:sz w:val="24"/>
      <w:szCs w:val="24"/>
      <w:lang w:val="en-GB"/>
    </w:rPr>
  </w:style>
  <w:style w:type="paragraph" w:styleId="1180">
    <w:name w:val="正文格式"/>
    <w:basedOn w:val="963"/>
    <w:next w:val="1180"/>
    <w:link w:val="1179"/>
    <w:qFormat/>
    <w:pPr>
      <w:ind w:firstLine="480"/>
      <w:spacing w:line="360" w:lineRule="auto"/>
    </w:pPr>
    <w:rPr>
      <w:rFonts w:ascii="宋体" w:hAnsi="宋体"/>
      <w:sz w:val="24"/>
      <w:lang w:val="en-GB"/>
    </w:rPr>
  </w:style>
  <w:style w:type="character" w:styleId="1181">
    <w:name w:val="标题 3 Char"/>
    <w:next w:val="1181"/>
    <w:link w:val="963"/>
    <w:qFormat/>
    <w:rPr>
      <w:rFonts w:ascii="宋体" w:eastAsia="宋体"/>
      <w:b/>
      <w:sz w:val="24"/>
      <w:u w:val="single"/>
      <w:lang w:val="en-US" w:eastAsia="zh-CN" w:bidi="ar-SA"/>
    </w:rPr>
  </w:style>
  <w:style w:type="character" w:styleId="1182">
    <w:name w:val="正文缩进 Char"/>
    <w:next w:val="1182"/>
    <w:link w:val="963"/>
    <w:qFormat/>
    <w:rPr>
      <w:rFonts w:ascii="宋体" w:eastAsia="宋体"/>
      <w:sz w:val="24"/>
      <w:szCs w:val="24"/>
      <w:lang w:val="en-US" w:eastAsia="zh-CN" w:bidi="ar-SA"/>
    </w:rPr>
  </w:style>
  <w:style w:type="character" w:styleId="1183">
    <w:name w:val="Char Char111"/>
    <w:next w:val="1183"/>
    <w:link w:val="963"/>
    <w:qFormat/>
    <w:rPr>
      <w:rFonts w:ascii="宋体" w:eastAsia="宋体"/>
      <w:b/>
      <w:sz w:val="24"/>
      <w:u w:val="single"/>
      <w:lang w:val="en-US" w:eastAsia="zh-CN" w:bidi="ar-SA"/>
    </w:rPr>
  </w:style>
  <w:style w:type="character" w:styleId="1184">
    <w:name w:val="正文文本缩进 Char"/>
    <w:next w:val="1184"/>
    <w:link w:val="963"/>
    <w:qFormat/>
    <w:rPr>
      <w:rFonts w:eastAsia="宋体"/>
      <w:sz w:val="24"/>
      <w:szCs w:val="24"/>
      <w:lang w:val="en-US" w:eastAsia="zh-CN" w:bidi="ar-SA"/>
    </w:rPr>
  </w:style>
  <w:style w:type="character" w:styleId="1185">
    <w:name w:val="列出段落 Char"/>
    <w:next w:val="1185"/>
    <w:link w:val="963"/>
    <w:qFormat/>
    <w:rPr>
      <w:rFonts w:ascii="Calibri" w:hAnsi="Calibri" w:eastAsia="宋体"/>
      <w:sz w:val="21"/>
      <w:szCs w:val="22"/>
      <w:lang w:val="en-US" w:eastAsia="zh-CN" w:bidi="ar-SA"/>
    </w:rPr>
  </w:style>
  <w:style w:type="character" w:styleId="1186">
    <w:name w:val="页眉 Char"/>
    <w:next w:val="1186"/>
    <w:link w:val="963"/>
    <w:qFormat/>
    <w:rPr>
      <w:rFonts w:eastAsia="宋体"/>
      <w:sz w:val="18"/>
      <w:szCs w:val="18"/>
      <w:lang w:val="en-US" w:eastAsia="zh-CN" w:bidi="ar-SA"/>
    </w:rPr>
  </w:style>
  <w:style w:type="character" w:styleId="1187">
    <w:name w:val="标题 2 Char"/>
    <w:next w:val="1187"/>
    <w:link w:val="963"/>
    <w:qFormat/>
    <w:rPr>
      <w:rFonts w:ascii="Arial" w:hAnsi="Arial" w:eastAsia="黑体"/>
      <w:b/>
      <w:sz w:val="30"/>
      <w:lang w:val="en-US" w:eastAsia="zh-CN" w:bidi="ar-SA"/>
    </w:rPr>
  </w:style>
  <w:style w:type="paragraph" w:styleId="1188">
    <w:name w:val="字元 字元2"/>
    <w:basedOn w:val="963"/>
    <w:next w:val="1188"/>
    <w:link w:val="963"/>
    <w:qFormat/>
    <w:rPr>
      <w:rFonts w:ascii="Tahoma" w:hAnsi="Tahoma"/>
      <w:sz w:val="24"/>
      <w:szCs w:val="20"/>
    </w:rPr>
  </w:style>
  <w:style w:type="paragraph" w:styleId="1189">
    <w:name w:val="Char3 Char Char Char2"/>
    <w:basedOn w:val="963"/>
    <w:next w:val="1189"/>
    <w:link w:val="963"/>
    <w:qFormat/>
    <w:rPr>
      <w:rFonts w:ascii="Tahoma" w:hAnsi="Tahoma"/>
      <w:sz w:val="24"/>
      <w:szCs w:val="20"/>
    </w:rPr>
  </w:style>
  <w:style w:type="paragraph" w:styleId="1190">
    <w:name w:val="正文文本缩进2"/>
    <w:basedOn w:val="963"/>
    <w:next w:val="1190"/>
    <w:link w:val="963"/>
    <w:qFormat/>
    <w:pPr>
      <w:ind w:firstLine="480"/>
      <w:spacing w:line="480" w:lineRule="exact"/>
    </w:pPr>
    <w:rPr>
      <w:rFonts w:ascii="宋体" w:hAnsi="宋体"/>
      <w:sz w:val="24"/>
      <w:lang w:val="zh-CN" w:eastAsia="zh-CN"/>
    </w:rPr>
  </w:style>
  <w:style w:type="paragraph" w:styleId="1191">
    <w:name w:val="Char3"/>
    <w:basedOn w:val="963"/>
    <w:next w:val="1191"/>
    <w:link w:val="963"/>
    <w:qFormat/>
    <w:pPr>
      <w:tabs>
        <w:tab w:val="left" w:pos="360" w:leader="none"/>
      </w:tabs>
    </w:pPr>
    <w:rPr>
      <w:sz w:val="24"/>
    </w:rPr>
  </w:style>
  <w:style w:type="paragraph" w:styleId="1192">
    <w:name w:val="Char Char Char Char Char Char Char Char Char Char Char Char Char Char Char Char1"/>
    <w:basedOn w:val="963"/>
    <w:next w:val="1192"/>
    <w:link w:val="963"/>
    <w:qFormat/>
    <w:pPr>
      <w:jc w:val="center"/>
      <w:spacing w:after="160" w:line="240" w:lineRule="exact"/>
      <w:widowControl/>
    </w:pPr>
    <w:rPr>
      <w:rFonts w:ascii="宋体" w:hAnsi="宋体"/>
      <w:b/>
      <w:sz w:val="30"/>
      <w:szCs w:val="30"/>
      <w:lang w:eastAsia="en-US"/>
    </w:rPr>
  </w:style>
  <w:style w:type="paragraph" w:styleId="1193">
    <w:name w:val="Char Char1 Char Char Char Char Char Char1"/>
    <w:basedOn w:val="963"/>
    <w:next w:val="1193"/>
    <w:link w:val="963"/>
    <w:qFormat/>
    <w:pPr>
      <w:jc w:val="left"/>
      <w:spacing w:after="160" w:line="240" w:lineRule="exact"/>
      <w:widowControl/>
    </w:pPr>
    <w:rPr>
      <w:rFonts w:ascii="Verdana" w:hAnsi="Verdana" w:eastAsia="仿宋_GB2312"/>
      <w:sz w:val="24"/>
      <w:szCs w:val="20"/>
      <w:lang w:eastAsia="en-US"/>
    </w:rPr>
  </w:style>
  <w:style w:type="paragraph" w:styleId="1194">
    <w:name w:val="列出段落2"/>
    <w:basedOn w:val="963"/>
    <w:next w:val="1194"/>
    <w:link w:val="963"/>
    <w:qFormat/>
    <w:pPr>
      <w:ind w:firstLine="420"/>
    </w:pPr>
    <w:rPr>
      <w:rFonts w:ascii="Calibri" w:hAnsi="Calibri"/>
      <w:szCs w:val="22"/>
    </w:rPr>
  </w:style>
  <w:style w:type="paragraph" w:styleId="1195">
    <w:name w:val="Char Char Char1 Char2"/>
    <w:basedOn w:val="963"/>
    <w:next w:val="1195"/>
    <w:link w:val="963"/>
    <w:qFormat/>
    <w:rPr>
      <w:rFonts w:ascii="Tahoma" w:hAnsi="Tahoma"/>
      <w:sz w:val="24"/>
      <w:szCs w:val="20"/>
    </w:rPr>
  </w:style>
  <w:style w:type="paragraph" w:styleId="1196">
    <w:name w:val="Char Char Char2"/>
    <w:basedOn w:val="963"/>
    <w:next w:val="1196"/>
    <w:link w:val="963"/>
    <w:qFormat/>
    <w:rPr>
      <w:rFonts w:ascii="Tahoma" w:hAnsi="Tahoma"/>
      <w:sz w:val="24"/>
      <w:szCs w:val="20"/>
    </w:rPr>
  </w:style>
  <w:style w:type="paragraph" w:styleId="1197">
    <w:name w:val="Char Char Char Char Char Char Char2"/>
    <w:basedOn w:val="963"/>
    <w:next w:val="1197"/>
    <w:link w:val="963"/>
    <w:qFormat/>
    <w:pPr>
      <w:ind w:firstLine="200"/>
      <w:spacing w:line="360" w:lineRule="auto"/>
    </w:pPr>
    <w:rPr>
      <w:rFonts w:eastAsia="仿宋_GB2312"/>
      <w:sz w:val="24"/>
    </w:rPr>
  </w:style>
  <w:style w:type="paragraph" w:styleId="1198">
    <w:name w:val="正文缩进2"/>
    <w:basedOn w:val="963"/>
    <w:next w:val="1198"/>
    <w:link w:val="963"/>
    <w:qFormat/>
    <w:pPr>
      <w:ind w:firstLine="567"/>
      <w:spacing w:line="480" w:lineRule="exact"/>
      <w:widowControl/>
    </w:pPr>
    <w:rPr>
      <w:rFonts w:ascii="宋体"/>
      <w:color w:val="000000"/>
      <w:sz w:val="28"/>
      <w:szCs w:val="20"/>
      <w:lang w:val="zh-CN" w:eastAsia="zh-CN"/>
    </w:rPr>
  </w:style>
  <w:style w:type="paragraph" w:styleId="1199">
    <w:name w:val="Revision"/>
    <w:next w:val="1199"/>
    <w:link w:val="963"/>
    <w:qFormat/>
    <w:rPr>
      <w:sz w:val="21"/>
      <w:szCs w:val="24"/>
      <w:lang w:val="en-US" w:eastAsia="zh-CN" w:bidi="ar-SA"/>
    </w:rPr>
  </w:style>
  <w:style w:type="paragraph" w:styleId="1200">
    <w:name w:val="Char22"/>
    <w:basedOn w:val="963"/>
    <w:next w:val="1200"/>
    <w:link w:val="963"/>
    <w:qFormat/>
    <w:rPr>
      <w:rFonts w:ascii="Tahoma" w:hAnsi="Tahoma"/>
      <w:sz w:val="24"/>
      <w:szCs w:val="20"/>
    </w:rPr>
  </w:style>
  <w:style w:type="paragraph" w:styleId="1201">
    <w:name w:val="Char Char Char Char Char Char Char Char Char Char2"/>
    <w:basedOn w:val="963"/>
    <w:next w:val="1201"/>
    <w:link w:val="963"/>
    <w:qFormat/>
    <w:rPr>
      <w:rFonts w:ascii="宋体" w:hAnsi="宋体" w:cs="Courier New"/>
      <w:sz w:val="32"/>
      <w:szCs w:val="32"/>
    </w:rPr>
  </w:style>
  <w:style w:type="paragraph" w:styleId="1202">
    <w:name w:val="Char2 Char Char Char Char Char Char1"/>
    <w:basedOn w:val="963"/>
    <w:next w:val="1202"/>
    <w:link w:val="963"/>
    <w:qFormat/>
    <w:pPr>
      <w:jc w:val="center"/>
      <w:spacing w:line="400" w:lineRule="exact"/>
      <w:widowControl/>
    </w:pPr>
  </w:style>
  <w:style w:type="character" w:styleId="1203">
    <w:name w:val="页脚 Char"/>
    <w:next w:val="1203"/>
    <w:link w:val="963"/>
    <w:qFormat/>
    <w:rPr>
      <w:rFonts w:ascii="宋体" w:eastAsia="宋体"/>
      <w:sz w:val="18"/>
      <w:lang w:val="en-US" w:eastAsia="zh-CN" w:bidi="ar-SA"/>
    </w:rPr>
  </w:style>
  <w:style w:type="paragraph" w:styleId="1204">
    <w:name w:val="Char Char41"/>
    <w:basedOn w:val="963"/>
    <w:next w:val="1204"/>
    <w:link w:val="963"/>
    <w:qFormat/>
    <w:pPr>
      <w:jc w:val="center"/>
      <w:spacing w:line="400" w:lineRule="exact"/>
      <w:widowControl/>
    </w:pPr>
  </w:style>
  <w:style w:type="character" w:styleId="1205">
    <w:name w:val="批注文字 Char"/>
    <w:next w:val="1205"/>
    <w:link w:val="963"/>
    <w:uiPriority w:val="99"/>
    <w:qFormat/>
    <w:rPr>
      <w:sz w:val="21"/>
      <w:szCs w:val="24"/>
    </w:rPr>
  </w:style>
  <w:style w:type="character" w:styleId="1206">
    <w:name w:val="标题 Char"/>
    <w:next w:val="1206"/>
    <w:link w:val="963"/>
    <w:qFormat/>
    <w:rPr>
      <w:b/>
      <w:sz w:val="32"/>
    </w:rPr>
  </w:style>
  <w:style w:type="paragraph" w:styleId="1207">
    <w:name w:val="图例"/>
    <w:basedOn w:val="963"/>
    <w:next w:val="1207"/>
    <w:link w:val="963"/>
    <w:qFormat/>
    <w:pPr>
      <w:jc w:val="center"/>
      <w:spacing w:before="120" w:after="120" w:line="360" w:lineRule="auto"/>
    </w:pPr>
    <w:rPr>
      <w:rFonts w:eastAsia="仿宋_GB2312"/>
      <w:b/>
      <w:sz w:val="24"/>
      <w:szCs w:val="20"/>
    </w:rPr>
  </w:style>
  <w:style w:type="paragraph" w:styleId="1208">
    <w:name w:val="Table Paragraph"/>
    <w:basedOn w:val="963"/>
    <w:next w:val="1208"/>
    <w:link w:val="963"/>
    <w:uiPriority w:val="1"/>
    <w:qFormat/>
    <w:pPr>
      <w:jc w:val="left"/>
    </w:pPr>
    <w:rPr>
      <w:rFonts w:ascii="宋体" w:hAnsi="宋体" w:cs="宋体"/>
      <w:sz w:val="22"/>
      <w:szCs w:val="22"/>
      <w:lang w:eastAsia="en-US"/>
    </w:rPr>
  </w:style>
  <w:style w:type="table" w:styleId="1209">
    <w:name w:val="Table Normal"/>
    <w:next w:val="1209"/>
    <w:link w:val="963"/>
    <w:uiPriority w:val="2"/>
    <w:semiHidden/>
    <w:qFormat/>
    <w:pPr>
      <w:widowControl w:val="off"/>
    </w:pPr>
    <w:rPr>
      <w:rFonts w:ascii="Calibri" w:hAnsi="Calibri"/>
      <w:sz w:val="22"/>
      <w:szCs w:val="22"/>
      <w:lang w:val="en-US" w:eastAsia="en-US" w:bidi="ar-SA"/>
    </w:rPr>
    <w:tblPr/>
  </w:style>
  <w:style w:type="paragraph" w:styleId="1210">
    <w:name w:val="成文日期"/>
    <w:basedOn w:val="963"/>
    <w:next w:val="1210"/>
    <w:link w:val="1211"/>
    <w:qFormat/>
    <w:pPr>
      <w:ind w:right="400" w:firstLine="200"/>
      <w:jc w:val="right"/>
      <w:spacing w:line="570" w:lineRule="exact"/>
    </w:pPr>
    <w:rPr>
      <w:rFonts w:ascii="仿宋_GB2312" w:eastAsia="仿宋_GB2312"/>
      <w:sz w:val="32"/>
      <w:szCs w:val="20"/>
    </w:rPr>
  </w:style>
  <w:style w:type="character" w:styleId="1211">
    <w:name w:val="成文日期 Char"/>
    <w:next w:val="1211"/>
    <w:link w:val="1210"/>
    <w:rPr>
      <w:rFonts w:ascii="仿宋_GB2312" w:eastAsia="仿宋_GB2312"/>
      <w:sz w:val="32"/>
    </w:rPr>
  </w:style>
  <w:style w:type="paragraph" w:styleId="1212">
    <w:name w:val="无间隔1"/>
    <w:basedOn w:val="963"/>
    <w:next w:val="1212"/>
    <w:link w:val="963"/>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213" w:default="1">
    <w:name w:val="Default Paragraph Font"/>
    <w:uiPriority w:val="1"/>
    <w:semiHidden/>
    <w:unhideWhenUsed/>
  </w:style>
  <w:style w:type="numbering" w:styleId="1214" w:default="1">
    <w:name w:val="No List"/>
    <w:uiPriority w:val="99"/>
    <w:semiHidden/>
    <w:unhideWhenUsed/>
  </w:style>
  <w:style w:type="table" w:styleId="12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沈女士</cp:lastModifiedBy>
  <cp:revision>5</cp:revision>
  <dcterms:created xsi:type="dcterms:W3CDTF">2022-05-30T08:04:00Z</dcterms:created>
  <dcterms:modified xsi:type="dcterms:W3CDTF">2026-06-29T04:28:13Z</dcterms:modified>
</cp:coreProperties>
</file>