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67"/>
        <w:jc w:val="center"/>
        <w:rPr>
          <w:rFonts w:hint="eastAsia"/>
          <w:b/>
          <w:bCs/>
          <w:sz w:val="72"/>
          <w:szCs w:val="72"/>
        </w:rPr>
      </w:pPr>
      <w:r>
        <w:rPr>
          <w:rFonts w:hint="eastAsia"/>
          <w:b/>
          <w:bCs/>
          <w:sz w:val="72"/>
          <w:szCs w:val="72"/>
        </w:rPr>
      </w:r>
      <w:r/>
    </w:p>
    <w:p>
      <w:pPr>
        <w:pStyle w:val="1067"/>
        <w:jc w:val="center"/>
        <w:rPr>
          <w:rFonts w:hint="eastAsia"/>
          <w:b/>
          <w:bCs/>
          <w:color w:val="000000"/>
          <w:sz w:val="72"/>
          <w:szCs w:val="72"/>
        </w:rPr>
      </w:pPr>
      <w:r>
        <w:rPr>
          <w:rFonts w:hint="eastAsia"/>
          <w:b/>
          <w:bCs/>
          <w:color w:val="000000"/>
          <w:sz w:val="72"/>
          <w:szCs w:val="72"/>
        </w:rPr>
      </w:r>
      <w:r/>
    </w:p>
    <w:p>
      <w:pPr>
        <w:pStyle w:val="1067"/>
        <w:jc w:val="center"/>
        <w:rPr>
          <w:rFonts w:hint="eastAsia" w:eastAsia="宋体"/>
          <w:color w:val="000000"/>
          <w:lang w:eastAsia="zh-CN"/>
        </w:rPr>
      </w:pPr>
      <w:r>
        <w:rPr>
          <w:rFonts w:hint="eastAsia"/>
          <w:b/>
          <w:bCs/>
          <w:color w:val="000000"/>
          <w:sz w:val="72"/>
          <w:szCs w:val="72"/>
          <w:lang w:eastAsia="zh-CN"/>
        </w:rPr>
        <w:t xml:space="preserve">AI智能安全监管平台服务项目</w:t>
      </w:r>
      <w:r>
        <w:rPr>
          <w:rFonts w:hint="eastAsia" w:eastAsia="宋体"/>
          <w:color w:val="000000"/>
          <w:lang w:eastAsia="zh-CN"/>
        </w:rPr>
      </w:r>
      <w:r/>
    </w:p>
    <w:p>
      <w:pPr>
        <w:pStyle w:val="1067"/>
        <w:jc w:val="center"/>
        <w:rPr>
          <w:rFonts w:hint="eastAsia"/>
          <w:b/>
          <w:bCs/>
          <w:color w:val="000000"/>
          <w:sz w:val="72"/>
          <w:szCs w:val="72"/>
        </w:rPr>
      </w:pPr>
      <w:r>
        <w:rPr>
          <w:rFonts w:hint="eastAsia"/>
          <w:b/>
          <w:bCs/>
          <w:color w:val="000000"/>
          <w:sz w:val="72"/>
          <w:szCs w:val="72"/>
        </w:rPr>
      </w:r>
      <w:r/>
    </w:p>
    <w:p>
      <w:pPr>
        <w:pStyle w:val="1067"/>
        <w:jc w:val="center"/>
        <w:rPr>
          <w:rFonts w:hint="eastAsia"/>
          <w:b/>
          <w:bCs/>
          <w:color w:val="000000"/>
          <w:sz w:val="72"/>
          <w:szCs w:val="72"/>
        </w:rPr>
      </w:pPr>
      <w:r>
        <w:rPr>
          <w:rFonts w:hint="eastAsia"/>
          <w:b/>
          <w:bCs/>
          <w:color w:val="000000"/>
          <w:sz w:val="72"/>
          <w:szCs w:val="72"/>
        </w:rPr>
      </w:r>
      <w:r/>
    </w:p>
    <w:p>
      <w:pPr>
        <w:pStyle w:val="1067"/>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rPr>
          <w:b/>
          <w:bCs/>
          <w:color w:val="000000"/>
          <w:sz w:val="72"/>
          <w:szCs w:val="72"/>
        </w:rPr>
      </w:r>
      <w:r/>
    </w:p>
    <w:p>
      <w:pPr>
        <w:pStyle w:val="1067"/>
        <w:jc w:val="center"/>
        <w:rPr>
          <w:b/>
          <w:bCs/>
          <w:color w:val="000000"/>
          <w:sz w:val="60"/>
          <w:szCs w:val="60"/>
        </w:rPr>
      </w:pPr>
      <w:r>
        <w:rPr>
          <w:b/>
          <w:bCs/>
          <w:color w:val="000000"/>
          <w:sz w:val="60"/>
          <w:szCs w:val="60"/>
        </w:rPr>
      </w:r>
      <w:r/>
    </w:p>
    <w:p>
      <w:pPr>
        <w:pStyle w:val="1067"/>
        <w:jc w:val="center"/>
        <w:spacing w:line="360" w:lineRule="auto"/>
        <w:rPr>
          <w:color w:val="000000"/>
          <w:sz w:val="60"/>
          <w:szCs w:val="60"/>
        </w:rPr>
      </w:pPr>
      <w:r>
        <w:rPr>
          <w:color w:val="000000"/>
          <w:sz w:val="60"/>
          <w:szCs w:val="60"/>
        </w:rPr>
      </w:r>
      <w:r/>
    </w:p>
    <w:p>
      <w:pPr>
        <w:pStyle w:val="1155"/>
        <w:ind w:firstLine="1200"/>
        <w:rPr>
          <w:color w:val="000000"/>
          <w:sz w:val="60"/>
          <w:szCs w:val="60"/>
        </w:rPr>
      </w:pPr>
      <w:r>
        <w:rPr>
          <w:color w:val="000000"/>
          <w:sz w:val="60"/>
          <w:szCs w:val="60"/>
        </w:rPr>
      </w:r>
      <w:r/>
    </w:p>
    <w:p>
      <w:pPr>
        <w:pStyle w:val="1155"/>
        <w:ind w:firstLine="0"/>
        <w:rPr>
          <w:color w:val="000000"/>
          <w:sz w:val="60"/>
          <w:szCs w:val="60"/>
          <w:highlight w:val="yellow"/>
        </w:rPr>
      </w:pPr>
      <w:r>
        <w:rPr>
          <w:color w:val="000000"/>
          <w:sz w:val="60"/>
          <w:szCs w:val="60"/>
          <w:highlight w:val="yellow"/>
        </w:rPr>
      </w:r>
      <w:r/>
    </w:p>
    <w:p>
      <w:pPr>
        <w:pStyle w:val="1067"/>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AI智能安全监管平台服务项目</w:t>
      </w:r>
      <w:r>
        <w:rPr>
          <w:rFonts w:hint="eastAsia" w:ascii="宋体" w:hAnsi="宋体" w:eastAsia="宋体" w:cs="宋体"/>
          <w:b/>
          <w:color w:val="000000"/>
          <w:sz w:val="28"/>
          <w:szCs w:val="28"/>
          <w:highlight w:val="none"/>
          <w:lang w:eastAsia="zh-CN"/>
        </w:rPr>
      </w:r>
      <w:r/>
    </w:p>
    <w:p>
      <w:pPr>
        <w:pStyle w:val="1067"/>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JSZC-320402022-CZYJ-G2026-0006</w:t>
      </w:r>
      <w:r>
        <w:rPr>
          <w:rFonts w:hint="eastAsia" w:ascii="宋体" w:hAnsi="宋体" w:eastAsia="宋体" w:cs="宋体"/>
          <w:b/>
          <w:color w:val="000000"/>
          <w:sz w:val="28"/>
          <w:szCs w:val="28"/>
          <w:highlight w:val="none"/>
          <w:u w:val="single"/>
          <w:lang w:eastAsia="zh-CN"/>
        </w:rPr>
      </w:r>
      <w:r/>
    </w:p>
    <w:p>
      <w:pPr>
        <w:pStyle w:val="1067"/>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常州市天宁区青龙街道办事处</w:t>
      </w:r>
      <w:r>
        <w:rPr>
          <w:rFonts w:hint="eastAsia" w:ascii="宋体" w:hAnsi="宋体" w:eastAsia="宋体" w:cs="宋体"/>
          <w:b/>
          <w:color w:val="000000"/>
          <w:sz w:val="28"/>
          <w:szCs w:val="28"/>
          <w:highlight w:val="none"/>
          <w:u w:val="single"/>
          <w:lang w:eastAsia="zh-CN"/>
        </w:rPr>
      </w:r>
      <w:r/>
    </w:p>
    <w:p>
      <w:pPr>
        <w:pStyle w:val="1067"/>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1067"/>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1067"/>
      </w:pPr>
      <w:r/>
      <w:r/>
    </w:p>
    <w:p>
      <w:pPr>
        <w:pStyle w:val="1067"/>
      </w:pPr>
      <w:r/>
      <w:r/>
    </w:p>
    <w:p>
      <w:pPr>
        <w:pStyle w:val="1067"/>
      </w:pPr>
      <w:r/>
      <w:r/>
    </w:p>
    <w:p>
      <w:pPr>
        <w:pStyle w:val="1121"/>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21"/>
        <w:spacing w:line="480" w:lineRule="auto"/>
        <w:tabs>
          <w:tab w:val="left" w:pos="1050" w:leader="none"/>
          <w:tab w:val="right" w:pos="8937" w:leader="dot"/>
        </w:tabs>
        <w:rPr>
          <w:rStyle w:val="1146"/>
          <w:rFonts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"_Toc99301419"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第一章   投标邀请</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2</w:t>
      </w:r>
      <w:r>
        <w:rPr>
          <w:rStyle w:val="1146"/>
          <w:rFonts w:ascii="Times New Roman" w:hAnsi="Times New Roman"/>
          <w:color w:val="000000"/>
          <w:sz w:val="28"/>
          <w:szCs w:val="28"/>
        </w:rPr>
        <w:fldChar w:fldCharType="end"/>
      </w:r>
      <w:r>
        <w:rPr>
          <w:rStyle w:val="1146"/>
          <w:rFonts w:ascii="Times New Roman" w:hAnsi="Times New Roman"/>
          <w:color w:val="000000"/>
          <w:sz w:val="28"/>
          <w:szCs w:val="28"/>
        </w:rPr>
      </w:r>
      <w:r/>
    </w:p>
    <w:p>
      <w:pPr>
        <w:pStyle w:val="1121"/>
        <w:spacing w:line="480" w:lineRule="auto"/>
        <w:tabs>
          <w:tab w:val="left" w:pos="1050" w:leader="none"/>
          <w:tab w:val="right" w:pos="8937" w:leader="dot"/>
        </w:tabs>
        <w:rPr>
          <w:rStyle w:val="1146"/>
          <w:rFonts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"_Toc99301420"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第二章   投标人须知</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6</w:t>
      </w:r>
      <w:r>
        <w:rPr>
          <w:rStyle w:val="1146"/>
          <w:rFonts w:ascii="Times New Roman" w:hAnsi="Times New Roman"/>
          <w:color w:val="000000"/>
          <w:sz w:val="28"/>
          <w:szCs w:val="28"/>
        </w:rPr>
        <w:fldChar w:fldCharType="end"/>
      </w:r>
      <w:r>
        <w:rPr>
          <w:rStyle w:val="1146"/>
          <w:rFonts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"_Toc99301421"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第三章   资</w:t>
      </w:r>
      <w:bookmarkStart w:id="1" w:name="_Hlt100754117"/>
      <w:r>
        <w:rPr>
          <w:rStyle w:val="1146"/>
          <w:rFonts w:ascii="Times New Roman" w:hAnsi="Times New Roman"/>
          <w:color w:val="000000"/>
          <w:sz w:val="28"/>
          <w:szCs w:val="28"/>
        </w:rPr>
        <w:t xml:space="preserve">格</w:t>
      </w:r>
      <w:bookmarkEnd w:id="1"/>
      <w:r>
        <w:rPr>
          <w:rStyle w:val="1146"/>
          <w:rFonts w:ascii="Times New Roman" w:hAnsi="Times New Roman"/>
          <w:color w:val="000000"/>
          <w:sz w:val="28"/>
          <w:szCs w:val="28"/>
        </w:rPr>
        <w:t xml:space="preserve">审查</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1</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rPr>
        <w:t xml:space="preserve">8</w:t>
      </w:r>
      <w:r>
        <w:rPr>
          <w:rStyle w:val="1146"/>
          <w:rFonts w:hint="eastAsia"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eastAsia="宋体"/>
          <w:color w:val="000000"/>
          <w:sz w:val="28"/>
          <w:szCs w:val="28"/>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"_Toc99301423"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第四章   评标程序、评标方法和评标标准</w:t>
      </w:r>
      <w:r>
        <w:rPr>
          <w:rStyle w:val="1146"/>
          <w:rFonts w:ascii="Times New Roman" w:hAnsi="Times New Roman"/>
          <w:color w:val="000000"/>
          <w:sz w:val="28"/>
          <w:szCs w:val="28"/>
        </w:rPr>
        <w:tab/>
      </w:r>
      <w:r>
        <w:rPr>
          <w:rStyle w:val="1146"/>
          <w:rFonts w:hint="eastAsia" w:ascii="Times New Roman" w:hAnsi="Times New Roman"/>
          <w:color w:val="000000"/>
          <w:sz w:val="28"/>
          <w:szCs w:val="28"/>
          <w:lang w:val="en-US" w:eastAsia="zh-CN"/>
        </w:rPr>
        <w:t xml:space="preserve">1</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9</w:t>
      </w:r>
      <w:r>
        <w:rPr>
          <w:rStyle w:val="1146"/>
          <w:rFonts w:hint="eastAsia" w:ascii="Times New Roman" w:hAnsi="Times New Roman" w:eastAsia="宋体"/>
          <w:color w:val="000000"/>
          <w:sz w:val="28"/>
          <w:szCs w:val="28"/>
          <w:lang w:eastAsia="zh-CN"/>
        </w:rPr>
      </w:r>
      <w:r/>
    </w:p>
    <w:p>
      <w:pPr>
        <w:pStyle w:val="1121"/>
        <w:spacing w:line="480" w:lineRule="auto"/>
        <w:tabs>
          <w:tab w:val="left" w:pos="1050" w:leader="none"/>
          <w:tab w:val="right" w:pos="8937" w:leader="dot"/>
        </w:tabs>
        <w:rPr>
          <w:rStyle w:val="1146"/>
          <w:rFonts w:hint="eastAsia" w:ascii="Times New Roman" w:hAnsi="Times New Roman" w:eastAsia="宋体"/>
          <w:color w:val="000000"/>
          <w:sz w:val="28"/>
          <w:szCs w:val="28"/>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"_Toc99301424"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第五章   采购</w:t>
      </w:r>
      <w:bookmarkStart w:id="2" w:name="_Hlt100754103"/>
      <w:r/>
      <w:bookmarkStart w:id="3" w:name="_Hlt100754102"/>
      <w:r>
        <w:rPr>
          <w:rStyle w:val="1146"/>
          <w:rFonts w:ascii="Times New Roman" w:hAnsi="Times New Roman"/>
          <w:color w:val="000000"/>
          <w:sz w:val="28"/>
          <w:szCs w:val="28"/>
        </w:rPr>
        <w:t xml:space="preserve">需</w:t>
      </w:r>
      <w:bookmarkEnd w:id="2"/>
      <w:r/>
      <w:bookmarkEnd w:id="3"/>
      <w:r>
        <w:rPr>
          <w:rStyle w:val="1146"/>
          <w:rFonts w:ascii="Times New Roman" w:hAnsi="Times New Roman"/>
          <w:color w:val="000000"/>
          <w:sz w:val="28"/>
          <w:szCs w:val="28"/>
        </w:rPr>
        <w:t xml:space="preserve">求</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2</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7</w:t>
      </w:r>
      <w:r>
        <w:rPr>
          <w:rStyle w:val="1146"/>
          <w:rFonts w:hint="eastAsia" w:ascii="Times New Roman" w:hAnsi="Times New Roman" w:eastAsia="宋体"/>
          <w:color w:val="000000"/>
          <w:sz w:val="28"/>
          <w:szCs w:val="28"/>
          <w:lang w:eastAsia="zh-CN"/>
        </w:rPr>
      </w:r>
      <w:r/>
    </w:p>
    <w:p>
      <w:pPr>
        <w:pStyle w:val="1121"/>
        <w:spacing w:line="480" w:lineRule="auto"/>
        <w:tabs>
          <w:tab w:val="left" w:pos="1050" w:leader="none"/>
          <w:tab w:val="right" w:pos="8937" w:leader="dot"/>
        </w:tabs>
        <w:rPr>
          <w:rStyle w:val="1146"/>
          <w:rFonts w:hint="eastAsia" w:ascii="Times New Roman" w:hAnsi="Times New Roman" w:eastAsia="宋体"/>
          <w:color w:val="000000"/>
          <w:sz w:val="28"/>
          <w:szCs w:val="28"/>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"_Toc99301425"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第六章   拟签订的合同文本</w:t>
      </w:r>
      <w:r>
        <w:rPr>
          <w:rStyle w:val="1146"/>
          <w:rFonts w:ascii="Times New Roman" w:hAnsi="Times New Roman"/>
          <w:color w:val="000000"/>
          <w:sz w:val="28"/>
          <w:szCs w:val="28"/>
        </w:rPr>
        <w:tab/>
      </w:r>
      <w:r>
        <w:rPr>
          <w:rStyle w:val="1146"/>
          <w:rFonts w:hint="eastAsia" w:ascii="Times New Roman" w:hAnsi="Times New Roman"/>
          <w:color w:val="000000"/>
          <w:sz w:val="28"/>
          <w:szCs w:val="28"/>
          <w:lang w:val="en-US" w:eastAsia="zh-CN"/>
        </w:rPr>
        <w:t xml:space="preserve">4</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3</w:t>
      </w:r>
      <w:r>
        <w:rPr>
          <w:rStyle w:val="1146"/>
          <w:rFonts w:hint="eastAsia" w:ascii="Times New Roman" w:hAnsi="Times New Roman" w:eastAsia="宋体"/>
          <w:color w:val="000000"/>
          <w:sz w:val="28"/>
          <w:szCs w:val="28"/>
          <w:lang w:eastAsia="zh-CN"/>
        </w:rPr>
      </w:r>
      <w:r/>
    </w:p>
    <w:p>
      <w:pPr>
        <w:pStyle w:val="1121"/>
        <w:spacing w:line="480" w:lineRule="auto"/>
        <w:tabs>
          <w:tab w:val="left" w:pos="1050" w:leader="none"/>
          <w:tab w:val="right" w:pos="8937" w:leader="dot"/>
        </w:tabs>
        <w:rPr>
          <w:rFonts w:hint="eastAsia" w:ascii="Times New Roman" w:hAnsi="Times New Roman" w:eastAsia="宋体"/>
          <w:b w:val="0"/>
          <w:sz w:val="21"/>
          <w:szCs w:val="22"/>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"_Toc99301426"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第七章   投标文件格式</w:t>
      </w:r>
      <w:r>
        <w:rPr>
          <w:rStyle w:val="1146"/>
          <w:rFonts w:ascii="Times New Roman" w:hAnsi="Times New Roman"/>
          <w:color w:val="000000"/>
          <w:sz w:val="28"/>
          <w:szCs w:val="28"/>
        </w:rPr>
        <w:tab/>
      </w:r>
      <w:r>
        <w:rPr>
          <w:rStyle w:val="1146"/>
          <w:rFonts w:hint="eastAsia" w:ascii="Times New Roman" w:hAnsi="Times New Roman"/>
          <w:color w:val="000000"/>
          <w:sz w:val="28"/>
          <w:szCs w:val="28"/>
          <w:lang w:val="en-US" w:eastAsia="zh-CN"/>
        </w:rPr>
        <w:t xml:space="preserve">4</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8</w:t>
      </w:r>
      <w:r>
        <w:rPr>
          <w:rFonts w:hint="eastAsia" w:ascii="Times New Roman" w:hAnsi="Times New Roman" w:eastAsia="宋体"/>
          <w:b w:val="0"/>
          <w:sz w:val="21"/>
          <w:szCs w:val="22"/>
          <w:lang w:eastAsia="zh-CN"/>
        </w:rPr>
      </w:r>
      <w:r/>
    </w:p>
    <w:p>
      <w:pPr>
        <w:pStyle w:val="1121"/>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7"/>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1069"/>
        <w:jc w:val="left"/>
        <w:spacing w:before="0" w:line="360" w:lineRule="auto"/>
        <w:rPr>
          <w:rFonts w:hint="eastAsia" w:ascii="宋体" w:hAnsi="宋体" w:eastAsia="宋体" w:cs="宋体"/>
          <w:color w:val="000000"/>
          <w:sz w:val="21"/>
          <w:szCs w:val="21"/>
          <w:highlight w:val="none"/>
        </w:rPr>
      </w:pPr>
      <w:r/>
      <w:bookmarkStart w:id="5" w:name="_Toc35393790"/>
      <w:r/>
      <w:bookmarkStart w:id="6" w:name="_Toc28359002"/>
      <w:r/>
      <w:bookmarkStart w:id="7" w:name="_Toc28359079"/>
      <w:r/>
      <w:bookmarkStart w:id="8" w:name="_Toc35393621"/>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JSZC-320402022-CZYJ-G2026-0006</w:t>
      </w:r>
      <w:r>
        <w:rPr>
          <w:rFonts w:hint="eastAsia" w:ascii="宋体" w:hAnsi="宋体" w:eastAsia="宋体" w:cs="宋体"/>
          <w:color w:val="000000"/>
          <w:szCs w:val="21"/>
          <w:highlight w:val="none"/>
          <w:lang w:eastAsia="zh-CN"/>
        </w:rPr>
      </w:r>
      <w:r/>
    </w:p>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AI智能安全监管平台服务项目</w:t>
      </w:r>
      <w:r>
        <w:rPr>
          <w:rFonts w:hint="eastAsia" w:ascii="宋体" w:hAnsi="宋体" w:eastAsia="宋体" w:cs="宋体"/>
          <w:color w:val="000000"/>
          <w:szCs w:val="21"/>
          <w:highlight w:val="none"/>
          <w:lang w:eastAsia="zh-CN"/>
        </w:rPr>
      </w:r>
      <w:r/>
    </w:p>
    <w:p>
      <w:pPr>
        <w:pStyle w:val="1067"/>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500万元</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lang w:eastAsia="zh-CN"/>
        </w:rPr>
        <w:t xml:space="preserve">490万元</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AI智能安全监管平台服务项目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596" w:type="pct"/>
        <w:jc w:val="center"/>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715"/>
        <w:gridCol w:w="1824"/>
        <w:gridCol w:w="803"/>
        <w:gridCol w:w="3480"/>
      </w:tblGrid>
      <w:tr>
        <w:trPr>
          <w:trHeight w:val="454"/>
        </w:trPr>
        <w:tc>
          <w:tcPr>
            <w:tcW w:w="419"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004"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1068"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470"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037"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197"/>
        </w:trPr>
        <w:tc>
          <w:tcPr>
            <w:tcW w:w="419"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cs="宋体"/>
                <w:bCs/>
                <w:color w:val="000000"/>
                <w:szCs w:val="21"/>
                <w:highlight w:val="none"/>
              </w:rPr>
            </w:r>
            <w:r/>
          </w:p>
        </w:tc>
        <w:tc>
          <w:tcPr>
            <w:tcW w:w="1004" w:type="dxa"/>
            <w:vAlign w:val="center"/>
            <w:textDirection w:val="lrTb"/>
            <w:noWrap w:val="false"/>
          </w:tcPr>
          <w:p>
            <w:pPr>
              <w:pStyle w:val="1067"/>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eastAsia="zh-CN"/>
              </w:rPr>
              <w:t xml:space="preserve">AI智能安全监管平台服务项目</w:t>
            </w:r>
            <w:r>
              <w:rPr>
                <w:rFonts w:ascii="宋体" w:hAnsi="宋体" w:eastAsia="宋体" w:cs="宋体"/>
                <w:bCs/>
                <w:color w:val="000000"/>
                <w:szCs w:val="21"/>
                <w:highlight w:val="none"/>
                <w:lang w:val="en-US" w:eastAsia="zh-CN"/>
              </w:rPr>
            </w:r>
            <w:r/>
          </w:p>
        </w:tc>
        <w:tc>
          <w:tcPr>
            <w:tcW w:w="1068" w:type="dxa"/>
            <w:vAlign w:val="center"/>
            <w:textDirection w:val="lrTb"/>
            <w:noWrap w:val="false"/>
          </w:tcPr>
          <w:p>
            <w:pPr>
              <w:pStyle w:val="1067"/>
              <w:jc w:val="center"/>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rPr>
              <w:t xml:space="preserve">500</w:t>
            </w:r>
            <w:r>
              <w:rPr>
                <w:rFonts w:hint="eastAsia" w:ascii="宋体" w:hAnsi="宋体" w:eastAsia="宋体" w:cs="宋体"/>
                <w:bCs/>
                <w:color w:val="000000"/>
                <w:szCs w:val="21"/>
                <w:highlight w:val="none"/>
              </w:rPr>
            </w:r>
            <w:r/>
          </w:p>
        </w:tc>
        <w:tc>
          <w:tcPr>
            <w:tcW w:w="470" w:type="dxa"/>
            <w:vAlign w:val="center"/>
            <w:textDirection w:val="lrTb"/>
            <w:noWrap w:val="false"/>
          </w:tcPr>
          <w:p>
            <w:pPr>
              <w:pStyle w:val="1067"/>
              <w:jc w:val="center"/>
              <w:rPr>
                <w:rFonts w:ascii="宋体" w:hAnsi="宋体" w:cs="宋体"/>
                <w:bCs/>
                <w:color w:val="000000"/>
                <w:szCs w:val="21"/>
                <w:highlight w:val="none"/>
              </w:rPr>
            </w:pPr>
            <w:r>
              <w:rPr>
                <w:rFonts w:hint="eastAsia" w:ascii="宋体" w:hAnsi="宋体" w:cs="宋体"/>
                <w:bCs/>
                <w:color w:val="000000"/>
                <w:szCs w:val="21"/>
                <w:highlight w:val="none"/>
              </w:rPr>
              <w:t xml:space="preserve">1项</w:t>
            </w:r>
            <w:r>
              <w:rPr>
                <w:rFonts w:ascii="宋体" w:hAnsi="宋体" w:cs="宋体"/>
                <w:bCs/>
                <w:color w:val="000000"/>
                <w:szCs w:val="21"/>
                <w:highlight w:val="none"/>
              </w:rPr>
            </w:r>
            <w:r/>
          </w:p>
        </w:tc>
        <w:tc>
          <w:tcPr>
            <w:tcW w:w="2037" w:type="dxa"/>
            <w:vAlign w:val="center"/>
            <w:textDirection w:val="lrTb"/>
            <w:noWrap w:val="false"/>
          </w:tcPr>
          <w:p>
            <w:pPr>
              <w:pStyle w:val="1067"/>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通过搭建数字化监管体系、构建全域智能感知网络，运用AI智能算法实现风险隐患实时识别、自动研判、分级预警、闭环处置。</w:t>
            </w:r>
            <w:r>
              <w:rPr>
                <w:rFonts w:hint="eastAsia" w:ascii="宋体" w:hAnsi="宋体" w:eastAsia="宋体" w:cs="宋体"/>
                <w:bCs/>
                <w:color w:val="000000"/>
                <w:szCs w:val="21"/>
                <w:highlight w:val="none"/>
                <w:lang w:eastAsia="zh-CN"/>
              </w:rPr>
            </w:r>
            <w:r/>
          </w:p>
        </w:tc>
      </w:tr>
    </w:tbl>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自合同签订之日起90个日历天内完成感知设备的提供、安装调试、通过网络接入集中运营中心，具备集中监测能力并经甲方验收合格后开始提供服务，服务期限：36个月。</w:t>
      </w:r>
      <w:r>
        <w:rPr>
          <w:rFonts w:hint="eastAsia" w:ascii="宋体" w:hAnsi="宋体" w:eastAsia="宋体" w:cs="宋体"/>
          <w:color w:val="000000"/>
          <w:szCs w:val="21"/>
          <w:highlight w:val="none"/>
          <w:lang w:eastAsia="zh-CN"/>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1069"/>
        <w:jc w:val="left"/>
        <w:spacing w:before="0" w:line="360" w:lineRule="auto"/>
        <w:rPr>
          <w:rFonts w:hint="eastAsia" w:ascii="宋体" w:hAnsi="宋体" w:eastAsia="宋体" w:cs="宋体"/>
          <w:color w:val="000000"/>
          <w:sz w:val="21"/>
          <w:szCs w:val="21"/>
          <w:highlight w:val="none"/>
        </w:rPr>
      </w:pPr>
      <w:r/>
      <w:bookmarkStart w:id="10" w:name="_Toc35393791"/>
      <w:r/>
      <w:bookmarkStart w:id="11" w:name="_Toc28359003"/>
      <w:r/>
      <w:bookmarkStart w:id="12" w:name="_Toc28359080"/>
      <w:r/>
      <w:bookmarkStart w:id="13" w:name="_Toc35393622"/>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bookmarkStart w:id="14" w:name="_Toc28359004"/>
      <w:r/>
      <w:bookmarkStart w:id="15" w:name="_Toc28359081"/>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tabs>
          <w:tab w:val="left" w:pos="8400" w:leader="none"/>
        </w:tabs>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1067"/>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67"/>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1067"/>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67"/>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是，公益一类事业单位、使用事业编制且由财政拨款保障的群团组织，不得作为承接主体；</w:t>
      </w:r>
      <w:r>
        <w:rPr>
          <w:rFonts w:hint="eastAsia" w:ascii="宋体" w:hAnsi="宋体" w:cs="宋体"/>
          <w:color w:val="000000"/>
          <w:szCs w:val="21"/>
          <w:highlight w:val="none"/>
        </w:rPr>
      </w:r>
      <w:r/>
    </w:p>
    <w:p>
      <w:pPr>
        <w:pStyle w:val="1067"/>
        <w:ind w:firstLine="420"/>
        <w:spacing w:line="360" w:lineRule="auto"/>
        <w:rPr>
          <w:rFonts w:ascii="宋体" w:hAnsi="宋体" w:eastAsia="宋体" w:cs="宋体"/>
          <w:i/>
          <w:iCs/>
          <w:color w:val="000000"/>
          <w:szCs w:val="21"/>
          <w:highlight w:val="none"/>
          <w:u w:val="single"/>
          <w:lang w:val="en-US" w:eastAsia="zh-CN"/>
        </w:rPr>
      </w:pPr>
      <w:r>
        <w:rPr>
          <w:rFonts w:hint="eastAsia" w:ascii="宋体" w:hAnsi="宋体" w:cs="宋体"/>
          <w:color w:val="000000"/>
          <w:szCs w:val="21"/>
          <w:highlight w:val="none"/>
        </w:rPr>
        <w:t xml:space="preserve">3.3其他特定资格要求：</w:t>
      </w:r>
      <w:r>
        <w:rPr>
          <w:rFonts w:hint="eastAsia" w:ascii="宋体" w:hAnsi="宋体" w:cs="宋体"/>
          <w:color w:val="000000"/>
          <w:szCs w:val="21"/>
          <w:highlight w:val="none"/>
          <w:u w:val="single"/>
          <w:lang w:val="en-US" w:eastAsia="zh-CN"/>
        </w:rPr>
        <w:t xml:space="preserve"> </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u w:val="none"/>
          <w:lang w:val="en-US" w:eastAsia="zh-CN"/>
        </w:rPr>
        <w:t xml:space="preserve">。</w:t>
      </w:r>
      <w:r>
        <w:rPr>
          <w:rFonts w:ascii="宋体" w:hAnsi="宋体" w:eastAsia="宋体" w:cs="宋体"/>
          <w:i/>
          <w:iCs/>
          <w:color w:val="000000"/>
          <w:szCs w:val="21"/>
          <w:highlight w:val="none"/>
          <w:u w:val="single"/>
          <w:lang w:val="en-US" w:eastAsia="zh-CN"/>
        </w:rPr>
      </w:r>
      <w:r/>
    </w:p>
    <w:p>
      <w:pPr>
        <w:pStyle w:val="1069"/>
        <w:jc w:val="left"/>
        <w:spacing w:before="0" w:line="360" w:lineRule="auto"/>
        <w:widowControl/>
        <w:rPr>
          <w:rFonts w:hint="eastAsia" w:ascii="宋体" w:hAnsi="宋体" w:eastAsia="宋体" w:cs="宋体"/>
          <w:color w:val="000000"/>
          <w:sz w:val="21"/>
          <w:szCs w:val="21"/>
          <w:highlight w:val="none"/>
        </w:rPr>
      </w:pPr>
      <w:r/>
      <w:bookmarkEnd w:id="14"/>
      <w:r/>
      <w:bookmarkEnd w:id="15"/>
      <w:r/>
      <w:bookmarkStart w:id="16" w:name="_Toc35393792"/>
      <w:r/>
      <w:bookmarkStart w:id="17" w:name="_Toc35393623"/>
      <w:r>
        <w:rPr>
          <w:rFonts w:hint="eastAsia" w:ascii="宋体" w:hAnsi="宋体" w:eastAsia="宋体" w:cs="宋体"/>
          <w:color w:val="000000"/>
          <w:sz w:val="21"/>
          <w:szCs w:val="21"/>
          <w:highlight w:val="none"/>
        </w:rPr>
        <w:t xml:space="preserve">三、获取招标文件</w:t>
      </w:r>
      <w:bookmarkEnd w:id="16"/>
      <w:r/>
      <w:bookmarkEnd w:id="17"/>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1.时间：</w:t>
      </w:r>
      <w:r>
        <w:rPr>
          <w:rFonts w:hint="eastAsia" w:ascii="宋体" w:hAnsi="宋体" w:cs="宋体"/>
          <w:b/>
          <w:bCs/>
          <w:color w:val="000000"/>
          <w:szCs w:val="21"/>
          <w:highlight w:val="none"/>
          <w:u w:val="single"/>
          <w:lang w:bidi="ar"/>
        </w:rPr>
        <w:t xml:space="preserve">202</w:t>
      </w:r>
      <w:r>
        <w:rPr>
          <w:rFonts w:hint="eastAsia" w:ascii="宋体" w:hAnsi="宋体" w:cs="宋体"/>
          <w:b/>
          <w:bCs/>
          <w:color w:val="000000"/>
          <w:szCs w:val="21"/>
          <w:highlight w:val="none"/>
          <w:u w:val="single"/>
          <w:lang w:val="en-US" w:eastAsia="zh-CN" w:bidi="ar"/>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u w:val="single"/>
          <w:lang w:val="en-US" w:eastAsia="zh-CN" w:bidi="ar"/>
        </w:rPr>
        <w:t xml:space="preserve">04</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u w:val="single"/>
          <w:lang w:val="en-US" w:eastAsia="zh-CN" w:bidi="ar"/>
        </w:rPr>
        <w:t xml:space="preserve">30</w:t>
      </w:r>
      <w:r>
        <w:rPr>
          <w:rFonts w:hint="eastAsia" w:ascii="宋体" w:hAnsi="宋体" w:cs="宋体"/>
          <w:b/>
          <w:bCs/>
          <w:color w:val="000000"/>
          <w:szCs w:val="21"/>
          <w:highlight w:val="none"/>
          <w:lang w:bidi="ar"/>
        </w:rPr>
        <w:t xml:space="preserve">日至</w:t>
      </w:r>
      <w:r>
        <w:rPr>
          <w:rFonts w:hint="eastAsia" w:ascii="宋体" w:hAnsi="宋体" w:cs="宋体"/>
          <w:b/>
          <w:bCs/>
          <w:color w:val="000000"/>
          <w:szCs w:val="21"/>
          <w:highlight w:val="none"/>
          <w:u w:val="single"/>
          <w:lang w:bidi="ar"/>
        </w:rPr>
        <w:t xml:space="preserve">202</w:t>
      </w:r>
      <w:r>
        <w:rPr>
          <w:rFonts w:hint="eastAsia" w:ascii="宋体" w:hAnsi="宋体" w:cs="宋体"/>
          <w:b/>
          <w:bCs/>
          <w:color w:val="000000"/>
          <w:szCs w:val="21"/>
          <w:highlight w:val="none"/>
          <w:u w:val="single"/>
          <w:lang w:val="en-US" w:eastAsia="zh-CN" w:bidi="ar"/>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u w:val="single"/>
          <w:lang w:val="en-US" w:eastAsia="zh-CN" w:bidi="ar"/>
        </w:rPr>
        <w:t xml:space="preserve">05</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u w:val="single"/>
          <w:lang w:val="en-US" w:eastAsia="zh-CN" w:bidi="ar"/>
        </w:rPr>
        <w:t xml:space="preserve">11</w:t>
      </w:r>
      <w:r>
        <w:rPr>
          <w:rFonts w:hint="eastAsia" w:ascii="宋体" w:hAnsi="宋体" w:cs="宋体"/>
          <w:b/>
          <w:bCs/>
          <w:color w:val="000000"/>
          <w:szCs w:val="21"/>
          <w:highlight w:val="none"/>
          <w:lang w:bidi="ar"/>
        </w:rPr>
        <w:t xml:space="preserve">日</w:t>
      </w:r>
      <w:r>
        <w:rPr>
          <w:rFonts w:hint="eastAsia" w:ascii="宋体" w:hAnsi="宋体" w:cs="宋体"/>
          <w:color w:val="000000"/>
          <w:szCs w:val="21"/>
          <w:highlight w:val="none"/>
          <w:lang w:bidi="ar"/>
        </w:rPr>
        <w:t xml:space="preserve">，每天上午</w:t>
      </w:r>
      <w:r>
        <w:rPr>
          <w:rFonts w:hint="eastAsia" w:ascii="宋体" w:hAnsi="宋体" w:cs="宋体"/>
          <w:color w:val="000000"/>
          <w:szCs w:val="21"/>
          <w:highlight w:val="none"/>
          <w:u w:val="single"/>
          <w:lang w:bidi="ar"/>
        </w:rPr>
        <w:t xml:space="preserve">9:00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11:00</w:t>
      </w:r>
      <w:r>
        <w:rPr>
          <w:rFonts w:hint="eastAsia" w:ascii="宋体" w:hAnsi="宋体" w:cs="宋体"/>
          <w:color w:val="000000"/>
          <w:szCs w:val="21"/>
          <w:highlight w:val="none"/>
          <w:lang w:bidi="ar"/>
        </w:rPr>
        <w:t xml:space="preserve">，下午</w:t>
      </w:r>
      <w:r>
        <w:rPr>
          <w:rFonts w:hint="eastAsia" w:ascii="宋体" w:hAnsi="宋体" w:cs="宋体"/>
          <w:color w:val="000000"/>
          <w:szCs w:val="21"/>
          <w:highlight w:val="none"/>
          <w:u w:val="single"/>
          <w:lang w:bidi="ar"/>
        </w:rPr>
        <w:t xml:space="preserve">13:30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17:00</w:t>
      </w:r>
      <w:r>
        <w:rPr>
          <w:rFonts w:hint="eastAsia" w:ascii="宋体" w:hAnsi="宋体" w:cs="宋体"/>
          <w:color w:val="000000"/>
          <w:szCs w:val="21"/>
          <w:highlight w:val="none"/>
          <w:lang w:bidi="ar"/>
        </w:rPr>
        <w:t xml:space="preserve">（北京时间，法定节假日除外）。</w:t>
      </w:r>
      <w:r>
        <w:rPr>
          <w:rFonts w:hint="eastAsia" w:ascii="宋体" w:hAnsi="宋体" w:cs="宋体"/>
          <w:color w:val="000000"/>
          <w:szCs w:val="21"/>
          <w:highlight w:val="none"/>
          <w:lang w:bidi="ar"/>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2.地点：</w:t>
      </w:r>
      <w:r>
        <w:rPr>
          <w:rFonts w:hint="eastAsia" w:ascii="宋体" w:hAnsi="宋体" w:cs="宋体"/>
          <w:color w:val="000000"/>
          <w:szCs w:val="21"/>
          <w:highlight w:val="none"/>
          <w:lang w:bidi="ar"/>
        </w:rPr>
        <w:t xml:space="preserve">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rPr>
      </w:r>
      <w:r/>
    </w:p>
    <w:p>
      <w:pPr>
        <w:pStyle w:val="1067"/>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3.方式：供应商持CA数字认证证书登录“苏采云”政府采购一体化平台（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lang w:bidi="ar"/>
        </w:rPr>
      </w:r>
      <w:r/>
    </w:p>
    <w:p>
      <w:pPr>
        <w:pStyle w:val="1067"/>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4.售价：</w:t>
      </w:r>
      <w:r>
        <w:rPr>
          <w:rFonts w:hint="eastAsia" w:ascii="宋体" w:hAnsi="宋体" w:cs="宋体"/>
          <w:color w:val="000000"/>
          <w:szCs w:val="21"/>
          <w:highlight w:val="none"/>
          <w:u w:val="single"/>
          <w:lang w:bidi="ar"/>
        </w:rPr>
        <w:t xml:space="preserve"> 0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p>
      <w:pPr>
        <w:pStyle w:val="1069"/>
        <w:jc w:val="left"/>
        <w:spacing w:before="0" w:line="360" w:lineRule="auto"/>
        <w:widowControl/>
        <w:rPr>
          <w:rFonts w:hint="eastAsia" w:ascii="宋体" w:hAnsi="宋体" w:eastAsia="宋体" w:cs="宋体"/>
          <w:color w:val="000000"/>
          <w:sz w:val="21"/>
          <w:szCs w:val="21"/>
          <w:highlight w:val="none"/>
        </w:rPr>
      </w:pPr>
      <w:r/>
      <w:bookmarkStart w:id="18" w:name="_Toc28359005"/>
      <w:r/>
      <w:bookmarkStart w:id="19" w:name="_Toc28359082"/>
      <w:r/>
      <w:bookmarkStart w:id="20" w:name="_Toc35393624"/>
      <w:r/>
      <w:bookmarkStart w:id="21" w:name="_Toc35393793"/>
      <w:r>
        <w:rPr>
          <w:rFonts w:hint="eastAsia" w:ascii="宋体" w:hAnsi="宋体" w:eastAsia="宋体" w:cs="宋体"/>
          <w:color w:val="000000"/>
          <w:sz w:val="21"/>
          <w:szCs w:val="21"/>
          <w:highlight w:val="none"/>
        </w:rPr>
        <w:t xml:space="preserve">四、提交投标文件</w:t>
      </w:r>
      <w:bookmarkEnd w:id="18"/>
      <w:r/>
      <w:bookmarkEnd w:id="19"/>
      <w:r>
        <w:rPr>
          <w:rFonts w:hint="eastAsia" w:ascii="宋体" w:hAnsi="宋体" w:eastAsia="宋体" w:cs="宋体"/>
          <w:color w:val="000000"/>
          <w:sz w:val="21"/>
          <w:szCs w:val="21"/>
          <w:highlight w:val="none"/>
        </w:rPr>
        <w:t xml:space="preserve">截止时间、开标时间和地点</w:t>
      </w:r>
      <w:bookmarkEnd w:id="20"/>
      <w:r/>
      <w:bookmarkEnd w:id="21"/>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cs="宋体"/>
          <w:bCs/>
          <w:color w:val="000000"/>
          <w:szCs w:val="21"/>
          <w:highlight w:val="none"/>
          <w:u w:val="single"/>
        </w:rPr>
      </w:pPr>
      <w:r/>
      <w:bookmarkStart w:id="22" w:name="_Toc35393625"/>
      <w:r/>
      <w:bookmarkStart w:id="23" w:name="_Toc28359084"/>
      <w:r/>
      <w:bookmarkStart w:id="24" w:name="_Toc35393794"/>
      <w:r/>
      <w:bookmarkStart w:id="25" w:name="_Toc28359007"/>
      <w:r>
        <w:rPr>
          <w:rFonts w:hint="eastAsia" w:ascii="宋体" w:hAnsi="宋体" w:cs="宋体"/>
          <w:color w:val="000000"/>
          <w:szCs w:val="21"/>
          <w:highlight w:val="none"/>
          <w:lang w:bidi="ar"/>
        </w:rPr>
        <w:t xml:space="preserve">投标截止时间、开标时间：</w:t>
      </w:r>
      <w:r>
        <w:rPr>
          <w:rFonts w:hint="eastAsia" w:ascii="宋体" w:hAnsi="宋体" w:cs="宋体"/>
          <w:b/>
          <w:bCs/>
          <w:color w:val="000000"/>
          <w:szCs w:val="21"/>
          <w:highlight w:val="none"/>
          <w:u w:val="single"/>
          <w:lang w:bidi="ar"/>
        </w:rPr>
        <w:t xml:space="preserve">202</w:t>
      </w:r>
      <w:r>
        <w:rPr>
          <w:rFonts w:hint="eastAsia" w:ascii="宋体" w:hAnsi="宋体" w:cs="宋体"/>
          <w:b/>
          <w:bCs/>
          <w:color w:val="000000"/>
          <w:szCs w:val="21"/>
          <w:highlight w:val="none"/>
          <w:u w:val="single"/>
          <w:lang w:val="en-US" w:eastAsia="zh-CN" w:bidi="ar"/>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u w:val="single"/>
          <w:lang w:val="en-US" w:eastAsia="zh-CN" w:bidi="ar"/>
        </w:rPr>
        <w:t xml:space="preserve">06</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u w:val="single"/>
          <w:lang w:val="en-US" w:eastAsia="zh-CN" w:bidi="ar"/>
        </w:rPr>
        <w:t xml:space="preserve">08</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u w:val="single"/>
          <w:lang w:val="en-US" w:eastAsia="zh-CN" w:bidi="ar"/>
        </w:rPr>
        <w:t xml:space="preserve">09</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u w:val="single"/>
          <w:lang w:val="en-US" w:eastAsia="zh-CN" w:bidi="ar"/>
        </w:rPr>
        <w:t xml:space="preserve">30</w:t>
      </w:r>
      <w:r>
        <w:rPr>
          <w:rFonts w:hint="eastAsia" w:ascii="宋体" w:hAnsi="宋体" w:cs="宋体"/>
          <w:b/>
          <w:bCs/>
          <w:color w:val="000000"/>
          <w:szCs w:val="21"/>
          <w:highlight w:val="none"/>
          <w:lang w:bidi="ar"/>
        </w:rPr>
        <w:t xml:space="preserve">分</w:t>
      </w:r>
      <w:r>
        <w:rPr>
          <w:rFonts w:hint="eastAsia" w:ascii="宋体" w:hAnsi="宋体" w:cs="宋体"/>
          <w:bCs/>
          <w:color w:val="000000"/>
          <w:szCs w:val="21"/>
          <w:highlight w:val="none"/>
          <w:lang w:bidi="ar"/>
        </w:rPr>
        <w:t xml:space="preserve">（北京时间）</w:t>
      </w:r>
      <w:r>
        <w:rPr>
          <w:rFonts w:hint="eastAsia" w:ascii="宋体" w:hAnsi="宋体" w:cs="宋体"/>
          <w:iCs/>
          <w:color w:val="000000"/>
          <w:szCs w:val="21"/>
          <w:highlight w:val="none"/>
          <w:lang w:bidi="ar"/>
        </w:rPr>
        <w:t xml:space="preserve">。</w:t>
      </w:r>
      <w:r>
        <w:rPr>
          <w:rFonts w:hint="eastAsia" w:ascii="宋体" w:hAnsi="宋体" w:cs="宋体"/>
          <w:bCs/>
          <w:color w:val="000000"/>
          <w:szCs w:val="21"/>
          <w:highlight w:val="none"/>
          <w:u w:val="single"/>
        </w:rPr>
      </w:r>
      <w:r/>
    </w:p>
    <w:p>
      <w:pPr>
        <w:pStyle w:val="1069"/>
        <w:ind w:firstLine="422"/>
        <w:jc w:val="left"/>
        <w:spacing w:before="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地点：</w:t>
      </w:r>
      <w:r>
        <w:rPr>
          <w:rFonts w:hint="eastAsia" w:ascii="宋体" w:hAnsi="宋体" w:eastAsia="宋体" w:cs="宋体"/>
          <w:color w:val="000000"/>
          <w:sz w:val="21"/>
          <w:szCs w:val="21"/>
          <w:highlight w:val="none"/>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color w:val="000000"/>
          <w:sz w:val="21"/>
          <w:szCs w:val="21"/>
          <w:highlight w:val="none"/>
          <w:u w:val="single"/>
        </w:rPr>
      </w:r>
      <w:r/>
    </w:p>
    <w:p>
      <w:pPr>
        <w:pStyle w:val="1069"/>
        <w:jc w:val="left"/>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069"/>
        <w:jc w:val="left"/>
        <w:spacing w:before="0" w:line="360" w:lineRule="auto"/>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1067"/>
        <w:ind w:firstLine="422"/>
        <w:spacing w:line="360" w:lineRule="auto"/>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1067"/>
        <w:ind w:firstLine="422"/>
        <w:spacing w:line="360" w:lineRule="auto"/>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1067"/>
        <w:ind w:firstLine="420"/>
        <w:jc w:val="left"/>
        <w:spacing w:line="360" w:lineRule="auto"/>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1067"/>
        <w:ind w:firstLine="420"/>
        <w:spacing w:line="360" w:lineRule="auto"/>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1067"/>
        <w:ind w:firstLine="420"/>
        <w:spacing w:line="360" w:lineRule="auto"/>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1067"/>
        <w:ind w:firstLine="420"/>
        <w:spacing w:line="360" w:lineRule="auto"/>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1067"/>
        <w:ind w:firstLine="420"/>
        <w:spacing w:line="360" w:lineRule="auto"/>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1067"/>
        <w:ind w:firstLine="420"/>
        <w:spacing w:line="360" w:lineRule="auto"/>
        <w:rPr>
          <w:rFonts w:hint="eastAsia" w:ascii="宋体" w:hAnsi="宋体" w:cs="宋体"/>
          <w:color w:val="000000"/>
          <w:szCs w:val="21"/>
          <w:highlight w:val="none"/>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color w:val="000000"/>
          <w:szCs w:val="21"/>
          <w:highlight w:val="none"/>
          <w:lang w:eastAsia="zh-TW"/>
        </w:rPr>
      </w:r>
      <w:r/>
    </w:p>
    <w:p>
      <w:pPr>
        <w:pStyle w:val="1067"/>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lang w:bidi="ar"/>
        </w:rPr>
        <w:t xml:space="preserve">4</w:t>
      </w:r>
      <w:r>
        <w:rPr>
          <w:rFonts w:hint="eastAsia" w:ascii="宋体" w:hAnsi="宋体" w:cs="宋体"/>
          <w:b/>
          <w:bCs/>
          <w:color w:val="000000"/>
          <w:szCs w:val="21"/>
          <w:highlight w:val="none"/>
          <w:lang w:val="zh-TW" w:bidi="ar"/>
        </w:rPr>
        <w:t xml:space="preserve">.现场踏勘</w:t>
      </w:r>
      <w:r>
        <w:rPr>
          <w:rFonts w:hint="eastAsia" w:ascii="宋体" w:hAnsi="宋体" w:cs="宋体"/>
          <w:b/>
          <w:bCs/>
          <w:color w:val="000000"/>
          <w:szCs w:val="21"/>
          <w:highlight w:val="none"/>
          <w:lang w:val="zh-TW" w:eastAsia="zh-CN" w:bidi="ar"/>
        </w:rPr>
        <w:t xml:space="preserve">：</w:t>
      </w:r>
      <w:r>
        <w:rPr>
          <w:rFonts w:hint="eastAsia" w:ascii="宋体" w:hAnsi="宋体" w:cs="宋体"/>
          <w:color w:val="000000"/>
          <w:szCs w:val="21"/>
          <w:highlight w:val="none"/>
        </w:rPr>
        <w:t xml:space="preserve">投标人自行踏勘现场。</w:t>
      </w:r>
      <w:r>
        <w:rPr>
          <w:rFonts w:ascii="宋体" w:hAnsi="宋体" w:cs="宋体"/>
          <w:color w:val="000000"/>
          <w:szCs w:val="21"/>
          <w:highlight w:val="none"/>
        </w:rPr>
      </w:r>
      <w:r/>
    </w:p>
    <w:p>
      <w:pPr>
        <w:pStyle w:val="106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5.政府采购相关政策</w:t>
      </w:r>
      <w:r>
        <w:rPr>
          <w:rFonts w:hint="eastAsia" w:ascii="宋体" w:hAnsi="宋体" w:cs="宋体"/>
          <w:b/>
          <w:bCs/>
          <w:color w:val="000000"/>
          <w:szCs w:val="21"/>
          <w:highlight w:val="none"/>
        </w:rPr>
      </w:r>
      <w:r/>
    </w:p>
    <w:p>
      <w:pPr>
        <w:pStyle w:val="1067"/>
        <w:ind w:firstLine="420"/>
        <w:spacing w:line="360" w:lineRule="auto"/>
        <w:rPr>
          <w:rFonts w:hint="eastAsia" w:ascii="宋体" w:hAnsi="宋体" w:eastAsia="宋体" w:cs="宋体"/>
          <w:color w:val="000000"/>
          <w:szCs w:val="21"/>
          <w:highlight w:val="none"/>
        </w:rPr>
      </w:pPr>
      <w:r/>
      <w:bookmarkStart w:id="28" w:name="_Toc35393627"/>
      <w:r/>
      <w:bookmarkStart w:id="29" w:name="_Toc28359085"/>
      <w:r/>
      <w:bookmarkStart w:id="30" w:name="_Toc35393796"/>
      <w:r/>
      <w:bookmarkStart w:id="31" w:name="_Toc28359008"/>
      <w:r>
        <w:rPr>
          <w:rFonts w:hint="eastAsia" w:ascii="宋体" w:hAnsi="宋体" w:eastAsia="宋体" w:cs="宋体"/>
          <w:color w:val="000000"/>
          <w:szCs w:val="21"/>
          <w:highlight w:val="none"/>
        </w:rPr>
        <w:t xml:space="preserve">（1）关于常州市中小企业政府采购信用融资：</w:t>
      </w:r>
      <w:r>
        <w:rPr>
          <w:rFonts w:hint="eastAsia" w:ascii="宋体" w:hAnsi="宋体" w:eastAsia="宋体" w:cs="宋体"/>
          <w:color w:val="000000"/>
          <w:szCs w:val="21"/>
          <w:highlight w:val="none"/>
        </w:rPr>
      </w:r>
      <w:r/>
    </w:p>
    <w:p>
      <w:pPr>
        <w:pStyle w:val="106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highlight w:val="none"/>
        </w:rPr>
      </w:r>
      <w:r/>
    </w:p>
    <w:p>
      <w:pPr>
        <w:pStyle w:val="106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（2）关于深入开展常州市政府采购线上合同信用融资：</w:t>
      </w:r>
      <w:r>
        <w:rPr>
          <w:rFonts w:ascii="宋体" w:hAnsi="宋体" w:eastAsia="宋体" w:cs="宋体"/>
          <w:color w:val="000000"/>
          <w:szCs w:val="21"/>
          <w:highlight w:val="none"/>
        </w:rPr>
      </w:r>
      <w:r/>
    </w:p>
    <w:p>
      <w:pPr>
        <w:pStyle w:val="106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106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1069"/>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1067"/>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1067"/>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常州市天宁区青龙街道办事处</w:t>
      </w:r>
      <w:r>
        <w:rPr>
          <w:rFonts w:hint="eastAsia" w:ascii="宋体" w:hAnsi="宋体" w:eastAsia="宋体" w:cs="宋体"/>
          <w:color w:val="000000"/>
          <w:szCs w:val="21"/>
          <w:highlight w:val="none"/>
          <w:u w:val="single"/>
          <w:lang w:eastAsia="zh-CN"/>
        </w:rPr>
      </w:r>
      <w:r/>
    </w:p>
    <w:p>
      <w:pPr>
        <w:pStyle w:val="1067"/>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常州市天宁区北塘河东路5号</w:t>
      </w:r>
      <w:r>
        <w:rPr>
          <w:rFonts w:hint="eastAsia" w:ascii="宋体" w:hAnsi="宋体" w:eastAsia="宋体" w:cs="宋体"/>
          <w:color w:val="000000"/>
          <w:szCs w:val="21"/>
          <w:highlight w:val="none"/>
          <w:lang w:eastAsia="zh-CN"/>
        </w:rPr>
      </w:r>
      <w:r/>
    </w:p>
    <w:p>
      <w:pPr>
        <w:pStyle w:val="1067"/>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刘先生，0519-8550 0890</w:t>
      </w:r>
      <w:r>
        <w:rPr>
          <w:rFonts w:hint="eastAsia" w:ascii="宋体" w:hAnsi="宋体" w:eastAsia="宋体" w:cs="宋体"/>
          <w:color w:val="000000"/>
          <w:szCs w:val="21"/>
          <w:highlight w:val="none"/>
          <w:u w:val="single"/>
          <w:lang w:eastAsia="zh-CN"/>
        </w:rPr>
      </w:r>
      <w:r/>
    </w:p>
    <w:p>
      <w:pPr>
        <w:pStyle w:val="1067"/>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1067"/>
        <w:ind w:firstLine="420"/>
        <w:jc w:val="left"/>
        <w:spacing w:line="360" w:lineRule="auto"/>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106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106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1067"/>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108"/>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108"/>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1067"/>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67"/>
        <w:ind w:firstLine="42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1067"/>
        <w:ind w:firstLine="5880"/>
        <w:jc w:val="right"/>
        <w:spacing w:line="360" w:lineRule="auto"/>
        <w:rPr>
          <w:color w:val="000000"/>
          <w:sz w:val="24"/>
          <w:highlight w:val="none"/>
        </w:rPr>
      </w:pPr>
      <w:r>
        <w:rPr>
          <w:color w:val="000000"/>
          <w:sz w:val="24"/>
          <w:highlight w:val="none"/>
        </w:rPr>
      </w:r>
      <w:r/>
    </w:p>
    <w:p>
      <w:pPr>
        <w:pStyle w:val="1067"/>
        <w:jc w:val="center"/>
        <w:spacing w:line="360" w:lineRule="auto"/>
        <w:rPr>
          <w:b/>
          <w:color w:val="000000"/>
          <w:sz w:val="32"/>
          <w:szCs w:val="32"/>
          <w:highlight w:val="none"/>
        </w:rPr>
        <w:outlineLvl w:val="0"/>
      </w:pPr>
      <w:r>
        <w:rPr>
          <w:color w:val="000000"/>
          <w:sz w:val="24"/>
          <w:highlight w:val="none"/>
        </w:rPr>
        <w:br w:type="page" w:clear="all"/>
      </w:r>
      <w:bookmarkStart w:id="36" w:name="_Toc353873938"/>
      <w:r/>
      <w:bookmarkStart w:id="37" w:name="_Toc512937850"/>
      <w:r/>
      <w:bookmarkStart w:id="38" w:name="_Toc305158928"/>
      <w:r/>
      <w:bookmarkStart w:id="39" w:name="_Toc353825548"/>
      <w:r/>
      <w:bookmarkStart w:id="40" w:name="_Toc226965856"/>
      <w:r/>
      <w:bookmarkStart w:id="41" w:name="_Toc127151777"/>
      <w:r/>
      <w:bookmarkStart w:id="42" w:name="_Toc195842950"/>
      <w:r/>
      <w:bookmarkStart w:id="43" w:name="_Toc150774783"/>
      <w:r/>
      <w:bookmarkStart w:id="44" w:name="_Toc265228423"/>
      <w:r/>
      <w:bookmarkStart w:id="45" w:name="_Toc305158854"/>
      <w:r/>
      <w:bookmarkStart w:id="46" w:name="_Toc99301420"/>
      <w:r/>
      <w:bookmarkStart w:id="47" w:name="_Toc127161488"/>
      <w:r/>
      <w:bookmarkStart w:id="48" w:name="_Toc264969275"/>
      <w:r>
        <w:rPr>
          <w:b/>
          <w:color w:val="000000"/>
          <w:sz w:val="32"/>
          <w:szCs w:val="32"/>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highlight w:val="none"/>
        </w:rPr>
      </w:r>
      <w:r/>
    </w:p>
    <w:p>
      <w:pPr>
        <w:pStyle w:val="1069"/>
        <w:spacing w:before="0" w:line="360" w:lineRule="auto"/>
        <w:tabs>
          <w:tab w:val="center" w:pos="4592" w:leader="none"/>
          <w:tab w:val="left" w:pos="7860" w:leader="none"/>
        </w:tabs>
        <w:rPr>
          <w:rFonts w:hint="eastAsia" w:ascii="宋体" w:hAnsi="宋体" w:eastAsia="宋体" w:cs="宋体"/>
          <w:color w:val="000000"/>
          <w:sz w:val="21"/>
          <w:szCs w:val="21"/>
          <w:highlight w:val="none"/>
        </w:rPr>
      </w:pPr>
      <w:r/>
      <w:bookmarkStart w:id="49" w:name="_Toc520356144"/>
      <w:r/>
      <w:bookmarkStart w:id="50" w:name="_Toc164608788"/>
      <w:r/>
      <w:bookmarkStart w:id="51" w:name="_Toc226337215"/>
      <w:r/>
      <w:bookmarkStart w:id="52" w:name="_Toc142311021"/>
      <w:r/>
      <w:bookmarkStart w:id="53" w:name="_Toc127151519"/>
      <w:r/>
      <w:bookmarkStart w:id="54" w:name="_Toc226309763"/>
      <w:r/>
      <w:bookmarkStart w:id="55" w:name="_Toc164229360"/>
      <w:r/>
      <w:bookmarkStart w:id="56" w:name="_Toc151193907"/>
      <w:r/>
      <w:bookmarkStart w:id="57" w:name="_Toc150509270"/>
      <w:r/>
      <w:bookmarkStart w:id="58" w:name="_Toc195842884"/>
      <w:r/>
      <w:bookmarkStart w:id="59" w:name="_Toc226965792"/>
      <w:r/>
      <w:bookmarkStart w:id="60" w:name="_Toc151193689"/>
      <w:r/>
      <w:bookmarkStart w:id="61" w:name="_Toc164351613"/>
      <w:r/>
      <w:bookmarkStart w:id="62" w:name="_Toc151193761"/>
      <w:r/>
      <w:bookmarkStart w:id="63" w:name="_Toc164229214"/>
      <w:r/>
      <w:bookmarkStart w:id="64" w:name="_Toc164608633"/>
      <w:r/>
      <w:bookmarkStart w:id="65" w:name="_Toc149720812"/>
      <w:r/>
      <w:bookmarkStart w:id="66" w:name="_Toc150480757"/>
      <w:r/>
      <w:bookmarkStart w:id="67" w:name="_Toc151193833"/>
      <w:r/>
      <w:bookmarkStart w:id="68" w:name="_Toc150774619"/>
      <w:r/>
      <w:bookmarkStart w:id="69" w:name="_Toc226965709"/>
      <w:r/>
      <w:bookmarkStart w:id="70" w:name="_Toc151190146"/>
      <w:r/>
      <w:bookmarkStart w:id="71" w:name="_Toc127161433"/>
      <w:r/>
      <w:bookmarkStart w:id="72" w:name="_Toc151193617"/>
      <w:r/>
      <w:bookmarkStart w:id="73" w:name="_Toc127151720"/>
      <w:r/>
      <w:bookmarkStart w:id="74" w:name="_Toc150774724"/>
      <w:r>
        <w:rPr>
          <w:rFonts w:ascii="Times New Roman" w:hAnsi="Times New Roman" w:eastAsia="宋体"/>
          <w:color w:val="000000"/>
          <w:sz w:val="28"/>
          <w:highlight w:val="none"/>
        </w:rPr>
        <w:t xml:space="preserve">投标人须知资料表</w:t>
      </w:r>
      <w:r>
        <w:rPr>
          <w:rFonts w:hint="eastAsia" w:ascii="宋体" w:hAnsi="宋体" w:eastAsia="宋体" w:cs="宋体"/>
          <w:color w:val="000000"/>
          <w:sz w:val="21"/>
          <w:szCs w:val="21"/>
          <w:highlight w:val="none"/>
        </w:rPr>
      </w:r>
      <w:r/>
    </w:p>
    <w:p>
      <w:pPr>
        <w:pStyle w:val="106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本表是对投标人须知的具体补充和修改，如有矛盾，均以本资料表为准。</w:t>
      </w:r>
      <w:r>
        <w:rPr>
          <w:rFonts w:hint="eastAsia" w:ascii="宋体" w:hAnsi="宋体" w:cs="宋体"/>
          <w:color w:val="000000"/>
          <w:szCs w:val="21"/>
          <w:highlight w:val="none"/>
        </w:rPr>
      </w:r>
      <w:r/>
    </w:p>
    <w:p>
      <w:pPr>
        <w:pStyle w:val="106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标记“■”的选项意为适用于本项目，标记“□”的选项意为不适用于本项目。</w:t>
      </w:r>
      <w:r>
        <w:rPr>
          <w:rFonts w:hint="eastAsia" w:ascii="宋体" w:hAnsi="宋体" w:cs="宋体"/>
          <w:color w:val="000000"/>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7"/>
              <w:jc w:val="center"/>
              <w:rPr>
                <w:rFonts w:hint="eastAsia" w:ascii="宋体" w:hAnsi="宋体" w:cs="宋体"/>
                <w:b/>
                <w:bCs/>
                <w:color w:val="000000"/>
                <w:szCs w:val="21"/>
                <w:highlight w:val="none"/>
              </w:rPr>
            </w:pPr>
            <w:r>
              <w:rPr>
                <w:rFonts w:hint="eastAsia" w:ascii="宋体" w:hAnsi="宋体" w:cs="宋体"/>
                <w:b/>
                <w:color w:val="000000"/>
                <w:szCs w:val="21"/>
                <w:highlight w:val="none"/>
              </w:rPr>
              <w:t xml:space="preserve">条款号</w:t>
            </w:r>
            <w:r>
              <w:rPr>
                <w:rFonts w:hint="eastAsia" w:ascii="宋体" w:hAnsi="宋体" w:cs="宋体"/>
                <w:b/>
                <w:bCs/>
                <w:color w:val="000000"/>
                <w:szCs w:val="21"/>
                <w:highlight w:val="none"/>
              </w:rPr>
            </w:r>
            <w:r/>
          </w:p>
        </w:tc>
        <w:tc>
          <w:tcPr>
            <w:tcW w:w="1701" w:type="dxa"/>
            <w:vAlign w:val="center"/>
            <w:textDirection w:val="lrTb"/>
            <w:noWrap w:val="false"/>
          </w:tcPr>
          <w:p>
            <w:pPr>
              <w:pStyle w:val="106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条目</w:t>
            </w:r>
            <w:r>
              <w:rPr>
                <w:rFonts w:hint="eastAsia" w:ascii="宋体" w:hAnsi="宋体" w:cs="宋体"/>
                <w:b/>
                <w:bCs/>
                <w:color w:val="000000"/>
                <w:szCs w:val="21"/>
                <w:highlight w:val="none"/>
              </w:rPr>
            </w:r>
            <w:r/>
          </w:p>
        </w:tc>
        <w:tc>
          <w:tcPr>
            <w:tcW w:w="7540" w:type="dxa"/>
            <w:vAlign w:val="center"/>
            <w:textDirection w:val="lrTb"/>
            <w:noWrap w:val="false"/>
          </w:tcPr>
          <w:p>
            <w:pPr>
              <w:pStyle w:val="106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内容</w:t>
            </w:r>
            <w:r>
              <w:rPr>
                <w:rFonts w:hint="eastAsia" w:ascii="宋体" w:hAnsi="宋体" w:cs="宋体"/>
                <w:b/>
                <w:bCs/>
                <w:color w:val="000000"/>
                <w:szCs w:val="21"/>
                <w:highlight w:val="none"/>
              </w:rPr>
            </w:r>
            <w:r/>
          </w:p>
        </w:tc>
      </w:tr>
      <w:tr>
        <w:trPr>
          <w:trHeight w:val="1003"/>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2.2</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u w:val="single"/>
              </w:rPr>
            </w:r>
            <w:r/>
          </w:p>
        </w:tc>
      </w:tr>
      <w:tr>
        <w:trPr>
          <w:trHeight w:val="999"/>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2.3</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科研仪器设备</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是否属于科研仪器设备采购项目：</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1119"/>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2.4</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7540" w:type="dxa"/>
            <w:vAlign w:val="center"/>
            <w:textDirection w:val="lrTb"/>
            <w:noWrap w:val="false"/>
          </w:tcPr>
          <w:p>
            <w:pPr>
              <w:pStyle w:val="1108"/>
              <w:rPr>
                <w:rFonts w:hAnsi="宋体" w:cs="宋体"/>
                <w:color w:val="000000"/>
                <w:szCs w:val="21"/>
                <w:highlight w:val="none"/>
              </w:rPr>
            </w:pPr>
            <w:r>
              <w:rPr>
                <w:rFonts w:hAnsi="宋体" w:cs="宋体"/>
                <w:color w:val="000000"/>
                <w:szCs w:val="21"/>
                <w:highlight w:val="none"/>
              </w:rPr>
              <w:t xml:space="preserve">■关于核心产品本项目</w:t>
            </w:r>
            <w:r>
              <w:rPr>
                <w:rFonts w:hAnsi="宋体" w:cs="宋体"/>
                <w:color w:val="000000"/>
                <w:szCs w:val="21"/>
                <w:highlight w:val="none"/>
                <w:u w:val="single"/>
              </w:rPr>
              <w:t xml:space="preserve">01</w:t>
            </w:r>
            <w:r>
              <w:rPr>
                <w:rFonts w:hAnsi="宋体" w:cs="宋体"/>
                <w:color w:val="000000"/>
                <w:szCs w:val="21"/>
                <w:highlight w:val="none"/>
              </w:rPr>
              <w:t xml:space="preserve">包不适用。</w:t>
            </w:r>
            <w:r>
              <w:rPr>
                <w:rFonts w:hAnsi="宋体" w:cs="宋体"/>
                <w:color w:val="000000"/>
                <w:szCs w:val="21"/>
                <w:highlight w:val="none"/>
              </w:rPr>
            </w:r>
            <w:r/>
          </w:p>
          <w:p>
            <w:pPr>
              <w:pStyle w:val="1108"/>
              <w:rPr>
                <w:rFonts w:hAnsi="宋体" w:cs="宋体"/>
                <w:color w:val="000000"/>
                <w:szCs w:val="21"/>
                <w:highlight w:val="none"/>
              </w:rPr>
            </w:pPr>
            <w:r>
              <w:rPr>
                <w:rFonts w:hAnsi="宋体" w:cs="宋体"/>
                <w:color w:val="000000"/>
                <w:szCs w:val="21"/>
                <w:highlight w:val="none"/>
              </w:rPr>
              <w:t xml:space="preserve">□本项目__包为单一产品采购项目。</w:t>
            </w:r>
            <w:r>
              <w:rPr>
                <w:rFonts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□本项目__包为非单一产品采购项目，核心产品为：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071"/>
        </w:trPr>
        <w:tc>
          <w:tcPr>
            <w:tcW w:w="988" w:type="dxa"/>
            <w:vAlign w:val="center"/>
            <w:vMerge w:val="restart"/>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3.1</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现场考察</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■不组织</w:t>
            </w:r>
            <w:r>
              <w:rPr>
                <w:rFonts w:hint="eastAsia" w:ascii="宋体" w:hAnsi="宋体" w:cs="宋体"/>
                <w:color w:val="000000"/>
                <w:szCs w:val="21"/>
                <w:highlight w:val="none"/>
              </w:rPr>
            </w:r>
            <w:r/>
          </w:p>
          <w:p>
            <w:pPr>
              <w:pStyle w:val="1067"/>
              <w:jc w:val="left"/>
              <w:rPr>
                <w:rFonts w:hint="eastAsia" w:ascii="宋体" w:hAnsi="宋体" w:cs="宋体"/>
                <w:bCs/>
                <w:color w:val="000000"/>
                <w:szCs w:val="21"/>
                <w:highlight w:val="none"/>
              </w:rPr>
            </w:pPr>
            <w:r>
              <w:rPr>
                <w:rFonts w:hint="eastAsia" w:ascii="宋体" w:hAnsi="宋体" w:cs="宋体"/>
                <w:color w:val="000000"/>
                <w:szCs w:val="21"/>
                <w:highlight w:val="none"/>
              </w:rPr>
              <w:t xml:space="preserve">□组织，考察时间：__年_月_日_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108"/>
              <w:rPr>
                <w:rFonts w:hAnsi="宋体" w:cs="宋体"/>
                <w:color w:val="000000"/>
                <w:szCs w:val="21"/>
                <w:highlight w:val="none"/>
              </w:rPr>
            </w:pPr>
            <w:r>
              <w:rPr>
                <w:rFonts w:hAnsi="宋体" w:cs="宋体"/>
                <w:color w:val="000000"/>
                <w:szCs w:val="21"/>
                <w:highlight w:val="none"/>
              </w:rPr>
              <w:t xml:space="preserve">考察地点：____________。</w:t>
            </w:r>
            <w:r>
              <w:rPr>
                <w:rFonts w:hAnsi="宋体" w:cs="宋体"/>
                <w:color w:val="000000"/>
                <w:szCs w:val="21"/>
                <w:highlight w:val="none"/>
              </w:rPr>
            </w:r>
            <w:r/>
          </w:p>
        </w:tc>
      </w:tr>
      <w:tr>
        <w:trPr>
          <w:trHeight w:val="1011"/>
        </w:trPr>
        <w:tc>
          <w:tcPr>
            <w:tcW w:w="988" w:type="dxa"/>
            <w:vAlign w:val="center"/>
            <w:vMerge w:val="continue"/>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开标前答疑会</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□召开，召开时间：__年_月_日_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召开地点：____________。</w:t>
            </w:r>
            <w:r>
              <w:rPr>
                <w:rFonts w:hint="eastAsia" w:ascii="宋体" w:hAnsi="宋体" w:cs="宋体"/>
                <w:color w:val="000000"/>
                <w:szCs w:val="21"/>
                <w:highlight w:val="none"/>
              </w:rPr>
            </w:r>
            <w:r/>
          </w:p>
        </w:tc>
      </w:tr>
      <w:tr>
        <w:trPr>
          <w:trHeight w:val="3153"/>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4.1</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样品</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投标样品递交：</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□需要，具体要求如下：</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（1）样品制作的标准和要求：_________；</w:t>
            </w:r>
            <w:r>
              <w:rPr>
                <w:rFonts w:hint="eastAsia" w:ascii="宋体" w:hAnsi="宋体" w:cs="宋体"/>
                <w:color w:val="000000"/>
                <w:szCs w:val="21"/>
                <w:highlight w:val="none"/>
                <w:u w:val="singl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（2）是否需要随样品提交相关检测报告：</w:t>
            </w:r>
            <w:r>
              <w:rPr>
                <w:rFonts w:hint="eastAsia" w:ascii="宋体" w:hAnsi="宋体" w:cs="宋体"/>
                <w:color w:val="000000"/>
                <w:szCs w:val="21"/>
                <w:highlight w:val="none"/>
              </w:rPr>
            </w:r>
            <w:r/>
          </w:p>
          <w:p>
            <w:pPr>
              <w:pStyle w:val="1067"/>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67"/>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（3）样品递交要求：_________；</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（4）未中标人样品退还：_________；</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（5）中标人样品保管、封存及退还：_________；</w:t>
            </w:r>
            <w:r>
              <w:rPr>
                <w:rFonts w:hint="eastAsia" w:ascii="宋体" w:hAnsi="宋体" w:cs="宋体"/>
                <w:color w:val="000000"/>
                <w:szCs w:val="21"/>
                <w:highlight w:val="none"/>
                <w:u w:val="singl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（6）其他要求（如有）：_________。</w:t>
            </w:r>
            <w:r>
              <w:rPr>
                <w:rFonts w:hint="eastAsia" w:ascii="宋体" w:hAnsi="宋体" w:cs="宋体"/>
                <w:color w:val="000000"/>
                <w:szCs w:val="21"/>
                <w:highlight w:val="none"/>
              </w:rPr>
            </w:r>
            <w:r/>
          </w:p>
        </w:tc>
      </w:tr>
      <w:tr>
        <w:trPr>
          <w:trHeight w:val="839"/>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5.2.5</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标的所属行业</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rPr>
              <w:t xml:space="preserve">本项目采购标的对应的中小企业划分标准所属行业：</w:t>
            </w:r>
            <w:r>
              <w:rPr>
                <w:rFonts w:hint="eastAsia" w:ascii="宋体" w:hAnsi="宋体" w:eastAsia="宋体" w:cs="宋体"/>
                <w:b/>
                <w:bCs/>
                <w:color w:val="000000"/>
                <w:sz w:val="21"/>
                <w:szCs w:val="21"/>
                <w:highlight w:val="none"/>
                <w:u w:val="single"/>
              </w:rPr>
              <w:t xml:space="preserve">其他未列明行业</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lang w:eastAsia="zh-CN"/>
              </w:rPr>
            </w:r>
            <w:r/>
          </w:p>
        </w:tc>
      </w:tr>
    </w:tbl>
    <w:p>
      <w:pPr>
        <w:pStyle w:val="1067"/>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11.2</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投标报价的特殊规定：</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□有，具体情形：_____。</w:t>
            </w:r>
            <w:r>
              <w:rPr>
                <w:rFonts w:hint="eastAsia" w:ascii="宋体" w:hAnsi="宋体" w:cs="宋体"/>
                <w:color w:val="000000"/>
                <w:szCs w:val="21"/>
                <w:highlight w:val="none"/>
              </w:rPr>
            </w:r>
            <w:r/>
          </w:p>
        </w:tc>
      </w:tr>
      <w:tr>
        <w:trPr>
          <w:trHeight w:val="490"/>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12</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免收</w:t>
            </w:r>
            <w:r>
              <w:rPr>
                <w:rFonts w:hint="eastAsia" w:ascii="宋体" w:hAnsi="宋体" w:cs="宋体"/>
                <w:color w:val="000000"/>
                <w:szCs w:val="21"/>
                <w:highlight w:val="none"/>
              </w:rPr>
            </w:r>
            <w:r/>
          </w:p>
        </w:tc>
      </w:tr>
      <w:tr>
        <w:trPr>
          <w:trHeight w:val="538"/>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13.1</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自提交投标文件的截止之日起算</w:t>
            </w:r>
            <w:r>
              <w:rPr>
                <w:rFonts w:hint="eastAsia" w:ascii="宋体" w:hAnsi="宋体" w:cs="宋体"/>
                <w:color w:val="000000"/>
                <w:szCs w:val="21"/>
                <w:highlight w:val="none"/>
                <w:u w:val="single"/>
              </w:rPr>
              <w:t xml:space="preserve">60</w:t>
            </w:r>
            <w:r>
              <w:rPr>
                <w:rFonts w:hint="eastAsia" w:ascii="宋体" w:hAnsi="宋体" w:cs="宋体"/>
                <w:color w:val="000000"/>
                <w:szCs w:val="21"/>
                <w:highlight w:val="none"/>
              </w:rPr>
              <w:t xml:space="preserve">日历天。</w:t>
            </w:r>
            <w:r>
              <w:rPr>
                <w:rFonts w:hint="eastAsia" w:ascii="宋体" w:hAnsi="宋体" w:cs="宋体"/>
                <w:color w:val="000000"/>
                <w:szCs w:val="21"/>
                <w:highlight w:val="none"/>
              </w:rPr>
            </w:r>
            <w:r/>
          </w:p>
        </w:tc>
      </w:tr>
      <w:tr>
        <w:trPr>
          <w:trHeight w:val="1760"/>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25.5</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（1）可以分包履行的具体内容：_____；</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（2）允许分包的金额或者比例：_____；</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（3）其他要求：_____。</w:t>
            </w:r>
            <w:r>
              <w:rPr>
                <w:rFonts w:hint="eastAsia" w:ascii="宋体" w:hAnsi="宋体" w:cs="宋体"/>
                <w:color w:val="000000"/>
                <w:szCs w:val="21"/>
                <w:highlight w:val="none"/>
                <w:u w:val="single"/>
              </w:rPr>
            </w:r>
            <w:r/>
          </w:p>
        </w:tc>
      </w:tr>
      <w:tr>
        <w:trPr>
          <w:trHeight w:val="574"/>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26.1.1</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询问</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05</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29</w:t>
            </w:r>
            <w:r>
              <w:rPr>
                <w:rFonts w:hint="eastAsia" w:ascii="宋体" w:hAnsi="宋体" w:cs="宋体"/>
                <w:b/>
                <w:bCs/>
                <w:color w:val="000000"/>
                <w:szCs w:val="21"/>
                <w:highlight w:val="none"/>
              </w:rPr>
              <w:t xml:space="preserve">日中午12点前以邮件形式发送至邮箱czyjxmgl@163.com。（格式详见</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文件中“关于</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color w:val="000000"/>
                <w:szCs w:val="21"/>
                <w:highlight w:val="none"/>
                <w:lang w:val="en-US" w:eastAsia="zh-CN"/>
              </w:rPr>
              <w:t xml:space="preserve">招标文件所有内容</w:t>
            </w:r>
            <w:r>
              <w:rPr>
                <w:rFonts w:hint="eastAsia" w:ascii="宋体" w:hAnsi="宋体" w:cs="宋体"/>
                <w:b/>
                <w:bCs/>
                <w:color w:val="000000"/>
                <w:szCs w:val="21"/>
                <w:highlight w:val="none"/>
              </w:rPr>
              <w:t xml:space="preserve">，逾期将不接受其对于</w:t>
            </w:r>
            <w:r>
              <w:rPr>
                <w:rFonts w:hint="eastAsia" w:ascii="宋体" w:hAnsi="宋体" w:cs="宋体"/>
                <w:b/>
                <w:bCs/>
                <w:color w:val="000000"/>
                <w:szCs w:val="21"/>
                <w:highlight w:val="none"/>
                <w:lang w:val="en-US" w:eastAsia="zh-CN"/>
              </w:rPr>
              <w:t xml:space="preserve">招标文件</w:t>
            </w:r>
            <w:r>
              <w:rPr>
                <w:rFonts w:hint="eastAsia" w:ascii="宋体" w:hAnsi="宋体" w:cs="宋体"/>
                <w:b/>
                <w:bCs/>
                <w:color w:val="000000"/>
                <w:szCs w:val="21"/>
                <w:highlight w:val="none"/>
              </w:rPr>
              <w:t xml:space="preserve">的相关异议。如有变更，更正公告将会在江苏省政府采购网、常州市政府采购网公布。</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26.3</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接收询问和质疑的联系方式</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
                <w:bCs/>
                <w:color w:val="000000"/>
                <w:szCs w:val="21"/>
                <w:highlight w:val="none"/>
                <w:u w:val="single"/>
              </w:rPr>
              <w:t xml:space="preserve">常州市阳峻项目管理有限公司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b/>
                <w:bCs/>
                <w:color w:val="000000"/>
                <w:szCs w:val="21"/>
                <w:highlight w:val="none"/>
                <w:u w:val="single"/>
              </w:rPr>
              <w:t xml:space="preserve">0519-8366 1615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27</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1067"/>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cs="宋体"/>
                <w:b/>
                <w:bCs/>
                <w:color w:val="000000"/>
                <w:szCs w:val="21"/>
                <w:highlight w:val="none"/>
                <w:u w:val="single"/>
              </w:rPr>
              <w:t xml:space="preserve">按</w:t>
            </w:r>
            <w:r>
              <w:rPr>
                <w:rFonts w:hint="eastAsia" w:ascii="宋体" w:hAnsi="宋体" w:cs="宋体"/>
                <w:b/>
                <w:bCs/>
                <w:color w:val="000000"/>
                <w:szCs w:val="21"/>
                <w:highlight w:val="none"/>
                <w:u w:val="single"/>
                <w:lang w:val="en-US" w:eastAsia="zh-CN"/>
              </w:rPr>
              <w:t xml:space="preserve">中标</w:t>
            </w:r>
            <w:r>
              <w:rPr>
                <w:rFonts w:hint="eastAsia" w:ascii="宋体" w:hAnsi="宋体" w:cs="宋体"/>
                <w:b/>
                <w:bCs/>
                <w:color w:val="000000"/>
                <w:szCs w:val="21"/>
                <w:highlight w:val="none"/>
                <w:u w:val="single"/>
              </w:rPr>
              <w:t xml:space="preserve">金额为基数，收费比例按差额定率累进法计算，</w:t>
            </w:r>
            <w:r>
              <w:rPr>
                <w:rFonts w:hint="eastAsia" w:ascii="宋体" w:hAnsi="宋体" w:cs="宋体"/>
                <w:b/>
                <w:bCs/>
                <w:color w:val="000000"/>
                <w:szCs w:val="21"/>
                <w:highlight w:val="none"/>
                <w:u w:val="single"/>
                <w:lang w:val="en-US" w:eastAsia="zh-CN"/>
              </w:rPr>
              <w:t xml:space="preserve">中标</w:t>
            </w:r>
            <w:r>
              <w:rPr>
                <w:rFonts w:hint="eastAsia" w:ascii="宋体" w:hAnsi="宋体" w:cs="宋体"/>
                <w:b/>
                <w:bCs/>
                <w:color w:val="000000"/>
                <w:szCs w:val="21"/>
                <w:highlight w:val="none"/>
                <w:u w:val="single"/>
              </w:rPr>
              <w:t xml:space="preserve">金额在100万元(含)以下的为1.5%，</w:t>
            </w:r>
            <w:r>
              <w:rPr>
                <w:rFonts w:hint="eastAsia" w:ascii="宋体" w:hAnsi="宋体" w:cs="宋体"/>
                <w:b/>
                <w:bCs/>
                <w:color w:val="000000"/>
                <w:szCs w:val="21"/>
                <w:highlight w:val="none"/>
                <w:u w:val="single"/>
                <w:lang w:val="en-US" w:eastAsia="zh-CN"/>
              </w:rPr>
              <w:t xml:space="preserve">中标</w:t>
            </w:r>
            <w:r>
              <w:rPr>
                <w:rFonts w:hint="eastAsia" w:ascii="宋体" w:hAnsi="宋体" w:cs="宋体"/>
                <w:b/>
                <w:bCs/>
                <w:color w:val="000000"/>
                <w:szCs w:val="21"/>
                <w:highlight w:val="none"/>
                <w:u w:val="single"/>
              </w:rPr>
              <w:t xml:space="preserve">金额在100万元（不含）至500万元（含）的为 0.8%，代理费按上述方法计算后支付，代理费按上述计算方法不足人民币3000元的，按人民币3000元收取</w:t>
            </w:r>
            <w:r>
              <w:rPr>
                <w:rFonts w:hint="eastAsia" w:ascii="宋体" w:hAnsi="宋体" w:cs="宋体"/>
                <w:b/>
                <w:bCs/>
                <w:color w:val="000000"/>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1067"/>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1067"/>
              <w:jc w:val="left"/>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color w:val="000000"/>
                <w:szCs w:val="21"/>
                <w:highlight w:val="none"/>
              </w:rPr>
            </w:r>
            <w:r/>
          </w:p>
        </w:tc>
      </w:tr>
      <w:tr>
        <w:trPr>
          <w:trHeight w:val="832"/>
        </w:trPr>
        <w:tc>
          <w:tcPr>
            <w:tcW w:w="988" w:type="dxa"/>
            <w:vAlign w:val="center"/>
            <w:textDirection w:val="lrTb"/>
            <w:noWrap w:val="false"/>
          </w:tcPr>
          <w:p>
            <w:pPr>
              <w:pStyle w:val="1108"/>
              <w:jc w:val="center"/>
              <w:rPr>
                <w:rFonts w:hAnsi="宋体" w:cs="宋体"/>
                <w:color w:val="000000"/>
                <w:szCs w:val="21"/>
                <w:highlight w:val="none"/>
              </w:rPr>
            </w:pPr>
            <w:r>
              <w:rPr>
                <w:rFonts w:hAnsi="宋体" w:cs="宋体"/>
                <w:color w:val="000000"/>
                <w:szCs w:val="21"/>
                <w:highlight w:val="none"/>
              </w:rPr>
              <w:t xml:space="preserve">28</w:t>
            </w:r>
            <w:r>
              <w:rPr>
                <w:rFonts w:hAnsi="宋体" w:cs="宋体"/>
                <w:color w:val="000000"/>
                <w:szCs w:val="21"/>
                <w:highlight w:val="none"/>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纸质投标文件</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b/>
                <w:bCs/>
                <w:color w:val="000000"/>
                <w:szCs w:val="21"/>
                <w:highlight w:val="none"/>
              </w:rPr>
              <w:t xml:space="preserve">中标人在</w:t>
            </w:r>
            <w:r>
              <w:rPr>
                <w:rFonts w:hint="eastAsia" w:ascii="宋体" w:hAnsi="宋体" w:cs="宋体"/>
                <w:b/>
                <w:bCs/>
                <w:color w:val="000000"/>
                <w:szCs w:val="21"/>
                <w:highlight w:val="none"/>
              </w:rPr>
              <w:t xml:space="preserve">签订合同前向代理机构提供</w:t>
            </w:r>
            <w:r>
              <w:rPr>
                <w:rFonts w:hint="eastAsia" w:ascii="宋体" w:hAnsi="宋体" w:cs="宋体"/>
                <w:b/>
                <w:bCs/>
                <w:color w:val="000000"/>
                <w:szCs w:val="21"/>
                <w:highlight w:val="none"/>
                <w:lang w:val="en-US" w:eastAsia="zh-CN"/>
              </w:rPr>
              <w:t xml:space="preserve">与</w:t>
            </w:r>
            <w:r>
              <w:rPr>
                <w:rFonts w:hint="eastAsia" w:ascii="宋体" w:hAnsi="宋体" w:cs="宋体"/>
                <w:b/>
                <w:bCs/>
                <w:color w:val="000000"/>
                <w:szCs w:val="21"/>
                <w:highlight w:val="none"/>
              </w:rPr>
              <w:t xml:space="preserve">电子</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文件内容一致的纸质</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rPr>
              <w:t xml:space="preserve">正本1套、副本2套，在每一份纸质投标文件上要明确注明“正本” 或“副本”字样。</w:t>
            </w:r>
            <w:r>
              <w:rPr>
                <w:rFonts w:hint="eastAsia" w:ascii="宋体" w:hAnsi="宋体" w:cs="宋体"/>
                <w:color w:val="000000"/>
                <w:szCs w:val="21"/>
                <w:highlight w:val="none"/>
              </w:rPr>
            </w:r>
            <w:r/>
          </w:p>
        </w:tc>
      </w:tr>
    </w:tbl>
    <w:p>
      <w:pPr>
        <w:pStyle w:val="1067"/>
        <w:jc w:val="both"/>
        <w:spacing w:line="360" w:lineRule="auto"/>
        <w:tabs>
          <w:tab w:val="left" w:pos="5580" w:leader="none"/>
        </w:tabs>
        <w:rPr>
          <w:color w:val="000000"/>
          <w:sz w:val="24"/>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r>
      <w:r/>
    </w:p>
    <w:p>
      <w:pPr>
        <w:pStyle w:val="1069"/>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5" w:name="_Toc305158785"/>
      <w:r/>
      <w:bookmarkStart w:id="76" w:name="_Toc353873932"/>
      <w:r/>
      <w:bookmarkStart w:id="77" w:name="_Toc353873662"/>
      <w:r/>
      <w:bookmarkStart w:id="78" w:name="_Toc265228355"/>
      <w:r/>
      <w:bookmarkStart w:id="79" w:name="_Toc150774722"/>
      <w:r/>
      <w:bookmarkStart w:id="80" w:name="_Toc226965790"/>
      <w:r/>
      <w:bookmarkStart w:id="81" w:name="_Toc142311019"/>
      <w:r/>
      <w:bookmarkStart w:id="82" w:name="_Toc150480755"/>
      <w:r/>
      <w:bookmarkStart w:id="83" w:name="_Toc127151517"/>
      <w:r/>
      <w:bookmarkStart w:id="84" w:name="_Toc195842882"/>
      <w:r/>
      <w:bookmarkStart w:id="85" w:name="_Toc305158859"/>
      <w:r/>
      <w:bookmarkStart w:id="86" w:name="_Toc264969207"/>
      <w:r/>
      <w:bookmarkStart w:id="87" w:name="_Toc353825542"/>
      <w:r/>
      <w:bookmarkStart w:id="88" w:name="_Toc226337213"/>
      <w:r>
        <w:rPr>
          <w:rFonts w:ascii="Times New Roman" w:hAnsi="Times New Roman" w:eastAsia="宋体"/>
          <w:color w:val="000000"/>
          <w:sz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color w:val="000000"/>
          <w:sz w:val="28"/>
          <w:highlight w:val="none"/>
        </w:rPr>
      </w:r>
      <w:r/>
    </w:p>
    <w:p>
      <w:pPr>
        <w:pStyle w:val="1069"/>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9" w:name="_Toc127151518"/>
      <w:r/>
      <w:bookmarkStart w:id="90" w:name="_Toc520356143"/>
      <w:r>
        <w:rPr>
          <w:rFonts w:ascii="Times New Roman" w:hAnsi="Times New Roman" w:eastAsia="宋体"/>
          <w:color w:val="000000"/>
          <w:sz w:val="28"/>
          <w:highlight w:val="none"/>
        </w:rPr>
        <w:tab/>
      </w:r>
      <w:bookmarkStart w:id="91" w:name="_Toc264969208"/>
      <w:r/>
      <w:bookmarkStart w:id="92" w:name="_Toc150774723"/>
      <w:r/>
      <w:bookmarkStart w:id="93" w:name="_Toc150509269"/>
      <w:r/>
      <w:bookmarkStart w:id="94" w:name="_Toc305158860"/>
      <w:r/>
      <w:bookmarkStart w:id="95" w:name="_Toc265228356"/>
      <w:r/>
      <w:bookmarkStart w:id="96" w:name="_Toc226965708"/>
      <w:r/>
      <w:bookmarkStart w:id="97" w:name="_Toc151193906"/>
      <w:r/>
      <w:bookmarkStart w:id="98" w:name="_Toc142311020"/>
      <w:r/>
      <w:bookmarkStart w:id="99" w:name="_Toc151193688"/>
      <w:r/>
      <w:bookmarkStart w:id="100" w:name="_Toc150480756"/>
      <w:r/>
      <w:bookmarkStart w:id="101" w:name="_Toc151193832"/>
      <w:r/>
      <w:bookmarkStart w:id="102" w:name="_Toc150774618"/>
      <w:r/>
      <w:bookmarkStart w:id="103" w:name="_Toc226965791"/>
      <w:r/>
      <w:bookmarkStart w:id="104" w:name="_Toc195842883"/>
      <w:r/>
      <w:bookmarkStart w:id="105" w:name="_Toc151193760"/>
      <w:r/>
      <w:bookmarkStart w:id="106" w:name="_Toc151190145"/>
      <w:r/>
      <w:bookmarkStart w:id="107" w:name="_Toc226337214"/>
      <w:r/>
      <w:bookmarkStart w:id="108" w:name="_Toc151193616"/>
      <w:r/>
      <w:bookmarkStart w:id="109" w:name="_Toc305158786"/>
      <w:r/>
      <w:bookmarkStart w:id="110" w:name="_Toc226309762"/>
      <w:r>
        <w:rPr>
          <w:rFonts w:ascii="Times New Roman" w:hAnsi="Times New Roman"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b/>
          <w:bCs/>
          <w:color w:val="000000"/>
          <w:szCs w:val="21"/>
          <w:highlight w:val="none"/>
        </w:rPr>
        <w:t xml:space="preserve">1.采购人、采购代理机构、投标人</w:t>
      </w:r>
      <w:bookmarkEnd w:id="111"/>
      <w:r/>
      <w:bookmarkEnd w:id="112"/>
      <w:r/>
      <w:bookmarkEnd w:id="113"/>
      <w:r/>
      <w:bookmarkEnd w:id="114"/>
      <w:r>
        <w:rPr>
          <w:rFonts w:hint="eastAsia" w:ascii="宋体" w:hAnsi="宋体" w:cs="宋体"/>
          <w:b/>
          <w:bCs/>
          <w:color w:val="000000"/>
          <w:szCs w:val="21"/>
          <w:highlight w:val="none"/>
        </w:rPr>
        <w:t xml:space="preserve">、联合体</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1.2投标人（也称“供应商”、“申请人”）：指向采购人提供货物、工程或者服务的法人、其他组织或者自然人。</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1.3联合体：指两个以上的自然人、法人或者其他组织组成一个联合体，以一个供应商的身份共同参加政府采购。</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115" w:name="_Toc151193690"/>
      <w:r/>
      <w:bookmarkStart w:id="116" w:name="_Toc226965793"/>
      <w:r/>
      <w:bookmarkStart w:id="117" w:name="_Toc265228358"/>
      <w:r/>
      <w:bookmarkStart w:id="118" w:name="_Toc150480758"/>
      <w:r/>
      <w:bookmarkStart w:id="119" w:name="_Toc226309764"/>
      <w:r/>
      <w:bookmarkStart w:id="120" w:name="_Toc305158788"/>
      <w:r/>
      <w:bookmarkStart w:id="121" w:name="_Toc127151721"/>
      <w:r/>
      <w:bookmarkStart w:id="122" w:name="_Toc226965710"/>
      <w:r/>
      <w:bookmarkStart w:id="123" w:name="_Toc127161434"/>
      <w:r/>
      <w:bookmarkStart w:id="124" w:name="_Toc264969210"/>
      <w:r/>
      <w:bookmarkStart w:id="125" w:name="_Toc151193618"/>
      <w:r/>
      <w:bookmarkStart w:id="126" w:name="_Toc150509271"/>
      <w:r/>
      <w:bookmarkStart w:id="127" w:name="_Toc164229215"/>
      <w:r/>
      <w:bookmarkStart w:id="128" w:name="_Toc150774725"/>
      <w:r/>
      <w:bookmarkStart w:id="129" w:name="_Toc151193762"/>
      <w:r/>
      <w:bookmarkStart w:id="130" w:name="_Toc127151520"/>
      <w:r/>
      <w:bookmarkStart w:id="131" w:name="_Toc150774620"/>
      <w:r/>
      <w:bookmarkStart w:id="132" w:name="_Toc164608789"/>
      <w:r/>
      <w:bookmarkStart w:id="133" w:name="_Toc149720813"/>
      <w:r/>
      <w:bookmarkStart w:id="134" w:name="_Toc151190147"/>
      <w:r/>
      <w:bookmarkStart w:id="135" w:name="_Toc151193908"/>
      <w:r/>
      <w:bookmarkStart w:id="136" w:name="_Toc164229361"/>
      <w:r/>
      <w:bookmarkStart w:id="137" w:name="_Toc164608634"/>
      <w:r/>
      <w:bookmarkStart w:id="138" w:name="_Toc142311022"/>
      <w:r/>
      <w:bookmarkStart w:id="139" w:name="_Toc226337216"/>
      <w:r/>
      <w:bookmarkStart w:id="140" w:name="_Toc164351614"/>
      <w:r/>
      <w:bookmarkStart w:id="141" w:name="_Toc195842885"/>
      <w:r/>
      <w:bookmarkStart w:id="142" w:name="_Toc305158862"/>
      <w:r/>
      <w:bookmarkStart w:id="143" w:name="_Toc151193834"/>
      <w:r>
        <w:rPr>
          <w:rFonts w:hint="eastAsia" w:ascii="宋体" w:hAnsi="宋体" w:cs="宋体"/>
          <w:b/>
          <w:bCs/>
          <w:color w:val="000000"/>
          <w:szCs w:val="21"/>
          <w:highlight w:val="none"/>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color w:val="000000"/>
          <w:szCs w:val="21"/>
          <w:highlight w:val="none"/>
        </w:rPr>
        <w:t xml:space="preserve">、项目属性、科研仪器设备采购、核心产品</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2.1资金来源为财政性资金和/或本项目采购中无法与财政性资金分割的非财政性资金。</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2.2项目属性见《投标人须知资料表》。</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2.3是否属于科研仪器设备采购见《投标人须知资料表》。</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2.4核心产品见《投标人须知资料表》。</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3.现场考察、开标前答疑会</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3.1若《投标人须知资料表》中规定了组织现场考察、召开开标前答疑会，则投标人应按要求在规定的时间和地点参加。</w:t>
      </w:r>
      <w:bookmarkStart w:id="144" w:name="_Toc226965712"/>
      <w:r/>
      <w:bookmarkStart w:id="145" w:name="_Toc226337218"/>
      <w:r/>
      <w:bookmarkStart w:id="146" w:name="_Toc150509273"/>
      <w:r/>
      <w:bookmarkStart w:id="147" w:name="_Toc520356146"/>
      <w:r/>
      <w:bookmarkStart w:id="148" w:name="_Toc151190149"/>
      <w:r/>
      <w:bookmarkStart w:id="149" w:name="_Toc150774622"/>
      <w:r/>
      <w:bookmarkStart w:id="150" w:name="_Toc150774727"/>
      <w:r/>
      <w:bookmarkStart w:id="151" w:name="_Toc151193620"/>
      <w:r/>
      <w:bookmarkStart w:id="152" w:name="_Toc151193910"/>
      <w:r/>
      <w:bookmarkStart w:id="153" w:name="_Toc127151522"/>
      <w:r/>
      <w:bookmarkStart w:id="154" w:name="_Toc151193692"/>
      <w:r/>
      <w:bookmarkStart w:id="155" w:name="_Toc150480760"/>
      <w:r/>
      <w:bookmarkStart w:id="156" w:name="_Toc226309766"/>
      <w:r/>
      <w:bookmarkStart w:id="157" w:name="_Toc142311024"/>
      <w:r/>
      <w:bookmarkStart w:id="158" w:name="_Toc305158790"/>
      <w:r/>
      <w:bookmarkStart w:id="159" w:name="_Toc305158864"/>
      <w:r/>
      <w:bookmarkStart w:id="160" w:name="_Toc265228360"/>
      <w:r/>
      <w:bookmarkStart w:id="161" w:name="_Toc195842887"/>
      <w:r/>
      <w:bookmarkStart w:id="162" w:name="_Toc151193764"/>
      <w:r/>
      <w:bookmarkStart w:id="163" w:name="_Toc151193836"/>
      <w:r/>
      <w:bookmarkStart w:id="164" w:name="_Toc264969212"/>
      <w:r/>
      <w:bookmarkStart w:id="165" w:name="_Toc226965795"/>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4.样品</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4.2样品的评审方法以及评审标准等内容见第四章《评标方法和评标标准》。</w:t>
      </w:r>
      <w:r>
        <w:rPr>
          <w:rFonts w:hint="eastAsia" w:ascii="宋体" w:hAnsi="宋体" w:cs="宋体"/>
          <w:color w:val="000000"/>
          <w:szCs w:val="21"/>
          <w:highlight w:val="none"/>
        </w:rPr>
      </w:r>
      <w:r/>
    </w:p>
    <w:p>
      <w:pPr>
        <w:pStyle w:val="1067"/>
        <w:spacing w:line="360" w:lineRule="auto"/>
        <w:tabs>
          <w:tab w:val="left" w:pos="360" w:leader="none"/>
        </w:tabs>
        <w:rPr>
          <w:rFonts w:hint="eastAsia"/>
          <w:color w:val="000000"/>
          <w:highlight w:val="none"/>
        </w:rPr>
        <w:outlineLvl w:val="1"/>
      </w:pPr>
      <w:r>
        <w:rPr>
          <w:rFonts w:hint="eastAsia" w:ascii="宋体" w:hAnsi="宋体" w:cs="宋体"/>
          <w:b/>
          <w:bCs/>
          <w:color w:val="000000"/>
          <w:szCs w:val="21"/>
          <w:highlight w:val="none"/>
        </w:rPr>
        <w:t xml:space="preserve">5.政府采购政策（包括但不限于下列具体政策要求）</w:t>
      </w:r>
      <w:r>
        <w:rPr>
          <w:rFonts w:hint="eastAsia"/>
          <w:color w:val="000000"/>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5.1进口产品</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5.2中小企业、监狱企业及残疾人福利性单位</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5.2.1中小企业定义：</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5.2.1.1中小企业</w:t>
      </w:r>
      <w:r>
        <w:rPr>
          <w:rFonts w:hint="eastAsia" w:ascii="宋体" w:hAnsi="宋体" w:cs="宋体"/>
          <w:color w:val="000000"/>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5.2.1.2供应商提供的货物、工程或者服务符合下列情形的，享受中小企业扶持政策：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5.2.1.3在货物采购项目中，供应商提供的货物既有中小企业制造货物，也有大型企业制造货物的，不享受中小企业扶持政策。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5.2.3残疾人福利单位定义：享受政府采购支持政策的残疾人福利性单位应当同时满足以下条件：</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5.2.3.1安置的残疾人占本单位在职职工人数的比例不低于25%（含25%），并且安置的残疾人人数不少于10人（含10人）；</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5.2.3.2依法与安置的每位残疾人签订了一年以上（含一年）的劳动合同或服务协议；</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5.2.3.3为安置的每位残疾人按月足额缴纳了基本养老保险、基本医疗保险、失业保险、工伤保险和生育保险等社会保险费；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5.2.4本项目是否专门面向中小企业预留采购份额见第一章《投标邀请》。</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5.2.5采购标的对应的中小企业划分标准所属行业见《投标人须知资料表》。</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5.2.6小微企业价格评审优惠的政策调整：见第四章《评标方法和评标标准》。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5.3政府采购节能产品、环境标志产品</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5.3.5依据《关于印发〈商品包装政府采购需求标准（试行）〉、〈快递包装政府采购需求标准（试行）〉的通知》（财办库〔2020〕123号）文件精神，采购人在</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5.4支持乡村产业振兴管理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5.5正版软件</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5.6政府采购创新产品政策</w:t>
      </w:r>
      <w:r>
        <w:rPr>
          <w:rFonts w:hint="eastAsia" w:ascii="宋体" w:hAnsi="宋体" w:cs="宋体"/>
          <w:color w:val="000000"/>
          <w:szCs w:val="21"/>
          <w:highlight w:val="none"/>
        </w:rPr>
      </w:r>
      <w:r/>
    </w:p>
    <w:p>
      <w:pPr>
        <w:pStyle w:val="1067"/>
        <w:ind w:firstLine="420"/>
        <w:spacing w:line="360" w:lineRule="auto"/>
        <w:rPr>
          <w:rFonts w:hint="eastAsia"/>
          <w:color w:val="000000"/>
          <w:sz w:val="24"/>
          <w:highlight w:val="none"/>
        </w:rPr>
      </w:pPr>
      <w:r>
        <w:rPr>
          <w:rFonts w:hint="eastAsia" w:ascii="宋体" w:hAnsi="宋体" w:cs="宋体"/>
          <w:color w:val="000000"/>
          <w:szCs w:val="21"/>
          <w:highlight w:val="none"/>
        </w:rPr>
        <w:t xml:space="preserve">采购人要将创新要求嵌入采购项目需求，可在</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5.7绿色采购政策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5.7.1绿色数据中心政策 </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5.7.2推广应用绿色建材</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和采购合同中载明具体需求、履约验收条款和违约责任。</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5.7.3优先使用低挥发性有机化合物产品</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中载明低VOCs的优惠幅度、评审标准等，以体现优先采购。</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6.投标费用</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color w:val="000000"/>
          <w:sz w:val="28"/>
          <w:highlight w:val="none"/>
        </w:rPr>
      </w:pPr>
      <w:r>
        <w:rPr>
          <w:rFonts w:hint="eastAsia" w:ascii="宋体" w:hAnsi="宋体" w:cs="宋体"/>
          <w:color w:val="000000"/>
          <w:szCs w:val="21"/>
          <w:highlight w:val="none"/>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color w:val="000000"/>
          <w:sz w:val="28"/>
          <w:highlight w:val="none"/>
        </w:rPr>
      </w:r>
      <w:r/>
    </w:p>
    <w:p>
      <w:pPr>
        <w:pStyle w:val="106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000000"/>
          <w:sz w:val="28"/>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167" w:name="_Toc151193621"/>
      <w:r/>
      <w:bookmarkStart w:id="168" w:name="_Toc150509274"/>
      <w:r/>
      <w:bookmarkStart w:id="169" w:name="_Toc150774728"/>
      <w:r/>
      <w:bookmarkStart w:id="170" w:name="_Toc226309767"/>
      <w:r/>
      <w:bookmarkStart w:id="171" w:name="_Toc164229218"/>
      <w:r/>
      <w:bookmarkStart w:id="172" w:name="_Toc151190150"/>
      <w:r/>
      <w:bookmarkStart w:id="173" w:name="_Toc151193911"/>
      <w:r/>
      <w:bookmarkStart w:id="174" w:name="_Toc305158791"/>
      <w:r/>
      <w:bookmarkStart w:id="175" w:name="_Toc226965713"/>
      <w:r/>
      <w:bookmarkStart w:id="176" w:name="_Toc265228361"/>
      <w:r/>
      <w:bookmarkStart w:id="177" w:name="_Toc226337219"/>
      <w:r/>
      <w:bookmarkStart w:id="178" w:name="_Toc164351617"/>
      <w:r/>
      <w:bookmarkStart w:id="179" w:name="_Toc149720816"/>
      <w:r/>
      <w:bookmarkStart w:id="180" w:name="_Toc127151523"/>
      <w:r/>
      <w:bookmarkStart w:id="181" w:name="_Toc226965796"/>
      <w:r/>
      <w:bookmarkStart w:id="182" w:name="_Toc150774623"/>
      <w:r/>
      <w:bookmarkStart w:id="183" w:name="_Toc127161437"/>
      <w:r/>
      <w:bookmarkStart w:id="184" w:name="_Toc151193693"/>
      <w:r/>
      <w:bookmarkStart w:id="185" w:name="_Toc164229364"/>
      <w:r/>
      <w:bookmarkStart w:id="186" w:name="_Toc305158865"/>
      <w:r/>
      <w:bookmarkStart w:id="187" w:name="_Toc164608792"/>
      <w:r/>
      <w:bookmarkStart w:id="188" w:name="_Toc195842888"/>
      <w:r/>
      <w:bookmarkStart w:id="189" w:name="_Toc151193837"/>
      <w:r/>
      <w:bookmarkStart w:id="190" w:name="_Toc164608637"/>
      <w:r/>
      <w:bookmarkStart w:id="191" w:name="_Toc142311025"/>
      <w:r/>
      <w:bookmarkStart w:id="192" w:name="_Toc127151724"/>
      <w:r/>
      <w:bookmarkStart w:id="193" w:name="_Toc151193765"/>
      <w:r/>
      <w:bookmarkStart w:id="194" w:name="_Toc520356147"/>
      <w:r/>
      <w:bookmarkStart w:id="195" w:name="_Toc264969213"/>
      <w:r/>
      <w:bookmarkStart w:id="196" w:name="_Toc150480761"/>
      <w:r>
        <w:rPr>
          <w:rFonts w:hint="eastAsia" w:ascii="宋体" w:hAnsi="宋体" w:cs="宋体"/>
          <w:b/>
          <w:bCs/>
          <w:color w:val="000000"/>
          <w:szCs w:val="21"/>
          <w:highlight w:val="none"/>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color w:val="000000"/>
          <w:szCs w:val="21"/>
          <w:highlight w:val="none"/>
        </w:rPr>
        <w:t xml:space="preserve">成</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7.1招标文件包括以下部分：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 投标邀请</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 资格审查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 评标程序、评标方法和评标标准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 采购需求</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 拟签订的合同文本</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第七章 投标文件格式</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8.对招标文件的澄清或修改</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1561"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Cs w:val="21"/>
          <w:highlight w:val="none"/>
        </w:rPr>
      </w:r>
      <w:r/>
    </w:p>
    <w:p>
      <w:pPr>
        <w:pStyle w:val="1067"/>
        <w:ind w:firstLine="420"/>
        <w:spacing w:line="360" w:lineRule="auto"/>
        <w:tabs>
          <w:tab w:val="left" w:pos="1080" w:leader="none"/>
          <w:tab w:val="left" w:pos="1561" w:leader="none"/>
          <w:tab w:val="left" w:pos="2014" w:leader="none"/>
        </w:tabs>
        <w:rPr>
          <w:color w:val="000000"/>
          <w:sz w:val="28"/>
          <w:highlight w:val="none"/>
        </w:rPr>
      </w:pPr>
      <w:r>
        <w:rPr>
          <w:rFonts w:hint="eastAsia" w:ascii="宋体" w:hAnsi="宋体" w:cs="宋体"/>
          <w:color w:val="000000"/>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151193624"/>
      <w:r/>
      <w:bookmarkStart w:id="198" w:name="_Toc226309770"/>
      <w:r/>
      <w:bookmarkStart w:id="199" w:name="_Toc151193768"/>
      <w:r/>
      <w:bookmarkStart w:id="200" w:name="_Toc226965716"/>
      <w:r/>
      <w:bookmarkStart w:id="201" w:name="_Toc195842891"/>
      <w:r/>
      <w:bookmarkStart w:id="202" w:name="_Toc151193840"/>
      <w:r/>
      <w:bookmarkStart w:id="203" w:name="_Toc151193696"/>
      <w:r/>
      <w:bookmarkStart w:id="204" w:name="_Toc516367020"/>
      <w:r/>
      <w:bookmarkStart w:id="205" w:name="_Toc305158868"/>
      <w:r/>
      <w:bookmarkStart w:id="206" w:name="_Toc150774626"/>
      <w:r/>
      <w:bookmarkStart w:id="207" w:name="_Toc150509277"/>
      <w:r/>
      <w:bookmarkStart w:id="208" w:name="_Toc520356150"/>
      <w:r/>
      <w:bookmarkStart w:id="209" w:name="_Toc151190153"/>
      <w:r/>
      <w:bookmarkStart w:id="210" w:name="_Toc150774731"/>
      <w:r/>
      <w:bookmarkStart w:id="211" w:name="_Toc265228364"/>
      <w:r/>
      <w:bookmarkStart w:id="212" w:name="_Toc142311028"/>
      <w:r/>
      <w:bookmarkStart w:id="213" w:name="_Toc226965799"/>
      <w:r/>
      <w:bookmarkStart w:id="214" w:name="_Toc127151526"/>
      <w:r/>
      <w:bookmarkStart w:id="215" w:name="_Toc151193914"/>
      <w:r/>
      <w:bookmarkStart w:id="216" w:name="_Toc226337222"/>
      <w:r/>
      <w:bookmarkStart w:id="217" w:name="_Toc305158794"/>
      <w:r/>
      <w:bookmarkStart w:id="218" w:name="_Toc150480764"/>
      <w:r/>
      <w:bookmarkStart w:id="219" w:name="_Toc264969216"/>
      <w:r>
        <w:rPr>
          <w:color w:val="000000"/>
          <w:sz w:val="28"/>
          <w:highlight w:val="none"/>
        </w:rPr>
      </w:r>
      <w:r/>
    </w:p>
    <w:p>
      <w:pPr>
        <w:pStyle w:val="106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04"/>
      <w:r>
        <w:rPr>
          <w:rFonts w:ascii="Times New Roman" w:hAnsi="Times New Roman" w:eastAsia="宋体"/>
          <w:color w:val="000000"/>
          <w:sz w:val="28"/>
          <w:highlight w:val="none"/>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color w:val="000000"/>
          <w:sz w:val="28"/>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220" w:name="_Toc520356151"/>
      <w:r/>
      <w:bookmarkStart w:id="221" w:name="_Toc150480765"/>
      <w:r/>
      <w:bookmarkStart w:id="222" w:name="_Toc164608796"/>
      <w:r/>
      <w:bookmarkStart w:id="223" w:name="_Toc151193915"/>
      <w:r/>
      <w:bookmarkStart w:id="224" w:name="_Toc516367021"/>
      <w:r/>
      <w:bookmarkStart w:id="225" w:name="_Toc226965717"/>
      <w:r/>
      <w:bookmarkStart w:id="226" w:name="_Toc164229368"/>
      <w:r/>
      <w:bookmarkStart w:id="227" w:name="_Toc151193625"/>
      <w:r/>
      <w:bookmarkStart w:id="228" w:name="_Toc195842892"/>
      <w:r/>
      <w:bookmarkStart w:id="229" w:name="_Toc151193769"/>
      <w:r/>
      <w:bookmarkStart w:id="230" w:name="_Toc226337223"/>
      <w:r/>
      <w:bookmarkStart w:id="231" w:name="_Toc264969217"/>
      <w:r/>
      <w:bookmarkStart w:id="232" w:name="_Toc151193697"/>
      <w:r/>
      <w:bookmarkStart w:id="233" w:name="_Toc150774732"/>
      <w:r/>
      <w:bookmarkStart w:id="234" w:name="_Toc265228365"/>
      <w:r/>
      <w:bookmarkStart w:id="235" w:name="_Toc305158795"/>
      <w:r/>
      <w:bookmarkStart w:id="236" w:name="_Toc150774627"/>
      <w:r/>
      <w:bookmarkStart w:id="237" w:name="_Toc149720820"/>
      <w:r/>
      <w:bookmarkStart w:id="238" w:name="_Toc164229222"/>
      <w:r/>
      <w:bookmarkStart w:id="239" w:name="_Toc164351621"/>
      <w:r/>
      <w:bookmarkStart w:id="240" w:name="_Toc305158869"/>
      <w:r/>
      <w:bookmarkStart w:id="241" w:name="_Toc142311029"/>
      <w:r/>
      <w:bookmarkStart w:id="242" w:name="_Toc151193841"/>
      <w:r/>
      <w:bookmarkStart w:id="243" w:name="_Toc151190154"/>
      <w:r/>
      <w:bookmarkStart w:id="244" w:name="_Toc226965800"/>
      <w:r/>
      <w:bookmarkStart w:id="245" w:name="_Toc226309771"/>
      <w:r/>
      <w:bookmarkStart w:id="246" w:name="_Toc164608641"/>
      <w:r/>
      <w:bookmarkStart w:id="247" w:name="_Toc127161441"/>
      <w:r/>
      <w:bookmarkStart w:id="248" w:name="_Toc127151527"/>
      <w:r/>
      <w:bookmarkStart w:id="249" w:name="_Toc150509278"/>
      <w:r/>
      <w:bookmarkStart w:id="250" w:name="_Toc127151728"/>
      <w:r>
        <w:rPr>
          <w:rFonts w:hint="eastAsia" w:ascii="宋体" w:hAnsi="宋体" w:cs="宋体"/>
          <w:b/>
          <w:bCs/>
          <w:color w:val="000000"/>
          <w:szCs w:val="21"/>
          <w:highlight w:val="none"/>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color w:val="000000"/>
          <w:szCs w:val="21"/>
          <w:highlight w:val="none"/>
        </w:rPr>
        <w:t xml:space="preserve">及投标语言</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highlight w:val="none"/>
        </w:rPr>
        <w:t xml:space="preserve">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9.2除招标文件有特殊要求外，本项目投标所使用的计量单位，应采用中华人民共和国法定计量单位。</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251" w:name="_Toc127151729"/>
      <w:r/>
      <w:bookmarkStart w:id="252" w:name="_Toc164608797"/>
      <w:r/>
      <w:bookmarkStart w:id="253" w:name="_Toc164608642"/>
      <w:r/>
      <w:bookmarkStart w:id="254" w:name="_Toc520356152"/>
      <w:r/>
      <w:bookmarkStart w:id="255" w:name="_Toc264969218"/>
      <w:r/>
      <w:bookmarkStart w:id="256" w:name="_Toc150480766"/>
      <w:r/>
      <w:bookmarkStart w:id="257" w:name="_Toc127151528"/>
      <w:r/>
      <w:bookmarkStart w:id="258" w:name="_Toc127161442"/>
      <w:r/>
      <w:bookmarkStart w:id="259" w:name="_Toc195842893"/>
      <w:r/>
      <w:bookmarkStart w:id="260" w:name="_Toc226965718"/>
      <w:r/>
      <w:bookmarkStart w:id="261" w:name="_Toc151190155"/>
      <w:r/>
      <w:bookmarkStart w:id="262" w:name="_Toc151193842"/>
      <w:r/>
      <w:bookmarkStart w:id="263" w:name="_Toc150774733"/>
      <w:r/>
      <w:bookmarkStart w:id="264" w:name="_Ref467306676"/>
      <w:r/>
      <w:bookmarkStart w:id="265" w:name="_Ref467306195"/>
      <w:r/>
      <w:bookmarkStart w:id="266" w:name="_Toc150774628"/>
      <w:r/>
      <w:bookmarkStart w:id="267" w:name="_Toc516367022"/>
      <w:r/>
      <w:bookmarkStart w:id="268" w:name="_Toc149720821"/>
      <w:r/>
      <w:bookmarkStart w:id="269" w:name="_Toc151193626"/>
      <w:r/>
      <w:bookmarkStart w:id="270" w:name="_Toc150509279"/>
      <w:r/>
      <w:bookmarkStart w:id="271" w:name="_Toc305158870"/>
      <w:r/>
      <w:bookmarkStart w:id="272" w:name="_Toc226965801"/>
      <w:r/>
      <w:bookmarkStart w:id="273" w:name="_Toc226337224"/>
      <w:r/>
      <w:bookmarkStart w:id="274" w:name="_Toc142311030"/>
      <w:r/>
      <w:bookmarkStart w:id="275" w:name="_Toc151193698"/>
      <w:r/>
      <w:bookmarkStart w:id="276" w:name="_Toc151193916"/>
      <w:r/>
      <w:bookmarkStart w:id="277" w:name="_Toc265228366"/>
      <w:r/>
      <w:bookmarkStart w:id="278" w:name="_Toc226309772"/>
      <w:r/>
      <w:bookmarkStart w:id="279" w:name="_Toc164229369"/>
      <w:r/>
      <w:bookmarkStart w:id="280" w:name="_Toc305158796"/>
      <w:r/>
      <w:bookmarkStart w:id="281" w:name="_Toc164351622"/>
      <w:r/>
      <w:bookmarkStart w:id="282" w:name="_Toc151193770"/>
      <w:r/>
      <w:bookmarkStart w:id="283" w:name="_Toc164229223"/>
      <w:r>
        <w:rPr>
          <w:rFonts w:hint="eastAsia" w:ascii="宋体" w:hAnsi="宋体" w:cs="宋体"/>
          <w:b/>
          <w:bCs/>
          <w:color w:val="000000"/>
          <w:szCs w:val="21"/>
          <w:highlight w:val="none"/>
        </w:rPr>
        <w:t xml:space="preserve">10.投标文件</w:t>
      </w:r>
      <w:bookmarkEnd w:id="264"/>
      <w:r/>
      <w:bookmarkEnd w:id="265"/>
      <w:r/>
      <w:bookmarkEnd w:id="267"/>
      <w:r>
        <w:rPr>
          <w:rFonts w:hint="eastAsia" w:ascii="宋体" w:hAnsi="宋体" w:cs="宋体"/>
          <w:b/>
          <w:bCs/>
          <w:color w:val="000000"/>
          <w:szCs w:val="21"/>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bookmarkStart w:id="284" w:name="_Ref467052588"/>
      <w:r>
        <w:rPr>
          <w:rFonts w:hint="eastAsia" w:ascii="宋体" w:hAnsi="宋体" w:cs="宋体"/>
          <w:color w:val="000000"/>
          <w:szCs w:val="21"/>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10.2对于招标文件中标记了“实质性格式”文件的，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。未标记“实质性格式”的文件和招标文件未提供格式的内容，可由投标人自行编写。</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10.3第四章《评标程序、评标方法和评标标准》中涉及的证明文件。</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10.5投标人认为应附的其他材料。</w:t>
      </w:r>
      <w:bookmarkEnd w:id="284"/>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285" w:name="_Toc151193700"/>
      <w:r/>
      <w:bookmarkStart w:id="286" w:name="_Toc151193918"/>
      <w:r/>
      <w:bookmarkStart w:id="287" w:name="_Toc149720823"/>
      <w:r/>
      <w:bookmarkStart w:id="288" w:name="_Toc151193772"/>
      <w:r/>
      <w:bookmarkStart w:id="289" w:name="_Toc164229371"/>
      <w:r/>
      <w:bookmarkStart w:id="290" w:name="_Toc127161444"/>
      <w:r/>
      <w:bookmarkStart w:id="291" w:name="_Toc164351624"/>
      <w:r/>
      <w:bookmarkStart w:id="292" w:name="_Toc150509281"/>
      <w:r/>
      <w:bookmarkStart w:id="293" w:name="_Toc150774630"/>
      <w:r/>
      <w:bookmarkStart w:id="294" w:name="_Toc150480768"/>
      <w:r/>
      <w:bookmarkStart w:id="295" w:name="_Toc151190157"/>
      <w:r/>
      <w:bookmarkStart w:id="296" w:name="_Toc520356155"/>
      <w:r/>
      <w:bookmarkStart w:id="297" w:name="_Toc164608799"/>
      <w:r/>
      <w:bookmarkStart w:id="298" w:name="_Toc142311032"/>
      <w:r/>
      <w:bookmarkStart w:id="299" w:name="_Toc164608644"/>
      <w:r/>
      <w:bookmarkStart w:id="300" w:name="_Toc127151731"/>
      <w:r/>
      <w:bookmarkStart w:id="301" w:name="_Toc127151530"/>
      <w:r/>
      <w:bookmarkStart w:id="302" w:name="_Toc151193628"/>
      <w:r/>
      <w:bookmarkStart w:id="303" w:name="_Toc150774735"/>
      <w:r/>
      <w:bookmarkStart w:id="304" w:name="_Toc195842895"/>
      <w:r/>
      <w:bookmarkStart w:id="305" w:name="_Toc151193844"/>
      <w:r/>
      <w:bookmarkStart w:id="306" w:name="_Toc164229225"/>
      <w:r>
        <w:rPr>
          <w:rFonts w:hint="eastAsia" w:ascii="宋体" w:hAnsi="宋体" w:cs="宋体"/>
          <w:b/>
          <w:bCs/>
          <w:color w:val="000000"/>
          <w:szCs w:val="21"/>
          <w:highlight w:val="none"/>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11.1所有投标均以人民币报价。</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11.2投标人的报价应包括为完成本项目所发生的一切费用和税费，</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人将不再支付报价以外的任何费用。投标人的报价应包括但不限于下列内容，《投标人须知资料表》中有特殊规定的，从其规定。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11.2.2按照招标文件要求完成本项目的全部相关服务费用。 </w:t>
      </w:r>
      <w:r>
        <w:rPr>
          <w:rFonts w:hint="eastAsia" w:ascii="宋体" w:hAnsi="宋体" w:cs="宋体"/>
          <w:color w:val="000000"/>
          <w:szCs w:val="21"/>
          <w:highlight w:val="none"/>
        </w:rPr>
      </w:r>
      <w:r/>
    </w:p>
    <w:p>
      <w:pPr>
        <w:pStyle w:val="1067"/>
        <w:numPr>
          <w:ilvl w:val="0"/>
          <w:numId w:val="0"/>
        </w:numPr>
        <w:ind w:firstLine="422"/>
        <w:spacing w:line="360" w:lineRule="auto"/>
        <w:rPr>
          <w:rFonts w:hint="eastAsia" w:ascii="宋体" w:hAnsi="宋体" w:cs="宋体"/>
          <w:color w:val="000000"/>
          <w:szCs w:val="21"/>
          <w:highlight w:val="none"/>
        </w:rPr>
      </w:pPr>
      <w:r>
        <w:rPr>
          <w:rFonts w:hint="eastAsia" w:ascii="宋体" w:hAnsi="宋体" w:eastAsia="宋体" w:cs="宋体"/>
          <w:b/>
          <w:bCs/>
          <w:color w:val="000000"/>
          <w:sz w:val="21"/>
          <w:szCs w:val="21"/>
          <w:highlight w:val="none"/>
          <w:lang w:val="en-US" w:eastAsia="zh-CN"/>
        </w:rPr>
        <w:t xml:space="preserve">11.2.3参加投标的供应商应自行承担所有与参加投标有关的费用（包含代理费用）。无论最终中标结果如何，采购代理机构在任何情况下均无义务和责任承担这些费用。</w:t>
      </w:r>
      <w:r>
        <w:rPr>
          <w:rFonts w:hint="eastAsia" w:ascii="宋体" w:hAnsi="宋体" w:cs="宋体"/>
          <w:color w:val="000000"/>
          <w:szCs w:val="21"/>
          <w:highlight w:val="none"/>
        </w:rPr>
      </w:r>
      <w:r/>
    </w:p>
    <w:p>
      <w:pPr>
        <w:pStyle w:val="1067"/>
        <w:ind w:firstLine="422"/>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11.2.</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本项目采用</w:t>
      </w:r>
      <w:r>
        <w:rPr>
          <w:rFonts w:hint="eastAsia" w:ascii="宋体" w:hAnsi="宋体" w:cs="宋体"/>
          <w:b/>
          <w:bCs/>
          <w:color w:val="000000"/>
          <w:szCs w:val="21"/>
          <w:highlight w:val="none"/>
          <w:u w:val="single"/>
        </w:rPr>
        <w:t xml:space="preserve">固定总价</w:t>
      </w:r>
      <w:r>
        <w:rPr>
          <w:rFonts w:hint="eastAsia" w:ascii="宋体" w:hAnsi="宋体" w:cs="宋体"/>
          <w:b/>
          <w:bCs/>
          <w:color w:val="000000"/>
          <w:szCs w:val="21"/>
          <w:highlight w:val="none"/>
        </w:rPr>
        <w:t xml:space="preserve">报价，投标报价不得超过最高限价，否则视作未实质性响应招标文件。</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11.3采购人不得向供应商索要或者接受其给予的赠品、回扣或者与采购无关的其他商品、服务。</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11.4投标人不能提供任何有选择性或可调整的报价，否则其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307" w:name="_Toc164351625"/>
      <w:r/>
      <w:bookmarkStart w:id="308" w:name="_Toc150509282"/>
      <w:r/>
      <w:bookmarkStart w:id="309" w:name="_Toc142311033"/>
      <w:r/>
      <w:bookmarkStart w:id="310" w:name="_Toc520356156"/>
      <w:r/>
      <w:bookmarkStart w:id="311" w:name="_Toc150774631"/>
      <w:r/>
      <w:bookmarkStart w:id="312" w:name="_Toc305158799"/>
      <w:r/>
      <w:bookmarkStart w:id="313" w:name="_Toc150480769"/>
      <w:r/>
      <w:bookmarkStart w:id="314" w:name="_Toc226337227"/>
      <w:r/>
      <w:bookmarkStart w:id="315" w:name="_Toc265228369"/>
      <w:r/>
      <w:bookmarkStart w:id="316" w:name="_Toc127151531"/>
      <w:r/>
      <w:bookmarkStart w:id="317" w:name="_Toc151190158"/>
      <w:r/>
      <w:bookmarkStart w:id="318" w:name="_Toc150774736"/>
      <w:r/>
      <w:bookmarkStart w:id="319" w:name="_Toc226965804"/>
      <w:r/>
      <w:bookmarkStart w:id="320" w:name="_Toc151193629"/>
      <w:r/>
      <w:bookmarkStart w:id="321" w:name="_Toc305158873"/>
      <w:r/>
      <w:bookmarkStart w:id="322" w:name="_Toc151193845"/>
      <w:r/>
      <w:bookmarkStart w:id="323" w:name="_Toc127151732"/>
      <w:r/>
      <w:bookmarkStart w:id="324" w:name="_Toc127161445"/>
      <w:r/>
      <w:bookmarkStart w:id="325" w:name="_Toc149720824"/>
      <w:r/>
      <w:bookmarkStart w:id="326" w:name="_Toc151193919"/>
      <w:r/>
      <w:bookmarkStart w:id="327" w:name="_Toc164608645"/>
      <w:r/>
      <w:bookmarkStart w:id="328" w:name="_Toc164229226"/>
      <w:r/>
      <w:bookmarkStart w:id="329" w:name="_Toc164229372"/>
      <w:r/>
      <w:bookmarkStart w:id="330" w:name="_Toc226965721"/>
      <w:r/>
      <w:bookmarkStart w:id="331" w:name="_Toc151193773"/>
      <w:r/>
      <w:bookmarkStart w:id="332" w:name="_Toc264969221"/>
      <w:r/>
      <w:bookmarkStart w:id="333" w:name="_Toc195842896"/>
      <w:r/>
      <w:bookmarkStart w:id="334" w:name="_Toc151193701"/>
      <w:r/>
      <w:bookmarkStart w:id="335" w:name="_Ref467306513"/>
      <w:r/>
      <w:bookmarkStart w:id="336" w:name="_Toc226309775"/>
      <w:r/>
      <w:bookmarkStart w:id="337" w:name="_Toc164608800"/>
      <w:r>
        <w:rPr>
          <w:rFonts w:hint="eastAsia" w:ascii="宋体" w:hAnsi="宋体" w:cs="宋体"/>
          <w:b/>
          <w:bCs/>
          <w:color w:val="000000"/>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highlight w:val="none"/>
        </w:rPr>
        <w:t xml:space="preserve">及履约保证金</w:t>
      </w:r>
      <w:r>
        <w:rPr>
          <w:rFonts w:hint="eastAsia" w:ascii="宋体" w:hAnsi="宋体" w:cs="宋体"/>
          <w:b/>
          <w:bCs/>
          <w:color w:val="000000"/>
          <w:szCs w:val="21"/>
          <w:highlight w:val="none"/>
        </w:rPr>
      </w:r>
      <w:r/>
    </w:p>
    <w:p>
      <w:pPr>
        <w:pStyle w:val="1067"/>
        <w:ind w:left="357"/>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12.1根据江苏省和常州市的相关文件规定，免收投标保证金。</w:t>
      </w:r>
      <w:r>
        <w:rPr>
          <w:rFonts w:hint="eastAsia" w:ascii="宋体" w:hAnsi="宋体" w:cs="宋体"/>
          <w:color w:val="000000"/>
          <w:szCs w:val="21"/>
          <w:highlight w:val="none"/>
        </w:rPr>
      </w:r>
      <w:r/>
    </w:p>
    <w:p>
      <w:pPr>
        <w:pStyle w:val="1067"/>
        <w:ind w:left="357"/>
        <w:spacing w:line="360" w:lineRule="auto"/>
        <w:tabs>
          <w:tab w:val="left" w:pos="360" w:leader="none"/>
        </w:tabs>
        <w:rPr>
          <w:rFonts w:hint="eastAsia" w:ascii="宋体" w:hAnsi="宋体" w:cs="宋体"/>
          <w:b/>
          <w:bCs/>
          <w:color w:val="000000"/>
          <w:highlight w:val="none"/>
        </w:rPr>
        <w:outlineLvl w:val="1"/>
      </w:pPr>
      <w:r>
        <w:rPr>
          <w:rFonts w:hint="eastAsia" w:ascii="宋体" w:hAnsi="宋体" w:cs="宋体"/>
          <w:b/>
          <w:bCs/>
          <w:color w:val="000000"/>
          <w:szCs w:val="21"/>
          <w:highlight w:val="none"/>
        </w:rPr>
        <w:t xml:space="preserve">12.2</w:t>
      </w:r>
      <w:r>
        <w:rPr>
          <w:rFonts w:hint="eastAsia" w:ascii="宋体" w:hAnsi="宋体" w:cs="宋体"/>
          <w:b/>
          <w:bCs/>
          <w:color w:val="000000"/>
          <w:highlight w:val="none"/>
        </w:rPr>
        <w:t xml:space="preserve">中标人须在合同签订之日起5日内向采购人提供金额为</w:t>
      </w:r>
      <w:r>
        <w:rPr>
          <w:rFonts w:hint="eastAsia" w:ascii="宋体" w:hAnsi="宋体" w:cs="宋体"/>
          <w:b/>
          <w:bCs/>
          <w:color w:val="000000"/>
          <w:highlight w:val="none"/>
          <w:u w:val="single"/>
        </w:rPr>
        <w:t xml:space="preserve">  / </w:t>
      </w:r>
      <w:r>
        <w:rPr>
          <w:rFonts w:hint="eastAsia" w:ascii="宋体" w:hAnsi="宋体" w:cs="宋体"/>
          <w:b/>
          <w:bCs/>
          <w:color w:val="000000"/>
          <w:highlight w:val="none"/>
        </w:rPr>
        <w:t xml:space="preserve">的履约保证金或保函。</w:t>
      </w:r>
      <w:r>
        <w:rPr>
          <w:rFonts w:hint="eastAsia" w:ascii="宋体" w:hAnsi="宋体" w:cs="宋体"/>
          <w:b/>
          <w:bCs/>
          <w:color w:val="000000"/>
          <w:highlight w:val="none"/>
        </w:rPr>
      </w:r>
      <w:r/>
    </w:p>
    <w:p>
      <w:pPr>
        <w:pStyle w:val="1067"/>
        <w:ind w:left="357"/>
        <w:spacing w:line="360" w:lineRule="auto"/>
        <w:tabs>
          <w:tab w:val="left" w:pos="360" w:leader="none"/>
        </w:tabs>
        <w:rPr>
          <w:rFonts w:hint="eastAsia"/>
          <w:color w:val="000000"/>
          <w:highlight w:val="none"/>
        </w:rPr>
        <w:outlineLvl w:val="1"/>
      </w:pPr>
      <w:r>
        <w:rPr>
          <w:rFonts w:hint="eastAsia" w:ascii="宋体" w:hAnsi="宋体" w:cs="宋体"/>
          <w:color w:val="000000"/>
          <w:highlight w:val="none"/>
        </w:rPr>
        <w:t xml:space="preserve">12.3履约保证金将项目结束后30日内无息退返中标人。</w:t>
      </w:r>
      <w:r>
        <w:rPr>
          <w:rFonts w:hint="eastAsia"/>
          <w:color w:val="000000"/>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338" w:name="_Toc226965722"/>
      <w:r/>
      <w:bookmarkStart w:id="339" w:name="_Toc151193920"/>
      <w:r/>
      <w:bookmarkStart w:id="340" w:name="_Toc164608646"/>
      <w:r/>
      <w:bookmarkStart w:id="341" w:name="_Toc150774632"/>
      <w:r/>
      <w:bookmarkStart w:id="342" w:name="_Toc265228370"/>
      <w:r/>
      <w:bookmarkStart w:id="343" w:name="_Toc151193702"/>
      <w:r/>
      <w:bookmarkStart w:id="344" w:name="_Toc150774737"/>
      <w:r/>
      <w:bookmarkStart w:id="345" w:name="_Toc305158874"/>
      <w:r/>
      <w:bookmarkStart w:id="346" w:name="_Toc151193846"/>
      <w:r/>
      <w:bookmarkStart w:id="347" w:name="_Toc164351626"/>
      <w:r/>
      <w:bookmarkStart w:id="348" w:name="_Toc164229227"/>
      <w:r/>
      <w:bookmarkStart w:id="349" w:name="_Toc164608801"/>
      <w:r/>
      <w:bookmarkStart w:id="350" w:name="_Toc226965805"/>
      <w:r/>
      <w:bookmarkStart w:id="351" w:name="_Toc520356157"/>
      <w:r/>
      <w:bookmarkStart w:id="352" w:name="_Toc264969222"/>
      <w:r/>
      <w:bookmarkStart w:id="353" w:name="_Toc127151532"/>
      <w:r/>
      <w:bookmarkStart w:id="354" w:name="_Toc150509283"/>
      <w:r/>
      <w:bookmarkStart w:id="355" w:name="_Toc127151733"/>
      <w:r/>
      <w:bookmarkStart w:id="356" w:name="_Toc151193774"/>
      <w:r/>
      <w:bookmarkStart w:id="357" w:name="_Toc151190159"/>
      <w:r/>
      <w:bookmarkStart w:id="358" w:name="_Toc149720825"/>
      <w:r/>
      <w:bookmarkStart w:id="359" w:name="_Toc226337228"/>
      <w:r/>
      <w:bookmarkStart w:id="360" w:name="_Toc195842897"/>
      <w:r/>
      <w:bookmarkStart w:id="361" w:name="_Toc142311034"/>
      <w:r/>
      <w:bookmarkStart w:id="362" w:name="_Toc305158800"/>
      <w:r/>
      <w:bookmarkStart w:id="363" w:name="_Toc127161446"/>
      <w:r/>
      <w:bookmarkStart w:id="364" w:name="_Toc151193630"/>
      <w:r/>
      <w:bookmarkStart w:id="365" w:name="_Toc164229373"/>
      <w:r/>
      <w:bookmarkStart w:id="366" w:name="_Toc226309776"/>
      <w:r/>
      <w:bookmarkStart w:id="367" w:name="_Toc150480770"/>
      <w:r>
        <w:rPr>
          <w:rFonts w:hint="eastAsia" w:ascii="宋体" w:hAnsi="宋体" w:cs="宋体"/>
          <w:b/>
          <w:bCs/>
          <w:color w:val="000000"/>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368" w:name="_Toc305158875"/>
      <w:r/>
      <w:bookmarkStart w:id="369" w:name="_Toc520356158"/>
      <w:r/>
      <w:bookmarkStart w:id="370" w:name="_Toc305158801"/>
      <w:r/>
      <w:bookmarkStart w:id="371" w:name="_Toc151193775"/>
      <w:r/>
      <w:bookmarkStart w:id="372" w:name="_Toc150774738"/>
      <w:r/>
      <w:bookmarkStart w:id="373" w:name="_Toc195842898"/>
      <w:r/>
      <w:bookmarkStart w:id="374" w:name="_Toc151193631"/>
      <w:r/>
      <w:bookmarkStart w:id="375" w:name="_Toc150480771"/>
      <w:r/>
      <w:bookmarkStart w:id="376" w:name="_Toc164608802"/>
      <w:r/>
      <w:bookmarkStart w:id="377" w:name="_Toc150774633"/>
      <w:r/>
      <w:bookmarkStart w:id="378" w:name="_Toc127151734"/>
      <w:r/>
      <w:bookmarkStart w:id="379" w:name="_Toc164229374"/>
      <w:r/>
      <w:bookmarkStart w:id="380" w:name="_Toc164229228"/>
      <w:r/>
      <w:bookmarkStart w:id="381" w:name="_Toc164351627"/>
      <w:r/>
      <w:bookmarkStart w:id="382" w:name="_Toc164608647"/>
      <w:r/>
      <w:bookmarkStart w:id="383" w:name="_Toc151193703"/>
      <w:r/>
      <w:bookmarkStart w:id="384" w:name="_Toc265228371"/>
      <w:r/>
      <w:bookmarkStart w:id="385" w:name="_Toc226309777"/>
      <w:r/>
      <w:bookmarkStart w:id="386" w:name="_Toc127151533"/>
      <w:r/>
      <w:bookmarkStart w:id="387" w:name="_Toc226337229"/>
      <w:r/>
      <w:bookmarkStart w:id="388" w:name="_Toc151193847"/>
      <w:r/>
      <w:bookmarkStart w:id="389" w:name="_Toc142311035"/>
      <w:r/>
      <w:bookmarkStart w:id="390" w:name="_Toc264969223"/>
      <w:r/>
      <w:bookmarkStart w:id="391" w:name="_Toc149720826"/>
      <w:r/>
      <w:bookmarkStart w:id="392" w:name="_Toc151190160"/>
      <w:r/>
      <w:bookmarkStart w:id="393" w:name="_Toc127161447"/>
      <w:r/>
      <w:bookmarkStart w:id="394" w:name="_Toc226965806"/>
      <w:r/>
      <w:bookmarkStart w:id="395" w:name="_Toc151193921"/>
      <w:r/>
      <w:bookmarkStart w:id="396" w:name="_Toc226965723"/>
      <w:r/>
      <w:bookmarkStart w:id="397" w:name="_Toc150509284"/>
      <w:r>
        <w:rPr>
          <w:rFonts w:hint="eastAsia" w:ascii="宋体" w:hAnsi="宋体" w:cs="宋体"/>
          <w:b/>
          <w:bCs/>
          <w:color w:val="000000"/>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highlight w:val="none"/>
        </w:rPr>
        <w:t xml:space="preserve">、加盖公章</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bookmarkStart w:id="398" w:name="_Toc226337230"/>
      <w:r/>
      <w:bookmarkStart w:id="399" w:name="_Toc150509285"/>
      <w:r/>
      <w:bookmarkStart w:id="400" w:name="_Toc150774634"/>
      <w:r/>
      <w:bookmarkStart w:id="401" w:name="_Toc151190161"/>
      <w:r/>
      <w:bookmarkStart w:id="402" w:name="_Toc151193704"/>
      <w:r/>
      <w:bookmarkStart w:id="403" w:name="_Toc226309778"/>
      <w:r/>
      <w:bookmarkStart w:id="404" w:name="_Toc142311036"/>
      <w:r/>
      <w:bookmarkStart w:id="405" w:name="_Toc151193922"/>
      <w:r/>
      <w:bookmarkStart w:id="406" w:name="_Toc127151534"/>
      <w:r/>
      <w:bookmarkStart w:id="407" w:name="_Toc265228372"/>
      <w:r/>
      <w:bookmarkStart w:id="408" w:name="_Toc151193776"/>
      <w:r/>
      <w:bookmarkStart w:id="409" w:name="_Toc264969224"/>
      <w:r/>
      <w:bookmarkStart w:id="410" w:name="_Toc195842899"/>
      <w:r/>
      <w:bookmarkStart w:id="411" w:name="_Toc150480772"/>
      <w:r/>
      <w:bookmarkStart w:id="412" w:name="_Toc151193632"/>
      <w:r/>
      <w:bookmarkStart w:id="413" w:name="_Toc305158876"/>
      <w:r/>
      <w:bookmarkStart w:id="414" w:name="_Toc150774739"/>
      <w:r/>
      <w:bookmarkStart w:id="415" w:name="_Toc226965724"/>
      <w:r/>
      <w:bookmarkStart w:id="416" w:name="_Toc305158802"/>
      <w:r/>
      <w:bookmarkStart w:id="417" w:name="_Toc226965807"/>
      <w:r/>
      <w:bookmarkStart w:id="418" w:name="_Toc151193848"/>
      <w:r/>
      <w:bookmarkStart w:id="419" w:name="_Toc520356159"/>
      <w:r>
        <w:rPr>
          <w:rFonts w:hint="eastAsia" w:ascii="宋体" w:hAnsi="宋体" w:cs="宋体"/>
          <w:color w:val="000000"/>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Cs w:val="21"/>
          <w:highlight w:val="none"/>
        </w:rPr>
      </w:r>
      <w:r/>
    </w:p>
    <w:p>
      <w:pPr>
        <w:pStyle w:val="1067"/>
        <w:ind w:firstLine="422"/>
        <w:spacing w:line="360" w:lineRule="auto"/>
        <w:rPr>
          <w:color w:val="000000"/>
          <w:highlight w:val="none"/>
        </w:rPr>
      </w:pPr>
      <w:r>
        <w:rPr>
          <w:rFonts w:hint="eastAsia" w:ascii="宋体" w:hAnsi="宋体" w:cs="宋体"/>
          <w:b/>
          <w:bCs/>
          <w:color w:val="000000"/>
          <w:szCs w:val="21"/>
          <w:highlight w:val="none"/>
        </w:rPr>
        <w:t xml:space="preserve">14.2招标文件要求加盖公章的内容，一般通过投标文件编制工具加盖电子签章。</w:t>
      </w:r>
      <w:r>
        <w:rPr>
          <w:color w:val="000000"/>
          <w:highlight w:val="none"/>
        </w:rPr>
      </w:r>
      <w:r/>
    </w:p>
    <w:p>
      <w:pPr>
        <w:pStyle w:val="106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420" w:name="_Toc151190162"/>
      <w:r/>
      <w:bookmarkStart w:id="421" w:name="_Toc226309779"/>
      <w:r/>
      <w:bookmarkStart w:id="422" w:name="_Toc164608804"/>
      <w:r/>
      <w:bookmarkStart w:id="423" w:name="_Toc151193849"/>
      <w:r/>
      <w:bookmarkStart w:id="424" w:name="_Toc305158877"/>
      <w:r/>
      <w:bookmarkStart w:id="425" w:name="_Toc520356160"/>
      <w:r/>
      <w:bookmarkStart w:id="426" w:name="_Toc151193923"/>
      <w:r/>
      <w:bookmarkStart w:id="427" w:name="_Toc226965808"/>
      <w:r/>
      <w:bookmarkStart w:id="428" w:name="_Toc195842900"/>
      <w:r/>
      <w:bookmarkStart w:id="429" w:name="_Toc164229230"/>
      <w:r/>
      <w:bookmarkStart w:id="430" w:name="_Toc151193633"/>
      <w:r/>
      <w:bookmarkStart w:id="431" w:name="_Toc142311037"/>
      <w:r/>
      <w:bookmarkStart w:id="432" w:name="_Toc150774740"/>
      <w:r/>
      <w:bookmarkStart w:id="433" w:name="_Toc151193777"/>
      <w:r/>
      <w:bookmarkStart w:id="434" w:name="_Toc151193705"/>
      <w:r/>
      <w:bookmarkStart w:id="435" w:name="_Toc164229376"/>
      <w:r/>
      <w:bookmarkStart w:id="436" w:name="_Toc149720828"/>
      <w:r/>
      <w:bookmarkStart w:id="437" w:name="_Toc127151535"/>
      <w:r/>
      <w:bookmarkStart w:id="438" w:name="_Toc164608649"/>
      <w:r/>
      <w:bookmarkStart w:id="439" w:name="_Toc164351629"/>
      <w:r/>
      <w:bookmarkStart w:id="440" w:name="_Toc127161449"/>
      <w:r/>
      <w:bookmarkStart w:id="441" w:name="_Toc226337231"/>
      <w:r/>
      <w:bookmarkStart w:id="442" w:name="_Toc265228373"/>
      <w:r/>
      <w:bookmarkStart w:id="443" w:name="_Toc226965725"/>
      <w:r/>
      <w:bookmarkStart w:id="444" w:name="_Toc264969225"/>
      <w:r/>
      <w:bookmarkStart w:id="445" w:name="_Toc127151736"/>
      <w:r/>
      <w:bookmarkStart w:id="446" w:name="_Toc150774635"/>
      <w:r/>
      <w:bookmarkStart w:id="447" w:name="_Toc150509286"/>
      <w:r/>
      <w:bookmarkStart w:id="448" w:name="_Toc150480773"/>
      <w:r/>
      <w:bookmarkStart w:id="449" w:name="_Toc305158803"/>
      <w:r>
        <w:rPr>
          <w:rFonts w:hint="eastAsia" w:ascii="宋体" w:hAnsi="宋体" w:cs="宋体"/>
          <w:b/>
          <w:bCs/>
          <w:color w:val="000000"/>
          <w:szCs w:val="21"/>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highlight w:val="none"/>
        </w:rPr>
        <w:t xml:space="preserve">提交</w:t>
      </w:r>
      <w:r>
        <w:rPr>
          <w:rFonts w:hint="eastAsia" w:ascii="宋体" w:hAnsi="宋体" w:cs="宋体"/>
          <w:b/>
          <w:bCs/>
          <w:color w:val="000000"/>
          <w:szCs w:val="21"/>
          <w:highlight w:val="none"/>
        </w:rPr>
      </w:r>
      <w:r/>
    </w:p>
    <w:p>
      <w:pPr>
        <w:pStyle w:val="1067"/>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15.2采购人及采购代理机构拒绝接受通过“苏采云”政府采购一体化平台以外任何形式提交的投标文件。</w:t>
      </w:r>
      <w:r>
        <w:rPr>
          <w:rFonts w:hint="eastAsia" w:ascii="宋体" w:hAnsi="宋体" w:cs="宋体"/>
          <w:color w:val="000000"/>
          <w:szCs w:val="21"/>
          <w:highlight w:val="none"/>
        </w:rPr>
      </w:r>
      <w:r/>
    </w:p>
    <w:p>
      <w:pPr>
        <w:pStyle w:val="1067"/>
        <w:spacing w:line="360" w:lineRule="auto"/>
        <w:tabs>
          <w:tab w:val="left" w:pos="360" w:leader="none"/>
        </w:tabs>
        <w:rPr>
          <w:b/>
          <w:bCs/>
          <w:color w:val="000000"/>
          <w:szCs w:val="21"/>
          <w:highlight w:val="none"/>
        </w:rPr>
        <w:outlineLvl w:val="1"/>
      </w:pPr>
      <w:r/>
      <w:bookmarkStart w:id="450" w:name="_Toc150774741"/>
      <w:r/>
      <w:bookmarkStart w:id="451" w:name="_Toc305158804"/>
      <w:r/>
      <w:bookmarkStart w:id="452" w:name="_Toc151190163"/>
      <w:r/>
      <w:bookmarkStart w:id="453" w:name="_Toc195842901"/>
      <w:r/>
      <w:bookmarkStart w:id="454" w:name="_Toc127151737"/>
      <w:r/>
      <w:bookmarkStart w:id="455" w:name="_Toc264969226"/>
      <w:r/>
      <w:bookmarkStart w:id="456" w:name="_Toc149720829"/>
      <w:r/>
      <w:bookmarkStart w:id="457" w:name="_Toc265228374"/>
      <w:r/>
      <w:bookmarkStart w:id="458" w:name="_Toc150480774"/>
      <w:r/>
      <w:bookmarkStart w:id="459" w:name="_Toc142311038"/>
      <w:r/>
      <w:bookmarkStart w:id="460" w:name="_Toc151193778"/>
      <w:r/>
      <w:bookmarkStart w:id="461" w:name="_Toc226965726"/>
      <w:r/>
      <w:bookmarkStart w:id="462" w:name="_Toc151193634"/>
      <w:r/>
      <w:bookmarkStart w:id="463" w:name="_Toc150774636"/>
      <w:r/>
      <w:bookmarkStart w:id="464" w:name="_Toc164229231"/>
      <w:r/>
      <w:bookmarkStart w:id="465" w:name="_Toc164229377"/>
      <w:r/>
      <w:bookmarkStart w:id="466" w:name="_Toc305158878"/>
      <w:r/>
      <w:bookmarkStart w:id="467" w:name="_Toc226965809"/>
      <w:r/>
      <w:bookmarkStart w:id="468" w:name="_Toc151193850"/>
      <w:r/>
      <w:bookmarkStart w:id="469" w:name="_Toc164608650"/>
      <w:r/>
      <w:bookmarkStart w:id="470" w:name="_Toc164351630"/>
      <w:r/>
      <w:bookmarkStart w:id="471" w:name="_Toc226337232"/>
      <w:r/>
      <w:bookmarkStart w:id="472" w:name="_Toc520356161"/>
      <w:r/>
      <w:bookmarkStart w:id="473" w:name="_Toc127151536"/>
      <w:r/>
      <w:bookmarkStart w:id="474" w:name="_Toc226309780"/>
      <w:r/>
      <w:bookmarkStart w:id="475" w:name="_Toc151193706"/>
      <w:r/>
      <w:bookmarkStart w:id="476" w:name="_Toc164608805"/>
      <w:r/>
      <w:bookmarkStart w:id="477" w:name="_Toc151193924"/>
      <w:r/>
      <w:bookmarkStart w:id="478" w:name="_Toc127161450"/>
      <w:r/>
      <w:bookmarkStart w:id="479" w:name="_Toc150509287"/>
      <w:r>
        <w:rPr>
          <w:rFonts w:hint="eastAsia"/>
          <w:b/>
          <w:bCs/>
          <w:color w:val="000000"/>
          <w:szCs w:val="21"/>
          <w:highlight w:val="none"/>
        </w:rPr>
        <w:t xml:space="preserve">16.</w:t>
      </w:r>
      <w:r>
        <w:rPr>
          <w:b/>
          <w:bCs/>
          <w:color w:val="000000"/>
          <w:szCs w:val="21"/>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highlight w:val="none"/>
        </w:rPr>
        <w:t xml:space="preserve">时间</w:t>
      </w:r>
      <w:r>
        <w:rPr>
          <w:b/>
          <w:bCs/>
          <w:color w:val="000000"/>
          <w:szCs w:val="21"/>
          <w:highlight w:val="none"/>
        </w:rPr>
      </w:r>
      <w:r/>
    </w:p>
    <w:p>
      <w:pPr>
        <w:pStyle w:val="1067"/>
        <w:ind w:firstLine="420"/>
        <w:spacing w:line="360" w:lineRule="auto"/>
        <w:tabs>
          <w:tab w:val="left" w:pos="360" w:leader="none"/>
        </w:tabs>
        <w:rPr>
          <w:rFonts w:hint="eastAsia" w:ascii="宋体" w:hAnsi="宋体" w:cs="宋体"/>
          <w:color w:val="000000"/>
          <w:szCs w:val="21"/>
          <w:highlight w:val="none"/>
        </w:rPr>
        <w:outlineLvl w:val="1"/>
      </w:pPr>
      <w:r/>
      <w:bookmarkStart w:id="480" w:name="_Toc127161451"/>
      <w:r/>
      <w:bookmarkStart w:id="481" w:name="_Toc151193925"/>
      <w:r/>
      <w:bookmarkStart w:id="482" w:name="_Toc520356162"/>
      <w:r/>
      <w:bookmarkStart w:id="483" w:name="_Toc150509288"/>
      <w:r/>
      <w:bookmarkStart w:id="484" w:name="_Toc151193851"/>
      <w:r/>
      <w:bookmarkStart w:id="485" w:name="_Toc151193779"/>
      <w:r/>
      <w:bookmarkStart w:id="486" w:name="_Toc164608651"/>
      <w:r/>
      <w:bookmarkStart w:id="487" w:name="_Toc226965810"/>
      <w:r/>
      <w:bookmarkStart w:id="488" w:name="_Toc305158805"/>
      <w:r/>
      <w:bookmarkStart w:id="489" w:name="_Toc305158879"/>
      <w:r/>
      <w:bookmarkStart w:id="490" w:name="_Toc164351631"/>
      <w:r/>
      <w:bookmarkStart w:id="491" w:name="_Toc226965727"/>
      <w:r/>
      <w:bookmarkStart w:id="492" w:name="_Toc164229378"/>
      <w:r/>
      <w:bookmarkStart w:id="493" w:name="_Toc164229232"/>
      <w:r/>
      <w:bookmarkStart w:id="494" w:name="_Toc142311039"/>
      <w:r/>
      <w:bookmarkStart w:id="495" w:name="_Toc265228375"/>
      <w:r/>
      <w:bookmarkStart w:id="496" w:name="_Toc164608806"/>
      <w:r/>
      <w:bookmarkStart w:id="497" w:name="_Toc149720830"/>
      <w:r/>
      <w:bookmarkStart w:id="498" w:name="_Toc150774742"/>
      <w:r/>
      <w:bookmarkStart w:id="499" w:name="_Toc127151537"/>
      <w:r/>
      <w:bookmarkStart w:id="500" w:name="_Toc226337233"/>
      <w:r/>
      <w:bookmarkStart w:id="501" w:name="_Toc151190164"/>
      <w:r/>
      <w:bookmarkStart w:id="502" w:name="_Toc150480775"/>
      <w:r/>
      <w:bookmarkStart w:id="503" w:name="_Toc151193707"/>
      <w:r/>
      <w:bookmarkStart w:id="504" w:name="_Toc151193635"/>
      <w:r/>
      <w:bookmarkStart w:id="505" w:name="_Toc150774637"/>
      <w:r/>
      <w:bookmarkStart w:id="506" w:name="_Toc195842902"/>
      <w:r/>
      <w:bookmarkStart w:id="507" w:name="_Toc127151738"/>
      <w:r/>
      <w:bookmarkStart w:id="508" w:name="_Toc264969227"/>
      <w:r/>
      <w:bookmarkStart w:id="509" w:name="_Toc226309781"/>
      <w:r>
        <w:rPr>
          <w:rFonts w:hint="eastAsia" w:ascii="宋体" w:hAnsi="宋体" w:cs="宋体"/>
          <w:color w:val="000000"/>
          <w:szCs w:val="21"/>
          <w:highlight w:val="none"/>
        </w:rPr>
        <w:t xml:space="preserve">16.1投标人应在招标文件要求提交投标文件截止时间前，将电子投标文件提交至“苏采云”政府采购一体化平台。</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17.1投标截止时间前，投标人可以通过“苏采云”政府采购一体化平台对所提交的投标文件进行补充、修改或者撤回。</w:t>
      </w:r>
      <w:r>
        <w:rPr>
          <w:rFonts w:hint="eastAsia" w:ascii="宋体" w:hAnsi="宋体" w:cs="宋体"/>
          <w:color w:val="000000"/>
          <w:szCs w:val="21"/>
          <w:highlight w:val="none"/>
        </w:rPr>
      </w:r>
      <w:r/>
    </w:p>
    <w:p>
      <w:pPr>
        <w:pStyle w:val="106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17.2投标人对投标文件的补充、修改的内容应当按照招标文件要求签署、加盖公章，作为投标文件的组成部分。</w:t>
      </w:r>
      <w:r>
        <w:rPr>
          <w:rFonts w:ascii="宋体" w:hAnsi="宋体" w:cs="宋体"/>
          <w:color w:val="000000"/>
          <w:szCs w:val="21"/>
          <w:highlight w:val="none"/>
        </w:rPr>
      </w:r>
      <w:r/>
    </w:p>
    <w:p>
      <w:pPr>
        <w:pStyle w:val="1069"/>
        <w:spacing w:before="0" w:line="360" w:lineRule="auto"/>
        <w:rPr>
          <w:rFonts w:ascii="Times New Roman" w:hAnsi="Times New Roman" w:eastAsia="宋体"/>
          <w:color w:val="000000"/>
          <w:sz w:val="28"/>
          <w:highlight w:val="none"/>
        </w:rPr>
      </w:pPr>
      <w:r/>
      <w:bookmarkStart w:id="510" w:name="_Toc226965728"/>
      <w:r/>
      <w:bookmarkStart w:id="511" w:name="_Toc195842903"/>
      <w:r/>
      <w:bookmarkStart w:id="512" w:name="_Toc151193636"/>
      <w:r/>
      <w:bookmarkStart w:id="513" w:name="_Toc151193852"/>
      <w:r/>
      <w:bookmarkStart w:id="514" w:name="_Toc226309782"/>
      <w:r/>
      <w:bookmarkStart w:id="515" w:name="_Toc150480776"/>
      <w:r/>
      <w:bookmarkStart w:id="516" w:name="_Toc151190165"/>
      <w:r/>
      <w:bookmarkStart w:id="517" w:name="_Toc127151538"/>
      <w:r/>
      <w:bookmarkStart w:id="518" w:name="_Toc151193780"/>
      <w:r/>
      <w:bookmarkStart w:id="519" w:name="_Toc520356163"/>
      <w:r/>
      <w:bookmarkStart w:id="520" w:name="_Toc265228376"/>
      <w:r/>
      <w:bookmarkStart w:id="521" w:name="_Toc151193708"/>
      <w:r/>
      <w:bookmarkStart w:id="522" w:name="_Toc264969228"/>
      <w:r/>
      <w:bookmarkStart w:id="523" w:name="_Toc150774743"/>
      <w:r/>
      <w:bookmarkStart w:id="524" w:name="_Toc305158880"/>
      <w:r/>
      <w:bookmarkStart w:id="525" w:name="_Toc150509289"/>
      <w:r/>
      <w:bookmarkStart w:id="526" w:name="_Toc305158806"/>
      <w:r/>
      <w:bookmarkStart w:id="527" w:name="_Toc151193926"/>
      <w:r/>
      <w:bookmarkStart w:id="528" w:name="_Toc142311040"/>
      <w:r/>
      <w:bookmarkStart w:id="529" w:name="_Toc226965811"/>
      <w:r/>
      <w:bookmarkStart w:id="530" w:name="_Toc150774638"/>
      <w:r/>
      <w:bookmarkStart w:id="531" w:name="_Toc226337234"/>
      <w:r>
        <w:rPr>
          <w:rFonts w:ascii="Times New Roman" w:hAnsi="Times New Roman" w:eastAsia="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highlight w:val="none"/>
        </w:rPr>
      </w:r>
      <w:r/>
    </w:p>
    <w:p>
      <w:pPr>
        <w:pStyle w:val="1067"/>
        <w:spacing w:line="360" w:lineRule="auto"/>
        <w:rPr>
          <w:rFonts w:hint="eastAsia" w:ascii="宋体" w:hAnsi="宋体" w:cs="宋体"/>
          <w:b/>
          <w:bCs/>
          <w:color w:val="000000"/>
          <w:szCs w:val="21"/>
          <w:highlight w:val="none"/>
        </w:rPr>
      </w:pPr>
      <w:r/>
      <w:bookmarkStart w:id="532" w:name="_Toc520356169"/>
      <w:r>
        <w:rPr>
          <w:rFonts w:hint="eastAsia" w:ascii="宋体" w:hAnsi="宋体" w:cs="宋体"/>
          <w:b/>
          <w:bCs/>
          <w:color w:val="000000"/>
          <w:szCs w:val="21"/>
          <w:highlight w:val="none"/>
        </w:rPr>
        <w:t xml:space="preserve">18.开标</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18.1采购人或采购代理机构将按招标文件的规定，在投标截止时间的同一时间和招标文件预先确定的地点组织开标。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18.5投标人不足3家的，不予开标。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Cs w:val="21"/>
          <w:highlight w:val="none"/>
        </w:rPr>
      </w:r>
      <w:r/>
    </w:p>
    <w:p>
      <w:pPr>
        <w:pStyle w:val="106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1)平台系统发生故障而无法登录访问的；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2)平台系统应用或数据库出现错误，不能进行正常操作的；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3)平台系统发现严重安全漏洞，有潜在泄密危险的；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4)病毒发作导致平台系统不能进行正常操作的；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5)其他无法保证本次采购活动的公平、公正和安全的情况。</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19.资格审查</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19.1见第三章《资格审查》。</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20.评标委员会</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20.1评标委员会根据政府采购有关规定和本次招标采购项目的特点进行组建，并负责具体评标事务，独立履行职责。</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21.评标程序、评标方法和评标标准</w:t>
      </w:r>
      <w:r>
        <w:rPr>
          <w:rFonts w:hint="eastAsia" w:ascii="宋体" w:hAnsi="宋体" w:cs="宋体"/>
          <w:b/>
          <w:bCs/>
          <w:color w:val="000000"/>
          <w:szCs w:val="21"/>
          <w:highlight w:val="none"/>
        </w:rPr>
      </w:r>
      <w:r/>
    </w:p>
    <w:p>
      <w:pPr>
        <w:pStyle w:val="1067"/>
        <w:ind w:firstLine="420"/>
        <w:spacing w:line="360" w:lineRule="auto"/>
        <w:rPr>
          <w:color w:val="000000"/>
          <w:sz w:val="24"/>
          <w:highlight w:val="none"/>
        </w:rPr>
      </w:pPr>
      <w:r>
        <w:rPr>
          <w:rFonts w:hint="eastAsia" w:ascii="宋体" w:hAnsi="宋体" w:cs="宋体"/>
          <w:color w:val="000000"/>
          <w:szCs w:val="21"/>
          <w:highlight w:val="none"/>
        </w:rPr>
        <w:t xml:space="preserve">21.1见第四章《评标程序、评标方法和评标标准》。</w:t>
      </w:r>
      <w:r>
        <w:rPr>
          <w:color w:val="000000"/>
          <w:sz w:val="24"/>
          <w:highlight w:val="none"/>
        </w:rPr>
      </w:r>
      <w:r/>
    </w:p>
    <w:p>
      <w:pPr>
        <w:pStyle w:val="1069"/>
        <w:spacing w:before="0" w:line="360" w:lineRule="auto"/>
        <w:rPr>
          <w:rFonts w:ascii="Times New Roman" w:hAnsi="Times New Roman" w:eastAsia="宋体"/>
          <w:color w:val="000000"/>
          <w:sz w:val="28"/>
          <w:highlight w:val="none"/>
        </w:rPr>
      </w:pPr>
      <w:r/>
      <w:bookmarkStart w:id="533" w:name="_Toc151193933"/>
      <w:r/>
      <w:bookmarkStart w:id="534" w:name="_Toc151193787"/>
      <w:r/>
      <w:bookmarkStart w:id="535" w:name="_Toc226965735"/>
      <w:r/>
      <w:bookmarkStart w:id="536" w:name="_Toc151190172"/>
      <w:r/>
      <w:bookmarkStart w:id="537" w:name="_Toc265228383"/>
      <w:r/>
      <w:bookmarkStart w:id="538" w:name="_Toc305158813"/>
      <w:r/>
      <w:bookmarkStart w:id="539" w:name="_Toc305158887"/>
      <w:r/>
      <w:bookmarkStart w:id="540" w:name="_Toc264969235"/>
      <w:r/>
      <w:bookmarkStart w:id="541" w:name="_Toc142311047"/>
      <w:r/>
      <w:bookmarkStart w:id="542" w:name="_Toc151193859"/>
      <w:r/>
      <w:bookmarkStart w:id="543" w:name="_Toc151193715"/>
      <w:r/>
      <w:bookmarkStart w:id="544" w:name="_Toc127151545"/>
      <w:r/>
      <w:bookmarkStart w:id="545" w:name="_Toc151193643"/>
      <w:r/>
      <w:bookmarkStart w:id="546" w:name="_Toc195842910"/>
      <w:r/>
      <w:bookmarkStart w:id="547" w:name="_Toc150774645"/>
      <w:r/>
      <w:bookmarkStart w:id="548" w:name="_Toc226309789"/>
      <w:r/>
      <w:bookmarkStart w:id="549" w:name="_Toc226965818"/>
      <w:r/>
      <w:bookmarkStart w:id="550" w:name="_Toc226337241"/>
      <w:r/>
      <w:bookmarkStart w:id="551" w:name="_Toc150480783"/>
      <w:r/>
      <w:bookmarkStart w:id="552" w:name="_Toc150509296"/>
      <w:r/>
      <w:bookmarkStart w:id="553" w:name="_Toc150774750"/>
      <w:r>
        <w:rPr>
          <w:rFonts w:ascii="Times New Roman" w:hAnsi="Times New Roman" w:eastAsia="宋体"/>
          <w:color w:val="000000"/>
          <w:sz w:val="28"/>
          <w:highlight w:val="none"/>
        </w:rPr>
        <w:t xml:space="preserve">六   </w:t>
      </w:r>
      <w:bookmarkEnd w:id="532"/>
      <w:r>
        <w:rPr>
          <w:rFonts w:ascii="Times New Roman" w:hAnsi="Times New Roman" w:eastAsia="宋体"/>
          <w:color w:val="000000"/>
          <w:sz w:val="28"/>
          <w:highlight w:val="none"/>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264969237"/>
      <w:r/>
      <w:bookmarkStart w:id="555" w:name="_Toc164229242"/>
      <w:r/>
      <w:bookmarkStart w:id="556" w:name="_Toc164608816"/>
      <w:r/>
      <w:bookmarkStart w:id="557" w:name="_Toc151193717"/>
      <w:r/>
      <w:bookmarkStart w:id="558" w:name="_Toc149720840"/>
      <w:r/>
      <w:bookmarkStart w:id="559" w:name="_Toc127161461"/>
      <w:r/>
      <w:bookmarkStart w:id="560" w:name="_Toc151193935"/>
      <w:r/>
      <w:bookmarkStart w:id="561" w:name="_Toc226965737"/>
      <w:r/>
      <w:bookmarkStart w:id="562" w:name="_Toc151193789"/>
      <w:r/>
      <w:bookmarkStart w:id="563" w:name="_Toc151193645"/>
      <w:r/>
      <w:bookmarkStart w:id="564" w:name="_Toc305158889"/>
      <w:r/>
      <w:bookmarkStart w:id="565" w:name="_Toc195842912"/>
      <w:r/>
      <w:bookmarkStart w:id="566" w:name="_Toc226337243"/>
      <w:r/>
      <w:bookmarkStart w:id="567" w:name="_Toc151193861"/>
      <w:r/>
      <w:bookmarkStart w:id="568" w:name="_Toc150509298"/>
      <w:r/>
      <w:bookmarkStart w:id="569" w:name="_Toc151190174"/>
      <w:r/>
      <w:bookmarkStart w:id="570" w:name="_Toc226309791"/>
      <w:r/>
      <w:bookmarkStart w:id="571" w:name="_Toc164351641"/>
      <w:r/>
      <w:bookmarkStart w:id="572" w:name="_Toc127151748"/>
      <w:r/>
      <w:bookmarkStart w:id="573" w:name="_Toc150774752"/>
      <w:r/>
      <w:bookmarkStart w:id="574" w:name="_Toc226965820"/>
      <w:r/>
      <w:bookmarkStart w:id="575" w:name="_Toc164608661"/>
      <w:r/>
      <w:bookmarkStart w:id="576" w:name="_Toc305158815"/>
      <w:r/>
      <w:bookmarkStart w:id="577" w:name="_Toc150480785"/>
      <w:r/>
      <w:bookmarkStart w:id="578" w:name="_Toc142311049"/>
      <w:r/>
      <w:bookmarkStart w:id="579" w:name="_Toc164229388"/>
      <w:r/>
      <w:bookmarkStart w:id="580" w:name="_Toc127151547"/>
      <w:r/>
      <w:bookmarkStart w:id="581" w:name="_Toc265228385"/>
      <w:r/>
      <w:bookmarkStart w:id="582" w:name="_Toc150774647"/>
      <w:r>
        <w:rPr>
          <w:rFonts w:ascii="Times New Roman" w:hAnsi="Times New Roman" w:eastAsia="宋体"/>
          <w:color w:val="000000"/>
          <w:sz w:val="28"/>
          <w:highlight w:val="none"/>
        </w:rPr>
      </w:r>
      <w:r/>
    </w:p>
    <w:p>
      <w:pPr>
        <w:pStyle w:val="1067"/>
        <w:spacing w:line="360" w:lineRule="auto"/>
        <w:rPr>
          <w:rFonts w:hint="eastAsia" w:ascii="宋体" w:hAnsi="宋体" w:cs="宋体"/>
          <w:b/>
          <w:bCs/>
          <w:color w:val="000000"/>
          <w:szCs w:val="21"/>
          <w:highlight w:val="none"/>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color w:val="000000"/>
          <w:szCs w:val="21"/>
          <w:highlight w:val="none"/>
        </w:rPr>
        <w:t xml:space="preserve">22.确定中标人</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22.1采购人将在评标报告确定的中标候选人名单中按顺序确定中标人，中标候选人并列的，由采购人依法确定。</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23.中标公告与中标通知书</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w:t>
      </w:r>
      <w:r>
        <w:rPr>
          <w:rFonts w:hint="eastAsia" w:ascii="宋体" w:hAnsi="宋体" w:cs="宋体"/>
          <w:color w:val="000000"/>
          <w:szCs w:val="21"/>
          <w:highlight w:val="none"/>
        </w:rPr>
        <w:t xml:space="preserve">采购人从评审报告提出的</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候选</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中，按照排序由高到低的原则确定</w:t>
      </w:r>
      <w:r>
        <w:rPr>
          <w:rFonts w:hint="eastAsia" w:ascii="宋体" w:hAnsi="宋体" w:cs="宋体"/>
          <w:color w:val="000000"/>
          <w:szCs w:val="21"/>
          <w:highlight w:val="none"/>
          <w:lang w:val="en-US" w:eastAsia="zh-CN"/>
        </w:rPr>
        <w:t xml:space="preserve">中标人</w:t>
      </w:r>
      <w:r>
        <w:rPr>
          <w:rFonts w:hint="eastAsia" w:ascii="宋体" w:hAnsi="宋体" w:cs="宋体"/>
          <w:color w:val="000000"/>
          <w:szCs w:val="21"/>
          <w:highlight w:val="none"/>
        </w:rPr>
        <w:t xml:space="preserve">。采购人确定</w:t>
      </w:r>
      <w:r>
        <w:rPr>
          <w:rFonts w:hint="eastAsia" w:ascii="宋体" w:hAnsi="宋体" w:cs="宋体"/>
          <w:color w:val="000000"/>
          <w:szCs w:val="21"/>
          <w:highlight w:val="none"/>
          <w:lang w:val="en-US" w:eastAsia="zh-CN"/>
        </w:rPr>
        <w:t xml:space="preserve">中标人</w:t>
      </w:r>
      <w:r>
        <w:rPr>
          <w:rFonts w:hint="eastAsia" w:ascii="宋体" w:hAnsi="宋体" w:cs="宋体"/>
          <w:color w:val="000000"/>
          <w:szCs w:val="21"/>
          <w:highlight w:val="none"/>
        </w:rPr>
        <w:t xml:space="preserve">后</w:t>
      </w:r>
      <w:r>
        <w:rPr>
          <w:rFonts w:hint="eastAsia" w:ascii="宋体" w:hAnsi="宋体" w:cs="宋体"/>
          <w:color w:val="000000"/>
          <w:szCs w:val="21"/>
          <w:highlight w:val="none"/>
        </w:rPr>
        <w:t xml:space="preserve">2个工作日内，代理机构将在</w:t>
      </w:r>
      <w:r>
        <w:rPr>
          <w:rFonts w:hint="eastAsia" w:ascii="宋体" w:hAnsi="宋体" w:cs="宋体"/>
          <w:b/>
          <w:bCs/>
          <w:color w:val="000000"/>
          <w:szCs w:val="21"/>
          <w:highlight w:val="none"/>
        </w:rPr>
        <w:t xml:space="preserve">“江苏省政府采购网”</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“常州市政府采购网”</w:t>
      </w:r>
      <w:r>
        <w:rPr>
          <w:rFonts w:hint="eastAsia" w:ascii="宋体" w:hAnsi="宋体" w:cs="宋体"/>
          <w:color w:val="000000"/>
          <w:szCs w:val="21"/>
          <w:highlight w:val="none"/>
        </w:rPr>
        <w:t xml:space="preserve">公告</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结果，同时向</w:t>
      </w:r>
      <w:r>
        <w:rPr>
          <w:rFonts w:hint="eastAsia" w:ascii="宋体" w:hAnsi="宋体" w:cs="宋体"/>
          <w:color w:val="000000"/>
          <w:szCs w:val="21"/>
          <w:highlight w:val="none"/>
          <w:lang w:val="en-US" w:eastAsia="zh-CN"/>
        </w:rPr>
        <w:t xml:space="preserve">中标人</w:t>
      </w:r>
      <w:r>
        <w:rPr>
          <w:rFonts w:hint="eastAsia" w:ascii="宋体" w:hAnsi="宋体" w:cs="宋体"/>
          <w:color w:val="000000"/>
          <w:szCs w:val="21"/>
          <w:highlight w:val="none"/>
        </w:rPr>
        <w:t xml:space="preserve">发出</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通知书，</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公告期限为1个工作日。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24.废标</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24.1在招标采购中，出现下列情形之一的，应予废标：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24.1.1符合专业条件的供应商或者对招标文件作实质响应的供应商不足三家的；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24.1.2出现影响采购公正的违法、违规行为的；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24.1.3投标人的报价均超过了采购预算，采购人不能支付的；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24.1.4因重大变故，采购任务取消的。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24.1.5平台系统出现序号18.8的所述情形，情况严重且影响采购活动公平、公正性的。</w:t>
      </w:r>
      <w:r>
        <w:rPr>
          <w:rFonts w:hint="eastAsia" w:ascii="宋体" w:hAnsi="宋体" w:cs="宋体"/>
          <w:color w:val="000000"/>
          <w:szCs w:val="21"/>
          <w:highlight w:val="none"/>
        </w:rPr>
      </w:r>
      <w:r/>
    </w:p>
    <w:p>
      <w:pPr>
        <w:pStyle w:val="1155"/>
        <w:ind w:firstLine="420"/>
        <w:rPr>
          <w:rFonts w:hint="eastAsia" w:ascii="宋体" w:hAnsi="宋体" w:cs="宋体"/>
          <w:color w:val="000000"/>
          <w:szCs w:val="21"/>
          <w:highlight w:val="none"/>
          <w:lang w:val="en-US"/>
        </w:rPr>
      </w:pPr>
      <w:r>
        <w:rPr>
          <w:rFonts w:hint="eastAsia" w:ascii="宋体" w:hAnsi="宋体" w:cs="宋体"/>
          <w:color w:val="000000"/>
          <w:szCs w:val="21"/>
          <w:highlight w:val="none"/>
          <w:lang w:val="en-US"/>
        </w:rPr>
        <w:t xml:space="preserve">24.2废标后，采购人将废标理由通知所有投标人。</w:t>
      </w:r>
      <w:r>
        <w:rPr>
          <w:rFonts w:hint="eastAsia" w:ascii="宋体" w:hAnsi="宋体" w:cs="宋体"/>
          <w:color w:val="000000"/>
          <w:szCs w:val="21"/>
          <w:highlight w:val="none"/>
          <w:lang w:val="en-US"/>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25.签订合同</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25.1中标人、采购人应当自中标通知书发出之日起30日内，按照招标文件和中标人投标文件的规定签订书面合同（</w:t>
      </w:r>
      <w:r>
        <w:rPr>
          <w:rFonts w:hint="eastAsia" w:ascii="宋体" w:hAnsi="宋体" w:cs="宋体"/>
          <w:b/>
          <w:bCs/>
          <w:color w:val="000000"/>
          <w:szCs w:val="21"/>
          <w:highlight w:val="none"/>
        </w:rPr>
        <w:t xml:space="preserve">同时在“苏采云”政府采购一体化平台中签订线上合同</w:t>
      </w:r>
      <w:r>
        <w:rPr>
          <w:rFonts w:hint="eastAsia" w:ascii="宋体" w:hAnsi="宋体" w:cs="宋体"/>
          <w:color w:val="000000"/>
          <w:szCs w:val="21"/>
          <w:highlight w:val="none"/>
        </w:rPr>
        <w:t xml:space="preserve">）。所签订的合同不得对招标文件确定的事项和中标人投标文件作实质性修改。</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25.3联合体中标的，联合体各方应当共同与采购人签订合同，就中标项目向采购人承担连带责任。</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25.4政府采购合同不能转包。</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。中标人就采购项目和分包项目向采购人负责，分包供应商就分包项目承担责任。</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26.询问与质疑</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26.1询问</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26.1.1投标人对政府采购活动事项有疑问的，可依法提出询问，并按《投标人须知资料表》载明的形式送达采购人或采购代理机构。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26.1.2采购人或采购代理机构对投标人依法提出的询问，在3个工作日内作出答复，但答复的内容不得涉及商业秘密。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26.2质疑</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26.2.1投标人认为</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在“苏采云”系统进行登记、参与及下载电子</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lang w:eastAsia="zh-CN"/>
        </w:rPr>
        <w:t xml:space="preserve">文件，选择“我要参与”点提交的日期视同为依法获取</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lang w:eastAsia="zh-CN"/>
        </w:rPr>
        <w:t xml:space="preserve">公告要求实行网上报名的</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，视为未参与该项政府采购活动，不具备对该政府采购项目提出质疑的法定权利，但因</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资格条件或报名时间设定不符合有关法律法规规定等原因使</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权益受损的除外。</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106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26.2.3质疑函须使用财政部制定的范本文件。（下载网址：http://gks.mof.gov.cn/ztztz/zhengfucaigouguanli/201802/t20180201_2804589.htm）</w:t>
      </w:r>
      <w:r>
        <w:rPr>
          <w:rFonts w:hint="eastAsia" w:ascii="宋体" w:hAnsi="宋体" w:cs="宋体"/>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26.3接收询问和质疑的联系部门、联系电话和通讯地址见《投标人须知资料表》。</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27.代理费</w:t>
      </w:r>
      <w:r>
        <w:rPr>
          <w:rFonts w:hint="eastAsia" w:ascii="宋体" w:hAnsi="宋体" w:cs="宋体"/>
          <w:b/>
          <w:bCs/>
          <w:color w:val="000000"/>
          <w:szCs w:val="21"/>
          <w:highlight w:val="none"/>
        </w:rPr>
      </w:r>
      <w:r/>
    </w:p>
    <w:p>
      <w:pPr>
        <w:pStyle w:val="1067"/>
        <w:ind w:firstLine="420"/>
        <w:spacing w:line="360" w:lineRule="auto"/>
        <w:tabs>
          <w:tab w:val="left" w:pos="360" w:leader="none"/>
          <w:tab w:val="left" w:pos="1080" w:leader="none"/>
        </w:tabs>
        <w:rPr>
          <w:color w:val="000000"/>
          <w:sz w:val="24"/>
          <w:highlight w:val="none"/>
        </w:rPr>
      </w:pPr>
      <w:r>
        <w:rPr>
          <w:rFonts w:hint="eastAsia" w:ascii="宋体" w:hAnsi="宋体" w:cs="宋体"/>
          <w:color w:val="000000"/>
          <w:szCs w:val="21"/>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1067"/>
        <w:spacing w:line="360" w:lineRule="auto"/>
        <w:rPr>
          <w:rFonts w:hint="eastAsia" w:ascii="宋体" w:hAnsi="宋体" w:cs="宋体"/>
          <w:b/>
          <w:bCs/>
          <w:color w:val="000000"/>
          <w:szCs w:val="21"/>
          <w:highlight w:val="none"/>
        </w:rPr>
      </w:pPr>
      <w:r/>
      <w:bookmarkStart w:id="583" w:name="_Toc150480792"/>
      <w:r/>
      <w:bookmarkStart w:id="584" w:name="_Toc264969244"/>
      <w:r/>
      <w:bookmarkStart w:id="585" w:name="_Toc353873664"/>
      <w:r/>
      <w:bookmarkStart w:id="586" w:name="_Toc353873934"/>
      <w:r/>
      <w:bookmarkStart w:id="587" w:name="_Toc142311056"/>
      <w:r/>
      <w:bookmarkStart w:id="588" w:name="_Toc150774759"/>
      <w:r/>
      <w:bookmarkStart w:id="589" w:name="_Toc226337250"/>
      <w:r/>
      <w:bookmarkStart w:id="590" w:name="_Toc305158822"/>
      <w:r/>
      <w:bookmarkStart w:id="591" w:name="_Toc305158896"/>
      <w:r/>
      <w:bookmarkStart w:id="592" w:name="_Toc353825544"/>
      <w:r/>
      <w:bookmarkStart w:id="593" w:name="_Toc265228392"/>
      <w:r/>
      <w:bookmarkStart w:id="594" w:name="_Toc226965827"/>
      <w:r/>
      <w:bookmarkStart w:id="595" w:name="_Toc127151554"/>
      <w:r>
        <w:rPr>
          <w:rFonts w:hint="eastAsia" w:ascii="宋体" w:hAnsi="宋体" w:cs="宋体"/>
          <w:b/>
          <w:bCs/>
          <w:color w:val="000000"/>
          <w:szCs w:val="21"/>
          <w:highlight w:val="none"/>
        </w:rPr>
        <w:t xml:space="preserve">28.纸质投标文件 </w:t>
      </w:r>
      <w:r>
        <w:rPr>
          <w:rFonts w:hint="eastAsia" w:ascii="宋体" w:hAnsi="宋体" w:cs="宋体"/>
          <w:b/>
          <w:bCs/>
          <w:color w:val="000000"/>
          <w:szCs w:val="21"/>
          <w:highlight w:val="none"/>
        </w:rPr>
      </w:r>
      <w:r/>
    </w:p>
    <w:p>
      <w:pPr>
        <w:pStyle w:val="1067"/>
        <w:ind w:firstLine="422"/>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28.1 </w:t>
      </w:r>
      <w:r>
        <w:rPr>
          <w:rFonts w:hint="eastAsia" w:ascii="宋体" w:hAnsi="宋体" w:cs="宋体"/>
          <w:b/>
          <w:bCs/>
          <w:color w:val="000000"/>
          <w:szCs w:val="21"/>
          <w:highlight w:val="none"/>
        </w:rPr>
        <w:t xml:space="preserve">中标人在签订合同前向代理机构提供</w:t>
      </w:r>
      <w:r>
        <w:rPr>
          <w:rFonts w:hint="eastAsia" w:ascii="宋体" w:hAnsi="宋体" w:cs="宋体"/>
          <w:b/>
          <w:bCs/>
          <w:color w:val="000000"/>
          <w:szCs w:val="21"/>
          <w:highlight w:val="none"/>
          <w:lang w:val="en-US" w:eastAsia="zh-CN"/>
        </w:rPr>
        <w:t xml:space="preserve">与</w:t>
      </w:r>
      <w:r>
        <w:rPr>
          <w:rFonts w:hint="eastAsia" w:ascii="宋体" w:hAnsi="宋体" w:cs="宋体"/>
          <w:b/>
          <w:bCs/>
          <w:color w:val="000000"/>
          <w:szCs w:val="21"/>
          <w:highlight w:val="none"/>
        </w:rPr>
        <w:t xml:space="preserve">电子</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文件内容一致的纸质</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文件正本1套、副本2套</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在每一份纸质</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文件上要明确注明“正本” 或“副本”字样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作为项目归档使用</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r>
      <w:r/>
    </w:p>
    <w:p>
      <w:pPr>
        <w:pStyle w:val="1067"/>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28.2 纸质投标文件需与“苏采云”政府采购一体化平台的投标文件一致，中标人应按照要求签字、盖章，副本可通过正本复印。</w:t>
      </w:r>
      <w:r>
        <w:rPr>
          <w:rFonts w:hint="eastAsia" w:ascii="宋体" w:hAnsi="宋体" w:cs="宋体"/>
          <w:color w:val="000000"/>
          <w:szCs w:val="21"/>
          <w:highlight w:val="none"/>
        </w:rPr>
      </w:r>
      <w:r/>
    </w:p>
    <w:p>
      <w:pPr>
        <w:pStyle w:val="1067"/>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 招标文件所表述（指定）的公章是指法定名称章，不包括合同专用章、业务专用章等印章；盖章是指加盖鲜章。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1067"/>
        <w:ind w:firstLine="480"/>
        <w:jc w:val="center"/>
        <w:spacing w:line="360" w:lineRule="auto"/>
        <w:tabs>
          <w:tab w:val="left" w:pos="360" w:leader="none"/>
          <w:tab w:val="left" w:pos="1080" w:leader="none"/>
        </w:tabs>
        <w:rPr>
          <w:b/>
          <w:color w:val="000000"/>
          <w:sz w:val="36"/>
          <w:szCs w:val="36"/>
          <w:highlight w:val="none"/>
        </w:rPr>
      </w:pPr>
      <w:r>
        <w:rPr>
          <w:color w:val="000000"/>
          <w:sz w:val="24"/>
          <w:highlight w:val="none"/>
        </w:rPr>
        <w:br w:type="page" w:clear="all"/>
      </w:r>
      <w:bookmarkStart w:id="596" w:name="_Toc99301421"/>
      <w:r>
        <w:rPr>
          <w:rFonts w:hint="eastAsia"/>
          <w:b/>
          <w:color w:val="000000"/>
          <w:sz w:val="32"/>
          <w:szCs w:val="32"/>
          <w:highlight w:val="none"/>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highlight w:val="none"/>
        </w:rPr>
        <w:t xml:space="preserve">资格审查</w:t>
      </w:r>
      <w:bookmarkEnd w:id="596"/>
      <w:r/>
      <w:bookmarkStart w:id="597" w:name="_Toc487900382"/>
      <w:r>
        <w:rPr>
          <w:b/>
          <w:color w:val="000000"/>
          <w:sz w:val="36"/>
          <w:szCs w:val="36"/>
          <w:highlight w:val="none"/>
        </w:rPr>
      </w:r>
      <w:r/>
    </w:p>
    <w:p>
      <w:pPr>
        <w:pStyle w:val="1067"/>
        <w:jc w:val="center"/>
        <w:spacing w:line="360" w:lineRule="auto"/>
        <w:tabs>
          <w:tab w:val="left" w:pos="360" w:leader="none"/>
          <w:tab w:val="left" w:pos="900" w:leader="none"/>
        </w:tabs>
        <w:rPr>
          <w:rFonts w:hint="eastAsia" w:ascii="宋体" w:hAnsi="宋体" w:cs="宋体"/>
          <w:b/>
          <w:color w:val="000000"/>
          <w:szCs w:val="21"/>
          <w:highlight w:val="none"/>
        </w:rPr>
        <w:outlineLvl w:val="1"/>
      </w:pPr>
      <w:r/>
      <w:bookmarkStart w:id="598" w:name="_Toc99301422"/>
      <w:r>
        <w:rPr>
          <w:rFonts w:hint="eastAsia" w:ascii="宋体" w:hAnsi="宋体" w:cs="宋体"/>
          <w:b/>
          <w:color w:val="000000"/>
          <w:szCs w:val="21"/>
          <w:highlight w:val="none"/>
        </w:rPr>
        <w:t xml:space="preserve">一、资格审查程序</w:t>
      </w:r>
      <w:bookmarkEnd w:id="598"/>
      <w:r>
        <w:rPr>
          <w:rFonts w:hint="eastAsia" w:ascii="宋体" w:hAnsi="宋体" w:cs="宋体"/>
          <w:b/>
          <w:color w:val="000000"/>
          <w:szCs w:val="21"/>
          <w:highlight w:val="none"/>
        </w:rPr>
      </w:r>
      <w:r/>
    </w:p>
    <w:p>
      <w:pPr>
        <w:pStyle w:val="1067"/>
        <w:spacing w:line="360" w:lineRule="auto"/>
        <w:tabs>
          <w:tab w:val="left" w:pos="426" w:leader="none"/>
          <w:tab w:val="left" w:pos="851"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1.开标结束后，采购人将根据《资格审查要求》中的规定，对投标人进行资格审查，并形成资格审查结果。</w:t>
      </w:r>
      <w:r>
        <w:rPr>
          <w:rFonts w:hint="eastAsia" w:ascii="宋体" w:hAnsi="宋体" w:cs="宋体"/>
          <w:color w:val="000000"/>
          <w:szCs w:val="21"/>
          <w:highlight w:val="none"/>
        </w:rPr>
      </w:r>
      <w:r/>
    </w:p>
    <w:p>
      <w:pPr>
        <w:pStyle w:val="1067"/>
        <w:spacing w:line="360" w:lineRule="auto"/>
        <w:tabs>
          <w:tab w:val="left" w:pos="426" w:leader="none"/>
          <w:tab w:val="left" w:pos="851"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2.《资格审查要求》中对格式有要求的，除招标文件另有规定外，均为“实质性格式”文件。</w:t>
      </w:r>
      <w:r>
        <w:rPr>
          <w:rFonts w:hint="eastAsia" w:ascii="宋体" w:hAnsi="宋体" w:cs="宋体"/>
          <w:color w:val="000000"/>
          <w:szCs w:val="21"/>
          <w:highlight w:val="none"/>
        </w:rPr>
      </w:r>
      <w:r/>
    </w:p>
    <w:p>
      <w:pPr>
        <w:pStyle w:val="1067"/>
        <w:spacing w:line="360" w:lineRule="auto"/>
        <w:tabs>
          <w:tab w:val="left" w:pos="426" w:leader="none"/>
          <w:tab w:val="left" w:pos="851"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3.投标人《资格证明文件》有任何一项不符合《资格审查要求》的，资格审查不合格，其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426" w:leader="none"/>
          <w:tab w:val="left" w:pos="851" w:leader="none"/>
        </w:tabs>
        <w:rPr>
          <w:color w:val="000000"/>
          <w:sz w:val="24"/>
          <w:highlight w:val="none"/>
        </w:rPr>
        <w:outlineLvl w:val="1"/>
      </w:pPr>
      <w:r>
        <w:rPr>
          <w:rFonts w:hint="eastAsia" w:ascii="宋体" w:hAnsi="宋体" w:cs="宋体"/>
          <w:color w:val="000000"/>
          <w:szCs w:val="21"/>
          <w:highlight w:val="none"/>
        </w:rPr>
        <w:t xml:space="preserve">4.资格审查合格的投标人不足3家的，不进行评标。</w:t>
      </w:r>
      <w:r>
        <w:rPr>
          <w:color w:val="000000"/>
          <w:sz w:val="24"/>
          <w:highlight w:val="none"/>
        </w:rPr>
      </w:r>
      <w:r/>
    </w:p>
    <w:p>
      <w:pPr>
        <w:pStyle w:val="1067"/>
        <w:jc w:val="center"/>
        <w:spacing w:line="360" w:lineRule="auto"/>
        <w:tabs>
          <w:tab w:val="left" w:pos="360" w:leader="none"/>
          <w:tab w:val="left" w:pos="900" w:leader="none"/>
        </w:tabs>
        <w:rPr>
          <w:rFonts w:hint="eastAsia" w:ascii="宋体" w:hAnsi="宋体" w:cs="宋体"/>
          <w:b/>
          <w:color w:val="000000"/>
          <w:szCs w:val="21"/>
          <w:highlight w:val="none"/>
        </w:rPr>
        <w:outlineLvl w:val="1"/>
      </w:pPr>
      <w:r>
        <w:rPr>
          <w:rFonts w:hint="eastAsia" w:ascii="宋体" w:hAnsi="宋体" w:cs="宋体"/>
          <w:b/>
          <w:color w:val="000000"/>
          <w:szCs w:val="21"/>
          <w:highlight w:val="none"/>
        </w:rPr>
        <w:t xml:space="preserve">二、资格审查要求</w:t>
      </w:r>
      <w:r>
        <w:rPr>
          <w:rFonts w:hint="eastAsia" w:ascii="宋体" w:hAnsi="宋体" w:cs="宋体"/>
          <w:b/>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127161490"/>
            <w:r/>
            <w:bookmarkStart w:id="601" w:name="_Toc127151779"/>
            <w:r/>
            <w:bookmarkStart w:id="602" w:name="_Toc353873940"/>
            <w:r/>
            <w:bookmarkStart w:id="603" w:name="_Toc353825550"/>
            <w:r/>
            <w:bookmarkStart w:id="604" w:name="_Toc226965858"/>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066"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2596"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c>
          <w:tcPr>
            <w:tcW w:w="881"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格式要求</w:t>
            </w:r>
            <w:r>
              <w:rPr>
                <w:rFonts w:hint="eastAsia" w:ascii="宋体" w:hAnsi="宋体" w:cs="宋体"/>
                <w:b/>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具体规定见第一章《投标邀请》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投标人营业执照</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有效的法人或者其他组织的营业执照等证明文件</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提供证明文件的电子件或电子证照</w:t>
            </w: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投标人资格声明函</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提供了符合招标文件要求的《投标人资格声明函》。</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格式见《投标文件格式》</w:t>
            </w: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投标人信用记录</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查询渠道：信用中国网站和中国政府采购网（www.creditchina.gov.cn、www.ccgp.gov.cn）；</w:t>
            </w:r>
            <w:r>
              <w:rPr>
                <w:rFonts w:hint="eastAsia" w:ascii="宋体" w:hAnsi="宋体" w:cs="宋体"/>
                <w:color w:val="000000"/>
                <w:szCs w:val="21"/>
                <w:highlight w:val="none"/>
              </w:rPr>
            </w:r>
            <w:r/>
          </w:p>
          <w:p>
            <w:pPr>
              <w:pStyle w:val="1067"/>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截止时点：投标截止时间以后、资格审查阶段采购人或采购代理机构的实际查询时间；</w:t>
            </w:r>
            <w:r>
              <w:rPr>
                <w:rFonts w:hint="eastAsia" w:ascii="宋体" w:hAnsi="宋体" w:cs="宋体"/>
                <w:color w:val="000000"/>
                <w:szCs w:val="21"/>
                <w:highlight w:val="none"/>
              </w:rPr>
            </w:r>
            <w:r/>
          </w:p>
          <w:p>
            <w:pPr>
              <w:pStyle w:val="1067"/>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信用信息查询记录和证据留存具体方式：查询结果网页打印页作为查询记录和证据，与其他</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一并保存；</w:t>
            </w:r>
            <w:r>
              <w:rPr>
                <w:rFonts w:hint="eastAsia" w:ascii="宋体" w:hAnsi="宋体" w:cs="宋体"/>
                <w:color w:val="000000"/>
                <w:szCs w:val="21"/>
                <w:highlight w:val="none"/>
              </w:rPr>
            </w:r>
            <w:r/>
          </w:p>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。联合体形式投标的，联合体成员存在不良信用记录，视同联合体存在不良信用记录。</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无须投标人提供，由采购人查询。</w:t>
            </w: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落实政府采购政策需满足的资格要求</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具体要求见第一章《投标邀请》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本项目的特定资格要求</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24"/>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是否接受联合体投标</w:t>
            </w:r>
            <w:r>
              <w:rPr>
                <w:rFonts w:hint="eastAsia" w:ascii="宋体" w:hAnsi="宋体" w:cs="宋体"/>
                <w:color w:val="000000"/>
                <w:szCs w:val="21"/>
                <w:highlight w:val="none"/>
              </w:rPr>
            </w:r>
            <w:r/>
          </w:p>
        </w:tc>
        <w:tc>
          <w:tcPr>
            <w:tcW w:w="2596"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60"/>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其他特定资格要求</w:t>
            </w:r>
            <w:r>
              <w:rPr>
                <w:rFonts w:hint="eastAsia" w:ascii="宋体" w:hAnsi="宋体" w:cs="宋体"/>
                <w:color w:val="000000"/>
                <w:szCs w:val="21"/>
                <w:highlight w:val="none"/>
              </w:rPr>
            </w:r>
            <w:r/>
          </w:p>
        </w:tc>
        <w:tc>
          <w:tcPr>
            <w:tcW w:w="2596"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67"/>
        <w:jc w:val="center"/>
        <w:widowControl/>
        <w:rPr>
          <w:rFonts w:hint="eastAsia"/>
          <w:b/>
          <w:color w:val="000000"/>
          <w:sz w:val="32"/>
          <w:szCs w:val="32"/>
          <w:highlight w:val="none"/>
        </w:rPr>
      </w:pPr>
      <w:r>
        <w:rPr>
          <w:color w:val="000000"/>
          <w:sz w:val="24"/>
          <w:highlight w:val="none"/>
        </w:rPr>
        <w:br w:type="page" w:clear="all"/>
      </w:r>
      <w:bookmarkStart w:id="605" w:name="_Toc99301423"/>
      <w:r>
        <w:rPr>
          <w:rFonts w:hint="eastAsia"/>
          <w:b/>
          <w:color w:val="000000"/>
          <w:sz w:val="32"/>
          <w:szCs w:val="32"/>
          <w:highlight w:val="none"/>
        </w:rPr>
        <w:t xml:space="preserve">第四章   </w:t>
      </w:r>
      <w:bookmarkEnd w:id="600"/>
      <w:r/>
      <w:bookmarkEnd w:id="601"/>
      <w:r/>
      <w:bookmarkEnd w:id="602"/>
      <w:r/>
      <w:bookmarkEnd w:id="603"/>
      <w:r/>
      <w:bookmarkEnd w:id="604"/>
      <w:r/>
      <w:bookmarkStart w:id="606" w:name="_Hlt164229061"/>
      <w:r/>
      <w:bookmarkEnd w:id="606"/>
      <w:r>
        <w:rPr>
          <w:rFonts w:hint="eastAsia"/>
          <w:b/>
          <w:color w:val="000000"/>
          <w:sz w:val="32"/>
          <w:szCs w:val="32"/>
          <w:highlight w:val="none"/>
        </w:rPr>
        <w:t xml:space="preserve">评标程序、评标方法和评标标准</w:t>
      </w:r>
      <w:bookmarkEnd w:id="605"/>
      <w:r>
        <w:rPr>
          <w:rFonts w:hint="eastAsia"/>
          <w:b/>
          <w:color w:val="000000"/>
          <w:sz w:val="32"/>
          <w:szCs w:val="32"/>
          <w:highlight w:val="none"/>
        </w:rPr>
      </w:r>
      <w:r/>
    </w:p>
    <w:p>
      <w:pPr>
        <w:pStyle w:val="1067"/>
        <w:jc w:val="center"/>
        <w:spacing w:line="360" w:lineRule="auto"/>
        <w:tabs>
          <w:tab w:val="left" w:pos="360" w:leader="none"/>
          <w:tab w:val="left" w:pos="900" w:leader="none"/>
        </w:tabs>
        <w:rPr>
          <w:rFonts w:hint="eastAsia" w:ascii="宋体" w:hAnsi="宋体" w:cs="宋体"/>
          <w:b/>
          <w:color w:val="000000"/>
          <w:szCs w:val="21"/>
          <w:highlight w:val="none"/>
        </w:rPr>
        <w:outlineLvl w:val="1"/>
      </w:pPr>
      <w:r>
        <w:rPr>
          <w:rFonts w:hint="eastAsia" w:ascii="宋体" w:hAnsi="宋体" w:cs="宋体"/>
          <w:b/>
          <w:color w:val="000000"/>
          <w:szCs w:val="21"/>
          <w:highlight w:val="none"/>
        </w:rPr>
        <w:t xml:space="preserve">一、评标程序</w:t>
      </w:r>
      <w:r>
        <w:rPr>
          <w:rFonts w:hint="eastAsia" w:ascii="宋体" w:hAnsi="宋体" w:cs="宋体"/>
          <w:b/>
          <w:color w:val="000000"/>
          <w:szCs w:val="21"/>
          <w:highlight w:val="none"/>
        </w:rPr>
      </w:r>
      <w:r/>
    </w:p>
    <w:p>
      <w:pPr>
        <w:pStyle w:val="1067"/>
        <w:spacing w:line="360" w:lineRule="auto"/>
        <w:tabs>
          <w:tab w:val="left" w:pos="360" w:leader="none"/>
        </w:tabs>
        <w:rPr>
          <w:rFonts w:hint="eastAsia" w:ascii="宋体" w:hAnsi="宋体" w:cs="宋体"/>
          <w:color w:val="000000"/>
          <w:szCs w:val="21"/>
          <w:highlight w:val="none"/>
        </w:rPr>
        <w:outlineLvl w:val="1"/>
      </w:pPr>
      <w:r/>
      <w:bookmarkStart w:id="607" w:name="_Toc164608655"/>
      <w:r/>
      <w:bookmarkStart w:id="608" w:name="_Toc226965731"/>
      <w:r/>
      <w:bookmarkStart w:id="609" w:name="_Toc226965814"/>
      <w:r/>
      <w:bookmarkStart w:id="610" w:name="_Toc127161455"/>
      <w:r/>
      <w:bookmarkStart w:id="611" w:name="_Toc305158809"/>
      <w:r/>
      <w:bookmarkStart w:id="612" w:name="_Toc164229382"/>
      <w:r/>
      <w:bookmarkStart w:id="613" w:name="_Toc150774641"/>
      <w:r/>
      <w:bookmarkStart w:id="614" w:name="_Toc305158883"/>
      <w:r/>
      <w:bookmarkStart w:id="615" w:name="_Toc150774746"/>
      <w:r/>
      <w:bookmarkStart w:id="616" w:name="_Toc151193783"/>
      <w:r/>
      <w:bookmarkStart w:id="617" w:name="_Toc151193855"/>
      <w:r/>
      <w:bookmarkStart w:id="618" w:name="_Toc127151541"/>
      <w:r/>
      <w:bookmarkStart w:id="619" w:name="_Toc264969231"/>
      <w:r/>
      <w:bookmarkStart w:id="620" w:name="_Toc151193711"/>
      <w:r/>
      <w:bookmarkStart w:id="621" w:name="_Toc164351635"/>
      <w:r/>
      <w:bookmarkStart w:id="622" w:name="_Toc149720834"/>
      <w:r/>
      <w:bookmarkStart w:id="623" w:name="_Toc151193929"/>
      <w:r/>
      <w:bookmarkStart w:id="624" w:name="_Toc127151742"/>
      <w:r/>
      <w:bookmarkStart w:id="625" w:name="_Toc150480779"/>
      <w:r/>
      <w:bookmarkStart w:id="626" w:name="_Toc142311043"/>
      <w:r/>
      <w:bookmarkStart w:id="627" w:name="_Toc151193639"/>
      <w:r/>
      <w:bookmarkStart w:id="628" w:name="_Toc164608810"/>
      <w:r/>
      <w:bookmarkStart w:id="629" w:name="_Toc226337237"/>
      <w:r/>
      <w:bookmarkStart w:id="630" w:name="_Toc151190168"/>
      <w:r/>
      <w:bookmarkStart w:id="631" w:name="_Toc150509292"/>
      <w:r/>
      <w:bookmarkStart w:id="632" w:name="_Toc164229236"/>
      <w:r/>
      <w:bookmarkStart w:id="633" w:name="_Toc226309785"/>
      <w:r/>
      <w:bookmarkStart w:id="634" w:name="_Toc195842906"/>
      <w:r/>
      <w:bookmarkStart w:id="635" w:name="_Toc265228379"/>
      <w:r/>
      <w:bookmarkStart w:id="636" w:name="_Toc353873941"/>
      <w:r/>
      <w:bookmarkStart w:id="637" w:name="_Toc353825551"/>
      <w:r/>
      <w:bookmarkStart w:id="638" w:name="_Toc150774760"/>
      <w:r/>
      <w:bookmarkStart w:id="639" w:name="_Toc353873935"/>
      <w:r/>
      <w:bookmarkStart w:id="640" w:name="_Toc195842920"/>
      <w:r/>
      <w:bookmarkStart w:id="641" w:name="_Toc353873665"/>
      <w:r/>
      <w:bookmarkStart w:id="642" w:name="_Toc150480793"/>
      <w:r/>
      <w:bookmarkStart w:id="643" w:name="_Toc226965828"/>
      <w:r/>
      <w:bookmarkStart w:id="644" w:name="_Toc226337251"/>
      <w:r/>
      <w:bookmarkStart w:id="645" w:name="_Toc127151555"/>
      <w:r/>
      <w:bookmarkStart w:id="646" w:name="_Toc265228393"/>
      <w:r/>
      <w:bookmarkStart w:id="647" w:name="_Toc142311057"/>
      <w:r/>
      <w:bookmarkStart w:id="648" w:name="_Toc305158823"/>
      <w:r/>
      <w:bookmarkStart w:id="649" w:name="_Toc353825545"/>
      <w:r/>
      <w:bookmarkStart w:id="650" w:name="_Toc264969245"/>
      <w:r/>
      <w:bookmarkStart w:id="651" w:name="_Toc305158897"/>
      <w:r>
        <w:rPr>
          <w:rFonts w:hint="eastAsia" w:ascii="宋体" w:hAnsi="宋体" w:cs="宋体"/>
          <w:b/>
          <w:bCs/>
          <w:color w:val="000000"/>
          <w:szCs w:val="21"/>
          <w:highlight w:val="none"/>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color w:val="000000"/>
          <w:szCs w:val="21"/>
          <w:highlight w:val="none"/>
        </w:rPr>
      </w:r>
      <w:r/>
    </w:p>
    <w:p>
      <w:pPr>
        <w:pStyle w:val="1067"/>
        <w:ind w:firstLine="420"/>
        <w:spacing w:line="360" w:lineRule="auto"/>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1.1评标委员会对资格审查合格的投标人的投标文件进行符合性审查，以确定其是否满足招标文件的实质性要求。</w:t>
      </w:r>
      <w:bookmarkStart w:id="652" w:name="_Toc520356167"/>
      <w:r>
        <w:rPr>
          <w:rFonts w:hint="eastAsia" w:ascii="宋体" w:hAnsi="宋体" w:cs="宋体"/>
          <w:color w:val="000000"/>
          <w:szCs w:val="21"/>
          <w:highlight w:val="none"/>
        </w:rPr>
      </w:r>
      <w:r/>
    </w:p>
    <w:p>
      <w:pPr>
        <w:pStyle w:val="1067"/>
        <w:ind w:firstLine="420"/>
        <w:spacing w:line="360" w:lineRule="auto"/>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color w:val="000000"/>
          <w:szCs w:val="21"/>
          <w:highlight w:val="none"/>
        </w:rPr>
        <w:t xml:space="preserve">要求的，</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left="-45" w:hanging="312"/>
        <w:jc w:val="center"/>
        <w:spacing w:line="360" w:lineRule="auto"/>
        <w:tabs>
          <w:tab w:val="left" w:pos="900" w:leader="none"/>
          <w:tab w:val="left" w:pos="1080" w:leader="none"/>
          <w:tab w:val="left" w:pos="1589"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符合性审查要求</w:t>
      </w:r>
      <w:r>
        <w:rPr>
          <w:rFonts w:hint="eastAsia" w:ascii="宋体" w:hAnsi="宋体" w:cs="宋体"/>
          <w:b/>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106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5" w:type="dxa"/>
            <w:vAlign w:val="center"/>
            <w:textDirection w:val="lrTb"/>
            <w:noWrap w:val="false"/>
          </w:tcPr>
          <w:p>
            <w:pPr>
              <w:pStyle w:val="106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1" w:type="dxa"/>
            <w:vAlign w:val="center"/>
            <w:textDirection w:val="lrTb"/>
            <w:noWrap w:val="false"/>
          </w:tcPr>
          <w:p>
            <w:pPr>
              <w:pStyle w:val="106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投标报价未</w:t>
            </w:r>
            <w:r>
              <w:rPr>
                <w:rFonts w:hint="eastAsia" w:ascii="宋体" w:hAnsi="宋体" w:cs="宋体"/>
                <w:b/>
                <w:bCs/>
                <w:color w:val="000000"/>
                <w:szCs w:val="21"/>
                <w:highlight w:val="none"/>
              </w:rPr>
              <w:t xml:space="preserve">超过招标文件中规定的项目/采购包预算金额或者项目/采购包最高限价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color w:val="000000"/>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67"/>
        <w:numPr>
          <w:ilvl w:val="0"/>
          <w:numId w:val="8"/>
        </w:numPr>
        <w:spacing w:line="360" w:lineRule="auto"/>
        <w:tabs>
          <w:tab w:val="left" w:pos="900" w:leader="none"/>
          <w:tab w:val="left" w:pos="1080" w:leader="none"/>
          <w:tab w:val="left" w:pos="1589" w:leader="none"/>
        </w:tabs>
        <w:rPr>
          <w:rFonts w:hint="eastAsia" w:ascii="宋体" w:hAnsi="宋体" w:cs="宋体"/>
          <w:color w:val="000000"/>
          <w:szCs w:val="21"/>
          <w:highlight w:val="none"/>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2.投标文件有关事项的澄清或者说明</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highlight w:val="none"/>
        </w:rPr>
        <w:t xml:space="preserve">无效投标处理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2.4投标文件报价出现前后不一致的，按照下列规定修正：</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2.4.1招标文件对于报价修正是否另有规定：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□有，具体规定为：______________</w:t>
      </w:r>
      <w:r>
        <w:rPr>
          <w:rFonts w:hint="eastAsia" w:ascii="宋体" w:hAnsi="宋体" w:cs="宋体"/>
          <w:color w:val="000000"/>
          <w:szCs w:val="21"/>
          <w:highlight w:val="none"/>
        </w:rPr>
      </w:r>
      <w:r/>
    </w:p>
    <w:p>
      <w:pPr>
        <w:pStyle w:val="106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无，按下述2.4.2-2.4.7项规定修正。</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2.4.3投标文件中开标一览表（报价表）内容与投标文件中相应内容不一致的，以开标一览表（报价表）为准；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2.4.4大写金额和小写金额不一致的，以大写金额为准；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2.4.5单价金额小数点或者百分比有明显错位的，以开标一览表的总价为准，并修改单价；</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2.4.6总价金额与按单价汇总金额不一致的，以单价金额计算结果为准。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2.5.1对于未预留份额专门面向中小企业采购的采购项目，以及预留份额项目中的非预留部分采购包，对</w:t>
      </w:r>
      <w:r>
        <w:rPr>
          <w:rFonts w:hint="eastAsia" w:ascii="宋体" w:hAnsi="宋体" w:cs="宋体"/>
          <w:b/>
          <w:bCs/>
          <w:color w:val="000000"/>
          <w:szCs w:val="21"/>
          <w:highlight w:val="none"/>
        </w:rPr>
        <w:t xml:space="preserve">小微企业</w:t>
      </w:r>
      <w:r>
        <w:rPr>
          <w:rFonts w:hint="eastAsia" w:ascii="宋体" w:hAnsi="宋体" w:cs="宋体"/>
          <w:color w:val="000000"/>
          <w:szCs w:val="21"/>
          <w:highlight w:val="none"/>
        </w:rPr>
        <w:t xml:space="preserve">报价给予</w:t>
      </w:r>
      <w:r>
        <w:rPr>
          <w:rFonts w:hint="eastAsia" w:ascii="宋体" w:hAnsi="宋体" w:cs="宋体"/>
          <w:b/>
          <w:bCs/>
          <w:color w:val="000000"/>
          <w:szCs w:val="21"/>
          <w:highlight w:val="none"/>
        </w:rPr>
        <w:t xml:space="preserve">20%</w:t>
      </w:r>
      <w:r>
        <w:rPr>
          <w:rFonts w:hint="eastAsia" w:ascii="宋体" w:hAnsi="宋体" w:cs="宋体"/>
          <w:color w:val="000000"/>
          <w:szCs w:val="21"/>
          <w:highlight w:val="none"/>
        </w:rPr>
        <w:t xml:space="preserve">的扣除，用扣除后的价格参加评审。</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2.5.2对于未预留份额专门面向中小企业采购的采购项目，以及预留份额项目中的非预留部分采购包，且接受大中型企业与</w:t>
      </w:r>
      <w:r>
        <w:rPr>
          <w:rFonts w:hint="eastAsia" w:ascii="宋体" w:hAnsi="宋体" w:cs="宋体"/>
          <w:b/>
          <w:bCs/>
          <w:color w:val="000000"/>
          <w:szCs w:val="21"/>
          <w:highlight w:val="none"/>
        </w:rPr>
        <w:t xml:space="preserve">小微企业</w:t>
      </w:r>
      <w:r>
        <w:rPr>
          <w:rFonts w:hint="eastAsia" w:ascii="宋体" w:hAnsi="宋体" w:cs="宋体"/>
          <w:color w:val="000000"/>
          <w:szCs w:val="21"/>
          <w:highlight w:val="none"/>
        </w:rPr>
        <w:t xml:space="preserve">组成联合体或者允许大中型企业向一家或者多家</w:t>
      </w:r>
      <w:r>
        <w:rPr>
          <w:rFonts w:hint="eastAsia" w:ascii="宋体" w:hAnsi="宋体" w:cs="宋体"/>
          <w:b/>
          <w:bCs/>
          <w:color w:val="000000"/>
          <w:szCs w:val="21"/>
          <w:highlight w:val="none"/>
        </w:rPr>
        <w:t xml:space="preserve">小微企业</w:t>
      </w:r>
      <w:r>
        <w:rPr>
          <w:rFonts w:hint="eastAsia" w:ascii="宋体" w:hAnsi="宋体" w:cs="宋体"/>
          <w:color w:val="000000"/>
          <w:szCs w:val="21"/>
          <w:highlight w:val="none"/>
        </w:rPr>
        <w:t xml:space="preserve">分包的采购项目，对于联合协议或者分包意向协议约定</w:t>
      </w:r>
      <w:r>
        <w:rPr>
          <w:rFonts w:hint="eastAsia" w:ascii="宋体" w:hAnsi="宋体" w:cs="宋体"/>
          <w:b/>
          <w:bCs/>
          <w:color w:val="000000"/>
          <w:szCs w:val="21"/>
          <w:highlight w:val="none"/>
        </w:rPr>
        <w:t xml:space="preserve">小微企业</w:t>
      </w:r>
      <w:r>
        <w:rPr>
          <w:rFonts w:hint="eastAsia" w:ascii="宋体" w:hAnsi="宋体" w:cs="宋体"/>
          <w:color w:val="000000"/>
          <w:szCs w:val="21"/>
          <w:highlight w:val="none"/>
        </w:rPr>
        <w:t xml:space="preserve">的合同份额占到合同总金额30%以上的联合体或者大中型企业的报价给予3%的扣除，用扣除后的价格参加评审。</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2.5.4价格扣除比例对小型企业和微型企业同等对待，不作区分。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2.5.5中小企业参加政府采购活动，应当按照招标文件给定的格式出具《中小企业声明函》，否则不得享受相关中小企业扶持政策。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2.5.7残疾人福利性单位按招标文件要求提供了《残疾人福利性单位声明函》（见附件）的，视同小微企业。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w:t>
      </w:r>
      <w:r>
        <w:rPr>
          <w:rFonts w:hint="eastAsia" w:ascii="宋体" w:hAnsi="宋体" w:eastAsia="宋体" w:cs="宋体"/>
          <w:b/>
          <w:bCs/>
          <w:color w:val="000000"/>
          <w:sz w:val="21"/>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w:t>
      </w:r>
      <w:r>
        <w:rPr>
          <w:rFonts w:hint="eastAsia" w:ascii="宋体" w:hAnsi="宋体" w:eastAsia="宋体" w:cs="宋体"/>
          <w:b/>
          <w:bCs/>
          <w:color w:val="000000"/>
          <w:sz w:val="21"/>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w:t>
      </w:r>
      <w:r>
        <w:rPr>
          <w:rFonts w:hint="eastAsia" w:ascii="宋体" w:hAnsi="宋体" w:eastAsia="宋体" w:cs="宋体"/>
          <w:b/>
          <w:bCs/>
          <w:color w:val="000000"/>
          <w:sz w:val="21"/>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106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3.投标文件的比较和评价</w:t>
      </w:r>
      <w:bookmarkEnd w:id="636"/>
      <w:r/>
      <w:bookmarkEnd w:id="637"/>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3.2评标方法和评标标准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3.2.1本项目采用的评标方法为：</w:t>
      </w:r>
      <w:r>
        <w:rPr>
          <w:rFonts w:hint="eastAsia" w:ascii="宋体" w:hAnsi="宋体" w:cs="宋体"/>
          <w:color w:val="000000"/>
          <w:szCs w:val="21"/>
          <w:highlight w:val="none"/>
        </w:rPr>
      </w:r>
      <w:r/>
    </w:p>
    <w:p>
      <w:pPr>
        <w:pStyle w:val="106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最低评标价法，指投标文件满足招标文件全部实质性要求，且投标报价最低的投标人为中标候选人的评标方法。</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106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3.2.3非政府强制采购的节能产品或环境标志产品，依据品目清单和认证证书实施政府优先采购。优先采购的具体规定（如涉及）</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3.2.4关于无线局域网认证产品政府采购清单中的产品，优先采购的具体规定（如涉及）</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4.确定</w:t>
      </w:r>
      <w:bookmarkStart w:id="653" w:name="_Toc305158814"/>
      <w:r/>
      <w:bookmarkStart w:id="654" w:name="_Toc150480784"/>
      <w:r/>
      <w:bookmarkStart w:id="655" w:name="_Toc226337242"/>
      <w:r/>
      <w:bookmarkStart w:id="656" w:name="_Toc151193716"/>
      <w:r/>
      <w:bookmarkStart w:id="657" w:name="_Toc149720839"/>
      <w:r/>
      <w:bookmarkStart w:id="658" w:name="_Toc150774751"/>
      <w:r/>
      <w:bookmarkStart w:id="659" w:name="_Toc127161460"/>
      <w:r/>
      <w:bookmarkStart w:id="660" w:name="_Toc195842911"/>
      <w:r/>
      <w:bookmarkStart w:id="661" w:name="_Toc226309790"/>
      <w:r/>
      <w:bookmarkStart w:id="662" w:name="_Ref467307010"/>
      <w:r/>
      <w:bookmarkStart w:id="663" w:name="_Toc150774646"/>
      <w:r/>
      <w:bookmarkStart w:id="664" w:name="_Toc226965819"/>
      <w:r/>
      <w:bookmarkStart w:id="665" w:name="_Toc151193788"/>
      <w:r/>
      <w:bookmarkStart w:id="666" w:name="_Toc520356170"/>
      <w:r/>
      <w:bookmarkStart w:id="667" w:name="_Toc164229241"/>
      <w:r/>
      <w:bookmarkStart w:id="668" w:name="_Toc151193860"/>
      <w:r/>
      <w:bookmarkStart w:id="669" w:name="_Toc226965736"/>
      <w:r/>
      <w:bookmarkStart w:id="670" w:name="_Toc151193644"/>
      <w:r/>
      <w:bookmarkStart w:id="671" w:name="_Toc150509297"/>
      <w:r/>
      <w:bookmarkStart w:id="672" w:name="_Toc264969236"/>
      <w:r/>
      <w:bookmarkStart w:id="673" w:name="_Toc164608815"/>
      <w:r/>
      <w:bookmarkStart w:id="674" w:name="_Toc164351640"/>
      <w:r/>
      <w:bookmarkStart w:id="675" w:name="_Toc151193934"/>
      <w:r/>
      <w:bookmarkStart w:id="676" w:name="_Toc151190173"/>
      <w:r/>
      <w:bookmarkStart w:id="677" w:name="_Toc164229387"/>
      <w:r/>
      <w:bookmarkStart w:id="678" w:name="_Toc127151546"/>
      <w:r/>
      <w:bookmarkStart w:id="679" w:name="_Toc305158888"/>
      <w:r/>
      <w:bookmarkStart w:id="680" w:name="_Toc127151747"/>
      <w:r/>
      <w:bookmarkStart w:id="681" w:name="_Toc164608660"/>
      <w:r/>
      <w:bookmarkStart w:id="682" w:name="_Toc142311048"/>
      <w:r/>
      <w:bookmarkStart w:id="683" w:name="_Toc265228384"/>
      <w:r>
        <w:rPr>
          <w:rFonts w:hint="eastAsia" w:ascii="宋体" w:hAnsi="宋体" w:cs="宋体"/>
          <w:b/>
          <w:bCs/>
          <w:color w:val="000000"/>
          <w:szCs w:val="21"/>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Cs w:val="21"/>
          <w:highlight w:val="none"/>
        </w:rPr>
      </w:r>
      <w:r/>
    </w:p>
    <w:p>
      <w:pPr>
        <w:pStyle w:val="106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Cs w:val="21"/>
          <w:highlight w:val="none"/>
        </w:rPr>
      </w:r>
      <w:r/>
    </w:p>
    <w:p>
      <w:pPr>
        <w:pStyle w:val="1067"/>
        <w:ind w:firstLine="420"/>
        <w:keepLines w:val="0"/>
        <w:keepNext w:val="0"/>
        <w:pageBreakBefore w:val="0"/>
        <w:spacing w:line="3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4.4评标委员会要对评分汇总情况进行复核，特别是对排名第一的、报价最低的、投标或响应文件被认定为无效的情形进行重点复核。</w:t>
      </w:r>
      <w:r>
        <w:rPr>
          <w:rFonts w:hint="eastAsia" w:ascii="宋体" w:hAnsi="宋体" w:cs="宋体"/>
          <w:color w:val="000000"/>
          <w:szCs w:val="21"/>
          <w:highlight w:val="none"/>
        </w:rPr>
      </w:r>
      <w:r/>
    </w:p>
    <w:p>
      <w:pPr>
        <w:pStyle w:val="1067"/>
        <w:ind w:firstLine="420"/>
        <w:keepLines w:val="0"/>
        <w:keepNext w:val="0"/>
        <w:pageBreakBefore w:val="0"/>
        <w:spacing w:line="3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Cs w:val="21"/>
          <w:highlight w:val="none"/>
        </w:rPr>
      </w:r>
      <w:r/>
    </w:p>
    <w:p>
      <w:pPr>
        <w:pStyle w:val="1067"/>
        <w:keepLines w:val="0"/>
        <w:keepNext w:val="0"/>
        <w:pageBreakBefore w:val="0"/>
        <w:spacing w:line="34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5.报告违法行为</w:t>
      </w:r>
      <w:r>
        <w:rPr>
          <w:rFonts w:hint="eastAsia" w:ascii="宋体" w:hAnsi="宋体" w:cs="宋体"/>
          <w:b/>
          <w:bCs/>
          <w:color w:val="000000"/>
          <w:szCs w:val="21"/>
          <w:highlight w:val="none"/>
        </w:rPr>
      </w:r>
      <w:r/>
    </w:p>
    <w:p>
      <w:pPr>
        <w:pStyle w:val="1067"/>
        <w:ind w:firstLine="420"/>
        <w:keepLines w:val="0"/>
        <w:keepNext w:val="0"/>
        <w:pageBreakBefore w:val="0"/>
        <w:spacing w:line="340" w:lineRule="exact"/>
        <w:widowControl w:val="off"/>
        <w:rPr>
          <w:b/>
          <w:color w:val="000000"/>
          <w:sz w:val="24"/>
          <w:highlight w:val="none"/>
        </w:rPr>
      </w:pPr>
      <w:r>
        <w:rPr>
          <w:rFonts w:hint="eastAsia" w:ascii="宋体" w:hAnsi="宋体" w:cs="宋体"/>
          <w:color w:val="000000"/>
          <w:szCs w:val="21"/>
          <w:highlight w:val="none"/>
        </w:rPr>
        <w:t xml:space="preserve">5.1评标委员会在评标过程中发现投标人有行贿、提供虚假材料或者串通等违法行为时，有向采购人、采购代理机构或者有关部门报告的职责。</w:t>
      </w:r>
      <w:r>
        <w:rPr>
          <w:b/>
          <w:color w:val="000000"/>
          <w:sz w:val="24"/>
          <w:highlight w:val="none"/>
        </w:rPr>
      </w:r>
      <w:r/>
    </w:p>
    <w:p>
      <w:pPr>
        <w:pStyle w:val="1067"/>
        <w:jc w:val="left"/>
        <w:widowControl/>
        <w:rPr>
          <w:b/>
          <w:color w:val="000000"/>
          <w:sz w:val="24"/>
          <w:highlight w:val="none"/>
        </w:rPr>
      </w:pPr>
      <w:r>
        <w:rPr>
          <w:b/>
          <w:color w:val="000000"/>
          <w:sz w:val="24"/>
          <w:highlight w:val="none"/>
        </w:rPr>
      </w:r>
      <w:r/>
    </w:p>
    <w:p>
      <w:pPr>
        <w:pStyle w:val="1069"/>
        <w:numPr>
          <w:ilvl w:val="0"/>
          <w:numId w:val="9"/>
        </w:numPr>
        <w:spacing w:before="0" w:line="360" w:lineRule="auto"/>
        <w:rPr>
          <w:rFonts w:ascii="Times New Roman" w:hAnsi="Times New Roman" w:eastAsia="宋体"/>
          <w:color w:val="000000"/>
          <w:sz w:val="28"/>
          <w:szCs w:val="28"/>
          <w:highlight w:val="none"/>
        </w:rPr>
      </w:pPr>
      <w:r>
        <w:rPr>
          <w:rFonts w:ascii="Times New Roman" w:hAnsi="Times New Roman" w:eastAsia="宋体"/>
          <w:color w:val="000000"/>
          <w:sz w:val="28"/>
          <w:szCs w:val="28"/>
          <w:highlight w:val="none"/>
        </w:rPr>
        <w:t xml:space="preserve">评标标准</w:t>
      </w:r>
      <w:r>
        <w:rPr>
          <w:rFonts w:ascii="Times New Roman" w:hAnsi="Times New Roman" w:eastAsia="宋体"/>
          <w:color w:val="000000"/>
          <w:sz w:val="28"/>
          <w:szCs w:val="28"/>
          <w:highlight w:val="none"/>
        </w:rPr>
      </w:r>
      <w:r/>
    </w:p>
    <w:tbl>
      <w:tblPr>
        <w:tblW w:w="95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833"/>
        <w:gridCol w:w="4368"/>
        <w:gridCol w:w="2433"/>
      </w:tblGrid>
      <w:tr>
        <w:trPr>
          <w:trHeight w:val="90"/>
        </w:trPr>
        <w:tc>
          <w:tcPr>
            <w:tcW w:w="704"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260"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833"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368"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433" w:type="dxa"/>
            <w:vAlign w:val="center"/>
            <w:textDirection w:val="lrTb"/>
            <w:noWrap w:val="false"/>
          </w:tcPr>
          <w:p>
            <w:pPr>
              <w:pStyle w:val="1320"/>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价格分</w:t>
            </w:r>
            <w:r>
              <w:rPr>
                <w:rFonts w:hint="eastAsia" w:ascii="宋体" w:hAnsi="宋体" w:eastAsia="宋体" w:cs="宋体"/>
                <w:b/>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1"/>
                <w:szCs w:val="21"/>
                <w:highlight w:val="none"/>
              </w:rPr>
            </w:r>
            <w:r/>
          </w:p>
          <w:p>
            <w:pPr>
              <w:pStyle w:val="1067"/>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投标报价得分＝（评标基准价/投标报价）×分值。</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项目整体方案</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根据投标人制订的项目整体方案（包含系统架构、服务体系、技术体系）与需求的吻合程度的科学性、先进性、可靠性、成熟性、合理性等内容进行综合评分。</w:t>
            </w:r>
            <w:r>
              <w:rPr>
                <w:rFonts w:hint="eastAsia" w:ascii="宋体" w:hAnsi="宋体" w:eastAsia="宋体" w:cs="宋体"/>
                <w:color w:val="000000"/>
                <w:sz w:val="21"/>
                <w:szCs w:val="21"/>
                <w:highlight w:val="none"/>
                <w:lang w:val="en-US" w:eastAsia="zh-CN" w:bidi="ar-SA"/>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（1）项目整体方案科学性、先进性、可靠性、成熟性、合理性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（2）项目整体方案科学性、先进性、可靠性、成熟性、合理性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（3）项目整体方案科学性、先进性、可靠性、成熟性、合理性</w:t>
            </w:r>
            <w:r>
              <w:rPr>
                <w:rFonts w:hint="eastAsia" w:ascii="宋体" w:hAnsi="宋体" w:eastAsia="宋体" w:cs="宋体"/>
                <w:color w:val="000000"/>
                <w:sz w:val="21"/>
                <w:szCs w:val="21"/>
                <w:highlight w:val="none"/>
              </w:rPr>
              <w:t xml:space="preserve">基本符合要求的得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SA"/>
              </w:rPr>
              <w:t xml:space="preserve">（4）项目整体方案科学性、先进性、可靠性、成熟性、合理性较差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未提供均不得分。</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根据投标人提供的项目安装部署服务方案与需求的吻合程度的科学性、先进性、可靠性、成熟性、合理性等内容进行综合评分。</w:t>
            </w:r>
            <w:r>
              <w:rPr>
                <w:rFonts w:hint="eastAsia" w:ascii="宋体" w:hAnsi="宋体" w:eastAsia="宋体" w:cs="宋体"/>
                <w:color w:val="000000"/>
                <w:sz w:val="21"/>
                <w:szCs w:val="21"/>
                <w:highlight w:val="none"/>
                <w:lang w:val="en-US" w:eastAsia="zh-CN" w:bidi="ar-SA"/>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rPr>
              <w:t xml:space="preserve">基本符合要求的得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科学性、先进性、可靠性、成熟性、合理性较差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未提供均不得分。</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运营服务方案</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提供的项目运营服务方案（需包含投标人拟投入使用的服务平台功能、数据对接方案、运营考评方案、网络及信息化系统安全防护方案等）与需求的吻合程度的科学性、先进性、可靠性、成熟性、合理性等内容进行综合评分。</w:t>
            </w:r>
            <w:r>
              <w:rPr>
                <w:rFonts w:hint="eastAsia" w:ascii="宋体" w:hAnsi="宋体" w:eastAsia="宋体" w:cs="宋体"/>
                <w:color w:val="000000"/>
                <w:sz w:val="21"/>
                <w:szCs w:val="21"/>
                <w:highlight w:val="none"/>
                <w:lang w:val="en-US" w:eastAsia="zh-CN" w:bidi="ar-SA"/>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（1）运营服务方案科学性、先进性、可靠性、成熟性、合理性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（2）运营服务方案科学性、先进性、可靠性、成熟性、合理性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运营服务方案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rPr>
              <w:t xml:space="preserve">基本符合要求的得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t xml:space="preserve">运营服务方案</w:t>
            </w:r>
            <w:r>
              <w:rPr>
                <w:rFonts w:hint="eastAsia" w:ascii="宋体" w:hAnsi="宋体" w:eastAsia="宋体" w:cs="宋体"/>
                <w:color w:val="000000"/>
                <w:sz w:val="21"/>
                <w:szCs w:val="21"/>
                <w:highlight w:val="none"/>
                <w:lang w:val="en-US" w:eastAsia="zh-CN" w:bidi="ar-SA"/>
              </w:rPr>
              <w:t xml:space="preserve">科学性、先进性、可靠性、成熟性、合理性较差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未提供均不得分。</w:t>
            </w:r>
            <w:r>
              <w:rPr>
                <w:rFonts w:hint="eastAsia" w:ascii="宋体" w:hAnsi="宋体" w:eastAsia="宋体" w:cs="宋体"/>
                <w:color w:val="000000"/>
                <w:sz w:val="21"/>
                <w:szCs w:val="21"/>
                <w:highlight w:val="none"/>
                <w:lang w:eastAsia="zh-CN"/>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突发事件保障措施</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制订的突发问题的处理方案（包含但不限于恶劣天气影响、自然灾害及政府性重大活动，上级检查，重大节假日等特殊情况制定应急处置方案等）的完整性、科学性、有效性、及时性、可操作性等内容进行综合评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（1）措施完整性、科学性、有效性、及时性、可操作性强的得10分；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（2）措施完整性、科学性、有效性、及时性、可操作性较好的得7分；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（3）措施完整性、科学性、有效性、及时性、可操作性基本符合要求的得4分；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（4）措施完整性、科学性、有效性、及时性、可操作性较差的得1分；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（5）未提供均不得分。</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76"/>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认证体系</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投标人提供有效的质量管理体系认证证书、ISO27001信息安全管理体系认证证书、ISO27701隐私信息管理体系认证证书的，有一项得1分，本项最高得3分。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 w:val="21"/>
                <w:szCs w:val="21"/>
                <w:highlight w:val="none"/>
              </w:rPr>
            </w:r>
            <w:r/>
          </w:p>
        </w:tc>
      </w:tr>
      <w:tr>
        <w:trPr>
          <w:trHeight w:val="1734"/>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投标人自</w:t>
            </w:r>
            <w:r>
              <w:rPr>
                <w:rFonts w:hint="eastAsia" w:ascii="宋体" w:hAnsi="宋体" w:eastAsia="宋体" w:cs="宋体"/>
                <w:b/>
                <w:bCs/>
                <w:color w:val="000000"/>
                <w:sz w:val="21"/>
                <w:szCs w:val="21"/>
                <w:highlight w:val="none"/>
                <w:lang w:val="en-US" w:eastAsia="zh-CN"/>
              </w:rPr>
              <w:t xml:space="preserve">2023年01月</w:t>
            </w:r>
            <w:r>
              <w:rPr>
                <w:rFonts w:hint="eastAsia" w:ascii="宋体" w:hAnsi="宋体" w:eastAsia="宋体" w:cs="宋体"/>
                <w:color w:val="000000"/>
                <w:sz w:val="21"/>
                <w:szCs w:val="21"/>
                <w:highlight w:val="none"/>
                <w:lang w:val="en-US" w:eastAsia="zh-CN"/>
              </w:rPr>
              <w:t xml:space="preserve">以来承接过</w:t>
            </w:r>
            <w:r>
              <w:rPr>
                <w:rFonts w:hint="eastAsia" w:ascii="宋体" w:hAnsi="宋体" w:eastAsia="宋体" w:cs="宋体"/>
                <w:b/>
                <w:bCs/>
                <w:color w:val="000000"/>
                <w:sz w:val="21"/>
                <w:szCs w:val="21"/>
                <w:highlight w:val="none"/>
                <w:lang w:val="en-US" w:eastAsia="zh-CN"/>
              </w:rPr>
              <w:t xml:space="preserve">类似项目运营</w:t>
            </w:r>
            <w:r>
              <w:rPr>
                <w:rFonts w:hint="eastAsia" w:ascii="宋体" w:hAnsi="宋体" w:eastAsia="宋体" w:cs="宋体"/>
                <w:color w:val="000000"/>
                <w:sz w:val="21"/>
                <w:szCs w:val="21"/>
                <w:highlight w:val="none"/>
                <w:lang w:val="en-US" w:eastAsia="zh-CN"/>
              </w:rPr>
              <w:t xml:space="preserve">业绩，每个得3分，最多得9分。</w:t>
            </w:r>
            <w:r>
              <w:rPr>
                <w:rFonts w:hint="eastAsia" w:ascii="宋体" w:hAnsi="宋体" w:eastAsia="宋体" w:cs="宋体"/>
                <w:color w:val="000000"/>
                <w:sz w:val="21"/>
                <w:szCs w:val="21"/>
                <w:highlight w:val="none"/>
                <w:lang w:val="en-US" w:eastAsia="zh-CN"/>
              </w:rPr>
            </w:r>
            <w:r/>
          </w:p>
          <w:p>
            <w:pPr>
              <w:pStyle w:val="1067"/>
              <w:jc w:val="left"/>
              <w:keepLines w:val="0"/>
              <w:keepNext w:val="0"/>
              <w:pageBreakBefore w:val="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注：（1）同一项目分年度签订的合同，按一份业绩计算，不重复计分。</w:t>
            </w:r>
            <w:r>
              <w:rPr>
                <w:rFonts w:hint="eastAsia" w:ascii="宋体" w:hAnsi="宋体" w:eastAsia="宋体" w:cs="宋体"/>
                <w:b/>
                <w:bCs/>
                <w:color w:val="000000"/>
                <w:sz w:val="21"/>
                <w:szCs w:val="21"/>
                <w:highlight w:val="none"/>
                <w:lang w:val="en-US" w:eastAsia="zh-CN"/>
              </w:rPr>
            </w:r>
            <w:r/>
          </w:p>
          <w:p>
            <w:pPr>
              <w:pStyle w:val="1067"/>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（2）时间以合同签订时间为准。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投标文件中提供业绩合同原件扫描件（合同应能清晰体现双方盖章、合同项目内容、签订时间等关键信息），未提供的或资料不全的或无效的不得分。</w:t>
            </w:r>
            <w:r>
              <w:rPr>
                <w:rFonts w:hint="eastAsia" w:ascii="宋体" w:hAnsi="宋体" w:eastAsia="宋体" w:cs="宋体"/>
                <w:b/>
                <w:bCs/>
                <w:color w:val="000000"/>
                <w:sz w:val="21"/>
                <w:szCs w:val="21"/>
                <w:highlight w:val="none"/>
              </w:rPr>
            </w:r>
            <w:r/>
          </w:p>
        </w:tc>
      </w:tr>
      <w:tr>
        <w:trPr>
          <w:trHeight w:val="1204"/>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项目团队实力</w:t>
            </w:r>
            <w:r>
              <w:rPr>
                <w:rFonts w:hint="eastAsia" w:ascii="宋体" w:hAnsi="宋体" w:eastAsia="宋体" w:cs="宋体"/>
                <w:color w:val="000000"/>
                <w:sz w:val="21"/>
                <w:szCs w:val="21"/>
                <w:highlight w:val="none"/>
                <w:lang w:val="en-US" w:eastAsia="zh-CN"/>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1.投标人拟派</w:t>
            </w:r>
            <w:r>
              <w:rPr>
                <w:rFonts w:hint="eastAsia" w:ascii="宋体" w:hAnsi="宋体" w:eastAsia="宋体" w:cs="宋体"/>
                <w:b/>
                <w:bCs/>
                <w:i w:val="0"/>
                <w:iCs w:val="0"/>
                <w:color w:val="000000"/>
                <w:sz w:val="21"/>
                <w:szCs w:val="21"/>
                <w:highlight w:val="none"/>
                <w:u w:val="none"/>
                <w:lang w:val="en-US" w:eastAsia="zh-CN" w:bidi="ar"/>
              </w:rPr>
              <w:t xml:space="preserve">项目经理：</w:t>
            </w:r>
            <w:r>
              <w:rPr>
                <w:rFonts w:hint="eastAsia" w:ascii="宋体" w:hAnsi="宋体" w:eastAsia="宋体" w:cs="宋体"/>
                <w:b/>
                <w:bCs/>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（1）具有高级工程师（专业为电子信息工程）证书的，得3分；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（2）具有信息系统项目管理师证书的，得2分；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w:t>
            </w:r>
            <w:r>
              <w:rPr>
                <w:rFonts w:hint="eastAsia" w:ascii="宋体" w:hAnsi="宋体" w:eastAsia="宋体" w:cs="宋体"/>
                <w:b w:val="0"/>
                <w:bCs w:val="0"/>
                <w:color w:val="000000"/>
                <w:szCs w:val="24"/>
                <w:highlight w:val="none"/>
                <w:u w:val="none"/>
                <w:lang w:val="en-US" w:eastAsia="zh-CN"/>
              </w:rPr>
              <w:t xml:space="preserve">系统分析师（员）</w:t>
            </w:r>
            <w:r>
              <w:rPr>
                <w:rFonts w:hint="eastAsia" w:ascii="宋体" w:hAnsi="宋体" w:eastAsia="宋体" w:cs="宋体"/>
                <w:i w:val="0"/>
                <w:iCs w:val="0"/>
                <w:color w:val="000000"/>
                <w:sz w:val="21"/>
                <w:szCs w:val="21"/>
                <w:highlight w:val="none"/>
                <w:u w:val="none"/>
                <w:lang w:val="en-US" w:eastAsia="zh-CN" w:bidi="ar"/>
              </w:rPr>
              <w:t xml:space="preserve">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2.投标人拟派</w:t>
            </w:r>
            <w:r>
              <w:rPr>
                <w:rFonts w:hint="eastAsia" w:ascii="宋体" w:hAnsi="宋体" w:eastAsia="宋体" w:cs="宋体"/>
                <w:b/>
                <w:bCs/>
                <w:i w:val="0"/>
                <w:iCs w:val="0"/>
                <w:color w:val="000000"/>
                <w:sz w:val="21"/>
                <w:szCs w:val="21"/>
                <w:highlight w:val="none"/>
                <w:u w:val="none"/>
                <w:lang w:val="en-US" w:eastAsia="zh-CN" w:bidi="ar"/>
              </w:rPr>
              <w:t xml:space="preserve">技术负责人：</w:t>
            </w:r>
            <w:r>
              <w:rPr>
                <w:rFonts w:hint="eastAsia" w:ascii="宋体" w:hAnsi="宋体" w:eastAsia="宋体" w:cs="宋体"/>
                <w:b/>
                <w:bCs/>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（1）具有高级工程师证书的，得3分；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（2）具有CISAW信息安全保障人员（应急服务）证书的，得2分。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ind w:left="0" w:firstLine="0"/>
              <w:jc w:val="left"/>
              <w:keepLines w:val="0"/>
              <w:keepNext w:val="0"/>
              <w:pageBreakBefore w:val="0"/>
              <w:spacing w:line="30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3.投标人拟派</w:t>
            </w:r>
            <w:r>
              <w:rPr>
                <w:rFonts w:hint="eastAsia" w:ascii="宋体" w:hAnsi="宋体" w:eastAsia="宋体" w:cs="宋体"/>
                <w:b/>
                <w:bCs/>
                <w:i w:val="0"/>
                <w:iCs w:val="0"/>
                <w:color w:val="000000"/>
                <w:sz w:val="21"/>
                <w:szCs w:val="21"/>
                <w:highlight w:val="none"/>
                <w:u w:val="none"/>
                <w:lang w:val="en-US" w:eastAsia="zh-CN" w:bidi="ar"/>
              </w:rPr>
              <w:t xml:space="preserve">运维负责人：</w:t>
            </w:r>
            <w:r>
              <w:rPr>
                <w:rFonts w:hint="eastAsia" w:ascii="宋体" w:hAnsi="宋体" w:eastAsia="宋体" w:cs="宋体"/>
                <w:b/>
                <w:bCs/>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（1）具有网络工程师证书的，得2分；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（2）具有ITSS-IT服务工程师证书的，得2分；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（3）具有CISAW信息安全保障人员（安全运维）证书的，得2分。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注：上述岗位人员不得兼任，不重复计分。</w:t>
            </w:r>
            <w:r>
              <w:rPr>
                <w:rFonts w:hint="eastAsia" w:ascii="宋体" w:hAnsi="宋体" w:eastAsia="宋体" w:cs="宋体"/>
                <w:i w:val="0"/>
                <w:iCs w:val="0"/>
                <w:color w:val="000000"/>
                <w:sz w:val="21"/>
                <w:szCs w:val="21"/>
                <w:highlight w:val="none"/>
                <w:u w:val="none"/>
                <w:lang w:val="en-US" w:eastAsia="zh-CN" w:bidi="ar"/>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投标文件中提供</w:t>
            </w:r>
            <w:r>
              <w:rPr>
                <w:rFonts w:hint="eastAsia" w:ascii="宋体" w:hAnsi="宋体" w:eastAsia="宋体" w:cs="宋体"/>
                <w:b/>
                <w:bCs/>
                <w:color w:val="000000"/>
                <w:sz w:val="21"/>
                <w:szCs w:val="21"/>
                <w:highlight w:val="none"/>
                <w:lang w:val="en-US" w:eastAsia="zh-CN"/>
              </w:rPr>
              <w:t xml:space="preserve">相应人员证书</w:t>
            </w:r>
            <w:r>
              <w:rPr>
                <w:rFonts w:hint="eastAsia" w:ascii="宋体" w:hAnsi="宋体" w:eastAsia="宋体" w:cs="宋体"/>
                <w:b/>
                <w:bCs/>
                <w:color w:val="000000"/>
                <w:sz w:val="21"/>
                <w:szCs w:val="21"/>
                <w:highlight w:val="none"/>
              </w:rPr>
              <w:t xml:space="preserve">原件扫描件及投标人近三个月（</w:t>
            </w:r>
            <w:r>
              <w:rPr>
                <w:rFonts w:hint="eastAsia" w:ascii="宋体" w:hAnsi="宋体" w:eastAsia="宋体" w:cs="宋体"/>
                <w:b/>
                <w:bCs/>
                <w:color w:val="000000"/>
                <w:sz w:val="21"/>
                <w:szCs w:val="21"/>
                <w:highlight w:val="none"/>
                <w:lang w:val="en-US" w:eastAsia="zh-CN"/>
              </w:rPr>
              <w:t xml:space="preserve">2026年02月、03月、04月</w:t>
            </w:r>
            <w:r>
              <w:rPr>
                <w:rFonts w:hint="eastAsia" w:ascii="宋体" w:hAnsi="宋体" w:eastAsia="宋体" w:cs="宋体"/>
                <w:b/>
                <w:bCs/>
                <w:color w:val="000000"/>
                <w:sz w:val="21"/>
                <w:szCs w:val="21"/>
                <w:highlight w:val="none"/>
              </w:rPr>
              <w:t xml:space="preserve">）为</w:t>
            </w:r>
            <w:r>
              <w:rPr>
                <w:rFonts w:hint="eastAsia" w:ascii="宋体" w:hAnsi="宋体" w:eastAsia="宋体" w:cs="宋体"/>
                <w:b/>
                <w:bCs/>
                <w:color w:val="000000"/>
                <w:sz w:val="21"/>
                <w:szCs w:val="21"/>
                <w:highlight w:val="none"/>
                <w:lang w:val="en-US" w:eastAsia="zh-CN"/>
              </w:rPr>
              <w:t xml:space="preserve">其</w:t>
            </w:r>
            <w:r>
              <w:rPr>
                <w:rFonts w:hint="eastAsia" w:ascii="宋体" w:hAnsi="宋体" w:eastAsia="宋体" w:cs="宋体"/>
                <w:b/>
                <w:bCs/>
                <w:color w:val="000000"/>
                <w:sz w:val="21"/>
                <w:szCs w:val="21"/>
                <w:highlight w:val="none"/>
              </w:rPr>
              <w:t xml:space="preserve">缴纳的社保证明扫描件，未提供的或资料不全的或无效的不得分。</w:t>
            </w:r>
            <w:r>
              <w:rPr>
                <w:rFonts w:hint="eastAsia" w:ascii="宋体" w:hAnsi="宋体" w:eastAsia="宋体" w:cs="宋体"/>
                <w:b/>
                <w:bCs/>
                <w:color w:val="000000"/>
                <w:sz w:val="21"/>
                <w:szCs w:val="21"/>
                <w:highlight w:val="none"/>
              </w:rPr>
            </w:r>
            <w:r/>
          </w:p>
        </w:tc>
      </w:tr>
      <w:tr>
        <w:trPr>
          <w:trHeight w:val="1994"/>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技术参数</w:t>
            </w:r>
            <w:r>
              <w:rPr>
                <w:rFonts w:hint="eastAsia" w:ascii="宋体" w:hAnsi="宋体" w:eastAsia="宋体" w:cs="宋体"/>
                <w:i w:val="0"/>
                <w:iCs w:val="0"/>
                <w:color w:val="000000"/>
                <w:sz w:val="21"/>
                <w:szCs w:val="21"/>
                <w:highlight w:val="none"/>
                <w:u w:val="none"/>
                <w:lang w:val="en-US" w:eastAsia="zh-CN" w:bidi="ar"/>
              </w:rPr>
            </w:r>
            <w:r/>
          </w:p>
        </w:tc>
        <w:tc>
          <w:tcPr>
            <w:tcW w:w="833" w:type="dxa"/>
            <w:vAlign w:val="center"/>
            <w:textDirection w:val="lrTb"/>
            <w:noWrap w:val="false"/>
          </w:tcPr>
          <w:p>
            <w:pPr>
              <w:pStyle w:val="1067"/>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技术要求的符合性，即根据投标人所提供的产品能力服务的综合性能、技术参数，产品的安全性、稳定性、操作性等方面进行评分。符合采购需求的要求的得15分。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（1）标注“▲”为重要参数，有一项不满足扣3分；扣完为止。</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标注“▲”参数应按照要求提供相关证明材料并加盖投标人公章的扫描件。</w:t>
            </w:r>
            <w:r>
              <w:rPr>
                <w:rFonts w:hint="eastAsia" w:ascii="宋体" w:hAnsi="宋体" w:eastAsia="宋体" w:cs="宋体"/>
                <w:b/>
                <w:bCs/>
                <w:color w:val="000000"/>
                <w:sz w:val="21"/>
                <w:szCs w:val="21"/>
                <w:highlight w:val="none"/>
                <w:lang w:eastAsia="zh-CN"/>
              </w:rPr>
              <w:t xml:space="preserve">如有提供虚假技术参数的，一经发现按无效</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处理。</w:t>
            </w:r>
            <w:r>
              <w:rPr>
                <w:rFonts w:hint="eastAsia" w:ascii="宋体" w:hAnsi="宋体" w:eastAsia="宋体" w:cs="宋体"/>
                <w:b/>
                <w:bCs/>
                <w:color w:val="000000"/>
                <w:sz w:val="21"/>
                <w:szCs w:val="21"/>
                <w:highlight w:val="none"/>
              </w:rPr>
            </w:r>
            <w:r/>
          </w:p>
        </w:tc>
      </w:tr>
      <w:tr>
        <w:trPr>
          <w:trHeight w:val="90"/>
        </w:trPr>
        <w:tc>
          <w:tcPr>
            <w:gridSpan w:val="2"/>
            <w:tcW w:w="196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100</w:t>
            </w:r>
            <w:r>
              <w:rPr>
                <w:rFonts w:hint="eastAsia" w:ascii="宋体" w:hAnsi="宋体" w:eastAsia="宋体" w:cs="宋体"/>
                <w:b/>
                <w:bCs/>
                <w:color w:val="000000"/>
                <w:sz w:val="21"/>
                <w:szCs w:val="21"/>
                <w:highlight w:val="none"/>
              </w:rPr>
            </w:r>
            <w:r/>
          </w:p>
        </w:tc>
        <w:tc>
          <w:tcPr>
            <w:gridSpan w:val="2"/>
            <w:tcW w:w="6801" w:type="dxa"/>
            <w:vAlign w:val="center"/>
            <w:textDirection w:val="lrTb"/>
            <w:noWrap w:val="false"/>
          </w:tcPr>
          <w:p>
            <w:pPr>
              <w:pStyle w:val="1067"/>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7"/>
        <w:ind w:firstLine="422"/>
        <w:spacing w:line="400" w:lineRule="exact"/>
        <w:rPr>
          <w:rFonts w:hint="eastAsia" w:ascii="宋体" w:hAnsi="宋体" w:eastAsia="宋体" w:cs="宋体"/>
          <w:b/>
          <w:bCs w:val="0"/>
          <w:color w:val="000000"/>
          <w:szCs w:val="21"/>
          <w:highlight w:val="none"/>
          <w:lang w:eastAsia="zh-CN"/>
        </w:rPr>
      </w:pPr>
      <w:r/>
      <w:bookmarkStart w:id="684" w:name="_Toc140154567"/>
      <w:r/>
      <w:bookmarkStart w:id="685" w:name="_Toc140154483"/>
      <w:r/>
      <w:bookmarkStart w:id="686" w:name="_Toc140147451"/>
      <w:r>
        <w:rPr>
          <w:rFonts w:hint="eastAsia" w:ascii="宋体" w:hAnsi="宋体" w:eastAsia="宋体" w:cs="宋体"/>
          <w:b/>
          <w:bCs w:val="0"/>
          <w:color w:val="000000"/>
          <w:szCs w:val="21"/>
          <w:highlight w:val="none"/>
          <w:lang w:eastAsia="zh-CN"/>
        </w:rPr>
        <w:t xml:space="preserve">注意事项：</w:t>
      </w:r>
      <w:bookmarkEnd w:id="684"/>
      <w:r/>
      <w:bookmarkEnd w:id="685"/>
      <w:r/>
      <w:bookmarkEnd w:id="686"/>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1067"/>
        <w:jc w:val="left"/>
        <w:widowControl/>
        <w:rPr>
          <w:b/>
          <w:color w:val="000000"/>
          <w:sz w:val="36"/>
          <w:szCs w:val="36"/>
          <w:highlight w:val="none"/>
        </w:rPr>
      </w:pPr>
      <w:r>
        <w:rPr>
          <w:b/>
          <w:color w:val="000000"/>
          <w:sz w:val="36"/>
          <w:szCs w:val="36"/>
          <w:highlight w:val="none"/>
        </w:rPr>
      </w:r>
      <w:r/>
    </w:p>
    <w:p>
      <w:pPr>
        <w:pStyle w:val="1067"/>
        <w:jc w:val="center"/>
        <w:spacing w:line="360" w:lineRule="auto"/>
        <w:rPr>
          <w:color w:val="000000"/>
          <w:sz w:val="24"/>
          <w:highlight w:val="none"/>
        </w:rPr>
        <w:outlineLvl w:val="0"/>
      </w:pPr>
      <w:r>
        <w:rPr>
          <w:b/>
          <w:color w:val="000000"/>
          <w:sz w:val="36"/>
          <w:szCs w:val="36"/>
          <w:highlight w:val="none"/>
        </w:rPr>
        <w:br w:type="page" w:clear="all"/>
      </w:r>
      <w:bookmarkStart w:id="687" w:name="_Toc99301424"/>
      <w:r>
        <w:rPr>
          <w:b/>
          <w:color w:val="000000"/>
          <w:sz w:val="32"/>
          <w:szCs w:val="32"/>
          <w:highlight w:val="none"/>
        </w:rPr>
        <w:t xml:space="preserve">第五章   采购需求</w:t>
      </w:r>
      <w:bookmarkEnd w:id="687"/>
      <w:r>
        <w:rPr>
          <w:color w:val="000000"/>
          <w:sz w:val="24"/>
          <w:highlight w:val="none"/>
        </w:rPr>
      </w:r>
      <w:r/>
    </w:p>
    <w:p>
      <w:pPr>
        <w:pStyle w:val="1067"/>
        <w:spacing w:line="400" w:lineRule="exact"/>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一、项目概况</w:t>
      </w:r>
      <w:r>
        <w:rPr>
          <w:rFonts w:hint="eastAsia" w:ascii="宋体" w:hAnsi="宋体" w:eastAsia="宋体" w:cs="宋体"/>
          <w:b/>
          <w:bCs/>
          <w:color w:val="000000"/>
          <w:szCs w:val="22"/>
          <w:highlight w:val="none"/>
        </w:rPr>
      </w:r>
      <w:r/>
    </w:p>
    <w:p>
      <w:pPr>
        <w:pStyle w:val="1067"/>
        <w:ind w:firstLine="420"/>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1.项目名称：</w:t>
      </w:r>
      <w:r>
        <w:rPr>
          <w:rFonts w:hint="eastAsia" w:ascii="宋体" w:hAnsi="宋体" w:eastAsia="宋体" w:cs="宋体"/>
          <w:bCs/>
          <w:color w:val="000000"/>
          <w:szCs w:val="21"/>
          <w:highlight w:val="none"/>
          <w:lang w:eastAsia="zh-CN"/>
        </w:rPr>
        <w:t xml:space="preserve">AI智能安全监管平台服务项目</w:t>
      </w:r>
      <w:r>
        <w:rPr>
          <w:rFonts w:hint="eastAsia" w:ascii="宋体" w:hAnsi="宋体" w:eastAsia="宋体" w:cs="宋体"/>
          <w:bCs/>
          <w:color w:val="000000"/>
          <w:szCs w:val="21"/>
          <w:highlight w:val="none"/>
          <w:lang w:eastAsia="zh-CN"/>
        </w:rPr>
      </w:r>
      <w:r/>
    </w:p>
    <w:p>
      <w:pPr>
        <w:pStyle w:val="1067"/>
        <w:ind w:left="420" w:firstLine="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项目预算金额：</w:t>
      </w:r>
      <w:r>
        <w:rPr>
          <w:rFonts w:hint="eastAsia" w:ascii="宋体" w:hAnsi="宋体" w:eastAsia="宋体" w:cs="宋体"/>
          <w:b/>
          <w:bCs/>
          <w:color w:val="000000"/>
          <w:szCs w:val="21"/>
          <w:highlight w:val="none"/>
          <w:u w:val="single"/>
          <w:lang w:val="en-US" w:eastAsia="zh-CN"/>
        </w:rPr>
        <w:t xml:space="preserve">500万元</w:t>
      </w:r>
      <w:r>
        <w:rPr>
          <w:rFonts w:hint="eastAsia" w:ascii="宋体" w:hAnsi="宋体" w:eastAsia="宋体" w:cs="宋体"/>
          <w:color w:val="000000"/>
          <w:szCs w:val="21"/>
          <w:highlight w:val="none"/>
        </w:rPr>
        <w:t xml:space="preserve">、项目最高限价：</w:t>
      </w:r>
      <w:r>
        <w:rPr>
          <w:rFonts w:hint="eastAsia" w:ascii="宋体" w:hAnsi="宋体" w:eastAsia="宋体" w:cs="宋体"/>
          <w:b/>
          <w:bCs/>
          <w:color w:val="000000"/>
          <w:szCs w:val="21"/>
          <w:highlight w:val="none"/>
          <w:u w:val="single"/>
          <w:lang w:eastAsia="zh-CN"/>
        </w:rPr>
        <w:t xml:space="preserve">490万元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7"/>
        <w:ind w:firstLine="42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val="en-US" w:eastAsia="zh-CN"/>
        </w:rPr>
        <w:t xml:space="preserve">3.项目概况：本项目以天宁区青龙街道基层安全管理实际需求为核心建设导向，立足解决当前安全管理中的痛点与不足。通过采购专业服务模式推进街道安全管理工作：(1)提供感知管理预警服务，内容涵盖感知设备租赁、已安装设备的规划布设与数据接入、定期巡检测试及运营预警服务，聚焦辖区内99个厂中厂园区、32个有限空间单位、10个金属冶炼单位、10个安置房小区及</w:t>
      </w:r>
      <w:r>
        <w:rPr>
          <w:rFonts w:hint="eastAsia" w:ascii="宋体" w:hAnsi="宋体" w:eastAsia="宋体" w:cs="宋体"/>
          <w:bCs/>
          <w:color w:val="000000"/>
          <w:szCs w:val="21"/>
          <w:highlight w:val="none"/>
          <w:lang w:val="en-US" w:eastAsia="zh-CN"/>
        </w:rPr>
        <w:t xml:space="preserve">1114家社会面小场所等重点区域的安全管理场景，由中标人开展现场勘查、现有设施梳理与监测盲区分析，坚持充分复用、不重复建设的原则，通过新增布设、数据接入及为现有设备加装AI能力等方式，实现现场环境实时智能感知与风险主动预警；（2）搭建AI运营服务中心，由服务商提供 “人防 + 智防”一体化服务，依托多模态垂类大模型整合物联感知、视频监控、标准规范等全量数据，完成预警信息的智能研判、过滤合并与先期处置，同时由中标人配备的项目运营人员对预警处置全过程跟踪闭环，必要时人工快速介入处置，全面提升预警响应与处置效能。</w:t>
      </w:r>
      <w:r>
        <w:rPr>
          <w:rFonts w:hint="eastAsia" w:ascii="宋体" w:hAnsi="宋体" w:eastAsia="宋体" w:cs="宋体"/>
          <w:color w:val="000000"/>
          <w:szCs w:val="21"/>
          <w:highlight w:val="none"/>
        </w:rPr>
      </w:r>
      <w:r/>
    </w:p>
    <w:p>
      <w:pPr>
        <w:pStyle w:val="1067"/>
        <w:spacing w:line="400" w:lineRule="exact"/>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二、商务要求</w:t>
      </w:r>
      <w:r>
        <w:rPr>
          <w:rFonts w:hint="eastAsia" w:ascii="宋体" w:hAnsi="宋体" w:eastAsia="宋体" w:cs="宋体"/>
          <w:b/>
          <w:bCs/>
          <w:color w:val="000000"/>
          <w:szCs w:val="22"/>
          <w:highlight w:val="none"/>
        </w:rPr>
      </w:r>
      <w:r/>
    </w:p>
    <w:p>
      <w:pPr>
        <w:pStyle w:val="1067"/>
        <w:ind w:firstLine="420"/>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Cs w:val="21"/>
          <w:highlight w:val="none"/>
        </w:rPr>
        <w:t xml:space="preserve">合同履行期限：</w:t>
      </w:r>
      <w:r>
        <w:rPr>
          <w:rFonts w:hint="eastAsia" w:ascii="宋体" w:hAnsi="宋体" w:eastAsia="宋体" w:cs="宋体"/>
          <w:b/>
          <w:bCs/>
          <w:color w:val="000000"/>
          <w:szCs w:val="21"/>
          <w:highlight w:val="none"/>
          <w:u w:val="single"/>
          <w:lang w:eastAsia="zh-CN"/>
        </w:rPr>
        <w:t xml:space="preserve">自合同签订之日起90个日历天内完成感知设备的提供、安装调试、通过网络接入集中运营中心，具备集中监测能力并经甲方验收合格后开始提供服务，服务期限：36个月。</w:t>
      </w:r>
      <w:r>
        <w:rPr>
          <w:rFonts w:hint="eastAsia" w:ascii="宋体" w:hAnsi="宋体" w:eastAsia="宋体" w:cs="宋体"/>
          <w:bCs/>
          <w:color w:val="000000"/>
          <w:szCs w:val="21"/>
          <w:highlight w:val="none"/>
          <w:lang w:eastAsia="zh-CN"/>
        </w:rPr>
      </w:r>
      <w:r/>
    </w:p>
    <w:p>
      <w:pPr>
        <w:pStyle w:val="1067"/>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lang w:val="en-US" w:eastAsia="zh-CN"/>
        </w:rPr>
        <w:t xml:space="preserve">结算原则及</w:t>
      </w:r>
      <w:r>
        <w:rPr>
          <w:rFonts w:hint="eastAsia" w:ascii="宋体" w:hAnsi="宋体" w:eastAsia="宋体" w:cs="宋体"/>
          <w:b/>
          <w:color w:val="000000"/>
          <w:szCs w:val="21"/>
          <w:highlight w:val="none"/>
        </w:rPr>
        <w:t xml:space="preserve">付款条件（进度和方式）：</w:t>
      </w:r>
      <w:r>
        <w:rPr>
          <w:rFonts w:hint="eastAsia" w:ascii="宋体" w:hAnsi="宋体" w:eastAsia="宋体" w:cs="宋体"/>
          <w:b/>
          <w:color w:val="000000"/>
          <w:szCs w:val="21"/>
          <w:highlight w:val="none"/>
        </w:rPr>
      </w:r>
      <w:r/>
    </w:p>
    <w:p>
      <w:pPr>
        <w:pStyle w:val="1067"/>
        <w:numPr>
          <w:ilvl w:val="0"/>
          <w:numId w:val="0"/>
        </w:numPr>
        <w:ind w:firstLine="422"/>
        <w:keepLines w:val="0"/>
        <w:keepNext w:val="0"/>
        <w:pageBreakBefore w:val="0"/>
        <w:spacing w:line="400" w:lineRule="exact"/>
        <w:rPr>
          <w:rFonts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single"/>
          <w:lang w:val="en-US" w:eastAsia="zh-CN" w:bidi="ar-SA"/>
        </w:rPr>
        <w:t xml:space="preserve">2.1结算原则：全费用固定综合单价，按实结算。</w:t>
      </w:r>
      <w:r>
        <w:rPr>
          <w:rFonts w:ascii="宋体" w:hAnsi="宋体" w:eastAsia="宋体" w:cs="宋体"/>
          <w:b/>
          <w:bCs w:val="0"/>
          <w:color w:val="000000"/>
          <w:sz w:val="21"/>
          <w:szCs w:val="21"/>
          <w:highlight w:val="none"/>
          <w:u w:val="single"/>
          <w:lang w:val="en-US" w:eastAsia="zh-CN" w:bidi="ar-SA"/>
        </w:rPr>
      </w:r>
      <w:r/>
    </w:p>
    <w:p>
      <w:pPr>
        <w:pStyle w:val="1067"/>
        <w:ind w:firstLine="422"/>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u w:val="single"/>
          <w:lang w:val="en-US" w:eastAsia="zh-CN" w:bidi="ar-SA"/>
        </w:rPr>
        <w:t xml:space="preserve">2.2付款条件：</w:t>
      </w:r>
      <w:r>
        <w:rPr>
          <w:rFonts w:hint="eastAsia" w:ascii="宋体" w:hAnsi="宋体" w:eastAsia="宋体" w:cs="宋体"/>
          <w:b/>
          <w:bCs w:val="0"/>
          <w:color w:val="000000"/>
          <w:sz w:val="21"/>
          <w:szCs w:val="21"/>
          <w:highlight w:val="none"/>
          <w:u w:val="single"/>
          <w:lang w:val="en-US" w:eastAsia="zh-CN"/>
        </w:rPr>
        <w:t xml:space="preserve">（1）</w:t>
      </w:r>
      <w:r>
        <w:rPr>
          <w:rFonts w:hint="eastAsia" w:ascii="宋体" w:hAnsi="宋体" w:eastAsia="宋体" w:cs="宋体"/>
          <w:b/>
          <w:bCs w:val="0"/>
          <w:color w:val="000000"/>
          <w:sz w:val="21"/>
          <w:szCs w:val="21"/>
          <w:highlight w:val="none"/>
          <w:u w:val="single"/>
          <w:lang w:val="en-US" w:eastAsia="zh-CN" w:bidi="ar-SA"/>
        </w:rPr>
        <w:t xml:space="preserve">乙方在规定时间内完成</w:t>
      </w:r>
      <w:r>
        <w:rPr>
          <w:rFonts w:hint="eastAsia" w:ascii="宋体" w:hAnsi="宋体" w:eastAsia="宋体" w:cs="宋体"/>
          <w:b/>
          <w:bCs w:val="0"/>
          <w:color w:val="000000"/>
          <w:sz w:val="21"/>
          <w:szCs w:val="21"/>
          <w:highlight w:val="none"/>
          <w:u w:val="single"/>
          <w:lang w:eastAsia="zh-CN"/>
        </w:rPr>
        <w:t xml:space="preserve">感知设备的提供、安装调试、通过网络接入集中运营中心，具备集中监测能力并经甲方验收合格后</w:t>
      </w:r>
      <w:r>
        <w:rPr>
          <w:rFonts w:hint="eastAsia" w:ascii="宋体" w:hAnsi="宋体" w:eastAsia="宋体" w:cs="宋体"/>
          <w:b/>
          <w:bCs w:val="0"/>
          <w:color w:val="000000"/>
          <w:sz w:val="21"/>
          <w:szCs w:val="21"/>
          <w:highlight w:val="none"/>
          <w:u w:val="single"/>
          <w:lang w:val="en-US" w:eastAsia="zh-CN"/>
        </w:rPr>
        <w:t xml:space="preserve">支付合同总金额的40%；（2）运营服务期第二年的第一个月支付合同总金额的20%（扣除第一年考核相应扣款金额）；（3）运营服务期第三年的第一个月支付合同总金额的20%（扣除第二年考核相应扣款金额）；（4）</w:t>
      </w:r>
      <w:r>
        <w:rPr>
          <w:rFonts w:hint="eastAsia" w:ascii="宋体" w:hAnsi="宋体" w:eastAsia="宋体" w:cs="宋体"/>
          <w:b/>
          <w:bCs w:val="0"/>
          <w:color w:val="000000"/>
          <w:sz w:val="21"/>
          <w:szCs w:val="21"/>
          <w:highlight w:val="none"/>
          <w:u w:val="single"/>
          <w:lang w:val="en-US" w:eastAsia="zh-CN" w:bidi="ar-SA"/>
        </w:rPr>
        <w:t xml:space="preserve">(如需审计)则审计后，满足合同约定条件的，甲方在项目</w:t>
      </w:r>
      <w:r>
        <w:rPr>
          <w:rFonts w:hint="eastAsia" w:ascii="宋体" w:hAnsi="宋体" w:eastAsia="宋体" w:cs="宋体"/>
          <w:b/>
          <w:bCs w:val="0"/>
          <w:color w:val="000000"/>
          <w:sz w:val="21"/>
          <w:szCs w:val="21"/>
          <w:highlight w:val="none"/>
          <w:u w:val="single"/>
          <w:lang w:val="en-US" w:eastAsia="zh-CN"/>
        </w:rPr>
        <w:t xml:space="preserve">服务期满</w:t>
      </w:r>
      <w:r>
        <w:rPr>
          <w:rFonts w:hint="eastAsia" w:ascii="宋体" w:hAnsi="宋体" w:eastAsia="宋体" w:cs="宋体"/>
          <w:b/>
          <w:bCs w:val="0"/>
          <w:color w:val="000000"/>
          <w:sz w:val="21"/>
          <w:szCs w:val="21"/>
          <w:highlight w:val="none"/>
          <w:u w:val="single"/>
          <w:lang w:val="en-US" w:eastAsia="zh-CN" w:bidi="ar-SA"/>
        </w:rPr>
        <w:t xml:space="preserve">之日起60日付款至合同总金额（审定金额）的100%</w:t>
      </w:r>
      <w:r>
        <w:rPr>
          <w:rFonts w:hint="eastAsia" w:ascii="宋体" w:hAnsi="宋体" w:eastAsia="宋体" w:cs="宋体"/>
          <w:b/>
          <w:bCs w:val="0"/>
          <w:color w:val="000000"/>
          <w:sz w:val="21"/>
          <w:szCs w:val="21"/>
          <w:highlight w:val="none"/>
          <w:u w:val="single"/>
          <w:lang w:val="en-US" w:eastAsia="zh-CN"/>
        </w:rPr>
        <w:t xml:space="preserve">（扣除第三年考核相应扣款金额）</w:t>
      </w:r>
      <w:r>
        <w:rPr>
          <w:rFonts w:hint="eastAsia" w:ascii="宋体" w:hAnsi="宋体" w:eastAsia="宋体" w:cs="宋体"/>
          <w:b/>
          <w:bCs w:val="0"/>
          <w:color w:val="000000"/>
          <w:sz w:val="21"/>
          <w:szCs w:val="21"/>
          <w:highlight w:val="none"/>
          <w:u w:val="single"/>
          <w:lang w:val="en-US" w:eastAsia="zh-CN" w:bidi="ar-SA"/>
        </w:rPr>
        <w:t xml:space="preserve">。</w:t>
      </w:r>
      <w:r>
        <w:rPr>
          <w:rFonts w:hint="eastAsia" w:ascii="宋体" w:hAnsi="宋体" w:eastAsia="宋体" w:cs="宋体"/>
          <w:bCs/>
          <w:color w:val="000000"/>
          <w:sz w:val="21"/>
          <w:szCs w:val="21"/>
          <w:highlight w:val="none"/>
          <w:lang w:val="en-US" w:eastAsia="zh-CN"/>
        </w:rPr>
      </w:r>
      <w:r/>
    </w:p>
    <w:p>
      <w:pPr>
        <w:pStyle w:val="1067"/>
        <w:spacing w:line="400" w:lineRule="exact"/>
        <w:rPr>
          <w:rFonts w:hint="eastAsia" w:ascii="宋体" w:hAnsi="宋体"/>
          <w:b/>
          <w:bCs/>
          <w:color w:val="000000"/>
          <w:szCs w:val="22"/>
          <w:highlight w:val="none"/>
        </w:rPr>
      </w:pPr>
      <w:r>
        <w:rPr>
          <w:rFonts w:hint="eastAsia" w:ascii="宋体" w:hAnsi="宋体"/>
          <w:b/>
          <w:bCs/>
          <w:color w:val="000000"/>
          <w:szCs w:val="22"/>
          <w:highlight w:val="none"/>
        </w:rPr>
        <w:t xml:space="preserve">三、</w:t>
      </w:r>
      <w:r>
        <w:rPr>
          <w:rFonts w:hint="eastAsia" w:ascii="宋体" w:hAnsi="宋体" w:cs="宋体"/>
          <w:b/>
          <w:color w:val="000000"/>
          <w:szCs w:val="21"/>
          <w:highlight w:val="none"/>
        </w:rPr>
        <w:t xml:space="preserve">项目内容及要求</w:t>
      </w:r>
      <w:r>
        <w:rPr>
          <w:rFonts w:hint="eastAsia" w:ascii="宋体" w:hAnsi="宋体"/>
          <w:b/>
          <w:bCs/>
          <w:color w:val="000000"/>
          <w:szCs w:val="22"/>
          <w:highlight w:val="none"/>
        </w:rPr>
      </w:r>
      <w:r/>
    </w:p>
    <w:p>
      <w:pPr>
        <w:pStyle w:val="1067"/>
        <w:ind w:firstLine="422"/>
        <w:spacing w:line="400" w:lineRule="exact"/>
        <w:rPr>
          <w:rFonts w:hint="eastAsia" w:ascii="宋体" w:hAnsi="宋体" w:eastAsia="宋体" w:cs="宋体"/>
          <w:b/>
          <w:bCs w:val="0"/>
          <w:color w:val="000000"/>
          <w:szCs w:val="21"/>
          <w:highlight w:val="none"/>
          <w:u w:val="none"/>
          <w:lang w:val="en-US" w:eastAsia="zh-CN"/>
        </w:rPr>
      </w:pPr>
      <w:r>
        <w:rPr>
          <w:rFonts w:hint="eastAsia" w:ascii="宋体" w:hAnsi="宋体" w:eastAsia="宋体" w:cs="宋体"/>
          <w:b/>
          <w:bCs w:val="0"/>
          <w:color w:val="000000"/>
          <w:szCs w:val="21"/>
          <w:highlight w:val="none"/>
          <w:u w:val="none"/>
          <w:lang w:val="en-US" w:eastAsia="zh-CN"/>
        </w:rPr>
        <w:t xml:space="preserve">（一）整体服务目标</w:t>
      </w:r>
      <w:r>
        <w:rPr>
          <w:rFonts w:hint="eastAsia" w:ascii="宋体" w:hAnsi="宋体" w:eastAsia="宋体" w:cs="宋体"/>
          <w:b/>
          <w:bCs w:val="0"/>
          <w:color w:val="000000"/>
          <w:szCs w:val="21"/>
          <w:highlight w:val="none"/>
          <w:u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1.服务覆盖目标。本次服务覆盖全区所有厂中厂园区、有限空间场所、金属冶炼单位、安置房小区和社会面小场所的安全智能感知与预警服务。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2.运营效能目标。所有感知网络终端在线率与完好率≥95%，预警响应与处置率≥99.9%，基础信息准确率≥95%，形成标准化的运营流程与服务规范。</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3.防控能力目标。实现对电动车充电、有限空间安全作业、电动车进楼道、燃气泄漏等的智能监测与自动预警，初步建成“平急两用”的快速响应机制。</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4.智能体赋能目标。通过边云协同与AI大模型，实现各类预警事件线索的主动发现，预警的智能诊断与分级处置，提升真实警情的发现效率、确认效率与处置效率。</w:t>
      </w:r>
      <w:r>
        <w:rPr>
          <w:rFonts w:hint="eastAsia" w:ascii="宋体" w:hAnsi="宋体" w:eastAsia="宋体" w:cs="宋体"/>
          <w:bCs/>
          <w:color w:val="000000"/>
          <w:szCs w:val="21"/>
          <w:highlight w:val="none"/>
          <w:lang w:val="en-US" w:eastAsia="zh-CN"/>
        </w:rPr>
      </w:r>
      <w:r/>
    </w:p>
    <w:p>
      <w:pPr>
        <w:pStyle w:val="1067"/>
        <w:ind w:firstLine="422"/>
        <w:spacing w:line="400" w:lineRule="exact"/>
        <w:rPr>
          <w:rFonts w:hint="eastAsia" w:ascii="宋体" w:hAnsi="宋体" w:eastAsia="宋体" w:cs="宋体"/>
          <w:b/>
          <w:bCs w:val="0"/>
          <w:color w:val="000000"/>
          <w:szCs w:val="21"/>
          <w:highlight w:val="none"/>
          <w:u w:val="none"/>
          <w:lang w:val="en-US" w:eastAsia="zh-CN"/>
        </w:rPr>
      </w:pPr>
      <w:r>
        <w:rPr>
          <w:rFonts w:hint="eastAsia" w:ascii="宋体" w:hAnsi="宋体" w:eastAsia="宋体" w:cs="宋体"/>
          <w:b/>
          <w:bCs w:val="0"/>
          <w:color w:val="000000"/>
          <w:szCs w:val="21"/>
          <w:highlight w:val="none"/>
          <w:u w:val="none"/>
          <w:lang w:val="en-US" w:eastAsia="zh-CN"/>
        </w:rPr>
        <w:t xml:space="preserve">（二）场景服务内容</w:t>
      </w:r>
      <w:r>
        <w:rPr>
          <w:rFonts w:hint="eastAsia" w:ascii="宋体" w:hAnsi="宋体" w:eastAsia="宋体" w:cs="宋体"/>
          <w:b/>
          <w:bCs w:val="0"/>
          <w:color w:val="000000"/>
          <w:szCs w:val="21"/>
          <w:highlight w:val="none"/>
          <w:u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1.厂中厂安全服务：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（1）电动车集中充电区监测预警服务：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①服务范围（实际实施可以根据企业情况适当调整）：</w:t>
      </w:r>
      <w:r>
        <w:rPr>
          <w:rFonts w:hint="eastAsia" w:ascii="宋体" w:hAnsi="宋体" w:eastAsia="宋体" w:cs="宋体"/>
          <w:bCs/>
          <w:color w:val="000000"/>
          <w:szCs w:val="21"/>
          <w:highlight w:val="none"/>
          <w:lang w:val="en-US" w:eastAsia="zh-CN"/>
        </w:rPr>
      </w:r>
      <w:r/>
    </w:p>
    <w:tbl>
      <w:tblPr>
        <w:tblW w:w="843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115"/>
        <w:gridCol w:w="2640"/>
      </w:tblGrid>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地点</w:t>
            </w:r>
            <w:r>
              <w:rPr>
                <w:rFonts w:hint="eastAsia" w:ascii="宋体" w:hAnsi="宋体" w:eastAsia="宋体" w:cs="宋体"/>
                <w:b/>
                <w:bCs/>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新增红外火焰探测终端数</w:t>
            </w:r>
            <w:r>
              <w:rPr>
                <w:rFonts w:hint="eastAsia" w:ascii="宋体" w:hAnsi="宋体" w:eastAsia="宋体" w:cs="宋体"/>
                <w:b/>
                <w:bCs/>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常州市塑料彩印有限公司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常州市金力光学仪器有限公司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常州市双利来玻璃有限公司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青松村委</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常州申宏体育用品有限公司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常州航月纺织机件有限公司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旺阁农庄</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常州市迎燕复合材料有限公司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常州市伟聃塑料包装有限公司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东源钢瓶</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东源电缆</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翁一龙</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豪能空调设备厂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江苏科能电力机械有限公司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金仁煜1</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东青包装机械</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丹江矿山</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毅宵塑料</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常州市武城电子有限公司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三利模具</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常州金星双宇电装有限公司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常州市再创车辆有限公司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武城庙</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洁美滤材</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常州市园明五金厂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常州兆信捷电子有限公司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常州市云林金属制品有限公司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江苏栋德机械科技有限公司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常州瑞讯电子股份有限公司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常州市人峰机械科技有限公司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常州市远恒玻璃有限公司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常州市文华机电有限公司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常州严之春厂区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常州市培星纺织机械制造有限公司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常州市仙偶电子净化设备有限公司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常州市宝安车辆配件有限公司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常州市青龙道路建设工程有限公司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常州市鼎润土石方工程有限公司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常州市润腾超声波科技有限公司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常州弘创大厦</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常州市吉利玻璃有限公司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常州市建雄模具有限公司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常顺医疗科技有限公司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常州伟业油箱有限公司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常州宏鹄焊接材料有限公司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常州市恒宇钢令纺织有限公司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常州鑫泰建材有限公司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常州市新卓车业有限公司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嘉美好亚麻短纤</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常州慧能齿轮有限公司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常州源兴数控机床有限公司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常州市禾佳阳光能源技术有限公司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常州市超然电力电子有限公司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盛乐电子</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常州南方空调</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常州生物医学工程有限公司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常州市亚都纺织厂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刘家村村委会</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大西头29号</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常州汇金精密机械有限公司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健达干燥</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庆达电力</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常州庆达船舶动力有限公司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常州市福来特电子有限公司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常州市东青工业搪瓷有限公司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耿彬-(天宁区天宁经济开发区)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常州丰英照明电器有限公司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福北工业园二期</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三只熊（江苏）健康科技有限公司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常州市永华塑料厂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焦仁秋-(天宁区天宁经济开发区福成北塘社区)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俞志林-(天宁区天宁经济开发区)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常州祺嘉科技有限公司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常州市大福阳物流有限公司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亚芯半导体材料（江苏）有限公司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常州仁千物业管理有限公司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常州特种变压器有限公司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弘辉标准厂房</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常州明杰重工科技股份有限公司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常州诺德电子股份有限公司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无锡联锡科技有限公司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常州恒扬信息科技有限公司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常州亚玛顿股份有限公司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常州三毛纺织集团有限公司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弘辉加速器</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常州青洋塑业科技有限公司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常州昆信科技产业有限公司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常州弘瀚科技有限公司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常州市慧心动能智能科技有限公司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南京麦秋科技产业发展有限公司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常州市金日印染有限公司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高士工业园区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常州天美日用品有限公司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常州联信纺织染整有限公司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姚文国-(天宁区天宁经济开发区)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常州龙城之星染织有限公司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常州华锦针织服装有限公司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常州机械施工有限公司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ascii="宋体" w:hAnsi="宋体" w:eastAsia="宋体" w:cs="宋体"/>
                <w:i w:val="0"/>
                <w:iCs w:val="0"/>
                <w:color w:val="000000"/>
                <w:sz w:val="21"/>
                <w:szCs w:val="21"/>
                <w:highlight w:val="none"/>
                <w:u w:val="none"/>
                <w:lang w:val="en-US"/>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②服务要求：</w:t>
      </w:r>
      <w:r>
        <w:rPr>
          <w:rFonts w:hint="eastAsia" w:ascii="宋体" w:hAnsi="宋体" w:eastAsia="宋体" w:cs="宋体"/>
          <w:bCs/>
          <w:color w:val="000000"/>
          <w:szCs w:val="21"/>
          <w:highlight w:val="none"/>
          <w:lang w:val="en-US" w:eastAsia="zh-CN"/>
        </w:rPr>
      </w:r>
      <w:r/>
    </w:p>
    <w:tbl>
      <w:tblPr>
        <w:tblW w:w="84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12"/>
        <w:gridCol w:w="5591"/>
        <w:gridCol w:w="688"/>
        <w:gridCol w:w="744"/>
      </w:tblGrid>
      <w:tr>
        <w:trPr>
          <w:trHeight w:val="285"/>
        </w:trPr>
        <w:tc>
          <w:tcPr>
            <w:tcW w:w="1412"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59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8180"/>
        </w:trPr>
        <w:tc>
          <w:tcPr>
            <w:tcW w:w="141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AI红外感知设备服务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1、提供AI红外感知设备（含前端存储卡）三年能力服务；历史视频存储大于1个月；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2、可视化火焰探测器参数：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设备参数：</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▲热成像像素≥256×192</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▲可见光图像≥500万像素，分辨率≥2592*1944</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内置补光灯，监控距离不低于50米； </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支持火点探测报警，支持冷热点报警和测温报警功能，支持测温功能；</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报警范围：可设置为-20℃到550℃，可设置热成像视频图像温度单位为摄氏度、华氏度，鼠标点击热成像视频图像画面上的任意一点，可叠加该点的探测温度，可在热成像视频图像画面上显示设定点的平均温、报警温度斜率，可在热成像视频图像画面上显示设定线条上的最高探测温度、最低探测温度和平均探测温度、报警温度斜率、温度差值，可在热成像视频图像画面上显示设定区域上的最高探测温度、最低探测温度和平均探测温度、报警温度斜率、温度差值</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内置MIC和高音量扬声器， 支持声光语音报警联动 ；</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▲具备红黄绿三色指示灯可现实设备工作、故障、报警状态</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▲热成像图像具有白热、铁红、蓝热、绿热等不少于26种伪彩可调</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支持3路报警输入、2路报警输出功能，Micro SD卡，1路音频输入、支持1路音频输出； </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支持IP66防护等级；</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支持DC12V-24V/POE供电方式；</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支持4G全网通无线通讯；</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1720"/>
        </w:trPr>
        <w:tc>
          <w:tcPr>
            <w:tcW w:w="141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AI红外感知设备安装部署服务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提供现场部署点位规划、现场部署安装（含辅材）、网络配置、预警参数配置、联调测试、拆除、移位等服务</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480"/>
        </w:trPr>
        <w:tc>
          <w:tcPr>
            <w:tcW w:w="141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AI红外感知物联感知通信服务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5G流量卡，100GB/月，36个月。</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AI红外感知预警运营服务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688"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744"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1、每六个月现场巡检1次，测试设备灵敏度、检查设备健康状态、更新预警联系人信息等；</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3、故障设备8小时更换；</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4、所有预警事件跟踪处置闭环（AI+人工联动处置）；</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（2）丙类重点仓库火灾监测预警服务：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青龙街道范围内厂中厂园区共用的100余个丙类重点仓库，具体清单街道提供。</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tbl>
      <w:tblPr>
        <w:tblW w:w="91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21"/>
        <w:gridCol w:w="5195"/>
        <w:gridCol w:w="1080"/>
        <w:gridCol w:w="1080"/>
      </w:tblGrid>
      <w:tr>
        <w:trPr>
          <w:trHeight w:val="285"/>
        </w:trPr>
        <w:tc>
          <w:tcPr>
            <w:tcW w:w="182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195"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1000"/>
        </w:trPr>
        <w:tc>
          <w:tcPr>
            <w:tcW w:w="1821"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温烟感一体化设备服务</w:t>
            </w:r>
            <w:r>
              <w:rPr>
                <w:rFonts w:hint="eastAsia" w:ascii="宋体" w:hAnsi="宋体" w:eastAsia="宋体" w:cs="宋体"/>
                <w:i w:val="0"/>
                <w:iCs w:val="0"/>
                <w:color w:val="000000"/>
                <w:sz w:val="21"/>
                <w:szCs w:val="21"/>
                <w:highlight w:val="none"/>
                <w:u w:val="none"/>
              </w:rPr>
            </w:r>
            <w:r/>
          </w:p>
        </w:tc>
        <w:tc>
          <w:tcPr>
            <w:tcW w:w="5195" w:type="dxa"/>
            <w:vAlign w:val="center"/>
            <w:vMerge w:val="restart"/>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提供温烟感一体化设备三年能力服务；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2、感知设备参数：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采集类型：烟雾、温度；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支持烟雾、温度报警；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方位比值≤1.1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一致性比值≤1.3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报警音量：≥80dB@3米 （A计权）；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报警方式：声、光报警，支持静默报警；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765"/>
        </w:trPr>
        <w:tc>
          <w:tcPr>
            <w:tcW w:w="182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温烟感一体化设备安装部署服务</w:t>
            </w: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w:t>
            </w:r>
            <w:r>
              <w:rPr>
                <w:rStyle w:val="1343"/>
                <w:rFonts w:hint="eastAsia" w:ascii="宋体" w:hAnsi="宋体" w:eastAsia="宋体" w:cs="宋体"/>
                <w:color w:val="000000"/>
                <w:sz w:val="21"/>
                <w:szCs w:val="21"/>
                <w:highlight w:val="none"/>
                <w:lang w:val="en-US" w:eastAsia="zh-CN" w:bidi="ar"/>
              </w:rPr>
              <w:t xml:space="preserve">CAD</w:t>
            </w:r>
            <w:r>
              <w:rPr>
                <w:rStyle w:val="1344"/>
                <w:rFonts w:hint="eastAsia" w:ascii="宋体" w:hAnsi="宋体" w:eastAsia="宋体" w:cs="宋体"/>
                <w:color w:val="000000"/>
                <w:sz w:val="21"/>
                <w:szCs w:val="21"/>
                <w:highlight w:val="none"/>
                <w:lang w:val="en-US" w:eastAsia="zh-CN" w:bidi="ar"/>
              </w:rPr>
              <w:t xml:space="preserve">图测绘、部署点位规划、现场部署安装（含辅材）、数据初始化、预警参数配置（根据现场情况配置运行模式）、联调测试、拆除、移位等服务。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680"/>
        </w:trPr>
        <w:tc>
          <w:tcPr>
            <w:tcW w:w="182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温烟感一体化物联感知通信服务</w:t>
            </w: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NB/4G</w:t>
            </w:r>
            <w:r>
              <w:rPr>
                <w:rStyle w:val="1344"/>
                <w:rFonts w:hint="eastAsia" w:ascii="宋体" w:hAnsi="宋体" w:eastAsia="宋体" w:cs="宋体"/>
                <w:b w:val="0"/>
                <w:bCs w:val="0"/>
                <w:color w:val="000000"/>
                <w:sz w:val="21"/>
                <w:szCs w:val="21"/>
                <w:highlight w:val="none"/>
                <w:lang w:val="en-US" w:eastAsia="zh-CN" w:bidi="ar"/>
              </w:rPr>
              <w:t xml:space="preserve">流量卡；</w:t>
            </w:r>
            <w:r>
              <w:rPr>
                <w:rStyle w:val="1343"/>
                <w:rFonts w:hint="eastAsia" w:ascii="宋体" w:hAnsi="宋体" w:eastAsia="宋体" w:cs="宋体"/>
                <w:b w:val="0"/>
                <w:bCs w:val="0"/>
                <w:color w:val="000000"/>
                <w:sz w:val="21"/>
                <w:szCs w:val="21"/>
                <w:highlight w:val="none"/>
                <w:lang w:val="en-US" w:eastAsia="zh-CN" w:bidi="ar"/>
              </w:rPr>
              <w:t xml:space="preserve">40w</w:t>
            </w:r>
            <w:r>
              <w:rPr>
                <w:rStyle w:val="1344"/>
                <w:rFonts w:hint="eastAsia" w:ascii="宋体" w:hAnsi="宋体" w:eastAsia="宋体" w:cs="宋体"/>
                <w:b w:val="0"/>
                <w:bCs w:val="0"/>
                <w:color w:val="000000"/>
                <w:sz w:val="21"/>
                <w:szCs w:val="21"/>
                <w:highlight w:val="none"/>
                <w:lang w:val="en-US" w:eastAsia="zh-CN" w:bidi="ar"/>
              </w:rPr>
              <w:t xml:space="preserve">频次或</w:t>
            </w:r>
            <w:r>
              <w:rPr>
                <w:rStyle w:val="1343"/>
                <w:rFonts w:hint="eastAsia" w:ascii="宋体" w:hAnsi="宋体" w:eastAsia="宋体" w:cs="宋体"/>
                <w:b w:val="0"/>
                <w:bCs w:val="0"/>
                <w:color w:val="000000"/>
                <w:sz w:val="21"/>
                <w:szCs w:val="21"/>
                <w:highlight w:val="none"/>
                <w:lang w:val="en-US" w:eastAsia="zh-CN" w:bidi="ar"/>
              </w:rPr>
              <w:t xml:space="preserve">50M/</w:t>
            </w:r>
            <w:r>
              <w:rPr>
                <w:rStyle w:val="1344"/>
                <w:rFonts w:hint="eastAsia" w:ascii="宋体" w:hAnsi="宋体" w:eastAsia="宋体" w:cs="宋体"/>
                <w:b w:val="0"/>
                <w:bCs w:val="0"/>
                <w:color w:val="000000"/>
                <w:sz w:val="21"/>
                <w:szCs w:val="21"/>
                <w:highlight w:val="none"/>
                <w:lang w:val="en-US" w:eastAsia="zh-CN" w:bidi="ar"/>
              </w:rPr>
              <w:t xml:space="preserve">月，</w:t>
            </w:r>
            <w:r>
              <w:rPr>
                <w:rStyle w:val="1343"/>
                <w:rFonts w:hint="eastAsia" w:ascii="宋体" w:hAnsi="宋体" w:eastAsia="宋体" w:cs="宋体"/>
                <w:b w:val="0"/>
                <w:bCs w:val="0"/>
                <w:color w:val="000000"/>
                <w:sz w:val="21"/>
                <w:szCs w:val="21"/>
                <w:highlight w:val="none"/>
                <w:lang w:val="en-US" w:eastAsia="zh-CN" w:bidi="ar"/>
              </w:rPr>
              <w:t xml:space="preserve">36个月。</w:t>
            </w:r>
            <w:r>
              <w:rPr>
                <w:rFonts w:hint="eastAsia" w:ascii="宋体" w:hAnsi="宋体" w:eastAsia="宋体" w:cs="宋体"/>
                <w:b w:val="0"/>
                <w:bCs w:val="0"/>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821"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温烟感一体化预警运营服务</w:t>
            </w: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提供三年的运营服务，包括：</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Style w:val="1344"/>
                <w:rFonts w:hint="eastAsia" w:ascii="宋体" w:hAnsi="宋体" w:eastAsia="宋体" w:cs="宋体"/>
                <w:b w:val="0"/>
                <w:bCs w:val="0"/>
                <w:color w:val="000000"/>
                <w:sz w:val="21"/>
                <w:szCs w:val="21"/>
                <w:highlight w:val="none"/>
                <w:lang w:val="en-US" w:eastAsia="zh-CN" w:bidi="ar"/>
              </w:rPr>
              <w:t xml:space="preserve">、每六个月现场巡检</w:t>
            </w:r>
            <w:r>
              <w:rPr>
                <w:rStyle w:val="1343"/>
                <w:rFonts w:hint="eastAsia" w:ascii="宋体" w:hAnsi="宋体" w:eastAsia="宋体" w:cs="宋体"/>
                <w:b w:val="0"/>
                <w:bCs w:val="0"/>
                <w:color w:val="000000"/>
                <w:sz w:val="21"/>
                <w:szCs w:val="21"/>
                <w:highlight w:val="none"/>
                <w:lang w:val="en-US" w:eastAsia="zh-CN" w:bidi="ar"/>
              </w:rPr>
              <w:t xml:space="preserve">1</w:t>
            </w:r>
            <w:r>
              <w:rPr>
                <w:rStyle w:val="1344"/>
                <w:rFonts w:hint="eastAsia" w:ascii="宋体" w:hAnsi="宋体" w:eastAsia="宋体" w:cs="宋体"/>
                <w:b w:val="0"/>
                <w:bCs w:val="0"/>
                <w:color w:val="000000"/>
                <w:sz w:val="21"/>
                <w:szCs w:val="21"/>
                <w:highlight w:val="none"/>
                <w:lang w:val="en-US" w:eastAsia="zh-CN" w:bidi="ar"/>
              </w:rPr>
              <w:t xml:space="preserve">次，测试设备灵敏度、更新预警联系人信息等；</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Style w:val="1344"/>
                <w:rFonts w:hint="eastAsia" w:ascii="宋体" w:hAnsi="宋体" w:eastAsia="宋体" w:cs="宋体"/>
                <w:b w:val="0"/>
                <w:bCs w:val="0"/>
                <w:color w:val="000000"/>
                <w:sz w:val="21"/>
                <w:szCs w:val="21"/>
                <w:highlight w:val="none"/>
                <w:lang w:val="en-US" w:eastAsia="zh-CN" w:bidi="ar"/>
              </w:rPr>
              <w:t xml:space="preserve">、按照甲方需求，提供服务期内设备安装部署位置迁移服务；</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Style w:val="1344"/>
                <w:rFonts w:hint="eastAsia" w:ascii="宋体" w:hAnsi="宋体" w:eastAsia="宋体" w:cs="宋体"/>
                <w:b w:val="0"/>
                <w:bCs w:val="0"/>
                <w:color w:val="000000"/>
                <w:sz w:val="21"/>
                <w:szCs w:val="21"/>
                <w:highlight w:val="none"/>
                <w:lang w:val="en-US" w:eastAsia="zh-CN" w:bidi="ar"/>
              </w:rPr>
              <w:t xml:space="preserve">、故障设备、灵敏度因迷宫污染降低的设备</w:t>
            </w:r>
            <w:r>
              <w:rPr>
                <w:rStyle w:val="1343"/>
                <w:rFonts w:hint="eastAsia" w:ascii="宋体" w:hAnsi="宋体" w:eastAsia="宋体" w:cs="宋体"/>
                <w:b w:val="0"/>
                <w:bCs w:val="0"/>
                <w:color w:val="000000"/>
                <w:sz w:val="21"/>
                <w:szCs w:val="21"/>
                <w:highlight w:val="none"/>
                <w:lang w:val="en-US" w:eastAsia="zh-CN" w:bidi="ar"/>
              </w:rPr>
              <w:t xml:space="preserve">8</w:t>
            </w:r>
            <w:r>
              <w:rPr>
                <w:rStyle w:val="1344"/>
                <w:rFonts w:hint="eastAsia" w:ascii="宋体" w:hAnsi="宋体" w:eastAsia="宋体" w:cs="宋体"/>
                <w:b w:val="0"/>
                <w:bCs w:val="0"/>
                <w:color w:val="000000"/>
                <w:sz w:val="21"/>
                <w:szCs w:val="21"/>
                <w:highlight w:val="none"/>
                <w:lang w:val="en-US" w:eastAsia="zh-CN" w:bidi="ar"/>
              </w:rPr>
              <w:t xml:space="preserve">小时内更换；</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Style w:val="1344"/>
                <w:rFonts w:hint="eastAsia" w:ascii="宋体" w:hAnsi="宋体" w:eastAsia="宋体" w:cs="宋体"/>
                <w:color w:val="000000"/>
                <w:sz w:val="21"/>
                <w:szCs w:val="21"/>
                <w:highlight w:val="none"/>
                <w:lang w:val="en-US" w:eastAsia="zh-CN" w:bidi="ar"/>
              </w:rPr>
              <w:t xml:space="preserve">、所有预警事件跟踪处置闭环（分级处置，</w:t>
            </w:r>
            <w:r>
              <w:rPr>
                <w:rStyle w:val="1343"/>
                <w:rFonts w:hint="eastAsia" w:ascii="宋体" w:hAnsi="宋体" w:eastAsia="宋体" w:cs="宋体"/>
                <w:color w:val="000000"/>
                <w:sz w:val="21"/>
                <w:szCs w:val="21"/>
                <w:highlight w:val="none"/>
                <w:lang w:val="en-US" w:eastAsia="zh-CN" w:bidi="ar"/>
              </w:rPr>
              <w:t xml:space="preserve">AI</w:t>
            </w:r>
            <w:r>
              <w:rPr>
                <w:rStyle w:val="1344"/>
                <w:rFonts w:hint="eastAsia" w:ascii="宋体" w:hAnsi="宋体" w:eastAsia="宋体" w:cs="宋体"/>
                <w:color w:val="000000"/>
                <w:sz w:val="21"/>
                <w:szCs w:val="21"/>
                <w:highlight w:val="none"/>
                <w:lang w:val="en-US" w:eastAsia="zh-CN" w:bidi="ar"/>
              </w:rPr>
              <w:t xml:space="preserve">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Style w:val="1344"/>
                <w:rFonts w:hint="eastAsia" w:ascii="宋体" w:hAnsi="宋体" w:eastAsia="宋体" w:cs="宋体"/>
                <w:color w:val="000000"/>
                <w:sz w:val="21"/>
                <w:szCs w:val="21"/>
                <w:highlight w:val="none"/>
                <w:lang w:val="en-US" w:eastAsia="zh-CN" w:bidi="ar"/>
              </w:rPr>
              <w:t xml:space="preserve">、紧急预警服务：当研判为紧急预警时，提供紧急预警联通处置服务；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Style w:val="1344"/>
                <w:rFonts w:hint="eastAsia" w:ascii="宋体" w:hAnsi="宋体" w:eastAsia="宋体" w:cs="宋体"/>
                <w:color w:val="000000"/>
                <w:sz w:val="21"/>
                <w:szCs w:val="21"/>
                <w:highlight w:val="none"/>
                <w:lang w:val="en-US" w:eastAsia="zh-CN" w:bidi="ar"/>
              </w:rPr>
              <w:t xml:space="preserve">、提供配套软件平台服务，提供日常软件平台安全保障、运行维护、功能了迭代；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Style w:val="1344"/>
                <w:rFonts w:hint="eastAsia" w:ascii="宋体" w:hAnsi="宋体" w:eastAsia="宋体" w:cs="宋体"/>
                <w:color w:val="000000"/>
                <w:sz w:val="21"/>
                <w:szCs w:val="21"/>
                <w:highlight w:val="none"/>
                <w:lang w:val="en-US" w:eastAsia="zh-CN" w:bidi="ar"/>
              </w:rPr>
              <w:t xml:space="preserve">、提供</w:t>
            </w:r>
            <w:r>
              <w:rPr>
                <w:rStyle w:val="1343"/>
                <w:rFonts w:hint="eastAsia" w:ascii="宋体" w:hAnsi="宋体" w:eastAsia="宋体" w:cs="宋体"/>
                <w:color w:val="000000"/>
                <w:sz w:val="21"/>
                <w:szCs w:val="21"/>
                <w:highlight w:val="none"/>
                <w:lang w:val="en-US" w:eastAsia="zh-CN" w:bidi="ar"/>
              </w:rPr>
              <w:t xml:space="preserve">AI</w:t>
            </w:r>
            <w:r>
              <w:rPr>
                <w:rStyle w:val="1344"/>
                <w:rFonts w:hint="eastAsia" w:ascii="宋体" w:hAnsi="宋体" w:eastAsia="宋体" w:cs="宋体"/>
                <w:color w:val="000000"/>
                <w:sz w:val="21"/>
                <w:szCs w:val="21"/>
                <w:highlight w:val="none"/>
                <w:lang w:val="en-US" w:eastAsia="zh-CN" w:bidi="ar"/>
              </w:rPr>
              <w:t xml:space="preserve">大模型（</w:t>
            </w:r>
            <w:r>
              <w:rPr>
                <w:rStyle w:val="1343"/>
                <w:rFonts w:hint="eastAsia" w:ascii="宋体" w:hAnsi="宋体" w:eastAsia="宋体" w:cs="宋体"/>
                <w:color w:val="000000"/>
                <w:sz w:val="21"/>
                <w:szCs w:val="21"/>
                <w:highlight w:val="none"/>
                <w:lang w:val="en-US" w:eastAsia="zh-CN" w:bidi="ar"/>
              </w:rPr>
              <w:t xml:space="preserve">27B</w:t>
            </w:r>
            <w:r>
              <w:rPr>
                <w:rStyle w:val="1344"/>
                <w:rFonts w:hint="eastAsia" w:ascii="宋体" w:hAnsi="宋体" w:eastAsia="宋体" w:cs="宋体"/>
                <w:color w:val="000000"/>
                <w:sz w:val="21"/>
                <w:szCs w:val="21"/>
                <w:highlight w:val="none"/>
                <w:lang w:val="en-US" w:eastAsia="zh-CN" w:bidi="ar"/>
              </w:rPr>
              <w:t xml:space="preserve">）及智能体服务：包括故障诊断智能体、真实火情智能识别智能体、隐患智能识别智能体、安全教育培训智能体服务、安全态势分析问答智能体服务等及其所需算力。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（3）有限空间安全作业AI预警服务：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青龙街道32个有限空间单位，具体清单如下（实际实施可以根据企业情况适当调整）。</w:t>
      </w:r>
      <w:r>
        <w:rPr>
          <w:rFonts w:hint="eastAsia" w:ascii="宋体" w:hAnsi="宋体" w:eastAsia="宋体" w:cs="宋体"/>
          <w:bCs/>
          <w:color w:val="000000"/>
          <w:szCs w:val="21"/>
          <w:highlight w:val="none"/>
          <w:lang w:val="en-US" w:eastAsia="zh-CN"/>
        </w:rPr>
      </w:r>
      <w:r/>
    </w:p>
    <w:tbl>
      <w:tblPr>
        <w:tblW w:w="915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3907"/>
        <w:gridCol w:w="1764"/>
        <w:gridCol w:w="2400"/>
      </w:tblGrid>
      <w:tr>
        <w:trPr>
          <w:trHeight w:val="518"/>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单位名称</w:t>
            </w:r>
            <w:r>
              <w:rPr>
                <w:rFonts w:hint="eastAsia" w:ascii="宋体" w:hAnsi="宋体" w:eastAsia="宋体" w:cs="宋体"/>
                <w:b/>
                <w:bCs/>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所属行业</w:t>
            </w:r>
            <w:r>
              <w:rPr>
                <w:rFonts w:hint="eastAsia" w:ascii="宋体" w:hAnsi="宋体" w:eastAsia="宋体" w:cs="宋体"/>
                <w:b/>
                <w:bCs/>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有限空间类型</w:t>
            </w:r>
            <w:r>
              <w:rPr>
                <w:rFonts w:hint="eastAsia" w:ascii="宋体" w:hAnsi="宋体" w:eastAsia="宋体" w:cs="宋体"/>
                <w:b/>
                <w:bCs/>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黑牡丹纺织有限公司</w:t>
            </w:r>
            <w:r>
              <w:rPr>
                <w:rFonts w:hint="eastAsia" w:ascii="宋体" w:hAnsi="宋体" w:eastAsia="宋体" w:cs="宋体"/>
                <w:i w:val="0"/>
                <w:iCs w:val="0"/>
                <w:color w:val="000000"/>
                <w:sz w:val="21"/>
                <w:szCs w:val="21"/>
                <w:highlight w:val="none"/>
                <w:u w:val="none"/>
              </w:rPr>
            </w:r>
            <w:r/>
          </w:p>
        </w:tc>
        <w:tc>
          <w:tcPr>
            <w:tcW w:w="1764"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常州东方伊思达染织有限公司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常州龙城之星染织有限公司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常州浩基鼎泰印染有限公司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常州迪尔毛纺织有限公司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常州东恒印染有限公司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常州月夜灯芯绒有限公司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常州三毛纺织集团有限公司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常州旭荣针织印染有限公司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黑牡丹荣元（江苏）服饰有限公司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常州艾贝服饰有限公司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常州裕源灵泰面料科技有限公司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常州佳卓特种车辆有限公司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常州远东连杆集团锻造有限公司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机械通用设备制造</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污水池，隔油池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常州市福来特电子有限公司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常州普江不锈钢管有限公司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污水池、酸罐</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常州市北洋建材有限公司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常州华瑞橡胶有限公司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污水池、循环冷却池、硫化罐</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常州宇宙星电子制造有限公司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常州市毅达包装有限公司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污水池、回收池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常州市洁丽木业有限公司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沉降室、木尘水沉降槽、水池、喷漆房、烘烤房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常州莱森机械制造有限公司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沉淀池、除尘喷淋塔</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铭创（江苏）幕墙新材料有限公司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酸洗池、烘干炕</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常州慧能齿轮有限公司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喷砂房、电阻炉</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常州市隆龙升经编机械有限公司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喷漆房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常州市三里电机有限公司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喷漆房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江苏蓝博环保机械有限公司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喷漆房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江苏亿润线缆有限公司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污水池、喷淋塔</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常州市伟润特种油品有限公司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常州市肯特塑料包装有限公司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污水池、冷却水池</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常州弘源水务有限公司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shd w:val="clear" w:color="auto" w:fill="ffffff"/>
                <w:lang w:val="en-US" w:eastAsia="zh-CN" w:bidi="ar"/>
              </w:rPr>
              <w:t xml:space="preserve">商贸</w:t>
            </w:r>
            <w:r>
              <w:rPr>
                <w:rFonts w:hint="eastAsia" w:ascii="宋体" w:hAnsi="宋体" w:eastAsia="宋体" w:cs="宋体"/>
                <w:i w:val="0"/>
                <w:iCs w:val="0"/>
                <w:color w:val="000000"/>
                <w:sz w:val="21"/>
                <w:szCs w:val="21"/>
                <w:highlight w:val="none"/>
                <w:u w:val="none"/>
              </w:rPr>
            </w:r>
            <w:r/>
          </w:p>
        </w:tc>
        <w:tc>
          <w:tcPr>
            <w:shd w:val="clear" w:color="auto" w:fill="ffffff"/>
            <w:tcW w:w="2402" w:type="dxa"/>
            <w:vAlign w:val="center"/>
            <w:textDirection w:val="lrTb"/>
            <w:noWrap w:val="false"/>
          </w:tcPr>
          <w:p>
            <w:pPr>
              <w:pStyle w:val="1067"/>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常州恒泽水业发展有限公司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商贸</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A：有毒气体检测预警服务：</w:t>
      </w:r>
      <w:r>
        <w:rPr>
          <w:rFonts w:hint="eastAsia" w:ascii="宋体" w:hAnsi="宋体" w:eastAsia="宋体" w:cs="宋体"/>
          <w:bCs/>
          <w:color w:val="000000"/>
          <w:szCs w:val="21"/>
          <w:highlight w:val="none"/>
          <w:lang w:val="en-US" w:eastAsia="zh-CN"/>
        </w:rPr>
      </w:r>
      <w:r/>
    </w:p>
    <w:tbl>
      <w:tblPr>
        <w:tblW w:w="919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26"/>
        <w:gridCol w:w="4486"/>
        <w:gridCol w:w="1905"/>
        <w:gridCol w:w="1080"/>
      </w:tblGrid>
      <w:tr>
        <w:trPr>
          <w:trHeight w:val="285"/>
        </w:trPr>
        <w:tc>
          <w:tcPr>
            <w:tcW w:w="172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448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311"/>
        </w:trPr>
        <w:tc>
          <w:tcPr>
            <w:tcW w:w="172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有毒气体感知设备能力服务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1、提供有毒气体感知设备三年能力服务；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2、能检测有限空间可燃性气体、氧气、一氧化碳、硫化氢等；</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3、设备参数：</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检测原理 催化燃烧式/电化学式/红外传感器/PID传感器</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适用气体 可燃、氧气、一氧化碳、硫化氢、二氧化硫等有毒气体</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工作电压 DC24V（正常工作电压范围：DC18V~DC36V）</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结构材料 压铸铝</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防爆标志 Ex db IIC T6 Gb，Ex tb IIIC T80℃ Db</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防护等级 IP66</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产品尺寸 227mm*273mm*80mm</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输出信号及</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通信接口 RS485接口（通讯协议：ModBus RTU）</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二总线通信</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2组无源开关量输出（最大容量：250VAC 5A）</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使用环境 可燃气体：（-40～70）℃</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其他气体：（-10～55）℃ </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相对湿度(10-95)％RH(非凝露)</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大气压86kPa~106kPa</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应在无显著冲击和振动的场所</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周围环境不应有腐蚀金属和破坏绝缘的介质</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产品重量 ≤3.0kg</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传感器寿命 清洁空气中2~3年。</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510"/>
        </w:trPr>
        <w:tc>
          <w:tcPr>
            <w:tcW w:w="172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有毒气体感知设备安装部署服务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提供现场部署规划、现场部署安装（含辅材）、网络配置、预警参数配置、联调测、拆除、移位等服务</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540"/>
        </w:trPr>
        <w:tc>
          <w:tcPr>
            <w:tcW w:w="172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有毒气体物联感知通信服务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NB/4G流量卡；40w频次50M/月，36个月。</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有毒气体预警运营服务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905"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3、故障设备8小时维修更换；</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B:有限空间安全作业AI预警服务：</w:t>
      </w:r>
      <w:r>
        <w:rPr>
          <w:rFonts w:hint="eastAsia" w:ascii="宋体" w:hAnsi="宋体" w:eastAsia="宋体" w:cs="宋体"/>
          <w:bCs/>
          <w:color w:val="000000"/>
          <w:szCs w:val="21"/>
          <w:highlight w:val="none"/>
          <w:lang w:val="en-US" w:eastAsia="zh-CN"/>
        </w:rPr>
      </w:r>
      <w:r/>
    </w:p>
    <w:tbl>
      <w:tblPr>
        <w:tblW w:w="90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8"/>
        <w:gridCol w:w="5414"/>
        <w:gridCol w:w="1169"/>
        <w:gridCol w:w="1080"/>
      </w:tblGrid>
      <w:tr>
        <w:trPr>
          <w:trHeight w:val="285"/>
        </w:trPr>
        <w:tc>
          <w:tcPr>
            <w:tcW w:w="1398"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414"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533"/>
        </w:trPr>
        <w:tc>
          <w:tcPr>
            <w:tcW w:w="1398"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AI视频摄像机设备服务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1、提供有限空间作业AI视频监控设备三年服务；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color w:val="000000"/>
                <w:szCs w:val="21"/>
                <w:highlight w:val="none"/>
                <w:lang w:bidi="ar"/>
              </w:rPr>
              <w:t xml:space="preserve">支持专有场景算法，电子围栏、安全帽检测、烟火检测、区域人员计数、人员脱岗、吸烟检测等算法定制。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码流 多路码流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传输接口 2路百兆光口、2路百兆电口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多算法分析 支持多种算法同时分析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联动 4个DI有源输入接口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4个DO无源输出接口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额定工作电压 DC12V</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工作电流 ≤1.4A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防护等级 IP65</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510"/>
        </w:trPr>
        <w:tc>
          <w:tcPr>
            <w:tcW w:w="139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AI视频摄像机设备安装部署服务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提供现场部署规划、现场部署安装（含辅材）、网络配置、AI算法参数配置、识别区域配置、联调测试等服务</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AI视频摄像机物联感知通信服务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5G流量卡，100GB/月，36个月。</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AI视频摄像机预警运营服务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169"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3、故障设备8小时维修更换；</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tcW w:w="139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算法训练迭代升级服务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提供有限空间AI算法的训练优化服务，每半年迭代一次算法；</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（4）安置房小区场景服务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①服务范围（实际实施可以根据小区情况适当调整）：</w:t>
      </w:r>
      <w:r>
        <w:rPr>
          <w:rFonts w:hint="eastAsia" w:ascii="宋体" w:hAnsi="宋体" w:eastAsia="宋体" w:cs="宋体"/>
          <w:bCs/>
          <w:color w:val="000000"/>
          <w:szCs w:val="21"/>
          <w:highlight w:val="none"/>
          <w:lang w:val="en-US" w:eastAsia="zh-CN"/>
        </w:rPr>
      </w:r>
      <w:r/>
    </w:p>
    <w:tbl>
      <w:tblPr>
        <w:tblW w:w="474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2"/>
        <w:gridCol w:w="5916"/>
      </w:tblGrid>
      <w:tr>
        <w:trPr>
          <w:trHeight w:val="435"/>
        </w:trPr>
        <w:tc>
          <w:tcPr>
            <w:tcW w:w="2902" w:type="dxa"/>
            <w:vAlign w:val="center"/>
            <w:textDirection w:val="lrTb"/>
            <w:noWrap/>
          </w:tcPr>
          <w:p>
            <w:pPr>
              <w:pStyle w:val="1346"/>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小区名称</w:t>
            </w:r>
            <w:r>
              <w:rPr>
                <w:rFonts w:hint="eastAsia" w:ascii="宋体" w:hAnsi="宋体" w:eastAsia="宋体" w:cs="宋体"/>
                <w:b/>
                <w:bCs/>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楼栋单元情况</w:t>
            </w:r>
            <w:r>
              <w:rPr>
                <w:rFonts w:hint="eastAsia" w:ascii="宋体" w:hAnsi="宋体" w:eastAsia="宋体" w:cs="宋体"/>
                <w:b/>
                <w:bCs/>
                <w:color w:val="000000"/>
                <w:sz w:val="21"/>
                <w:szCs w:val="21"/>
                <w:highlight w:val="none"/>
              </w:rPr>
            </w:r>
            <w:r/>
          </w:p>
        </w:tc>
      </w:tr>
      <w:tr>
        <w:trPr>
          <w:trHeight w:val="322"/>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景秀世家</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4栋（14单元），其余17栋非安置</w:t>
            </w:r>
            <w:r>
              <w:rPr>
                <w:rFonts w:hint="eastAsia" w:ascii="宋体" w:hAnsi="宋体" w:eastAsia="宋体" w:cs="宋体"/>
                <w:color w:val="000000"/>
                <w:sz w:val="21"/>
                <w:szCs w:val="21"/>
                <w:highlight w:val="none"/>
              </w:rPr>
            </w:r>
            <w:r/>
          </w:p>
        </w:tc>
      </w:tr>
      <w:tr>
        <w:trPr>
          <w:trHeight w:val="358"/>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紫云苑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47栋楼，116个单元</w:t>
            </w:r>
            <w:r>
              <w:rPr>
                <w:rFonts w:hint="eastAsia" w:ascii="宋体" w:hAnsi="宋体" w:eastAsia="宋体" w:cs="宋体"/>
                <w:color w:val="000000"/>
                <w:sz w:val="21"/>
                <w:szCs w:val="21"/>
                <w:highlight w:val="none"/>
              </w:rPr>
            </w:r>
            <w:r/>
          </w:p>
        </w:tc>
      </w:tr>
      <w:tr>
        <w:trPr>
          <w:trHeight w:val="335"/>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新丰苑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20栋，36个单元</w:t>
            </w:r>
            <w:r>
              <w:rPr>
                <w:rFonts w:hint="eastAsia" w:ascii="宋体" w:hAnsi="宋体" w:eastAsia="宋体" w:cs="宋体"/>
                <w:color w:val="000000"/>
                <w:sz w:val="21"/>
                <w:szCs w:val="21"/>
                <w:highlight w:val="none"/>
              </w:rPr>
            </w:r>
            <w:r/>
          </w:p>
        </w:tc>
      </w:tr>
      <w:tr>
        <w:trPr>
          <w:trHeight w:val="476"/>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青龙苑南区</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60栋，112个单元，13排别墅，别墅2户1栋，总共70户。</w:t>
            </w:r>
            <w:r>
              <w:rPr>
                <w:rFonts w:hint="eastAsia" w:ascii="宋体" w:hAnsi="宋体" w:eastAsia="宋体" w:cs="宋体"/>
                <w:color w:val="000000"/>
                <w:sz w:val="21"/>
                <w:szCs w:val="21"/>
                <w:highlight w:val="none"/>
              </w:rPr>
            </w:r>
            <w:r/>
          </w:p>
        </w:tc>
      </w:tr>
      <w:tr>
        <w:trPr>
          <w:trHeight w:val="356"/>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青竹苑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51栋，127个单元</w:t>
            </w:r>
            <w:r>
              <w:rPr>
                <w:rFonts w:hint="eastAsia" w:ascii="宋体" w:hAnsi="宋体" w:eastAsia="宋体" w:cs="宋体"/>
                <w:color w:val="000000"/>
                <w:sz w:val="21"/>
                <w:szCs w:val="21"/>
                <w:highlight w:val="none"/>
              </w:rPr>
            </w:r>
            <w:r/>
          </w:p>
        </w:tc>
      </w:tr>
      <w:tr>
        <w:trPr>
          <w:trHeight w:val="388"/>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青龙苑北区</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75栋，220个单元</w:t>
            </w:r>
            <w:r>
              <w:rPr>
                <w:rFonts w:hint="eastAsia" w:ascii="宋体" w:hAnsi="宋体" w:eastAsia="宋体" w:cs="宋体"/>
                <w:color w:val="000000"/>
                <w:sz w:val="21"/>
                <w:szCs w:val="21"/>
                <w:highlight w:val="none"/>
              </w:rPr>
            </w:r>
            <w:r/>
          </w:p>
        </w:tc>
      </w:tr>
      <w:tr>
        <w:trPr>
          <w:trHeight w:val="373"/>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东青雅苑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4栋，6个单元</w:t>
            </w:r>
            <w:r>
              <w:rPr>
                <w:rFonts w:hint="eastAsia" w:ascii="宋体" w:hAnsi="宋体" w:eastAsia="宋体" w:cs="宋体"/>
                <w:color w:val="000000"/>
                <w:sz w:val="21"/>
                <w:szCs w:val="21"/>
                <w:highlight w:val="none"/>
              </w:rPr>
            </w:r>
            <w:r/>
          </w:p>
        </w:tc>
      </w:tr>
      <w:tr>
        <w:trPr>
          <w:trHeight w:val="377"/>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青龙苑七期</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8栋，15个单元</w:t>
            </w:r>
            <w:r>
              <w:rPr>
                <w:rFonts w:hint="eastAsia" w:ascii="宋体" w:hAnsi="宋体" w:eastAsia="宋体" w:cs="宋体"/>
                <w:color w:val="000000"/>
                <w:sz w:val="21"/>
                <w:szCs w:val="21"/>
                <w:highlight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　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A、地下、半地下电动车充电监测预警服务：</w:t>
      </w:r>
      <w:r>
        <w:rPr>
          <w:rFonts w:hint="eastAsia" w:ascii="宋体" w:hAnsi="宋体" w:eastAsia="宋体" w:cs="宋体"/>
          <w:bCs/>
          <w:color w:val="000000"/>
          <w:szCs w:val="21"/>
          <w:highlight w:val="none"/>
          <w:lang w:val="en-US" w:eastAsia="zh-CN"/>
        </w:rPr>
      </w:r>
      <w:r/>
    </w:p>
    <w:tbl>
      <w:tblPr>
        <w:tblW w:w="927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66"/>
        <w:gridCol w:w="5346"/>
        <w:gridCol w:w="1080"/>
        <w:gridCol w:w="1080"/>
      </w:tblGrid>
      <w:tr>
        <w:trPr>
          <w:trHeight w:val="315"/>
        </w:trPr>
        <w:tc>
          <w:tcPr>
            <w:tcW w:w="176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服务内容</w:t>
            </w:r>
            <w:r>
              <w:rPr>
                <w:rFonts w:hint="eastAsia" w:ascii="宋体" w:hAnsi="宋体" w:eastAsia="宋体" w:cs="宋体"/>
                <w:b/>
                <w:bCs/>
                <w:i w:val="0"/>
                <w:iCs w:val="0"/>
                <w:color w:val="000000"/>
                <w:sz w:val="22"/>
                <w:szCs w:val="22"/>
                <w:highlight w:val="none"/>
                <w:u w:val="none"/>
              </w:rPr>
            </w:r>
            <w:r/>
          </w:p>
        </w:tc>
        <w:tc>
          <w:tcPr>
            <w:tcW w:w="5346" w:type="dxa"/>
            <w:vAlign w:val="center"/>
            <w:textDirection w:val="lrTb"/>
            <w:noWrap/>
          </w:tcPr>
          <w:p>
            <w:pPr>
              <w:pStyle w:val="106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内容描述</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5115"/>
        </w:trPr>
        <w:tc>
          <w:tcPr>
            <w:tcW w:w="176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提供温烟感一体化设备三年服务;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采集类型：烟雾、温度；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支持烟雾、温度报警；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方位比值≤1.1</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一致性比值≤1.3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报警音量：≥80dB@3米 （A计权）；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报警方式：声、光报警，支持静默报警；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525"/>
        </w:trPr>
        <w:tc>
          <w:tcPr>
            <w:tcW w:w="176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温烟感一体化感知设备安装部署服务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315"/>
        </w:trPr>
        <w:tc>
          <w:tcPr>
            <w:tcW w:w="176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温烟感一体化物联感知通信服务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NB/4G流量卡；40w频次或50M/月，36个月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285"/>
        </w:trPr>
        <w:tc>
          <w:tcPr>
            <w:tcW w:w="176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温烟感一体化预警运营服务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B、小区楼栋视频AI加载服务：</w:t>
      </w:r>
      <w:r>
        <w:rPr>
          <w:rFonts w:hint="eastAsia" w:ascii="宋体" w:hAnsi="宋体" w:eastAsia="宋体" w:cs="宋体"/>
          <w:bCs/>
          <w:color w:val="000000"/>
          <w:szCs w:val="21"/>
          <w:highlight w:val="none"/>
          <w:lang w:val="en-US" w:eastAsia="zh-CN"/>
        </w:rPr>
      </w:r>
      <w:r/>
    </w:p>
    <w:tbl>
      <w:tblPr>
        <w:tblpPr w:horzAnchor="page" w:tblpX="1840" w:vertAnchor="text" w:tblpY="153" w:leftFromText="180" w:topFromText="0" w:rightFromText="180" w:bottomFromText="0"/>
        <w:tblW w:w="913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1"/>
        <w:gridCol w:w="5605"/>
        <w:gridCol w:w="1080"/>
        <w:gridCol w:w="1080"/>
      </w:tblGrid>
      <w:tr>
        <w:trPr>
          <w:trHeight w:val="253"/>
        </w:trPr>
        <w:tc>
          <w:tcPr>
            <w:tcW w:w="137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服务内容</w:t>
            </w:r>
            <w:r>
              <w:rPr>
                <w:rFonts w:hint="eastAsia" w:ascii="宋体" w:hAnsi="宋体" w:eastAsia="宋体" w:cs="宋体"/>
                <w:b/>
                <w:bCs/>
                <w:i w:val="0"/>
                <w:iCs w:val="0"/>
                <w:color w:val="000000"/>
                <w:sz w:val="22"/>
                <w:szCs w:val="22"/>
                <w:highlight w:val="none"/>
                <w:u w:val="none"/>
              </w:rPr>
            </w:r>
            <w:r/>
          </w:p>
        </w:tc>
        <w:tc>
          <w:tcPr>
            <w:tcW w:w="5605"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内容描述</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3840"/>
        </w:trPr>
        <w:tc>
          <w:tcPr>
            <w:tcW w:w="137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边缘算力设备服务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提供边缘AI算力盒租赁三年服务，为现有小区楼栋视频提供AI边缘算力（叠加电动车火灾识别、电动车进楼道识别算法）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color w:val="000000"/>
                <w:szCs w:val="21"/>
                <w:highlight w:val="none"/>
                <w:lang w:bidi="ar"/>
              </w:rPr>
              <w:t xml:space="preserve">设备参数：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操作系统： Linux</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AI 芯片：内置国产 NPU 芯片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智能分析 ：人员检测、区域入侵、人数统计、吸烟检测、烟火检测、电动车进楼道识别等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联动 支持：modbus协议联动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接口支持：支持H.265、H.264编码前端自适应接入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网络接口： 1个，RJ45 10M/100M/1000M自适应以太网口</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现有视频接入、AI算法配置服务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1、提供当前已有的视频接入边缘计算盒服务（含接入辅材，如交换机、网络布线等）</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01"/>
        </w:trPr>
        <w:tc>
          <w:tcPr>
            <w:tcW w:w="1371" w:type="dxa"/>
            <w:vAlign w:val="center"/>
            <w:vMerge w:val="continue"/>
            <w:textDirection w:val="lrTb"/>
            <w:noWrap w:val="false"/>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2、提供每路视频的识别区域配置、预警参数配置等服务；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472"/>
        </w:trPr>
        <w:tc>
          <w:tcPr>
            <w:tcW w:w="137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物联感知通信服务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每个小区提供一条500兆以上的宽带，36个月。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边缘算力预警运营服务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3、故障设备8小时维修更换；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780"/>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56"/>
        </w:trPr>
        <w:tc>
          <w:tcPr>
            <w:tcW w:w="137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算法训练迭代升级服务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提供AI算法的训练优化服务，每半年迭代一次算法；</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（5）金属冶炼单位场景服务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青龙街道10家冶炼企业，详细清单如下（实际实施可以根据企业情况适当调整）。</w:t>
      </w:r>
      <w:r>
        <w:rPr>
          <w:rFonts w:hint="eastAsia" w:ascii="宋体" w:hAnsi="宋体" w:eastAsia="宋体" w:cs="宋体"/>
          <w:bCs/>
          <w:color w:val="000000"/>
          <w:szCs w:val="21"/>
          <w:highlight w:val="none"/>
          <w:lang w:val="en-US" w:eastAsia="zh-CN"/>
        </w:rPr>
      </w:r>
      <w:r/>
    </w:p>
    <w:tbl>
      <w:tblPr>
        <w:tblW w:w="813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3290"/>
        <w:gridCol w:w="1686"/>
        <w:gridCol w:w="2303"/>
      </w:tblGrid>
      <w:tr>
        <w:trPr>
          <w:trHeight w:val="312"/>
        </w:trPr>
        <w:tc>
          <w:tcPr>
            <w:tcW w:w="859"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3290"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企业名称</w:t>
            </w:r>
            <w:r>
              <w:rPr>
                <w:rFonts w:hint="eastAsia" w:ascii="宋体" w:hAnsi="宋体" w:eastAsia="宋体" w:cs="宋体"/>
                <w:b/>
                <w:bCs/>
                <w:i w:val="0"/>
                <w:iCs w:val="0"/>
                <w:color w:val="000000"/>
                <w:sz w:val="21"/>
                <w:szCs w:val="21"/>
                <w:highlight w:val="none"/>
                <w:u w:val="none"/>
              </w:rPr>
            </w:r>
            <w:r/>
          </w:p>
        </w:tc>
        <w:tc>
          <w:tcPr>
            <w:tcW w:w="1686"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地址</w:t>
            </w:r>
            <w:r>
              <w:rPr>
                <w:rFonts w:hint="eastAsia" w:ascii="宋体" w:hAnsi="宋体" w:eastAsia="宋体" w:cs="宋体"/>
                <w:b/>
                <w:bCs/>
                <w:i w:val="0"/>
                <w:iCs w:val="0"/>
                <w:color w:val="000000"/>
                <w:sz w:val="21"/>
                <w:szCs w:val="21"/>
                <w:highlight w:val="none"/>
                <w:u w:val="none"/>
              </w:rPr>
            </w:r>
            <w:r/>
          </w:p>
        </w:tc>
        <w:tc>
          <w:tcPr>
            <w:tcW w:w="2303"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主要工艺</w:t>
            </w:r>
            <w:r>
              <w:rPr>
                <w:rFonts w:hint="eastAsia" w:ascii="宋体" w:hAnsi="宋体" w:eastAsia="宋体" w:cs="宋体"/>
                <w:b/>
                <w:bCs/>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常州市神州新龙压铸有限公司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和平村村委会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熔炼、压铸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常州伟业油箱有限公司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和平村村委会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熔炼、压铸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常州辉航动力科技有限公司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武城村村委会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蜡模、制壳、焙烧模壳、熔炼浇注、清砂</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常州市武进兴力铸造有限公司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和平村村委会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混砂、制模、熔炼、浇筑、打磨、加工</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常州市峰芳机械配件厂</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东青村村委会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常州市金力光学仪器有限公司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青松村村委会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常州市武城电子有限公司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武城村村委会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常州市精艺机械制造有限公司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青北社区</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江苏远方动力科技有限公司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青北社区</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铸造、机加工</w:t>
            </w:r>
            <w:r>
              <w:rPr>
                <w:rFonts w:hint="eastAsia" w:ascii="宋体" w:hAnsi="宋体" w:eastAsia="宋体" w:cs="宋体"/>
                <w:i w:val="0"/>
                <w:iCs w:val="0"/>
                <w:color w:val="000000"/>
                <w:sz w:val="21"/>
                <w:szCs w:val="21"/>
                <w:highlight w:val="none"/>
                <w:u w:val="none"/>
              </w:rPr>
            </w:r>
            <w:r/>
          </w:p>
        </w:tc>
      </w:tr>
      <w:tr>
        <w:trPr>
          <w:trHeight w:val="784"/>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常州明杰重工科技股份有限公司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青北社区</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压铸</w:t>
            </w: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A、水压监测预警服务：</w:t>
      </w:r>
      <w:r>
        <w:rPr>
          <w:rFonts w:ascii="宋体" w:hAnsi="宋体" w:eastAsia="宋体" w:cs="宋体"/>
          <w:bCs/>
          <w:color w:val="000000"/>
          <w:szCs w:val="21"/>
          <w:highlight w:val="none"/>
          <w:lang w:val="en-US" w:eastAsia="zh-CN"/>
        </w:rPr>
      </w:r>
      <w:r/>
    </w:p>
    <w:tbl>
      <w:tblPr>
        <w:tblW w:w="914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78"/>
        <w:gridCol w:w="5304"/>
        <w:gridCol w:w="1080"/>
        <w:gridCol w:w="1080"/>
      </w:tblGrid>
      <w:tr>
        <w:trPr>
          <w:trHeight w:val="300"/>
        </w:trPr>
        <w:tc>
          <w:tcPr>
            <w:tcW w:w="1678"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304"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300"/>
        </w:trPr>
        <w:tc>
          <w:tcPr>
            <w:tcW w:w="167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水压感知设备数据接入服务</w:t>
            </w: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水压感知预警运营服务</w:t>
            </w: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B、水位监测预警服务：</w:t>
      </w:r>
      <w:r>
        <w:rPr>
          <w:rFonts w:ascii="宋体" w:hAnsi="宋体" w:eastAsia="宋体" w:cs="宋体"/>
          <w:bCs/>
          <w:color w:val="000000"/>
          <w:szCs w:val="21"/>
          <w:highlight w:val="none"/>
          <w:lang w:val="en-US" w:eastAsia="zh-CN"/>
        </w:rPr>
      </w:r>
      <w:r/>
    </w:p>
    <w:tbl>
      <w:tblPr>
        <w:tblW w:w="914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16"/>
        <w:gridCol w:w="5373"/>
        <w:gridCol w:w="1080"/>
        <w:gridCol w:w="1080"/>
      </w:tblGrid>
      <w:tr>
        <w:trPr>
          <w:trHeight w:val="300"/>
        </w:trPr>
        <w:tc>
          <w:tcPr>
            <w:tcW w:w="161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373"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300"/>
        </w:trPr>
        <w:tc>
          <w:tcPr>
            <w:tcW w:w="161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水位感知设备数据接入服务</w:t>
            </w: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水位感知预警运营服务</w:t>
            </w: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（6）社会面小场所场景服务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青龙街道有1114家社会面小场所（以街道提供的数据与现场实际情况结合为准），其中有200家餐饮企业。</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A、火情监测预警服务：</w:t>
      </w:r>
      <w:r>
        <w:rPr>
          <w:rFonts w:hint="eastAsia" w:ascii="宋体" w:hAnsi="宋体" w:eastAsia="宋体" w:cs="宋体"/>
          <w:bCs/>
          <w:color w:val="000000"/>
          <w:szCs w:val="21"/>
          <w:highlight w:val="none"/>
          <w:lang w:val="en-US" w:eastAsia="zh-CN"/>
        </w:rPr>
      </w:r>
      <w:r/>
    </w:p>
    <w:tbl>
      <w:tblPr>
        <w:tblW w:w="921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76"/>
        <w:gridCol w:w="5481"/>
        <w:gridCol w:w="1080"/>
        <w:gridCol w:w="1080"/>
      </w:tblGrid>
      <w:tr>
        <w:trPr>
          <w:trHeight w:val="300"/>
        </w:trPr>
        <w:tc>
          <w:tcPr>
            <w:tcW w:w="157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48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580"/>
        </w:trPr>
        <w:tc>
          <w:tcPr>
            <w:tcW w:w="157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1、提供温烟感一体化设备三年能力服务；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2、感知设备参数：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采集类型：烟雾、温度；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支持烟雾、温度报警；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方位比值≤1.1</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一致性比值≤1.3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报警音量：≥80dB@3米 （A计权）；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报警方式：声、光报警，支持静默报警；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525"/>
        </w:trPr>
        <w:tc>
          <w:tcPr>
            <w:tcW w:w="157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温烟感一体化设备安装部署服务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物联感知通信服务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NB/4G流量卡；40w频次50M/月，36个月。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温烟感一体化预警运营服务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numPr>
          <w:ilvl w:val="0"/>
          <w:numId w:val="0"/>
        </w:numPr>
        <w:jc w:val="both"/>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B、燃气泄漏监测预警服务：</w:t>
      </w:r>
      <w:r>
        <w:rPr>
          <w:rFonts w:ascii="宋体" w:hAnsi="宋体" w:eastAsia="宋体" w:cs="宋体"/>
          <w:color w:val="000000"/>
          <w:sz w:val="21"/>
          <w:szCs w:val="21"/>
          <w:highlight w:val="none"/>
          <w:lang w:val="en-US" w:eastAsia="zh-CN"/>
        </w:rPr>
      </w:r>
      <w:r/>
    </w:p>
    <w:tbl>
      <w:tblPr>
        <w:tblW w:w="931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89"/>
        <w:gridCol w:w="5564"/>
        <w:gridCol w:w="1080"/>
        <w:gridCol w:w="1080"/>
      </w:tblGrid>
      <w:tr>
        <w:trPr>
          <w:trHeight w:val="300"/>
        </w:trPr>
        <w:tc>
          <w:tcPr>
            <w:tcW w:w="1589"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564" w:type="dxa"/>
            <w:vAlign w:val="center"/>
            <w:textDirection w:val="lrTb"/>
            <w:noWrap/>
          </w:tcPr>
          <w:p>
            <w:pPr>
              <w:pStyle w:val="106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90"/>
        </w:trPr>
        <w:tc>
          <w:tcPr>
            <w:tcW w:w="158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燃气泄漏监测设备设备服务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提供燃气泄漏监测设备三年服务；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设备参数：</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检测气体：甲烷，量程：0-20%LEL，报警方式：声、光报警，支持消音功能；</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支持识别、展示、上报各类故障，包括通信故障、传感器故障（短路、断路）、传感器寿命故障、设备断电，设备报警声音信号在距离其正前方1m处的最大声压级≥90 dB(A)，设备的报警声、光特性应能区分燃气报警和故障报警；</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支持≥1组阀输出接口、≥1个SIM卡接口；支持用过阀输出接口与其他设备联动、阀输出接口支持电磁阀驱动模式和机械手驱动模式切换功能；</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接收并执行管理平台下发的解除屏蔽指令，当进入屏蔽状态后，设备将不再进行报警和故障上报，并能通过指示灯指示屏蔽状态，设备在屏蔽期间连续10分钟没有检测到火警或故障后，将自动解除屏蔽状态。通讯方式：4G；</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工作电压：AC100～AC240V，工作温度：最小温宽：-20±2℃～65±2℃，支持阻燃</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3C认证；执行标准：GB15322.2-2019；</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525"/>
        </w:trPr>
        <w:tc>
          <w:tcPr>
            <w:tcW w:w="158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rPr>
              <w:t xml:space="preserve">燃气泄漏</w:t>
            </w:r>
            <w:r>
              <w:rPr>
                <w:rFonts w:hint="eastAsia" w:ascii="宋体" w:hAnsi="宋体" w:eastAsia="宋体" w:cs="宋体"/>
                <w:i w:val="0"/>
                <w:iCs w:val="0"/>
                <w:color w:val="000000"/>
                <w:sz w:val="21"/>
                <w:szCs w:val="21"/>
                <w:highlight w:val="none"/>
                <w:u w:val="none"/>
                <w:lang w:val="en-US" w:eastAsia="zh-CN" w:bidi="ar"/>
              </w:rPr>
              <w:t xml:space="preserve">感知设备安装部署服务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物联感知通信服务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NB/4G流量卡；40w频次50M/月，36个月。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rPr>
              <w:t xml:space="preserve">燃气泄漏</w:t>
            </w:r>
            <w:r>
              <w:rPr>
                <w:rFonts w:hint="eastAsia" w:ascii="宋体" w:hAnsi="宋体" w:eastAsia="宋体" w:cs="宋体"/>
                <w:i w:val="0"/>
                <w:iCs w:val="0"/>
                <w:color w:val="000000"/>
                <w:sz w:val="21"/>
                <w:szCs w:val="21"/>
                <w:highlight w:val="none"/>
                <w:u w:val="none"/>
                <w:lang w:val="en-US" w:eastAsia="zh-CN" w:bidi="ar"/>
              </w:rPr>
              <w:t xml:space="preserve">预警运营服务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3、故障设备、灵敏度降低的设备8小时内更换；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2"/>
        <w:spacing w:line="40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val="en-US" w:eastAsia="zh-CN"/>
        </w:rPr>
        <w:t xml:space="preserve">信息化应用、AI大模型服务及其他相关要求</w:t>
      </w:r>
      <w:r>
        <w:rPr>
          <w:rFonts w:ascii="宋体" w:hAnsi="宋体" w:eastAsia="宋体" w:cs="宋体"/>
          <w:b/>
          <w:bCs/>
          <w:color w:val="000000"/>
          <w:sz w:val="21"/>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1.中标人需有能力为满足服务要求，提供业务所需的软件平台，平台需满足以下要求：</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 平台需要部署到政务网，所有数据存储在政务网。</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 服务期内，提供持续的平台功能升级服务。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 服务期内，提供平台的信息安全保障服务，保障信息安全。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 结合本服务项目场景内容，为街道定制大屏可视化系统，满足街道日常管理要求。</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 三年服务期满，部署的软件平台产权归街道所有，街道可持续使用。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2.AI及大模型服务：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1）中标人在项目服务期内提供满足27B大模型运行所需的算力资源，供各种智能体使用。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2）中标人需有能力提供故障诊断智能体服务、火情智能预警智能体服务、隐患识别智能体服务、安全教育培训智能体服务、安全态势分析及问答智能体服务。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3.网络及信息安全服务要求</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中标人提供服务所配套的信息化支撑系统，须满足信息安全等级保护二级相关要求。整体信息系统网络环境应具备完善的安全防护与审计能力，至少包含堡垒机、防火墙、数据库审计、日志审计等关键安全设备或功能模块，确保系统运行安全、数据安全及可追溯管理。</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2）中标人为本项目服务过程中使用到的软硬件需可适配国产化。</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3）中标人需建立起以信息安全方针、安全策略、安全管理制度、安全技术规范以及流程为一体的信息安全管理制度体系。</w:t>
      </w:r>
      <w:r>
        <w:rPr>
          <w:rFonts w:hint="eastAsia" w:ascii="宋体" w:hAnsi="宋体" w:eastAsia="宋体" w:cs="宋体"/>
          <w:bCs/>
          <w:color w:val="000000"/>
          <w:szCs w:val="21"/>
          <w:highlight w:val="none"/>
          <w:lang w:val="en-US" w:eastAsia="zh-CN"/>
        </w:rPr>
      </w:r>
      <w:r/>
    </w:p>
    <w:p>
      <w:pPr>
        <w:pStyle w:val="1067"/>
        <w:ind w:firstLine="422"/>
        <w:spacing w:line="400" w:lineRule="exact"/>
        <w:rPr>
          <w:rFonts w:hint="eastAsia" w:ascii="宋体" w:hAnsi="宋体" w:eastAsia="宋体" w:cs="宋体"/>
          <w:b/>
          <w:bCs w:val="0"/>
          <w:color w:val="000000"/>
          <w:szCs w:val="21"/>
          <w:highlight w:val="none"/>
          <w:u w:val="single"/>
          <w:lang w:val="en-US" w:eastAsia="zh-CN"/>
        </w:rPr>
      </w:pPr>
      <w:r>
        <w:rPr>
          <w:rFonts w:hint="eastAsia" w:ascii="宋体" w:hAnsi="宋体" w:cs="宋体"/>
          <w:b/>
          <w:bCs/>
          <w:color w:val="000000"/>
          <w:szCs w:val="21"/>
          <w:highlight w:val="none"/>
          <w:u w:val="single"/>
        </w:rPr>
        <w:t xml:space="preserve">★</w:t>
      </w:r>
      <w:r>
        <w:rPr>
          <w:rFonts w:hint="eastAsia" w:ascii="宋体" w:hAnsi="宋体" w:eastAsia="宋体" w:cs="宋体"/>
          <w:b/>
          <w:bCs w:val="0"/>
          <w:color w:val="000000"/>
          <w:szCs w:val="21"/>
          <w:highlight w:val="none"/>
          <w:u w:val="single"/>
          <w:lang w:val="en-US" w:eastAsia="zh-CN"/>
        </w:rPr>
        <w:t xml:space="preserve">4.中标人承诺中标后建立集中运营中心并具备一块不低于5平方米可供集中监测的LED大屏；集中运营中心工作人员需满足2人1班，4班轮换，提供7*24小时的运营服务（投标人应在投标文件中提供承诺书原件，未提供，视为无效响应）。</w:t>
      </w:r>
      <w:r>
        <w:rPr>
          <w:rFonts w:hint="eastAsia" w:ascii="宋体" w:hAnsi="宋体" w:eastAsia="宋体" w:cs="宋体"/>
          <w:b/>
          <w:bCs w:val="0"/>
          <w:color w:val="000000"/>
          <w:szCs w:val="21"/>
          <w:highlight w:val="none"/>
          <w:u w:val="single"/>
          <w:lang w:val="en-US" w:eastAsia="zh-CN"/>
        </w:rPr>
      </w:r>
      <w:r/>
    </w:p>
    <w:p>
      <w:pPr>
        <w:pStyle w:val="1067"/>
        <w:ind w:firstLine="422"/>
        <w:spacing w:line="400" w:lineRule="exact"/>
        <w:rPr>
          <w:rFonts w:ascii="宋体" w:hAnsi="宋体" w:eastAsia="宋体" w:cs="宋体"/>
          <w:b/>
          <w:bCs w:val="0"/>
          <w:color w:val="000000"/>
          <w:szCs w:val="21"/>
          <w:highlight w:val="none"/>
          <w:u w:val="single"/>
          <w:lang w:val="en-US" w:eastAsia="zh-CN"/>
        </w:rPr>
      </w:pPr>
      <w:r>
        <w:rPr>
          <w:rFonts w:hint="eastAsia" w:ascii="宋体" w:hAnsi="宋体" w:cs="宋体"/>
          <w:b/>
          <w:bCs/>
          <w:color w:val="000000"/>
          <w:szCs w:val="21"/>
          <w:highlight w:val="none"/>
          <w:u w:val="single"/>
        </w:rPr>
        <w:t xml:space="preserve">★</w:t>
      </w:r>
      <w:r>
        <w:rPr>
          <w:rFonts w:hint="eastAsia" w:ascii="宋体" w:hAnsi="宋体" w:eastAsia="宋体" w:cs="宋体"/>
          <w:b/>
          <w:bCs w:val="0"/>
          <w:color w:val="000000"/>
          <w:szCs w:val="21"/>
          <w:highlight w:val="none"/>
          <w:u w:val="single"/>
          <w:lang w:val="en-US" w:eastAsia="zh-CN"/>
        </w:rPr>
        <w:t xml:space="preserve">5.中标人承诺中标后三个自然日内向采购人提供服务产品样品及相应最新检测报告的原件供采购人登记在册（投标人应在投标文件中提供承诺书原件，未提供，视为无效响应）。</w:t>
      </w:r>
      <w:r>
        <w:rPr>
          <w:rFonts w:ascii="宋体" w:hAnsi="宋体" w:eastAsia="宋体" w:cs="宋体"/>
          <w:b/>
          <w:bCs w:val="0"/>
          <w:color w:val="000000"/>
          <w:szCs w:val="21"/>
          <w:highlight w:val="none"/>
          <w:u w:val="single"/>
          <w:lang w:val="en-US" w:eastAsia="zh-CN"/>
        </w:rPr>
      </w:r>
      <w:r/>
    </w:p>
    <w:p>
      <w:pPr>
        <w:pStyle w:val="1067"/>
        <w:numPr>
          <w:ilvl w:val="0"/>
          <w:numId w:val="0"/>
        </w:numPr>
        <w:ind w:firstLine="422"/>
        <w:spacing w:line="40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（四）服务指标与考评方式</w:t>
      </w:r>
      <w:r>
        <w:rPr>
          <w:rFonts w:hint="eastAsia" w:ascii="宋体" w:hAnsi="宋体" w:eastAsia="宋体" w:cs="宋体"/>
          <w:b/>
          <w:bCs/>
          <w:color w:val="000000"/>
          <w:sz w:val="21"/>
          <w:szCs w:val="21"/>
          <w:highlight w:val="none"/>
          <w:lang w:val="en-US" w:eastAsia="zh-CN" w:bidi="ar-SA"/>
        </w:rPr>
      </w:r>
      <w:r/>
    </w:p>
    <w:p>
      <w:pPr>
        <w:pStyle w:val="1067"/>
        <w:numPr>
          <w:ilvl w:val="0"/>
          <w:numId w:val="0"/>
        </w:numPr>
        <w:ind w:firstLine="422"/>
        <w:spacing w:line="400" w:lineRule="exact"/>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1.服务指标：</w:t>
      </w:r>
      <w:r>
        <w:rPr>
          <w:rFonts w:ascii="宋体" w:hAnsi="宋体" w:eastAsia="宋体" w:cs="宋体"/>
          <w:b/>
          <w:bCs/>
          <w:color w:val="000000"/>
          <w:sz w:val="21"/>
          <w:szCs w:val="21"/>
          <w:highlight w:val="none"/>
          <w:lang w:val="en-US" w:eastAsia="zh-CN" w:bidi="ar-SA"/>
        </w:rPr>
      </w:r>
      <w:r/>
    </w:p>
    <w:tbl>
      <w:tblPr>
        <w:tblStyle w:val="11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911"/>
        <w:gridCol w:w="1260"/>
        <w:gridCol w:w="1634"/>
        <w:gridCol w:w="1100"/>
        <w:gridCol w:w="1868"/>
      </w:tblGrid>
      <w:tr>
        <w:trPr/>
        <w:tc>
          <w:tcPr>
            <w:tcW w:w="745" w:type="dxa"/>
            <w:vAlign w:val="top"/>
            <w:textDirection w:val="lrTb"/>
            <w:noWrap w:val="false"/>
          </w:tcPr>
          <w:p>
            <w:pPr>
              <w:pStyle w:val="1346"/>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sz w:val="21"/>
                <w:szCs w:val="21"/>
                <w:highlight w:val="none"/>
                <w:lang w:val="en-US" w:eastAsia="zh-CN"/>
              </w:rPr>
            </w:r>
            <w:r/>
          </w:p>
        </w:tc>
        <w:tc>
          <w:tcPr>
            <w:tcW w:w="1911" w:type="dxa"/>
            <w:vAlign w:val="top"/>
            <w:textDirection w:val="lrTb"/>
            <w:noWrap w:val="false"/>
          </w:tcPr>
          <w:p>
            <w:pPr>
              <w:pStyle w:val="1346"/>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指标项</w:t>
            </w:r>
            <w:r>
              <w:rPr>
                <w:rFonts w:hint="eastAsia" w:ascii="宋体" w:hAnsi="宋体" w:eastAsia="宋体" w:cs="宋体"/>
                <w:b/>
                <w:bCs/>
                <w:sz w:val="21"/>
                <w:szCs w:val="21"/>
                <w:highlight w:val="none"/>
                <w:lang w:val="en-US" w:eastAsia="zh-CN"/>
              </w:rPr>
            </w:r>
            <w:r/>
          </w:p>
        </w:tc>
        <w:tc>
          <w:tcPr>
            <w:tcW w:w="1260" w:type="dxa"/>
            <w:vAlign w:val="top"/>
            <w:textDirection w:val="lrTb"/>
            <w:noWrap w:val="false"/>
          </w:tcPr>
          <w:p>
            <w:pPr>
              <w:pStyle w:val="1346"/>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指标值</w:t>
            </w:r>
            <w:r>
              <w:rPr>
                <w:rFonts w:hint="eastAsia" w:ascii="宋体" w:hAnsi="宋体" w:eastAsia="宋体" w:cs="宋体"/>
                <w:b/>
                <w:bCs/>
                <w:sz w:val="21"/>
                <w:szCs w:val="21"/>
                <w:highlight w:val="none"/>
                <w:lang w:val="en-US" w:eastAsia="zh-CN"/>
              </w:rPr>
            </w:r>
            <w:r/>
          </w:p>
        </w:tc>
        <w:tc>
          <w:tcPr>
            <w:tcW w:w="1634" w:type="dxa"/>
            <w:vAlign w:val="top"/>
            <w:textDirection w:val="lrTb"/>
            <w:noWrap w:val="false"/>
          </w:tcPr>
          <w:p>
            <w:pPr>
              <w:pStyle w:val="1346"/>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计算规则</w:t>
            </w:r>
            <w:r>
              <w:rPr>
                <w:rFonts w:hint="eastAsia" w:ascii="宋体" w:hAnsi="宋体" w:eastAsia="宋体" w:cs="宋体"/>
                <w:b/>
                <w:bCs/>
                <w:sz w:val="21"/>
                <w:szCs w:val="21"/>
                <w:highlight w:val="none"/>
                <w:lang w:val="en-US" w:eastAsia="zh-CN"/>
              </w:rPr>
            </w:r>
            <w:r/>
          </w:p>
        </w:tc>
        <w:tc>
          <w:tcPr>
            <w:tcW w:w="1100" w:type="dxa"/>
            <w:vAlign w:val="top"/>
            <w:textDirection w:val="lrTb"/>
            <w:noWrap w:val="false"/>
          </w:tcPr>
          <w:p>
            <w:pPr>
              <w:pStyle w:val="1346"/>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分值</w:t>
            </w:r>
            <w:r>
              <w:rPr>
                <w:rFonts w:hint="eastAsia" w:ascii="宋体" w:hAnsi="宋体" w:eastAsia="宋体" w:cs="宋体"/>
                <w:b/>
                <w:bCs/>
                <w:sz w:val="21"/>
                <w:szCs w:val="21"/>
                <w:highlight w:val="none"/>
                <w:lang w:val="en-US" w:eastAsia="zh-CN"/>
              </w:rPr>
            </w:r>
            <w:r/>
          </w:p>
        </w:tc>
        <w:tc>
          <w:tcPr>
            <w:tcW w:w="1868" w:type="dxa"/>
            <w:vAlign w:val="top"/>
            <w:textDirection w:val="lrTb"/>
            <w:noWrap w:val="false"/>
          </w:tcPr>
          <w:p>
            <w:pPr>
              <w:pStyle w:val="1346"/>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评分规则</w:t>
            </w:r>
            <w:r>
              <w:rPr>
                <w:rFonts w:hint="eastAsia" w:ascii="宋体" w:hAnsi="宋体" w:eastAsia="宋体" w:cs="宋体"/>
                <w:b/>
                <w:bCs/>
                <w:sz w:val="21"/>
                <w:szCs w:val="21"/>
                <w:highlight w:val="none"/>
                <w:lang w:val="en-US" w:eastAsia="zh-CN"/>
              </w:rPr>
            </w:r>
            <w:r/>
          </w:p>
        </w:tc>
      </w:tr>
      <w:tr>
        <w:trPr>
          <w:trHeight w:val="810"/>
        </w:trPr>
        <w:tc>
          <w:tcPr>
            <w:tcW w:w="7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智能感知终端综合在线率</w:t>
            </w:r>
            <w:r>
              <w:rPr>
                <w:rFonts w:hint="eastAsia" w:ascii="宋体" w:hAnsi="宋体" w:eastAsia="宋体" w:cs="宋体"/>
                <w:sz w:val="21"/>
                <w:szCs w:val="21"/>
                <w:highlight w:val="none"/>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≥95%</w:t>
            </w:r>
            <w:r>
              <w:rPr>
                <w:rFonts w:hint="eastAsia" w:ascii="宋体" w:hAnsi="宋体" w:eastAsia="宋体" w:cs="宋体"/>
                <w:sz w:val="21"/>
                <w:szCs w:val="21"/>
                <w:highlight w:val="none"/>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在线终端数/终端总数</w:t>
            </w:r>
            <w:r>
              <w:rPr>
                <w:rFonts w:hint="eastAsia" w:ascii="宋体" w:hAnsi="宋体" w:eastAsia="宋体" w:cs="宋体"/>
                <w:sz w:val="21"/>
                <w:szCs w:val="21"/>
                <w:highlight w:val="none"/>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在线率每低1%扣1分，扣完为止。</w:t>
            </w:r>
            <w:r>
              <w:rPr>
                <w:rFonts w:hint="eastAsia" w:ascii="宋体" w:hAnsi="宋体" w:eastAsia="宋体" w:cs="宋体"/>
                <w:sz w:val="21"/>
                <w:szCs w:val="21"/>
                <w:highlight w:val="none"/>
                <w:lang w:val="en-US" w:eastAsia="zh-CN"/>
              </w:rPr>
            </w:r>
            <w:r/>
          </w:p>
        </w:tc>
      </w:tr>
      <w:tr>
        <w:trPr/>
        <w:tc>
          <w:tcPr>
            <w:tcW w:w="7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终端完好率</w:t>
            </w:r>
            <w:r>
              <w:rPr>
                <w:rFonts w:hint="eastAsia" w:ascii="宋体" w:hAnsi="宋体" w:eastAsia="宋体" w:cs="宋体"/>
                <w:sz w:val="21"/>
                <w:szCs w:val="21"/>
                <w:highlight w:val="none"/>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≥95%</w:t>
            </w:r>
            <w:r>
              <w:rPr>
                <w:rFonts w:hint="eastAsia" w:ascii="宋体" w:hAnsi="宋体" w:eastAsia="宋体" w:cs="宋体"/>
                <w:sz w:val="21"/>
                <w:szCs w:val="21"/>
                <w:highlight w:val="none"/>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1-抽查故障终端数/抽查终端总数 （抽查总数不少于30）</w:t>
            </w:r>
            <w:r>
              <w:rPr>
                <w:rFonts w:hint="eastAsia" w:ascii="宋体" w:hAnsi="宋体" w:eastAsia="宋体" w:cs="宋体"/>
                <w:sz w:val="21"/>
                <w:szCs w:val="21"/>
                <w:highlight w:val="none"/>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完好率每低1%扣1分，扣完为止。</w:t>
            </w:r>
            <w:r>
              <w:rPr>
                <w:rFonts w:hint="eastAsia" w:ascii="宋体" w:hAnsi="宋体" w:eastAsia="宋体" w:cs="宋体"/>
                <w:sz w:val="21"/>
                <w:szCs w:val="21"/>
                <w:highlight w:val="none"/>
                <w:lang w:val="en-US" w:eastAsia="zh-CN"/>
              </w:rPr>
            </w:r>
            <w:r/>
          </w:p>
        </w:tc>
      </w:tr>
      <w:tr>
        <w:trPr>
          <w:trHeight w:val="822"/>
        </w:trPr>
        <w:tc>
          <w:tcPr>
            <w:tcW w:w="7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6个月设备巡检率</w:t>
            </w:r>
            <w:r>
              <w:rPr>
                <w:rFonts w:hint="eastAsia" w:ascii="宋体" w:hAnsi="宋体" w:eastAsia="宋体" w:cs="宋体"/>
                <w:sz w:val="21"/>
                <w:szCs w:val="21"/>
                <w:highlight w:val="none"/>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6个月内终端巡检数/终端总数</w:t>
            </w:r>
            <w:r>
              <w:rPr>
                <w:rFonts w:hint="eastAsia" w:ascii="宋体" w:hAnsi="宋体" w:eastAsia="宋体" w:cs="宋体"/>
                <w:sz w:val="21"/>
                <w:szCs w:val="21"/>
                <w:highlight w:val="none"/>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巡检率每低1%扣1分，扣完为止。</w:t>
            </w:r>
            <w:r>
              <w:rPr>
                <w:rFonts w:hint="eastAsia" w:ascii="宋体" w:hAnsi="宋体" w:eastAsia="宋体" w:cs="宋体"/>
                <w:sz w:val="21"/>
                <w:szCs w:val="21"/>
                <w:highlight w:val="none"/>
                <w:lang w:val="en-US" w:eastAsia="zh-CN"/>
              </w:rPr>
            </w:r>
            <w:r/>
          </w:p>
        </w:tc>
      </w:tr>
      <w:tr>
        <w:trPr>
          <w:trHeight w:val="1021"/>
        </w:trPr>
        <w:tc>
          <w:tcPr>
            <w:tcW w:w="7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预警响应率</w:t>
            </w:r>
            <w:r>
              <w:rPr>
                <w:rFonts w:hint="eastAsia" w:ascii="宋体" w:hAnsi="宋体" w:eastAsia="宋体" w:cs="宋体"/>
                <w:sz w:val="21"/>
                <w:szCs w:val="21"/>
                <w:highlight w:val="none"/>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≥99.9%</w:t>
            </w:r>
            <w:r>
              <w:rPr>
                <w:rFonts w:hint="eastAsia" w:ascii="宋体" w:hAnsi="宋体" w:eastAsia="宋体" w:cs="宋体"/>
                <w:sz w:val="21"/>
                <w:szCs w:val="21"/>
                <w:highlight w:val="none"/>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及时响应预警数/预警总数</w:t>
            </w:r>
            <w:r>
              <w:rPr>
                <w:rFonts w:hint="eastAsia" w:ascii="宋体" w:hAnsi="宋体" w:eastAsia="宋体" w:cs="宋体"/>
                <w:sz w:val="21"/>
                <w:szCs w:val="21"/>
                <w:highlight w:val="none"/>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预警响应率每低1%扣2分 ，扣完为止。</w:t>
            </w:r>
            <w:r>
              <w:rPr>
                <w:rFonts w:hint="eastAsia" w:ascii="宋体" w:hAnsi="宋体" w:eastAsia="宋体" w:cs="宋体"/>
                <w:sz w:val="21"/>
                <w:szCs w:val="21"/>
                <w:highlight w:val="none"/>
                <w:lang w:val="en-US" w:eastAsia="zh-CN"/>
              </w:rPr>
            </w:r>
            <w:r/>
          </w:p>
        </w:tc>
      </w:tr>
      <w:tr>
        <w:trPr/>
        <w:tc>
          <w:tcPr>
            <w:tcW w:w="7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预警处置率</w:t>
            </w:r>
            <w:r>
              <w:rPr>
                <w:rFonts w:hint="eastAsia" w:ascii="宋体" w:hAnsi="宋体" w:eastAsia="宋体" w:cs="宋体"/>
                <w:sz w:val="21"/>
                <w:szCs w:val="21"/>
                <w:highlight w:val="none"/>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≥99.9%</w:t>
            </w:r>
            <w:r>
              <w:rPr>
                <w:rFonts w:hint="eastAsia" w:ascii="宋体" w:hAnsi="宋体" w:eastAsia="宋体" w:cs="宋体"/>
                <w:sz w:val="21"/>
                <w:szCs w:val="21"/>
                <w:highlight w:val="none"/>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及时处置预警数/预警总数</w:t>
            </w:r>
            <w:r>
              <w:rPr>
                <w:rFonts w:hint="eastAsia" w:ascii="宋体" w:hAnsi="宋体" w:eastAsia="宋体" w:cs="宋体"/>
                <w:sz w:val="21"/>
                <w:szCs w:val="21"/>
                <w:highlight w:val="none"/>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预警处置率每低1%扣2分，扣完为止。</w:t>
            </w:r>
            <w:r>
              <w:rPr>
                <w:rFonts w:hint="eastAsia" w:ascii="宋体" w:hAnsi="宋体" w:eastAsia="宋体" w:cs="宋体"/>
                <w:sz w:val="21"/>
                <w:szCs w:val="21"/>
                <w:highlight w:val="none"/>
                <w:lang w:val="en-US" w:eastAsia="zh-CN"/>
              </w:rPr>
            </w:r>
            <w:r/>
          </w:p>
        </w:tc>
      </w:tr>
      <w:tr>
        <w:trPr/>
        <w:tc>
          <w:tcPr>
            <w:tcW w:w="7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基础数据准确率</w:t>
            </w:r>
            <w:r>
              <w:rPr>
                <w:rFonts w:hint="eastAsia" w:ascii="宋体" w:hAnsi="宋体" w:eastAsia="宋体" w:cs="宋体"/>
                <w:sz w:val="21"/>
                <w:szCs w:val="21"/>
                <w:highlight w:val="none"/>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≥95%</w:t>
            </w:r>
            <w:r>
              <w:rPr>
                <w:rFonts w:hint="eastAsia" w:ascii="宋体" w:hAnsi="宋体" w:eastAsia="宋体" w:cs="宋体"/>
                <w:sz w:val="21"/>
                <w:szCs w:val="21"/>
                <w:highlight w:val="none"/>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抽查信息准确数/抽查总数 （抽查总数不少于30）</w:t>
            </w:r>
            <w:r>
              <w:rPr>
                <w:rFonts w:hint="eastAsia" w:ascii="宋体" w:hAnsi="宋体" w:eastAsia="宋体" w:cs="宋体"/>
                <w:sz w:val="21"/>
                <w:szCs w:val="21"/>
                <w:highlight w:val="none"/>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基础数据准确率每低1%扣1分，扣完为止。</w:t>
            </w:r>
            <w:r>
              <w:rPr>
                <w:rFonts w:hint="eastAsia" w:ascii="宋体" w:hAnsi="宋体" w:eastAsia="宋体" w:cs="宋体"/>
                <w:sz w:val="21"/>
                <w:szCs w:val="21"/>
                <w:highlight w:val="none"/>
                <w:lang w:val="en-US" w:eastAsia="zh-CN"/>
              </w:rPr>
            </w:r>
            <w:r/>
          </w:p>
        </w:tc>
      </w:tr>
    </w:tbl>
    <w:p>
      <w:pPr>
        <w:pStyle w:val="1067"/>
        <w:numPr>
          <w:ilvl w:val="0"/>
          <w:numId w:val="0"/>
        </w:numPr>
        <w:ind w:firstLine="422"/>
        <w:spacing w:line="40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2.考评方式：</w:t>
      </w:r>
      <w:r>
        <w:rPr>
          <w:rFonts w:hint="eastAsia" w:ascii="宋体" w:hAnsi="宋体" w:eastAsia="宋体" w:cs="宋体"/>
          <w:b/>
          <w:bCs/>
          <w:color w:val="000000"/>
          <w:sz w:val="21"/>
          <w:szCs w:val="21"/>
          <w:highlight w:val="none"/>
          <w:lang w:val="en-US" w:eastAsia="zh-CN" w:bidi="ar-SA"/>
        </w:rPr>
      </w:r>
      <w:r/>
    </w:p>
    <w:p>
      <w:pPr>
        <w:pStyle w:val="1067"/>
        <w:numPr>
          <w:ilvl w:val="0"/>
          <w:numId w:val="0"/>
        </w:numPr>
        <w:ind w:firstLine="422"/>
        <w:spacing w:line="40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每年度服务期结束时，由街道按照上述评分规则对服务商年度服务质量进行评分，并根据得分对服务费进行扣减。</w:t>
      </w:r>
      <w:r>
        <w:rPr>
          <w:rFonts w:hint="eastAsia" w:ascii="宋体" w:hAnsi="宋体" w:eastAsia="宋体" w:cs="宋体"/>
          <w:b/>
          <w:bCs/>
          <w:color w:val="000000"/>
          <w:sz w:val="21"/>
          <w:szCs w:val="21"/>
          <w:highlight w:val="none"/>
          <w:lang w:val="en-US" w:eastAsia="zh-CN" w:bidi="ar-SA"/>
        </w:rPr>
      </w:r>
      <w:r/>
    </w:p>
    <w:tbl>
      <w:tblPr>
        <w:tblStyle w:val="11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099"/>
        <w:gridCol w:w="3171"/>
        <w:gridCol w:w="2145"/>
      </w:tblGrid>
      <w:tr>
        <w:trPr>
          <w:trHeight w:val="434"/>
        </w:trPr>
        <w:tc>
          <w:tcPr>
            <w:tcW w:w="116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rPr>
                <w:rFonts w:hint="eastAsia" w:ascii="宋体" w:hAnsi="宋体" w:eastAsia="宋体" w:cs="宋体"/>
                <w:sz w:val="21"/>
                <w:szCs w:val="21"/>
                <w:highlight w:val="none"/>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服务质量得分</w:t>
            </w:r>
            <w:r>
              <w:rPr>
                <w:rFonts w:hint="eastAsia" w:ascii="宋体" w:hAnsi="宋体" w:eastAsia="宋体" w:cs="宋体"/>
                <w:sz w:val="21"/>
                <w:szCs w:val="21"/>
                <w:highlight w:val="none"/>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服务费扣减比例</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90--100</w:t>
            </w:r>
            <w:r>
              <w:rPr>
                <w:rFonts w:hint="eastAsia" w:ascii="宋体" w:hAnsi="宋体" w:eastAsia="宋体" w:cs="宋体"/>
                <w:sz w:val="21"/>
                <w:szCs w:val="21"/>
                <w:highlight w:val="none"/>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80--90</w:t>
            </w:r>
            <w:r>
              <w:rPr>
                <w:rFonts w:hint="eastAsia" w:ascii="宋体" w:hAnsi="宋体" w:eastAsia="宋体" w:cs="宋体"/>
                <w:sz w:val="21"/>
                <w:szCs w:val="21"/>
                <w:highlight w:val="none"/>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70-80</w:t>
            </w:r>
            <w:r>
              <w:rPr>
                <w:rFonts w:hint="eastAsia" w:ascii="宋体" w:hAnsi="宋体" w:eastAsia="宋体" w:cs="宋体"/>
                <w:sz w:val="21"/>
                <w:szCs w:val="21"/>
                <w:highlight w:val="none"/>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60--70</w:t>
            </w:r>
            <w:r>
              <w:rPr>
                <w:rFonts w:hint="eastAsia" w:ascii="宋体" w:hAnsi="宋体" w:eastAsia="宋体" w:cs="宋体"/>
                <w:sz w:val="21"/>
                <w:szCs w:val="21"/>
                <w:highlight w:val="none"/>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61"/>
        </w:trPr>
        <w:tc>
          <w:tcPr>
            <w:tcW w:w="1164"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highlight w:val="none"/>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pStyle w:val="1067"/>
        <w:spacing w:line="400" w:lineRule="exact"/>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lang w:val="en-US" w:eastAsia="zh-CN"/>
        </w:rPr>
        <w:t xml:space="preserve">四</w:t>
      </w:r>
      <w:r>
        <w:rPr>
          <w:rFonts w:hint="eastAsia" w:ascii="宋体" w:hAnsi="宋体" w:eastAsia="宋体" w:cs="Times New Roman"/>
          <w:b/>
          <w:bCs/>
          <w:color w:val="000000"/>
          <w:szCs w:val="22"/>
          <w:highlight w:val="none"/>
        </w:rPr>
        <w:t xml:space="preserve">、报价方式</w:t>
      </w:r>
      <w:r>
        <w:rPr>
          <w:rFonts w:hint="eastAsia" w:ascii="宋体" w:hAnsi="宋体" w:eastAsia="宋体" w:cs="Times New Roman"/>
          <w:b/>
          <w:bCs/>
          <w:color w:val="000000"/>
          <w:szCs w:val="22"/>
          <w:highlight w:val="none"/>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1.本项目投标报价为</w:t>
      </w:r>
      <w:r>
        <w:rPr>
          <w:rFonts w:hint="eastAsia" w:ascii="宋体" w:hAnsi="宋体" w:eastAsia="宋体" w:cs="宋体"/>
          <w:b/>
          <w:bCs w:val="0"/>
          <w:color w:val="000000"/>
          <w:szCs w:val="21"/>
          <w:highlight w:val="none"/>
          <w:u w:val="single"/>
          <w:lang w:val="en-US" w:eastAsia="zh-CN"/>
        </w:rPr>
        <w:t xml:space="preserve">固定总价</w:t>
      </w:r>
      <w:r>
        <w:rPr>
          <w:rFonts w:hint="eastAsia" w:ascii="宋体" w:hAnsi="宋体" w:eastAsia="宋体" w:cs="宋体"/>
          <w:bCs/>
          <w:color w:val="000000"/>
          <w:szCs w:val="21"/>
          <w:highlight w:val="none"/>
          <w:lang w:val="en-US" w:eastAsia="zh-CN"/>
        </w:rPr>
        <w:t xml:space="preserve">，投标总价应包括招标文件所确定的招标范围相应服务的提供、人员（包括工资、意外保险等）、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bCs w:val="0"/>
          <w:color w:val="000000"/>
          <w:szCs w:val="21"/>
          <w:highlight w:val="none"/>
          <w:lang w:val="en-US" w:eastAsia="zh-CN"/>
        </w:rPr>
        <w:t xml:space="preserve">(包括平台建设、对接、软件对接、设备接入、安装调试、3年项目运营服务等)</w:t>
      </w:r>
      <w:r>
        <w:rPr>
          <w:rFonts w:hint="eastAsia" w:ascii="宋体" w:hAnsi="宋体" w:eastAsia="宋体" w:cs="宋体"/>
          <w:bCs/>
          <w:color w:val="000000"/>
          <w:szCs w:val="21"/>
          <w:highlight w:val="none"/>
          <w:lang w:val="en-US" w:eastAsia="zh-CN"/>
        </w:rPr>
        <w:t xml:space="preserve">，采购人不再支付其他任何费用。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2.报价货币为人民币，评标时以人民币为准。</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3.未尽事宜按相关法律法规执行。</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r>
      <w:r/>
    </w:p>
    <w:p>
      <w:pPr>
        <w:pStyle w:val="1067"/>
        <w:jc w:val="center"/>
        <w:widowControl/>
        <w:rPr>
          <w:b/>
          <w:sz w:val="32"/>
          <w:szCs w:val="32"/>
          <w:highlight w:val="none"/>
        </w:rPr>
      </w:pPr>
      <w:r/>
      <w:bookmarkStart w:id="688" w:name="_Toc99301425"/>
      <w:r>
        <w:rPr>
          <w:b/>
          <w:sz w:val="32"/>
          <w:szCs w:val="32"/>
          <w:highlight w:val="none"/>
        </w:rPr>
        <w:br w:type="page" w:clear="all"/>
      </w:r>
      <w:r>
        <w:rPr>
          <w:b/>
          <w:sz w:val="32"/>
          <w:szCs w:val="32"/>
          <w:highlight w:val="none"/>
        </w:rPr>
        <w:t xml:space="preserve">第六章   拟签订的合同文本</w:t>
      </w:r>
      <w:bookmarkEnd w:id="688"/>
      <w:r>
        <w:rPr>
          <w:b/>
          <w:sz w:val="32"/>
          <w:szCs w:val="32"/>
          <w:highlight w:val="none"/>
        </w:rPr>
      </w:r>
      <w:r/>
    </w:p>
    <w:p>
      <w:pPr>
        <w:pStyle w:val="1067"/>
        <w:spacing w:line="360" w:lineRule="auto"/>
        <w:tabs>
          <w:tab w:val="left" w:pos="900" w:leader="none"/>
          <w:tab w:val="left" w:pos="1080" w:leader="none"/>
        </w:tabs>
        <w:rPr>
          <w:sz w:val="18"/>
          <w:szCs w:val="18"/>
          <w:highlight w:val="none"/>
        </w:rPr>
      </w:pPr>
      <w:r>
        <w:rPr>
          <w:sz w:val="18"/>
          <w:szCs w:val="18"/>
          <w:highlight w:val="none"/>
        </w:rPr>
      </w:r>
      <w:r/>
    </w:p>
    <w:p>
      <w:pPr>
        <w:pStyle w:val="1067"/>
        <w:jc w:val="center"/>
        <w:spacing w:line="360" w:lineRule="auto"/>
        <w:rPr>
          <w:sz w:val="18"/>
          <w:szCs w:val="18"/>
          <w:highlight w:val="none"/>
        </w:rPr>
      </w:pPr>
      <w:r>
        <w:rPr>
          <w:rFonts w:hint="eastAsia" w:ascii="宋体" w:hAnsi="宋体" w:cs="宋体"/>
          <w:b/>
          <w:bCs/>
          <w:szCs w:val="21"/>
          <w:highlight w:val="none"/>
        </w:rPr>
        <w:t xml:space="preserve">（仅供参考，具体以实际签订为准）</w:t>
      </w:r>
      <w:r>
        <w:rPr>
          <w:sz w:val="18"/>
          <w:szCs w:val="18"/>
          <w:highlight w:val="none"/>
        </w:rPr>
      </w:r>
      <w:r/>
    </w:p>
    <w:p>
      <w:pPr>
        <w:pStyle w:val="1108"/>
        <w:ind w:firstLine="422"/>
        <w:spacing w:line="360" w:lineRule="auto"/>
        <w:rPr>
          <w:rFonts w:hAnsi="宋体" w:cs="宋体"/>
          <w:color w:val="000000"/>
          <w:szCs w:val="21"/>
          <w:highlight w:val="none"/>
        </w:rPr>
      </w:pPr>
      <w:r/>
      <w:bookmarkStart w:id="689" w:name="_Toc99301426"/>
      <w:r/>
      <w:bookmarkStart w:id="690" w:name="_Toc12273"/>
      <w:r/>
      <w:bookmarkStart w:id="691" w:name="_Toc15827"/>
      <w:r/>
      <w:bookmarkStart w:id="692" w:name="_Toc16417"/>
      <w:r/>
      <w:bookmarkStart w:id="693" w:name="_Toc26227"/>
      <w:r/>
      <w:bookmarkStart w:id="694" w:name="_Toc23784"/>
      <w:r>
        <w:rPr>
          <w:rFonts w:hint="eastAsia" w:hAnsi="宋体" w:cs="宋体"/>
          <w:b/>
          <w:color w:val="000000"/>
          <w:szCs w:val="21"/>
          <w:highlight w:val="none"/>
          <w:lang w:val="en-US" w:eastAsia="zh-CN"/>
        </w:rPr>
        <w:t xml:space="preserve">采购</w:t>
      </w:r>
      <w:r>
        <w:rPr>
          <w:rFonts w:hAnsi="宋体" w:cs="宋体"/>
          <w:b/>
          <w:color w:val="000000"/>
          <w:szCs w:val="21"/>
          <w:highlight w:val="none"/>
        </w:rPr>
        <w:t xml:space="preserve">人</w:t>
      </w:r>
      <w:r>
        <w:rPr>
          <w:rFonts w:hAnsi="宋体" w:cs="宋体"/>
          <w:b/>
          <w:color w:val="000000"/>
          <w:szCs w:val="21"/>
          <w:highlight w:val="none"/>
          <w:lang w:val="zh-CN"/>
        </w:rPr>
        <w:t xml:space="preserve">（以下称甲</w:t>
      </w:r>
      <w:r>
        <w:rPr>
          <w:rFonts w:hAnsi="宋体" w:cs="宋体"/>
          <w:b/>
          <w:color w:val="000000"/>
          <w:szCs w:val="21"/>
          <w:highlight w:val="none"/>
        </w:rPr>
        <w:t xml:space="preserve">方）:                       </w:t>
      </w:r>
      <w:r>
        <w:rPr>
          <w:rFonts w:hAnsi="宋体" w:cs="宋体"/>
          <w:color w:val="000000"/>
          <w:szCs w:val="21"/>
          <w:highlight w:val="none"/>
        </w:rPr>
        <w:t xml:space="preserve">合同编号：</w:t>
      </w:r>
      <w:r>
        <w:rPr>
          <w:rFonts w:hAnsi="宋体" w:cs="宋体"/>
          <w:color w:val="000000"/>
          <w:szCs w:val="21"/>
          <w:highlight w:val="none"/>
        </w:rPr>
      </w:r>
      <w:r/>
    </w:p>
    <w:p>
      <w:pPr>
        <w:pStyle w:val="1108"/>
        <w:ind w:firstLine="422"/>
        <w:spacing w:line="360" w:lineRule="auto"/>
        <w:rPr>
          <w:rFonts w:hAnsi="宋体" w:cs="宋体"/>
          <w:color w:val="000000"/>
          <w:szCs w:val="21"/>
          <w:highlight w:val="none"/>
          <w:u w:val="single"/>
        </w:rPr>
      </w:pPr>
      <w:r>
        <w:rPr>
          <w:rFonts w:hAnsi="宋体" w:cs="宋体"/>
          <w:b/>
          <w:color w:val="000000"/>
          <w:szCs w:val="21"/>
          <w:highlight w:val="none"/>
        </w:rPr>
        <w:t xml:space="preserve">中标人（</w:t>
      </w:r>
      <w:r>
        <w:rPr>
          <w:rFonts w:hAnsi="宋体" w:cs="宋体"/>
          <w:b/>
          <w:color w:val="000000"/>
          <w:szCs w:val="21"/>
          <w:highlight w:val="none"/>
          <w:lang w:val="zh-CN"/>
        </w:rPr>
        <w:t xml:space="preserve">以下称</w:t>
      </w:r>
      <w:r>
        <w:rPr>
          <w:rFonts w:hAnsi="宋体" w:cs="宋体"/>
          <w:b/>
          <w:color w:val="000000"/>
          <w:szCs w:val="21"/>
          <w:highlight w:val="none"/>
        </w:rPr>
        <w:t xml:space="preserve">乙方）:                       </w:t>
      </w:r>
      <w:r>
        <w:rPr>
          <w:rFonts w:hAnsi="宋体" w:cs="宋体"/>
          <w:color w:val="000000"/>
          <w:szCs w:val="21"/>
          <w:highlight w:val="none"/>
        </w:rPr>
        <w:t xml:space="preserve">签订地点：</w:t>
      </w:r>
      <w:r>
        <w:rPr>
          <w:rFonts w:hAnsi="宋体" w:cs="宋体"/>
          <w:color w:val="000000"/>
          <w:szCs w:val="21"/>
          <w:highlight w:val="none"/>
          <w:u w:val="single"/>
        </w:rPr>
      </w:r>
      <w:r/>
    </w:p>
    <w:p>
      <w:pPr>
        <w:pStyle w:val="1090"/>
        <w:ind w:firstLine="5040"/>
        <w:spacing w:line="360" w:lineRule="auto"/>
        <w:rPr>
          <w:rFonts w:hint="eastAsia" w:hAnsi="宋体" w:cs="宋体"/>
          <w:b/>
          <w:color w:val="000000"/>
          <w:sz w:val="21"/>
          <w:szCs w:val="21"/>
          <w:highlight w:val="none"/>
        </w:rPr>
      </w:pPr>
      <w:r>
        <w:rPr>
          <w:rFonts w:hint="eastAsia" w:hAnsi="宋体" w:cs="宋体"/>
          <w:color w:val="000000"/>
          <w:sz w:val="21"/>
          <w:szCs w:val="21"/>
          <w:highlight w:val="none"/>
        </w:rPr>
        <w:t xml:space="preserve">合同时间: </w:t>
      </w:r>
      <w:r>
        <w:rPr>
          <w:rFonts w:hint="eastAsia" w:hAnsi="宋体" w:cs="宋体"/>
          <w:color w:val="000000"/>
          <w:sz w:val="21"/>
          <w:szCs w:val="21"/>
          <w:highlight w:val="none"/>
          <w:u w:val="single"/>
        </w:rPr>
        <w:t xml:space="preserve">     年    月    日</w:t>
      </w:r>
      <w:r>
        <w:rPr>
          <w:rFonts w:hint="eastAsia" w:hAnsi="宋体" w:cs="宋体"/>
          <w:b/>
          <w:color w:val="000000"/>
          <w:sz w:val="21"/>
          <w:szCs w:val="21"/>
          <w:highlight w:val="none"/>
        </w:rPr>
      </w:r>
      <w:r/>
    </w:p>
    <w:p>
      <w:pPr>
        <w:pStyle w:val="1108"/>
        <w:ind w:firstLine="424"/>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color w:val="000000"/>
          <w:sz w:val="21"/>
          <w:szCs w:val="21"/>
          <w:highlight w:val="none"/>
        </w:rPr>
      </w:pPr>
      <w:r/>
      <w:bookmarkStart w:id="695" w:name="_Hlk83324726"/>
      <w:r>
        <w:rPr>
          <w:rFonts w:hint="eastAsia" w:ascii="宋体" w:hAnsi="宋体" w:eastAsia="宋体" w:cs="宋体"/>
          <w:b/>
          <w:color w:val="000000"/>
          <w:sz w:val="21"/>
          <w:szCs w:val="21"/>
          <w:highlight w:val="none"/>
        </w:rPr>
        <w:t xml:space="preserve">第一条　采购内容</w:t>
      </w:r>
      <w:r>
        <w:rPr>
          <w:rFonts w:hint="eastAsia" w:ascii="宋体" w:hAnsi="宋体" w:eastAsia="宋体" w:cs="宋体"/>
          <w:b/>
          <w:color w:val="000000"/>
          <w:sz w:val="21"/>
          <w:szCs w:val="21"/>
          <w:highlight w:val="non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67"/>
        <w:ind w:firstLine="480"/>
        <w:jc w:val="left"/>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2、采购内容：</w:t>
      </w:r>
      <w:r>
        <w:rPr>
          <w:rFonts w:hint="eastAsia" w:ascii="宋体" w:hAnsi="宋体" w:eastAsia="宋体" w:cs="宋体"/>
          <w:color w:val="000000"/>
          <w:sz w:val="21"/>
          <w:szCs w:val="21"/>
          <w:highlight w:val="none"/>
          <w:u w:val="single"/>
        </w:rPr>
        <w:t xml:space="preserve">服务名称、内容、数量、价格</w:t>
      </w:r>
      <w:r>
        <w:rPr>
          <w:rFonts w:hint="eastAsia" w:ascii="宋体" w:hAnsi="宋体" w:eastAsia="宋体" w:cs="宋体"/>
          <w:color w:val="000000"/>
          <w:sz w:val="21"/>
          <w:szCs w:val="21"/>
          <w:highlight w:val="none"/>
          <w:u w:val="singl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3、服务内容：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4、服务期限：</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zh-CN"/>
        </w:rPr>
        <w:t xml:space="preserve">5、其他：</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67"/>
        <w:ind w:firstLine="482"/>
        <w:jc w:val="left"/>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第二条　合同价款</w:t>
      </w:r>
      <w:r>
        <w:rPr>
          <w:rFonts w:hint="eastAsia" w:ascii="宋体" w:hAnsi="宋体" w:eastAsia="宋体" w:cs="宋体"/>
          <w:b/>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本合同人民币总价款为</w:t>
      </w:r>
      <w:r>
        <w:rPr>
          <w:rFonts w:hint="eastAsia" w:ascii="宋体" w:hAnsi="宋体" w:eastAsia="宋体" w:cs="宋体"/>
          <w:color w:val="000000"/>
          <w:sz w:val="21"/>
          <w:szCs w:val="21"/>
          <w:highlight w:val="none"/>
          <w:lang w:val="zh-CN"/>
        </w:rPr>
        <w:t xml:space="preserve">（小写）</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（大写）</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本合同总价款应包括</w:t>
      </w:r>
      <w:r>
        <w:rPr>
          <w:rFonts w:hint="eastAsia" w:ascii="宋体" w:hAnsi="宋体" w:eastAsia="宋体" w:cs="宋体"/>
          <w:bCs/>
          <w:color w:val="000000"/>
          <w:szCs w:val="21"/>
          <w:highlight w:val="none"/>
          <w:lang w:val="en-US" w:eastAsia="zh-CN"/>
        </w:rPr>
        <w:t xml:space="preserve">招标文件所确定的招标范围相应服务的提供、人员（包括工资、意外保险等）、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bCs w:val="0"/>
          <w:color w:val="000000"/>
          <w:szCs w:val="21"/>
          <w:highlight w:val="none"/>
          <w:lang w:val="en-US" w:eastAsia="zh-CN"/>
        </w:rPr>
        <w:t xml:space="preserve">(包括平台建设、对接、软件对接、设备接入、安装调试、3年项目运营服务等)</w:t>
      </w:r>
      <w:r>
        <w:rPr>
          <w:rFonts w:hint="eastAsia" w:ascii="宋体" w:hAnsi="宋体" w:eastAsia="宋体" w:cs="宋体"/>
          <w:bCs/>
          <w:color w:val="000000"/>
          <w:szCs w:val="21"/>
          <w:highlight w:val="none"/>
          <w:lang w:val="en-US" w:eastAsia="zh-CN"/>
        </w:rPr>
        <w:t xml:space="preserve">，甲方不再支付其他任何费用。</w:t>
      </w:r>
      <w:r>
        <w:rPr>
          <w:rFonts w:hint="eastAsia" w:ascii="宋体" w:hAnsi="宋体" w:eastAsia="宋体" w:cs="宋体"/>
          <w:color w:val="000000"/>
          <w:sz w:val="21"/>
          <w:szCs w:val="21"/>
          <w:highlight w:val="none"/>
          <w:lang w:val="zh-CN"/>
        </w:rPr>
      </w:r>
      <w:r/>
    </w:p>
    <w:p>
      <w:pPr>
        <w:pStyle w:val="1067"/>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组成本合同的有关文件</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（1）招标文件</w:t>
      </w:r>
      <w:r>
        <w:rPr>
          <w:rFonts w:hAnsi="宋体" w:cs="宋体"/>
          <w:color w:val="000000"/>
          <w:szCs w:val="21"/>
          <w:highlight w:val="none"/>
        </w:rPr>
        <w:t xml:space="preserve">（编号：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（2）投标文件；</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（3）中标通知书；</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（4）乙方在投标、评标过程中所作其它有关承诺、声明、书面澄清；</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这些文件相互说明，如果各文件存在歧义或不一致，以本合同为准。</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第四条　权利保证</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第五条　质量保证和售后服务</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规定的服务要求、技术要求、质量标准向甲方提供服务，并持续改进运行工艺和运营方法，保证实现本合同规定的各项考核指标，并达到有效的国家和地方标准。</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2、乙方应按招标文件、投标文件及乙方在询标过程中做出的书面说明或承诺提供及时、快速、优质的售后服务。</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第六条　验收</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验收标准：按招标文件所规定的服务标准和乙方投标文件的承诺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rPr>
        <w:t xml:space="preserve">第七条　</w:t>
      </w:r>
      <w:r>
        <w:rPr>
          <w:rFonts w:hint="eastAsia" w:ascii="宋体" w:hAnsi="宋体" w:eastAsia="宋体" w:cs="宋体"/>
          <w:b/>
          <w:bCs/>
          <w:color w:val="000000"/>
          <w:sz w:val="21"/>
          <w:szCs w:val="21"/>
          <w:highlight w:val="none"/>
          <w:lang w:val="en-US" w:eastAsia="zh-CN"/>
        </w:rPr>
        <w:t xml:space="preserve">结算原则及</w:t>
      </w:r>
      <w:r>
        <w:rPr>
          <w:rFonts w:hint="eastAsia" w:ascii="宋体" w:hAnsi="宋体" w:eastAsia="宋体" w:cs="宋体"/>
          <w:b/>
          <w:bCs/>
          <w:color w:val="000000"/>
          <w:sz w:val="21"/>
          <w:szCs w:val="21"/>
          <w:highlight w:val="none"/>
          <w:lang w:val="zh-CN"/>
        </w:rPr>
        <w:t xml:space="preserve">付款</w:t>
      </w:r>
      <w:r>
        <w:rPr>
          <w:rFonts w:hint="eastAsia" w:ascii="宋体" w:hAnsi="宋体" w:eastAsia="宋体" w:cs="宋体"/>
          <w:b/>
          <w:bCs/>
          <w:color w:val="000000"/>
          <w:sz w:val="21"/>
          <w:szCs w:val="21"/>
          <w:highlight w:val="none"/>
          <w:lang w:val="en-US" w:eastAsia="zh-CN"/>
        </w:rPr>
        <w:t xml:space="preserve">条件</w:t>
      </w:r>
      <w:r>
        <w:rPr>
          <w:rFonts w:hint="eastAsia" w:ascii="宋体" w:hAnsi="宋体" w:eastAsia="宋体" w:cs="宋体"/>
          <w:b/>
          <w:bCs/>
          <w:color w:val="000000"/>
          <w:sz w:val="21"/>
          <w:szCs w:val="21"/>
          <w:highlight w:val="none"/>
          <w:lang w:val="en-US" w:eastAsia="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结算原则及</w:t>
      </w:r>
      <w:r>
        <w:rPr>
          <w:rFonts w:hint="eastAsia" w:ascii="宋体" w:hAnsi="宋体" w:eastAsia="宋体" w:cs="宋体"/>
          <w:color w:val="000000"/>
          <w:sz w:val="21"/>
          <w:szCs w:val="21"/>
          <w:highlight w:val="none"/>
        </w:rPr>
        <w:t xml:space="preserve">付款条件（进度和方式）：</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1.1结算原则：</w:t>
      </w:r>
      <w:r>
        <w:rPr>
          <w:rFonts w:hint="eastAsia" w:ascii="宋体" w:hAnsi="宋体" w:eastAsia="宋体" w:cs="宋体"/>
          <w:b/>
          <w:bCs/>
          <w:color w:val="000000"/>
          <w:sz w:val="21"/>
          <w:szCs w:val="21"/>
          <w:highlight w:val="none"/>
          <w:u w:val="single"/>
          <w:lang w:val="en-US" w:eastAsia="zh-CN"/>
        </w:rPr>
        <w:t xml:space="preserve">全费用固定综合单价，按实结算</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67"/>
        <w:ind w:firstLine="420"/>
        <w:spacing w:line="400" w:lineRule="exact"/>
        <w:rPr>
          <w:rFonts w:ascii="宋体" w:hAnsi="宋体" w:eastAsia="宋体" w:cs="宋体"/>
          <w:b/>
          <w:bCs/>
          <w:color w:val="000000"/>
          <w:sz w:val="21"/>
          <w:szCs w:val="21"/>
          <w:highlight w:val="none"/>
          <w:u w:val="single"/>
          <w:lang w:val="en-US"/>
        </w:rPr>
      </w:pPr>
      <w:r>
        <w:rPr>
          <w:rFonts w:hint="eastAsia" w:ascii="宋体" w:hAnsi="宋体" w:eastAsia="宋体" w:cs="宋体"/>
          <w:color w:val="000000"/>
          <w:sz w:val="21"/>
          <w:szCs w:val="21"/>
          <w:highlight w:val="none"/>
          <w:lang w:val="en-US" w:eastAsia="zh-CN"/>
        </w:rPr>
        <w:t xml:space="preserve">1.2付款条件：</w:t>
      </w:r>
      <w:r>
        <w:rPr>
          <w:rFonts w:hint="eastAsia" w:ascii="宋体" w:hAnsi="宋体" w:eastAsia="宋体" w:cs="宋体"/>
          <w:b/>
          <w:bCs w:val="0"/>
          <w:color w:val="000000"/>
          <w:sz w:val="21"/>
          <w:szCs w:val="21"/>
          <w:highlight w:val="none"/>
          <w:u w:val="single"/>
          <w:lang w:val="en-US" w:eastAsia="zh-CN"/>
        </w:rPr>
        <w:t xml:space="preserve">（1）</w:t>
      </w:r>
      <w:r>
        <w:rPr>
          <w:rFonts w:hint="eastAsia" w:ascii="宋体" w:hAnsi="宋体" w:eastAsia="宋体" w:cs="宋体"/>
          <w:b/>
          <w:bCs w:val="0"/>
          <w:color w:val="000000"/>
          <w:sz w:val="21"/>
          <w:szCs w:val="21"/>
          <w:highlight w:val="none"/>
          <w:u w:val="single"/>
          <w:lang w:val="en-US" w:eastAsia="zh-CN" w:bidi="ar-SA"/>
        </w:rPr>
        <w:t xml:space="preserve">乙方在规定时间内完成</w:t>
      </w:r>
      <w:r>
        <w:rPr>
          <w:rFonts w:hint="eastAsia" w:ascii="宋体" w:hAnsi="宋体" w:eastAsia="宋体" w:cs="宋体"/>
          <w:b/>
          <w:bCs w:val="0"/>
          <w:color w:val="000000"/>
          <w:sz w:val="21"/>
          <w:szCs w:val="21"/>
          <w:highlight w:val="none"/>
          <w:u w:val="single"/>
          <w:lang w:eastAsia="zh-CN"/>
        </w:rPr>
        <w:t xml:space="preserve">感知设备的提供、安装调试、通过网络接入集中运营中心，具备集中监测能力并经甲方验收合格后</w:t>
      </w:r>
      <w:r>
        <w:rPr>
          <w:rFonts w:hint="eastAsia" w:ascii="宋体" w:hAnsi="宋体" w:eastAsia="宋体" w:cs="宋体"/>
          <w:b/>
          <w:bCs w:val="0"/>
          <w:color w:val="000000"/>
          <w:sz w:val="21"/>
          <w:szCs w:val="21"/>
          <w:highlight w:val="none"/>
          <w:u w:val="single"/>
          <w:lang w:val="en-US" w:eastAsia="zh-CN"/>
        </w:rPr>
        <w:t xml:space="preserve">支付合同总金额的40%；（2）运营服务期第二年的第一个月支付合同总金额的20%（扣除第一年考核相应扣款金额）；（3）运营服务期第三年的第一个月支付合同总金额的20%（扣除第二年考核相应扣款金额）；（4）</w:t>
      </w:r>
      <w:r>
        <w:rPr>
          <w:rFonts w:hint="eastAsia" w:ascii="宋体" w:hAnsi="宋体" w:eastAsia="宋体" w:cs="宋体"/>
          <w:b/>
          <w:bCs w:val="0"/>
          <w:color w:val="000000"/>
          <w:sz w:val="21"/>
          <w:szCs w:val="21"/>
          <w:highlight w:val="none"/>
          <w:u w:val="single"/>
          <w:lang w:val="en-US" w:eastAsia="zh-CN" w:bidi="ar-SA"/>
        </w:rPr>
        <w:t xml:space="preserve">(如需审计)则审计后，满足合同约定条件的，甲方在项目</w:t>
      </w:r>
      <w:r>
        <w:rPr>
          <w:rFonts w:hint="eastAsia" w:ascii="宋体" w:hAnsi="宋体" w:eastAsia="宋体" w:cs="宋体"/>
          <w:b/>
          <w:bCs w:val="0"/>
          <w:color w:val="000000"/>
          <w:sz w:val="21"/>
          <w:szCs w:val="21"/>
          <w:highlight w:val="none"/>
          <w:u w:val="single"/>
          <w:lang w:val="en-US" w:eastAsia="zh-CN"/>
        </w:rPr>
        <w:t xml:space="preserve">服务期满</w:t>
      </w:r>
      <w:r>
        <w:rPr>
          <w:rFonts w:hint="eastAsia" w:ascii="宋体" w:hAnsi="宋体" w:eastAsia="宋体" w:cs="宋体"/>
          <w:b/>
          <w:bCs w:val="0"/>
          <w:color w:val="000000"/>
          <w:sz w:val="21"/>
          <w:szCs w:val="21"/>
          <w:highlight w:val="none"/>
          <w:u w:val="single"/>
          <w:lang w:val="en-US" w:eastAsia="zh-CN" w:bidi="ar-SA"/>
        </w:rPr>
        <w:t xml:space="preserve">之日起60日付款至合同总金额（审定金额）的100%</w:t>
      </w:r>
      <w:r>
        <w:rPr>
          <w:rFonts w:hint="eastAsia" w:ascii="宋体" w:hAnsi="宋体" w:eastAsia="宋体" w:cs="宋体"/>
          <w:b/>
          <w:bCs w:val="0"/>
          <w:color w:val="000000"/>
          <w:sz w:val="21"/>
          <w:szCs w:val="21"/>
          <w:highlight w:val="none"/>
          <w:u w:val="single"/>
          <w:lang w:val="en-US" w:eastAsia="zh-CN"/>
        </w:rPr>
        <w:t xml:space="preserve">（扣除第三年考核相应扣款金额）</w:t>
      </w:r>
      <w:r>
        <w:rPr>
          <w:rFonts w:hint="eastAsia" w:ascii="宋体" w:hAnsi="宋体" w:eastAsia="宋体" w:cs="宋体"/>
          <w:b/>
          <w:bCs w:val="0"/>
          <w:color w:val="000000"/>
          <w:sz w:val="21"/>
          <w:szCs w:val="21"/>
          <w:highlight w:val="none"/>
          <w:u w:val="single"/>
          <w:lang w:val="en-US" w:eastAsia="zh-CN" w:bidi="ar-SA"/>
        </w:rPr>
        <w:t xml:space="preserve">。</w:t>
      </w:r>
      <w:r>
        <w:rPr>
          <w:rFonts w:ascii="宋体" w:hAnsi="宋体" w:eastAsia="宋体" w:cs="宋体"/>
          <w:b/>
          <w:bCs/>
          <w:color w:val="000000"/>
          <w:sz w:val="21"/>
          <w:szCs w:val="21"/>
          <w:highlight w:val="none"/>
          <w:u w:val="single"/>
          <w:lang w:val="en-US"/>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第八条　违约责任</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1、乙方无法完成项目的，应向甲方支付合同总价10％的违约金，同时甲方有权解除合同。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2、乙方逾期开展项目的，每逾期1天应向甲方偿付逾期交付合同总额0.5％的滞纳金，但滞纳金累计不得超过逾期交付合同总额的5％；一旦滞纳金总额累计达到逾期交付合同总额的5％，甲方有权解除合同。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3、乙方完成的项目或提供的服务不符合要求的，除按本合同约定的惩罚办法进行惩罚外，还应按照甲方选择的下列一种或多种方式承担赔偿责任：</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(1)在甲方同意延长的期限内交提供服务并承担由此给甲方造成的一切损失；逾期未完成或完成的项目仍不符合要求，乙方应向甲方支付合同总价10％的违约金，同时甲方有权解除合同；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4、乙方未按规定和承诺提供伴随服务、售后服务的，应向甲方支付合同总价5％的违约金，给甲方造成的损失超过违约金的，还应赔偿甲方损失。</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6、违约方承担违约责任并不影响其合同项下的义务(合同解除的除外)。</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7、其他：无</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第九条　</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1、不可抗力，是指不能预见、不能避免并不能克服的客观情况，如战争、动乱、瘟疫、严重火灾、洪水、地震、风暴或其他自然灾害等。</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4、合同各方应根据不可抗力对本合同履行的影响程度，协商确定是否终止本合同或是继续履行本合同。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第十条　</w:t>
      </w:r>
      <w:r>
        <w:rPr>
          <w:rFonts w:hint="eastAsia" w:ascii="宋体" w:hAnsi="宋体" w:eastAsia="宋体" w:cs="宋体"/>
          <w:b/>
          <w:bCs/>
          <w:color w:val="000000"/>
          <w:sz w:val="21"/>
          <w:szCs w:val="21"/>
          <w:highlight w:val="none"/>
          <w:lang w:val="zh-CN"/>
        </w:rPr>
        <w:t xml:space="preserve">合同的变更和终止</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1、除《政府采购法》第五十条规定的情形外，本合同一经签订，甲乙双方不得擅自变更、中止或终止合同。</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第十一条  合同的终止</w:t>
      </w:r>
      <w:r>
        <w:rPr>
          <w:rFonts w:hint="eastAsia" w:ascii="宋体" w:hAnsi="宋体" w:eastAsia="宋体" w:cs="宋体"/>
          <w:b/>
          <w:bCs/>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本合同因下列原因而终止：</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(1)本合同正常履行完毕；</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(2)因不可抗力导致本合同无法履行或履行不必要；</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(3)任何一方根据本合同约定或法律规定行使解除权解除本合同；</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(4）因相关部门要求对本合同作出重大修订或适用的中国法律发生重要变化，甲方不得进行委托或对甲方权利义务造成重大不利影响的；</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(5)合同的继续履行将损害国家利益和社会公共利益。</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除上述情形外，甲乙双方不得擅自终止合同。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第十二条　争议的解决</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1、因履行本合同引起的或与本合同有关的争议，甲、乙双方应首先通过友好协商解决，如果协商不能解决争议，则采取以下第</w:t>
      </w:r>
      <w:r>
        <w:rPr>
          <w:rFonts w:hint="eastAsia" w:ascii="宋体" w:hAnsi="宋体" w:eastAsia="宋体" w:cs="宋体"/>
          <w:b/>
          <w:bCs/>
          <w:color w:val="000000"/>
          <w:sz w:val="21"/>
          <w:szCs w:val="21"/>
          <w:highlight w:val="none"/>
          <w:u w:val="single"/>
        </w:rPr>
        <w:t xml:space="preserve"> （2） </w:t>
      </w:r>
      <w:r>
        <w:rPr>
          <w:rFonts w:hint="eastAsia" w:ascii="宋体" w:hAnsi="宋体" w:eastAsia="宋体" w:cs="宋体"/>
          <w:color w:val="000000"/>
          <w:sz w:val="21"/>
          <w:szCs w:val="21"/>
          <w:highlight w:val="none"/>
          <w:lang w:val="zh-CN"/>
        </w:rPr>
        <w:t xml:space="preserve">种方式解决争议：</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（1）向甲方所在地有管辖权的人民法院提起诉讼；</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（2）向甲方所在地仲裁委员会按其仲裁规则申请仲裁。</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2、在仲裁期间，本合同应继续履行。</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第十三条　合同生效及其他</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bookmarkEnd w:id="695"/>
      <w:r>
        <w:rPr>
          <w:rFonts w:hint="eastAsia" w:ascii="宋体" w:hAnsi="宋体" w:eastAsia="宋体" w:cs="宋体"/>
          <w:color w:val="000000"/>
          <w:sz w:val="21"/>
          <w:szCs w:val="21"/>
          <w:highlight w:val="none"/>
          <w:lang w:val="en-US" w:eastAsia="zh-CN"/>
        </w:rPr>
        <w:t xml:space="preserve">1、本合同自经甲乙双方授权代表签订并加盖公章后，自签订之日起生效。见证方仅对甲乙双方签订采购合同的事实进行见证，不代表任</w:t>
      </w:r>
      <w:r>
        <w:rPr>
          <w:rFonts w:hint="eastAsia" w:ascii="宋体" w:hAnsi="宋体" w:eastAsia="宋体" w:cs="宋体"/>
          <w:color w:val="000000"/>
          <w:sz w:val="21"/>
          <w:szCs w:val="21"/>
          <w:highlight w:val="none"/>
          <w:lang w:val="zh-CN"/>
        </w:rPr>
        <w:t xml:space="preserve">何承诺或保证，该合同的履行等相关情况均与见证方无任何关系。</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本合同一式</w:t>
      </w:r>
      <w:r>
        <w:rPr>
          <w:rFonts w:hint="eastAsia" w:ascii="宋体" w:hAnsi="宋体" w:cs="宋体"/>
          <w:b/>
          <w:bCs/>
          <w:color w:val="000000"/>
          <w:szCs w:val="21"/>
          <w:highlight w:val="none"/>
          <w:u w:val="single"/>
        </w:rPr>
        <w:t xml:space="preserve">陆</w:t>
      </w:r>
      <w:r>
        <w:rPr>
          <w:rFonts w:hint="eastAsia" w:ascii="宋体" w:hAnsi="宋体" w:cs="宋体"/>
          <w:color w:val="000000"/>
          <w:szCs w:val="21"/>
          <w:highlight w:val="none"/>
        </w:rPr>
        <w:t xml:space="preserve">份，甲方执</w:t>
      </w:r>
      <w:r>
        <w:rPr>
          <w:rFonts w:hint="eastAsia" w:ascii="宋体" w:hAnsi="宋体" w:cs="宋体"/>
          <w:b/>
          <w:color w:val="000000"/>
          <w:szCs w:val="21"/>
          <w:highlight w:val="none"/>
          <w:u w:val="single"/>
        </w:rPr>
        <w:t xml:space="preserve">叁</w:t>
      </w:r>
      <w:r>
        <w:rPr>
          <w:rFonts w:hint="eastAsia" w:ascii="宋体" w:hAnsi="宋体" w:cs="宋体"/>
          <w:color w:val="000000"/>
          <w:szCs w:val="21"/>
          <w:highlight w:val="none"/>
        </w:rPr>
        <w:t xml:space="preserve">份,乙方执</w:t>
      </w:r>
      <w:r>
        <w:rPr>
          <w:rFonts w:hint="eastAsia" w:ascii="宋体" w:hAnsi="宋体" w:cs="宋体"/>
          <w:b/>
          <w:bCs/>
          <w:color w:val="000000"/>
          <w:szCs w:val="21"/>
          <w:highlight w:val="none"/>
          <w:u w:val="single"/>
        </w:rPr>
        <w:t xml:space="preserve">贰</w:t>
      </w:r>
      <w:r>
        <w:rPr>
          <w:rFonts w:hint="eastAsia" w:ascii="宋体" w:hAnsi="宋体" w:cs="宋体"/>
          <w:color w:val="000000"/>
          <w:szCs w:val="21"/>
          <w:highlight w:val="none"/>
        </w:rPr>
        <w:t xml:space="preserve">份，代理机构执</w:t>
      </w:r>
      <w:r>
        <w:rPr>
          <w:rFonts w:hint="eastAsia" w:ascii="宋体" w:hAnsi="宋体" w:cs="宋体"/>
          <w:b/>
          <w:bCs/>
          <w:color w:val="000000"/>
          <w:szCs w:val="21"/>
          <w:highlight w:val="none"/>
          <w:u w:val="single"/>
        </w:rPr>
        <w:t xml:space="preserve">壹</w:t>
      </w:r>
      <w:r>
        <w:rPr>
          <w:rFonts w:hint="eastAsia" w:ascii="宋体" w:hAnsi="宋体" w:cs="宋体"/>
          <w:color w:val="000000"/>
          <w:szCs w:val="21"/>
          <w:highlight w:val="none"/>
        </w:rPr>
        <w:t xml:space="preserve">份存档。</w:t>
      </w:r>
      <w:r>
        <w:rPr>
          <w:rFonts w:hint="eastAsia" w:ascii="宋体" w:hAnsi="宋体" w:cs="宋体"/>
          <w:color w:val="000000"/>
          <w:szCs w:val="21"/>
          <w:highlight w:val="none"/>
        </w:rPr>
      </w:r>
      <w:r/>
    </w:p>
    <w:p>
      <w:pPr>
        <w:pStyle w:val="1067"/>
        <w:ind w:firstLine="480"/>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本合同应按照中华人民共和国的现行法律进行解释。</w:t>
      </w:r>
      <w:r>
        <w:rPr>
          <w:rFonts w:hint="eastAsia" w:ascii="宋体" w:hAnsi="宋体" w:cs="宋体"/>
          <w:color w:val="000000"/>
          <w:szCs w:val="21"/>
          <w:highlight w:val="none"/>
        </w:rPr>
      </w:r>
      <w:r/>
    </w:p>
    <w:p>
      <w:pPr>
        <w:pStyle w:val="1067"/>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67"/>
        <w:ind w:firstLine="632"/>
        <w:jc w:val="left"/>
        <w:spacing w:line="400" w:lineRule="exact"/>
        <w:rPr>
          <w:rFonts w:hint="eastAsia" w:ascii="宋体" w:hAnsi="宋体" w:cs="宋体"/>
          <w:color w:val="000000"/>
          <w:szCs w:val="21"/>
          <w:highlight w:val="none"/>
        </w:rPr>
      </w:pPr>
      <w:r/>
      <w:bookmarkEnd w:id="690"/>
      <w:r/>
      <w:bookmarkEnd w:id="691"/>
      <w:r/>
      <w:bookmarkEnd w:id="692"/>
      <w:r/>
      <w:bookmarkEnd w:id="693"/>
      <w:r/>
      <w:bookmarkEnd w:id="694"/>
      <w:r/>
      <w:bookmarkStart w:id="696" w:name="_Toc331685783"/>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63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1067"/>
        <w:ind w:firstLine="63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1067"/>
        <w:ind w:firstLine="63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1067"/>
        <w:ind w:firstLine="63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1067"/>
        <w:ind w:firstLine="630"/>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1099"/>
        <w:tabs>
          <w:tab w:val="left" w:pos="567" w:leader="none"/>
        </w:tabs>
        <w:rPr>
          <w:rFonts w:hint="eastAsia"/>
          <w:color w:val="000000"/>
          <w:highlight w:val="none"/>
        </w:rPr>
      </w:pPr>
      <w:r>
        <w:rPr>
          <w:rFonts w:hint="eastAsia"/>
          <w:color w:val="000000"/>
          <w:highlight w:val="none"/>
        </w:rPr>
      </w:r>
      <w:r/>
    </w:p>
    <w:p>
      <w:pPr>
        <w:pStyle w:val="1067"/>
        <w:ind w:firstLine="632"/>
        <w:keepLines w:val="0"/>
        <w:keepNext w:val="0"/>
        <w:pageBreakBefore w:val="0"/>
        <w:spacing w:line="40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1067"/>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1067"/>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1067"/>
        <w:ind w:firstLine="63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ascii="宋体" w:hAnsi="宋体" w:cs="宋体"/>
          <w:color w:val="000000"/>
          <w:szCs w:val="21"/>
          <w:highlight w:val="none"/>
        </w:rPr>
      </w:r>
      <w:r/>
    </w:p>
    <w:p>
      <w:pPr>
        <w:pStyle w:val="1167"/>
        <w:ind w:firstLine="0"/>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067"/>
        <w:ind w:firstLine="422"/>
        <w:jc w:val="left"/>
        <w:spacing w:line="360" w:lineRule="auto"/>
        <w:rPr>
          <w:rFonts w:hint="eastAsia" w:cs="宋体"/>
          <w:b/>
          <w:color w:val="000000"/>
          <w:szCs w:val="21"/>
          <w:highlight w:val="none"/>
        </w:rPr>
        <w:outlineLvl w:val="0"/>
      </w:pPr>
      <w:r>
        <w:rPr>
          <w:rFonts w:hint="eastAsia" w:cs="宋体"/>
          <w:b/>
          <w:bCs/>
          <w:color w:val="000000"/>
          <w:szCs w:val="21"/>
          <w:highlight w:val="none"/>
        </w:rPr>
        <w:t xml:space="preserve">注：</w:t>
      </w:r>
      <w:r>
        <w:rPr>
          <w:rFonts w:hint="eastAsia" w:cs="宋体"/>
          <w:b/>
          <w:color w:val="000000"/>
          <w:szCs w:val="21"/>
          <w:highlight w:val="none"/>
        </w:rPr>
        <w:t xml:space="preserve">以上是合同的简易模版，仅供甲乙双方签订合同时参考，具体条款详见</w:t>
      </w:r>
      <w:r>
        <w:rPr>
          <w:rFonts w:hint="eastAsia" w:cs="宋体"/>
          <w:b/>
          <w:color w:val="000000"/>
          <w:szCs w:val="21"/>
          <w:highlight w:val="none"/>
          <w:lang w:val="en-US" w:eastAsia="zh-CN"/>
        </w:rPr>
        <w:t xml:space="preserve">招标文件</w:t>
      </w:r>
      <w:r>
        <w:rPr>
          <w:rFonts w:hint="eastAsia" w:cs="宋体"/>
          <w:b/>
          <w:color w:val="000000"/>
          <w:szCs w:val="21"/>
          <w:highlight w:val="none"/>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highlight w:val="none"/>
        </w:rPr>
      </w:r>
      <w:r/>
    </w:p>
    <w:p>
      <w:pPr>
        <w:pStyle w:val="1167"/>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167"/>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108"/>
        <w:spacing w:line="480" w:lineRule="auto"/>
        <w:rPr>
          <w:rFonts w:hAnsi="宋体" w:cs="宋体"/>
          <w:color w:val="000000"/>
          <w:szCs w:val="21"/>
          <w:highlight w:val="none"/>
        </w:rPr>
      </w:pPr>
      <w:r/>
      <w:bookmarkEnd w:id="696"/>
      <w:r>
        <w:rPr>
          <w:rFonts w:hAnsi="宋体" w:cs="宋体"/>
          <w:color w:val="000000"/>
          <w:szCs w:val="21"/>
          <w:highlight w:val="none"/>
        </w:rPr>
      </w:r>
      <w:r/>
    </w:p>
    <w:p>
      <w:pPr>
        <w:pStyle w:val="1067"/>
        <w:jc w:val="center"/>
        <w:spacing w:line="700" w:lineRule="exact"/>
        <w:widowControl/>
        <w:rPr>
          <w:rFonts w:hint="eastAsia" w:ascii="宋体" w:hAnsi="宋体" w:eastAsia="宋体" w:cs="宋体"/>
          <w:b/>
          <w:bCs/>
          <w:color w:val="000000"/>
          <w:sz w:val="32"/>
          <w:szCs w:val="32"/>
          <w:highlight w:val="none"/>
        </w:rPr>
      </w:pPr>
      <w:r>
        <w:rPr>
          <w:b/>
          <w:color w:val="000000"/>
          <w:sz w:val="32"/>
          <w:szCs w:val="32"/>
          <w:highlight w:val="none"/>
        </w:rPr>
        <w:br w:type="page" w:clear="all"/>
      </w:r>
      <w:r>
        <w:rPr>
          <w:rFonts w:hint="eastAsia" w:ascii="宋体" w:hAnsi="宋体" w:eastAsia="宋体" w:cs="宋体"/>
          <w:b/>
          <w:bCs/>
          <w:color w:val="000000"/>
          <w:sz w:val="32"/>
          <w:szCs w:val="32"/>
          <w:highlight w:val="none"/>
        </w:rPr>
        <w:t xml:space="preserve">廉 政 责 任 书</w:t>
      </w:r>
      <w:r>
        <w:rPr>
          <w:rFonts w:hint="eastAsia" w:ascii="宋体" w:hAnsi="宋体" w:eastAsia="宋体" w:cs="宋体"/>
          <w:b/>
          <w:bCs/>
          <w:color w:val="000000"/>
          <w:sz w:val="32"/>
          <w:szCs w:val="32"/>
          <w:highlight w:val="none"/>
        </w:rPr>
      </w:r>
      <w:r/>
    </w:p>
    <w:p>
      <w:pPr>
        <w:pStyle w:val="1067"/>
        <w:ind w:firstLine="560"/>
        <w:keepLines w:val="0"/>
        <w:keepNext w:val="0"/>
        <w:pageBreakBefore w:val="0"/>
        <w:spacing w:line="400" w:lineRule="exact"/>
        <w:widowControl/>
        <w:rPr>
          <w:rFonts w:hint="eastAsia" w:eastAsia="FangSong_GB2312"/>
          <w:color w:val="000000"/>
          <w:sz w:val="28"/>
          <w:szCs w:val="28"/>
          <w:highlight w:val="none"/>
        </w:rPr>
      </w:pPr>
      <w:r>
        <w:rPr>
          <w:rFonts w:hint="eastAsia" w:eastAsia="FangSong_GB2312"/>
          <w:color w:val="000000"/>
          <w:sz w:val="28"/>
          <w:szCs w:val="28"/>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为进一步加强零星采购的廉政建设，特订立如下责任书。</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一、甲、乙双方的权利和义务</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甲乙双方应严格遵守党的政策规定和国家有关法律法规。</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甲乙双方应严格执行项目的合同文件，自觉按合同办事。</w:t>
      </w:r>
      <w:r>
        <w:rPr>
          <w:rFonts w:hint="eastAsia" w:ascii="宋体" w:hAnsi="宋体" w:eastAsia="宋体" w:cs="宋体"/>
          <w:color w:val="000000"/>
          <w:sz w:val="21"/>
          <w:szCs w:val="21"/>
          <w:highlight w:val="none"/>
        </w:rPr>
      </w:r>
      <w:r/>
    </w:p>
    <w:p>
      <w:pPr>
        <w:pStyle w:val="1067"/>
        <w:ind w:firstLine="404"/>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3．甲乙双方的业务活动应坚持公开、公平、公正、诚信、透明的原则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4．甲乙双方不得以任何理由向对方工作人员行贿或馈赠礼金、有价证券、贵重礼品。不得在对方报销任何应由个人支付的费用。</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5．甲乙双方不得以任何理由违反廉洁自律的有关规定。</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二、违约责任</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2．本协议一式三份，由甲、乙双方各执一份，送交甲方的监督单位一份。</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乙方单位（盖章）：</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1067"/>
        <w:ind w:right="482" w:firstLine="210"/>
        <w:jc w:val="both"/>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67"/>
        <w:jc w:val="center"/>
        <w:spacing w:line="360" w:lineRule="auto"/>
        <w:rPr>
          <w:b/>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第七章   投标文件格式</w:t>
      </w:r>
      <w:bookmarkEnd w:id="689"/>
      <w:r>
        <w:rPr>
          <w:b/>
          <w:color w:val="000000"/>
          <w:sz w:val="24"/>
          <w:highlight w:val="none"/>
        </w:rPr>
      </w:r>
      <w:r/>
    </w:p>
    <w:p>
      <w:pPr>
        <w:pStyle w:val="1067"/>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color w:val="000000"/>
          <w:sz w:val="24"/>
          <w:highlight w:val="none"/>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r>
        <w:rPr>
          <w:color w:val="000000"/>
          <w:sz w:val="24"/>
          <w:highlight w:val="none"/>
        </w:rPr>
      </w:r>
      <w:r/>
    </w:p>
    <w:p>
      <w:pPr>
        <w:pStyle w:val="1067"/>
        <w:jc w:val="left"/>
        <w:keepLines/>
        <w:keepNext/>
        <w:spacing w:before="120" w:line="300" w:lineRule="auto"/>
        <w:rPr>
          <w:b/>
          <w:color w:val="000000"/>
          <w:sz w:val="28"/>
          <w:szCs w:val="28"/>
          <w:highlight w:val="none"/>
        </w:rPr>
        <w:outlineLvl w:val="1"/>
      </w:pPr>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color w:val="000000"/>
          <w:spacing w:val="20"/>
          <w:sz w:val="28"/>
          <w:szCs w:val="28"/>
          <w:highlight w:val="none"/>
        </w:rPr>
        <w:t xml:space="preserve">一、资格证明文件格式</w:t>
      </w:r>
      <w:r>
        <w:rPr>
          <w:b/>
          <w:color w:val="000000"/>
          <w:sz w:val="28"/>
          <w:szCs w:val="28"/>
          <w:highlight w:val="none"/>
        </w:rPr>
      </w:r>
      <w:r/>
    </w:p>
    <w:p>
      <w:pPr>
        <w:pStyle w:val="1067"/>
        <w:rPr>
          <w:b/>
          <w:color w:val="000000"/>
          <w:spacing w:val="20"/>
          <w:sz w:val="28"/>
          <w:szCs w:val="28"/>
          <w:highlight w:val="none"/>
        </w:rPr>
      </w:pPr>
      <w:r>
        <w:rPr>
          <w:b/>
          <w:color w:val="000000"/>
          <w:spacing w:val="20"/>
          <w:sz w:val="28"/>
          <w:szCs w:val="28"/>
          <w:highlight w:val="none"/>
        </w:rPr>
      </w:r>
      <w:r/>
    </w:p>
    <w:p>
      <w:pPr>
        <w:pStyle w:val="1067"/>
        <w:rPr>
          <w:b/>
          <w:color w:val="000000"/>
          <w:sz w:val="28"/>
          <w:szCs w:val="28"/>
          <w:highlight w:val="none"/>
        </w:rPr>
      </w:pPr>
      <w:r>
        <w:rPr>
          <w:b/>
          <w:color w:val="000000"/>
          <w:spacing w:val="20"/>
          <w:sz w:val="28"/>
          <w:szCs w:val="28"/>
          <w:highlight w:val="none"/>
        </w:rPr>
        <w:t xml:space="preserve">投标文件</w:t>
      </w:r>
      <w:r>
        <w:rPr>
          <w:b/>
          <w:color w:val="000000"/>
          <w:sz w:val="28"/>
          <w:szCs w:val="28"/>
          <w:highlight w:val="none"/>
        </w:rPr>
        <w:t xml:space="preserve">封面（非实质性格式）</w:t>
      </w:r>
      <w:r>
        <w:rPr>
          <w:b/>
          <w:color w:val="000000"/>
          <w:sz w:val="28"/>
          <w:szCs w:val="28"/>
          <w:highlight w:val="none"/>
        </w:rPr>
      </w:r>
      <w:r/>
    </w:p>
    <w:p>
      <w:pPr>
        <w:pStyle w:val="1067"/>
        <w:jc w:val="center"/>
        <w:rPr>
          <w:color w:val="000000"/>
          <w:szCs w:val="21"/>
          <w:highlight w:val="none"/>
        </w:rPr>
      </w:pPr>
      <w:r>
        <w:rPr>
          <w:color w:val="000000"/>
          <w:szCs w:val="21"/>
          <w:highlight w:val="none"/>
        </w:rPr>
      </w:r>
      <w:r/>
    </w:p>
    <w:p>
      <w:pPr>
        <w:pStyle w:val="1067"/>
        <w:jc w:val="center"/>
        <w:rPr>
          <w:b/>
          <w:color w:val="000000"/>
          <w:spacing w:val="60"/>
          <w:sz w:val="84"/>
          <w:szCs w:val="84"/>
          <w:highlight w:val="none"/>
        </w:rPr>
      </w:pPr>
      <w:r>
        <w:rPr>
          <w:b/>
          <w:color w:val="000000"/>
          <w:spacing w:val="60"/>
          <w:sz w:val="84"/>
          <w:szCs w:val="84"/>
          <w:highlight w:val="none"/>
        </w:rPr>
      </w:r>
      <w:r/>
    </w:p>
    <w:p>
      <w:pPr>
        <w:pStyle w:val="1067"/>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67"/>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67"/>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67"/>
        <w:ind w:firstLine="542"/>
        <w:rPr>
          <w:b/>
          <w:color w:val="000000"/>
          <w:spacing w:val="20"/>
          <w:sz w:val="32"/>
          <w:szCs w:val="32"/>
          <w:highlight w:val="none"/>
        </w:rPr>
      </w:pPr>
      <w:r>
        <w:rPr>
          <w:b/>
          <w:color w:val="000000"/>
          <w:spacing w:val="20"/>
          <w:sz w:val="32"/>
          <w:szCs w:val="32"/>
          <w:highlight w:val="none"/>
        </w:rPr>
      </w:r>
      <w:r/>
    </w:p>
    <w:p>
      <w:pPr>
        <w:pStyle w:val="1067"/>
        <w:ind w:firstLine="542"/>
        <w:rPr>
          <w:b/>
          <w:color w:val="000000"/>
          <w:spacing w:val="20"/>
          <w:sz w:val="32"/>
          <w:szCs w:val="32"/>
          <w:highlight w:val="none"/>
        </w:rPr>
      </w:pPr>
      <w:r>
        <w:rPr>
          <w:b/>
          <w:color w:val="000000"/>
          <w:spacing w:val="20"/>
          <w:sz w:val="32"/>
          <w:szCs w:val="32"/>
          <w:highlight w:val="none"/>
        </w:rPr>
      </w:r>
      <w:r/>
    </w:p>
    <w:p>
      <w:pPr>
        <w:pStyle w:val="1067"/>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55"/>
        <w:ind w:firstLine="420"/>
        <w:rPr>
          <w:color w:val="000000"/>
          <w:highlight w:val="none"/>
        </w:rPr>
      </w:pPr>
      <w:r>
        <w:rPr>
          <w:color w:val="000000"/>
          <w:highlight w:val="none"/>
        </w:rPr>
      </w:r>
      <w:r/>
    </w:p>
    <w:p>
      <w:pPr>
        <w:pStyle w:val="1067"/>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55"/>
        <w:ind w:firstLine="420"/>
        <w:rPr>
          <w:color w:val="000000"/>
          <w:highlight w:val="none"/>
        </w:rPr>
      </w:pPr>
      <w:r>
        <w:rPr>
          <w:color w:val="000000"/>
          <w:highlight w:val="none"/>
        </w:rPr>
      </w:r>
      <w:r/>
    </w:p>
    <w:p>
      <w:pPr>
        <w:pStyle w:val="1067"/>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55"/>
        <w:ind w:firstLine="420"/>
        <w:rPr>
          <w:color w:val="000000"/>
          <w:highlight w:val="none"/>
        </w:rPr>
      </w:pPr>
      <w:r>
        <w:rPr>
          <w:color w:val="000000"/>
          <w:highlight w:val="none"/>
        </w:rPr>
      </w:r>
      <w:r/>
    </w:p>
    <w:p>
      <w:pPr>
        <w:pStyle w:val="106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7"/>
        <w:jc w:val="center"/>
        <w:rPr>
          <w:b/>
          <w:color w:val="000000"/>
          <w:sz w:val="32"/>
          <w:szCs w:val="32"/>
          <w:highlight w:val="none"/>
        </w:rPr>
      </w:pPr>
      <w:r>
        <w:rPr>
          <w:b/>
          <w:color w:val="000000"/>
          <w:sz w:val="32"/>
          <w:szCs w:val="32"/>
          <w:highlight w:val="none"/>
        </w:rPr>
      </w:r>
      <w:r/>
    </w:p>
    <w:p>
      <w:pPr>
        <w:pStyle w:val="1067"/>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67"/>
        <w:rPr>
          <w:b/>
          <w:color w:val="000000"/>
          <w:highlight w:val="none"/>
        </w:rPr>
      </w:pPr>
      <w:r>
        <w:rPr>
          <w:b/>
          <w:color w:val="000000"/>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1.满足《中华人民共和国政府采购法》第二十二条规定及法律法规的其他规定</w:t>
      </w:r>
      <w:r>
        <w:rPr>
          <w:rFonts w:hint="eastAsia" w:ascii="宋体" w:hAnsi="宋体" w:cs="宋体"/>
          <w:color w:val="000000"/>
          <w:szCs w:val="21"/>
          <w:highlight w:val="none"/>
        </w:rPr>
      </w:r>
      <w:r/>
    </w:p>
    <w:p>
      <w:pPr>
        <w:pStyle w:val="1070"/>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1-1 投标人有效的法人或者其他组织的营业执照等证明文件复印件</w:t>
      </w:r>
      <w:r>
        <w:rPr>
          <w:rFonts w:hint="eastAsia" w:hAnsi="宋体" w:cs="宋体"/>
          <w:b w:val="0"/>
          <w:color w:val="000000"/>
          <w:sz w:val="21"/>
          <w:szCs w:val="21"/>
          <w:highlight w:val="none"/>
          <w:u w:val="none"/>
        </w:rPr>
      </w:r>
      <w:r/>
    </w:p>
    <w:p>
      <w:pPr>
        <w:pStyle w:val="1070"/>
        <w:rPr>
          <w:rFonts w:hint="eastAsia" w:hAnsi="宋体" w:cs="宋体"/>
          <w:b w:val="0"/>
          <w:bCs/>
          <w:color w:val="000000"/>
          <w:sz w:val="21"/>
          <w:szCs w:val="21"/>
          <w:highlight w:val="none"/>
          <w:u w:val="none"/>
        </w:rPr>
      </w:pPr>
      <w:r>
        <w:rPr>
          <w:rFonts w:hint="eastAsia" w:hAnsi="宋体" w:cs="宋体"/>
          <w:b w:val="0"/>
          <w:color w:val="000000"/>
          <w:sz w:val="21"/>
          <w:szCs w:val="21"/>
          <w:highlight w:val="none"/>
          <w:u w:val="none"/>
        </w:rPr>
        <w:t xml:space="preserve">1-2 投标人资格声明函（实质性格式）</w:t>
      </w:r>
      <w:r>
        <w:rPr>
          <w:rFonts w:hint="eastAsia" w:hAnsi="宋体" w:cs="宋体"/>
          <w:b w:val="0"/>
          <w:bCs/>
          <w:color w:val="000000"/>
          <w:sz w:val="21"/>
          <w:szCs w:val="21"/>
          <w:highlight w:val="none"/>
          <w:u w:val="none"/>
        </w:rPr>
      </w:r>
      <w:r/>
    </w:p>
    <w:p>
      <w:pPr>
        <w:pStyle w:val="1067"/>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90"/>
        <w:ind w:firstLine="480"/>
        <w:spacing w:line="460" w:lineRule="exact"/>
        <w:rPr>
          <w:color w:val="000000"/>
          <w:highlight w:val="none"/>
        </w:rPr>
      </w:pPr>
      <w:r>
        <w:rPr>
          <w:color w:val="000000"/>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常州市阳峻项目管理有限公司</w:t>
      </w:r>
      <w:r>
        <w:rPr>
          <w:color w:val="000000"/>
          <w:sz w:val="21"/>
          <w:szCs w:val="21"/>
          <w:highlight w:val="none"/>
        </w:rPr>
      </w:r>
      <w:r/>
    </w:p>
    <w:p>
      <w:pPr>
        <w:pStyle w:val="1090"/>
        <w:ind w:firstLine="840"/>
        <w:spacing w:line="460" w:lineRule="exact"/>
        <w:rPr>
          <w:color w:val="000000"/>
          <w:sz w:val="21"/>
          <w:szCs w:val="21"/>
          <w:highlight w:val="none"/>
          <w:u w:val="single"/>
        </w:rPr>
      </w:pPr>
      <w:r>
        <w:rPr>
          <w:rFonts w:hint="eastAsia"/>
          <w:color w:val="000000"/>
          <w:sz w:val="21"/>
          <w:szCs w:val="21"/>
          <w:highlight w:val="none"/>
          <w:u w:val="single"/>
        </w:rPr>
        <w:t xml:space="preserve">（采购人名称）</w:t>
      </w:r>
      <w:r>
        <w:rPr>
          <w:color w:val="000000"/>
          <w:sz w:val="21"/>
          <w:szCs w:val="21"/>
          <w:highlight w:val="none"/>
          <w:u w:val="singl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按照《中华人民共和国政府采购法》第二十二条和招标文件的规定，我单位郑重声明如下：</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二、我单位具有良好的商业信誉（指投标人经营状况良好，无本资格声明第十条情形）和健全的财务会计制度。</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三、我单位依法进行纳税和社会保险申报并实际履行了义务。</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四、我单位具有履行本项目采购合同所必需的设备和专业技术能力，并具有履行合同的良好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六、我单位具备法律、行政法规规定的其他条件。</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七、与我单位存在“单位负责人为同一人或者存在直接控股、管理关系”的其他单位信息如下（如无此情形的，填写“无”）：</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不属于为本项目提供整体设计、规范编制或者项目管理、监理、检测等服务的投标人。</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我单位无以下不良信用记录情形：</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                                            投标人：（加盖公章）</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90"/>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1067"/>
        <w:spacing w:line="360" w:lineRule="auto"/>
        <w:rPr>
          <w:rFonts w:hint="eastAsia"/>
          <w:color w:val="000000"/>
          <w:sz w:val="24"/>
          <w:highlight w:val="none"/>
        </w:rPr>
      </w:pPr>
      <w:r>
        <w:rPr>
          <w:rFonts w:hint="eastAsia"/>
          <w:color w:val="000000"/>
          <w:sz w:val="24"/>
          <w:highlight w:val="none"/>
        </w:rPr>
      </w:r>
      <w:r/>
    </w:p>
    <w:p>
      <w:pPr>
        <w:pStyle w:val="1067"/>
        <w:spacing w:line="360" w:lineRule="auto"/>
        <w:rPr>
          <w:rFonts w:hint="eastAsia"/>
          <w:color w:val="000000"/>
          <w:sz w:val="24"/>
          <w:highlight w:val="none"/>
        </w:rPr>
      </w:pPr>
      <w:r>
        <w:rPr>
          <w:rFonts w:hint="eastAsia"/>
          <w:color w:val="000000"/>
          <w:sz w:val="24"/>
          <w:highlight w:val="none"/>
        </w:rPr>
      </w:r>
      <w:r/>
    </w:p>
    <w:p>
      <w:pPr>
        <w:pStyle w:val="1067"/>
        <w:spacing w:line="360" w:lineRule="auto"/>
        <w:rPr>
          <w:rFonts w:hint="eastAsia"/>
          <w:color w:val="000000"/>
          <w:sz w:val="24"/>
          <w:highlight w:val="none"/>
        </w:rPr>
      </w:pPr>
      <w:r>
        <w:rPr>
          <w:rFonts w:hint="eastAsia"/>
          <w:color w:val="000000"/>
          <w:sz w:val="24"/>
          <w:highlight w:val="none"/>
        </w:rPr>
      </w:r>
      <w:r/>
    </w:p>
    <w:p>
      <w:pPr>
        <w:pStyle w:val="1067"/>
        <w:spacing w:line="360" w:lineRule="auto"/>
        <w:rPr>
          <w:color w:val="000000"/>
          <w:szCs w:val="21"/>
          <w:highlight w:val="none"/>
        </w:rPr>
      </w:pPr>
      <w:r>
        <w:rPr>
          <w:color w:val="000000"/>
          <w:szCs w:val="21"/>
          <w:highlight w:val="none"/>
        </w:rPr>
        <w:t xml:space="preserve">说明：</w:t>
      </w:r>
      <w:r>
        <w:rPr>
          <w:rFonts w:hint="eastAsia"/>
          <w:color w:val="000000"/>
          <w:szCs w:val="21"/>
          <w:highlight w:val="none"/>
        </w:rPr>
        <w:t xml:space="preserve">供应商承诺不实的，依据《政府采购法》第七十七条“提供虚假材料谋取中标、成交的”有关规定予以处理</w:t>
      </w:r>
      <w:r>
        <w:rPr>
          <w:color w:val="000000"/>
          <w:szCs w:val="21"/>
          <w:highlight w:val="none"/>
        </w:rPr>
        <w:t xml:space="preserve">。</w:t>
      </w:r>
      <w:r>
        <w:rPr>
          <w:color w:val="000000"/>
          <w:szCs w:val="21"/>
          <w:highlight w:val="none"/>
        </w:rPr>
      </w:r>
      <w:r/>
    </w:p>
    <w:p>
      <w:pPr>
        <w:pStyle w:val="1067"/>
        <w:spacing w:line="360" w:lineRule="auto"/>
        <w:tabs>
          <w:tab w:val="left" w:pos="5580" w:leader="none"/>
        </w:tabs>
        <w:rPr>
          <w:rFonts w:hint="eastAsia"/>
          <w:b/>
          <w:color w:val="000000"/>
          <w:sz w:val="21"/>
          <w:szCs w:val="21"/>
          <w:highlight w:val="none"/>
        </w:rPr>
      </w:pPr>
      <w:r>
        <w:rPr>
          <w:rFonts w:hint="eastAsia"/>
          <w:b/>
          <w:color w:val="000000"/>
          <w:sz w:val="21"/>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2.落实政府采购政策需满足的资格要求（如有）</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2-1中小企业声明函（实质性格式）</w:t>
      </w:r>
      <w:r>
        <w:rPr>
          <w:rFonts w:hint="eastAsia" w:ascii="宋体" w:hAnsi="宋体" w:cs="宋体"/>
          <w:color w:val="000000"/>
          <w:szCs w:val="21"/>
          <w:highlight w:val="none"/>
        </w:rPr>
      </w:r>
      <w:r/>
    </w:p>
    <w:p>
      <w:pPr>
        <w:pStyle w:val="1067"/>
        <w:spacing w:line="360" w:lineRule="auto"/>
        <w:tabs>
          <w:tab w:val="left" w:pos="5580" w:leader="none"/>
        </w:tabs>
        <w:rPr>
          <w:color w:val="000000"/>
          <w:sz w:val="24"/>
          <w:highlight w:val="none"/>
        </w:rPr>
      </w:pPr>
      <w:r>
        <w:rPr>
          <w:color w:val="000000"/>
          <w:sz w:val="24"/>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（1）如本项目（包）不专门面向中小企业预留采购份额，资格证明文件部分无需提供《中小企业声明函》。</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（2）如本项目（包）专门面向中小/小微企业采购，须提供《中小企业声明函》（实质性格式）。</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color w:val="000000"/>
          <w:szCs w:val="21"/>
          <w:highlight w:val="none"/>
        </w:rPr>
      </w:r>
      <w:r/>
    </w:p>
    <w:p>
      <w:pPr>
        <w:pStyle w:val="1067"/>
        <w:spacing w:line="360" w:lineRule="auto"/>
        <w:tabs>
          <w:tab w:val="left" w:pos="5580" w:leader="none"/>
        </w:tabs>
        <w:rPr>
          <w:color w:val="000000"/>
          <w:sz w:val="24"/>
          <w:highlight w:val="none"/>
        </w:rPr>
      </w:pPr>
      <w:r>
        <w:rPr>
          <w:color w:val="000000"/>
          <w:sz w:val="24"/>
          <w:highlight w:val="none"/>
        </w:rPr>
      </w:r>
      <w:r/>
    </w:p>
    <w:p>
      <w:pPr>
        <w:pStyle w:val="1067"/>
        <w:jc w:val="left"/>
        <w:widowControl/>
        <w:rPr>
          <w:color w:val="000000"/>
          <w:sz w:val="24"/>
          <w:highlight w:val="none"/>
        </w:rPr>
      </w:pPr>
      <w:r>
        <w:rPr>
          <w:color w:val="000000"/>
          <w:sz w:val="24"/>
          <w:highlight w:val="none"/>
        </w:rPr>
        <w:br w:type="page" w:clear="all"/>
      </w:r>
      <w:r>
        <w:rPr>
          <w:color w:val="000000"/>
          <w:sz w:val="24"/>
          <w:highlight w:val="none"/>
        </w:rPr>
      </w:r>
      <w:r/>
    </w:p>
    <w:p>
      <w:pPr>
        <w:pStyle w:val="1067"/>
        <w:jc w:val="center"/>
        <w:spacing w:before="240" w:after="240" w:line="360" w:lineRule="auto"/>
        <w:rPr>
          <w:rFonts w:hint="eastAsia"/>
          <w:b/>
          <w:bCs/>
          <w:color w:val="000000"/>
          <w:sz w:val="32"/>
          <w:szCs w:val="32"/>
          <w:highlight w:val="none"/>
        </w:rPr>
      </w:pPr>
      <w:r>
        <w:rPr>
          <w:rFonts w:hint="eastAsia"/>
          <w:b/>
          <w:bCs/>
          <w:color w:val="000000"/>
          <w:sz w:val="32"/>
          <w:szCs w:val="32"/>
          <w:highlight w:val="none"/>
        </w:rPr>
        <w:t xml:space="preserve">中小企业声明函（服务类）格式</w:t>
      </w:r>
      <w:r>
        <w:rPr>
          <w:rFonts w:hint="eastAsia"/>
          <w:b/>
          <w:bCs/>
          <w:color w:val="000000"/>
          <w:sz w:val="32"/>
          <w:szCs w:val="32"/>
          <w:highlight w:val="none"/>
        </w:rPr>
      </w:r>
      <w:r/>
    </w:p>
    <w:p>
      <w:pPr>
        <w:pStyle w:val="1067"/>
        <w:ind w:firstLine="52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cs="宋体"/>
          <w:color w:val="000000"/>
          <w:szCs w:val="21"/>
          <w:highlight w:val="none"/>
          <w:u w:val="single"/>
        </w:rPr>
        <w:t xml:space="preserve">（采购单位名称①）</w:t>
      </w:r>
      <w:r>
        <w:rPr>
          <w:rFonts w:hint="eastAsia" w:ascii="宋体" w:hAnsi="宋体" w:cs="宋体"/>
          <w:color w:val="000000"/>
          <w:szCs w:val="21"/>
          <w:highlight w:val="none"/>
        </w:rPr>
        <w:t xml:space="preserve">采购编号为</w:t>
      </w:r>
      <w:r>
        <w:rPr>
          <w:rFonts w:hint="eastAsia" w:ascii="宋体" w:hAnsi="宋体" w:cs="宋体"/>
          <w:color w:val="000000"/>
          <w:szCs w:val="21"/>
          <w:highlight w:val="none"/>
          <w:u w:val="single"/>
        </w:rPr>
        <w:t xml:space="preserve">②</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（项目名称③）（分包号：④）</w:t>
      </w:r>
      <w:r>
        <w:rPr>
          <w:rFonts w:hint="eastAsia" w:ascii="宋体" w:hAnsi="宋体" w:cs="宋体"/>
          <w:color w:val="000000"/>
          <w:szCs w:val="21"/>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color w:val="000000"/>
          <w:szCs w:val="21"/>
          <w:highlight w:val="none"/>
        </w:rPr>
      </w:r>
      <w:r/>
    </w:p>
    <w:p>
      <w:pPr>
        <w:pStyle w:val="1067"/>
        <w:ind w:firstLine="315"/>
        <w:spacing w:line="570" w:lineRule="exact"/>
        <w:rPr>
          <w:rFonts w:hint="eastAsia" w:ascii="宋体" w:hAnsi="宋体" w:cs="宋体"/>
          <w:i/>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（标的名称⑤）</w:t>
      </w:r>
      <w:r>
        <w:rPr>
          <w:rFonts w:hint="eastAsia" w:ascii="宋体" w:hAnsi="宋体" w:cs="宋体"/>
          <w:i/>
          <w:color w:val="000000"/>
          <w:szCs w:val="21"/>
          <w:highlight w:val="none"/>
        </w:rPr>
        <w:t xml:space="preserve">，</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招标文件</w:t>
      </w:r>
      <w:r>
        <w:rPr>
          <w:rFonts w:hint="eastAsia" w:ascii="宋体" w:hAnsi="宋体" w:cs="宋体"/>
          <w:color w:val="000000"/>
          <w:szCs w:val="21"/>
          <w:highlight w:val="none"/>
          <w:u w:val="single"/>
        </w:rPr>
        <w:t xml:space="preserve">中明确的所属行业⑥）</w:t>
      </w:r>
      <w:r>
        <w:rPr>
          <w:rFonts w:hint="eastAsia" w:ascii="宋体" w:hAnsi="宋体" w:cs="宋体"/>
          <w:color w:val="000000"/>
          <w:szCs w:val="21"/>
          <w:highlight w:val="none"/>
        </w:rPr>
        <w:t xml:space="preserve">行业；承接（承建）企业为</w:t>
      </w:r>
      <w:r>
        <w:rPr>
          <w:rFonts w:hint="eastAsia" w:ascii="宋体" w:hAnsi="宋体" w:cs="宋体"/>
          <w:color w:val="000000"/>
          <w:szCs w:val="21"/>
          <w:highlight w:val="none"/>
          <w:u w:val="single"/>
        </w:rPr>
        <w:t xml:space="preserve">（企业名称⑦）</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⑧</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⑨</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⑩</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（中型企业、小型企业、微型企业⑪）；</w:t>
      </w:r>
      <w:r>
        <w:rPr>
          <w:rFonts w:hint="eastAsia" w:ascii="宋体" w:hAnsi="宋体" w:cs="宋体"/>
          <w:i/>
          <w:color w:val="000000"/>
          <w:szCs w:val="21"/>
          <w:highlight w:val="none"/>
          <w:u w:val="single"/>
        </w:rPr>
      </w:r>
      <w:r/>
    </w:p>
    <w:p>
      <w:pPr>
        <w:pStyle w:val="1067"/>
        <w:ind w:firstLine="315"/>
        <w:spacing w:line="570" w:lineRule="exact"/>
        <w:rPr>
          <w:rFonts w:hint="eastAsia" w:ascii="宋体" w:hAnsi="宋体" w:cs="宋体"/>
          <w:i/>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（标的名称）</w:t>
      </w:r>
      <w:r>
        <w:rPr>
          <w:rFonts w:hint="eastAsia" w:ascii="宋体" w:hAnsi="宋体" w:cs="宋体"/>
          <w:i/>
          <w:color w:val="000000"/>
          <w:szCs w:val="21"/>
          <w:highlight w:val="none"/>
        </w:rPr>
        <w:t xml:space="preserve">，</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招标文件</w:t>
      </w:r>
      <w:r>
        <w:rPr>
          <w:rFonts w:hint="eastAsia" w:ascii="宋体" w:hAnsi="宋体" w:cs="宋体"/>
          <w:color w:val="000000"/>
          <w:szCs w:val="21"/>
          <w:highlight w:val="none"/>
          <w:u w:val="single"/>
        </w:rPr>
        <w:t xml:space="preserve">中明确的所属行业）</w:t>
      </w:r>
      <w:r>
        <w:rPr>
          <w:rFonts w:hint="eastAsia" w:ascii="宋体" w:hAnsi="宋体" w:cs="宋体"/>
          <w:color w:val="000000"/>
          <w:szCs w:val="21"/>
          <w:highlight w:val="none"/>
        </w:rPr>
        <w:t xml:space="preserve">行业；承接（承建）企业为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i/>
          <w:color w:val="000000"/>
          <w:szCs w:val="21"/>
          <w:highlight w:val="none"/>
          <w:u w:val="single"/>
        </w:rPr>
      </w:r>
      <w:r/>
    </w:p>
    <w:p>
      <w:pPr>
        <w:pStyle w:val="1067"/>
        <w:ind w:firstLine="31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31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1067"/>
        <w:ind w:firstLine="31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1067"/>
        <w:ind w:right="180" w:firstLine="315"/>
        <w:jc w:val="right"/>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企业名称（加盖CA电子公章）⑫：</w:t>
      </w:r>
      <w:r>
        <w:rPr>
          <w:rFonts w:hint="eastAsia" w:ascii="宋体" w:hAnsi="宋体" w:cs="宋体"/>
          <w:color w:val="000000"/>
          <w:szCs w:val="21"/>
          <w:highlight w:val="none"/>
        </w:rPr>
      </w:r>
      <w:r/>
    </w:p>
    <w:p>
      <w:pPr>
        <w:pStyle w:val="1067"/>
        <w:ind w:right="480" w:firstLine="577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rPr>
      </w:r>
      <w:r/>
    </w:p>
    <w:p>
      <w:pPr>
        <w:pStyle w:val="1067"/>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填写说明：</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1.（采购单位名称①）：填写本项目采购人单位名称，如常州市XXX局。</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2.采购编号为②：填写本项目编号，如JSZC-3204XX-JZCG-G20XX-XX。</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3.（项目名称③）：填写本项目名称，如常州市XXX项目。</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4.（分包号：④）：填写分包编号，如有分包的，分别填写分包号，没有的填“无”。</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5.（标的名称⑤）：填写本项目标的名称，如有产品清单的请根据</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“第四章采购需求”-“2. 服务内容及要求/货物技术要求”-“2.2产品清单”中列出的名称进行填写，如：物业服务、保安服务、审计服务等；如没有产品清单的可以填项目名称。</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中明确的所属行业⑥）：填写本项目采购标的所属行业。须根据</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“第四章采购需求”表格中列明的所属行业进行填写。如：软件和信息技术服务业、租赁和商务服务业等。</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7.（企业名称⑦）：填写</w:t>
      </w:r>
      <w:r>
        <w:rPr>
          <w:rFonts w:hint="eastAsia" w:ascii="宋体" w:hAnsi="宋体" w:cs="宋体"/>
          <w:b/>
          <w:bCs/>
          <w:color w:val="000000"/>
          <w:szCs w:val="21"/>
          <w:highlight w:val="none"/>
        </w:rPr>
        <w:t xml:space="preserve">投标人或供应商的名称</w:t>
      </w:r>
      <w:r>
        <w:rPr>
          <w:rFonts w:hint="eastAsia" w:ascii="宋体" w:hAnsi="宋体" w:cs="宋体"/>
          <w:color w:val="000000"/>
          <w:szCs w:val="21"/>
          <w:highlight w:val="none"/>
        </w:rPr>
        <w:t xml:space="preserve">，如XXX公司。</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8.从业人员⑧人，营业收入为⑨万元，资产总额为⑩万元：填报</w:t>
      </w:r>
      <w:r>
        <w:rPr>
          <w:rFonts w:hint="eastAsia" w:ascii="宋体" w:hAnsi="宋体" w:cs="宋体"/>
          <w:b/>
          <w:bCs/>
          <w:color w:val="000000"/>
          <w:szCs w:val="21"/>
          <w:highlight w:val="none"/>
        </w:rPr>
        <w:t xml:space="preserve">投标人或供应商</w:t>
      </w:r>
      <w:r>
        <w:rPr>
          <w:rFonts w:hint="eastAsia" w:ascii="宋体" w:hAnsi="宋体" w:cs="宋体"/>
          <w:color w:val="000000"/>
          <w:szCs w:val="21"/>
          <w:highlight w:val="none"/>
        </w:rPr>
        <w:t xml:space="preserve">的从业人员、营业收入、资产总额上一年度数据，无上一年度数据的新成立企业可不填报。</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9.（中型企业、小型企业、微型企业</w:t>
      </w:r>
      <w:r>
        <w:rPr>
          <w:rFonts w:hint="eastAsia" w:ascii="宋体" w:hAnsi="宋体" w:cs="宋体"/>
          <w:color w:val="000000"/>
          <w:szCs w:val="21"/>
          <w:highlight w:val="none"/>
          <w:u w:val="single"/>
        </w:rPr>
        <w:t xml:space="preserve">⑪</w:t>
      </w:r>
      <w:r>
        <w:rPr>
          <w:rFonts w:hint="eastAsia" w:ascii="宋体" w:hAnsi="宋体" w:cs="宋体"/>
          <w:color w:val="000000"/>
          <w:szCs w:val="21"/>
          <w:highlight w:val="none"/>
        </w:rPr>
        <w:t xml:space="preserve">）：根据</w:t>
      </w:r>
      <w:r>
        <w:rPr>
          <w:rFonts w:hint="eastAsia" w:ascii="宋体" w:hAnsi="宋体" w:cs="宋体"/>
          <w:b/>
          <w:bCs/>
          <w:color w:val="000000"/>
          <w:szCs w:val="21"/>
          <w:highlight w:val="none"/>
        </w:rPr>
        <w:t xml:space="preserve">投标人或供应商</w:t>
      </w:r>
      <w:r>
        <w:rPr>
          <w:rFonts w:hint="eastAsia" w:ascii="宋体" w:hAnsi="宋体" w:cs="宋体"/>
          <w:color w:val="000000"/>
          <w:szCs w:val="21"/>
          <w:highlight w:val="none"/>
        </w:rPr>
        <w:t xml:space="preserve">的企业规模情况填写中型企业、小型企业或微型企业</w:t>
      </w:r>
      <w:r>
        <w:rPr>
          <w:rFonts w:hint="eastAsia" w:ascii="宋体" w:hAnsi="宋体" w:cs="宋体"/>
          <w:b/>
          <w:bCs/>
          <w:color w:val="000000"/>
          <w:szCs w:val="21"/>
          <w:highlight w:val="none"/>
        </w:rPr>
        <w:t xml:space="preserve">（只能填写三种其中的一种）</w:t>
      </w:r>
      <w:r>
        <w:rPr>
          <w:rFonts w:hint="eastAsia" w:ascii="宋体" w:hAnsi="宋体" w:cs="宋体"/>
          <w:color w:val="000000"/>
          <w:szCs w:val="21"/>
          <w:highlight w:val="none"/>
        </w:rPr>
        <w:t xml:space="preserve">。中小企业划分见《关于印发中小企业划型标准规定的通知》（工信部联企业〔2011〕300号) 。</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10.企业名称（盖章）⑫：加盖</w:t>
      </w:r>
      <w:r>
        <w:rPr>
          <w:rFonts w:hint="eastAsia" w:ascii="宋体" w:hAnsi="宋体" w:cs="宋体"/>
          <w:b/>
          <w:bCs/>
          <w:color w:val="000000"/>
          <w:szCs w:val="21"/>
          <w:highlight w:val="none"/>
        </w:rPr>
        <w:t xml:space="preserve">投标人或供应商</w:t>
      </w:r>
      <w:r>
        <w:rPr>
          <w:rFonts w:hint="eastAsia" w:ascii="宋体" w:hAnsi="宋体" w:cs="宋体"/>
          <w:color w:val="000000"/>
          <w:szCs w:val="21"/>
          <w:highlight w:val="none"/>
        </w:rPr>
        <w:t xml:space="preserve">CA电子公章。</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11.如是</w:t>
      </w:r>
      <w:r>
        <w:rPr>
          <w:rFonts w:hint="eastAsia" w:ascii="宋体" w:hAnsi="宋体" w:cs="宋体"/>
          <w:b/>
          <w:color w:val="000000"/>
          <w:szCs w:val="21"/>
          <w:highlight w:val="none"/>
        </w:rPr>
        <w:t xml:space="preserve">专门面向中小企业预留份额</w:t>
      </w:r>
      <w:r>
        <w:rPr>
          <w:rFonts w:hint="eastAsia" w:ascii="宋体" w:hAnsi="宋体" w:cs="宋体"/>
          <w:color w:val="000000"/>
          <w:szCs w:val="21"/>
          <w:highlight w:val="none"/>
        </w:rPr>
        <w:t xml:space="preserve">的采购项目，供应商未提供此声明函的，资格审查不予通过，作为</w:t>
      </w:r>
      <w:r>
        <w:rPr>
          <w:rFonts w:hint="eastAsia" w:ascii="宋体" w:hAnsi="宋体" w:cs="宋体"/>
          <w:b/>
          <w:color w:val="000000"/>
          <w:szCs w:val="21"/>
          <w:highlight w:val="none"/>
        </w:rPr>
        <w:t xml:space="preserve">无效投标（响应）</w:t>
      </w:r>
      <w:r>
        <w:rPr>
          <w:rFonts w:hint="eastAsia" w:ascii="宋体" w:hAnsi="宋体" w:cs="宋体"/>
          <w:color w:val="000000"/>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color w:val="000000"/>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12.温馨提示</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（1）对于已纳入统计部门统计范围的企业，所属行业、从业人员、营业收入、资产总额、规模类型应与统计部门报表保持一致。</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（4）对于</w:t>
      </w:r>
      <w:r>
        <w:rPr>
          <w:rFonts w:hint="eastAsia" w:ascii="宋体" w:hAnsi="宋体" w:cs="宋体"/>
          <w:color w:val="000000"/>
          <w:sz w:val="21"/>
          <w:szCs w:val="21"/>
          <w:highlight w:val="none"/>
          <w:lang w:eastAsia="zh-CN"/>
        </w:rPr>
        <w:t xml:space="preserve">招标文件</w:t>
      </w:r>
      <w:r>
        <w:rPr>
          <w:rFonts w:ascii="宋体" w:hAnsi="宋体" w:cs="宋体"/>
          <w:color w:val="000000"/>
          <w:sz w:val="21"/>
          <w:szCs w:val="21"/>
          <w:highlight w:val="none"/>
        </w:rPr>
        <w:t xml:space="preserve">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color w:val="000000"/>
          <w:sz w:val="21"/>
          <w:szCs w:val="21"/>
          <w:highlight w:val="none"/>
        </w:rPr>
      </w:r>
      <w:r/>
    </w:p>
    <w:p>
      <w:pPr>
        <w:pStyle w:val="1333"/>
        <w:ind w:firstLine="480"/>
        <w:spacing w:line="570" w:lineRule="exact"/>
        <w:rPr>
          <w:rFonts w:ascii="仿宋_GB2312" w:hAnsi="宋体" w:eastAsia="仿宋_GB2312" w:cs="黑体"/>
          <w:color w:val="000000"/>
          <w:sz w:val="32"/>
          <w:szCs w:val="32"/>
          <w:highlight w:val="none"/>
        </w:rPr>
      </w:pPr>
      <w:r>
        <w:rPr>
          <w:rFonts w:ascii="宋体" w:hAnsi="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1067"/>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067"/>
        <w:jc w:val="center"/>
        <w:spacing w:before="240" w:after="240" w:line="360" w:lineRule="auto"/>
        <w:rPr>
          <w:b/>
          <w:color w:val="000000"/>
          <w:sz w:val="36"/>
          <w:szCs w:val="36"/>
          <w:highlight w:val="none"/>
        </w:rPr>
      </w:pPr>
      <w:r>
        <w:rPr>
          <w:rFonts w:hint="eastAsia"/>
          <w:b/>
          <w:bCs/>
          <w:color w:val="000000"/>
          <w:sz w:val="32"/>
          <w:szCs w:val="32"/>
          <w:highlight w:val="none"/>
        </w:rPr>
        <w:t xml:space="preserve">残疾人福利性单位声明函格式     </w:t>
      </w:r>
      <w:r>
        <w:rPr>
          <w:b/>
          <w:color w:val="000000"/>
          <w:sz w:val="36"/>
          <w:szCs w:val="36"/>
          <w:highlight w:val="none"/>
        </w:rPr>
        <w:t xml:space="preserve">  </w:t>
      </w:r>
      <w:r>
        <w:rPr>
          <w:b/>
          <w:color w:val="000000"/>
          <w:sz w:val="36"/>
          <w:szCs w:val="36"/>
          <w:highlight w:val="none"/>
        </w:rPr>
      </w:r>
      <w:r/>
    </w:p>
    <w:p>
      <w:pPr>
        <w:pStyle w:val="1067"/>
        <w:ind w:firstLine="50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w:t>
      </w:r>
      <w:r>
        <w:rPr>
          <w:rFonts w:hint="eastAsia" w:ascii="宋体" w:hAnsi="宋体" w:cs="宋体"/>
          <w:b/>
          <w:color w:val="000000"/>
          <w:szCs w:val="21"/>
          <w:highlight w:val="none"/>
        </w:rPr>
        <w:t xml:space="preserve">（请进行勾选）</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067"/>
        <w:ind w:firstLine="482"/>
        <w:spacing w:line="588" w:lineRule="exact"/>
        <w:rPr>
          <w:rFonts w:hint="eastAsia" w:ascii="宋体" w:hAnsi="宋体" w:cs="宋体"/>
          <w:b/>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不属于符合条件的残疾人福利性单位。</w:t>
      </w:r>
      <w:r>
        <w:rPr>
          <w:rFonts w:hint="eastAsia" w:ascii="宋体" w:hAnsi="宋体" w:cs="宋体"/>
          <w:b/>
          <w:color w:val="000000"/>
          <w:spacing w:val="6"/>
          <w:szCs w:val="21"/>
          <w:highlight w:val="none"/>
        </w:rPr>
      </w:r>
      <w:r/>
    </w:p>
    <w:p>
      <w:pPr>
        <w:pStyle w:val="1067"/>
        <w:ind w:firstLine="482"/>
        <w:spacing w:line="588" w:lineRule="exact"/>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属于符合条件的残疾人福利性单位，</w:t>
      </w:r>
      <w:r>
        <w:rPr>
          <w:rFonts w:hint="eastAsia" w:ascii="宋体" w:hAnsi="宋体" w:cs="宋体"/>
          <w:color w:val="000000"/>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067"/>
        <w:ind w:firstLine="446"/>
        <w:spacing w:line="588" w:lineRule="exact"/>
        <w:rPr>
          <w:rFonts w:hint="eastAsia" w:ascii="宋体" w:hAnsi="宋体" w:cs="宋体"/>
          <w:color w:val="000000"/>
          <w:spacing w:val="6"/>
          <w:szCs w:val="21"/>
          <w:highlight w:val="none"/>
        </w:rPr>
      </w:pPr>
      <w:r>
        <w:rPr>
          <w:rFonts w:hint="eastAsia" w:ascii="宋体" w:hAnsi="宋体" w:cs="宋体"/>
          <w:b/>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067"/>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67"/>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67"/>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单位名称（加盖公章）：</w:t>
      </w:r>
      <w:r>
        <w:rPr>
          <w:rFonts w:hint="eastAsia" w:ascii="宋体" w:hAnsi="宋体" w:cs="宋体"/>
          <w:color w:val="000000"/>
          <w:spacing w:val="6"/>
          <w:szCs w:val="21"/>
          <w:highlight w:val="none"/>
        </w:rPr>
      </w:r>
      <w:r/>
    </w:p>
    <w:p>
      <w:pPr>
        <w:pStyle w:val="1067"/>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1067"/>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67"/>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67"/>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6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1067"/>
        <w:jc w:val="left"/>
        <w:widowControl/>
        <w:rPr>
          <w:color w:val="000000"/>
          <w:sz w:val="24"/>
          <w:highlight w:val="none"/>
        </w:rPr>
      </w:pPr>
      <w:r>
        <w:rPr>
          <w:color w:val="000000"/>
          <w:sz w:val="24"/>
          <w:highlight w:val="none"/>
        </w:rPr>
      </w:r>
      <w:r/>
    </w:p>
    <w:p>
      <w:pPr>
        <w:pStyle w:val="1067"/>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spacing w:line="360" w:lineRule="auto"/>
        <w:rPr>
          <w:rFonts w:hint="eastAsia"/>
          <w:color w:val="000000"/>
          <w:sz w:val="24"/>
          <w:szCs w:val="20"/>
          <w:highlight w:val="none"/>
        </w:rPr>
      </w:pPr>
      <w:r>
        <w:rPr>
          <w:rFonts w:hint="eastAsia"/>
          <w:color w:val="000000"/>
          <w:sz w:val="24"/>
          <w:szCs w:val="20"/>
          <w:highlight w:val="none"/>
        </w:rPr>
      </w:r>
      <w:r/>
    </w:p>
    <w:p>
      <w:pPr>
        <w:pStyle w:val="1067"/>
        <w:ind w:firstLine="480"/>
        <w:jc w:val="center"/>
        <w:spacing w:line="360" w:lineRule="auto"/>
        <w:tabs>
          <w:tab w:val="left" w:pos="5580" w:leader="none"/>
        </w:tabs>
        <w:rPr>
          <w:rFonts w:hint="eastAsia" w:ascii="宋体" w:hAnsi="宋体"/>
          <w:b/>
          <w:color w:val="000000"/>
          <w:sz w:val="32"/>
          <w:szCs w:val="32"/>
          <w:highlight w:val="none"/>
        </w:rPr>
      </w:pPr>
      <w:r>
        <w:rPr>
          <w:color w:val="000000"/>
          <w:sz w:val="24"/>
          <w:szCs w:val="20"/>
          <w:highlight w:val="none"/>
        </w:rPr>
        <w:br w:type="page" w:clear="all"/>
      </w:r>
      <w:r>
        <w:rPr>
          <w:rFonts w:ascii="宋体" w:hAnsi="宋体"/>
          <w:b/>
          <w:color w:val="000000"/>
          <w:sz w:val="32"/>
          <w:szCs w:val="32"/>
          <w:highlight w:val="none"/>
        </w:rPr>
        <w:t xml:space="preserve">二、商务技术文件格式</w:t>
      </w:r>
      <w:bookmarkStart w:id="697" w:name="_Toc150774761"/>
      <w:r/>
      <w:bookmarkStart w:id="698" w:name="_Toc226309800"/>
      <w:r/>
      <w:bookmarkStart w:id="699" w:name="_Toc127151556"/>
      <w:r/>
      <w:bookmarkStart w:id="700" w:name="_Ref467988698"/>
      <w:r/>
      <w:bookmarkStart w:id="701" w:name="_Toc226965746"/>
      <w:r/>
      <w:bookmarkStart w:id="702" w:name="_Toc226965829"/>
      <w:r/>
      <w:bookmarkStart w:id="703" w:name="_Toc226337252"/>
      <w:r/>
      <w:bookmarkStart w:id="704" w:name="_Toc480942349"/>
      <w:r/>
      <w:bookmarkStart w:id="705" w:name="_Toc142311058"/>
      <w:r/>
      <w:bookmarkStart w:id="706" w:name="_Toc195842921"/>
      <w:r/>
      <w:bookmarkStart w:id="707" w:name="_Toc520356217"/>
      <w:r/>
      <w:bookmarkStart w:id="708" w:name="_Toc150480794"/>
      <w:r>
        <w:rPr>
          <w:rFonts w:hint="eastAsia" w:ascii="宋体" w:hAnsi="宋体"/>
          <w:b/>
          <w:color w:val="000000"/>
          <w:sz w:val="32"/>
          <w:szCs w:val="32"/>
          <w:highlight w:val="none"/>
        </w:rPr>
      </w:r>
      <w:r/>
    </w:p>
    <w:p>
      <w:pPr>
        <w:pStyle w:val="1067"/>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1.投标</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hint="eastAsia" w:ascii="宋体" w:hAnsi="宋体" w:cs="宋体"/>
          <w:color w:val="000000"/>
          <w:szCs w:val="21"/>
          <w:highlight w:val="none"/>
        </w:rPr>
        <w:t xml:space="preserve">函（实质性格式）</w:t>
      </w:r>
      <w:r>
        <w:rPr>
          <w:rFonts w:hint="eastAsia" w:ascii="宋体" w:hAnsi="宋体" w:cs="宋体"/>
          <w:color w:val="000000"/>
          <w:szCs w:val="21"/>
          <w:highlight w:val="none"/>
        </w:rPr>
      </w:r>
      <w:r/>
    </w:p>
    <w:p>
      <w:pPr>
        <w:pStyle w:val="1067"/>
        <w:spacing w:line="360" w:lineRule="auto"/>
        <w:tabs>
          <w:tab w:val="left" w:pos="5580" w:leader="none"/>
        </w:tabs>
        <w:rPr>
          <w:color w:val="000000"/>
          <w:sz w:val="24"/>
          <w:highlight w:val="none"/>
        </w:rPr>
      </w:pPr>
      <w:r>
        <w:rPr>
          <w:color w:val="000000"/>
          <w:sz w:val="24"/>
          <w:highlight w:val="none"/>
        </w:rPr>
      </w:r>
      <w:r/>
    </w:p>
    <w:p>
      <w:pPr>
        <w:pStyle w:val="1067"/>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投标函</w:t>
      </w:r>
      <w:r>
        <w:rPr>
          <w:rFonts w:ascii="宋体" w:hAnsi="宋体"/>
          <w:b/>
          <w:color w:val="000000"/>
          <w:sz w:val="32"/>
          <w:szCs w:val="32"/>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67"/>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67"/>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（1）本投标有效期为自提交投标文件的截止之日起60个日历日。</w:t>
      </w:r>
      <w:r>
        <w:rPr>
          <w:rFonts w:hint="eastAsia" w:ascii="宋体" w:hAnsi="宋体" w:cs="宋体"/>
          <w:color w:val="000000"/>
          <w:szCs w:val="21"/>
          <w:highlight w:val="none"/>
        </w:rPr>
      </w:r>
      <w:r/>
    </w:p>
    <w:p>
      <w:pPr>
        <w:pStyle w:val="1067"/>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67"/>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67"/>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67"/>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67"/>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6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67"/>
        <w:jc w:val="left"/>
        <w:widowControl/>
        <w:rPr>
          <w:rFonts w:hint="eastAsia"/>
          <w:color w:val="000000"/>
          <w:sz w:val="24"/>
          <w:highlight w:val="none"/>
        </w:rPr>
      </w:pPr>
      <w:r/>
      <w:bookmarkStart w:id="709" w:name="_Hlt520356243"/>
      <w:r/>
      <w:bookmarkEnd w:id="709"/>
      <w:r/>
      <w:bookmarkStart w:id="710" w:name="_Hlt520355938"/>
      <w:r/>
      <w:bookmarkEnd w:id="710"/>
      <w:r>
        <w:rPr>
          <w:color w:val="000000"/>
          <w:sz w:val="24"/>
          <w:highlight w:val="none"/>
        </w:rPr>
        <w:br w:type="page" w:clear="all"/>
      </w:r>
      <w:r>
        <w:rPr>
          <w:rFonts w:hint="eastAsia"/>
          <w:color w:val="000000"/>
          <w:sz w:val="24"/>
          <w:highlight w:val="none"/>
        </w:rPr>
      </w:r>
      <w:r/>
    </w:p>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2.法定代表人资格证明书（实质性格式）</w:t>
      </w:r>
      <w:r>
        <w:rPr>
          <w:rFonts w:hint="eastAsia" w:ascii="宋体" w:hAnsi="宋体" w:cs="宋体"/>
          <w:color w:val="000000"/>
          <w:szCs w:val="21"/>
          <w:highlight w:val="none"/>
        </w:rPr>
      </w:r>
      <w:r/>
    </w:p>
    <w:p>
      <w:pPr>
        <w:pStyle w:val="106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单位名称:</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姓名:     性别:       年龄:      职务:</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（投标单位名称）</w:t>
      </w:r>
      <w:r>
        <w:rPr>
          <w:rFonts w:hint="eastAsia" w:ascii="宋体" w:hAnsi="宋体"/>
          <w:color w:val="000000"/>
          <w:szCs w:val="21"/>
          <w:highlight w:val="none"/>
        </w:rPr>
        <w:t xml:space="preserve">的法定代表人。为参与</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color w:val="000000"/>
          <w:szCs w:val="21"/>
          <w:highlight w:val="none"/>
        </w:rPr>
        <w:t xml:space="preserve">上述项目的投标文件、进行合同谈判、签署合同和处理与之有关的一切事务。</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特此证明。</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ascii="宋体" w:hAnsi="宋体"/>
          <w:color w:val="000000"/>
          <w:szCs w:val="21"/>
          <w:highlight w:val="none"/>
        </w:rPr>
      </w:r>
      <w:r/>
    </w:p>
    <w:p>
      <w:pPr>
        <w:pStyle w:val="1099"/>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                     投标人：（加盖公章）</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ascii="宋体" w:hAnsi="宋体"/>
          <w:color w:val="000000"/>
          <w:szCs w:val="21"/>
          <w:highlight w:val="none"/>
        </w:rPr>
      </w:r>
      <w:r/>
    </w:p>
    <w:p>
      <w:pPr>
        <w:pStyle w:val="1067"/>
        <w:ind w:firstLine="3780"/>
        <w:spacing w:line="56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t xml:space="preserve">1.若供应商为事业单位或其他组织或分支机构（仅当</w:t>
      </w:r>
      <w:r>
        <w:rPr>
          <w:rFonts w:hint="eastAsia" w:ascii="宋体" w:hAnsi="宋体"/>
          <w:color w:val="000000"/>
          <w:szCs w:val="21"/>
          <w:highlight w:val="none"/>
        </w:rPr>
        <w:t xml:space="preserve">招标</w:t>
      </w:r>
      <w:r>
        <w:rPr>
          <w:rFonts w:ascii="宋体" w:hAnsi="宋体"/>
          <w:color w:val="000000"/>
          <w:szCs w:val="21"/>
          <w:highlight w:val="none"/>
        </w:rPr>
        <w:t xml:space="preserve">文件注明允许分支机构</w:t>
      </w:r>
      <w:r>
        <w:rPr>
          <w:rFonts w:hint="eastAsia" w:ascii="宋体" w:hAnsi="宋体"/>
          <w:color w:val="000000"/>
          <w:szCs w:val="21"/>
          <w:highlight w:val="none"/>
        </w:rPr>
        <w:t xml:space="preserve">投标</w:t>
      </w:r>
      <w:r>
        <w:rPr>
          <w:rFonts w:ascii="宋体" w:hAnsi="宋体"/>
          <w:color w:val="000000"/>
          <w:szCs w:val="21"/>
          <w:highlight w:val="none"/>
        </w:rPr>
        <w:t xml:space="preserve">的），则法定代表人（单位负责人）</w:t>
      </w:r>
      <w:r>
        <w:rPr>
          <w:rFonts w:hint="eastAsia" w:ascii="宋体" w:hAnsi="宋体"/>
          <w:color w:val="000000"/>
          <w:szCs w:val="21"/>
          <w:highlight w:val="none"/>
        </w:rPr>
        <w:t xml:space="preserve">处</w:t>
      </w:r>
      <w:r>
        <w:rPr>
          <w:rFonts w:ascii="宋体" w:hAnsi="宋体"/>
          <w:color w:val="000000"/>
          <w:szCs w:val="21"/>
          <w:highlight w:val="none"/>
        </w:rPr>
        <w:t xml:space="preserve">的签署人可为单位负责人</w:t>
      </w:r>
      <w:r>
        <w:rPr>
          <w:rFonts w:hint="eastAsia" w:ascii="宋体" w:hAnsi="宋体"/>
          <w:color w:val="000000"/>
          <w:szCs w:val="21"/>
          <w:highlight w:val="none"/>
        </w:rPr>
        <w:t xml:space="preserve">。</w:t>
      </w:r>
      <w:r>
        <w:rPr>
          <w:rFonts w:ascii="宋体" w:hAnsi="宋体"/>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105"/>
        <w:ind w:left="1260"/>
        <w:rPr>
          <w:rFonts w:hint="eastAsia"/>
          <w:color w:val="000000"/>
          <w:szCs w:val="21"/>
          <w:highlight w:val="none"/>
        </w:rPr>
      </w:pPr>
      <w:r>
        <w:rPr>
          <w:rFonts w:hint="eastAsia"/>
          <w:color w:val="000000"/>
          <w:szCs w:val="21"/>
          <w:highlight w:val="none"/>
        </w:rPr>
      </w:r>
      <w:r/>
    </w:p>
    <w:p>
      <w:pPr>
        <w:pStyle w:val="1067"/>
        <w:rPr>
          <w:rFonts w:hint="eastAsia"/>
          <w:color w:val="000000"/>
          <w:szCs w:val="21"/>
          <w:highlight w:val="none"/>
        </w:rPr>
      </w:pPr>
      <w:r>
        <w:rPr>
          <w:rFonts w:hint="eastAsia"/>
          <w:color w:val="000000"/>
          <w:szCs w:val="21"/>
          <w:highlight w:val="none"/>
        </w:rPr>
      </w:r>
      <w:r/>
    </w:p>
    <w:p>
      <w:pPr>
        <w:pStyle w:val="1105"/>
        <w:ind w:left="1260"/>
        <w:rPr>
          <w:rFonts w:hint="eastAsia"/>
          <w:color w:val="000000"/>
          <w:szCs w:val="21"/>
          <w:highlight w:val="none"/>
        </w:rPr>
      </w:pPr>
      <w:r>
        <w:rPr>
          <w:rFonts w:hint="eastAsia"/>
          <w:color w:val="000000"/>
          <w:szCs w:val="21"/>
          <w:highlight w:val="none"/>
        </w:rPr>
      </w:r>
      <w:r/>
    </w:p>
    <w:p>
      <w:pPr>
        <w:pStyle w:val="1067"/>
        <w:rPr>
          <w:rFonts w:hint="eastAsia"/>
          <w:color w:val="000000"/>
          <w:highlight w:val="none"/>
        </w:rPr>
      </w:pPr>
      <w:r>
        <w:rPr>
          <w:rFonts w:hint="eastAsia"/>
          <w:color w:val="000000"/>
          <w:highlight w:val="none"/>
        </w:rPr>
      </w:r>
      <w:r/>
    </w:p>
    <w:p>
      <w:pPr>
        <w:pStyle w:val="1067"/>
        <w:jc w:val="left"/>
        <w:widowControl/>
        <w:rPr>
          <w:rFonts w:hint="eastAsia"/>
          <w:color w:val="000000"/>
          <w:sz w:val="24"/>
          <w:highlight w:val="none"/>
        </w:rPr>
      </w:pPr>
      <w:r>
        <w:rPr>
          <w:rFonts w:hint="eastAsia"/>
          <w:color w:val="000000"/>
          <w:sz w:val="24"/>
          <w:highlight w:val="none"/>
        </w:rPr>
      </w:r>
      <w:r/>
    </w:p>
    <w:p>
      <w:pPr>
        <w:pStyle w:val="1067"/>
        <w:jc w:val="left"/>
        <w:widowControl/>
        <w:rPr>
          <w:rFonts w:hint="eastAsia" w:ascii="黑体" w:hAnsi="黑体" w:eastAsia="黑体"/>
          <w:b/>
          <w:color w:val="000000"/>
          <w:sz w:val="32"/>
          <w:szCs w:val="32"/>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3.政府采购供应商信用承诺书（实质性格式）</w:t>
      </w:r>
      <w:r>
        <w:rPr>
          <w:rFonts w:hint="eastAsia" w:ascii="黑体" w:hAnsi="黑体" w:eastAsia="黑体"/>
          <w:b/>
          <w:color w:val="000000"/>
          <w:sz w:val="32"/>
          <w:szCs w:val="32"/>
          <w:highlight w:val="none"/>
        </w:rPr>
      </w:r>
      <w:r/>
    </w:p>
    <w:p>
      <w:pPr>
        <w:pStyle w:val="106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7"/>
        <w:jc w:val="center"/>
        <w:spacing w:line="360" w:lineRule="auto"/>
        <w:rPr>
          <w:color w:val="000000"/>
          <w:highlight w:val="none"/>
        </w:rPr>
      </w:pPr>
      <w:r>
        <w:rPr>
          <w:rFonts w:hint="eastAsia" w:ascii="宋体" w:hAnsi="宋体"/>
          <w:b/>
          <w:color w:val="000000"/>
          <w:sz w:val="32"/>
          <w:szCs w:val="32"/>
          <w:highlight w:val="none"/>
        </w:rPr>
        <w:t xml:space="preserve">政府采购供应商信用承诺书</w:t>
      </w:r>
      <w:r>
        <w:rPr>
          <w:color w:val="000000"/>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s="宋体"/>
          <w:color w:val="000000"/>
          <w:szCs w:val="21"/>
          <w:highlight w:val="none"/>
          <w:lang w:eastAsia="zh-CN"/>
        </w:rPr>
        <w:t xml:space="preserve">成分</w:t>
      </w:r>
      <w:r>
        <w:rPr>
          <w:rFonts w:hint="eastAsia" w:ascii="宋体" w:hAnsi="宋体" w:cs="宋体"/>
          <w:color w:val="000000"/>
          <w:szCs w:val="21"/>
          <w:highlight w:val="none"/>
        </w:rPr>
        <w:t xml:space="preserve">，并对所提供资料的真实性负责。</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五、承诺本单位自觉接受行政管理部门、行业组织、社会公众、新闻舆论的监督。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七、承诺本单位在信用中国（江苏）网站中无违法违规、较重或严重失信记录。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八、承诺本单位提出政府采购质疑和投诉坚持依法依规、诚实信用原则。</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九、根据政府采购相关法律法规的规定需要作出的其他承诺。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highlight w:val="none"/>
        </w:rPr>
      </w:r>
      <w:r/>
    </w:p>
    <w:p>
      <w:pPr>
        <w:pStyle w:val="1323"/>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6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67"/>
        <w:jc w:val="left"/>
        <w:widowControl/>
        <w:rPr>
          <w:color w:val="000000"/>
          <w:sz w:val="24"/>
          <w:szCs w:val="20"/>
          <w:highlight w:val="none"/>
        </w:rPr>
      </w:pPr>
      <w:r/>
      <w:bookmarkStart w:id="711" w:name="_Hlt520271212"/>
      <w:r/>
      <w:bookmarkEnd w:id="711"/>
      <w:r/>
      <w:bookmarkStart w:id="712" w:name="_Hlt520343000"/>
      <w:r/>
      <w:bookmarkEnd w:id="712"/>
      <w:r/>
      <w:bookmarkStart w:id="713" w:name="_Hlt520274065"/>
      <w:r/>
      <w:bookmarkEnd w:id="713"/>
      <w:r/>
      <w:bookmarkStart w:id="714" w:name="_Hlt520355504"/>
      <w:r/>
      <w:bookmarkEnd w:id="714"/>
      <w:r/>
      <w:bookmarkStart w:id="715" w:name="_Hlt520274407"/>
      <w:r/>
      <w:bookmarkEnd w:id="715"/>
      <w:r/>
      <w:bookmarkStart w:id="716" w:name="_Hlt520274121"/>
      <w:r/>
      <w:bookmarkEnd w:id="716"/>
      <w:r/>
      <w:bookmarkStart w:id="717" w:name="_Hlt520343392"/>
      <w:r/>
      <w:bookmarkEnd w:id="717"/>
      <w:r/>
      <w:bookmarkStart w:id="718" w:name="_Hlt520350918"/>
      <w:r/>
      <w:bookmarkEnd w:id="718"/>
      <w:r/>
      <w:bookmarkStart w:id="719" w:name="_Hlt520274393"/>
      <w:r/>
      <w:bookmarkEnd w:id="719"/>
      <w:r/>
      <w:bookmarkStart w:id="720" w:name="_Hlt520273711"/>
      <w:r/>
      <w:bookmarkEnd w:id="720"/>
      <w:r/>
      <w:bookmarkStart w:id="721" w:name="_Toc305158825"/>
      <w:r/>
      <w:bookmarkStart w:id="722" w:name="_Toc150480795"/>
      <w:r/>
      <w:bookmarkStart w:id="723" w:name="_Toc142311059"/>
      <w:r/>
      <w:bookmarkStart w:id="724" w:name="_Toc226337253"/>
      <w:r/>
      <w:bookmarkStart w:id="725" w:name="_Toc265228395"/>
      <w:r/>
      <w:bookmarkStart w:id="726" w:name="_Toc226965747"/>
      <w:r/>
      <w:bookmarkStart w:id="727" w:name="_Toc127151557"/>
      <w:r/>
      <w:bookmarkStart w:id="728" w:name="_Toc195842922"/>
      <w:r/>
      <w:bookmarkStart w:id="729" w:name="_Toc480942350"/>
      <w:r/>
      <w:bookmarkStart w:id="730" w:name="_Toc520356218"/>
      <w:r/>
      <w:bookmarkStart w:id="731" w:name="_Toc226965830"/>
      <w:r/>
      <w:bookmarkStart w:id="732" w:name="_Toc264969247"/>
      <w:r/>
      <w:bookmarkStart w:id="733" w:name="_Ref467988705"/>
      <w:r/>
      <w:bookmarkStart w:id="734" w:name="_Toc226309801"/>
      <w:r/>
      <w:bookmarkStart w:id="735" w:name="_Toc150774762"/>
      <w:r/>
      <w:bookmarkStart w:id="736" w:name="_Toc305158899"/>
      <w:r>
        <w:rPr>
          <w:color w:val="000000"/>
          <w:sz w:val="24"/>
          <w:szCs w:val="20"/>
          <w:highlight w:val="none"/>
        </w:rPr>
        <w:br w:type="page" w:clear="all"/>
      </w:r>
      <w:r>
        <w:rPr>
          <w:color w:val="000000"/>
          <w:sz w:val="24"/>
          <w:szCs w:val="20"/>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4.开标一览表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p>
      <w:pPr>
        <w:pStyle w:val="1067"/>
        <w:jc w:val="center"/>
        <w:spacing w:line="360" w:lineRule="exact"/>
        <w:rPr>
          <w:b/>
          <w:color w:val="000000"/>
          <w:sz w:val="32"/>
          <w:szCs w:val="32"/>
          <w:highlight w:val="none"/>
        </w:rPr>
      </w:pPr>
      <w:r/>
      <w:bookmarkStart w:id="737" w:name="_Toc264969248"/>
      <w:r/>
      <w:bookmarkStart w:id="738" w:name="_Toc226337254"/>
      <w:r/>
      <w:bookmarkStart w:id="739" w:name="_Toc305158900"/>
      <w:r/>
      <w:bookmarkStart w:id="740" w:name="_Toc226965748"/>
      <w:r/>
      <w:bookmarkStart w:id="741" w:name="_Toc164608672"/>
      <w:r/>
      <w:bookmarkStart w:id="742" w:name="_Toc305158826"/>
      <w:r/>
      <w:bookmarkStart w:id="743" w:name="_Toc164608827"/>
      <w:r/>
      <w:bookmarkStart w:id="744" w:name="_Toc226965831"/>
      <w:r/>
      <w:bookmarkStart w:id="745" w:name="_Toc226309802"/>
      <w:r/>
      <w:bookmarkStart w:id="746" w:name="_Toc265228396"/>
      <w:r/>
      <w:bookmarkStart w:id="747" w:name="_Toc195842923"/>
      <w:r>
        <w:rPr>
          <w:rFonts w:hint="eastAsia"/>
          <w:b/>
          <w:color w:val="000000"/>
          <w:sz w:val="32"/>
          <w:szCs w:val="32"/>
          <w:highlight w:val="none"/>
        </w:rPr>
        <w:t xml:space="preserve">开标一览表</w:t>
      </w:r>
      <w:bookmarkEnd w:id="737"/>
      <w:r/>
      <w:bookmarkEnd w:id="738"/>
      <w:r/>
      <w:bookmarkEnd w:id="739"/>
      <w:r/>
      <w:bookmarkEnd w:id="740"/>
      <w:r/>
      <w:bookmarkEnd w:id="741"/>
      <w:r/>
      <w:bookmarkEnd w:id="742"/>
      <w:r/>
      <w:bookmarkEnd w:id="743"/>
      <w:r/>
      <w:bookmarkEnd w:id="744"/>
      <w:r/>
      <w:bookmarkEnd w:id="745"/>
      <w:r/>
      <w:bookmarkEnd w:id="746"/>
      <w:r/>
      <w:bookmarkEnd w:id="747"/>
      <w:r>
        <w:rPr>
          <w:b/>
          <w:color w:val="000000"/>
          <w:sz w:val="32"/>
          <w:szCs w:val="32"/>
          <w:highlight w:val="none"/>
        </w:rPr>
      </w:r>
      <w:r/>
    </w:p>
    <w:p>
      <w:pPr>
        <w:pStyle w:val="1067"/>
        <w:jc w:val="center"/>
        <w:spacing w:line="360" w:lineRule="auto"/>
        <w:tabs>
          <w:tab w:val="left" w:pos="1800" w:leader="none"/>
          <w:tab w:val="left" w:pos="5580" w:leader="none"/>
        </w:tabs>
        <w:rPr>
          <w:i/>
          <w:color w:val="000000"/>
          <w:sz w:val="24"/>
          <w:highlight w:val="none"/>
        </w:rPr>
      </w:pPr>
      <w:r>
        <w:rPr>
          <w:rFonts w:hint="eastAsia" w:ascii="宋体" w:hAnsi="宋体" w:cs="宋体"/>
          <w:b/>
          <w:color w:val="000000"/>
          <w:szCs w:val="21"/>
          <w:highlight w:val="none"/>
        </w:rPr>
        <w:t xml:space="preserve">                                                       </w:t>
      </w:r>
      <w:r>
        <w:rPr>
          <w:i/>
          <w:color w:val="000000"/>
          <w:sz w:val="24"/>
          <w:highlight w:val="none"/>
        </w:rPr>
      </w:r>
      <w:r/>
    </w:p>
    <w:tbl>
      <w:tblPr>
        <w:tblW w:w="4562"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734"/>
        </w:trPr>
        <w:tc>
          <w:tcPr>
            <w:tcW w:w="495" w:type="dxa"/>
            <w:vAlign w:val="center"/>
            <w:vMerge w:val="restart"/>
            <w:textDirection w:val="lrTb"/>
            <w:noWrap w:val="false"/>
          </w:tcPr>
          <w:p>
            <w:pPr>
              <w:pStyle w:val="1067"/>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1067"/>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4216" w:type="dxa"/>
            <w:vAlign w:val="center"/>
            <w:textDirection w:val="lrTb"/>
            <w:noWrap w:val="false"/>
          </w:tcPr>
          <w:p>
            <w:pPr>
              <w:pStyle w:val="1067"/>
              <w:jc w:val="center"/>
              <w:tabs>
                <w:tab w:val="left" w:pos="5580" w:leader="none"/>
              </w:tabs>
              <w:rPr>
                <w:b/>
                <w:color w:val="000000"/>
                <w:sz w:val="24"/>
                <w:highlight w:val="none"/>
              </w:rPr>
            </w:pPr>
            <w:r>
              <w:rPr>
                <w:b/>
                <w:color w:val="000000"/>
                <w:sz w:val="24"/>
                <w:highlight w:val="none"/>
              </w:rPr>
              <w:t xml:space="preserve">投标报价</w:t>
            </w:r>
            <w:r>
              <w:rPr>
                <w:rFonts w:hint="eastAsia"/>
                <w:b/>
                <w:color w:val="000000"/>
                <w:sz w:val="24"/>
                <w:highlight w:val="none"/>
              </w:rPr>
              <w:t xml:space="preserve">（单位：元）</w:t>
            </w:r>
            <w:r>
              <w:rPr>
                <w:b/>
                <w:color w:val="000000"/>
                <w:sz w:val="24"/>
                <w:highlight w:val="none"/>
              </w:rPr>
            </w:r>
            <w:r/>
          </w:p>
        </w:tc>
      </w:tr>
      <w:tr>
        <w:trPr>
          <w:trHeight w:val="835"/>
        </w:trPr>
        <w:tc>
          <w:tcPr>
            <w:tcW w:w="495" w:type="dxa"/>
            <w:vAlign w:val="center"/>
            <w:vMerge w:val="continue"/>
            <w:textDirection w:val="lrTb"/>
            <w:noWrap w:val="false"/>
          </w:tcPr>
          <w:p>
            <w:pPr>
              <w:pStyle w:val="1067"/>
              <w:jc w:val="left"/>
              <w:widowControl/>
              <w:rPr>
                <w:b/>
                <w:color w:val="000000"/>
                <w:sz w:val="24"/>
                <w:highlight w:val="none"/>
              </w:rPr>
            </w:pPr>
            <w:r>
              <w:rPr>
                <w:b/>
                <w:color w:val="000000"/>
                <w:sz w:val="24"/>
                <w:highlight w:val="none"/>
              </w:rPr>
            </w:r>
            <w:r/>
          </w:p>
        </w:tc>
        <w:tc>
          <w:tcPr>
            <w:tcW w:w="1960" w:type="dxa"/>
            <w:vAlign w:val="center"/>
            <w:vMerge w:val="continue"/>
            <w:textDirection w:val="lrTb"/>
            <w:noWrap w:val="false"/>
          </w:tcPr>
          <w:p>
            <w:pPr>
              <w:pStyle w:val="1067"/>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1067"/>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1067"/>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1444"/>
        </w:trPr>
        <w:tc>
          <w:tcPr>
            <w:tcW w:w="495" w:type="dxa"/>
            <w:vAlign w:val="center"/>
            <w:textDirection w:val="lrTb"/>
            <w:noWrap w:val="false"/>
          </w:tcPr>
          <w:p>
            <w:pPr>
              <w:pStyle w:val="1067"/>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067"/>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1067"/>
              <w:jc w:val="center"/>
              <w:tabs>
                <w:tab w:val="left" w:pos="5580" w:leader="none"/>
              </w:tabs>
              <w:rPr>
                <w:color w:val="000000"/>
                <w:sz w:val="24"/>
                <w:highlight w:val="none"/>
                <w:u w:val="single"/>
              </w:rPr>
            </w:pPr>
            <w:r>
              <w:rPr>
                <w:color w:val="000000"/>
                <w:sz w:val="24"/>
                <w:highlight w:val="none"/>
                <w:u w:val="single"/>
              </w:rPr>
            </w:r>
            <w:r/>
          </w:p>
        </w:tc>
        <w:tc>
          <w:tcPr>
            <w:tcW w:w="1304" w:type="dxa"/>
            <w:vAlign w:val="center"/>
            <w:textDirection w:val="lrTb"/>
            <w:noWrap w:val="false"/>
          </w:tcPr>
          <w:p>
            <w:pPr>
              <w:pStyle w:val="1067"/>
              <w:jc w:val="center"/>
              <w:tabs>
                <w:tab w:val="left" w:pos="5580" w:leader="none"/>
              </w:tabs>
              <w:rPr>
                <w:color w:val="000000"/>
                <w:sz w:val="24"/>
                <w:highlight w:val="none"/>
              </w:rPr>
            </w:pPr>
            <w:r>
              <w:rPr>
                <w:color w:val="000000"/>
                <w:sz w:val="24"/>
                <w:highlight w:val="none"/>
              </w:rPr>
            </w:r>
            <w:r/>
          </w:p>
        </w:tc>
      </w:tr>
    </w:tbl>
    <w:p>
      <w:pPr>
        <w:pStyle w:val="1067"/>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color w:val="000000"/>
          <w:szCs w:val="21"/>
          <w:highlight w:val="none"/>
        </w:rPr>
        <w:t xml:space="preserve">.此表中，每包的报价应和《分项报价表》中的总价相一致。</w:t>
      </w:r>
      <w:r>
        <w:rPr>
          <w:rFonts w:hint="eastAsia" w:ascii="宋体" w:hAnsi="宋体" w:cs="宋体"/>
          <w:color w:val="000000"/>
          <w:szCs w:val="21"/>
          <w:highlight w:val="none"/>
        </w:rPr>
      </w:r>
      <w:r/>
    </w:p>
    <w:p>
      <w:pPr>
        <w:pStyle w:val="1067"/>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2.本表必须按包分别填写。</w:t>
      </w:r>
      <w:r>
        <w:rPr>
          <w:rFonts w:hint="eastAsia" w:ascii="宋体" w:hAnsi="宋体" w:cs="宋体"/>
          <w:color w:val="000000"/>
          <w:szCs w:val="21"/>
          <w:highlight w:val="none"/>
        </w:rPr>
      </w:r>
      <w:r/>
    </w:p>
    <w:p>
      <w:pPr>
        <w:pStyle w:val="1067"/>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67"/>
        <w:ind w:firstLine="42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67"/>
        <w:ind w:firstLine="42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67"/>
        <w:tabs>
          <w:tab w:val="left" w:pos="1800" w:leader="none"/>
          <w:tab w:val="left" w:pos="5580" w:leader="none"/>
        </w:tabs>
        <w:rPr>
          <w:rFonts w:hint="eastAsia"/>
        </w:rPr>
      </w:pPr>
      <w:r/>
      <w:bookmarkStart w:id="748" w:name="_Toc127151562"/>
      <w:r/>
      <w:bookmarkStart w:id="749" w:name="_Toc265228400"/>
      <w:r/>
      <w:bookmarkStart w:id="750" w:name="_Toc226965752"/>
      <w:r/>
      <w:bookmarkStart w:id="751" w:name="_Toc150774765"/>
      <w:r/>
      <w:bookmarkStart w:id="752" w:name="_Toc226337258"/>
      <w:r/>
      <w:bookmarkStart w:id="753" w:name="_Toc150480798"/>
      <w:r/>
      <w:bookmarkStart w:id="754" w:name="_Toc142311062"/>
      <w:r/>
      <w:bookmarkStart w:id="755" w:name="_Toc195842927"/>
      <w:r/>
      <w:bookmarkStart w:id="756" w:name="_Toc226965835"/>
      <w:r/>
      <w:bookmarkStart w:id="757" w:name="_Toc305158830"/>
      <w:r/>
      <w:bookmarkStart w:id="758" w:name="_Toc226309806"/>
      <w:r/>
      <w:bookmarkStart w:id="759" w:name="_Toc264969252"/>
      <w:r/>
      <w:bookmarkStart w:id="760" w:name="_Toc305158904"/>
      <w:r/>
      <w:bookmarkStart w:id="761" w:name="_Toc305158903"/>
      <w:r/>
      <w:bookmarkStart w:id="762" w:name="_Toc264969251"/>
      <w:r/>
      <w:bookmarkStart w:id="763" w:name="_Toc226309805"/>
      <w:r/>
      <w:bookmarkStart w:id="764" w:name="_Toc226965834"/>
      <w:r/>
      <w:bookmarkStart w:id="765" w:name="_Toc226965751"/>
      <w:r/>
      <w:bookmarkStart w:id="766" w:name="_Toc127151561"/>
      <w:r/>
      <w:bookmarkStart w:id="767" w:name="_Toc150774764"/>
      <w:r/>
      <w:bookmarkStart w:id="768" w:name="_Toc142311061"/>
      <w:r/>
      <w:bookmarkStart w:id="769" w:name="_Toc305158829"/>
      <w:r/>
      <w:bookmarkStart w:id="770" w:name="_Toc150480797"/>
      <w:r/>
      <w:bookmarkStart w:id="771" w:name="_Toc195842926"/>
      <w:r/>
      <w:bookmarkStart w:id="772" w:name="_Toc226337257"/>
      <w:r/>
      <w:bookmarkStart w:id="773" w:name="_Toc265228399"/>
      <w:r>
        <w:rPr>
          <w:color w:val="000000"/>
          <w:sz w:val="24"/>
          <w:szCs w:val="20"/>
          <w:highlight w:val="none"/>
        </w:rPr>
        <w:br w:type="page" w:clear="all"/>
      </w:r>
      <w:r>
        <w:rPr>
          <w:rFonts w:hint="eastAsia" w:ascii="宋体" w:hAnsi="宋体" w:cs="宋体"/>
          <w:szCs w:val="21"/>
        </w:rPr>
        <w:t xml:space="preserve">5.投标分项报价表（实质性格式）</w:t>
      </w:r>
      <w:r>
        <w:rPr>
          <w:rFonts w:hint="eastAsia"/>
        </w:rPr>
      </w:r>
      <w:r/>
    </w:p>
    <w:p>
      <w:pPr>
        <w:pStyle w:val="1067"/>
        <w:jc w:val="center"/>
        <w:spacing w:line="360" w:lineRule="exact"/>
        <w:rPr>
          <w:rFonts w:hint="eastAsia" w:ascii="宋体" w:hAnsi="宋体" w:eastAsia="宋体" w:cs="宋体"/>
          <w:b/>
          <w:sz w:val="32"/>
          <w:szCs w:val="32"/>
          <w:highlight w:val="yellow"/>
        </w:rPr>
      </w:pPr>
      <w:r>
        <w:rPr>
          <w:rFonts w:hint="eastAsia" w:ascii="宋体" w:hAnsi="宋体" w:eastAsia="宋体" w:cs="宋体"/>
          <w:b/>
          <w:sz w:val="32"/>
          <w:szCs w:val="32"/>
          <w:highlight w:val="yellow"/>
        </w:rPr>
      </w:r>
      <w:r/>
    </w:p>
    <w:p>
      <w:pPr>
        <w:pStyle w:val="1067"/>
        <w:jc w:val="center"/>
        <w:spacing w:line="3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lang w:eastAsia="zh-CN"/>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报价单位：人民币元</w:t>
      </w:r>
      <w:r>
        <w:rPr>
          <w:rFonts w:hint="eastAsia" w:ascii="宋体" w:hAnsi="宋体" w:eastAsia="宋体" w:cs="宋体"/>
          <w:color w:val="000000"/>
          <w:szCs w:val="21"/>
          <w:highlight w:val="none"/>
        </w:rPr>
      </w:r>
      <w:r/>
    </w:p>
    <w:tbl>
      <w:tblPr>
        <w:tblW w:w="918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3"/>
        <w:gridCol w:w="4126"/>
        <w:gridCol w:w="742"/>
        <w:gridCol w:w="683"/>
        <w:gridCol w:w="870"/>
        <w:gridCol w:w="917"/>
        <w:gridCol w:w="770"/>
      </w:tblGrid>
      <w:tr>
        <w:trPr>
          <w:trHeight w:val="700"/>
        </w:trPr>
        <w:tc>
          <w:tcPr>
            <w:tcW w:w="1073"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4126"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742"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683"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870" w:type="dxa"/>
            <w:vAlign w:val="center"/>
            <w:textDirection w:val="lrTb"/>
            <w:noWrap w:val="false"/>
          </w:tcPr>
          <w:p>
            <w:pPr>
              <w:pStyle w:val="1067"/>
              <w:jc w:val="center"/>
              <w:keepLines w:val="0"/>
              <w:keepNext w:val="0"/>
              <w:spacing w:line="240" w:lineRule="auto"/>
              <w:widowControl/>
              <w:rPr>
                <w:rFonts w:ascii="宋体" w:hAnsi="宋体" w:eastAsia="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全费用综合单价（元)</w:t>
            </w:r>
            <w:r>
              <w:rPr>
                <w:rFonts w:ascii="宋体" w:hAnsi="宋体" w:eastAsia="宋体" w:cs="宋体"/>
                <w:b/>
                <w:bCs/>
                <w:i w:val="0"/>
                <w:iCs w:val="0"/>
                <w:color w:val="000000"/>
                <w:sz w:val="21"/>
                <w:szCs w:val="21"/>
                <w:highlight w:val="none"/>
                <w:u w:val="none"/>
                <w:lang w:val="en-US" w:eastAsia="zh-CN"/>
              </w:rPr>
            </w:r>
            <w:r/>
          </w:p>
        </w:tc>
        <w:tc>
          <w:tcPr>
            <w:tcW w:w="917" w:type="dxa"/>
            <w:vAlign w:val="center"/>
            <w:textDirection w:val="lrTb"/>
            <w:noWrap w:val="false"/>
          </w:tcPr>
          <w:p>
            <w:pPr>
              <w:pStyle w:val="1067"/>
              <w:jc w:val="center"/>
              <w:keepLines w:val="0"/>
              <w:keepNext w:val="0"/>
              <w:spacing w:line="240" w:lineRule="auto"/>
              <w:widowControl/>
              <w:rPr>
                <w:rFonts w:ascii="宋体" w:hAnsi="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总价（元）</w:t>
            </w:r>
            <w:r>
              <w:rPr>
                <w:rFonts w:ascii="宋体" w:hAnsi="宋体" w:cs="宋体"/>
                <w:b/>
                <w:bCs/>
                <w:i w:val="0"/>
                <w:iCs w:val="0"/>
                <w:color w:val="000000"/>
                <w:sz w:val="21"/>
                <w:szCs w:val="21"/>
                <w:highlight w:val="none"/>
                <w:u w:val="none"/>
                <w:lang w:val="en-US" w:eastAsia="zh-CN"/>
              </w:rPr>
            </w:r>
            <w:r/>
          </w:p>
        </w:tc>
        <w:tc>
          <w:tcPr>
            <w:tcW w:w="770"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295"/>
        </w:trPr>
        <w:tc>
          <w:tcPr>
            <w:gridSpan w:val="7"/>
            <w:tcW w:w="9181" w:type="dxa"/>
            <w:vAlign w:val="center"/>
            <w:textDirection w:val="lrTb"/>
            <w:noWrap w:val="false"/>
          </w:tcPr>
          <w:p>
            <w:pPr>
              <w:pStyle w:val="106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厂中厂安全服务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88"/>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Fonts w:hint="eastAsia" w:ascii="宋体" w:hAnsi="宋体" w:eastAsia="宋体" w:cs="宋体"/>
                <w:b/>
                <w:bCs/>
                <w:i w:val="0"/>
                <w:iCs w:val="0"/>
                <w:color w:val="000000"/>
                <w:sz w:val="18"/>
                <w:szCs w:val="18"/>
                <w:highlight w:val="none"/>
                <w:u w:val="none"/>
              </w:rPr>
              <w:t xml:space="preserve">电动车集中充电区监测预警服务：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1476"/>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1、提供AI红外感知（含前端存储卡）三年能力服务；历史视频存储大于1个月；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2、可视化火焰探测器参数：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设备参数：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▲热成像像素≥256×192【</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▲可见光图像≥500万像素，分辨率≥2592*1944【</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内置补光灯，监控距离不低于50米； </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支持火点探测报警，支持冷热点报警和测温报警功能，支持测温功能；</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温度报警范围：可设置为-20℃到550℃，可设置热成像视频图像温度单位为摄氏度、华氏度，鼠标点击热成像视频图像画面上的任意一点，可叠加该点的探测温度，可在热成像视频图像画面上显示设定点的平均温、报警温度斜率，可在热成像视频图像画面上显示设定线条上的最高探测温度、最低探测温度和平均探测温度、报警温度斜率、温度差值，可在热成像视频图像画面上显示设定区域上的最高探测温度、最低探测温度和平均探测温度、报警温度斜率、温度差值【</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内置MIC和高音量扬声器， 支持声光语音报警联动 ；</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▲具备红黄绿三色指示灯可现实设备工作、故障、报警状态【</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▲热成像图像具有白热、铁红、蓝热、绿热等不少于26种伪彩可调【</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支持3路报警输入、2路报警输出功能，Micro SD卡，1路音频输入、支持1路音频输出； </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支持IP66防护等级；</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支持DC12V-24V/POE供电方式；</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支持4G全网通无线通讯；</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提供现场部署点位规划、现场部署安装（含辅材）、网络配置、预警参数配置、联调测试、拆除、移位等服务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5G流量卡，100GB/月，36个月。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9"/>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Fonts w:hint="eastAsia" w:ascii="宋体" w:hAnsi="宋体" w:eastAsia="宋体" w:cs="宋体"/>
                <w:b/>
                <w:bCs/>
                <w:i w:val="0"/>
                <w:iCs w:val="0"/>
                <w:color w:val="000000"/>
                <w:sz w:val="18"/>
                <w:szCs w:val="18"/>
                <w:highlight w:val="none"/>
                <w:u w:val="none"/>
              </w:rPr>
              <w:t xml:space="preserve">丙类重点仓库火灾监测预警服务：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1680"/>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提供温烟感一体化设备三年能力服务；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2、感知设备参数：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采集类型：烟雾、温度；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支持烟雾、温度报警；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方位比值≤1.1</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一致性比值≤1.3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报警音量：≥80dB@3米 （A计权）；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报警方式：声、光报警，支持静默报警；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w:t>
            </w:r>
            <w:r>
              <w:rPr>
                <w:rStyle w:val="1343"/>
                <w:rFonts w:hint="eastAsia" w:ascii="宋体" w:hAnsi="宋体" w:eastAsia="宋体" w:cs="宋体"/>
                <w:color w:val="000000"/>
                <w:sz w:val="18"/>
                <w:szCs w:val="18"/>
                <w:highlight w:val="none"/>
                <w:lang w:val="en-US" w:eastAsia="zh-CN" w:bidi="ar"/>
              </w:rPr>
              <w:t xml:space="preserve">CAD</w:t>
            </w:r>
            <w:r>
              <w:rPr>
                <w:rStyle w:val="1344"/>
                <w:rFonts w:hint="eastAsia" w:ascii="宋体" w:hAnsi="宋体" w:eastAsia="宋体" w:cs="宋体"/>
                <w:color w:val="000000"/>
                <w:sz w:val="18"/>
                <w:szCs w:val="18"/>
                <w:highlight w:val="none"/>
                <w:lang w:val="en-US" w:eastAsia="zh-CN" w:bidi="ar"/>
              </w:rPr>
              <w:t xml:space="preserve">图测绘、部署点位规划、现场部署安装（含辅材）、数据初始化、预警参数配置（根据现场情况配置运行模式）、联调测试、拆除、移位等服务。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NB/4G</w:t>
            </w:r>
            <w:r>
              <w:rPr>
                <w:rStyle w:val="1344"/>
                <w:rFonts w:hint="eastAsia" w:ascii="宋体" w:hAnsi="宋体" w:eastAsia="宋体" w:cs="宋体"/>
                <w:b w:val="0"/>
                <w:bCs w:val="0"/>
                <w:color w:val="000000"/>
                <w:sz w:val="18"/>
                <w:szCs w:val="18"/>
                <w:highlight w:val="none"/>
                <w:lang w:val="en-US" w:eastAsia="zh-CN" w:bidi="ar"/>
              </w:rPr>
              <w:t xml:space="preserve">流量卡；</w:t>
            </w:r>
            <w:r>
              <w:rPr>
                <w:rStyle w:val="1343"/>
                <w:rFonts w:hint="eastAsia" w:ascii="宋体" w:hAnsi="宋体" w:eastAsia="宋体" w:cs="宋体"/>
                <w:b w:val="0"/>
                <w:bCs w:val="0"/>
                <w:color w:val="000000"/>
                <w:sz w:val="18"/>
                <w:szCs w:val="18"/>
                <w:highlight w:val="none"/>
                <w:lang w:val="en-US" w:eastAsia="zh-CN" w:bidi="ar"/>
              </w:rPr>
              <w:t xml:space="preserve">40w</w:t>
            </w:r>
            <w:r>
              <w:rPr>
                <w:rStyle w:val="1344"/>
                <w:rFonts w:hint="eastAsia" w:ascii="宋体" w:hAnsi="宋体" w:eastAsia="宋体" w:cs="宋体"/>
                <w:b w:val="0"/>
                <w:bCs w:val="0"/>
                <w:color w:val="000000"/>
                <w:sz w:val="18"/>
                <w:szCs w:val="18"/>
                <w:highlight w:val="none"/>
                <w:lang w:val="en-US" w:eastAsia="zh-CN" w:bidi="ar"/>
              </w:rPr>
              <w:t xml:space="preserve">频次或</w:t>
            </w:r>
            <w:r>
              <w:rPr>
                <w:rStyle w:val="1343"/>
                <w:rFonts w:hint="eastAsia" w:ascii="宋体" w:hAnsi="宋体" w:eastAsia="宋体" w:cs="宋体"/>
                <w:b w:val="0"/>
                <w:bCs w:val="0"/>
                <w:color w:val="000000"/>
                <w:sz w:val="18"/>
                <w:szCs w:val="18"/>
                <w:highlight w:val="none"/>
                <w:lang w:val="en-US" w:eastAsia="zh-CN" w:bidi="ar"/>
              </w:rPr>
              <w:t xml:space="preserve">50M/</w:t>
            </w:r>
            <w:r>
              <w:rPr>
                <w:rStyle w:val="1344"/>
                <w:rFonts w:hint="eastAsia" w:ascii="宋体" w:hAnsi="宋体" w:eastAsia="宋体" w:cs="宋体"/>
                <w:b w:val="0"/>
                <w:bCs w:val="0"/>
                <w:color w:val="000000"/>
                <w:sz w:val="18"/>
                <w:szCs w:val="18"/>
                <w:highlight w:val="none"/>
                <w:lang w:val="en-US" w:eastAsia="zh-CN" w:bidi="ar"/>
              </w:rPr>
              <w:t xml:space="preserve">月，</w:t>
            </w:r>
            <w:r>
              <w:rPr>
                <w:rStyle w:val="1343"/>
                <w:rFonts w:hint="eastAsia" w:ascii="宋体" w:hAnsi="宋体" w:eastAsia="宋体" w:cs="宋体"/>
                <w:b w:val="0"/>
                <w:bCs w:val="0"/>
                <w:color w:val="000000"/>
                <w:sz w:val="18"/>
                <w:szCs w:val="18"/>
                <w:highlight w:val="none"/>
                <w:lang w:val="en-US" w:eastAsia="zh-CN" w:bidi="ar"/>
              </w:rPr>
              <w:t xml:space="preserve">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rPr>
                <w:rStyle w:val="1344"/>
                <w:rFonts w:hint="eastAsia" w:ascii="宋体" w:hAnsi="宋体" w:eastAsia="宋体" w:cs="宋体"/>
                <w:b w:val="0"/>
                <w:bCs w:val="0"/>
                <w:color w:val="000000"/>
                <w:sz w:val="18"/>
                <w:szCs w:val="18"/>
                <w:highlight w:val="none"/>
                <w:lang w:val="en-US" w:eastAsia="zh-CN" w:bidi="ar"/>
              </w:rPr>
              <w:t xml:space="preserve">、每六个月现场巡检</w:t>
            </w:r>
            <w:r>
              <w:rPr>
                <w:rStyle w:val="1343"/>
                <w:rFonts w:hint="eastAsia" w:ascii="宋体" w:hAnsi="宋体" w:eastAsia="宋体" w:cs="宋体"/>
                <w:b w:val="0"/>
                <w:bCs w:val="0"/>
                <w:color w:val="000000"/>
                <w:sz w:val="18"/>
                <w:szCs w:val="18"/>
                <w:highlight w:val="none"/>
                <w:lang w:val="en-US" w:eastAsia="zh-CN" w:bidi="ar"/>
              </w:rPr>
              <w:t xml:space="preserve">1</w:t>
            </w:r>
            <w:r>
              <w:rPr>
                <w:rStyle w:val="1344"/>
                <w:rFonts w:hint="eastAsia" w:ascii="宋体" w:hAnsi="宋体" w:eastAsia="宋体" w:cs="宋体"/>
                <w:b w:val="0"/>
                <w:bCs w:val="0"/>
                <w:color w:val="000000"/>
                <w:sz w:val="18"/>
                <w:szCs w:val="18"/>
                <w:highlight w:val="none"/>
                <w:lang w:val="en-US" w:eastAsia="zh-CN" w:bidi="ar"/>
              </w:rPr>
              <w:t xml:space="preserve">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rPr>
                <w:rStyle w:val="1344"/>
                <w:rFonts w:hint="eastAsia" w:ascii="宋体" w:hAnsi="宋体" w:eastAsia="宋体" w:cs="宋体"/>
                <w:b w:val="0"/>
                <w:bCs w:val="0"/>
                <w:color w:val="000000"/>
                <w:sz w:val="18"/>
                <w:szCs w:val="18"/>
                <w:highlight w:val="none"/>
                <w:lang w:val="en-US" w:eastAsia="zh-CN" w:bidi="ar"/>
              </w:rPr>
              <w:t xml:space="preserve">、按照甲方需求，提供服务期内设备安装部署位置迁移服务；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rPr>
                <w:rStyle w:val="1344"/>
                <w:rFonts w:hint="eastAsia" w:ascii="宋体" w:hAnsi="宋体" w:eastAsia="宋体" w:cs="宋体"/>
                <w:b w:val="0"/>
                <w:bCs w:val="0"/>
                <w:color w:val="000000"/>
                <w:sz w:val="18"/>
                <w:szCs w:val="18"/>
                <w:highlight w:val="none"/>
                <w:lang w:val="en-US" w:eastAsia="zh-CN" w:bidi="ar"/>
              </w:rPr>
              <w:t xml:space="preserve">、故障设备、灵敏度因迷宫污染降低的设备</w:t>
            </w:r>
            <w:r>
              <w:rPr>
                <w:rStyle w:val="1343"/>
                <w:rFonts w:hint="eastAsia" w:ascii="宋体" w:hAnsi="宋体" w:eastAsia="宋体" w:cs="宋体"/>
                <w:b w:val="0"/>
                <w:bCs w:val="0"/>
                <w:color w:val="000000"/>
                <w:sz w:val="18"/>
                <w:szCs w:val="18"/>
                <w:highlight w:val="none"/>
                <w:lang w:val="en-US" w:eastAsia="zh-CN" w:bidi="ar"/>
              </w:rPr>
              <w:t xml:space="preserve">8</w:t>
            </w:r>
            <w:r>
              <w:rPr>
                <w:rStyle w:val="1344"/>
                <w:rFonts w:hint="eastAsia" w:ascii="宋体" w:hAnsi="宋体" w:eastAsia="宋体" w:cs="宋体"/>
                <w:b w:val="0"/>
                <w:bCs w:val="0"/>
                <w:color w:val="000000"/>
                <w:sz w:val="18"/>
                <w:szCs w:val="18"/>
                <w:highlight w:val="none"/>
                <w:lang w:val="en-US" w:eastAsia="zh-CN" w:bidi="ar"/>
              </w:rPr>
              <w:t xml:space="preserve">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Style w:val="1344"/>
                <w:rFonts w:hint="eastAsia" w:ascii="宋体" w:hAnsi="宋体" w:eastAsia="宋体" w:cs="宋体"/>
                <w:color w:val="000000"/>
                <w:sz w:val="18"/>
                <w:szCs w:val="18"/>
                <w:highlight w:val="none"/>
                <w:lang w:val="en-US" w:eastAsia="zh-CN" w:bidi="ar"/>
              </w:rPr>
              <w:t xml:space="preserve">、所有预警事件跟踪处置闭环（分级处置，</w:t>
            </w:r>
            <w:r>
              <w:rPr>
                <w:rStyle w:val="1343"/>
                <w:rFonts w:hint="eastAsia" w:ascii="宋体" w:hAnsi="宋体" w:eastAsia="宋体" w:cs="宋体"/>
                <w:color w:val="000000"/>
                <w:sz w:val="18"/>
                <w:szCs w:val="18"/>
                <w:highlight w:val="none"/>
                <w:lang w:val="en-US" w:eastAsia="zh-CN" w:bidi="ar"/>
              </w:rPr>
              <w:t xml:space="preserve">AI</w:t>
            </w:r>
            <w:r>
              <w:rPr>
                <w:rStyle w:val="1344"/>
                <w:rFonts w:hint="eastAsia" w:ascii="宋体" w:hAnsi="宋体" w:eastAsia="宋体" w:cs="宋体"/>
                <w:color w:val="000000"/>
                <w:sz w:val="18"/>
                <w:szCs w:val="18"/>
                <w:highlight w:val="none"/>
                <w:lang w:val="en-US" w:eastAsia="zh-CN" w:bidi="ar"/>
              </w:rPr>
              <w:t xml:space="preserve">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Style w:val="1344"/>
                <w:rFonts w:hint="eastAsia" w:ascii="宋体" w:hAnsi="宋体" w:eastAsia="宋体" w:cs="宋体"/>
                <w:color w:val="000000"/>
                <w:sz w:val="18"/>
                <w:szCs w:val="18"/>
                <w:highlight w:val="none"/>
                <w:lang w:val="en-US" w:eastAsia="zh-CN" w:bidi="ar"/>
              </w:rPr>
              <w:t xml:space="preserve">、紧急预警服务：当研判为紧急预警时，提供紧急预警联通处置服务；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Style w:val="1344"/>
                <w:rFonts w:hint="eastAsia" w:ascii="宋体" w:hAnsi="宋体" w:eastAsia="宋体" w:cs="宋体"/>
                <w:color w:val="000000"/>
                <w:sz w:val="18"/>
                <w:szCs w:val="18"/>
                <w:highlight w:val="none"/>
                <w:lang w:val="en-US" w:eastAsia="zh-CN" w:bidi="ar"/>
              </w:rPr>
              <w:t xml:space="preserve">、提供配套软件平台服务，提供日常软件平台安全保障、运行维护、功能了迭代；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2"/>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Style w:val="1344"/>
                <w:rFonts w:hint="eastAsia" w:ascii="宋体" w:hAnsi="宋体" w:eastAsia="宋体" w:cs="宋体"/>
                <w:color w:val="000000"/>
                <w:sz w:val="18"/>
                <w:szCs w:val="18"/>
                <w:highlight w:val="none"/>
                <w:lang w:val="en-US" w:eastAsia="zh-CN" w:bidi="ar"/>
              </w:rPr>
              <w:t xml:space="preserve">、提供</w:t>
            </w:r>
            <w:r>
              <w:rPr>
                <w:rStyle w:val="1343"/>
                <w:rFonts w:hint="eastAsia" w:ascii="宋体" w:hAnsi="宋体" w:eastAsia="宋体" w:cs="宋体"/>
                <w:color w:val="000000"/>
                <w:sz w:val="18"/>
                <w:szCs w:val="18"/>
                <w:highlight w:val="none"/>
                <w:lang w:val="en-US" w:eastAsia="zh-CN" w:bidi="ar"/>
              </w:rPr>
              <w:t xml:space="preserve">AI</w:t>
            </w:r>
            <w:r>
              <w:rPr>
                <w:rStyle w:val="1344"/>
                <w:rFonts w:hint="eastAsia" w:ascii="宋体" w:hAnsi="宋体" w:eastAsia="宋体" w:cs="宋体"/>
                <w:color w:val="000000"/>
                <w:sz w:val="18"/>
                <w:szCs w:val="18"/>
                <w:highlight w:val="none"/>
                <w:lang w:val="en-US" w:eastAsia="zh-CN" w:bidi="ar"/>
              </w:rPr>
              <w:t xml:space="preserve">大模型（</w:t>
            </w:r>
            <w:r>
              <w:rPr>
                <w:rStyle w:val="1343"/>
                <w:rFonts w:hint="eastAsia" w:ascii="宋体" w:hAnsi="宋体" w:eastAsia="宋体" w:cs="宋体"/>
                <w:color w:val="000000"/>
                <w:sz w:val="18"/>
                <w:szCs w:val="18"/>
                <w:highlight w:val="none"/>
                <w:lang w:val="en-US" w:eastAsia="zh-CN" w:bidi="ar"/>
              </w:rPr>
              <w:t xml:space="preserve">27B</w:t>
            </w:r>
            <w:r>
              <w:rPr>
                <w:rStyle w:val="1344"/>
                <w:rFonts w:hint="eastAsia" w:ascii="宋体" w:hAnsi="宋体" w:eastAsia="宋体" w:cs="宋体"/>
                <w:color w:val="000000"/>
                <w:sz w:val="18"/>
                <w:szCs w:val="18"/>
                <w:highlight w:val="none"/>
                <w:lang w:val="en-US" w:eastAsia="zh-CN" w:bidi="ar"/>
              </w:rPr>
              <w:t xml:space="preserve">）及智能体服务：包括故障诊断智能体、真实火情智能识别智能体、隐患智能识别智能体、安全教育培训智能体服务、安全态势分析问答智能体服务等及其所需算力。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Fonts w:hint="eastAsia" w:ascii="宋体" w:hAnsi="宋体" w:eastAsia="宋体" w:cs="宋体"/>
                <w:b/>
                <w:bCs/>
                <w:i w:val="0"/>
                <w:iCs w:val="0"/>
                <w:color w:val="000000"/>
                <w:sz w:val="18"/>
                <w:szCs w:val="18"/>
                <w:highlight w:val="none"/>
                <w:u w:val="none"/>
              </w:rPr>
              <w:t xml:space="preserve">有限空间安全作业AI预警服务：</w:t>
            </w:r>
            <w:r>
              <w:rPr>
                <w:rFonts w:hint="eastAsia" w:ascii="宋体" w:hAnsi="宋体" w:eastAsia="宋体" w:cs="宋体"/>
                <w:b/>
                <w:bCs/>
                <w:i w:val="0"/>
                <w:iCs w:val="0"/>
                <w:color w:val="000000"/>
                <w:sz w:val="18"/>
                <w:szCs w:val="18"/>
                <w:highlight w:val="none"/>
                <w:u w:val="none"/>
                <w:lang w:val="en-US" w:eastAsia="zh-CN"/>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A：有毒气体检测预警服务：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2548"/>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有毒气体感知设备能力服务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1、提供有毒气体感知设备三年能力服务；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2、能检测有限空间可燃性气体、氧气、一氧化碳、硫化氢等；</w:t>
            </w:r>
            <w:r>
              <w:rPr>
                <w:rFonts w:hint="eastAsia" w:ascii="宋体" w:hAnsi="宋体" w:eastAsia="宋体" w:cs="宋体"/>
                <w:i w:val="0"/>
                <w:iCs w:val="0"/>
                <w:color w:val="000000"/>
                <w:sz w:val="18"/>
                <w:szCs w:val="18"/>
                <w:highlight w:val="none"/>
                <w:u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3、设备参数：</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检测原理 催化燃烧式/电化学式/红外传感器/PID传感器</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适用气体 可燃、氧气、一氧化碳、硫化氢、二氧化硫等有毒气体</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工作电压 DC24V（正常工作电压范围：DC18V~DC36V）</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结构材料 压铸铝</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防爆标志 Ex db IIC T6 Gb，Ex tb IIIC T80℃ Db</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防护等级 IP66</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产品尺寸 227mm*273mm*80mm</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输出信号及</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通信接口 RS485接口（通讯协议：ModBus RTU）</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二总线通信</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2组无源开关量输出（最大容量：250VAC 5A）</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使用环境 可燃气体：（-40～70）℃</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其他气体：（-10～55）℃ </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相对湿度(10-95)％RH(非凝露)</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大气压86kPa~106kPa</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应在无显著冲击和振动的场所</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周围环境不应有腐蚀金属和破坏绝缘的介质</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产品重量 ≤3.0kg</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传感器寿命 清洁空气中2~3年。</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提供现场部署规划、现场部署安装（含辅材）、网络配置、预警参数配置、联调测、拆除、移位等服务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3、故障设备8小时维修更换；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B:有限空间安全作业AI预警服务：</w:t>
            </w:r>
            <w:r>
              <w:rPr>
                <w:rFonts w:hint="eastAsia" w:ascii="宋体" w:hAnsi="宋体" w:eastAsia="宋体" w:cs="宋体"/>
                <w:b/>
                <w:bCs/>
                <w:i w:val="0"/>
                <w:iCs w:val="0"/>
                <w:color w:val="000000"/>
                <w:sz w:val="18"/>
                <w:szCs w:val="18"/>
                <w:highlight w:val="none"/>
                <w:u w:val="none"/>
              </w:rPr>
            </w:r>
            <w:r/>
          </w:p>
        </w:tc>
      </w:tr>
      <w:tr>
        <w:trPr>
          <w:trHeight w:val="1210"/>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1、提供有限空间作业AI视频监控设备三年服务；</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2、设备参数</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支持专有场景算法，电子围栏、安全帽检测、烟火检测、区域人员计数、人员脱岗、吸烟检测等算法定制。</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码流 多路码流</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传输接口 2路百兆光口、2路百兆电口</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多算法分析 支持多种算法同时分析</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联动 4个DI有源输入接口</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4个DO无源输出接口</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额定工作电压 DC12V</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工作电流 ≤1.4A</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防护等级 IP65</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提供现场部署规划、现场部署安装（含辅材）、网络配置、AI算法参数配置、识别区域配置、联调测试等服务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5G流量卡，100GB/月，36个月。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3、故障设备8小时维修更换；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算法训练迭代升级服务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提供有限空间AI算法的训练优化服务，每半年迭代一次算法；</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4、安置房小区场景服务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A、地下、半地下电动车充电监测预警服务：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243"/>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提供温烟感一体化设备三年服务;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采集类型：烟雾、温度；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支持烟雾、温度报警；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方位比值≤1.1</w:t>
            </w:r>
            <w:r>
              <w:rPr>
                <w:rFonts w:hint="eastAsia" w:ascii="宋体" w:hAnsi="宋体" w:eastAsia="宋体" w:cs="宋体"/>
                <w:i w:val="0"/>
                <w:iCs w:val="0"/>
                <w:color w:val="000000"/>
                <w:sz w:val="18"/>
                <w:szCs w:val="18"/>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一致性比值≤1.3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报警音量：≥80dB@3米 （A计权）；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报警方式：声、光报警，支持静默报警；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NB/4G流量卡；40w频次或50M/月，36个月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B、小区楼栋视频AI加载服务：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793"/>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边缘算力设备服务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提供边缘AI算力盒租赁三年服务，为现有小区楼栋视频提供AI边缘算力（叠加电动车火灾识别、电动车进楼道识别算法）</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设备参数：</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设备参数：</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操作系统： Linux</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AI 芯片：内置国产 NPU 芯片</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智能分析 ：人员检测、区域入侵、人数统计、吸烟检测、烟火检测、电动车进楼道识别等</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联动 支持：modbus协议联动</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接口支持：支持H.265、H.264编码前端自适应接入</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网络接口： 1个，RJ45 10M/100M/1000M自适应以太网口</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现有视频接入、AI算法配置服务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1、提供当前已有的视频接入边缘计算盒服务（含接入辅材，如交换机、网络布线等）</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2、提供每路视频的识别区域配置、预警参数配置等服务；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每个小区提供一条500兆以上的宽带，36个月。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边缘算力预警运营服务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3、故障设备8小时维修更换；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算法训练迭代升级服务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提供AI算法的训练优化服务，每半年迭代一次算法；</w:t>
            </w:r>
            <w:r>
              <w:rPr>
                <w:rFonts w:hint="eastAsia" w:ascii="宋体" w:hAnsi="宋体" w:eastAsia="宋体" w:cs="宋体"/>
                <w:i w:val="0"/>
                <w:iCs w:val="0"/>
                <w:color w:val="000000"/>
                <w:sz w:val="18"/>
                <w:szCs w:val="18"/>
                <w:highlight w:val="none"/>
                <w:u w:val="none"/>
                <w:lang w:val="en-US" w:eastAsia="zh-CN" w:bidi="ar"/>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5、金属冶炼单位场景服务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A、水压监测预警服务：</w:t>
            </w:r>
            <w:r>
              <w:rPr>
                <w:rFonts w:hint="eastAsia" w:ascii="宋体" w:hAnsi="宋体" w:eastAsia="宋体" w:cs="宋体"/>
                <w:b/>
                <w:bCs/>
                <w:i w:val="0"/>
                <w:iCs w:val="0"/>
                <w:color w:val="000000"/>
                <w:sz w:val="18"/>
                <w:szCs w:val="18"/>
                <w:highlight w:val="none"/>
                <w:u w:val="none"/>
                <w:lang w:val="en-US" w:eastAsia="zh-CN" w:bidi="ar"/>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水压感知设备数据接入服务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水压感知预警运营服务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B、水位监测预警服务：</w:t>
            </w:r>
            <w:r>
              <w:rPr>
                <w:rFonts w:hint="eastAsia" w:ascii="宋体" w:hAnsi="宋体" w:eastAsia="宋体" w:cs="宋体"/>
                <w:b/>
                <w:bCs/>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水位感知设备数据接入服务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水位感知预警运营服务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3"/>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Fonts w:hint="eastAsia" w:ascii="宋体" w:hAnsi="宋体" w:eastAsia="宋体" w:cs="宋体"/>
                <w:b/>
                <w:bCs/>
                <w:i w:val="0"/>
                <w:iCs w:val="0"/>
                <w:color w:val="000000"/>
                <w:sz w:val="18"/>
                <w:szCs w:val="18"/>
                <w:highlight w:val="none"/>
                <w:u w:val="none"/>
              </w:rPr>
              <w:t xml:space="preserve">社会面小场所场景服务</w:t>
            </w:r>
            <w:r>
              <w:rPr>
                <w:rFonts w:hint="eastAsia" w:ascii="宋体" w:hAnsi="宋体" w:eastAsia="宋体" w:cs="宋体"/>
                <w:b/>
                <w:bCs/>
                <w:i w:val="0"/>
                <w:iCs w:val="0"/>
                <w:color w:val="000000"/>
                <w:sz w:val="18"/>
                <w:szCs w:val="18"/>
                <w:highlight w:val="none"/>
                <w:u w:val="none"/>
                <w:lang w:val="en-US" w:eastAsia="zh-CN"/>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A、火情监测预警服务：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23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1、提供温烟感一体化设备三年能力服务；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2、感知设备参数：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采集类型：烟雾、温度；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支持烟雾、温度报警；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方位比值≤1.1</w:t>
            </w:r>
            <w:r>
              <w:rPr>
                <w:rFonts w:hint="eastAsia" w:ascii="宋体" w:hAnsi="宋体" w:eastAsia="宋体" w:cs="宋体"/>
                <w:i w:val="0"/>
                <w:iCs w:val="0"/>
                <w:color w:val="000000"/>
                <w:sz w:val="18"/>
                <w:szCs w:val="18"/>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一致性比值≤1.3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报警音量：≥80dB@3米 （A计权）；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报警方式：声、光报警，支持静默报警；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3"/>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B、燃气泄漏监测预警服务</w:t>
            </w:r>
            <w:r>
              <w:rPr>
                <w:rFonts w:hint="eastAsia" w:ascii="宋体" w:hAnsi="宋体" w:eastAsia="宋体" w:cs="宋体"/>
                <w:b/>
                <w:bCs/>
                <w:i w:val="0"/>
                <w:iCs w:val="0"/>
                <w:color w:val="000000"/>
                <w:sz w:val="18"/>
                <w:szCs w:val="18"/>
                <w:highlight w:val="none"/>
                <w:u w:val="none"/>
                <w:lang w:eastAsia="zh-CN"/>
              </w:rPr>
              <w:t xml:space="preserve">：</w:t>
            </w:r>
            <w:r>
              <w:rPr>
                <w:rFonts w:hint="eastAsia" w:ascii="宋体" w:hAnsi="宋体" w:eastAsia="宋体" w:cs="宋体"/>
                <w:b/>
                <w:bCs/>
                <w:i w:val="0"/>
                <w:iCs w:val="0"/>
                <w:color w:val="000000"/>
                <w:sz w:val="18"/>
                <w:szCs w:val="18"/>
                <w:highlight w:val="none"/>
                <w:u w:val="none"/>
              </w:rPr>
            </w:r>
            <w:r/>
          </w:p>
        </w:tc>
      </w:tr>
      <w:tr>
        <w:trPr>
          <w:trHeight w:val="3237"/>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燃气泄漏监测设备设备服务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提供燃气泄漏监测设备三年服务；</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设备参数：</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检测气体：甲烷，量程：0-20%LEL，报警方式：声、光报警，支持消音功能；</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支持识别、展示、上报各类故障，包括通信故障、传感器故障（短路、断路）、传感器寿命故障、设备断电，设备报警声音信号在距离其正前方1m处的最大声压级≥90 dB(A)，设备的报警声、光特性应能区分燃气报警和故障报警；</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支持≥1组阀输出接口、≥1个SIM卡接口；支持用过阀输出接口与其他设备联动、阀输出接口支持电磁阀驱动模式和机械手驱动模式切换功能；</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支持接收并执行管理平台下发的解除屏蔽指令，当进入屏蔽状态后，设备将不再进行报警和故障上报，并能通过指示灯指示屏蔽状态，设备在屏蔽期间连续10分钟没有检测到火警或故障后，将自动解除屏蔽状态。通讯方式：4G；</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工作电压：AC100～AC240V，工作温度：最小温宽：-20±2℃～65±2℃，支持阻燃；</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3C认证；执行标准：GB15322.2-2019；</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lang w:val="en-US" w:eastAsia="zh-CN"/>
              </w:rPr>
              <w:t xml:space="preserve">燃气泄漏</w:t>
            </w:r>
            <w:r>
              <w:rPr>
                <w:rFonts w:hint="eastAsia" w:ascii="宋体" w:hAnsi="宋体" w:eastAsia="宋体" w:cs="宋体"/>
                <w:i w:val="0"/>
                <w:iCs w:val="0"/>
                <w:color w:val="000000"/>
                <w:sz w:val="18"/>
                <w:szCs w:val="18"/>
                <w:highlight w:val="none"/>
                <w:u w:val="none"/>
                <w:lang w:val="en-US" w:eastAsia="zh-CN" w:bidi="ar"/>
              </w:rPr>
              <w:t xml:space="preserve">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lang w:val="en-US" w:eastAsia="zh-CN"/>
              </w:rPr>
              <w:t xml:space="preserve">燃气泄漏</w:t>
            </w:r>
            <w:r>
              <w:rPr>
                <w:rFonts w:hint="eastAsia" w:ascii="宋体" w:hAnsi="宋体" w:eastAsia="宋体" w:cs="宋体"/>
                <w:i w:val="0"/>
                <w:iCs w:val="0"/>
                <w:color w:val="000000"/>
                <w:sz w:val="18"/>
                <w:szCs w:val="18"/>
                <w:highlight w:val="none"/>
                <w:u w:val="none"/>
                <w:lang w:val="en-US" w:eastAsia="zh-CN" w:bidi="ar"/>
              </w:rPr>
              <w:t xml:space="preserve">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3、故障设备、灵敏度降低的设备8小时内更换；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5"/>
        </w:trPr>
        <w:tc>
          <w:tcPr>
            <w:gridSpan w:val="5"/>
            <w:tcW w:w="7494" w:type="dxa"/>
            <w:vAlign w:val="center"/>
            <w:textDirection w:val="lrTb"/>
            <w:noWrap w:val="false"/>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投标总价</w:t>
            </w:r>
            <w:r>
              <w:rPr>
                <w:rFonts w:hint="eastAsia" w:ascii="宋体" w:hAnsi="宋体" w:eastAsia="宋体" w:cs="宋体"/>
                <w:b/>
                <w:bCs/>
                <w:i w:val="0"/>
                <w:iCs w:val="0"/>
                <w:color w:val="000000"/>
                <w:sz w:val="22"/>
                <w:szCs w:val="22"/>
                <w:highlight w:val="none"/>
                <w:u w:val="none"/>
              </w:rPr>
            </w:r>
            <w:r/>
          </w:p>
        </w:tc>
        <w:tc>
          <w:tcPr>
            <w:gridSpan w:val="2"/>
            <w:tcW w:w="1687" w:type="dxa"/>
            <w:vAlign w:val="center"/>
            <w:textDirection w:val="lrTb"/>
            <w:noWrap/>
          </w:tcPr>
          <w:p>
            <w:pPr>
              <w:pStyle w:val="1067"/>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1067"/>
        <w:ind w:firstLine="420"/>
        <w:jc w:val="left"/>
        <w:keepLines w:val="0"/>
        <w:keepNext w:val="0"/>
        <w:pageBreakBefore w:val="0"/>
        <w:spacing w:line="32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.如果不提供分项报价将视为没有实质性响应</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7"/>
        <w:numPr>
          <w:ilvl w:val="0"/>
          <w:numId w:val="0"/>
        </w:numPr>
        <w:ind w:firstLine="840"/>
        <w:jc w:val="left"/>
        <w:keepLines w:val="0"/>
        <w:keepNext w:val="0"/>
        <w:pageBreakBefore w:val="0"/>
        <w:spacing w:line="32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.上述各项的服务内容如表格中填写不下的，可以逐项另页描述。</w:t>
      </w:r>
      <w:r>
        <w:rPr>
          <w:rFonts w:hint="eastAsia" w:ascii="宋体" w:hAnsi="宋体" w:eastAsia="宋体" w:cs="宋体"/>
          <w:color w:val="000000"/>
          <w:sz w:val="21"/>
          <w:szCs w:val="21"/>
          <w:highlight w:val="none"/>
        </w:rPr>
      </w:r>
      <w:r/>
    </w:p>
    <w:p>
      <w:pPr>
        <w:pStyle w:val="1067"/>
        <w:numPr>
          <w:ilvl w:val="0"/>
          <w:numId w:val="0"/>
        </w:numPr>
        <w:ind w:firstLine="840"/>
        <w:jc w:val="left"/>
        <w:keepLines w:val="0"/>
        <w:keepNext w:val="0"/>
        <w:pageBreakBefore w:val="0"/>
        <w:spacing w:line="320" w:lineRule="exact"/>
        <w:widowControl w:val="off"/>
        <w:tabs>
          <w:tab w:val="left" w:pos="1800" w:leader="none"/>
          <w:tab w:val="left" w:pos="5580" w:leader="none"/>
        </w:tabs>
        <w:rPr>
          <w:rFonts w:hint="eastAsia" w:ascii="宋体" w:hAnsi="宋体" w:cs="宋体"/>
          <w:color w:val="000000"/>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本投标分项报价表的“</w:t>
      </w:r>
      <w:r>
        <w:rPr>
          <w:rFonts w:hint="eastAsia" w:ascii="宋体" w:hAnsi="宋体"/>
          <w:color w:val="000000"/>
          <w:sz w:val="21"/>
          <w:szCs w:val="21"/>
          <w:highlight w:val="none"/>
          <w:lang w:val="en-US" w:eastAsia="zh-CN"/>
        </w:rPr>
        <w:t xml:space="preserve">投标总价</w:t>
      </w:r>
      <w:r>
        <w:rPr>
          <w:rFonts w:hint="eastAsia" w:ascii="宋体" w:hAnsi="宋体"/>
          <w:color w:val="000000"/>
          <w:sz w:val="21"/>
          <w:szCs w:val="21"/>
          <w:highlight w:val="none"/>
        </w:rPr>
        <w:t xml:space="preserve">”应与开标一览表“总价”一致。</w:t>
      </w:r>
      <w:r>
        <w:rPr>
          <w:rFonts w:hint="eastAsia" w:ascii="宋体" w:hAnsi="宋体" w:cs="宋体"/>
          <w:color w:val="000000"/>
          <w:szCs w:val="21"/>
          <w:highlight w:val="none"/>
        </w:rPr>
      </w:r>
      <w:r/>
    </w:p>
    <w:p>
      <w:pPr>
        <w:pStyle w:val="1067"/>
        <w:ind w:firstLine="420"/>
        <w:keepLines w:val="0"/>
        <w:keepNext w:val="0"/>
        <w:pageBreakBefore w:val="0"/>
        <w:spacing w:before="25" w:after="25"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firstLine="420"/>
        <w:keepLines w:val="0"/>
        <w:keepNext w:val="0"/>
        <w:pageBreakBefore w:val="0"/>
        <w:spacing w:before="25" w:after="25" w:line="320" w:lineRule="exact"/>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67"/>
        <w:ind w:firstLine="420"/>
        <w:keepLines w:val="0"/>
        <w:keepNext w:val="0"/>
        <w:pageBreakBefore w:val="0"/>
        <w:spacing w:line="320" w:lineRule="exact"/>
        <w:widowControl w:val="off"/>
        <w:rPr>
          <w:color w:val="000000"/>
          <w:highlight w:val="none"/>
        </w:rPr>
      </w:pPr>
      <w:r>
        <w:rPr>
          <w:rFonts w:hint="eastAsia" w:ascii="宋体" w:hAnsi="宋体" w:cs="宋体"/>
          <w:color w:val="000000"/>
          <w:szCs w:val="21"/>
          <w:highlight w:val="none"/>
        </w:rPr>
        <w:t xml:space="preserve">日期：_____年______月______日</w:t>
      </w:r>
      <w:r>
        <w:rPr>
          <w:color w:val="000000"/>
          <w:highlight w:val="none"/>
        </w:rPr>
      </w:r>
      <w:r/>
    </w:p>
    <w:p>
      <w:pPr>
        <w:pStyle w:val="1067"/>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7"/>
        <w:ind w:firstLine="420"/>
        <w:jc w:val="both"/>
        <w:spacing w:line="360" w:lineRule="exact"/>
        <w:rPr>
          <w:sz w:val="24"/>
          <w:szCs w:val="20"/>
        </w:rPr>
      </w:pPr>
      <w:r>
        <w:rPr>
          <w:rFonts w:hint="eastAsia" w:ascii="宋体" w:hAnsi="宋体" w:cs="宋体"/>
          <w:color w:val="000000"/>
          <w:szCs w:val="21"/>
          <w:highlight w:val="none"/>
        </w:rPr>
        <w:br w:type="page" w:clear="all"/>
      </w:r>
      <w:r>
        <w:rPr>
          <w:rFonts w:hint="eastAsia" w:ascii="宋体" w:hAnsi="宋体" w:cs="宋体"/>
          <w:szCs w:val="21"/>
        </w:rPr>
        <w:t xml:space="preserve">6.合同条款偏离表</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ascii="宋体" w:hAnsi="宋体" w:cs="宋体"/>
          <w:szCs w:val="21"/>
        </w:rPr>
        <w:t xml:space="preserve">（实质性格式）</w:t>
      </w:r>
      <w:r>
        <w:rPr>
          <w:sz w:val="24"/>
          <w:szCs w:val="20"/>
        </w:rPr>
      </w:r>
      <w:r/>
    </w:p>
    <w:p>
      <w:pPr>
        <w:pStyle w:val="1067"/>
        <w:spacing w:line="360" w:lineRule="auto"/>
        <w:rPr>
          <w:sz w:val="24"/>
          <w:szCs w:val="20"/>
        </w:rPr>
      </w:pPr>
      <w:r>
        <w:rPr>
          <w:sz w:val="24"/>
          <w:szCs w:val="20"/>
        </w:rPr>
      </w:r>
      <w:r/>
    </w:p>
    <w:p>
      <w:pPr>
        <w:pStyle w:val="1067"/>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1067"/>
        <w:spacing w:line="360" w:lineRule="auto"/>
        <w:rPr>
          <w:sz w:val="24"/>
          <w:szCs w:val="20"/>
        </w:rPr>
      </w:pPr>
      <w:r>
        <w:rPr>
          <w:sz w:val="24"/>
          <w:szCs w:val="20"/>
        </w:rPr>
      </w:r>
      <w:r/>
    </w:p>
    <w:p>
      <w:pPr>
        <w:pStyle w:val="1067"/>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1067"/>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1067"/>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1067"/>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bl>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1067"/>
        <w:spacing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1067"/>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1067"/>
        <w:spacing w:line="360" w:lineRule="auto"/>
        <w:rPr>
          <w:sz w:val="24"/>
          <w:szCs w:val="20"/>
        </w:rPr>
        <w:outlineLvl w:val="2"/>
      </w:pPr>
      <w:r>
        <w:rPr>
          <w:sz w:val="24"/>
          <w:szCs w:val="20"/>
        </w:rPr>
        <w:br w:type="page" w:clear="all"/>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rFonts w:hint="eastAsia" w:ascii="宋体" w:hAnsi="宋体" w:cs="宋体"/>
          <w:szCs w:val="21"/>
        </w:rPr>
        <w:t xml:space="preserve">7.采购需求偏离表（实质性格式）</w:t>
      </w:r>
      <w:r>
        <w:rPr>
          <w:sz w:val="24"/>
          <w:szCs w:val="20"/>
        </w:rPr>
      </w:r>
      <w:r/>
    </w:p>
    <w:p>
      <w:pPr>
        <w:pStyle w:val="1067"/>
        <w:jc w:val="center"/>
        <w:spacing w:line="360" w:lineRule="auto"/>
        <w:rPr>
          <w:rFonts w:hint="eastAsia"/>
          <w:b/>
          <w:sz w:val="36"/>
          <w:szCs w:val="36"/>
        </w:rPr>
      </w:pPr>
      <w:r>
        <w:rPr>
          <w:rFonts w:hint="eastAsia"/>
          <w:b/>
          <w:sz w:val="36"/>
          <w:szCs w:val="36"/>
        </w:rPr>
      </w:r>
      <w:r/>
    </w:p>
    <w:p>
      <w:pPr>
        <w:pStyle w:val="1067"/>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1067"/>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bl>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sz w:val="24"/>
          <w:szCs w:val="20"/>
        </w:rPr>
      </w:pPr>
      <w:r>
        <w:rPr>
          <w:rFonts w:hint="eastAsia"/>
          <w:sz w:val="24"/>
          <w:szCs w:val="20"/>
        </w:rPr>
      </w:r>
      <w:r/>
    </w:p>
    <w:p>
      <w:pPr>
        <w:pStyle w:val="1138"/>
        <w:ind w:firstLine="480"/>
        <w:rPr>
          <w:rFonts w:hint="eastAsia"/>
        </w:rPr>
      </w:pPr>
      <w:r>
        <w:rPr>
          <w:rFonts w:hint="eastAsia"/>
        </w:rPr>
      </w:r>
      <w:r/>
    </w:p>
    <w:p>
      <w:pPr>
        <w:pStyle w:val="1067"/>
        <w:rPr>
          <w:rFonts w:hint="eastAsia"/>
          <w:sz w:val="24"/>
          <w:szCs w:val="20"/>
        </w:rPr>
      </w:pPr>
      <w:r>
        <w:rPr>
          <w:rFonts w:hint="eastAsia"/>
          <w:sz w:val="24"/>
          <w:szCs w:val="20"/>
        </w:rPr>
      </w:r>
      <w:r/>
    </w:p>
    <w:p>
      <w:pPr>
        <w:pStyle w:val="1138"/>
        <w:ind w:firstLine="480"/>
        <w:rPr>
          <w:rFonts w:hint="eastAsia"/>
        </w:rPr>
      </w:pPr>
      <w:r>
        <w:rPr>
          <w:rFonts w:hint="eastAsia"/>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color w:val="000000"/>
          <w:szCs w:val="21"/>
          <w:highlight w:val="none"/>
        </w:rPr>
      </w:pPr>
      <w:r>
        <w:rPr>
          <w:rFonts w:hint="eastAsia" w:ascii="宋体" w:hAnsi="宋体" w:cs="宋体"/>
          <w:color w:val="000000"/>
          <w:szCs w:val="21"/>
          <w:highlight w:val="none"/>
        </w:rPr>
        <w:t xml:space="preserve">8.项目实施方案等，包括但不限于如下主题：</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1）项目整体方案；</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安装部署服务方案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运营服务方案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突发事件保障措施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rPr>
          <w:rFonts w:hint="eastAsia" w:ascii="宋体" w:hAnsi="宋体" w:cs="宋体"/>
          <w:szCs w:val="21"/>
        </w:rPr>
      </w:pPr>
      <w:r>
        <w:rPr>
          <w:rFonts w:hint="eastAsia" w:ascii="宋体" w:hAnsi="宋体" w:cs="宋体"/>
          <w:szCs w:val="21"/>
        </w:rPr>
      </w:r>
      <w:r/>
    </w:p>
    <w:p>
      <w:pPr>
        <w:pStyle w:val="1149"/>
        <w:rPr>
          <w:rFonts w:hint="eastAsia"/>
        </w:rPr>
      </w:pPr>
      <w:r>
        <w:rPr>
          <w:rFonts w:hint="eastAsia"/>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1067"/>
        <w:jc w:val="center"/>
        <w:spacing w:line="360" w:lineRule="auto"/>
        <w:rPr>
          <w:rFonts w:hint="eastAsia" w:ascii="宋体" w:hAnsi="宋体"/>
          <w:b/>
          <w:sz w:val="32"/>
          <w:szCs w:val="32"/>
        </w:rPr>
      </w:pPr>
      <w:r>
        <w:rPr>
          <w:rFonts w:hint="eastAsia" w:ascii="宋体" w:hAnsi="宋体"/>
          <w:b/>
          <w:sz w:val="32"/>
          <w:szCs w:val="32"/>
        </w:rPr>
      </w:r>
      <w:r/>
    </w:p>
    <w:p>
      <w:pPr>
        <w:pStyle w:val="106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7"/>
        <w:spacing w:line="360" w:lineRule="auto"/>
        <w:rPr>
          <w:rFonts w:ascii="宋体" w:hAnsi="宋体"/>
          <w:sz w:val="22"/>
        </w:rPr>
      </w:pPr>
      <w:r>
        <w:rPr>
          <w:rFonts w:ascii="宋体" w:hAnsi="宋体"/>
          <w:sz w:val="22"/>
        </w:rPr>
      </w:r>
      <w:r/>
    </w:p>
    <w:p>
      <w:pPr>
        <w:pStyle w:val="1067"/>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329"/>
        <w:ind w:left="0" w:firstLine="0"/>
        <w:rPr>
          <w:rFonts w:hint="eastAsia"/>
          <w:b/>
          <w:bCs/>
          <w:highlight w:val="none"/>
        </w:rPr>
      </w:pPr>
      <w:r>
        <w:rPr>
          <w:rFonts w:hint="eastAsia"/>
          <w:b/>
          <w:bCs/>
          <w:highlight w:val="none"/>
        </w:rPr>
        <w:t xml:space="preserve">注：参加本项目人员须是供应商正式职工。</w:t>
      </w:r>
      <w:r>
        <w:rPr>
          <w:rFonts w:hint="eastAsia"/>
          <w:b/>
          <w:bCs/>
          <w:highlight w:val="none"/>
        </w:rPr>
      </w:r>
      <w:r/>
    </w:p>
    <w:p>
      <w:pPr>
        <w:pStyle w:val="1067"/>
        <w:spacing w:line="360" w:lineRule="auto"/>
        <w:rPr>
          <w:rFonts w:hint="eastAsia" w:ascii="宋体" w:hAnsi="宋体" w:cs="宋体"/>
          <w:szCs w:val="21"/>
        </w:rPr>
      </w:pPr>
      <w:r>
        <w:rPr>
          <w:rFonts w:hint="eastAsia" w:ascii="宋体" w:hAnsi="宋体" w:cs="宋体"/>
          <w:szCs w:val="21"/>
        </w:rPr>
      </w:r>
      <w:r/>
    </w:p>
    <w:p>
      <w:pPr>
        <w:pStyle w:val="1149"/>
        <w:rPr>
          <w:rFonts w:hint="eastAsia"/>
        </w:rPr>
      </w:pPr>
      <w:r>
        <w:rPr>
          <w:rFonts w:hint="eastAsia"/>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ascii="宋体" w:hAnsi="宋体" w:cs="宋体"/>
          <w:szCs w:val="21"/>
        </w:rPr>
      </w:pPr>
      <w:r>
        <w:rPr>
          <w:rFonts w:hint="eastAsia" w:ascii="宋体" w:hAnsi="宋体" w:cs="宋体"/>
          <w:szCs w:val="21"/>
        </w:rPr>
        <w:br w:type="page" w:clear="all"/>
      </w:r>
      <w:bookmarkStart w:id="774" w:name="_Toc288738397"/>
      <w:r/>
      <w:bookmarkStart w:id="775" w:name="_Toc288738839"/>
      <w:r>
        <w:rPr>
          <w:rFonts w:hint="eastAsia" w:ascii="宋体" w:hAnsi="宋体" w:cs="宋体"/>
          <w:szCs w:val="21"/>
        </w:rPr>
        <w:t xml:space="preserve">10.相关业绩案例一览表</w:t>
      </w:r>
      <w:r>
        <w:rPr>
          <w:rFonts w:hint="eastAsia" w:ascii="宋体" w:hAnsi="宋体" w:cs="宋体"/>
          <w:szCs w:val="21"/>
        </w:rPr>
      </w:r>
      <w:r/>
    </w:p>
    <w:p>
      <w:pPr>
        <w:pStyle w:val="1067"/>
        <w:rPr>
          <w:sz w:val="24"/>
          <w:szCs w:val="20"/>
        </w:rPr>
      </w:pPr>
      <w:r>
        <w:rPr>
          <w:sz w:val="24"/>
          <w:szCs w:val="20"/>
        </w:rPr>
      </w:r>
      <w:r/>
    </w:p>
    <w:p>
      <w:pPr>
        <w:pStyle w:val="1067"/>
        <w:jc w:val="center"/>
        <w:rPr>
          <w:rFonts w:ascii="宋体" w:hAnsi="宋体"/>
          <w:b/>
          <w:sz w:val="32"/>
          <w:szCs w:val="32"/>
        </w:rPr>
      </w:pPr>
      <w:r>
        <w:rPr>
          <w:rFonts w:hint="eastAsia" w:ascii="宋体" w:hAnsi="宋体"/>
          <w:b/>
          <w:sz w:val="32"/>
          <w:szCs w:val="32"/>
        </w:rPr>
        <w:t xml:space="preserve">相关业绩案例一览表</w:t>
      </w:r>
      <w:bookmarkEnd w:id="774"/>
      <w:r/>
      <w:bookmarkEnd w:id="775"/>
      <w:r>
        <w:rPr>
          <w:rFonts w:ascii="宋体" w:hAnsi="宋体"/>
          <w:b/>
          <w:sz w:val="32"/>
          <w:szCs w:val="32"/>
        </w:rPr>
      </w:r>
      <w:r/>
    </w:p>
    <w:p>
      <w:pPr>
        <w:pStyle w:val="1067"/>
        <w:jc w:val="center"/>
        <w:spacing w:line="360" w:lineRule="auto"/>
        <w:rPr>
          <w:rFonts w:ascii="宋体" w:hAnsi="宋体"/>
          <w:b/>
          <w:sz w:val="28"/>
          <w:szCs w:val="30"/>
        </w:rPr>
      </w:pPr>
      <w:r>
        <w:rPr>
          <w:rFonts w:ascii="宋体" w:hAnsi="宋体"/>
          <w:b/>
          <w:sz w:val="28"/>
          <w:szCs w:val="30"/>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067"/>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1067"/>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1067"/>
        <w:tabs>
          <w:tab w:val="left" w:pos="9765" w:leader="none"/>
        </w:tabs>
        <w:rPr>
          <w:rFonts w:hint="eastAsia" w:ascii="宋体" w:hAnsi="宋体" w:cs="宋体"/>
          <w:szCs w:val="21"/>
          <w:lang w:val="zh-CN"/>
        </w:rPr>
      </w:pPr>
      <w:r>
        <w:rPr>
          <w:rFonts w:hint="eastAsia" w:ascii="宋体" w:hAnsi="宋体" w:cs="宋体"/>
          <w:szCs w:val="21"/>
          <w:lang w:val="zh-CN"/>
        </w:rPr>
      </w:r>
      <w:r/>
    </w:p>
    <w:p>
      <w:pPr>
        <w:pStyle w:val="1067"/>
        <w:spacing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pPr>
      <w:r/>
      <w:r/>
    </w:p>
    <w:p>
      <w:pPr>
        <w:pStyle w:val="1067"/>
      </w:p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155"/>
        <w:rPr>
          <w:rFonts w:hint="eastAsia"/>
          <w:sz w:val="24"/>
          <w:szCs w:val="20"/>
        </w:rPr>
      </w:pPr>
      <w:r>
        <w:rPr>
          <w:rFonts w:hint="eastAsia"/>
          <w:sz w:val="24"/>
          <w:szCs w:val="20"/>
        </w:rPr>
      </w:r>
      <w:r/>
    </w:p>
    <w:p>
      <w:pPr>
        <w:pStyle w:val="1067"/>
        <w:spacing w:line="360" w:lineRule="auto"/>
        <w:rPr>
          <w:sz w:val="24"/>
          <w:szCs w:val="20"/>
        </w:rPr>
        <w:outlineLvl w:val="2"/>
      </w:pPr>
      <w:r>
        <w:rPr>
          <w:sz w:val="24"/>
          <w:szCs w:val="20"/>
        </w:rPr>
      </w:r>
      <w:r/>
    </w:p>
    <w:p>
      <w:pPr>
        <w:pStyle w:val="1067"/>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1067"/>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1067"/>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67"/>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106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1067"/>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1067"/>
        <w:jc w:val="left"/>
        <w:widowControl/>
        <w:rPr>
          <w:b/>
          <w:sz w:val="36"/>
          <w:szCs w:val="36"/>
        </w:rPr>
      </w:pPr>
      <w:r>
        <w:rPr>
          <w:b/>
          <w:sz w:val="36"/>
          <w:szCs w:val="36"/>
        </w:rPr>
      </w:r>
      <w:r/>
    </w:p>
    <w:p>
      <w:pPr>
        <w:pStyle w:val="1155"/>
        <w:ind w:firstLine="723"/>
        <w:rPr>
          <w:b/>
          <w:sz w:val="36"/>
          <w:szCs w:val="36"/>
        </w:rPr>
      </w:pPr>
      <w:r>
        <w:rPr>
          <w:b/>
          <w:sz w:val="36"/>
          <w:szCs w:val="36"/>
        </w:rPr>
      </w:r>
      <w:r/>
    </w:p>
    <w:p>
      <w:pPr>
        <w:pStyle w:val="1155"/>
        <w:ind w:firstLine="723"/>
        <w:rPr>
          <w:b/>
          <w:sz w:val="36"/>
          <w:szCs w:val="36"/>
        </w:rPr>
      </w:pPr>
      <w:r>
        <w:rPr>
          <w:b/>
          <w:sz w:val="36"/>
          <w:szCs w:val="36"/>
        </w:rPr>
      </w:r>
      <w:r/>
    </w:p>
    <w:p>
      <w:pPr>
        <w:pStyle w:val="1155"/>
        <w:ind w:firstLine="723"/>
        <w:rPr>
          <w:b/>
          <w:sz w:val="36"/>
          <w:szCs w:val="36"/>
        </w:rPr>
      </w:pPr>
      <w:r>
        <w:rPr>
          <w:b/>
          <w:sz w:val="36"/>
          <w:szCs w:val="36"/>
        </w:rPr>
      </w:r>
      <w:r/>
    </w:p>
    <w:p>
      <w:pPr>
        <w:pStyle w:val="1155"/>
        <w:ind w:firstLine="723"/>
        <w:rPr>
          <w:b/>
          <w:sz w:val="36"/>
          <w:szCs w:val="36"/>
        </w:rPr>
      </w:pPr>
      <w:r>
        <w:rPr>
          <w:b/>
          <w:sz w:val="36"/>
          <w:szCs w:val="36"/>
        </w:rPr>
      </w:r>
      <w:r/>
    </w:p>
    <w:p>
      <w:pPr>
        <w:pStyle w:val="1067"/>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1067"/>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方正仿宋_GB2312">
    <w:panose1 w:val="020B0503020202020204"/>
  </w:font>
  <w:font w:name="FangSong_GB2312">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r>
    <w:r/>
  </w:p>
  <w:p>
    <w:pPr>
      <w:pStyle w:val="1117"/>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06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067"/>
                    </w:pPr>
                    <w:r/>
                    <w:r/>
                  </w:p>
                </w:txbxContent>
              </v:textbox>
            </v:shape>
          </w:pict>
        </mc:Fallback>
      </mc:AlternateContent>
    </w:r>
    <w:r>
      <w:rPr>
        <w:rFonts w:eastAsia="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7"/>
      <w:ind w:right="360"/>
      <w:tabs>
        <w:tab w:val="center" w:pos="4153" w:leader="none"/>
        <w:tab w:val="right" w:pos="8306" w:leader="none"/>
      </w:tabs>
    </w:pPr>
    <w:r/>
    <w:r/>
  </w:p>
  <w:p>
    <w:pPr>
      <w:pStyle w:val="106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p>
    <w:pPr>
      <w:pStyle w:val="106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4"/>
      <w:isLgl w:val="false"/>
      <w:suff w:val="tab"/>
      <w:lvlText w:val="%1."/>
      <w:lvlJc w:val="left"/>
      <w:pPr>
        <w:pStyle w:val="1067"/>
        <w:ind w:left="420" w:hanging="420"/>
      </w:pPr>
    </w:lvl>
    <w:lvl w:ilvl="1">
      <w:start w:val="1"/>
      <w:numFmt w:val="decimal"/>
      <w:isLgl w:val="false"/>
      <w:suff w:val="tab"/>
      <w:lvlText w:val="（%2）"/>
      <w:lvlJc w:val="left"/>
      <w:pPr>
        <w:pStyle w:val="1067"/>
        <w:ind w:left="1140" w:hanging="720"/>
        <w:tabs>
          <w:tab w:val="num" w:pos="1140" w:leader="none"/>
        </w:tabs>
      </w:pPr>
      <w:rPr>
        <w:rFonts w:hint="eastAsia"/>
      </w:rPr>
    </w:lvl>
    <w:lvl w:ilvl="2">
      <w:start w:val="1"/>
      <w:numFmt w:val="lowerRoman"/>
      <w:isLgl w:val="false"/>
      <w:suff w:val="tab"/>
      <w:lvlText w:val="%3."/>
      <w:lvlJc w:val="right"/>
      <w:pPr>
        <w:pStyle w:val="1067"/>
        <w:ind w:left="1260" w:hanging="420"/>
      </w:pPr>
    </w:lvl>
    <w:lvl w:ilvl="3">
      <w:start w:val="1"/>
      <w:numFmt w:val="decimal"/>
      <w:isLgl w:val="false"/>
      <w:suff w:val="tab"/>
      <w:lvlText w:val="%4."/>
      <w:lvlJc w:val="left"/>
      <w:pPr>
        <w:pStyle w:val="1067"/>
        <w:ind w:left="1680" w:hanging="420"/>
      </w:pPr>
    </w:lvl>
    <w:lvl w:ilvl="4">
      <w:start w:val="1"/>
      <w:numFmt w:val="lowerLetter"/>
      <w:isLgl w:val="false"/>
      <w:suff w:val="tab"/>
      <w:lvlText w:val="%5)"/>
      <w:lvlJc w:val="left"/>
      <w:pPr>
        <w:pStyle w:val="1067"/>
        <w:ind w:left="2100" w:hanging="420"/>
      </w:pPr>
    </w:lvl>
    <w:lvl w:ilvl="5">
      <w:start w:val="1"/>
      <w:numFmt w:val="lowerRoman"/>
      <w:isLgl w:val="false"/>
      <w:suff w:val="tab"/>
      <w:lvlText w:val="%6."/>
      <w:lvlJc w:val="right"/>
      <w:pPr>
        <w:pStyle w:val="1067"/>
        <w:ind w:left="2520" w:hanging="420"/>
      </w:pPr>
    </w:lvl>
    <w:lvl w:ilvl="6">
      <w:start w:val="1"/>
      <w:numFmt w:val="decimal"/>
      <w:isLgl w:val="false"/>
      <w:suff w:val="tab"/>
      <w:lvlText w:val="%7."/>
      <w:lvlJc w:val="left"/>
      <w:pPr>
        <w:pStyle w:val="1067"/>
        <w:ind w:left="2940" w:hanging="420"/>
      </w:pPr>
    </w:lvl>
    <w:lvl w:ilvl="7">
      <w:start w:val="1"/>
      <w:numFmt w:val="lowerLetter"/>
      <w:isLgl w:val="false"/>
      <w:suff w:val="tab"/>
      <w:lvlText w:val="%8)"/>
      <w:lvlJc w:val="left"/>
      <w:pPr>
        <w:pStyle w:val="1067"/>
        <w:ind w:left="3360" w:hanging="420"/>
      </w:pPr>
    </w:lvl>
    <w:lvl w:ilvl="8">
      <w:start w:val="1"/>
      <w:numFmt w:val="lowerRoman"/>
      <w:isLgl w:val="false"/>
      <w:suff w:val="tab"/>
      <w:lvlText w:val="%9."/>
      <w:lvlJc w:val="right"/>
      <w:pPr>
        <w:pStyle w:val="1067"/>
        <w:ind w:left="3780" w:hanging="420"/>
      </w:pPr>
    </w:lvl>
  </w:abstractNum>
  <w:abstractNum w:abstractNumId="1">
    <w:multiLevelType w:val="hybridMultilevel"/>
    <w:lvl w:ilvl="0">
      <w:start w:val="1"/>
      <w:numFmt w:val="lowerLetter"/>
      <w:pStyle w:val="1259"/>
      <w:isLgl w:val="false"/>
      <w:suff w:val="tab"/>
      <w:lvlText w:val="%1)"/>
      <w:lvlJc w:val="left"/>
      <w:pPr>
        <w:pStyle w:val="1067"/>
        <w:ind w:left="902" w:hanging="420"/>
      </w:pPr>
      <w:rPr>
        <w:color w:val="000000"/>
      </w:rPr>
    </w:lvl>
    <w:lvl w:ilvl="1">
      <w:start w:val="1"/>
      <w:numFmt w:val="lowerLetter"/>
      <w:isLgl w:val="false"/>
      <w:suff w:val="tab"/>
      <w:lvlText w:val="%2)"/>
      <w:lvlJc w:val="left"/>
      <w:pPr>
        <w:pStyle w:val="1067"/>
        <w:ind w:left="1322" w:hanging="420"/>
      </w:pPr>
    </w:lvl>
    <w:lvl w:ilvl="2">
      <w:start w:val="1"/>
      <w:numFmt w:val="lowerRoman"/>
      <w:isLgl w:val="false"/>
      <w:suff w:val="tab"/>
      <w:lvlText w:val="%3."/>
      <w:lvlJc w:val="right"/>
      <w:pPr>
        <w:pStyle w:val="1067"/>
        <w:ind w:left="1742" w:hanging="420"/>
      </w:pPr>
    </w:lvl>
    <w:lvl w:ilvl="3">
      <w:start w:val="1"/>
      <w:numFmt w:val="decimal"/>
      <w:isLgl w:val="false"/>
      <w:suff w:val="tab"/>
      <w:lvlText w:val="%4."/>
      <w:lvlJc w:val="left"/>
      <w:pPr>
        <w:pStyle w:val="1067"/>
        <w:ind w:left="2162" w:hanging="420"/>
      </w:pPr>
    </w:lvl>
    <w:lvl w:ilvl="4">
      <w:start w:val="1"/>
      <w:numFmt w:val="lowerLetter"/>
      <w:isLgl w:val="false"/>
      <w:suff w:val="tab"/>
      <w:lvlText w:val="%5)"/>
      <w:lvlJc w:val="left"/>
      <w:pPr>
        <w:pStyle w:val="1067"/>
        <w:ind w:left="2582" w:hanging="420"/>
      </w:pPr>
    </w:lvl>
    <w:lvl w:ilvl="5">
      <w:start w:val="1"/>
      <w:numFmt w:val="lowerRoman"/>
      <w:isLgl w:val="false"/>
      <w:suff w:val="tab"/>
      <w:lvlText w:val="%6."/>
      <w:lvlJc w:val="right"/>
      <w:pPr>
        <w:pStyle w:val="1067"/>
        <w:ind w:left="3002" w:hanging="420"/>
      </w:pPr>
    </w:lvl>
    <w:lvl w:ilvl="6">
      <w:start w:val="1"/>
      <w:numFmt w:val="decimal"/>
      <w:isLgl w:val="false"/>
      <w:suff w:val="tab"/>
      <w:lvlText w:val="%7."/>
      <w:lvlJc w:val="left"/>
      <w:pPr>
        <w:pStyle w:val="1067"/>
        <w:ind w:left="3422" w:hanging="420"/>
      </w:pPr>
    </w:lvl>
    <w:lvl w:ilvl="7">
      <w:start w:val="1"/>
      <w:numFmt w:val="lowerLetter"/>
      <w:isLgl w:val="false"/>
      <w:suff w:val="tab"/>
      <w:lvlText w:val="%8)"/>
      <w:lvlJc w:val="left"/>
      <w:pPr>
        <w:pStyle w:val="1067"/>
        <w:ind w:left="3842" w:hanging="420"/>
      </w:pPr>
    </w:lvl>
    <w:lvl w:ilvl="8">
      <w:start w:val="1"/>
      <w:numFmt w:val="lowerRoman"/>
      <w:isLgl w:val="false"/>
      <w:suff w:val="tab"/>
      <w:lvlText w:val="%9."/>
      <w:lvlJc w:val="right"/>
      <w:pPr>
        <w:pStyle w:val="1067"/>
        <w:ind w:left="4262" w:hanging="420"/>
      </w:pPr>
    </w:lvl>
  </w:abstractNum>
  <w:abstractNum w:abstractNumId="2">
    <w:multiLevelType w:val="hybridMultilevel"/>
    <w:lvl w:ilvl="0">
      <w:start w:val="1"/>
      <w:numFmt w:val="decimal"/>
      <w:pStyle w:val="1229"/>
      <w:isLgl w:val="false"/>
      <w:suff w:val="tab"/>
      <w:lvlText w:val="%1."/>
      <w:lvlJc w:val="left"/>
      <w:pPr>
        <w:pStyle w:val="106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8"/>
      <w:isLgl w:val="false"/>
      <w:suff w:val="nothing"/>
      <w:lvlText w:val="%1　"/>
      <w:lvlJc w:val="left"/>
      <w:pPr>
        <w:pStyle w:val="106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7"/>
        <w:ind w:left="-25" w:firstLine="0"/>
      </w:pPr>
      <w:rPr>
        <w:rFonts w:ascii="Times New Roman" w:hAnsi="Times New Roman" w:eastAsia="黑体"/>
        <w:b/>
        <w:i w:val="0"/>
        <w:sz w:val="28"/>
      </w:rPr>
    </w:lvl>
    <w:lvl w:ilvl="3">
      <w:start w:val="1"/>
      <w:numFmt w:val="decimal"/>
      <w:pStyle w:val="1214"/>
      <w:isLgl w:val="false"/>
      <w:suff w:val="nothing"/>
      <w:lvlText w:val="%1.%2.%3.%4　"/>
      <w:lvlJc w:val="left"/>
      <w:pPr>
        <w:pStyle w:val="106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7"/>
        <w:ind w:left="-25" w:firstLine="0"/>
      </w:pPr>
      <w:rPr>
        <w:rFonts w:ascii="Times New Roman" w:hAnsi="Times New Roman" w:eastAsia="宋体"/>
        <w:b/>
        <w:i w:val="0"/>
        <w:sz w:val="28"/>
      </w:rPr>
    </w:lvl>
    <w:lvl w:ilvl="6">
      <w:start w:val="1"/>
      <w:numFmt w:val="lowerLetter"/>
      <w:pStyle w:val="1235"/>
      <w:isLgl w:val="false"/>
      <w:suff w:val="tab"/>
      <w:lvlText w:val="%7) "/>
      <w:lvlJc w:val="left"/>
      <w:pPr>
        <w:pStyle w:val="1067"/>
        <w:ind w:left="-125" w:firstLine="400"/>
        <w:tabs>
          <w:tab w:val="num" w:pos="635" w:leader="none"/>
        </w:tabs>
      </w:pPr>
      <w:rPr>
        <w:rFonts w:ascii="Times New Roman" w:hAnsi="Times New Roman" w:eastAsia="宋体"/>
        <w:b/>
        <w:i w:val="0"/>
        <w:color w:val="000000"/>
        <w:sz w:val="28"/>
        <w:u w:val="none"/>
      </w:rPr>
    </w:lvl>
    <w:lvl w:ilvl="7">
      <w:start w:val="1"/>
      <w:numFmt w:val="decimal"/>
      <w:pStyle w:val="1198"/>
      <w:isLgl w:val="false"/>
      <w:suff w:val="tab"/>
      <w:lvlText w:val="%8) "/>
      <w:lvlJc w:val="left"/>
      <w:pPr>
        <w:pStyle w:val="106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067"/>
        <w:ind w:left="768" w:hanging="360"/>
        <w:tabs>
          <w:tab w:val="num" w:pos="768" w:leader="none"/>
        </w:tabs>
      </w:pPr>
      <w:rPr>
        <w:rFonts w:hint="eastAsia"/>
      </w:rPr>
    </w:lvl>
    <w:lvl w:ilvl="1">
      <w:start w:val="1"/>
      <w:numFmt w:val="decimal"/>
      <w:pStyle w:val="1216"/>
      <w:isLgl w:val="false"/>
      <w:suff w:val="tab"/>
      <w:lvlText w:val="%2、"/>
      <w:lvlJc w:val="left"/>
      <w:pPr>
        <w:pStyle w:val="1067"/>
        <w:ind w:left="1188" w:hanging="360"/>
        <w:tabs>
          <w:tab w:val="num" w:pos="1188" w:leader="none"/>
        </w:tabs>
      </w:pPr>
      <w:rPr>
        <w:rFonts w:hint="eastAsia"/>
      </w:rPr>
    </w:lvl>
    <w:lvl w:ilvl="2">
      <w:start w:val="1"/>
      <w:numFmt w:val="decimal"/>
      <w:isLgl w:val="false"/>
      <w:suff w:val="tab"/>
      <w:lvlText w:val="（%3）"/>
      <w:lvlJc w:val="left"/>
      <w:pPr>
        <w:pStyle w:val="1067"/>
        <w:ind w:left="1968" w:hanging="720"/>
        <w:tabs>
          <w:tab w:val="num" w:pos="1968" w:leader="none"/>
        </w:tabs>
      </w:pPr>
      <w:rPr>
        <w:rFonts w:hint="eastAsia"/>
        <w:u w:val="none"/>
      </w:rPr>
    </w:lvl>
    <w:lvl w:ilvl="3">
      <w:start w:val="1"/>
      <w:numFmt w:val="decimal"/>
      <w:isLgl w:val="false"/>
      <w:suff w:val="tab"/>
      <w:lvlText w:val="%4."/>
      <w:lvlJc w:val="left"/>
      <w:pPr>
        <w:pStyle w:val="1067"/>
        <w:ind w:left="2088" w:hanging="420"/>
        <w:tabs>
          <w:tab w:val="num" w:pos="2088" w:leader="none"/>
        </w:tabs>
      </w:pPr>
    </w:lvl>
    <w:lvl w:ilvl="4">
      <w:start w:val="1"/>
      <w:numFmt w:val="lowerLetter"/>
      <w:isLgl w:val="false"/>
      <w:suff w:val="tab"/>
      <w:lvlText w:val="%5)"/>
      <w:lvlJc w:val="left"/>
      <w:pPr>
        <w:pStyle w:val="1067"/>
        <w:ind w:left="2508" w:hanging="420"/>
        <w:tabs>
          <w:tab w:val="num" w:pos="2508" w:leader="none"/>
        </w:tabs>
      </w:pPr>
    </w:lvl>
    <w:lvl w:ilvl="5">
      <w:start w:val="1"/>
      <w:numFmt w:val="lowerRoman"/>
      <w:isLgl w:val="false"/>
      <w:suff w:val="tab"/>
      <w:lvlText w:val="%6."/>
      <w:lvlJc w:val="right"/>
      <w:pPr>
        <w:pStyle w:val="1067"/>
        <w:ind w:left="2928" w:hanging="420"/>
        <w:tabs>
          <w:tab w:val="num" w:pos="2928" w:leader="none"/>
        </w:tabs>
      </w:pPr>
    </w:lvl>
    <w:lvl w:ilvl="6">
      <w:start w:val="1"/>
      <w:numFmt w:val="decimal"/>
      <w:isLgl w:val="false"/>
      <w:suff w:val="tab"/>
      <w:lvlText w:val="%7."/>
      <w:lvlJc w:val="left"/>
      <w:pPr>
        <w:pStyle w:val="1067"/>
        <w:ind w:left="3348" w:hanging="420"/>
        <w:tabs>
          <w:tab w:val="num" w:pos="3348" w:leader="none"/>
        </w:tabs>
      </w:pPr>
    </w:lvl>
    <w:lvl w:ilvl="7">
      <w:start w:val="1"/>
      <w:numFmt w:val="lowerLetter"/>
      <w:isLgl w:val="false"/>
      <w:suff w:val="tab"/>
      <w:lvlText w:val="%8)"/>
      <w:lvlJc w:val="left"/>
      <w:pPr>
        <w:pStyle w:val="1067"/>
        <w:ind w:left="3768" w:hanging="420"/>
        <w:tabs>
          <w:tab w:val="num" w:pos="3768" w:leader="none"/>
        </w:tabs>
      </w:pPr>
    </w:lvl>
    <w:lvl w:ilvl="8">
      <w:start w:val="1"/>
      <w:numFmt w:val="lowerRoman"/>
      <w:isLgl w:val="false"/>
      <w:suff w:val="tab"/>
      <w:lvlText w:val="%9."/>
      <w:lvlJc w:val="right"/>
      <w:pPr>
        <w:pStyle w:val="1067"/>
        <w:ind w:left="4188" w:hanging="420"/>
        <w:tabs>
          <w:tab w:val="num" w:pos="4188" w:leader="none"/>
        </w:tabs>
      </w:pPr>
    </w:lvl>
  </w:abstractNum>
  <w:abstractNum w:abstractNumId="5">
    <w:multiLevelType w:val="hybridMultilevel"/>
    <w:lvl w:ilvl="0">
      <w:start w:val="1"/>
      <w:numFmt w:val="decimal"/>
      <w:pStyle w:val="1183"/>
      <w:isLgl w:val="false"/>
      <w:suff w:val="tab"/>
      <w:lvlText w:val="%1)"/>
      <w:lvlJc w:val="left"/>
      <w:pPr>
        <w:pStyle w:val="1067"/>
        <w:ind w:left="420" w:hanging="420"/>
      </w:pPr>
    </w:lvl>
    <w:lvl w:ilvl="1">
      <w:start w:val="1"/>
      <w:numFmt w:val="lowerLetter"/>
      <w:isLgl w:val="false"/>
      <w:suff w:val="tab"/>
      <w:lvlText w:val="%2)"/>
      <w:lvlJc w:val="left"/>
      <w:pPr>
        <w:pStyle w:val="1067"/>
        <w:ind w:left="840" w:hanging="420"/>
      </w:pPr>
    </w:lvl>
    <w:lvl w:ilvl="2">
      <w:start w:val="1"/>
      <w:numFmt w:val="lowerRoman"/>
      <w:isLgl w:val="false"/>
      <w:suff w:val="tab"/>
      <w:lvlText w:val="%3."/>
      <w:lvlJc w:val="right"/>
      <w:pPr>
        <w:pStyle w:val="1067"/>
        <w:ind w:left="1260" w:hanging="420"/>
      </w:pPr>
    </w:lvl>
    <w:lvl w:ilvl="3">
      <w:start w:val="1"/>
      <w:numFmt w:val="decimal"/>
      <w:isLgl w:val="false"/>
      <w:suff w:val="tab"/>
      <w:lvlText w:val="%4."/>
      <w:lvlJc w:val="left"/>
      <w:pPr>
        <w:pStyle w:val="1067"/>
        <w:ind w:left="1680" w:hanging="420"/>
      </w:pPr>
    </w:lvl>
    <w:lvl w:ilvl="4">
      <w:start w:val="1"/>
      <w:numFmt w:val="lowerLetter"/>
      <w:isLgl w:val="false"/>
      <w:suff w:val="tab"/>
      <w:lvlText w:val="%5)"/>
      <w:lvlJc w:val="left"/>
      <w:pPr>
        <w:pStyle w:val="1067"/>
        <w:ind w:left="2100" w:hanging="420"/>
      </w:pPr>
    </w:lvl>
    <w:lvl w:ilvl="5">
      <w:start w:val="1"/>
      <w:numFmt w:val="lowerRoman"/>
      <w:isLgl w:val="false"/>
      <w:suff w:val="tab"/>
      <w:lvlText w:val="%6."/>
      <w:lvlJc w:val="right"/>
      <w:pPr>
        <w:pStyle w:val="1067"/>
        <w:ind w:left="2520" w:hanging="420"/>
      </w:pPr>
    </w:lvl>
    <w:lvl w:ilvl="6">
      <w:start w:val="1"/>
      <w:numFmt w:val="decimal"/>
      <w:isLgl w:val="false"/>
      <w:suff w:val="tab"/>
      <w:lvlText w:val="%7."/>
      <w:lvlJc w:val="left"/>
      <w:pPr>
        <w:pStyle w:val="1067"/>
        <w:ind w:left="2940" w:hanging="420"/>
      </w:pPr>
    </w:lvl>
    <w:lvl w:ilvl="7">
      <w:start w:val="1"/>
      <w:numFmt w:val="lowerLetter"/>
      <w:isLgl w:val="false"/>
      <w:suff w:val="tab"/>
      <w:lvlText w:val="%8)"/>
      <w:lvlJc w:val="left"/>
      <w:pPr>
        <w:pStyle w:val="1067"/>
        <w:ind w:left="3360" w:hanging="420"/>
      </w:pPr>
    </w:lvl>
    <w:lvl w:ilvl="8">
      <w:start w:val="1"/>
      <w:numFmt w:val="lowerRoman"/>
      <w:isLgl w:val="false"/>
      <w:suff w:val="tab"/>
      <w:lvlText w:val="%9."/>
      <w:lvlJc w:val="right"/>
      <w:pPr>
        <w:pStyle w:val="1067"/>
        <w:ind w:left="3780" w:hanging="420"/>
      </w:pPr>
    </w:lvl>
  </w:abstractNum>
  <w:abstractNum w:abstractNumId="6">
    <w:multiLevelType w:val="hybridMultilevel"/>
    <w:lvl w:ilvl="0">
      <w:start w:val="1"/>
      <w:numFmt w:val="decimal"/>
      <w:pStyle w:val="1284"/>
      <w:isLgl w:val="false"/>
      <w:suff w:val="tab"/>
      <w:lvlText w:val="%1"/>
      <w:lvlJc w:val="left"/>
      <w:pPr>
        <w:pStyle w:val="1067"/>
        <w:ind w:left="680" w:hanging="680"/>
      </w:pPr>
      <w:rPr>
        <w:rFonts w:hint="eastAsia" w:ascii="宋体" w:hAnsi="宋体" w:eastAsia="宋体"/>
      </w:rPr>
    </w:lvl>
    <w:lvl w:ilvl="1">
      <w:start w:val="1"/>
      <w:numFmt w:val="decimal"/>
      <w:pStyle w:val="1285"/>
      <w:isLgl w:val="false"/>
      <w:suff w:val="tab"/>
      <w:lvlText w:val="%1.%2"/>
      <w:lvlJc w:val="left"/>
      <w:pPr>
        <w:pStyle w:val="1067"/>
        <w:ind w:left="851" w:hanging="851"/>
      </w:pPr>
      <w:rPr>
        <w:rFonts w:hint="eastAsia" w:ascii="宋体" w:hAnsi="宋体" w:eastAsia="宋体"/>
        <w:color w:val="000000"/>
      </w:rPr>
    </w:lvl>
    <w:lvl w:ilvl="2">
      <w:start w:val="1"/>
      <w:numFmt w:val="decimal"/>
      <w:pStyle w:val="1286"/>
      <w:isLgl w:val="false"/>
      <w:suff w:val="tab"/>
      <w:lvlText w:val="%1.%2.%3"/>
      <w:lvlJc w:val="left"/>
      <w:pPr>
        <w:pStyle w:val="1067"/>
        <w:ind w:left="851" w:hanging="851"/>
      </w:pPr>
      <w:rPr>
        <w:rFonts w:hint="eastAsia"/>
      </w:rPr>
    </w:lvl>
    <w:lvl w:ilvl="3">
      <w:start w:val="1"/>
      <w:numFmt w:val="decimal"/>
      <w:isLgl w:val="false"/>
      <w:suff w:val="tab"/>
      <w:lvlText w:val="%1.%2.%3.%4"/>
      <w:lvlJc w:val="left"/>
      <w:pPr>
        <w:pStyle w:val="1067"/>
        <w:ind w:left="680" w:hanging="680"/>
      </w:pPr>
      <w:rPr>
        <w:rFonts w:hint="eastAsia"/>
      </w:rPr>
    </w:lvl>
    <w:lvl w:ilvl="4">
      <w:start w:val="1"/>
      <w:numFmt w:val="decimal"/>
      <w:isLgl w:val="false"/>
      <w:suff w:val="tab"/>
      <w:lvlText w:val="%1.%2.%3.%4.%5"/>
      <w:lvlJc w:val="left"/>
      <w:pPr>
        <w:pStyle w:val="1067"/>
        <w:ind w:left="680" w:hanging="680"/>
      </w:pPr>
      <w:rPr>
        <w:rFonts w:hint="eastAsia"/>
      </w:rPr>
    </w:lvl>
    <w:lvl w:ilvl="5">
      <w:start w:val="1"/>
      <w:numFmt w:val="decimal"/>
      <w:isLgl w:val="false"/>
      <w:suff w:val="tab"/>
      <w:lvlText w:val="%1.%2.%3.%4.%5.%6"/>
      <w:lvlJc w:val="left"/>
      <w:pPr>
        <w:pStyle w:val="1067"/>
        <w:ind w:left="680" w:hanging="680"/>
      </w:pPr>
      <w:rPr>
        <w:rFonts w:hint="eastAsia"/>
      </w:rPr>
    </w:lvl>
    <w:lvl w:ilvl="6">
      <w:start w:val="1"/>
      <w:numFmt w:val="decimal"/>
      <w:isLgl w:val="false"/>
      <w:suff w:val="tab"/>
      <w:lvlText w:val="%1.%2.%3.%4.%5.%6.%7"/>
      <w:lvlJc w:val="left"/>
      <w:pPr>
        <w:pStyle w:val="1067"/>
        <w:ind w:left="680" w:hanging="680"/>
      </w:pPr>
      <w:rPr>
        <w:rFonts w:hint="eastAsia"/>
      </w:rPr>
    </w:lvl>
    <w:lvl w:ilvl="7">
      <w:start w:val="1"/>
      <w:numFmt w:val="decimal"/>
      <w:isLgl w:val="false"/>
      <w:suff w:val="tab"/>
      <w:lvlText w:val="%1.%2.%3.%4.%5.%6.%7.%8"/>
      <w:lvlJc w:val="left"/>
      <w:pPr>
        <w:pStyle w:val="1067"/>
        <w:ind w:left="680" w:hanging="680"/>
      </w:pPr>
      <w:rPr>
        <w:rFonts w:hint="eastAsia"/>
      </w:rPr>
    </w:lvl>
    <w:lvl w:ilvl="8">
      <w:start w:val="1"/>
      <w:numFmt w:val="decimal"/>
      <w:isLgl w:val="false"/>
      <w:suff w:val="tab"/>
      <w:lvlText w:val="%1.%2.%3.%4.%5.%6.%7.%8.%9"/>
      <w:lvlJc w:val="left"/>
      <w:pPr>
        <w:pStyle w:val="1067"/>
        <w:ind w:left="680" w:hanging="680"/>
      </w:pPr>
      <w:rPr>
        <w:rFonts w:hint="eastAsia"/>
      </w:rPr>
    </w:lvl>
  </w:abstractNum>
  <w:abstractNum w:abstractNumId="7">
    <w:multiLevelType w:val="hybridMultilevel"/>
    <w:lvl w:ilvl="0">
      <w:start w:val="2"/>
      <w:numFmt w:val="chineseCounting"/>
      <w:isLgl w:val="false"/>
      <w:suff w:val="nothing"/>
      <w:lvlText w:val="%1、"/>
      <w:lvlJc w:val="left"/>
      <w:pPr>
        <w:pStyle w:val="10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67"/>
        <w:ind w:left="900" w:hanging="900"/>
        <w:tabs>
          <w:tab w:val="num" w:pos="900" w:leader="none"/>
        </w:tabs>
      </w:pPr>
      <w:rPr>
        <w:rFonts w:hint="eastAsia"/>
      </w:rPr>
    </w:lvl>
    <w:lvl w:ilvl="1">
      <w:start w:val="1"/>
      <w:numFmt w:val="decimal"/>
      <w:isLgl w:val="false"/>
      <w:suff w:val="tab"/>
      <w:lvlText w:val="%1.%2"/>
      <w:lvlJc w:val="left"/>
      <w:pPr>
        <w:pStyle w:val="106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7"/>
        <w:ind w:left="1980" w:hanging="900"/>
        <w:tabs>
          <w:tab w:val="num" w:pos="1980" w:leader="none"/>
        </w:tabs>
      </w:pPr>
      <w:rPr>
        <w:rFonts w:hint="eastAsia"/>
      </w:rPr>
    </w:lvl>
    <w:lvl w:ilvl="3">
      <w:start w:val="1"/>
      <w:numFmt w:val="decimal"/>
      <w:isLgl w:val="false"/>
      <w:suff w:val="tab"/>
      <w:lvlText w:val="%1.%2.%3.%4"/>
      <w:lvlJc w:val="left"/>
      <w:pPr>
        <w:pStyle w:val="1067"/>
        <w:ind w:left="900" w:hanging="900"/>
        <w:tabs>
          <w:tab w:val="num" w:pos="900" w:leader="none"/>
        </w:tabs>
      </w:pPr>
      <w:rPr>
        <w:rFonts w:hint="eastAsia"/>
      </w:rPr>
    </w:lvl>
    <w:lvl w:ilvl="4">
      <w:start w:val="1"/>
      <w:numFmt w:val="decimal"/>
      <w:isLgl w:val="false"/>
      <w:suff w:val="tab"/>
      <w:lvlText w:val="%1.%2.%3.%4.%5"/>
      <w:lvlJc w:val="left"/>
      <w:pPr>
        <w:pStyle w:val="1067"/>
        <w:ind w:left="900" w:hanging="900"/>
        <w:tabs>
          <w:tab w:val="num" w:pos="900" w:leader="none"/>
        </w:tabs>
      </w:pPr>
      <w:rPr>
        <w:rFonts w:hint="eastAsia"/>
      </w:rPr>
    </w:lvl>
    <w:lvl w:ilvl="5">
      <w:start w:val="1"/>
      <w:numFmt w:val="decimal"/>
      <w:isLgl w:val="false"/>
      <w:suff w:val="tab"/>
      <w:lvlText w:val="%1.%2.%3.%4.%5.%6"/>
      <w:lvlJc w:val="left"/>
      <w:pPr>
        <w:pStyle w:val="1067"/>
        <w:ind w:left="900" w:hanging="900"/>
        <w:tabs>
          <w:tab w:val="num" w:pos="900" w:leader="none"/>
        </w:tabs>
      </w:pPr>
      <w:rPr>
        <w:rFonts w:hint="eastAsia"/>
      </w:rPr>
    </w:lvl>
    <w:lvl w:ilvl="6">
      <w:start w:val="1"/>
      <w:numFmt w:val="decimal"/>
      <w:isLgl w:val="false"/>
      <w:suff w:val="tab"/>
      <w:lvlText w:val="%1.%2.%3.%4.%5.%6.%7"/>
      <w:lvlJc w:val="left"/>
      <w:pPr>
        <w:pStyle w:val="1067"/>
        <w:ind w:left="900" w:hanging="900"/>
        <w:tabs>
          <w:tab w:val="num" w:pos="900" w:leader="none"/>
        </w:tabs>
      </w:pPr>
      <w:rPr>
        <w:rFonts w:hint="eastAsia"/>
      </w:rPr>
    </w:lvl>
    <w:lvl w:ilvl="7">
      <w:start w:val="1"/>
      <w:numFmt w:val="decimal"/>
      <w:isLgl w:val="false"/>
      <w:suff w:val="tab"/>
      <w:lvlText w:val="%1.%2.%3.%4.%5.%6.%7.%8"/>
      <w:lvlJc w:val="left"/>
      <w:pPr>
        <w:pStyle w:val="1067"/>
        <w:ind w:left="900" w:hanging="900"/>
        <w:tabs>
          <w:tab w:val="num" w:pos="900" w:leader="none"/>
        </w:tabs>
      </w:pPr>
      <w:rPr>
        <w:rFonts w:hint="eastAsia"/>
      </w:rPr>
    </w:lvl>
    <w:lvl w:ilvl="8">
      <w:start w:val="1"/>
      <w:numFmt w:val="decimal"/>
      <w:isLgl w:val="false"/>
      <w:suff w:val="tab"/>
      <w:lvlText w:val="%1.%2.%3.%4.%5.%6.%7.%8.%9"/>
      <w:lvlJc w:val="left"/>
      <w:pPr>
        <w:pStyle w:val="1067"/>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name w:val="Heading 1"/>
    <w:basedOn w:val="1067"/>
    <w:next w:val="1067"/>
    <w:link w:val="890"/>
    <w:uiPriority w:val="9"/>
    <w:qFormat/>
    <w:pPr>
      <w:keepLines/>
      <w:keepNext/>
      <w:spacing w:before="480" w:after="200"/>
      <w:outlineLvl w:val="0"/>
    </w:pPr>
    <w:rPr>
      <w:rFonts w:ascii="Arial" w:hAnsi="Arial" w:eastAsia="Arial" w:cs="Arial"/>
      <w:sz w:val="40"/>
      <w:szCs w:val="40"/>
    </w:rPr>
  </w:style>
  <w:style w:type="character" w:styleId="890">
    <w:name w:val="Heading 1 Char"/>
    <w:link w:val="889"/>
    <w:uiPriority w:val="9"/>
    <w:rPr>
      <w:rFonts w:ascii="Arial" w:hAnsi="Arial" w:eastAsia="Arial" w:cs="Arial"/>
      <w:sz w:val="40"/>
      <w:szCs w:val="40"/>
    </w:rPr>
  </w:style>
  <w:style w:type="paragraph" w:styleId="891">
    <w:name w:val="Heading 2"/>
    <w:basedOn w:val="1067"/>
    <w:next w:val="1067"/>
    <w:link w:val="892"/>
    <w:uiPriority w:val="9"/>
    <w:unhideWhenUsed/>
    <w:qFormat/>
    <w:pPr>
      <w:keepLines/>
      <w:keepNext/>
      <w:spacing w:before="360" w:after="200"/>
      <w:outlineLvl w:val="1"/>
    </w:pPr>
    <w:rPr>
      <w:rFonts w:ascii="Arial" w:hAnsi="Arial" w:eastAsia="Arial" w:cs="Arial"/>
      <w:sz w:val="34"/>
    </w:rPr>
  </w:style>
  <w:style w:type="character" w:styleId="892">
    <w:name w:val="Heading 2 Char"/>
    <w:link w:val="891"/>
    <w:uiPriority w:val="9"/>
    <w:rPr>
      <w:rFonts w:ascii="Arial" w:hAnsi="Arial" w:eastAsia="Arial" w:cs="Arial"/>
      <w:sz w:val="34"/>
    </w:rPr>
  </w:style>
  <w:style w:type="paragraph" w:styleId="893">
    <w:name w:val="Heading 3"/>
    <w:basedOn w:val="1067"/>
    <w:next w:val="1067"/>
    <w:link w:val="894"/>
    <w:uiPriority w:val="9"/>
    <w:unhideWhenUsed/>
    <w:qFormat/>
    <w:pPr>
      <w:keepLines/>
      <w:keepNext/>
      <w:spacing w:before="320" w:after="200"/>
      <w:outlineLvl w:val="2"/>
    </w:pPr>
    <w:rPr>
      <w:rFonts w:ascii="Arial" w:hAnsi="Arial" w:eastAsia="Arial" w:cs="Arial"/>
      <w:sz w:val="30"/>
      <w:szCs w:val="30"/>
    </w:rPr>
  </w:style>
  <w:style w:type="character" w:styleId="894">
    <w:name w:val="Heading 3 Char"/>
    <w:link w:val="893"/>
    <w:uiPriority w:val="9"/>
    <w:rPr>
      <w:rFonts w:ascii="Arial" w:hAnsi="Arial" w:eastAsia="Arial" w:cs="Arial"/>
      <w:sz w:val="30"/>
      <w:szCs w:val="30"/>
    </w:rPr>
  </w:style>
  <w:style w:type="paragraph" w:styleId="895">
    <w:name w:val="Heading 4"/>
    <w:basedOn w:val="1067"/>
    <w:next w:val="1067"/>
    <w:link w:val="896"/>
    <w:uiPriority w:val="9"/>
    <w:unhideWhenUsed/>
    <w:qFormat/>
    <w:pPr>
      <w:keepLines/>
      <w:keepNext/>
      <w:spacing w:before="320" w:after="200"/>
      <w:outlineLvl w:val="3"/>
    </w:pPr>
    <w:rPr>
      <w:rFonts w:ascii="Arial" w:hAnsi="Arial" w:eastAsia="Arial" w:cs="Arial"/>
      <w:b/>
      <w:bCs/>
      <w:sz w:val="26"/>
      <w:szCs w:val="26"/>
    </w:rPr>
  </w:style>
  <w:style w:type="character" w:styleId="896">
    <w:name w:val="Heading 4 Char"/>
    <w:link w:val="895"/>
    <w:uiPriority w:val="9"/>
    <w:rPr>
      <w:rFonts w:ascii="Arial" w:hAnsi="Arial" w:eastAsia="Arial" w:cs="Arial"/>
      <w:b/>
      <w:bCs/>
      <w:sz w:val="26"/>
      <w:szCs w:val="26"/>
    </w:rPr>
  </w:style>
  <w:style w:type="paragraph" w:styleId="897">
    <w:name w:val="Heading 5"/>
    <w:basedOn w:val="1067"/>
    <w:next w:val="1067"/>
    <w:link w:val="898"/>
    <w:uiPriority w:val="9"/>
    <w:unhideWhenUsed/>
    <w:qFormat/>
    <w:pPr>
      <w:keepLines/>
      <w:keepNext/>
      <w:spacing w:before="320" w:after="200"/>
      <w:outlineLvl w:val="4"/>
    </w:pPr>
    <w:rPr>
      <w:rFonts w:ascii="Arial" w:hAnsi="Arial" w:eastAsia="Arial" w:cs="Arial"/>
      <w:b/>
      <w:bCs/>
      <w:sz w:val="24"/>
      <w:szCs w:val="24"/>
    </w:rPr>
  </w:style>
  <w:style w:type="character" w:styleId="898">
    <w:name w:val="Heading 5 Char"/>
    <w:link w:val="897"/>
    <w:uiPriority w:val="9"/>
    <w:rPr>
      <w:rFonts w:ascii="Arial" w:hAnsi="Arial" w:eastAsia="Arial" w:cs="Arial"/>
      <w:b/>
      <w:bCs/>
      <w:sz w:val="24"/>
      <w:szCs w:val="24"/>
    </w:rPr>
  </w:style>
  <w:style w:type="paragraph" w:styleId="899">
    <w:name w:val="Heading 6"/>
    <w:basedOn w:val="1067"/>
    <w:next w:val="1067"/>
    <w:link w:val="900"/>
    <w:uiPriority w:val="9"/>
    <w:unhideWhenUsed/>
    <w:qFormat/>
    <w:pPr>
      <w:keepLines/>
      <w:keepNext/>
      <w:spacing w:before="320" w:after="200"/>
      <w:outlineLvl w:val="5"/>
    </w:pPr>
    <w:rPr>
      <w:rFonts w:ascii="Arial" w:hAnsi="Arial" w:eastAsia="Arial" w:cs="Arial"/>
      <w:b/>
      <w:bCs/>
      <w:sz w:val="22"/>
      <w:szCs w:val="22"/>
    </w:rPr>
  </w:style>
  <w:style w:type="character" w:styleId="900">
    <w:name w:val="Heading 6 Char"/>
    <w:link w:val="899"/>
    <w:uiPriority w:val="9"/>
    <w:rPr>
      <w:rFonts w:ascii="Arial" w:hAnsi="Arial" w:eastAsia="Arial" w:cs="Arial"/>
      <w:b/>
      <w:bCs/>
      <w:sz w:val="22"/>
      <w:szCs w:val="22"/>
    </w:rPr>
  </w:style>
  <w:style w:type="paragraph" w:styleId="901">
    <w:name w:val="Heading 7"/>
    <w:basedOn w:val="1067"/>
    <w:next w:val="1067"/>
    <w:link w:val="902"/>
    <w:uiPriority w:val="9"/>
    <w:unhideWhenUsed/>
    <w:qFormat/>
    <w:pPr>
      <w:keepLines/>
      <w:keepNext/>
      <w:spacing w:before="320" w:after="200"/>
      <w:outlineLvl w:val="6"/>
    </w:pPr>
    <w:rPr>
      <w:rFonts w:ascii="Arial" w:hAnsi="Arial" w:eastAsia="Arial" w:cs="Arial"/>
      <w:b/>
      <w:bCs/>
      <w:i/>
      <w:iCs/>
      <w:sz w:val="22"/>
      <w:szCs w:val="22"/>
    </w:rPr>
  </w:style>
  <w:style w:type="character" w:styleId="902">
    <w:name w:val="Heading 7 Char"/>
    <w:link w:val="901"/>
    <w:uiPriority w:val="9"/>
    <w:rPr>
      <w:rFonts w:ascii="Arial" w:hAnsi="Arial" w:eastAsia="Arial" w:cs="Arial"/>
      <w:b/>
      <w:bCs/>
      <w:i/>
      <w:iCs/>
      <w:sz w:val="22"/>
      <w:szCs w:val="22"/>
    </w:rPr>
  </w:style>
  <w:style w:type="paragraph" w:styleId="903">
    <w:name w:val="Heading 8"/>
    <w:basedOn w:val="1067"/>
    <w:next w:val="1067"/>
    <w:link w:val="904"/>
    <w:uiPriority w:val="9"/>
    <w:unhideWhenUsed/>
    <w:qFormat/>
    <w:pPr>
      <w:keepLines/>
      <w:keepNext/>
      <w:spacing w:before="320" w:after="200"/>
      <w:outlineLvl w:val="7"/>
    </w:pPr>
    <w:rPr>
      <w:rFonts w:ascii="Arial" w:hAnsi="Arial" w:eastAsia="Arial" w:cs="Arial"/>
      <w:i/>
      <w:iCs/>
      <w:sz w:val="22"/>
      <w:szCs w:val="22"/>
    </w:rPr>
  </w:style>
  <w:style w:type="character" w:styleId="904">
    <w:name w:val="Heading 8 Char"/>
    <w:link w:val="903"/>
    <w:uiPriority w:val="9"/>
    <w:rPr>
      <w:rFonts w:ascii="Arial" w:hAnsi="Arial" w:eastAsia="Arial" w:cs="Arial"/>
      <w:i/>
      <w:iCs/>
      <w:sz w:val="22"/>
      <w:szCs w:val="22"/>
    </w:rPr>
  </w:style>
  <w:style w:type="paragraph" w:styleId="905">
    <w:name w:val="Heading 9"/>
    <w:basedOn w:val="1067"/>
    <w:next w:val="1067"/>
    <w:link w:val="906"/>
    <w:uiPriority w:val="9"/>
    <w:unhideWhenUsed/>
    <w:qFormat/>
    <w:pPr>
      <w:keepLines/>
      <w:keepNext/>
      <w:spacing w:before="320" w:after="200"/>
      <w:outlineLvl w:val="8"/>
    </w:pPr>
    <w:rPr>
      <w:rFonts w:ascii="Arial" w:hAnsi="Arial" w:eastAsia="Arial" w:cs="Arial"/>
      <w:i/>
      <w:iCs/>
      <w:sz w:val="21"/>
      <w:szCs w:val="21"/>
    </w:rPr>
  </w:style>
  <w:style w:type="character" w:styleId="906">
    <w:name w:val="Heading 9 Char"/>
    <w:link w:val="905"/>
    <w:uiPriority w:val="9"/>
    <w:rPr>
      <w:rFonts w:ascii="Arial" w:hAnsi="Arial" w:eastAsia="Arial" w:cs="Arial"/>
      <w:i/>
      <w:iCs/>
      <w:sz w:val="21"/>
      <w:szCs w:val="21"/>
    </w:rPr>
  </w:style>
  <w:style w:type="paragraph" w:styleId="907">
    <w:name w:val="List Paragraph"/>
    <w:basedOn w:val="1067"/>
    <w:uiPriority w:val="34"/>
    <w:qFormat/>
    <w:pPr>
      <w:contextualSpacing/>
      <w:ind w:left="720"/>
    </w:pPr>
  </w:style>
  <w:style w:type="paragraph" w:styleId="908">
    <w:name w:val="No Spacing"/>
    <w:uiPriority w:val="1"/>
    <w:qFormat/>
    <w:pPr>
      <w:spacing w:before="0" w:after="0" w:line="240" w:lineRule="auto"/>
    </w:pPr>
  </w:style>
  <w:style w:type="paragraph" w:styleId="909">
    <w:name w:val="Title"/>
    <w:basedOn w:val="1067"/>
    <w:next w:val="1067"/>
    <w:link w:val="910"/>
    <w:uiPriority w:val="10"/>
    <w:qFormat/>
    <w:pPr>
      <w:contextualSpacing/>
      <w:spacing w:before="300" w:after="200"/>
    </w:pPr>
    <w:rPr>
      <w:sz w:val="48"/>
      <w:szCs w:val="48"/>
    </w:rPr>
  </w:style>
  <w:style w:type="character" w:styleId="910">
    <w:name w:val="Title Char"/>
    <w:link w:val="909"/>
    <w:uiPriority w:val="10"/>
    <w:rPr>
      <w:sz w:val="48"/>
      <w:szCs w:val="48"/>
    </w:rPr>
  </w:style>
  <w:style w:type="paragraph" w:styleId="911">
    <w:name w:val="Subtitle"/>
    <w:basedOn w:val="1067"/>
    <w:next w:val="1067"/>
    <w:link w:val="912"/>
    <w:uiPriority w:val="11"/>
    <w:qFormat/>
    <w:pPr>
      <w:spacing w:before="200" w:after="200"/>
    </w:pPr>
    <w:rPr>
      <w:sz w:val="24"/>
      <w:szCs w:val="24"/>
    </w:rPr>
  </w:style>
  <w:style w:type="character" w:styleId="912">
    <w:name w:val="Subtitle Char"/>
    <w:link w:val="911"/>
    <w:uiPriority w:val="11"/>
    <w:rPr>
      <w:sz w:val="24"/>
      <w:szCs w:val="24"/>
    </w:rPr>
  </w:style>
  <w:style w:type="paragraph" w:styleId="913">
    <w:name w:val="Quote"/>
    <w:basedOn w:val="1067"/>
    <w:next w:val="1067"/>
    <w:link w:val="914"/>
    <w:uiPriority w:val="29"/>
    <w:qFormat/>
    <w:pPr>
      <w:ind w:left="720" w:right="720"/>
    </w:pPr>
    <w:rPr>
      <w:i/>
    </w:rPr>
  </w:style>
  <w:style w:type="character" w:styleId="914">
    <w:name w:val="Quote Char"/>
    <w:link w:val="913"/>
    <w:uiPriority w:val="29"/>
    <w:rPr>
      <w:i/>
    </w:rPr>
  </w:style>
  <w:style w:type="paragraph" w:styleId="915">
    <w:name w:val="Intense Quote"/>
    <w:basedOn w:val="1067"/>
    <w:next w:val="1067"/>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Intense Quote Char"/>
    <w:link w:val="915"/>
    <w:uiPriority w:val="30"/>
    <w:rPr>
      <w:i/>
    </w:rPr>
  </w:style>
  <w:style w:type="paragraph" w:styleId="917">
    <w:name w:val="Header"/>
    <w:basedOn w:val="1067"/>
    <w:link w:val="918"/>
    <w:uiPriority w:val="99"/>
    <w:unhideWhenUsed/>
    <w:pPr>
      <w:spacing w:after="0" w:line="240" w:lineRule="auto"/>
      <w:tabs>
        <w:tab w:val="center" w:pos="7143" w:leader="none"/>
        <w:tab w:val="right" w:pos="14287" w:leader="none"/>
      </w:tabs>
    </w:pPr>
  </w:style>
  <w:style w:type="character" w:styleId="918">
    <w:name w:val="Header Char"/>
    <w:link w:val="917"/>
    <w:uiPriority w:val="99"/>
  </w:style>
  <w:style w:type="paragraph" w:styleId="919">
    <w:name w:val="Footer"/>
    <w:basedOn w:val="1067"/>
    <w:link w:val="922"/>
    <w:uiPriority w:val="99"/>
    <w:unhideWhenUsed/>
    <w:pPr>
      <w:spacing w:after="0" w:line="240" w:lineRule="auto"/>
      <w:tabs>
        <w:tab w:val="center" w:pos="7143" w:leader="none"/>
        <w:tab w:val="right" w:pos="14287" w:leader="none"/>
      </w:tabs>
    </w:pPr>
  </w:style>
  <w:style w:type="character" w:styleId="920">
    <w:name w:val="Footer Char"/>
    <w:link w:val="919"/>
    <w:uiPriority w:val="99"/>
  </w:style>
  <w:style w:type="paragraph" w:styleId="921">
    <w:name w:val="Caption"/>
    <w:basedOn w:val="1067"/>
    <w:next w:val="1067"/>
    <w:uiPriority w:val="35"/>
    <w:semiHidden/>
    <w:unhideWhenUsed/>
    <w:qFormat/>
    <w:pPr>
      <w:spacing w:line="276" w:lineRule="auto"/>
    </w:pPr>
    <w:rPr>
      <w:b/>
      <w:bCs/>
      <w:color w:val="4f81bd" w:themeColor="accent1"/>
      <w:sz w:val="18"/>
      <w:szCs w:val="18"/>
    </w:rPr>
  </w:style>
  <w:style w:type="character" w:styleId="922">
    <w:name w:val="Caption Char"/>
    <w:basedOn w:val="921"/>
    <w:link w:val="919"/>
    <w:uiPriority w:val="99"/>
  </w:style>
  <w:style w:type="table" w:styleId="9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9">
    <w:name w:val="Hyperlink"/>
    <w:uiPriority w:val="99"/>
    <w:unhideWhenUsed/>
    <w:rPr>
      <w:color w:val="0000ff" w:themeColor="hyperlink"/>
      <w:u w:val="single"/>
    </w:rPr>
  </w:style>
  <w:style w:type="paragraph" w:styleId="1050">
    <w:name w:val="footnote text"/>
    <w:basedOn w:val="1067"/>
    <w:link w:val="1051"/>
    <w:uiPriority w:val="99"/>
    <w:semiHidden/>
    <w:unhideWhenUsed/>
    <w:pPr>
      <w:spacing w:after="40" w:line="240" w:lineRule="auto"/>
    </w:pPr>
    <w:rPr>
      <w:sz w:val="18"/>
    </w:rPr>
  </w:style>
  <w:style w:type="character" w:styleId="1051">
    <w:name w:val="Footnote Text Char"/>
    <w:link w:val="1050"/>
    <w:uiPriority w:val="99"/>
    <w:rPr>
      <w:sz w:val="18"/>
    </w:rPr>
  </w:style>
  <w:style w:type="character" w:styleId="1052">
    <w:name w:val="footnote reference"/>
    <w:uiPriority w:val="99"/>
    <w:unhideWhenUsed/>
    <w:rPr>
      <w:vertAlign w:val="superscript"/>
    </w:rPr>
  </w:style>
  <w:style w:type="paragraph" w:styleId="1053">
    <w:name w:val="endnote text"/>
    <w:basedOn w:val="1067"/>
    <w:link w:val="1054"/>
    <w:uiPriority w:val="99"/>
    <w:semiHidden/>
    <w:unhideWhenUsed/>
    <w:pPr>
      <w:spacing w:after="0" w:line="240" w:lineRule="auto"/>
    </w:pPr>
    <w:rPr>
      <w:sz w:val="20"/>
    </w:rPr>
  </w:style>
  <w:style w:type="character" w:styleId="1054">
    <w:name w:val="Endnote Text Char"/>
    <w:link w:val="1053"/>
    <w:uiPriority w:val="99"/>
    <w:rPr>
      <w:sz w:val="20"/>
    </w:rPr>
  </w:style>
  <w:style w:type="character" w:styleId="1055">
    <w:name w:val="endnote reference"/>
    <w:uiPriority w:val="99"/>
    <w:semiHidden/>
    <w:unhideWhenUsed/>
    <w:rPr>
      <w:vertAlign w:val="superscript"/>
    </w:rPr>
  </w:style>
  <w:style w:type="paragraph" w:styleId="1056">
    <w:name w:val="toc 1"/>
    <w:basedOn w:val="1067"/>
    <w:next w:val="1067"/>
    <w:uiPriority w:val="39"/>
    <w:unhideWhenUsed/>
    <w:pPr>
      <w:ind w:left="0" w:right="0" w:firstLine="0"/>
      <w:spacing w:after="57"/>
    </w:pPr>
  </w:style>
  <w:style w:type="paragraph" w:styleId="1057">
    <w:name w:val="toc 2"/>
    <w:basedOn w:val="1067"/>
    <w:next w:val="1067"/>
    <w:uiPriority w:val="39"/>
    <w:unhideWhenUsed/>
    <w:pPr>
      <w:ind w:left="283" w:right="0" w:firstLine="0"/>
      <w:spacing w:after="57"/>
    </w:pPr>
  </w:style>
  <w:style w:type="paragraph" w:styleId="1058">
    <w:name w:val="toc 3"/>
    <w:basedOn w:val="1067"/>
    <w:next w:val="1067"/>
    <w:uiPriority w:val="39"/>
    <w:unhideWhenUsed/>
    <w:pPr>
      <w:ind w:left="567" w:right="0" w:firstLine="0"/>
      <w:spacing w:after="57"/>
    </w:pPr>
  </w:style>
  <w:style w:type="paragraph" w:styleId="1059">
    <w:name w:val="toc 4"/>
    <w:basedOn w:val="1067"/>
    <w:next w:val="1067"/>
    <w:uiPriority w:val="39"/>
    <w:unhideWhenUsed/>
    <w:pPr>
      <w:ind w:left="850" w:right="0" w:firstLine="0"/>
      <w:spacing w:after="57"/>
    </w:pPr>
  </w:style>
  <w:style w:type="paragraph" w:styleId="1060">
    <w:name w:val="toc 5"/>
    <w:basedOn w:val="1067"/>
    <w:next w:val="1067"/>
    <w:uiPriority w:val="39"/>
    <w:unhideWhenUsed/>
    <w:pPr>
      <w:ind w:left="1134" w:right="0" w:firstLine="0"/>
      <w:spacing w:after="57"/>
    </w:pPr>
  </w:style>
  <w:style w:type="paragraph" w:styleId="1061">
    <w:name w:val="toc 6"/>
    <w:basedOn w:val="1067"/>
    <w:next w:val="1067"/>
    <w:uiPriority w:val="39"/>
    <w:unhideWhenUsed/>
    <w:pPr>
      <w:ind w:left="1417" w:right="0" w:firstLine="0"/>
      <w:spacing w:after="57"/>
    </w:pPr>
  </w:style>
  <w:style w:type="paragraph" w:styleId="1062">
    <w:name w:val="toc 7"/>
    <w:basedOn w:val="1067"/>
    <w:next w:val="1067"/>
    <w:uiPriority w:val="39"/>
    <w:unhideWhenUsed/>
    <w:pPr>
      <w:ind w:left="1701" w:right="0" w:firstLine="0"/>
      <w:spacing w:after="57"/>
    </w:pPr>
  </w:style>
  <w:style w:type="paragraph" w:styleId="1063">
    <w:name w:val="toc 8"/>
    <w:basedOn w:val="1067"/>
    <w:next w:val="1067"/>
    <w:uiPriority w:val="39"/>
    <w:unhideWhenUsed/>
    <w:pPr>
      <w:ind w:left="1984" w:right="0" w:firstLine="0"/>
      <w:spacing w:after="57"/>
    </w:pPr>
  </w:style>
  <w:style w:type="paragraph" w:styleId="1064">
    <w:name w:val="toc 9"/>
    <w:basedOn w:val="1067"/>
    <w:next w:val="1067"/>
    <w:uiPriority w:val="39"/>
    <w:unhideWhenUsed/>
    <w:pPr>
      <w:ind w:left="2268" w:right="0" w:firstLine="0"/>
      <w:spacing w:after="57"/>
    </w:pPr>
  </w:style>
  <w:style w:type="paragraph" w:styleId="1065">
    <w:name w:val="TOC Heading"/>
    <w:uiPriority w:val="39"/>
    <w:unhideWhenUsed/>
  </w:style>
  <w:style w:type="paragraph" w:styleId="1066">
    <w:name w:val="table of figures"/>
    <w:basedOn w:val="1067"/>
    <w:next w:val="1067"/>
    <w:uiPriority w:val="99"/>
    <w:unhideWhenUsed/>
    <w:pPr>
      <w:spacing w:after="0" w:afterAutospacing="0"/>
    </w:pPr>
  </w:style>
  <w:style w:type="paragraph" w:styleId="1067" w:default="1">
    <w:name w:val="Normal"/>
    <w:next w:val="1067"/>
    <w:link w:val="1067"/>
    <w:qFormat/>
    <w:pPr>
      <w:jc w:val="both"/>
      <w:widowControl w:val="off"/>
    </w:pPr>
    <w:rPr>
      <w:sz w:val="21"/>
      <w:szCs w:val="24"/>
      <w:lang w:val="en-US" w:eastAsia="zh-CN" w:bidi="ar-SA"/>
    </w:rPr>
  </w:style>
  <w:style w:type="paragraph" w:styleId="1068">
    <w:name w:val="标题 1"/>
    <w:basedOn w:val="1067"/>
    <w:next w:val="1067"/>
    <w:link w:val="1079"/>
    <w:qFormat/>
    <w:pPr>
      <w:jc w:val="center"/>
      <w:keepLines/>
      <w:keepNext/>
      <w:spacing w:before="240" w:after="120" w:line="300" w:lineRule="auto"/>
      <w:outlineLvl w:val="0"/>
    </w:pPr>
    <w:rPr>
      <w:rFonts w:ascii="宋体"/>
      <w:b/>
      <w:sz w:val="32"/>
      <w:szCs w:val="20"/>
    </w:rPr>
  </w:style>
  <w:style w:type="paragraph" w:styleId="1069">
    <w:name w:val="标题 2"/>
    <w:basedOn w:val="1067"/>
    <w:next w:val="1067"/>
    <w:link w:val="1080"/>
    <w:qFormat/>
    <w:pPr>
      <w:jc w:val="center"/>
      <w:keepLines/>
      <w:keepNext/>
      <w:spacing w:before="120" w:line="300" w:lineRule="auto"/>
      <w:outlineLvl w:val="1"/>
    </w:pPr>
    <w:rPr>
      <w:rFonts w:ascii="Arial" w:hAnsi="Arial" w:eastAsia="黑体"/>
      <w:b/>
      <w:sz w:val="30"/>
      <w:szCs w:val="20"/>
    </w:rPr>
  </w:style>
  <w:style w:type="paragraph" w:styleId="1070">
    <w:name w:val="标题 3"/>
    <w:basedOn w:val="1067"/>
    <w:next w:val="1067"/>
    <w:link w:val="1081"/>
    <w:qFormat/>
    <w:pPr>
      <w:jc w:val="left"/>
      <w:keepLines/>
      <w:keepNext/>
      <w:spacing w:before="360" w:after="120"/>
      <w:outlineLvl w:val="2"/>
    </w:pPr>
    <w:rPr>
      <w:rFonts w:ascii="宋体"/>
      <w:b/>
      <w:sz w:val="24"/>
      <w:szCs w:val="20"/>
      <w:u w:val="single"/>
    </w:rPr>
  </w:style>
  <w:style w:type="paragraph" w:styleId="1071">
    <w:name w:val="标题 4"/>
    <w:basedOn w:val="1067"/>
    <w:next w:val="1067"/>
    <w:link w:val="1082"/>
    <w:qFormat/>
    <w:pPr>
      <w:keepLines/>
      <w:keepNext/>
      <w:spacing w:before="280" w:after="290" w:line="376" w:lineRule="atLeast"/>
      <w:outlineLvl w:val="3"/>
    </w:pPr>
    <w:rPr>
      <w:rFonts w:ascii="Arial" w:hAnsi="Arial" w:eastAsia="黑体"/>
      <w:b/>
      <w:sz w:val="28"/>
      <w:szCs w:val="20"/>
    </w:rPr>
  </w:style>
  <w:style w:type="paragraph" w:styleId="1072">
    <w:name w:val="标题 5"/>
    <w:basedOn w:val="1067"/>
    <w:next w:val="1067"/>
    <w:link w:val="1083"/>
    <w:qFormat/>
    <w:pPr>
      <w:keepLines/>
      <w:keepNext/>
      <w:spacing w:before="280" w:after="290" w:line="376" w:lineRule="atLeast"/>
      <w:outlineLvl w:val="4"/>
    </w:pPr>
    <w:rPr>
      <w:b/>
      <w:sz w:val="28"/>
      <w:szCs w:val="20"/>
    </w:rPr>
  </w:style>
  <w:style w:type="paragraph" w:styleId="1073">
    <w:name w:val="标题 6"/>
    <w:basedOn w:val="1067"/>
    <w:next w:val="1067"/>
    <w:link w:val="1084"/>
    <w:qFormat/>
    <w:pPr>
      <w:keepLines/>
      <w:keepNext/>
      <w:spacing w:before="240" w:after="64" w:line="320" w:lineRule="atLeast"/>
      <w:outlineLvl w:val="5"/>
    </w:pPr>
    <w:rPr>
      <w:rFonts w:ascii="Arial" w:hAnsi="Arial" w:eastAsia="黑体"/>
      <w:b/>
      <w:sz w:val="24"/>
      <w:szCs w:val="20"/>
    </w:rPr>
  </w:style>
  <w:style w:type="paragraph" w:styleId="1074">
    <w:name w:val="标题 7"/>
    <w:basedOn w:val="1067"/>
    <w:next w:val="1067"/>
    <w:link w:val="1085"/>
    <w:qFormat/>
    <w:pPr>
      <w:keepLines/>
      <w:keepNext/>
      <w:spacing w:before="240" w:after="64" w:line="320" w:lineRule="atLeast"/>
      <w:outlineLvl w:val="6"/>
    </w:pPr>
    <w:rPr>
      <w:b/>
      <w:sz w:val="24"/>
      <w:szCs w:val="20"/>
    </w:rPr>
  </w:style>
  <w:style w:type="paragraph" w:styleId="1075">
    <w:name w:val="标题 8"/>
    <w:basedOn w:val="1067"/>
    <w:next w:val="1067"/>
    <w:link w:val="1086"/>
    <w:qFormat/>
    <w:pPr>
      <w:keepLines/>
      <w:keepNext/>
      <w:spacing w:before="240" w:after="64" w:line="320" w:lineRule="atLeast"/>
      <w:outlineLvl w:val="7"/>
    </w:pPr>
    <w:rPr>
      <w:rFonts w:ascii="Arial" w:hAnsi="Arial" w:eastAsia="黑体"/>
      <w:sz w:val="24"/>
      <w:szCs w:val="20"/>
    </w:rPr>
  </w:style>
  <w:style w:type="paragraph" w:styleId="1076">
    <w:name w:val="标题 9"/>
    <w:basedOn w:val="1067"/>
    <w:next w:val="1067"/>
    <w:link w:val="1087"/>
    <w:qFormat/>
    <w:pPr>
      <w:keepLines/>
      <w:keepNext/>
      <w:spacing w:before="240" w:after="64" w:line="320" w:lineRule="atLeast"/>
      <w:outlineLvl w:val="8"/>
    </w:pPr>
    <w:rPr>
      <w:rFonts w:ascii="Arial" w:hAnsi="Arial" w:eastAsia="黑体"/>
      <w:szCs w:val="20"/>
    </w:rPr>
  </w:style>
  <w:style w:type="character" w:styleId="1077">
    <w:name w:val="默认段落字体"/>
    <w:next w:val="1077"/>
    <w:link w:val="1067"/>
    <w:uiPriority w:val="1"/>
    <w:unhideWhenUsed/>
    <w:qFormat/>
  </w:style>
  <w:style w:type="table" w:styleId="1078">
    <w:name w:val="普通表格"/>
    <w:next w:val="1078"/>
    <w:link w:val="1067"/>
    <w:uiPriority w:val="99"/>
    <w:unhideWhenUsed/>
    <w:qFormat/>
    <w:tblPr/>
  </w:style>
  <w:style w:type="character" w:styleId="1079">
    <w:name w:val="标题 1 Char"/>
    <w:next w:val="1079"/>
    <w:link w:val="1068"/>
    <w:qFormat/>
    <w:rPr>
      <w:rFonts w:ascii="宋体"/>
      <w:b/>
      <w:sz w:val="32"/>
    </w:rPr>
  </w:style>
  <w:style w:type="character" w:styleId="1080">
    <w:name w:val="标题 2 Char1"/>
    <w:next w:val="1080"/>
    <w:link w:val="1069"/>
    <w:qFormat/>
    <w:rPr>
      <w:rFonts w:ascii="Arial" w:hAnsi="Arial" w:eastAsia="黑体"/>
      <w:b/>
      <w:sz w:val="30"/>
      <w:lang w:val="en-US" w:eastAsia="zh-CN" w:bidi="ar-SA"/>
    </w:rPr>
  </w:style>
  <w:style w:type="character" w:styleId="1081">
    <w:name w:val="标题 3 Char1"/>
    <w:next w:val="1081"/>
    <w:link w:val="1070"/>
    <w:qFormat/>
    <w:rPr>
      <w:rFonts w:ascii="宋体" w:eastAsia="宋体"/>
      <w:b/>
      <w:sz w:val="24"/>
      <w:u w:val="single"/>
      <w:lang w:val="en-US" w:eastAsia="zh-CN" w:bidi="ar-SA"/>
    </w:rPr>
  </w:style>
  <w:style w:type="character" w:styleId="1082">
    <w:name w:val="标题 4 Char"/>
    <w:next w:val="1082"/>
    <w:link w:val="1071"/>
    <w:qFormat/>
    <w:rPr>
      <w:rFonts w:ascii="Arial" w:hAnsi="Arial" w:eastAsia="黑体"/>
      <w:b/>
      <w:sz w:val="28"/>
    </w:rPr>
  </w:style>
  <w:style w:type="character" w:styleId="1083">
    <w:name w:val="标题 5 Char"/>
    <w:next w:val="1083"/>
    <w:link w:val="1072"/>
    <w:qFormat/>
    <w:rPr>
      <w:b/>
      <w:sz w:val="28"/>
    </w:rPr>
  </w:style>
  <w:style w:type="character" w:styleId="1084">
    <w:name w:val="标题 6 Char"/>
    <w:next w:val="1084"/>
    <w:link w:val="1073"/>
    <w:qFormat/>
    <w:rPr>
      <w:rFonts w:ascii="Arial" w:hAnsi="Arial" w:eastAsia="黑体"/>
      <w:b/>
      <w:sz w:val="24"/>
    </w:rPr>
  </w:style>
  <w:style w:type="character" w:styleId="1085">
    <w:name w:val="标题 7 Char"/>
    <w:next w:val="1085"/>
    <w:link w:val="1074"/>
    <w:qFormat/>
    <w:rPr>
      <w:b/>
      <w:sz w:val="24"/>
    </w:rPr>
  </w:style>
  <w:style w:type="character" w:styleId="1086">
    <w:name w:val="标题 8 Char"/>
    <w:next w:val="1086"/>
    <w:link w:val="1075"/>
    <w:qFormat/>
    <w:rPr>
      <w:rFonts w:ascii="Arial" w:hAnsi="Arial" w:eastAsia="黑体"/>
      <w:sz w:val="24"/>
    </w:rPr>
  </w:style>
  <w:style w:type="character" w:styleId="1087">
    <w:name w:val="标题 9 Char"/>
    <w:next w:val="1087"/>
    <w:link w:val="1076"/>
    <w:qFormat/>
    <w:rPr>
      <w:rFonts w:ascii="Arial" w:hAnsi="Arial" w:eastAsia="黑体"/>
      <w:sz w:val="21"/>
    </w:rPr>
  </w:style>
  <w:style w:type="paragraph" w:styleId="1088">
    <w:name w:val="目录 7"/>
    <w:basedOn w:val="1067"/>
    <w:next w:val="1067"/>
    <w:link w:val="1067"/>
    <w:qFormat/>
    <w:pPr>
      <w:ind w:left="2520"/>
    </w:pPr>
  </w:style>
  <w:style w:type="paragraph" w:styleId="1089">
    <w:name w:val="引文目录"/>
    <w:basedOn w:val="1067"/>
    <w:next w:val="1067"/>
    <w:link w:val="1067"/>
    <w:uiPriority w:val="99"/>
    <w:unhideWhenUsed/>
    <w:qFormat/>
    <w:pPr>
      <w:ind w:left="420"/>
    </w:pPr>
  </w:style>
  <w:style w:type="paragraph" w:styleId="1090">
    <w:name w:val="正文缩进"/>
    <w:basedOn w:val="1067"/>
    <w:next w:val="1067"/>
    <w:link w:val="1091"/>
    <w:qFormat/>
    <w:pPr>
      <w:ind w:firstLine="420"/>
      <w:jc w:val="left"/>
    </w:pPr>
    <w:rPr>
      <w:rFonts w:ascii="宋体"/>
      <w:sz w:val="24"/>
    </w:rPr>
  </w:style>
  <w:style w:type="character" w:styleId="1091">
    <w:name w:val="正文缩进 Char1"/>
    <w:next w:val="1091"/>
    <w:link w:val="1090"/>
    <w:qFormat/>
    <w:rPr>
      <w:rFonts w:ascii="宋体" w:eastAsia="宋体"/>
      <w:sz w:val="24"/>
      <w:szCs w:val="24"/>
      <w:lang w:val="en-US" w:eastAsia="zh-CN" w:bidi="ar-SA"/>
    </w:rPr>
  </w:style>
  <w:style w:type="paragraph" w:styleId="1092">
    <w:name w:val="题注"/>
    <w:basedOn w:val="1067"/>
    <w:next w:val="1067"/>
    <w:link w:val="1067"/>
    <w:qFormat/>
    <w:pPr>
      <w:spacing w:line="480" w:lineRule="auto"/>
    </w:pPr>
    <w:rPr>
      <w:rFonts w:ascii="华文中宋" w:hAnsi="华文中宋" w:eastAsia="华文中宋"/>
      <w:sz w:val="36"/>
      <w:szCs w:val="20"/>
    </w:rPr>
  </w:style>
  <w:style w:type="paragraph" w:styleId="1093">
    <w:name w:val="文档结构图"/>
    <w:basedOn w:val="1067"/>
    <w:next w:val="1093"/>
    <w:link w:val="1094"/>
    <w:qFormat/>
    <w:pPr>
      <w:shd w:val="clear" w:color="auto" w:fill="000080"/>
    </w:pPr>
  </w:style>
  <w:style w:type="character" w:styleId="1094">
    <w:name w:val="文档结构图 Char"/>
    <w:next w:val="1094"/>
    <w:link w:val="1093"/>
    <w:qFormat/>
    <w:rPr>
      <w:sz w:val="21"/>
      <w:szCs w:val="24"/>
      <w:shd w:val="clear" w:color="auto" w:fill="000080"/>
    </w:rPr>
  </w:style>
  <w:style w:type="paragraph" w:styleId="1095">
    <w:name w:val="批注文字"/>
    <w:basedOn w:val="1067"/>
    <w:next w:val="1095"/>
    <w:link w:val="1096"/>
    <w:uiPriority w:val="99"/>
    <w:qFormat/>
    <w:pPr>
      <w:jc w:val="left"/>
    </w:pPr>
  </w:style>
  <w:style w:type="character" w:styleId="1096">
    <w:name w:val="批注文字 Char1"/>
    <w:next w:val="1096"/>
    <w:link w:val="1095"/>
    <w:uiPriority w:val="99"/>
    <w:qFormat/>
    <w:rPr>
      <w:sz w:val="21"/>
      <w:szCs w:val="24"/>
    </w:rPr>
  </w:style>
  <w:style w:type="paragraph" w:styleId="1097">
    <w:name w:val="正文文本 3"/>
    <w:basedOn w:val="1067"/>
    <w:next w:val="1097"/>
    <w:link w:val="1098"/>
    <w:qFormat/>
    <w:pPr>
      <w:spacing w:after="120"/>
    </w:pPr>
    <w:rPr>
      <w:sz w:val="16"/>
      <w:szCs w:val="16"/>
    </w:rPr>
  </w:style>
  <w:style w:type="character" w:styleId="1098">
    <w:name w:val="正文文本 3 Char"/>
    <w:next w:val="1098"/>
    <w:link w:val="1097"/>
    <w:qFormat/>
    <w:rPr>
      <w:sz w:val="16"/>
      <w:szCs w:val="16"/>
    </w:rPr>
  </w:style>
  <w:style w:type="paragraph" w:styleId="1099">
    <w:name w:val="正文文本"/>
    <w:basedOn w:val="1067"/>
    <w:next w:val="1099"/>
    <w:link w:val="1100"/>
    <w:qFormat/>
    <w:pPr>
      <w:spacing w:before="120" w:line="22" w:lineRule="atLeast"/>
      <w:tabs>
        <w:tab w:val="left" w:pos="567" w:leader="none"/>
      </w:tabs>
    </w:pPr>
    <w:rPr>
      <w:rFonts w:ascii="宋体" w:hAnsi="宋体"/>
      <w:sz w:val="24"/>
    </w:rPr>
  </w:style>
  <w:style w:type="character" w:styleId="1100">
    <w:name w:val="正文文本 Char"/>
    <w:next w:val="1100"/>
    <w:link w:val="1099"/>
    <w:qFormat/>
    <w:rPr>
      <w:rFonts w:ascii="宋体" w:hAnsi="宋体"/>
      <w:sz w:val="24"/>
      <w:szCs w:val="24"/>
    </w:rPr>
  </w:style>
  <w:style w:type="paragraph" w:styleId="1101">
    <w:name w:val="正文文本缩进"/>
    <w:basedOn w:val="1067"/>
    <w:next w:val="1067"/>
    <w:link w:val="1102"/>
    <w:qFormat/>
    <w:pPr>
      <w:ind w:firstLine="570"/>
      <w:spacing w:line="360" w:lineRule="auto"/>
    </w:pPr>
    <w:rPr>
      <w:sz w:val="24"/>
    </w:rPr>
  </w:style>
  <w:style w:type="character" w:styleId="1102">
    <w:name w:val="正文文本缩进 Char2"/>
    <w:next w:val="1102"/>
    <w:link w:val="1101"/>
    <w:qFormat/>
    <w:rPr>
      <w:rFonts w:eastAsia="宋体"/>
      <w:sz w:val="24"/>
      <w:szCs w:val="24"/>
      <w:lang w:val="en-US" w:eastAsia="zh-CN" w:bidi="ar-SA"/>
    </w:rPr>
  </w:style>
  <w:style w:type="paragraph" w:styleId="1103">
    <w:name w:val="列表 2"/>
    <w:basedOn w:val="1067"/>
    <w:next w:val="1103"/>
    <w:link w:val="1067"/>
    <w:qFormat/>
    <w:pPr>
      <w:ind w:left="100" w:hanging="200"/>
    </w:pPr>
  </w:style>
  <w:style w:type="paragraph" w:styleId="1104">
    <w:name w:val="文本块"/>
    <w:basedOn w:val="1067"/>
    <w:next w:val="1104"/>
    <w:link w:val="1067"/>
    <w:qFormat/>
    <w:pPr>
      <w:ind w:left="480" w:right="-341" w:firstLine="513"/>
      <w:widowControl/>
    </w:pPr>
    <w:rPr>
      <w:sz w:val="24"/>
      <w:szCs w:val="20"/>
    </w:rPr>
  </w:style>
  <w:style w:type="paragraph" w:styleId="1105">
    <w:name w:val="索引 4"/>
    <w:basedOn w:val="1067"/>
    <w:next w:val="1067"/>
    <w:link w:val="1067"/>
    <w:uiPriority w:val="99"/>
    <w:unhideWhenUsed/>
    <w:qFormat/>
    <w:pPr>
      <w:ind w:left="600"/>
    </w:pPr>
  </w:style>
  <w:style w:type="paragraph" w:styleId="1106">
    <w:name w:val="目录 5"/>
    <w:basedOn w:val="1067"/>
    <w:next w:val="1067"/>
    <w:link w:val="1067"/>
    <w:qFormat/>
    <w:pPr>
      <w:ind w:left="1680"/>
    </w:pPr>
  </w:style>
  <w:style w:type="paragraph" w:styleId="1107">
    <w:name w:val="目录 3"/>
    <w:basedOn w:val="1067"/>
    <w:next w:val="1067"/>
    <w:link w:val="1067"/>
    <w:uiPriority w:val="39"/>
    <w:qFormat/>
    <w:pPr>
      <w:ind w:left="840"/>
    </w:pPr>
  </w:style>
  <w:style w:type="paragraph" w:styleId="1108">
    <w:name w:val="纯文本"/>
    <w:basedOn w:val="1067"/>
    <w:next w:val="1108"/>
    <w:link w:val="1109"/>
    <w:qFormat/>
    <w:rPr>
      <w:rFonts w:hint="eastAsia" w:ascii="宋体" w:hAnsi="Courier New"/>
      <w:szCs w:val="20"/>
    </w:rPr>
  </w:style>
  <w:style w:type="character" w:styleId="1109">
    <w:name w:val="纯文本 Char"/>
    <w:next w:val="1109"/>
    <w:link w:val="1108"/>
    <w:qFormat/>
    <w:rPr>
      <w:rFonts w:hint="eastAsia" w:ascii="宋体" w:hAnsi="Courier New" w:eastAsia="宋体" w:cs="宋体"/>
      <w:sz w:val="21"/>
    </w:rPr>
  </w:style>
  <w:style w:type="paragraph" w:styleId="1110">
    <w:name w:val="目录 8"/>
    <w:basedOn w:val="1067"/>
    <w:next w:val="1067"/>
    <w:link w:val="1067"/>
    <w:qFormat/>
    <w:pPr>
      <w:ind w:left="2940"/>
    </w:pPr>
  </w:style>
  <w:style w:type="paragraph" w:styleId="1111">
    <w:name w:val="日期"/>
    <w:basedOn w:val="1067"/>
    <w:next w:val="1067"/>
    <w:link w:val="1112"/>
    <w:qFormat/>
    <w:pPr>
      <w:ind w:left="100"/>
    </w:pPr>
    <w:rPr>
      <w:rFonts w:ascii="仿宋_GB2312" w:hAnsi="宋体" w:eastAsia="仿宋_GB2312"/>
      <w:color w:val="000000"/>
      <w:sz w:val="24"/>
    </w:rPr>
  </w:style>
  <w:style w:type="character" w:styleId="1112">
    <w:name w:val="日期 Char"/>
    <w:next w:val="1112"/>
    <w:link w:val="1111"/>
    <w:qFormat/>
    <w:rPr>
      <w:rFonts w:ascii="仿宋_GB2312" w:hAnsi="宋体" w:eastAsia="仿宋_GB2312"/>
      <w:color w:val="000000"/>
      <w:sz w:val="24"/>
      <w:szCs w:val="24"/>
    </w:rPr>
  </w:style>
  <w:style w:type="paragraph" w:styleId="1113">
    <w:name w:val="正文文本缩进 2"/>
    <w:basedOn w:val="1067"/>
    <w:next w:val="1113"/>
    <w:link w:val="1114"/>
    <w:qFormat/>
    <w:pPr>
      <w:ind w:firstLine="480"/>
    </w:pPr>
    <w:rPr>
      <w:rFonts w:ascii="仿宋_GB2312" w:eastAsia="仿宋_GB2312"/>
      <w:sz w:val="24"/>
    </w:rPr>
  </w:style>
  <w:style w:type="character" w:styleId="1114">
    <w:name w:val="正文文本缩进 2 Char"/>
    <w:next w:val="1114"/>
    <w:link w:val="1113"/>
    <w:qFormat/>
    <w:rPr>
      <w:rFonts w:ascii="仿宋_GB2312" w:eastAsia="仿宋_GB2312"/>
      <w:sz w:val="24"/>
      <w:szCs w:val="24"/>
    </w:rPr>
  </w:style>
  <w:style w:type="paragraph" w:styleId="1115">
    <w:name w:val="批注框文本"/>
    <w:basedOn w:val="1067"/>
    <w:next w:val="1115"/>
    <w:link w:val="1116"/>
    <w:qFormat/>
    <w:rPr>
      <w:sz w:val="18"/>
      <w:szCs w:val="18"/>
    </w:rPr>
  </w:style>
  <w:style w:type="character" w:styleId="1116">
    <w:name w:val="批注框文本 Char"/>
    <w:next w:val="1116"/>
    <w:link w:val="1115"/>
    <w:qFormat/>
    <w:rPr>
      <w:sz w:val="18"/>
      <w:szCs w:val="18"/>
    </w:rPr>
  </w:style>
  <w:style w:type="paragraph" w:styleId="1117">
    <w:name w:val="页脚"/>
    <w:basedOn w:val="1067"/>
    <w:next w:val="1117"/>
    <w:link w:val="1118"/>
    <w:uiPriority w:val="99"/>
    <w:qFormat/>
    <w:pPr>
      <w:jc w:val="left"/>
      <w:tabs>
        <w:tab w:val="center" w:pos="4153" w:leader="none"/>
        <w:tab w:val="right" w:pos="8306" w:leader="none"/>
      </w:tabs>
    </w:pPr>
    <w:rPr>
      <w:rFonts w:ascii="宋体"/>
      <w:sz w:val="18"/>
      <w:szCs w:val="20"/>
    </w:rPr>
  </w:style>
  <w:style w:type="character" w:styleId="1118">
    <w:name w:val="页脚 Char1"/>
    <w:next w:val="1118"/>
    <w:link w:val="1117"/>
    <w:uiPriority w:val="99"/>
    <w:qFormat/>
    <w:rPr>
      <w:rFonts w:ascii="宋体" w:eastAsia="宋体"/>
      <w:sz w:val="18"/>
      <w:lang w:val="en-US" w:eastAsia="zh-CN" w:bidi="ar-SA"/>
    </w:rPr>
  </w:style>
  <w:style w:type="paragraph" w:styleId="1119">
    <w:name w:val="页眉"/>
    <w:basedOn w:val="1067"/>
    <w:next w:val="1119"/>
    <w:link w:val="1120"/>
    <w:qFormat/>
    <w:pPr>
      <w:jc w:val="center"/>
      <w:tabs>
        <w:tab w:val="center" w:pos="4153" w:leader="none"/>
        <w:tab w:val="right" w:pos="8306" w:leader="none"/>
      </w:tabs>
      <w:pBdr>
        <w:bottom w:val="single" w:color="000000" w:sz="6" w:space="1"/>
      </w:pBdr>
    </w:pPr>
    <w:rPr>
      <w:sz w:val="18"/>
      <w:szCs w:val="18"/>
    </w:rPr>
  </w:style>
  <w:style w:type="character" w:styleId="1120">
    <w:name w:val="页眉 Char1"/>
    <w:next w:val="1120"/>
    <w:link w:val="1119"/>
    <w:qFormat/>
    <w:rPr>
      <w:rFonts w:eastAsia="宋体"/>
      <w:sz w:val="18"/>
      <w:szCs w:val="18"/>
      <w:lang w:val="en-US" w:eastAsia="zh-CN" w:bidi="ar-SA"/>
    </w:rPr>
  </w:style>
  <w:style w:type="paragraph" w:styleId="1121">
    <w:name w:val="目录 1"/>
    <w:basedOn w:val="1067"/>
    <w:next w:val="1067"/>
    <w:link w:val="1067"/>
    <w:uiPriority w:val="39"/>
    <w:qFormat/>
    <w:pPr>
      <w:spacing w:line="300" w:lineRule="auto"/>
      <w:tabs>
        <w:tab w:val="left" w:pos="1050" w:leader="none"/>
        <w:tab w:val="right" w:pos="8937" w:leader="dot"/>
      </w:tabs>
    </w:pPr>
    <w:rPr>
      <w:rFonts w:ascii="宋体" w:hAnsi="宋体"/>
      <w:b/>
      <w:sz w:val="24"/>
    </w:rPr>
  </w:style>
  <w:style w:type="paragraph" w:styleId="1122">
    <w:name w:val="目录 4"/>
    <w:basedOn w:val="1067"/>
    <w:next w:val="1067"/>
    <w:link w:val="1067"/>
    <w:qFormat/>
    <w:pPr>
      <w:ind w:left="1260"/>
    </w:pPr>
  </w:style>
  <w:style w:type="paragraph" w:styleId="1123">
    <w:name w:val="副标题"/>
    <w:basedOn w:val="1067"/>
    <w:next w:val="1067"/>
    <w:link w:val="1067"/>
    <w:uiPriority w:val="11"/>
    <w:qFormat/>
    <w:pPr>
      <w:jc w:val="center"/>
      <w:spacing w:before="240" w:after="240"/>
      <w:outlineLvl w:val="1"/>
    </w:pPr>
    <w:rPr>
      <w:rFonts w:ascii="等线 Light" w:hAnsi="等线 Light" w:cs="Times New Roman"/>
      <w:b/>
      <w:bCs/>
      <w:sz w:val="28"/>
      <w:szCs w:val="32"/>
    </w:rPr>
  </w:style>
  <w:style w:type="paragraph" w:styleId="1124">
    <w:name w:val="目录 6"/>
    <w:basedOn w:val="1067"/>
    <w:next w:val="1067"/>
    <w:link w:val="1067"/>
    <w:qFormat/>
    <w:pPr>
      <w:ind w:left="2100"/>
    </w:pPr>
  </w:style>
  <w:style w:type="paragraph" w:styleId="1125">
    <w:name w:val="正文文本缩进 3"/>
    <w:basedOn w:val="1067"/>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67"/>
    <w:next w:val="1067"/>
    <w:link w:val="1067"/>
    <w:uiPriority w:val="39"/>
    <w:qFormat/>
    <w:pPr>
      <w:ind w:left="420"/>
      <w:spacing w:line="312" w:lineRule="auto"/>
      <w:tabs>
        <w:tab w:val="right" w:pos="8937" w:leader="dot"/>
      </w:tabs>
    </w:pPr>
  </w:style>
  <w:style w:type="paragraph" w:styleId="1128">
    <w:name w:val="目录 9"/>
    <w:basedOn w:val="1067"/>
    <w:next w:val="1067"/>
    <w:link w:val="1067"/>
    <w:qFormat/>
    <w:pPr>
      <w:ind w:left="3360"/>
    </w:pPr>
  </w:style>
  <w:style w:type="paragraph" w:styleId="1129">
    <w:name w:val="HTML 预设格式"/>
    <w:basedOn w:val="1067"/>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67"/>
    <w:next w:val="1131"/>
    <w:link w:val="1067"/>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67"/>
    <w:next w:val="1067"/>
    <w:link w:val="1067"/>
    <w:qFormat/>
    <w:rPr>
      <w:szCs w:val="20"/>
    </w:rPr>
  </w:style>
  <w:style w:type="paragraph" w:styleId="1133">
    <w:name w:val="标题"/>
    <w:basedOn w:val="1067"/>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5"/>
    <w:next w:val="1095"/>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w:basedOn w:val="1099"/>
    <w:next w:val="1137"/>
    <w:link w:val="1067"/>
    <w:qFormat/>
    <w:pPr>
      <w:ind w:firstLine="420"/>
      <w:spacing w:after="120"/>
      <w:tabs>
        <w:tab w:val="left" w:pos="567" w:leader="none"/>
      </w:tabs>
    </w:pPr>
    <w:rPr>
      <w:rFonts w:ascii="Times New Roman"/>
      <w:sz w:val="21"/>
    </w:rPr>
  </w:style>
  <w:style w:type="paragraph" w:styleId="1138">
    <w:name w:val="正文首行缩进 2"/>
    <w:basedOn w:val="1101"/>
    <w:next w:val="1067"/>
    <w:link w:val="1139"/>
    <w:qFormat/>
    <w:pPr>
      <w:ind w:left="420" w:firstLine="420"/>
      <w:spacing w:after="120" w:line="480" w:lineRule="exact"/>
    </w:pPr>
    <w:rPr>
      <w:szCs w:val="20"/>
    </w:rPr>
  </w:style>
  <w:style w:type="character" w:styleId="1139">
    <w:name w:val="正文首行缩进 2 Char"/>
    <w:next w:val="1139"/>
    <w:link w:val="1138"/>
    <w:qFormat/>
    <w:rPr>
      <w:rFonts w:eastAsia="宋体"/>
      <w:sz w:val="24"/>
      <w:szCs w:val="24"/>
      <w:lang w:val="en-US" w:eastAsia="zh-CN" w:bidi="ar-SA"/>
    </w:rPr>
  </w:style>
  <w:style w:type="table" w:styleId="1140">
    <w:name w:val="网格型"/>
    <w:basedOn w:val="1078"/>
    <w:next w:val="1140"/>
    <w:link w:val="1067"/>
    <w:uiPriority w:val="39"/>
    <w:qFormat/>
    <w:tblPr/>
  </w:style>
  <w:style w:type="table" w:styleId="1141">
    <w:name w:val="中等深浅网格 1 - 强调文字颜色 2"/>
    <w:basedOn w:val="1078"/>
    <w:next w:val="1141"/>
    <w:link w:val="1067"/>
    <w:qFormat/>
    <w:rPr>
      <w:sz w:val="21"/>
      <w:szCs w:val="24"/>
    </w:rPr>
    <w:tblPr/>
  </w:style>
  <w:style w:type="character" w:styleId="1142">
    <w:name w:val="要点"/>
    <w:next w:val="1142"/>
    <w:link w:val="1067"/>
    <w:qFormat/>
    <w:rPr>
      <w:b/>
      <w:bCs/>
    </w:rPr>
  </w:style>
  <w:style w:type="character" w:styleId="1143">
    <w:name w:val="页码"/>
    <w:next w:val="1143"/>
    <w:link w:val="1067"/>
    <w:qFormat/>
  </w:style>
  <w:style w:type="character" w:styleId="1144">
    <w:name w:val="已访问的超链接"/>
    <w:next w:val="1144"/>
    <w:link w:val="1067"/>
    <w:qFormat/>
    <w:rPr>
      <w:color w:val="333333"/>
      <w:u w:val="none"/>
    </w:rPr>
  </w:style>
  <w:style w:type="character" w:styleId="1145">
    <w:name w:val="强调"/>
    <w:next w:val="1145"/>
    <w:link w:val="1067"/>
    <w:qFormat/>
    <w:rPr>
      <w:color w:val="cc0033"/>
    </w:rPr>
  </w:style>
  <w:style w:type="character" w:styleId="1146">
    <w:name w:val="超链接"/>
    <w:next w:val="1146"/>
    <w:link w:val="1067"/>
    <w:uiPriority w:val="99"/>
    <w:qFormat/>
    <w:rPr>
      <w:color w:val="333333"/>
      <w:u w:val="none"/>
    </w:rPr>
  </w:style>
  <w:style w:type="character" w:styleId="1147">
    <w:name w:val="批注引用"/>
    <w:next w:val="1147"/>
    <w:link w:val="1067"/>
    <w:uiPriority w:val="99"/>
    <w:qFormat/>
    <w:rPr>
      <w:sz w:val="21"/>
      <w:szCs w:val="21"/>
    </w:rPr>
  </w:style>
  <w:style w:type="character" w:styleId="1148">
    <w:name w:val="HTML 引文"/>
    <w:next w:val="1148"/>
    <w:link w:val="1067"/>
    <w:qFormat/>
    <w:rPr>
      <w:i/>
      <w:iCs/>
    </w:rPr>
  </w:style>
  <w:style w:type="paragraph" w:styleId="1149">
    <w:name w:val="正文文本缩进11"/>
    <w:basedOn w:val="1067"/>
    <w:next w:val="1067"/>
    <w:link w:val="1067"/>
    <w:qFormat/>
    <w:pPr>
      <w:ind w:firstLine="570"/>
      <w:spacing w:line="360" w:lineRule="auto"/>
    </w:pPr>
    <w:rPr>
      <w:sz w:val="24"/>
    </w:rPr>
  </w:style>
  <w:style w:type="character" w:styleId="1150">
    <w:name w:val="纯文本 Char1"/>
    <w:next w:val="1150"/>
    <w:link w:val="1067"/>
    <w:qFormat/>
    <w:rPr>
      <w:rFonts w:ascii="宋体" w:hAnsi="Courier New" w:eastAsia="宋体"/>
      <w:sz w:val="21"/>
      <w:lang w:val="en-US" w:eastAsia="zh-CN" w:bidi="ar-SA"/>
    </w:rPr>
  </w:style>
  <w:style w:type="paragraph" w:styleId="1151">
    <w:name w:val="正文首行缩进11"/>
    <w:basedOn w:val="1152"/>
    <w:next w:val="1151"/>
    <w:link w:val="1067"/>
    <w:qFormat/>
    <w:pPr>
      <w:ind w:firstLine="420"/>
      <w:spacing w:before="0" w:after="120" w:line="240" w:lineRule="auto"/>
      <w:tabs>
        <w:tab w:val="left" w:pos="567" w:leader="none"/>
      </w:tabs>
    </w:pPr>
    <w:rPr>
      <w:rFonts w:ascii="Times New Roman" w:hAnsi="Times New Roman"/>
      <w:sz w:val="21"/>
    </w:rPr>
  </w:style>
  <w:style w:type="paragraph" w:styleId="1152">
    <w:name w:val="正文文本111"/>
    <w:basedOn w:val="1067"/>
    <w:next w:val="1152"/>
    <w:link w:val="1067"/>
    <w:qFormat/>
    <w:pPr>
      <w:spacing w:before="120" w:line="22" w:lineRule="atLeast"/>
      <w:tabs>
        <w:tab w:val="left" w:pos="567" w:leader="none"/>
      </w:tabs>
    </w:pPr>
    <w:rPr>
      <w:rFonts w:ascii="宋体" w:hAnsi="宋体"/>
      <w:sz w:val="24"/>
    </w:rPr>
  </w:style>
  <w:style w:type="paragraph" w:styleId="1153">
    <w:name w:val="样式 标题 1 + 宋体 居中 段前: 17 磅 段后: 16.5 磅"/>
    <w:basedOn w:val="1068"/>
    <w:next w:val="1153"/>
    <w:link w:val="1067"/>
    <w:qFormat/>
    <w:pPr>
      <w:ind w:left="840" w:hanging="420"/>
      <w:pageBreakBefore/>
      <w:widowControl/>
      <w:tabs>
        <w:tab w:val="left" w:pos="840" w:leader="none"/>
      </w:tabs>
    </w:pPr>
    <w:rPr>
      <w:rFonts w:ascii="华文中宋" w:hAnsi="华文中宋" w:eastAsia="华文中宋" w:cs="宋体"/>
      <w:sz w:val="28"/>
      <w:szCs w:val="20"/>
    </w:rPr>
  </w:style>
  <w:style w:type="character" w:styleId="1154">
    <w:name w:val="批注文字 字符"/>
    <w:next w:val="1154"/>
    <w:link w:val="1067"/>
    <w:uiPriority w:val="99"/>
    <w:qFormat/>
    <w:rPr>
      <w:rFonts w:ascii="Times New Roman" w:hAnsi="Times New Roman" w:eastAsia="宋体" w:cs="Times New Roman"/>
      <w:sz w:val="24"/>
      <w:lang w:val="en-US" w:eastAsia="zh-CN" w:bidi="ar-SA"/>
    </w:rPr>
  </w:style>
  <w:style w:type="paragraph" w:styleId="1155">
    <w:name w:val="首行缩进"/>
    <w:basedOn w:val="1067"/>
    <w:next w:val="1155"/>
    <w:link w:val="1067"/>
    <w:qFormat/>
    <w:pPr>
      <w:ind w:firstLine="480"/>
    </w:pPr>
    <w:rPr>
      <w:lang w:val="zh-CN"/>
    </w:rPr>
  </w:style>
  <w:style w:type="character" w:styleId="1156">
    <w:name w:val="c21"/>
    <w:next w:val="1156"/>
    <w:link w:val="1067"/>
    <w:qFormat/>
    <w:rPr>
      <w:rFonts w:ascii="ˎ̥" w:hAnsi="ˎ̥"/>
      <w:color w:val="000000"/>
      <w:sz w:val="20"/>
      <w:szCs w:val="20"/>
      <w:u w:val="none"/>
    </w:rPr>
  </w:style>
  <w:style w:type="character" w:styleId="1157">
    <w:name w:val="title4"/>
    <w:next w:val="1157"/>
    <w:link w:val="1067"/>
    <w:qFormat/>
    <w:rPr>
      <w:b/>
      <w:bCs/>
      <w:color w:val="1d87b3"/>
      <w:sz w:val="15"/>
      <w:szCs w:val="15"/>
    </w:rPr>
  </w:style>
  <w:style w:type="character" w:styleId="1158">
    <w:name w:val="标题 2 Char Char"/>
    <w:next w:val="1158"/>
    <w:link w:val="1067"/>
    <w:qFormat/>
    <w:rPr>
      <w:rFonts w:ascii="Arial" w:hAnsi="Arial" w:eastAsia="黑体"/>
      <w:b/>
      <w:bCs/>
      <w:sz w:val="32"/>
      <w:szCs w:val="32"/>
      <w:lang w:val="en-US" w:eastAsia="zh-CN" w:bidi="ar-SA"/>
    </w:rPr>
  </w:style>
  <w:style w:type="character" w:styleId="1159">
    <w:name w:val="black1"/>
    <w:next w:val="1159"/>
    <w:link w:val="1067"/>
    <w:qFormat/>
    <w:rPr>
      <w:color w:val="000000"/>
    </w:rPr>
  </w:style>
  <w:style w:type="character" w:styleId="1160">
    <w:name w:val="street-address"/>
    <w:next w:val="1160"/>
    <w:link w:val="1067"/>
    <w:qFormat/>
  </w:style>
  <w:style w:type="character" w:styleId="1161">
    <w:name w:val="locality"/>
    <w:next w:val="1161"/>
    <w:link w:val="1067"/>
    <w:qFormat/>
  </w:style>
  <w:style w:type="character" w:styleId="1162">
    <w:name w:val="正文文本缩进 Char1"/>
    <w:next w:val="1162"/>
    <w:link w:val="1163"/>
    <w:qFormat/>
    <w:rPr>
      <w:rFonts w:ascii="宋体" w:hAnsi="宋体" w:eastAsia="宋体"/>
      <w:sz w:val="24"/>
      <w:szCs w:val="24"/>
      <w:lang w:bidi="ar-SA"/>
    </w:rPr>
  </w:style>
  <w:style w:type="paragraph" w:styleId="1163">
    <w:name w:val="正文文本缩进1"/>
    <w:basedOn w:val="1067"/>
    <w:next w:val="1163"/>
    <w:link w:val="1162"/>
    <w:qFormat/>
    <w:pPr>
      <w:ind w:firstLine="480"/>
      <w:spacing w:line="480" w:lineRule="exact"/>
    </w:pPr>
    <w:rPr>
      <w:rFonts w:ascii="宋体" w:hAnsi="宋体"/>
      <w:sz w:val="24"/>
    </w:rPr>
  </w:style>
  <w:style w:type="character" w:styleId="1164">
    <w:name w:val="Char Char11"/>
    <w:next w:val="1164"/>
    <w:link w:val="1067"/>
    <w:qFormat/>
    <w:rPr>
      <w:rFonts w:ascii="宋体" w:eastAsia="宋体"/>
      <w:b/>
      <w:sz w:val="24"/>
      <w:u w:val="single"/>
      <w:lang w:val="en-US" w:eastAsia="zh-CN" w:bidi="ar-SA"/>
    </w:rPr>
  </w:style>
  <w:style w:type="character" w:styleId="1165">
    <w:name w:val="txt"/>
    <w:next w:val="1165"/>
    <w:link w:val="1067"/>
    <w:qFormat/>
  </w:style>
  <w:style w:type="character" w:styleId="1166">
    <w:name w:val="正文缩进 Char Char"/>
    <w:next w:val="1166"/>
    <w:link w:val="1167"/>
    <w:qFormat/>
    <w:rPr>
      <w:rFonts w:ascii="宋体" w:eastAsia="宋体"/>
      <w:color w:val="000000"/>
      <w:sz w:val="28"/>
      <w:lang w:bidi="ar-SA"/>
    </w:rPr>
  </w:style>
  <w:style w:type="paragraph" w:styleId="1167">
    <w:name w:val="正文缩进1"/>
    <w:basedOn w:val="1067"/>
    <w:next w:val="1167"/>
    <w:link w:val="1166"/>
    <w:qFormat/>
    <w:pPr>
      <w:ind w:firstLine="567"/>
      <w:spacing w:line="480" w:lineRule="exact"/>
      <w:widowControl/>
    </w:pPr>
    <w:rPr>
      <w:rFonts w:ascii="宋体"/>
      <w:color w:val="000000"/>
      <w:sz w:val="28"/>
      <w:szCs w:val="20"/>
    </w:rPr>
  </w:style>
  <w:style w:type="character" w:styleId="1168">
    <w:name w:val="普通文字1 Char1"/>
    <w:next w:val="1168"/>
    <w:link w:val="1067"/>
    <w:qFormat/>
    <w:rPr>
      <w:rFonts w:ascii="宋体" w:hAnsi="Courier New" w:eastAsia="宋体"/>
      <w:sz w:val="21"/>
      <w:lang w:val="en-US" w:eastAsia="zh-CN" w:bidi="ar-SA"/>
    </w:rPr>
  </w:style>
  <w:style w:type="character" w:styleId="1169">
    <w:name w:val="chanpin1"/>
    <w:next w:val="1169"/>
    <w:link w:val="1067"/>
    <w:qFormat/>
    <w:rPr>
      <w:rFonts w:ascii="ˎ̥" w:hAnsi="ˎ̥"/>
      <w:color w:val="000000"/>
      <w:sz w:val="20"/>
      <w:szCs w:val="20"/>
      <w:u w:val="none"/>
    </w:rPr>
  </w:style>
  <w:style w:type="character" w:styleId="1170">
    <w:name w:val="列出段落 Char1"/>
    <w:next w:val="1170"/>
    <w:link w:val="1171"/>
    <w:uiPriority w:val="34"/>
    <w:qFormat/>
    <w:rPr>
      <w:rFonts w:ascii="Calibri" w:hAnsi="Calibri" w:eastAsia="宋体"/>
      <w:sz w:val="21"/>
      <w:szCs w:val="22"/>
      <w:lang w:val="en-US" w:eastAsia="zh-CN" w:bidi="ar-SA"/>
    </w:rPr>
  </w:style>
  <w:style w:type="paragraph" w:styleId="1171">
    <w:name w:val="列出段落"/>
    <w:basedOn w:val="1067"/>
    <w:next w:val="1171"/>
    <w:link w:val="1170"/>
    <w:uiPriority w:val="34"/>
    <w:qFormat/>
    <w:pPr>
      <w:ind w:firstLine="420"/>
    </w:pPr>
    <w:rPr>
      <w:rFonts w:ascii="Calibri" w:hAnsi="Calibri"/>
      <w:szCs w:val="22"/>
    </w:rPr>
  </w:style>
  <w:style w:type="character" w:styleId="1172">
    <w:name w:val="标题 3 Char Char"/>
    <w:next w:val="1172"/>
    <w:link w:val="1067"/>
    <w:qFormat/>
    <w:rPr>
      <w:rFonts w:eastAsia="宋体"/>
      <w:b/>
      <w:bCs/>
      <w:sz w:val="32"/>
      <w:szCs w:val="32"/>
      <w:lang w:val="en-US" w:eastAsia="zh-CN" w:bidi="ar-SA"/>
    </w:rPr>
  </w:style>
  <w:style w:type="character" w:styleId="1173">
    <w:name w:val="段1 Char"/>
    <w:next w:val="1173"/>
    <w:link w:val="1067"/>
    <w:qFormat/>
    <w:rPr>
      <w:rFonts w:ascii="宋体" w:eastAsia="宋体"/>
      <w:sz w:val="24"/>
      <w:lang w:val="en-US" w:eastAsia="zh-CN" w:bidi="ar-SA"/>
    </w:rPr>
  </w:style>
  <w:style w:type="character" w:styleId="1174">
    <w:name w:val="chanpin拷贝"/>
    <w:next w:val="1174"/>
    <w:link w:val="1067"/>
    <w:qFormat/>
  </w:style>
  <w:style w:type="character" w:styleId="1175">
    <w:name w:val="apple-style-span"/>
    <w:next w:val="1175"/>
    <w:link w:val="1067"/>
    <w:qFormat/>
    <w:rPr>
      <w:rFonts w:cs="Times New Roman"/>
    </w:rPr>
  </w:style>
  <w:style w:type="paragraph" w:styleId="1176">
    <w:name w:val="二级条标题"/>
    <w:basedOn w:val="1177"/>
    <w:next w:val="1067"/>
    <w:link w:val="1067"/>
    <w:qFormat/>
    <w:pPr>
      <w:numPr>
        <w:ilvl w:val="0"/>
        <w:numId w:val="0"/>
      </w:numPr>
      <w:ind w:hanging="840"/>
      <w:tabs>
        <w:tab w:val="left" w:pos="360" w:leader="none"/>
        <w:tab w:val="left" w:pos="840" w:leader="none"/>
      </w:tabs>
      <w:outlineLvl w:val="2"/>
    </w:pPr>
    <w:rPr>
      <w:rFonts w:ascii="宋体" w:eastAsia="宋体"/>
      <w:b w:val="0"/>
    </w:rPr>
  </w:style>
  <w:style w:type="paragraph" w:styleId="1177">
    <w:name w:val="一级条标题"/>
    <w:basedOn w:val="1178"/>
    <w:next w:val="1067"/>
    <w:link w:val="1067"/>
    <w:qFormat/>
    <w:pPr>
      <w:numPr>
        <w:ilvl w:val="1"/>
      </w:numPr>
      <w:ind w:left="0" w:hanging="840"/>
      <w:tabs>
        <w:tab w:val="left" w:pos="360" w:leader="none"/>
        <w:tab w:val="left" w:pos="840" w:leader="none"/>
      </w:tabs>
      <w:outlineLvl w:val="1"/>
    </w:pPr>
  </w:style>
  <w:style w:type="paragraph" w:styleId="1178">
    <w:name w:val="章标题"/>
    <w:next w:val="1067"/>
    <w:link w:val="106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9">
    <w:name w:val="font7"/>
    <w:basedOn w:val="1067"/>
    <w:next w:val="1179"/>
    <w:link w:val="1067"/>
    <w:qFormat/>
    <w:pPr>
      <w:jc w:val="left"/>
      <w:spacing w:before="100" w:beforeAutospacing="1" w:after="100" w:afterAutospacing="1"/>
      <w:widowControl/>
    </w:pPr>
    <w:rPr>
      <w:rFonts w:eastAsia="Arial Unicode MS"/>
      <w:b/>
      <w:bCs/>
      <w:color w:val="000000"/>
      <w:sz w:val="20"/>
      <w:szCs w:val="20"/>
    </w:rPr>
  </w:style>
  <w:style w:type="paragraph" w:styleId="1180">
    <w:name w:val="字元 字元"/>
    <w:basedOn w:val="1067"/>
    <w:next w:val="1180"/>
    <w:link w:val="1067"/>
    <w:qFormat/>
    <w:rPr>
      <w:rFonts w:ascii="Tahoma" w:hAnsi="Tahoma"/>
      <w:sz w:val="24"/>
      <w:szCs w:val="20"/>
    </w:rPr>
  </w:style>
  <w:style w:type="paragraph" w:styleId="1181">
    <w:name w:val="Char3 Char Char Char"/>
    <w:basedOn w:val="1067"/>
    <w:next w:val="1181"/>
    <w:link w:val="1067"/>
    <w:qFormat/>
    <w:rPr>
      <w:rFonts w:ascii="Tahoma" w:hAnsi="Tahoma"/>
      <w:sz w:val="24"/>
      <w:szCs w:val="20"/>
    </w:rPr>
  </w:style>
  <w:style w:type="paragraph" w:styleId="1182">
    <w:name w:val="font6"/>
    <w:basedOn w:val="1067"/>
    <w:next w:val="1182"/>
    <w:link w:val="1067"/>
    <w:qFormat/>
    <w:pPr>
      <w:jc w:val="left"/>
      <w:spacing w:before="100" w:beforeAutospacing="1" w:after="100" w:afterAutospacing="1"/>
      <w:widowControl/>
    </w:pPr>
    <w:rPr>
      <w:rFonts w:ascii="宋体" w:hAnsi="宋体" w:cs="宋体"/>
      <w:sz w:val="20"/>
      <w:szCs w:val="20"/>
    </w:rPr>
  </w:style>
  <w:style w:type="paragraph" w:styleId="1183">
    <w:name w:val="项目编号2"/>
    <w:basedOn w:val="1184"/>
    <w:next w:val="1183"/>
    <w:link w:val="1067"/>
    <w:qFormat/>
    <w:pPr>
      <w:numPr>
        <w:numId w:val="3"/>
      </w:numPr>
    </w:pPr>
  </w:style>
  <w:style w:type="paragraph" w:styleId="1184">
    <w:name w:val="项目编号1"/>
    <w:basedOn w:val="1067"/>
    <w:next w:val="1184"/>
    <w:link w:val="1067"/>
    <w:qFormat/>
    <w:pPr>
      <w:numPr>
        <w:ilvl w:val="0"/>
        <w:numId w:val="2"/>
      </w:numPr>
      <w:spacing w:before="100" w:beforeAutospacing="1" w:after="100" w:afterAutospacing="1" w:line="360" w:lineRule="auto"/>
    </w:pPr>
    <w:rPr>
      <w:sz w:val="24"/>
    </w:rPr>
  </w:style>
  <w:style w:type="paragraph" w:styleId="1185">
    <w:name w:val="图中文字"/>
    <w:basedOn w:val="1067"/>
    <w:next w:val="1185"/>
    <w:link w:val="1067"/>
    <w:qFormat/>
    <w:pPr>
      <w:jc w:val="center"/>
      <w:spacing w:line="0" w:lineRule="atLeast"/>
    </w:pPr>
    <w:rPr>
      <w:sz w:val="24"/>
      <w:szCs w:val="20"/>
    </w:rPr>
  </w:style>
  <w:style w:type="paragraph" w:styleId="1186">
    <w:name w:val="xl46"/>
    <w:basedOn w:val="1067"/>
    <w:next w:val="1186"/>
    <w:link w:val="106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7">
    <w:name w:val="xl25"/>
    <w:basedOn w:val="1067"/>
    <w:next w:val="1187"/>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Char2"/>
    <w:basedOn w:val="1067"/>
    <w:next w:val="1188"/>
    <w:link w:val="1067"/>
    <w:qFormat/>
    <w:rPr>
      <w:rFonts w:ascii="Tahoma" w:hAnsi="Tahoma"/>
      <w:sz w:val="24"/>
      <w:szCs w:val="20"/>
    </w:rPr>
  </w:style>
  <w:style w:type="paragraph" w:styleId="1189">
    <w:name w:val="xl35"/>
    <w:basedOn w:val="1067"/>
    <w:next w:val="1189"/>
    <w:link w:val="10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xl40"/>
    <w:basedOn w:val="1067"/>
    <w:next w:val="1190"/>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name w:val="xl52"/>
    <w:basedOn w:val="1067"/>
    <w:next w:val="1191"/>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2">
    <w:name w:val="xl43"/>
    <w:basedOn w:val="1067"/>
    <w:next w:val="1192"/>
    <w:link w:val="10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3">
    <w:name w:val="background1"/>
    <w:basedOn w:val="1067"/>
    <w:next w:val="1193"/>
    <w:link w:val="1067"/>
    <w:qFormat/>
    <w:pPr>
      <w:jc w:val="left"/>
      <w:spacing w:before="100" w:beforeAutospacing="1" w:after="100" w:afterAutospacing="1"/>
      <w:widowControl/>
    </w:pPr>
    <w:rPr>
      <w:rFonts w:ascii="宋体" w:hAnsi="宋体" w:cs="宋体"/>
      <w:sz w:val="24"/>
    </w:rPr>
  </w:style>
  <w:style w:type="paragraph" w:styleId="1194">
    <w:name w:val="Char Char Char Char Char Char Char"/>
    <w:basedOn w:val="1067"/>
    <w:next w:val="1194"/>
    <w:link w:val="1067"/>
    <w:qFormat/>
    <w:pPr>
      <w:ind w:firstLine="200"/>
      <w:spacing w:line="360" w:lineRule="auto"/>
    </w:pPr>
    <w:rPr>
      <w:rFonts w:eastAsia="仿宋_GB2312"/>
      <w:sz w:val="24"/>
    </w:rPr>
  </w:style>
  <w:style w:type="paragraph" w:styleId="1195">
    <w:name w:val="xl38"/>
    <w:basedOn w:val="1067"/>
    <w:next w:val="1195"/>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6">
    <w:name w:val="xl36"/>
    <w:basedOn w:val="1067"/>
    <w:next w:val="1196"/>
    <w:link w:val="106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正文 + 宋体"/>
    <w:basedOn w:val="1067"/>
    <w:next w:val="1197"/>
    <w:link w:val="1067"/>
    <w:qFormat/>
    <w:pPr>
      <w:ind w:left="360" w:hanging="360"/>
      <w:jc w:val="left"/>
      <w:widowControl/>
    </w:pPr>
    <w:rPr>
      <w:rFonts w:ascii="宋体" w:hAnsi="宋体" w:cs="宋体"/>
      <w:b/>
      <w:bCs/>
      <w:color w:val="000000"/>
      <w:sz w:val="18"/>
      <w:szCs w:val="18"/>
    </w:rPr>
  </w:style>
  <w:style w:type="paragraph" w:styleId="1198">
    <w:name w:val="正文列项_数字"/>
    <w:basedOn w:val="1067"/>
    <w:next w:val="1198"/>
    <w:link w:val="1067"/>
    <w:qFormat/>
    <w:pPr>
      <w:numPr>
        <w:ilvl w:val="7"/>
        <w:numId w:val="1"/>
      </w:numPr>
      <w:ind w:left="680" w:hanging="150"/>
      <w:spacing w:line="460" w:lineRule="exact"/>
      <w:tabs>
        <w:tab w:val="clear" w:pos="860" w:leader="none"/>
      </w:tabs>
      <w:outlineLvl w:val="7"/>
    </w:pPr>
    <w:rPr>
      <w:rFonts w:ascii="宋体"/>
      <w:sz w:val="28"/>
      <w:szCs w:val="20"/>
    </w:rPr>
  </w:style>
  <w:style w:type="paragraph" w:styleId="1199">
    <w:name w:val="xl39"/>
    <w:basedOn w:val="1067"/>
    <w:next w:val="1199"/>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xl37"/>
    <w:basedOn w:val="1067"/>
    <w:next w:val="1200"/>
    <w:link w:val="10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name w:val="xl32"/>
    <w:basedOn w:val="1067"/>
    <w:next w:val="1201"/>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font8"/>
    <w:basedOn w:val="1067"/>
    <w:next w:val="1202"/>
    <w:link w:val="1067"/>
    <w:qFormat/>
    <w:pPr>
      <w:jc w:val="left"/>
      <w:spacing w:before="100" w:beforeAutospacing="1" w:after="100" w:afterAutospacing="1"/>
      <w:widowControl/>
    </w:pPr>
    <w:rPr>
      <w:sz w:val="36"/>
      <w:szCs w:val="36"/>
    </w:rPr>
  </w:style>
  <w:style w:type="paragraph" w:styleId="1203">
    <w:name w:val="Char"/>
    <w:basedOn w:val="1067"/>
    <w:next w:val="1203"/>
    <w:link w:val="1067"/>
    <w:qFormat/>
    <w:pPr>
      <w:tabs>
        <w:tab w:val="left" w:pos="360" w:leader="none"/>
      </w:tabs>
    </w:pPr>
    <w:rPr>
      <w:sz w:val="24"/>
    </w:rPr>
  </w:style>
  <w:style w:type="paragraph" w:styleId="1204">
    <w:name w:val="Char Char Char Char Char Char Char Char Char Char Char Char Char Char Char Char"/>
    <w:basedOn w:val="1067"/>
    <w:next w:val="1204"/>
    <w:link w:val="1067"/>
    <w:qFormat/>
    <w:pPr>
      <w:jc w:val="center"/>
      <w:spacing w:after="160" w:line="240" w:lineRule="exact"/>
      <w:widowControl/>
    </w:pPr>
    <w:rPr>
      <w:rFonts w:ascii="宋体" w:hAnsi="宋体"/>
      <w:b/>
      <w:sz w:val="30"/>
      <w:szCs w:val="30"/>
      <w:lang w:eastAsia="en-US"/>
    </w:rPr>
  </w:style>
  <w:style w:type="paragraph" w:styleId="1205">
    <w:name w:val="xl45"/>
    <w:basedOn w:val="1067"/>
    <w:next w:val="1205"/>
    <w:link w:val="10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6">
    <w:name w:val="Char Char1 Char Char Char Char Char Char"/>
    <w:basedOn w:val="1067"/>
    <w:next w:val="1206"/>
    <w:link w:val="1067"/>
    <w:qFormat/>
    <w:pPr>
      <w:jc w:val="left"/>
      <w:spacing w:after="160" w:line="240" w:lineRule="exact"/>
      <w:widowControl/>
    </w:pPr>
    <w:rPr>
      <w:rFonts w:ascii="Verdana" w:hAnsi="Verdana" w:eastAsia="仿宋_GB2312"/>
      <w:sz w:val="24"/>
      <w:szCs w:val="20"/>
      <w:lang w:eastAsia="en-US"/>
    </w:rPr>
  </w:style>
  <w:style w:type="paragraph" w:styleId="1207">
    <w:name w:val="Char Char1"/>
    <w:basedOn w:val="1093"/>
    <w:next w:val="1207"/>
    <w:link w:val="1067"/>
    <w:qFormat/>
    <w:rPr>
      <w:rFonts w:ascii="Tahoma" w:hAnsi="Tahoma"/>
      <w:sz w:val="24"/>
    </w:rPr>
  </w:style>
  <w:style w:type="paragraph" w:styleId="1208">
    <w:name w:val="xl26"/>
    <w:basedOn w:val="1067"/>
    <w:next w:val="1208"/>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9">
    <w:name w:val="xl30"/>
    <w:basedOn w:val="1067"/>
    <w:next w:val="1209"/>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41"/>
    <w:basedOn w:val="1067"/>
    <w:next w:val="1210"/>
    <w:link w:val="106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1">
    <w:name w:val="样式 宋体 五号 行距: 单倍行距"/>
    <w:basedOn w:val="1067"/>
    <w:next w:val="1211"/>
    <w:link w:val="1067"/>
    <w:qFormat/>
    <w:pPr>
      <w:jc w:val="left"/>
    </w:pPr>
    <w:rPr>
      <w:rFonts w:ascii="宋体" w:hAnsi="宋体"/>
      <w:szCs w:val="20"/>
    </w:rPr>
  </w:style>
  <w:style w:type="paragraph" w:styleId="1212">
    <w:name w:val="Char1 Char Char Char1"/>
    <w:basedOn w:val="1067"/>
    <w:next w:val="1212"/>
    <w:link w:val="1067"/>
    <w:qFormat/>
    <w:rPr>
      <w:rFonts w:ascii="Tahoma" w:hAnsi="Tahoma" w:cs="仿宋_GB2312"/>
      <w:sz w:val="24"/>
      <w:szCs w:val="28"/>
    </w:rPr>
  </w:style>
  <w:style w:type="paragraph" w:styleId="1213">
    <w:name w:val="四级条标题"/>
    <w:basedOn w:val="1214"/>
    <w:next w:val="1067"/>
    <w:link w:val="1067"/>
    <w:qFormat/>
    <w:pPr>
      <w:numPr>
        <w:ilvl w:val="4"/>
      </w:numPr>
      <w:ind w:left="0" w:hanging="840"/>
      <w:tabs>
        <w:tab w:val="left" w:pos="360" w:leader="none"/>
        <w:tab w:val="left" w:pos="840" w:leader="none"/>
      </w:tabs>
      <w:outlineLvl w:val="4"/>
    </w:pPr>
  </w:style>
  <w:style w:type="paragraph" w:styleId="1214">
    <w:name w:val="三级条标题"/>
    <w:basedOn w:val="1176"/>
    <w:next w:val="1067"/>
    <w:link w:val="1067"/>
    <w:qFormat/>
    <w:pPr>
      <w:numPr>
        <w:ilvl w:val="3"/>
        <w:numId w:val="1"/>
      </w:numPr>
      <w:ind w:left="0" w:hanging="840"/>
      <w:tabs>
        <w:tab w:val="left" w:pos="360" w:leader="none"/>
        <w:tab w:val="left" w:pos="840" w:leader="none"/>
      </w:tabs>
      <w:outlineLvl w:val="3"/>
    </w:pPr>
  </w:style>
  <w:style w:type="paragraph" w:styleId="1215">
    <w:name w:val="??"/>
    <w:next w:val="1215"/>
    <w:link w:val="1067"/>
    <w:qFormat/>
    <w:pPr>
      <w:jc w:val="both"/>
      <w:widowControl w:val="off"/>
    </w:pPr>
    <w:rPr>
      <w:sz w:val="21"/>
      <w:lang w:val="en-US" w:eastAsia="en-US" w:bidi="ar-SA"/>
    </w:rPr>
  </w:style>
  <w:style w:type="paragraph" w:styleId="1216">
    <w:name w:val="样式 标题 2 + 宋体 五号 行距: 单倍行距"/>
    <w:basedOn w:val="1069"/>
    <w:next w:val="1216"/>
    <w:link w:val="106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7">
    <w:name w:val="List Paragraph1"/>
    <w:basedOn w:val="1067"/>
    <w:next w:val="1217"/>
    <w:link w:val="1067"/>
    <w:qFormat/>
    <w:pPr>
      <w:ind w:firstLine="420"/>
    </w:pPr>
    <w:rPr>
      <w:rFonts w:ascii="Calibri" w:hAnsi="Calibri"/>
      <w:szCs w:val="22"/>
    </w:rPr>
  </w:style>
  <w:style w:type="paragraph" w:styleId="1218">
    <w:name w:val="项目符号1"/>
    <w:basedOn w:val="1219"/>
    <w:next w:val="1218"/>
    <w:link w:val="1067"/>
    <w:qFormat/>
    <w:pPr>
      <w:ind w:left="-25" w:firstLine="0"/>
    </w:pPr>
  </w:style>
  <w:style w:type="paragraph" w:styleId="1219">
    <w:name w:val="正文文本样式"/>
    <w:basedOn w:val="1067"/>
    <w:next w:val="1219"/>
    <w:link w:val="1067"/>
    <w:qFormat/>
    <w:pPr>
      <w:ind w:firstLine="482"/>
      <w:spacing w:line="360" w:lineRule="auto"/>
    </w:pPr>
    <w:rPr>
      <w:rFonts w:cs="宋体"/>
      <w:sz w:val="24"/>
      <w:szCs w:val="20"/>
    </w:rPr>
  </w:style>
  <w:style w:type="paragraph" w:styleId="1220">
    <w:name w:val="xl27"/>
    <w:basedOn w:val="1067"/>
    <w:next w:val="1220"/>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font5"/>
    <w:basedOn w:val="1067"/>
    <w:next w:val="1221"/>
    <w:link w:val="1067"/>
    <w:qFormat/>
    <w:pPr>
      <w:jc w:val="left"/>
      <w:spacing w:before="100" w:beforeAutospacing="1" w:after="100" w:afterAutospacing="1"/>
      <w:widowControl/>
    </w:pPr>
    <w:rPr>
      <w:rFonts w:ascii="宋体" w:hAnsi="宋体" w:cs="宋体"/>
      <w:sz w:val="18"/>
      <w:szCs w:val="18"/>
    </w:rPr>
  </w:style>
  <w:style w:type="paragraph" w:styleId="1222">
    <w:name w:val="五级条标题"/>
    <w:basedOn w:val="1213"/>
    <w:next w:val="1067"/>
    <w:link w:val="1067"/>
    <w:qFormat/>
    <w:pPr>
      <w:numPr>
        <w:ilvl w:val="5"/>
      </w:numPr>
      <w:ind w:left="0" w:hanging="840"/>
      <w:tabs>
        <w:tab w:val="left" w:pos="360" w:leader="none"/>
        <w:tab w:val="left" w:pos="840" w:leader="none"/>
      </w:tabs>
      <w:outlineLvl w:val="5"/>
    </w:pPr>
  </w:style>
  <w:style w:type="paragraph" w:styleId="1223">
    <w:name w:val="xl49"/>
    <w:basedOn w:val="1067"/>
    <w:next w:val="1223"/>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4">
    <w:name w:val="文档正文"/>
    <w:basedOn w:val="1067"/>
    <w:next w:val="1224"/>
    <w:link w:val="1067"/>
    <w:qFormat/>
    <w:pPr>
      <w:spacing w:before="120" w:after="120" w:line="180" w:lineRule="auto"/>
    </w:pPr>
    <w:rPr>
      <w:rFonts w:ascii="Arial" w:hAnsi="Arial"/>
      <w:szCs w:val="20"/>
    </w:rPr>
  </w:style>
  <w:style w:type="paragraph" w:styleId="1225">
    <w:name w:val="xl33"/>
    <w:basedOn w:val="1067"/>
    <w:next w:val="1225"/>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xl42"/>
    <w:basedOn w:val="1067"/>
    <w:next w:val="1226"/>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7">
    <w:name w:val="Char Char Char1 Char"/>
    <w:basedOn w:val="1067"/>
    <w:next w:val="1227"/>
    <w:link w:val="1067"/>
    <w:qFormat/>
    <w:rPr>
      <w:rFonts w:ascii="Tahoma" w:hAnsi="Tahoma"/>
      <w:sz w:val="24"/>
      <w:szCs w:val="20"/>
    </w:rPr>
  </w:style>
  <w:style w:type="paragraph" w:styleId="1228">
    <w:name w:val="xl44"/>
    <w:basedOn w:val="1067"/>
    <w:next w:val="1228"/>
    <w:link w:val="10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9">
    <w:name w:val="1名"/>
    <w:basedOn w:val="1067"/>
    <w:next w:val="1229"/>
    <w:link w:val="1067"/>
    <w:qFormat/>
    <w:pPr>
      <w:numPr>
        <w:ilvl w:val="0"/>
        <w:numId w:val="5"/>
      </w:numPr>
      <w:spacing w:before="120"/>
      <w:tabs>
        <w:tab w:val="left" w:pos="360" w:leader="none"/>
      </w:tabs>
    </w:pPr>
    <w:rPr>
      <w:rFonts w:ascii="宋体"/>
      <w:sz w:val="28"/>
      <w:szCs w:val="20"/>
    </w:rPr>
  </w:style>
  <w:style w:type="paragraph" w:styleId="1230">
    <w:name w:val="font9"/>
    <w:basedOn w:val="1067"/>
    <w:next w:val="1230"/>
    <w:link w:val="1067"/>
    <w:qFormat/>
    <w:pPr>
      <w:jc w:val="left"/>
      <w:spacing w:before="100" w:beforeAutospacing="1" w:after="100" w:afterAutospacing="1"/>
      <w:widowControl/>
    </w:pPr>
    <w:rPr>
      <w:rFonts w:hint="eastAsia" w:ascii="宋体" w:hAnsi="宋体" w:cs="Arial Unicode MS"/>
      <w:color w:val="000000"/>
      <w:sz w:val="20"/>
      <w:szCs w:val="20"/>
    </w:rPr>
  </w:style>
  <w:style w:type="paragraph" w:styleId="1231">
    <w:name w:val="Char Char Char1 Char1"/>
    <w:basedOn w:val="1067"/>
    <w:next w:val="1231"/>
    <w:link w:val="1067"/>
    <w:qFormat/>
    <w:rPr>
      <w:rFonts w:ascii="Tahoma" w:hAnsi="Tahoma"/>
      <w:sz w:val="24"/>
      <w:szCs w:val="20"/>
    </w:rPr>
  </w:style>
  <w:style w:type="paragraph" w:styleId="1232">
    <w:name w:val="Char Char Char Char Char Char Char Char Char Char"/>
    <w:basedOn w:val="1067"/>
    <w:next w:val="1232"/>
    <w:link w:val="1067"/>
    <w:qFormat/>
  </w:style>
  <w:style w:type="paragraph" w:styleId="1233">
    <w:name w:val="Char Char1 Char Char Char Char Char Char Char Char"/>
    <w:basedOn w:val="1067"/>
    <w:next w:val="1233"/>
    <w:link w:val="1067"/>
    <w:qFormat/>
    <w:pPr>
      <w:jc w:val="left"/>
      <w:spacing w:after="160" w:line="240" w:lineRule="exact"/>
      <w:widowControl/>
    </w:pPr>
    <w:rPr>
      <w:rFonts w:ascii="Verdana" w:hAnsi="Verdana"/>
      <w:sz w:val="20"/>
      <w:szCs w:val="20"/>
      <w:lang w:eastAsia="en-US"/>
    </w:rPr>
  </w:style>
  <w:style w:type="paragraph" w:styleId="1234">
    <w:name w:val="Char1"/>
    <w:basedOn w:val="1067"/>
    <w:next w:val="1234"/>
    <w:link w:val="1067"/>
    <w:qFormat/>
    <w:pPr>
      <w:tabs>
        <w:tab w:val="left" w:pos="360" w:leader="none"/>
      </w:tabs>
    </w:pPr>
    <w:rPr>
      <w:sz w:val="24"/>
    </w:rPr>
  </w:style>
  <w:style w:type="paragraph" w:styleId="1235">
    <w:name w:val="正文列项_字母"/>
    <w:basedOn w:val="1067"/>
    <w:next w:val="1235"/>
    <w:link w:val="1067"/>
    <w:qFormat/>
    <w:pPr>
      <w:numPr>
        <w:ilvl w:val="6"/>
        <w:numId w:val="1"/>
      </w:numPr>
      <w:ind w:left="480" w:hanging="180"/>
      <w:spacing w:line="460" w:lineRule="exact"/>
      <w:tabs>
        <w:tab w:val="clear" w:pos="635" w:leader="none"/>
      </w:tabs>
      <w:outlineLvl w:val="6"/>
    </w:pPr>
    <w:rPr>
      <w:rFonts w:ascii="宋体"/>
      <w:sz w:val="28"/>
      <w:szCs w:val="20"/>
    </w:rPr>
  </w:style>
  <w:style w:type="paragraph" w:styleId="1236">
    <w:name w:val="xl28"/>
    <w:basedOn w:val="1067"/>
    <w:next w:val="1236"/>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47"/>
    <w:basedOn w:val="1067"/>
    <w:next w:val="1237"/>
    <w:link w:val="10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默认段落字体 Para Char Char Char Char"/>
    <w:basedOn w:val="1067"/>
    <w:next w:val="1238"/>
    <w:link w:val="1067"/>
    <w:qFormat/>
    <w:rPr>
      <w:rFonts w:ascii="Arial" w:hAnsi="Arial" w:cs="Arial"/>
      <w:szCs w:val="21"/>
    </w:rPr>
  </w:style>
  <w:style w:type="paragraph" w:styleId="1239">
    <w:name w:val="xl48"/>
    <w:basedOn w:val="1067"/>
    <w:next w:val="1239"/>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0">
    <w:name w:val="xl31"/>
    <w:basedOn w:val="1067"/>
    <w:next w:val="1240"/>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xl53"/>
    <w:basedOn w:val="1067"/>
    <w:next w:val="1241"/>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Char Char Char"/>
    <w:basedOn w:val="1067"/>
    <w:next w:val="1242"/>
    <w:link w:val="1067"/>
    <w:qFormat/>
    <w:rPr>
      <w:rFonts w:ascii="Tahoma" w:hAnsi="Tahoma"/>
      <w:sz w:val="24"/>
      <w:szCs w:val="20"/>
    </w:rPr>
  </w:style>
  <w:style w:type="paragraph" w:styleId="1243">
    <w:name w:val="xl50"/>
    <w:basedOn w:val="1067"/>
    <w:next w:val="1243"/>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4">
    <w:name w:val="缺省文本"/>
    <w:basedOn w:val="1067"/>
    <w:next w:val="1244"/>
    <w:link w:val="1067"/>
    <w:qFormat/>
    <w:pPr>
      <w:jc w:val="left"/>
    </w:pPr>
    <w:rPr>
      <w:sz w:val="24"/>
    </w:rPr>
  </w:style>
  <w:style w:type="paragraph" w:styleId="1245">
    <w:name w:val="Char Char Char1"/>
    <w:basedOn w:val="1067"/>
    <w:next w:val="1245"/>
    <w:link w:val="1067"/>
    <w:qFormat/>
    <w:rPr>
      <w:rFonts w:ascii="Tahoma" w:hAnsi="Tahoma"/>
      <w:sz w:val="24"/>
      <w:szCs w:val="20"/>
    </w:rPr>
  </w:style>
  <w:style w:type="paragraph" w:styleId="1246">
    <w:name w:val="Char Char Char Char Char Char Char1"/>
    <w:basedOn w:val="1067"/>
    <w:next w:val="1246"/>
    <w:link w:val="1067"/>
    <w:qFormat/>
    <w:pPr>
      <w:ind w:firstLine="200"/>
      <w:spacing w:line="360" w:lineRule="auto"/>
    </w:pPr>
    <w:rPr>
      <w:rFonts w:eastAsia="仿宋_GB2312"/>
      <w:sz w:val="24"/>
    </w:rPr>
  </w:style>
  <w:style w:type="paragraph" w:styleId="1247">
    <w:name w:val="xl51"/>
    <w:basedOn w:val="1067"/>
    <w:next w:val="1247"/>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样式2"/>
    <w:basedOn w:val="1132"/>
    <w:next w:val="1248"/>
    <w:link w:val="1067"/>
    <w:qFormat/>
    <w:pPr>
      <w:jc w:val="center"/>
      <w:spacing w:line="360" w:lineRule="auto"/>
    </w:pPr>
    <w:rPr>
      <w:sz w:val="24"/>
    </w:rPr>
  </w:style>
  <w:style w:type="paragraph" w:styleId="1249">
    <w:name w:val="xl24"/>
    <w:basedOn w:val="1067"/>
    <w:next w:val="1249"/>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xl29"/>
    <w:basedOn w:val="1067"/>
    <w:next w:val="1250"/>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1">
    <w:name w:val="正文 + 楷体_GB2312"/>
    <w:basedOn w:val="1067"/>
    <w:next w:val="1251"/>
    <w:link w:val="1067"/>
    <w:qFormat/>
    <w:pPr>
      <w:jc w:val="left"/>
      <w:widowControl/>
    </w:pPr>
    <w:rPr>
      <w:rFonts w:ascii="楷体_GB2312" w:eastAsia="楷体_GB2312" w:cs="Arial"/>
      <w:sz w:val="24"/>
    </w:rPr>
  </w:style>
  <w:style w:type="paragraph" w:styleId="1252">
    <w:name w:val="xl34"/>
    <w:basedOn w:val="1067"/>
    <w:next w:val="1252"/>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3">
    <w:name w:val="1 Char Char Char Char"/>
    <w:basedOn w:val="1067"/>
    <w:next w:val="1253"/>
    <w:link w:val="1067"/>
    <w:qFormat/>
    <w:rPr>
      <w:rFonts w:ascii="Tahoma" w:hAnsi="Tahoma"/>
      <w:sz w:val="24"/>
      <w:szCs w:val="20"/>
    </w:rPr>
  </w:style>
  <w:style w:type="paragraph" w:styleId="1254">
    <w:name w:val="Default"/>
    <w:next w:val="1254"/>
    <w:link w:val="1067"/>
    <w:qFormat/>
    <w:pPr>
      <w:widowControl w:val="off"/>
    </w:pPr>
    <w:rPr>
      <w:rFonts w:ascii="Symbol" w:hAnsi="Symbol" w:cs="Symbol"/>
      <w:color w:val="000000"/>
      <w:sz w:val="24"/>
      <w:szCs w:val="24"/>
      <w:lang w:val="en-US" w:eastAsia="zh-CN" w:bidi="ar-SA"/>
    </w:rPr>
  </w:style>
  <w:style w:type="paragraph" w:styleId="1255">
    <w:name w:val="列出段落1"/>
    <w:basedOn w:val="1067"/>
    <w:next w:val="1255"/>
    <w:link w:val="1067"/>
    <w:qFormat/>
    <w:pPr>
      <w:ind w:firstLine="420"/>
    </w:pPr>
    <w:rPr>
      <w:rFonts w:ascii="Calibri" w:hAnsi="Calibri"/>
      <w:szCs w:val="22"/>
    </w:rPr>
  </w:style>
  <w:style w:type="paragraph" w:styleId="1256">
    <w:name w:val="default"/>
    <w:basedOn w:val="1067"/>
    <w:next w:val="1256"/>
    <w:link w:val="1067"/>
    <w:qFormat/>
    <w:pPr>
      <w:jc w:val="left"/>
      <w:spacing w:before="100" w:beforeAutospacing="1" w:after="100" w:afterAutospacing="1"/>
      <w:widowControl/>
    </w:pPr>
    <w:rPr>
      <w:rFonts w:ascii="宋体" w:hAnsi="宋体" w:cs="宋体"/>
      <w:sz w:val="24"/>
    </w:rPr>
  </w:style>
  <w:style w:type="paragraph" w:styleId="1257">
    <w:name w:val="字元 字元1"/>
    <w:basedOn w:val="1067"/>
    <w:next w:val="1257"/>
    <w:link w:val="1067"/>
    <w:qFormat/>
    <w:rPr>
      <w:rFonts w:ascii="Tahoma" w:hAnsi="Tahoma"/>
      <w:sz w:val="24"/>
      <w:szCs w:val="20"/>
    </w:rPr>
  </w:style>
  <w:style w:type="paragraph" w:styleId="1258">
    <w:name w:val="_Style 160"/>
    <w:next w:val="1258"/>
    <w:link w:val="1067"/>
    <w:qFormat/>
    <w:rPr>
      <w:sz w:val="21"/>
      <w:szCs w:val="24"/>
      <w:lang w:val="en-US" w:eastAsia="zh-CN" w:bidi="ar-SA"/>
    </w:rPr>
  </w:style>
  <w:style w:type="paragraph" w:styleId="1259">
    <w:name w:val="项目编号3"/>
    <w:basedOn w:val="1219"/>
    <w:next w:val="1259"/>
    <w:link w:val="1067"/>
    <w:qFormat/>
    <w:pPr>
      <w:numPr>
        <w:ilvl w:val="0"/>
        <w:numId w:val="6"/>
      </w:numPr>
    </w:pPr>
  </w:style>
  <w:style w:type="paragraph" w:styleId="1260">
    <w:name w:val="Char21"/>
    <w:basedOn w:val="1067"/>
    <w:next w:val="1260"/>
    <w:link w:val="1067"/>
    <w:qFormat/>
    <w:rPr>
      <w:rFonts w:ascii="Tahoma" w:hAnsi="Tahoma"/>
      <w:sz w:val="24"/>
      <w:szCs w:val="20"/>
    </w:rPr>
  </w:style>
  <w:style w:type="paragraph" w:styleId="1261">
    <w:name w:val="表格文字"/>
    <w:basedOn w:val="1101"/>
    <w:next w:val="1261"/>
    <w:link w:val="1067"/>
    <w:qFormat/>
    <w:pPr>
      <w:ind w:firstLine="0"/>
      <w:spacing w:before="20" w:after="20" w:line="240" w:lineRule="auto"/>
    </w:pPr>
    <w:rPr>
      <w:rFonts w:ascii="Century Gothic" w:hAnsi="Century Gothic"/>
      <w:sz w:val="20"/>
      <w:szCs w:val="20"/>
    </w:rPr>
  </w:style>
  <w:style w:type="paragraph" w:styleId="1262">
    <w:name w:val="Char Char Char Char Char Char Char Char Char Char1"/>
    <w:basedOn w:val="1067"/>
    <w:next w:val="1262"/>
    <w:link w:val="1067"/>
    <w:qFormat/>
    <w:rPr>
      <w:rFonts w:ascii="宋体" w:hAnsi="宋体" w:cs="Courier New"/>
      <w:sz w:val="32"/>
      <w:szCs w:val="32"/>
    </w:rPr>
  </w:style>
  <w:style w:type="paragraph" w:styleId="1263">
    <w:name w:val="正文文本样式 加粗"/>
    <w:basedOn w:val="1219"/>
    <w:next w:val="1263"/>
    <w:link w:val="1067"/>
    <w:qFormat/>
    <w:rPr>
      <w:b/>
    </w:rPr>
  </w:style>
  <w:style w:type="paragraph" w:styleId="1264">
    <w:name w:val="Char2 Char Char Char Char Char Char"/>
    <w:basedOn w:val="1067"/>
    <w:next w:val="1264"/>
    <w:link w:val="1067"/>
    <w:qFormat/>
    <w:pPr>
      <w:jc w:val="center"/>
      <w:spacing w:line="400" w:lineRule="exact"/>
      <w:widowControl/>
    </w:pPr>
  </w:style>
  <w:style w:type="paragraph" w:styleId="1265">
    <w:name w:val="Char Char4"/>
    <w:basedOn w:val="1067"/>
    <w:next w:val="1265"/>
    <w:link w:val="1067"/>
    <w:qFormat/>
    <w:pPr>
      <w:jc w:val="center"/>
      <w:spacing w:line="400" w:lineRule="exact"/>
      <w:widowControl/>
    </w:pPr>
  </w:style>
  <w:style w:type="paragraph" w:styleId="1266">
    <w:name w:val="Char3 Char Char Char1"/>
    <w:basedOn w:val="1067"/>
    <w:next w:val="1266"/>
    <w:link w:val="1067"/>
    <w:qFormat/>
    <w:rPr>
      <w:rFonts w:ascii="Tahoma" w:hAnsi="Tahoma"/>
      <w:sz w:val="24"/>
      <w:szCs w:val="20"/>
    </w:rPr>
  </w:style>
  <w:style w:type="paragraph" w:styleId="1267">
    <w:name w:val="无间隔"/>
    <w:next w:val="1267"/>
    <w:link w:val="1067"/>
    <w:qFormat/>
    <w:pPr>
      <w:jc w:val="both"/>
      <w:widowControl w:val="off"/>
    </w:pPr>
    <w:rPr>
      <w:sz w:val="21"/>
      <w:szCs w:val="24"/>
      <w:lang w:val="en-US" w:eastAsia="zh-CN" w:bidi="ar-SA"/>
    </w:rPr>
  </w:style>
  <w:style w:type="paragraph" w:styleId="1268">
    <w:name w:val="22222222222222"/>
    <w:basedOn w:val="1067"/>
    <w:next w:val="1268"/>
    <w:link w:val="1067"/>
    <w:qFormat/>
    <w:pPr>
      <w:ind w:firstLine="480"/>
      <w:jc w:val="left"/>
      <w:spacing w:line="360" w:lineRule="auto"/>
      <w:widowControl/>
    </w:pPr>
    <w:rPr>
      <w:color w:val="ff0000"/>
      <w:sz w:val="24"/>
      <w:szCs w:val="20"/>
    </w:rPr>
  </w:style>
  <w:style w:type="character" w:styleId="1269">
    <w:name w:val="中等深浅网格 1 - 强调文字颜色 2 Char"/>
    <w:next w:val="1269"/>
    <w:link w:val="1270"/>
    <w:qFormat/>
    <w:rPr>
      <w:sz w:val="21"/>
      <w:szCs w:val="24"/>
      <w:lang w:val="zh-CN" w:eastAsia="zh-CN" w:bidi="ar-SA"/>
    </w:rPr>
  </w:style>
  <w:style w:type="paragraph" w:styleId="1270">
    <w:name w:val="1"/>
    <w:next w:val="1270"/>
    <w:link w:val="1269"/>
    <w:qFormat/>
    <w:rPr>
      <w:sz w:val="21"/>
      <w:szCs w:val="24"/>
      <w:lang w:val="zh-CN" w:eastAsia="zh-CN" w:bidi="ar-SA"/>
    </w:rPr>
  </w:style>
  <w:style w:type="paragraph" w:styleId="1271">
    <w:name w:val="图文"/>
    <w:basedOn w:val="1067"/>
    <w:next w:val="1271"/>
    <w:link w:val="1067"/>
    <w:qFormat/>
    <w:pPr>
      <w:spacing w:after="50" w:line="360" w:lineRule="auto"/>
    </w:pPr>
    <w:rPr>
      <w:sz w:val="24"/>
    </w:rPr>
  </w:style>
  <w:style w:type="paragraph" w:styleId="1272">
    <w:name w:val="xl23"/>
    <w:basedOn w:val="1067"/>
    <w:next w:val="1272"/>
    <w:link w:val="1067"/>
    <w:qFormat/>
    <w:pPr>
      <w:spacing w:before="100" w:beforeAutospacing="1" w:after="100" w:afterAutospacing="1" w:line="360" w:lineRule="auto"/>
      <w:widowControl/>
    </w:pPr>
    <w:rPr>
      <w:sz w:val="24"/>
      <w:szCs w:val="20"/>
    </w:rPr>
  </w:style>
  <w:style w:type="paragraph" w:styleId="1273">
    <w:name w:val="正文表格"/>
    <w:basedOn w:val="1067"/>
    <w:next w:val="1273"/>
    <w:link w:val="1274"/>
    <w:qFormat/>
    <w:pPr>
      <w:jc w:val="left"/>
    </w:pPr>
    <w:rPr>
      <w:rFonts w:ascii="宋体" w:hAnsi="宋体"/>
      <w:color w:val="000000"/>
      <w:szCs w:val="21"/>
    </w:rPr>
  </w:style>
  <w:style w:type="character" w:styleId="1274">
    <w:name w:val="正文表格 Char"/>
    <w:next w:val="1274"/>
    <w:link w:val="1273"/>
    <w:qFormat/>
    <w:rPr>
      <w:rFonts w:ascii="宋体" w:hAnsi="宋体"/>
      <w:color w:val="000000"/>
      <w:sz w:val="21"/>
      <w:szCs w:val="21"/>
    </w:rPr>
  </w:style>
  <w:style w:type="paragraph" w:styleId="1275">
    <w:name w:val="正文重点"/>
    <w:basedOn w:val="1067"/>
    <w:next w:val="1275"/>
    <w:link w:val="1276"/>
    <w:qFormat/>
    <w:pPr>
      <w:ind w:firstLine="482"/>
      <w:jc w:val="left"/>
      <w:spacing w:line="360" w:lineRule="auto"/>
    </w:pPr>
    <w:rPr>
      <w:b/>
      <w:sz w:val="24"/>
      <w:szCs w:val="20"/>
    </w:rPr>
  </w:style>
  <w:style w:type="character" w:styleId="1276">
    <w:name w:val="正文重点 Char"/>
    <w:next w:val="1276"/>
    <w:link w:val="1275"/>
    <w:qFormat/>
    <w:rPr>
      <w:b/>
      <w:sz w:val="24"/>
    </w:rPr>
  </w:style>
  <w:style w:type="paragraph" w:styleId="1277">
    <w:name w:val="标题1-附件"/>
    <w:basedOn w:val="1068"/>
    <w:next w:val="1277"/>
    <w:link w:val="1067"/>
    <w:qFormat/>
    <w:pPr>
      <w:jc w:val="left"/>
    </w:pPr>
    <w:rPr>
      <w:sz w:val="24"/>
      <w:szCs w:val="24"/>
    </w:rPr>
  </w:style>
  <w:style w:type="paragraph" w:styleId="1278">
    <w:name w:val="正文小标题"/>
    <w:basedOn w:val="1067"/>
    <w:next w:val="1090"/>
    <w:link w:val="1279"/>
    <w:qFormat/>
    <w:pPr>
      <w:ind w:firstLine="482"/>
      <w:jc w:val="left"/>
      <w:spacing w:before="312" w:after="312"/>
    </w:pPr>
    <w:rPr>
      <w:rFonts w:ascii="宋体" w:hAnsi="宋体"/>
      <w:b/>
      <w:i/>
      <w:color w:val="ff0000"/>
      <w:sz w:val="24"/>
      <w:szCs w:val="20"/>
    </w:rPr>
  </w:style>
  <w:style w:type="character" w:styleId="1279">
    <w:name w:val="正文小标题 Char"/>
    <w:next w:val="1279"/>
    <w:link w:val="1278"/>
    <w:qFormat/>
    <w:rPr>
      <w:rFonts w:ascii="宋体" w:hAnsi="宋体"/>
      <w:b/>
      <w:i/>
      <w:color w:val="ff0000"/>
      <w:sz w:val="24"/>
    </w:rPr>
  </w:style>
  <w:style w:type="paragraph" w:styleId="1280">
    <w:name w:val="正文大标题"/>
    <w:basedOn w:val="1278"/>
    <w:next w:val="1090"/>
    <w:link w:val="1281"/>
    <w:qFormat/>
    <w:pPr>
      <w:jc w:val="center"/>
    </w:pPr>
    <w:rPr>
      <w:i w:val="0"/>
      <w:color w:val="000000"/>
      <w:sz w:val="28"/>
      <w:szCs w:val="21"/>
    </w:rPr>
  </w:style>
  <w:style w:type="character" w:styleId="1281">
    <w:name w:val="正文大标题 Char"/>
    <w:next w:val="1281"/>
    <w:link w:val="1280"/>
    <w:qFormat/>
    <w:rPr>
      <w:rFonts w:ascii="宋体" w:hAnsi="宋体"/>
      <w:b/>
      <w:color w:val="000000"/>
      <w:sz w:val="28"/>
      <w:szCs w:val="21"/>
    </w:rPr>
  </w:style>
  <w:style w:type="paragraph" w:styleId="1282">
    <w:name w:val="注释"/>
    <w:basedOn w:val="1067"/>
    <w:next w:val="1282"/>
    <w:link w:val="1283"/>
    <w:qFormat/>
    <w:pPr>
      <w:ind w:left="420" w:hanging="420"/>
      <w:jc w:val="left"/>
    </w:pPr>
    <w:rPr>
      <w:rFonts w:ascii="宋体" w:hAnsi="宋体"/>
      <w:szCs w:val="21"/>
    </w:rPr>
  </w:style>
  <w:style w:type="character" w:styleId="1283">
    <w:name w:val="注释 Char"/>
    <w:next w:val="1283"/>
    <w:link w:val="1282"/>
    <w:qFormat/>
    <w:rPr>
      <w:rFonts w:ascii="宋体" w:hAnsi="宋体"/>
      <w:sz w:val="21"/>
      <w:szCs w:val="21"/>
    </w:rPr>
  </w:style>
  <w:style w:type="paragraph" w:styleId="1284">
    <w:name w:val="正文须知-1级"/>
    <w:basedOn w:val="1067"/>
    <w:next w:val="1067"/>
    <w:link w:val="1067"/>
    <w:qFormat/>
    <w:pPr>
      <w:numPr>
        <w:ilvl w:val="0"/>
        <w:numId w:val="7"/>
      </w:numPr>
      <w:spacing w:line="300" w:lineRule="auto"/>
    </w:pPr>
    <w:rPr>
      <w:rFonts w:ascii="宋体" w:hAnsi="Calibri"/>
      <w:sz w:val="24"/>
      <w:szCs w:val="21"/>
    </w:rPr>
  </w:style>
  <w:style w:type="paragraph" w:styleId="1285">
    <w:name w:val="正文须知-2级"/>
    <w:basedOn w:val="1067"/>
    <w:next w:val="1285"/>
    <w:link w:val="1067"/>
    <w:qFormat/>
    <w:pPr>
      <w:numPr>
        <w:ilvl w:val="1"/>
        <w:numId w:val="7"/>
      </w:numPr>
      <w:spacing w:line="300" w:lineRule="auto"/>
    </w:pPr>
    <w:rPr>
      <w:rFonts w:ascii="宋体" w:hAnsi="Calibri"/>
      <w:sz w:val="24"/>
      <w:szCs w:val="21"/>
    </w:rPr>
  </w:style>
  <w:style w:type="paragraph" w:styleId="1286">
    <w:name w:val="正文须知-3级"/>
    <w:basedOn w:val="1067"/>
    <w:next w:val="1286"/>
    <w:link w:val="1067"/>
    <w:qFormat/>
    <w:pPr>
      <w:numPr>
        <w:ilvl w:val="2"/>
        <w:numId w:val="7"/>
      </w:numPr>
      <w:ind w:hanging="355"/>
      <w:spacing w:line="300" w:lineRule="auto"/>
    </w:pPr>
    <w:rPr>
      <w:rFonts w:ascii="宋体" w:hAnsi="Calibri"/>
      <w:sz w:val="24"/>
      <w:szCs w:val="21"/>
    </w:rPr>
  </w:style>
  <w:style w:type="character" w:styleId="1287">
    <w:name w:val="纯文本 字符"/>
    <w:next w:val="1287"/>
    <w:link w:val="1067"/>
    <w:uiPriority w:val="99"/>
    <w:qFormat/>
    <w:rPr>
      <w:rFonts w:ascii="宋体" w:hAnsi="Courier New" w:eastAsia="宋体" w:cs="Times New Roman"/>
      <w:sz w:val="21"/>
      <w:szCs w:val="21"/>
      <w:lang w:val="en-US" w:eastAsia="zh-CN" w:bidi="ar-SA"/>
    </w:rPr>
  </w:style>
  <w:style w:type="paragraph" w:styleId="1288">
    <w:name w:val="表格1"/>
    <w:basedOn w:val="1067"/>
    <w:next w:val="1288"/>
    <w:link w:val="1067"/>
    <w:qFormat/>
    <w:pPr>
      <w:ind w:firstLine="480"/>
      <w:jc w:val="center"/>
    </w:pPr>
    <w:rPr>
      <w:sz w:val="24"/>
      <w:szCs w:val="20"/>
    </w:rPr>
  </w:style>
  <w:style w:type="character" w:styleId="1289">
    <w:name w:val="纯文本 字符1"/>
    <w:next w:val="1289"/>
    <w:link w:val="1067"/>
    <w:qFormat/>
    <w:rPr>
      <w:rFonts w:ascii="宋体" w:hAnsi="Courier New"/>
    </w:rPr>
  </w:style>
  <w:style w:type="character" w:styleId="1290">
    <w:name w:val="bjh-p"/>
    <w:next w:val="1290"/>
    <w:link w:val="1067"/>
    <w:qFormat/>
  </w:style>
  <w:style w:type="paragraph" w:styleId="1291">
    <w:name w:val="无标题条"/>
    <w:next w:val="1067"/>
    <w:link w:val="1067"/>
    <w:qFormat/>
    <w:pPr>
      <w:jc w:val="both"/>
    </w:pPr>
    <w:rPr>
      <w:sz w:val="21"/>
      <w:lang w:val="en-US" w:eastAsia="zh-CN" w:bidi="ar-SA"/>
    </w:rPr>
  </w:style>
  <w:style w:type="character" w:styleId="1292">
    <w:name w:val="正文格式 Char"/>
    <w:next w:val="1292"/>
    <w:link w:val="1293"/>
    <w:qFormat/>
    <w:rPr>
      <w:rFonts w:ascii="宋体" w:hAnsi="宋体"/>
      <w:sz w:val="24"/>
      <w:szCs w:val="24"/>
      <w:lang w:val="en-GB"/>
    </w:rPr>
  </w:style>
  <w:style w:type="paragraph" w:styleId="1293">
    <w:name w:val="正文格式"/>
    <w:basedOn w:val="1067"/>
    <w:next w:val="1293"/>
    <w:link w:val="1292"/>
    <w:qFormat/>
    <w:pPr>
      <w:ind w:firstLine="480"/>
      <w:spacing w:line="360" w:lineRule="auto"/>
    </w:pPr>
    <w:rPr>
      <w:rFonts w:ascii="宋体" w:hAnsi="宋体"/>
      <w:sz w:val="24"/>
      <w:lang w:val="en-GB"/>
    </w:rPr>
  </w:style>
  <w:style w:type="character" w:styleId="1294">
    <w:name w:val="标题 3 Char"/>
    <w:next w:val="1294"/>
    <w:link w:val="1067"/>
    <w:qFormat/>
    <w:rPr>
      <w:rFonts w:ascii="宋体" w:eastAsia="宋体"/>
      <w:b/>
      <w:sz w:val="24"/>
      <w:u w:val="single"/>
      <w:lang w:val="en-US" w:eastAsia="zh-CN" w:bidi="ar-SA"/>
    </w:rPr>
  </w:style>
  <w:style w:type="character" w:styleId="1295">
    <w:name w:val="正文缩进 Char"/>
    <w:next w:val="1295"/>
    <w:link w:val="1067"/>
    <w:qFormat/>
    <w:rPr>
      <w:rFonts w:ascii="宋体" w:eastAsia="宋体"/>
      <w:sz w:val="24"/>
      <w:szCs w:val="24"/>
      <w:lang w:val="en-US" w:eastAsia="zh-CN" w:bidi="ar-SA"/>
    </w:rPr>
  </w:style>
  <w:style w:type="character" w:styleId="1296">
    <w:name w:val="Char Char111"/>
    <w:next w:val="1296"/>
    <w:link w:val="1067"/>
    <w:qFormat/>
    <w:rPr>
      <w:rFonts w:ascii="宋体" w:eastAsia="宋体"/>
      <w:b/>
      <w:sz w:val="24"/>
      <w:u w:val="single"/>
      <w:lang w:val="en-US" w:eastAsia="zh-CN" w:bidi="ar-SA"/>
    </w:rPr>
  </w:style>
  <w:style w:type="character" w:styleId="1297">
    <w:name w:val="正文文本缩进 Char"/>
    <w:next w:val="1297"/>
    <w:link w:val="1067"/>
    <w:qFormat/>
    <w:rPr>
      <w:rFonts w:eastAsia="宋体"/>
      <w:sz w:val="24"/>
      <w:szCs w:val="24"/>
      <w:lang w:val="en-US" w:eastAsia="zh-CN" w:bidi="ar-SA"/>
    </w:rPr>
  </w:style>
  <w:style w:type="character" w:styleId="1298">
    <w:name w:val="列出段落 Char"/>
    <w:next w:val="1298"/>
    <w:link w:val="1067"/>
    <w:qFormat/>
    <w:rPr>
      <w:rFonts w:ascii="Calibri" w:hAnsi="Calibri" w:eastAsia="宋体"/>
      <w:sz w:val="21"/>
      <w:szCs w:val="22"/>
      <w:lang w:val="en-US" w:eastAsia="zh-CN" w:bidi="ar-SA"/>
    </w:rPr>
  </w:style>
  <w:style w:type="character" w:styleId="1299">
    <w:name w:val="页眉 Char"/>
    <w:next w:val="1299"/>
    <w:link w:val="1067"/>
    <w:qFormat/>
    <w:rPr>
      <w:rFonts w:eastAsia="宋体"/>
      <w:sz w:val="18"/>
      <w:szCs w:val="18"/>
      <w:lang w:val="en-US" w:eastAsia="zh-CN" w:bidi="ar-SA"/>
    </w:rPr>
  </w:style>
  <w:style w:type="character" w:styleId="1300">
    <w:name w:val="标题 2 Char"/>
    <w:next w:val="1300"/>
    <w:link w:val="1067"/>
    <w:qFormat/>
    <w:rPr>
      <w:rFonts w:ascii="Arial" w:hAnsi="Arial" w:eastAsia="黑体"/>
      <w:b/>
      <w:sz w:val="30"/>
      <w:lang w:val="en-US" w:eastAsia="zh-CN" w:bidi="ar-SA"/>
    </w:rPr>
  </w:style>
  <w:style w:type="paragraph" w:styleId="1301">
    <w:name w:val="字元 字元2"/>
    <w:basedOn w:val="1067"/>
    <w:next w:val="1301"/>
    <w:link w:val="1067"/>
    <w:qFormat/>
    <w:rPr>
      <w:rFonts w:ascii="Tahoma" w:hAnsi="Tahoma"/>
      <w:sz w:val="24"/>
      <w:szCs w:val="20"/>
    </w:rPr>
  </w:style>
  <w:style w:type="paragraph" w:styleId="1302">
    <w:name w:val="Char3 Char Char Char2"/>
    <w:basedOn w:val="1067"/>
    <w:next w:val="1302"/>
    <w:link w:val="1067"/>
    <w:qFormat/>
    <w:rPr>
      <w:rFonts w:ascii="Tahoma" w:hAnsi="Tahoma"/>
      <w:sz w:val="24"/>
      <w:szCs w:val="20"/>
    </w:rPr>
  </w:style>
  <w:style w:type="paragraph" w:styleId="1303">
    <w:name w:val="正文文本缩进2"/>
    <w:basedOn w:val="1067"/>
    <w:next w:val="1303"/>
    <w:link w:val="1067"/>
    <w:qFormat/>
    <w:pPr>
      <w:ind w:firstLine="480"/>
      <w:spacing w:line="480" w:lineRule="exact"/>
    </w:pPr>
    <w:rPr>
      <w:rFonts w:ascii="宋体" w:hAnsi="宋体"/>
      <w:sz w:val="24"/>
      <w:lang w:val="zh-CN" w:eastAsia="zh-CN"/>
    </w:rPr>
  </w:style>
  <w:style w:type="paragraph" w:styleId="1304">
    <w:name w:val="Char3"/>
    <w:basedOn w:val="1067"/>
    <w:next w:val="1304"/>
    <w:link w:val="1067"/>
    <w:qFormat/>
    <w:pPr>
      <w:tabs>
        <w:tab w:val="left" w:pos="360" w:leader="none"/>
      </w:tabs>
    </w:pPr>
    <w:rPr>
      <w:sz w:val="24"/>
    </w:rPr>
  </w:style>
  <w:style w:type="paragraph" w:styleId="1305">
    <w:name w:val="Char Char Char Char Char Char Char Char Char Char Char Char Char Char Char Char1"/>
    <w:basedOn w:val="1067"/>
    <w:next w:val="1305"/>
    <w:link w:val="1067"/>
    <w:qFormat/>
    <w:pPr>
      <w:jc w:val="center"/>
      <w:spacing w:after="160" w:line="240" w:lineRule="exact"/>
      <w:widowControl/>
    </w:pPr>
    <w:rPr>
      <w:rFonts w:ascii="宋体" w:hAnsi="宋体"/>
      <w:b/>
      <w:sz w:val="30"/>
      <w:szCs w:val="30"/>
      <w:lang w:eastAsia="en-US"/>
    </w:rPr>
  </w:style>
  <w:style w:type="paragraph" w:styleId="1306">
    <w:name w:val="Char Char1 Char Char Char Char Char Char1"/>
    <w:basedOn w:val="1067"/>
    <w:next w:val="1306"/>
    <w:link w:val="1067"/>
    <w:qFormat/>
    <w:pPr>
      <w:jc w:val="left"/>
      <w:spacing w:after="160" w:line="240" w:lineRule="exact"/>
      <w:widowControl/>
    </w:pPr>
    <w:rPr>
      <w:rFonts w:ascii="Verdana" w:hAnsi="Verdana" w:eastAsia="仿宋_GB2312"/>
      <w:sz w:val="24"/>
      <w:szCs w:val="20"/>
      <w:lang w:eastAsia="en-US"/>
    </w:rPr>
  </w:style>
  <w:style w:type="paragraph" w:styleId="1307">
    <w:name w:val="列出段落2"/>
    <w:basedOn w:val="1067"/>
    <w:next w:val="1307"/>
    <w:link w:val="1067"/>
    <w:qFormat/>
    <w:pPr>
      <w:ind w:firstLine="420"/>
    </w:pPr>
    <w:rPr>
      <w:rFonts w:ascii="Calibri" w:hAnsi="Calibri"/>
      <w:szCs w:val="22"/>
    </w:rPr>
  </w:style>
  <w:style w:type="paragraph" w:styleId="1308">
    <w:name w:val="Char Char Char1 Char2"/>
    <w:basedOn w:val="1067"/>
    <w:next w:val="1308"/>
    <w:link w:val="1067"/>
    <w:qFormat/>
    <w:rPr>
      <w:rFonts w:ascii="Tahoma" w:hAnsi="Tahoma"/>
      <w:sz w:val="24"/>
      <w:szCs w:val="20"/>
    </w:rPr>
  </w:style>
  <w:style w:type="paragraph" w:styleId="1309">
    <w:name w:val="Char Char Char2"/>
    <w:basedOn w:val="1067"/>
    <w:next w:val="1309"/>
    <w:link w:val="1067"/>
    <w:qFormat/>
    <w:rPr>
      <w:rFonts w:ascii="Tahoma" w:hAnsi="Tahoma"/>
      <w:sz w:val="24"/>
      <w:szCs w:val="20"/>
    </w:rPr>
  </w:style>
  <w:style w:type="paragraph" w:styleId="1310">
    <w:name w:val="Char Char Char Char Char Char Char2"/>
    <w:basedOn w:val="1067"/>
    <w:next w:val="1310"/>
    <w:link w:val="1067"/>
    <w:qFormat/>
    <w:pPr>
      <w:ind w:firstLine="200"/>
      <w:spacing w:line="360" w:lineRule="auto"/>
    </w:pPr>
    <w:rPr>
      <w:rFonts w:eastAsia="仿宋_GB2312"/>
      <w:sz w:val="24"/>
    </w:rPr>
  </w:style>
  <w:style w:type="paragraph" w:styleId="1311">
    <w:name w:val="正文缩进2"/>
    <w:basedOn w:val="1067"/>
    <w:next w:val="1311"/>
    <w:link w:val="1067"/>
    <w:qFormat/>
    <w:pPr>
      <w:ind w:firstLine="567"/>
      <w:spacing w:line="480" w:lineRule="exact"/>
      <w:widowControl/>
    </w:pPr>
    <w:rPr>
      <w:rFonts w:ascii="宋体"/>
      <w:color w:val="000000"/>
      <w:sz w:val="28"/>
      <w:szCs w:val="20"/>
      <w:lang w:val="zh-CN" w:eastAsia="zh-CN"/>
    </w:rPr>
  </w:style>
  <w:style w:type="paragraph" w:styleId="1312">
    <w:name w:val="Revision"/>
    <w:next w:val="1312"/>
    <w:link w:val="1067"/>
    <w:qFormat/>
    <w:rPr>
      <w:sz w:val="21"/>
      <w:szCs w:val="24"/>
      <w:lang w:val="en-US" w:eastAsia="zh-CN" w:bidi="ar-SA"/>
    </w:rPr>
  </w:style>
  <w:style w:type="paragraph" w:styleId="1313">
    <w:name w:val="Char22"/>
    <w:basedOn w:val="1067"/>
    <w:next w:val="1313"/>
    <w:link w:val="1067"/>
    <w:qFormat/>
    <w:rPr>
      <w:rFonts w:ascii="Tahoma" w:hAnsi="Tahoma"/>
      <w:sz w:val="24"/>
      <w:szCs w:val="20"/>
    </w:rPr>
  </w:style>
  <w:style w:type="paragraph" w:styleId="1314">
    <w:name w:val="Char Char Char Char Char Char Char Char Char Char2"/>
    <w:basedOn w:val="1067"/>
    <w:next w:val="1314"/>
    <w:link w:val="1067"/>
    <w:qFormat/>
    <w:rPr>
      <w:rFonts w:ascii="宋体" w:hAnsi="宋体" w:cs="Courier New"/>
      <w:sz w:val="32"/>
      <w:szCs w:val="32"/>
    </w:rPr>
  </w:style>
  <w:style w:type="paragraph" w:styleId="1315">
    <w:name w:val="Char2 Char Char Char Char Char Char1"/>
    <w:basedOn w:val="1067"/>
    <w:next w:val="1315"/>
    <w:link w:val="1067"/>
    <w:qFormat/>
    <w:pPr>
      <w:jc w:val="center"/>
      <w:spacing w:line="400" w:lineRule="exact"/>
      <w:widowControl/>
    </w:pPr>
  </w:style>
  <w:style w:type="character" w:styleId="1316">
    <w:name w:val="页脚 Char"/>
    <w:next w:val="1316"/>
    <w:link w:val="1067"/>
    <w:qFormat/>
    <w:rPr>
      <w:rFonts w:ascii="宋体" w:eastAsia="宋体"/>
      <w:sz w:val="18"/>
      <w:lang w:val="en-US" w:eastAsia="zh-CN" w:bidi="ar-SA"/>
    </w:rPr>
  </w:style>
  <w:style w:type="paragraph" w:styleId="1317">
    <w:name w:val="Char Char41"/>
    <w:basedOn w:val="1067"/>
    <w:next w:val="1317"/>
    <w:link w:val="1067"/>
    <w:qFormat/>
    <w:pPr>
      <w:jc w:val="center"/>
      <w:spacing w:line="400" w:lineRule="exact"/>
      <w:widowControl/>
    </w:pPr>
  </w:style>
  <w:style w:type="character" w:styleId="1318">
    <w:name w:val="批注文字 Char"/>
    <w:next w:val="1318"/>
    <w:link w:val="1067"/>
    <w:uiPriority w:val="99"/>
    <w:qFormat/>
    <w:rPr>
      <w:sz w:val="21"/>
      <w:szCs w:val="24"/>
    </w:rPr>
  </w:style>
  <w:style w:type="character" w:styleId="1319">
    <w:name w:val="标题 Char"/>
    <w:next w:val="1319"/>
    <w:link w:val="1067"/>
    <w:qFormat/>
    <w:rPr>
      <w:b/>
      <w:sz w:val="32"/>
    </w:rPr>
  </w:style>
  <w:style w:type="paragraph" w:styleId="1320">
    <w:name w:val="图例"/>
    <w:basedOn w:val="1067"/>
    <w:next w:val="1320"/>
    <w:link w:val="1067"/>
    <w:qFormat/>
    <w:pPr>
      <w:jc w:val="center"/>
      <w:spacing w:before="120" w:after="120" w:line="360" w:lineRule="auto"/>
    </w:pPr>
    <w:rPr>
      <w:rFonts w:eastAsia="仿宋_GB2312"/>
      <w:b/>
      <w:sz w:val="24"/>
      <w:szCs w:val="20"/>
    </w:rPr>
  </w:style>
  <w:style w:type="table" w:styleId="1321">
    <w:name w:val="Table Normal"/>
    <w:next w:val="1321"/>
    <w:link w:val="1067"/>
    <w:uiPriority w:val="2"/>
    <w:unhideWhenUsed/>
    <w:qFormat/>
    <w:pPr>
      <w:widowControl w:val="off"/>
    </w:pPr>
    <w:rPr>
      <w:rFonts w:ascii="Calibri" w:hAnsi="Calibri"/>
      <w:sz w:val="22"/>
      <w:szCs w:val="22"/>
      <w:lang w:val="en-US" w:eastAsia="en-US" w:bidi="ar-SA"/>
    </w:rPr>
    <w:tblPr/>
  </w:style>
  <w:style w:type="paragraph" w:styleId="1322">
    <w:name w:val="Table Paragraph"/>
    <w:basedOn w:val="1067"/>
    <w:next w:val="1322"/>
    <w:link w:val="1067"/>
    <w:uiPriority w:val="1"/>
    <w:qFormat/>
    <w:pPr>
      <w:jc w:val="left"/>
    </w:pPr>
    <w:rPr>
      <w:rFonts w:ascii="宋体" w:hAnsi="宋体" w:cs="宋体"/>
      <w:sz w:val="22"/>
      <w:szCs w:val="22"/>
      <w:lang w:eastAsia="en-US"/>
    </w:rPr>
  </w:style>
  <w:style w:type="paragraph" w:styleId="1323">
    <w:name w:val="成文日期"/>
    <w:basedOn w:val="1067"/>
    <w:next w:val="1323"/>
    <w:link w:val="1324"/>
    <w:qFormat/>
    <w:pPr>
      <w:ind w:right="400" w:firstLine="200"/>
      <w:jc w:val="right"/>
      <w:spacing w:line="570" w:lineRule="exact"/>
    </w:pPr>
    <w:rPr>
      <w:rFonts w:ascii="仿宋_GB2312" w:eastAsia="仿宋_GB2312"/>
      <w:sz w:val="32"/>
      <w:szCs w:val="20"/>
    </w:rPr>
  </w:style>
  <w:style w:type="character" w:styleId="1324">
    <w:name w:val="成文日期 Char"/>
    <w:next w:val="1324"/>
    <w:link w:val="1323"/>
    <w:rPr>
      <w:rFonts w:ascii="仿宋_GB2312" w:eastAsia="仿宋_GB2312"/>
      <w:sz w:val="32"/>
    </w:rPr>
  </w:style>
  <w:style w:type="paragraph" w:styleId="1325">
    <w:name w:val="修订"/>
    <w:next w:val="1325"/>
    <w:link w:val="1067"/>
    <w:uiPriority w:val="99"/>
    <w:unhideWhenUsed/>
    <w:rPr>
      <w:sz w:val="21"/>
      <w:szCs w:val="24"/>
      <w:lang w:val="en-US" w:eastAsia="zh-CN" w:bidi="ar-SA"/>
    </w:rPr>
  </w:style>
  <w:style w:type="character" w:styleId="1326">
    <w:name w:val="thisclass"/>
    <w:next w:val="1326"/>
    <w:link w:val="1067"/>
    <w:rPr>
      <w:b/>
      <w:bCs/>
      <w:color w:val="ffffff"/>
      <w:shd w:val="clear" w:color="auto" w:fill="2e6ab1"/>
    </w:rPr>
  </w:style>
  <w:style w:type="character" w:styleId="1327">
    <w:name w:val="disabled"/>
    <w:next w:val="1327"/>
    <w:link w:val="1067"/>
    <w:rPr>
      <w:color w:val="929292"/>
    </w:rPr>
  </w:style>
  <w:style w:type="character" w:styleId="1328">
    <w:name w:val="nav-on"/>
    <w:next w:val="1328"/>
    <w:link w:val="1067"/>
    <w:rPr>
      <w:vanish/>
    </w:rPr>
  </w:style>
  <w:style w:type="paragraph" w:styleId="1329">
    <w:name w:val="段"/>
    <w:next w:val="1067"/>
    <w:link w:val="1067"/>
    <w:qFormat/>
    <w:pPr>
      <w:ind w:firstLine="200"/>
      <w:jc w:val="both"/>
    </w:pPr>
    <w:rPr>
      <w:rFonts w:ascii="宋体"/>
      <w:sz w:val="21"/>
      <w:lang w:val="en-US" w:eastAsia="zh-CN" w:bidi="ar-SA"/>
    </w:rPr>
  </w:style>
  <w:style w:type="paragraph" w:styleId="1330">
    <w:name w:val="_Style 260"/>
    <w:basedOn w:val="1067"/>
    <w:next w:val="1171"/>
    <w:link w:val="1067"/>
    <w:uiPriority w:val="99"/>
    <w:qFormat/>
    <w:pPr>
      <w:ind w:firstLine="420"/>
    </w:pPr>
    <w:rPr>
      <w:rFonts w:ascii="Calibri" w:hAnsi="Calibri"/>
      <w:szCs w:val="22"/>
    </w:rPr>
  </w:style>
  <w:style w:type="character" w:styleId="1331">
    <w:name w:val="font11"/>
    <w:next w:val="1331"/>
    <w:link w:val="1067"/>
    <w:rPr>
      <w:rFonts w:hint="eastAsia" w:ascii="宋体" w:hAnsi="宋体" w:eastAsia="宋体" w:cs="宋体"/>
      <w:b/>
      <w:bCs/>
      <w:i w:val="0"/>
      <w:iCs w:val="0"/>
      <w:color w:val="000000"/>
      <w:sz w:val="18"/>
      <w:szCs w:val="18"/>
      <w:u w:val="none"/>
    </w:rPr>
  </w:style>
  <w:style w:type="character" w:styleId="1332">
    <w:name w:val="font41"/>
    <w:next w:val="1332"/>
    <w:link w:val="1067"/>
    <w:rPr>
      <w:rFonts w:hint="eastAsia" w:ascii="宋体" w:hAnsi="宋体" w:eastAsia="宋体" w:cs="宋体"/>
      <w:b/>
      <w:bCs/>
      <w:i w:val="0"/>
      <w:iCs w:val="0"/>
      <w:color w:val="000000"/>
      <w:sz w:val="18"/>
      <w:szCs w:val="18"/>
      <w:u w:val="none"/>
      <w:vertAlign w:val="superscript"/>
    </w:rPr>
  </w:style>
  <w:style w:type="paragraph" w:styleId="1333">
    <w:name w:val="null3"/>
    <w:next w:val="1333"/>
    <w:link w:val="1067"/>
    <w:qFormat/>
    <w:rPr>
      <w:rFonts w:hint="eastAsia" w:ascii="Calibri" w:hAnsi="Calibri"/>
      <w:lang w:val="en-US" w:eastAsia="zh-CN" w:bidi="ar-SA"/>
    </w:rPr>
  </w:style>
  <w:style w:type="paragraph" w:styleId="1334">
    <w:name w:val="普通(网站)11"/>
    <w:basedOn w:val="1067"/>
    <w:next w:val="1334"/>
    <w:link w:val="1067"/>
    <w:uiPriority w:val="99"/>
    <w:unhideWhenUsed/>
    <w:qFormat/>
    <w:pPr>
      <w:jc w:val="left"/>
      <w:spacing w:before="100" w:beforeAutospacing="1" w:after="100" w:afterAutospacing="1"/>
      <w:widowControl/>
    </w:pPr>
    <w:rPr>
      <w:rFonts w:ascii="宋体" w:hAnsi="宋体" w:cs="宋体"/>
      <w:sz w:val="24"/>
    </w:rPr>
  </w:style>
  <w:style w:type="character" w:styleId="1335">
    <w:name w:val="font91"/>
    <w:next w:val="1335"/>
    <w:link w:val="1067"/>
    <w:rPr>
      <w:sz w:val="21"/>
      <w:szCs w:val="24"/>
      <w:lang w:val="en-US" w:eastAsia="zh-CN" w:bidi="ar-SA"/>
    </w:rPr>
  </w:style>
  <w:style w:type="paragraph" w:styleId="1336">
    <w:name w:val="正文缩进12"/>
    <w:basedOn w:val="1067"/>
    <w:next w:val="1336"/>
    <w:link w:val="1067"/>
    <w:uiPriority w:val="99"/>
    <w:qFormat/>
    <w:pPr>
      <w:ind w:firstLine="420"/>
      <w:jc w:val="left"/>
    </w:pPr>
    <w:rPr>
      <w:rFonts w:ascii="宋体"/>
      <w:sz w:val="24"/>
    </w:rPr>
  </w:style>
  <w:style w:type="character" w:styleId="1337">
    <w:name w:val="font112"/>
    <w:next w:val="1337"/>
    <w:link w:val="1067"/>
    <w:qFormat/>
    <w:rPr>
      <w:rFonts w:hint="eastAsia" w:ascii="宋体" w:hAnsi="宋体" w:eastAsia="宋体" w:cs="宋体"/>
      <w:color w:val="000000"/>
      <w:sz w:val="12"/>
      <w:szCs w:val="12"/>
      <w:u w:val="none"/>
    </w:rPr>
  </w:style>
  <w:style w:type="character" w:styleId="1338">
    <w:name w:val="font121"/>
    <w:next w:val="1338"/>
    <w:link w:val="1067"/>
    <w:qFormat/>
    <w:rPr>
      <w:rFonts w:hint="eastAsia" w:ascii="宋体" w:hAnsi="宋体" w:eastAsia="宋体" w:cs="宋体"/>
      <w:color w:val="000000"/>
      <w:sz w:val="12"/>
      <w:szCs w:val="12"/>
      <w:u w:val="none"/>
    </w:rPr>
  </w:style>
  <w:style w:type="character" w:styleId="1339">
    <w:name w:val="font01"/>
    <w:next w:val="1339"/>
    <w:link w:val="1067"/>
    <w:qFormat/>
    <w:rPr>
      <w:rFonts w:ascii="Times New Roman" w:hAnsi="Times New Roman" w:cs="Times New Roman"/>
      <w:color w:val="000000"/>
      <w:sz w:val="20"/>
      <w:szCs w:val="20"/>
      <w:u w:val="none"/>
    </w:rPr>
  </w:style>
  <w:style w:type="character" w:styleId="1340">
    <w:name w:val="font161"/>
    <w:next w:val="1340"/>
    <w:link w:val="1067"/>
    <w:qFormat/>
    <w:rPr>
      <w:rFonts w:hint="eastAsia" w:ascii="宋体" w:hAnsi="宋体" w:eastAsia="宋体" w:cs="宋体"/>
      <w:color w:val="000000"/>
      <w:sz w:val="12"/>
      <w:szCs w:val="12"/>
      <w:u w:val="none"/>
    </w:rPr>
  </w:style>
  <w:style w:type="character" w:styleId="1341">
    <w:name w:val="font151"/>
    <w:next w:val="1341"/>
    <w:link w:val="1067"/>
    <w:qFormat/>
    <w:rPr>
      <w:rFonts w:ascii="Times New Roman" w:hAnsi="Times New Roman" w:cs="Times New Roman"/>
      <w:color w:val="000000"/>
      <w:sz w:val="12"/>
      <w:szCs w:val="12"/>
      <w:u w:val="none"/>
    </w:rPr>
  </w:style>
  <w:style w:type="paragraph" w:styleId="1342">
    <w:name w:val="标题 111"/>
    <w:basedOn w:val="1067"/>
    <w:next w:val="1067"/>
    <w:link w:val="1067"/>
    <w:uiPriority w:val="9"/>
    <w:qFormat/>
    <w:pPr>
      <w:keepLines/>
      <w:keepNext/>
      <w:spacing w:before="480" w:after="200"/>
      <w:outlineLvl w:val="0"/>
    </w:pPr>
    <w:rPr>
      <w:rFonts w:ascii="Arial" w:hAnsi="Arial" w:eastAsia="Arial" w:cs="Arial"/>
      <w:sz w:val="40"/>
      <w:szCs w:val="40"/>
    </w:rPr>
  </w:style>
  <w:style w:type="character" w:styleId="1343">
    <w:name w:val="font31"/>
    <w:basedOn w:val="1077"/>
    <w:next w:val="1343"/>
    <w:link w:val="1067"/>
    <w:qFormat/>
    <w:rPr>
      <w:rFonts w:hint="eastAsia" w:ascii="宋体" w:hAnsi="宋体" w:eastAsia="宋体" w:cs="宋体"/>
      <w:color w:val="000000"/>
      <w:sz w:val="21"/>
      <w:szCs w:val="21"/>
      <w:u w:val="none"/>
    </w:rPr>
  </w:style>
  <w:style w:type="character" w:styleId="1344">
    <w:name w:val="font21"/>
    <w:basedOn w:val="1077"/>
    <w:next w:val="1344"/>
    <w:link w:val="1067"/>
    <w:qFormat/>
    <w:rPr>
      <w:rFonts w:ascii="方正仿宋_GB2312" w:hAnsi="方正仿宋_GB2312" w:eastAsia="方正仿宋_GB2312" w:cs="方正仿宋_GB2312"/>
      <w:color w:val="000000"/>
      <w:sz w:val="21"/>
      <w:szCs w:val="21"/>
      <w:u w:val="none"/>
    </w:rPr>
  </w:style>
  <w:style w:type="character" w:styleId="1345">
    <w:name w:val="font51"/>
    <w:basedOn w:val="1077"/>
    <w:next w:val="1345"/>
    <w:link w:val="1067"/>
    <w:rPr>
      <w:rFonts w:ascii="方正仿宋_GB2312" w:hAnsi="方正仿宋_GB2312" w:eastAsia="方正仿宋_GB2312" w:cs="方正仿宋_GB2312"/>
      <w:color w:val="000000"/>
      <w:sz w:val="21"/>
      <w:szCs w:val="21"/>
      <w:u w:val="none"/>
    </w:rPr>
  </w:style>
  <w:style w:type="paragraph" w:styleId="1346">
    <w:name w:val="表格样式"/>
    <w:basedOn w:val="1067"/>
    <w:next w:val="1067"/>
    <w:link w:val="1067"/>
    <w:qFormat/>
    <w:pPr>
      <w:ind w:firstLine="0"/>
      <w:jc w:val="center"/>
      <w:spacing w:line="240" w:lineRule="auto"/>
      <w:widowControl/>
    </w:pPr>
    <w:rPr>
      <w:rFonts w:hint="eastAsia" w:ascii="宋体" w:hAnsi="宋体" w:cs="宋体"/>
      <w:color w:val="000000"/>
      <w:sz w:val="21"/>
      <w:szCs w:val="22"/>
      <w:lang w:bidi="ar"/>
    </w:rPr>
  </w:style>
  <w:style w:type="character" w:styleId="1347" w:default="1">
    <w:name w:val="Default Paragraph Font"/>
    <w:uiPriority w:val="1"/>
    <w:semiHidden/>
    <w:unhideWhenUsed/>
  </w:style>
  <w:style w:type="numbering" w:styleId="1348" w:default="1">
    <w:name w:val="No List"/>
    <w:uiPriority w:val="99"/>
    <w:semiHidden/>
    <w:unhideWhenUsed/>
  </w:style>
  <w:style w:type="table" w:styleId="13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3.jp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2026-05-21T01:59:56Z</dcterms:modified>
</cp:coreProperties>
</file>